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val="0"/>
          <w:bCs/>
          <w:sz w:val="72"/>
          <w:szCs w:val="52"/>
        </w:rPr>
      </w:pPr>
      <w:bookmarkStart w:id="191" w:name="_GoBack"/>
      <w:bookmarkEnd w:id="191"/>
      <w:r>
        <w:rPr>
          <w:rFonts w:hint="eastAsia"/>
          <w:b w:val="0"/>
          <w:bCs/>
          <w:sz w:val="72"/>
          <w:szCs w:val="52"/>
        </w:rPr>
        <w:t>建设数据中心机房</w:t>
      </w:r>
    </w:p>
    <w:p>
      <w:pPr>
        <w:spacing w:before="312" w:beforeLines="100" w:after="156" w:afterLines="50" w:line="600" w:lineRule="exact"/>
        <w:jc w:val="center"/>
        <w:rPr>
          <w:rFonts w:ascii="方正小标宋简体" w:hAnsi="方正小标宋简体" w:eastAsia="方正小标宋简体" w:cs="方正小标宋简体"/>
          <w:bCs/>
          <w:sz w:val="44"/>
          <w:szCs w:val="44"/>
        </w:rPr>
      </w:pPr>
    </w:p>
    <w:p>
      <w:pPr>
        <w:spacing w:before="312" w:beforeLines="100" w:after="156" w:afterLines="50" w:line="600" w:lineRule="exact"/>
        <w:jc w:val="center"/>
        <w:rPr>
          <w:rFonts w:ascii="方正小标宋简体" w:hAnsi="方正小标宋简体" w:eastAsia="方正小标宋简体" w:cs="方正小标宋简体"/>
          <w:bCs/>
          <w:sz w:val="44"/>
          <w:szCs w:val="44"/>
        </w:rPr>
      </w:pPr>
    </w:p>
    <w:p>
      <w:pPr>
        <w:pStyle w:val="4"/>
        <w:jc w:val="center"/>
        <w:rPr>
          <w:b w:val="0"/>
          <w:bCs/>
          <w:sz w:val="72"/>
          <w:szCs w:val="52"/>
        </w:rPr>
      </w:pPr>
      <w:bookmarkStart w:id="0" w:name="_Toc4172"/>
      <w:bookmarkStart w:id="1" w:name="_Toc25311"/>
      <w:bookmarkStart w:id="2" w:name="_Toc14075"/>
      <w:r>
        <w:rPr>
          <w:rFonts w:hint="eastAsia"/>
          <w:b w:val="0"/>
          <w:bCs/>
          <w:sz w:val="72"/>
          <w:szCs w:val="52"/>
        </w:rPr>
        <w:t>竞争性谈判文件</w:t>
      </w:r>
      <w:bookmarkEnd w:id="0"/>
      <w:bookmarkEnd w:id="1"/>
      <w:bookmarkEnd w:id="2"/>
    </w:p>
    <w:p>
      <w:pPr>
        <w:spacing w:line="400" w:lineRule="exact"/>
        <w:jc w:val="center"/>
        <w:rPr>
          <w:rFonts w:ascii="仿宋_GB2312" w:hAnsi="宋体" w:eastAsia="仿宋_GB2312"/>
          <w:b/>
          <w:sz w:val="32"/>
          <w:szCs w:val="32"/>
        </w:rPr>
      </w:pPr>
      <w:r>
        <w:rPr>
          <w:rFonts w:hint="eastAsia" w:ascii="仿宋_GB2312" w:hAnsi="宋体" w:eastAsia="仿宋_GB2312"/>
          <w:b/>
          <w:sz w:val="32"/>
          <w:szCs w:val="32"/>
        </w:rPr>
        <w:t>项目编号：CZZC2024-J1-00001-GXLT</w:t>
      </w:r>
    </w:p>
    <w:p>
      <w:pPr>
        <w:snapToGrid w:val="0"/>
        <w:spacing w:before="156" w:beforeLines="50" w:line="360" w:lineRule="auto"/>
        <w:jc w:val="center"/>
        <w:rPr>
          <w:rFonts w:ascii="仿宋_GB2312" w:hAnsi="宋体" w:eastAsia="仿宋_GB2312"/>
          <w:sz w:val="30"/>
          <w:szCs w:val="72"/>
        </w:rPr>
      </w:pPr>
    </w:p>
    <w:p>
      <w:pPr>
        <w:spacing w:line="400" w:lineRule="exac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仿宋_GB2312" w:hAnsi="宋体" w:eastAsia="仿宋_GB2312"/>
          <w:b/>
          <w:sz w:val="32"/>
          <w:szCs w:val="32"/>
        </w:rPr>
      </w:pPr>
    </w:p>
    <w:p>
      <w:pPr>
        <w:pStyle w:val="4"/>
      </w:pPr>
    </w:p>
    <w:p/>
    <w:p/>
    <w:p>
      <w:pPr>
        <w:pStyle w:val="4"/>
      </w:pPr>
    </w:p>
    <w:p>
      <w:pPr>
        <w:pStyle w:val="4"/>
        <w:pBdr>
          <w:bottom w:val="double" w:color="auto" w:sz="4" w:space="0"/>
        </w:pBdr>
      </w:pPr>
    </w:p>
    <w:p>
      <w:pPr>
        <w:pStyle w:val="4"/>
        <w:spacing w:before="0" w:after="0" w:line="360" w:lineRule="auto"/>
        <w:jc w:val="left"/>
      </w:pPr>
      <w:r>
        <w:rPr>
          <w:rFonts w:hint="eastAsia"/>
        </w:rPr>
        <w:t>采 购 人：崇左幼儿师范高等专科学校</w:t>
      </w:r>
    </w:p>
    <w:p>
      <w:pPr>
        <w:pStyle w:val="4"/>
        <w:spacing w:before="0" w:after="0" w:line="360" w:lineRule="auto"/>
        <w:jc w:val="left"/>
        <w:rPr>
          <w:rFonts w:ascii="仿宋_GB2312" w:hAnsi="宋体" w:eastAsia="仿宋_GB2312"/>
          <w:b w:val="0"/>
          <w:szCs w:val="32"/>
        </w:rPr>
      </w:pPr>
      <w:r>
        <w:rPr>
          <w:rFonts w:hint="eastAsia"/>
        </w:rPr>
        <w:t>采购代理机构</w:t>
      </w:r>
      <w:r>
        <w:rPr>
          <w:rFonts w:hint="eastAsia" w:ascii="仿宋_GB2312" w:hAnsi="宋体" w:eastAsia="仿宋_GB2312"/>
          <w:b w:val="0"/>
          <w:szCs w:val="32"/>
        </w:rPr>
        <w:t>：</w:t>
      </w:r>
      <w:r>
        <w:rPr>
          <w:rFonts w:hint="eastAsia"/>
        </w:rPr>
        <w:t>广西隆泰招标代理有限公司</w:t>
      </w:r>
    </w:p>
    <w:p>
      <w:pPr>
        <w:spacing w:line="360" w:lineRule="auto"/>
        <w:jc w:val="left"/>
        <w:rPr>
          <w:b/>
          <w:sz w:val="32"/>
        </w:rPr>
      </w:pPr>
      <w:r>
        <w:rPr>
          <w:rFonts w:hint="eastAsia"/>
          <w:b/>
          <w:sz w:val="32"/>
          <w:lang w:val="en-US" w:eastAsia="zh-CN"/>
        </w:rPr>
        <w:t>日期：</w:t>
      </w:r>
      <w:r>
        <w:rPr>
          <w:rFonts w:hint="eastAsia"/>
          <w:b/>
          <w:sz w:val="32"/>
        </w:rPr>
        <w:t>2024年4月</w:t>
      </w:r>
      <w:r>
        <w:rPr>
          <w:rFonts w:hint="eastAsia"/>
          <w:b/>
          <w:sz w:val="32"/>
          <w:lang w:val="en-US" w:eastAsia="zh-CN"/>
        </w:rPr>
        <w:t xml:space="preserve"> 10</w:t>
      </w:r>
      <w:r>
        <w:rPr>
          <w:rFonts w:hint="eastAsia"/>
          <w:b/>
          <w:sz w:val="32"/>
        </w:rPr>
        <w:t>日</w:t>
      </w:r>
    </w:p>
    <w:p>
      <w:pPr>
        <w:spacing w:line="360" w:lineRule="auto"/>
        <w:jc w:val="center"/>
        <w:rPr>
          <w:rFonts w:ascii="宋体" w:hAnsi="宋体"/>
          <w:b/>
          <w:sz w:val="44"/>
          <w:szCs w:val="44"/>
        </w:rPr>
      </w:pPr>
      <w:r>
        <w:rPr>
          <w:rFonts w:ascii="仿宋_GB2312" w:hAnsi="宋体" w:eastAsia="仿宋_GB2312"/>
          <w:b/>
          <w:sz w:val="30"/>
          <w:szCs w:val="30"/>
        </w:rPr>
        <w:br w:type="page"/>
      </w:r>
      <w:r>
        <w:rPr>
          <w:rFonts w:hint="eastAsia" w:ascii="宋体" w:hAnsi="宋体"/>
          <w:b/>
          <w:sz w:val="56"/>
          <w:szCs w:val="56"/>
        </w:rPr>
        <w:t>目录</w:t>
      </w:r>
    </w:p>
    <w:p>
      <w:pPr>
        <w:pStyle w:val="56"/>
        <w:tabs>
          <w:tab w:val="right" w:leader="dot" w:pos="9746"/>
        </w:tabs>
      </w:pPr>
      <w:r>
        <w:rPr>
          <w:rFonts w:hint="eastAsia" w:ascii="宋体" w:hAnsi="宋体"/>
          <w:b/>
          <w:sz w:val="32"/>
          <w:szCs w:val="32"/>
        </w:rPr>
        <w:fldChar w:fldCharType="begin"/>
      </w:r>
      <w:r>
        <w:rPr>
          <w:rFonts w:hint="eastAsia" w:ascii="宋体" w:hAnsi="宋体"/>
          <w:b/>
          <w:sz w:val="32"/>
          <w:szCs w:val="32"/>
        </w:rPr>
        <w:instrText xml:space="preserve">TOC \o "1-1" \h \u </w:instrText>
      </w:r>
      <w:r>
        <w:rPr>
          <w:rFonts w:hint="eastAsia" w:ascii="宋体" w:hAnsi="宋体"/>
          <w:b/>
          <w:sz w:val="32"/>
          <w:szCs w:val="32"/>
        </w:rPr>
        <w:fldChar w:fldCharType="separate"/>
      </w:r>
    </w:p>
    <w:p>
      <w:pPr>
        <w:pStyle w:val="56"/>
        <w:tabs>
          <w:tab w:val="right" w:leader="dot" w:pos="9746"/>
        </w:tabs>
        <w:spacing w:line="480" w:lineRule="auto"/>
        <w:rPr>
          <w:rFonts w:ascii="宋体" w:hAnsi="宋体" w:cs="宋体"/>
          <w:sz w:val="24"/>
          <w:szCs w:val="24"/>
        </w:rPr>
      </w:pPr>
      <w:r>
        <w:fldChar w:fldCharType="begin"/>
      </w:r>
      <w:r>
        <w:instrText xml:space="preserve"> HYPERLINK \l "_Toc13990" </w:instrText>
      </w:r>
      <w:r>
        <w:fldChar w:fldCharType="separate"/>
      </w:r>
      <w:r>
        <w:rPr>
          <w:rFonts w:hint="eastAsia" w:ascii="宋体" w:hAnsi="宋体" w:cs="宋体"/>
          <w:sz w:val="24"/>
          <w:szCs w:val="24"/>
        </w:rPr>
        <w:t>第一章 竞争性谈判公告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_Toc13990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56"/>
        <w:tabs>
          <w:tab w:val="right" w:leader="dot" w:pos="9746"/>
        </w:tabs>
        <w:spacing w:line="480" w:lineRule="auto"/>
        <w:rPr>
          <w:rFonts w:ascii="宋体" w:hAnsi="宋体" w:cs="宋体"/>
          <w:sz w:val="24"/>
          <w:szCs w:val="24"/>
        </w:rPr>
      </w:pPr>
      <w:r>
        <w:fldChar w:fldCharType="begin"/>
      </w:r>
      <w:r>
        <w:instrText xml:space="preserve"> HYPERLINK \l "_Toc31212" </w:instrText>
      </w:r>
      <w:r>
        <w:fldChar w:fldCharType="separate"/>
      </w:r>
      <w:r>
        <w:rPr>
          <w:rFonts w:hint="eastAsia" w:ascii="宋体" w:hAnsi="宋体" w:cs="宋体"/>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_Toc31212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56"/>
        <w:tabs>
          <w:tab w:val="right" w:leader="dot" w:pos="9746"/>
        </w:tabs>
        <w:spacing w:line="480" w:lineRule="auto"/>
        <w:rPr>
          <w:rFonts w:ascii="宋体" w:hAnsi="宋体" w:cs="宋体"/>
          <w:sz w:val="24"/>
          <w:szCs w:val="24"/>
        </w:rPr>
      </w:pPr>
      <w:r>
        <w:fldChar w:fldCharType="begin"/>
      </w:r>
      <w:r>
        <w:instrText xml:space="preserve"> HYPERLINK \l "_Toc15130" </w:instrText>
      </w:r>
      <w:r>
        <w:fldChar w:fldCharType="separate"/>
      </w:r>
      <w:r>
        <w:rPr>
          <w:rFonts w:hint="eastAsia" w:ascii="宋体" w:hAnsi="宋体" w:cs="宋体"/>
          <w:sz w:val="24"/>
          <w:szCs w:val="24"/>
        </w:rPr>
        <w:t>第三章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_Toc15130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pPr>
        <w:pStyle w:val="56"/>
        <w:tabs>
          <w:tab w:val="right" w:leader="dot" w:pos="9746"/>
        </w:tabs>
        <w:spacing w:line="480" w:lineRule="auto"/>
        <w:rPr>
          <w:rFonts w:ascii="宋体" w:hAnsi="宋体" w:cs="宋体"/>
          <w:sz w:val="24"/>
          <w:szCs w:val="24"/>
        </w:rPr>
      </w:pPr>
      <w:r>
        <w:fldChar w:fldCharType="begin"/>
      </w:r>
      <w:r>
        <w:instrText xml:space="preserve"> HYPERLINK \l "_Toc4875" </w:instrText>
      </w:r>
      <w:r>
        <w:fldChar w:fldCharType="separate"/>
      </w:r>
      <w:r>
        <w:rPr>
          <w:rFonts w:hint="eastAsia" w:ascii="宋体" w:hAnsi="宋体" w:cs="宋体"/>
          <w:sz w:val="24"/>
          <w:szCs w:val="24"/>
        </w:rPr>
        <w:t>第四章 评审程序和评定成交的标准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_Toc4875 \h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pPr>
        <w:pStyle w:val="56"/>
        <w:tabs>
          <w:tab w:val="right" w:leader="dot" w:pos="9746"/>
        </w:tabs>
        <w:spacing w:line="480" w:lineRule="auto"/>
        <w:rPr>
          <w:rFonts w:ascii="宋体" w:hAnsi="宋体" w:cs="宋体"/>
          <w:sz w:val="24"/>
          <w:szCs w:val="24"/>
        </w:rPr>
      </w:pPr>
      <w:r>
        <w:fldChar w:fldCharType="begin"/>
      </w:r>
      <w:r>
        <w:instrText xml:space="preserve"> HYPERLINK \l "_Toc23488" </w:instrText>
      </w:r>
      <w:r>
        <w:fldChar w:fldCharType="separate"/>
      </w:r>
      <w:r>
        <w:rPr>
          <w:rFonts w:hint="eastAsia" w:ascii="宋体" w:hAnsi="宋体" w:cs="宋体"/>
          <w:sz w:val="24"/>
          <w:szCs w:val="24"/>
        </w:rPr>
        <w:t>第五章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_Toc23488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pPr>
        <w:pStyle w:val="56"/>
        <w:tabs>
          <w:tab w:val="right" w:leader="dot" w:pos="9746"/>
        </w:tabs>
        <w:spacing w:line="480" w:lineRule="auto"/>
        <w:rPr>
          <w:rFonts w:ascii="宋体" w:hAnsi="宋体" w:cs="宋体"/>
          <w:sz w:val="24"/>
          <w:szCs w:val="24"/>
        </w:rPr>
      </w:pPr>
      <w:r>
        <w:fldChar w:fldCharType="begin"/>
      </w:r>
      <w:r>
        <w:instrText xml:space="preserve"> HYPERLINK \l "_Toc28344" </w:instrText>
      </w:r>
      <w:r>
        <w:fldChar w:fldCharType="separate"/>
      </w:r>
      <w:r>
        <w:rPr>
          <w:rFonts w:hint="eastAsia" w:ascii="宋体" w:hAnsi="宋体" w:cs="宋体"/>
          <w:sz w:val="24"/>
          <w:szCs w:val="24"/>
        </w:rPr>
        <w:t>第六章 合同主要条款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_Toc28344 \h </w:instrText>
      </w:r>
      <w:r>
        <w:rPr>
          <w:rFonts w:hint="eastAsia" w:ascii="宋体" w:hAnsi="宋体" w:cs="宋体"/>
          <w:sz w:val="24"/>
          <w:szCs w:val="24"/>
        </w:rPr>
        <w:fldChar w:fldCharType="separate"/>
      </w:r>
      <w:r>
        <w:rPr>
          <w:rFonts w:hint="eastAsia" w:ascii="宋体" w:hAnsi="宋体" w:cs="宋体"/>
          <w:sz w:val="24"/>
          <w:szCs w:val="24"/>
        </w:rPr>
        <w:t>80</w:t>
      </w:r>
      <w:r>
        <w:rPr>
          <w:rFonts w:hint="eastAsia" w:ascii="宋体" w:hAnsi="宋体" w:cs="宋体"/>
          <w:sz w:val="24"/>
          <w:szCs w:val="24"/>
        </w:rPr>
        <w:fldChar w:fldCharType="end"/>
      </w:r>
      <w:r>
        <w:rPr>
          <w:rFonts w:hint="eastAsia" w:ascii="宋体" w:hAnsi="宋体" w:cs="宋体"/>
          <w:sz w:val="24"/>
          <w:szCs w:val="24"/>
        </w:rPr>
        <w:fldChar w:fldCharType="end"/>
      </w:r>
    </w:p>
    <w:p>
      <w:pPr>
        <w:spacing w:line="400" w:lineRule="exact"/>
        <w:jc w:val="left"/>
        <w:rPr>
          <w:rFonts w:ascii="宋体" w:hAnsi="宋体"/>
          <w:b/>
          <w:sz w:val="32"/>
          <w:szCs w:val="32"/>
        </w:rPr>
      </w:pPr>
      <w:r>
        <w:rPr>
          <w:rFonts w:hint="eastAsia" w:ascii="宋体" w:hAnsi="宋体"/>
          <w:szCs w:val="32"/>
        </w:rPr>
        <w:fldChar w:fldCharType="end"/>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sectPr>
          <w:headerReference r:id="rId4" w:type="first"/>
          <w:headerReference r:id="rId3" w:type="default"/>
          <w:pgSz w:w="11906" w:h="16838"/>
          <w:pgMar w:top="1440" w:right="1080" w:bottom="1440" w:left="1080" w:header="1020" w:footer="992" w:gutter="0"/>
          <w:cols w:space="720" w:num="1"/>
          <w:titlePg/>
          <w:docGrid w:type="lines" w:linePitch="312" w:charSpace="0"/>
        </w:sectPr>
      </w:pPr>
    </w:p>
    <w:p>
      <w:pPr>
        <w:pStyle w:val="2"/>
        <w:jc w:val="center"/>
      </w:pPr>
      <w:bookmarkStart w:id="3" w:name="_Toc5029"/>
      <w:bookmarkStart w:id="4" w:name="_Toc13990"/>
      <w:bookmarkStart w:id="5" w:name="_Toc35611510"/>
      <w:bookmarkStart w:id="6" w:name="_Toc1619"/>
      <w:r>
        <w:rPr>
          <w:rFonts w:hint="eastAsia"/>
        </w:rPr>
        <w:t>第一章 竞争性谈判公告</w:t>
      </w:r>
      <w:bookmarkEnd w:id="3"/>
      <w:bookmarkEnd w:id="4"/>
      <w:bookmarkEnd w:id="5"/>
      <w:bookmarkEnd w:id="6"/>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rFonts w:ascii="宋体" w:hAnsi="宋体" w:cs="宋体"/>
                <w:bCs/>
                <w:kern w:val="0"/>
                <w:sz w:val="24"/>
              </w:rPr>
            </w:pPr>
            <w:bookmarkStart w:id="7" w:name="_Toc28359089"/>
            <w:bookmarkStart w:id="8" w:name="_Toc35393629"/>
            <w:bookmarkStart w:id="9" w:name="_Toc35393798"/>
            <w:bookmarkStart w:id="10" w:name="_Toc28359012"/>
            <w:bookmarkStart w:id="11" w:name="_Hlk37430271"/>
            <w:r>
              <w:rPr>
                <w:rFonts w:hint="eastAsia" w:ascii="宋体" w:hAnsi="宋体" w:cs="宋体"/>
                <w:bCs/>
                <w:kern w:val="0"/>
                <w:sz w:val="24"/>
              </w:rPr>
              <w:t>项目概况</w:t>
            </w:r>
          </w:p>
          <w:p>
            <w:pPr>
              <w:wordWrap w:val="0"/>
              <w:topLinePunct/>
              <w:spacing w:line="360" w:lineRule="auto"/>
              <w:rPr>
                <w:rFonts w:ascii="宋体" w:hAnsi="宋体" w:cs="宋体"/>
                <w:bCs/>
                <w:sz w:val="24"/>
              </w:rPr>
            </w:pPr>
            <w:r>
              <w:rPr>
                <w:rFonts w:hint="eastAsia" w:ascii="宋体" w:hAnsi="宋体" w:cs="宋体"/>
                <w:sz w:val="24"/>
              </w:rPr>
              <w:t>建设数据中心机房</w:t>
            </w:r>
            <w:r>
              <w:rPr>
                <w:rFonts w:hint="eastAsia" w:ascii="宋体" w:hAnsi="宋体" w:cs="宋体"/>
                <w:bCs/>
                <w:kern w:val="0"/>
                <w:sz w:val="24"/>
              </w:rPr>
              <w:t>项目的潜在供应商应在</w:t>
            </w:r>
            <w:r>
              <w:rPr>
                <w:rFonts w:hint="eastAsia" w:ascii="宋体" w:hAnsi="宋体" w:cs="宋体"/>
                <w:b/>
                <w:bCs/>
                <w:kern w:val="0"/>
                <w:sz w:val="24"/>
              </w:rPr>
              <w:t>广西政府采购云平台</w:t>
            </w:r>
            <w:r>
              <w:rPr>
                <w:rFonts w:hint="eastAsia" w:ascii="宋体" w:hAnsi="宋体" w:cs="宋体"/>
                <w:bCs/>
                <w:kern w:val="0"/>
                <w:sz w:val="24"/>
              </w:rPr>
              <w:t>获取竞争性谈判文件，并于</w:t>
            </w:r>
            <w:r>
              <w:rPr>
                <w:rFonts w:hint="eastAsia" w:ascii="宋体" w:hAnsi="宋体" w:cs="宋体"/>
                <w:b/>
                <w:kern w:val="0"/>
                <w:sz w:val="24"/>
              </w:rPr>
              <w:t>2024年</w:t>
            </w:r>
            <w:r>
              <w:rPr>
                <w:rFonts w:hint="eastAsia" w:ascii="宋体" w:hAnsi="宋体" w:cs="宋体"/>
                <w:b/>
                <w:kern w:val="0"/>
                <w:sz w:val="24"/>
                <w:lang w:val="en-US" w:eastAsia="zh-CN"/>
              </w:rPr>
              <w:t>4</w:t>
            </w:r>
            <w:r>
              <w:rPr>
                <w:rFonts w:hint="eastAsia" w:ascii="宋体" w:hAnsi="宋体" w:cs="宋体"/>
                <w:b/>
                <w:kern w:val="0"/>
                <w:sz w:val="24"/>
              </w:rPr>
              <w:t>月</w:t>
            </w:r>
            <w:r>
              <w:rPr>
                <w:rFonts w:hint="eastAsia" w:ascii="宋体" w:hAnsi="宋体" w:cs="宋体"/>
                <w:b/>
                <w:kern w:val="0"/>
                <w:sz w:val="24"/>
                <w:lang w:val="en-US" w:eastAsia="zh-CN"/>
              </w:rPr>
              <w:t>19</w:t>
            </w:r>
            <w:r>
              <w:rPr>
                <w:rFonts w:hint="eastAsia" w:ascii="宋体" w:hAnsi="宋体" w:cs="宋体"/>
                <w:b/>
                <w:kern w:val="0"/>
                <w:sz w:val="24"/>
              </w:rPr>
              <w:t>日</w:t>
            </w:r>
            <w:r>
              <w:rPr>
                <w:rFonts w:hint="eastAsia" w:ascii="宋体" w:hAnsi="宋体" w:cs="宋体"/>
                <w:b/>
                <w:kern w:val="0"/>
                <w:sz w:val="24"/>
                <w:lang w:val="en-US" w:eastAsia="zh-CN"/>
              </w:rPr>
              <w:t>9</w:t>
            </w:r>
            <w:r>
              <w:rPr>
                <w:rFonts w:hint="eastAsia" w:ascii="宋体" w:hAnsi="宋体" w:cs="宋体"/>
                <w:b/>
                <w:kern w:val="0"/>
                <w:sz w:val="24"/>
              </w:rPr>
              <w:t>点</w:t>
            </w:r>
            <w:r>
              <w:rPr>
                <w:rFonts w:hint="eastAsia" w:ascii="宋体" w:hAnsi="宋体" w:cs="宋体"/>
                <w:b/>
                <w:kern w:val="0"/>
                <w:sz w:val="24"/>
                <w:lang w:val="en-US" w:eastAsia="zh-CN"/>
              </w:rPr>
              <w:t>30</w:t>
            </w:r>
            <w:r>
              <w:rPr>
                <w:rFonts w:hint="eastAsia" w:ascii="宋体" w:hAnsi="宋体" w:cs="宋体"/>
                <w:b/>
                <w:kern w:val="0"/>
                <w:sz w:val="24"/>
              </w:rPr>
              <w:t>分</w:t>
            </w:r>
            <w:r>
              <w:rPr>
                <w:rFonts w:hint="eastAsia" w:ascii="宋体" w:hAnsi="宋体" w:cs="宋体"/>
                <w:bCs/>
                <w:kern w:val="0"/>
                <w:sz w:val="24"/>
              </w:rPr>
              <w:t>（北京时间）前提交响应文件。</w:t>
            </w:r>
          </w:p>
        </w:tc>
      </w:tr>
    </w:tbl>
    <w:p>
      <w:pPr>
        <w:pStyle w:val="4"/>
        <w:numPr>
          <w:ilvl w:val="0"/>
          <w:numId w:val="1"/>
        </w:numPr>
        <w:spacing w:before="0" w:after="0" w:line="540" w:lineRule="exact"/>
        <w:rPr>
          <w:rFonts w:ascii="宋体" w:hAnsi="宋体" w:cs="宋体"/>
          <w:sz w:val="24"/>
        </w:rPr>
      </w:pPr>
      <w:r>
        <w:rPr>
          <w:rFonts w:hint="eastAsia" w:ascii="宋体" w:hAnsi="宋体" w:cs="宋体"/>
          <w:sz w:val="24"/>
        </w:rPr>
        <w:t>项目基本情况</w:t>
      </w:r>
      <w:bookmarkEnd w:id="7"/>
      <w:bookmarkEnd w:id="8"/>
      <w:bookmarkEnd w:id="9"/>
      <w:bookmarkEnd w:id="10"/>
    </w:p>
    <w:p>
      <w:pPr>
        <w:adjustRightInd w:val="0"/>
        <w:snapToGrid w:val="0"/>
        <w:spacing w:line="540" w:lineRule="exact"/>
        <w:rPr>
          <w:rFonts w:ascii="宋体" w:hAnsi="宋体" w:cs="宋体"/>
          <w:sz w:val="24"/>
        </w:rPr>
      </w:pPr>
      <w:r>
        <w:rPr>
          <w:rFonts w:hint="eastAsia" w:ascii="宋体" w:hAnsi="宋体" w:cs="宋体"/>
          <w:sz w:val="24"/>
        </w:rPr>
        <w:t>项目编号：CZZC2024-J1-00001-GXLT</w:t>
      </w:r>
    </w:p>
    <w:p>
      <w:pPr>
        <w:adjustRightInd w:val="0"/>
        <w:snapToGrid w:val="0"/>
        <w:spacing w:line="540" w:lineRule="exact"/>
        <w:rPr>
          <w:rFonts w:ascii="宋体" w:hAnsi="宋体" w:cs="宋体"/>
          <w:sz w:val="24"/>
          <w:u w:val="single"/>
        </w:rPr>
      </w:pPr>
      <w:r>
        <w:rPr>
          <w:rFonts w:hint="eastAsia" w:ascii="宋体" w:hAnsi="宋体" w:cs="宋体"/>
          <w:sz w:val="24"/>
        </w:rPr>
        <w:t>项目名称：建设数据中心机房</w:t>
      </w:r>
    </w:p>
    <w:p>
      <w:pPr>
        <w:adjustRightInd w:val="0"/>
        <w:snapToGrid w:val="0"/>
        <w:spacing w:line="540" w:lineRule="exact"/>
        <w:rPr>
          <w:rFonts w:ascii="宋体" w:hAnsi="宋体" w:cs="宋体"/>
          <w:sz w:val="24"/>
        </w:rPr>
      </w:pPr>
      <w:r>
        <w:rPr>
          <w:rFonts w:hint="eastAsia" w:ascii="宋体" w:hAnsi="宋体" w:cs="宋体"/>
          <w:sz w:val="24"/>
        </w:rPr>
        <w:t>采购方式：竞争性谈判</w:t>
      </w:r>
    </w:p>
    <w:p>
      <w:pPr>
        <w:adjustRightInd w:val="0"/>
        <w:snapToGrid w:val="0"/>
        <w:spacing w:line="540" w:lineRule="exact"/>
        <w:rPr>
          <w:rFonts w:ascii="宋体" w:hAnsi="宋体" w:cs="宋体"/>
          <w:sz w:val="24"/>
        </w:rPr>
      </w:pPr>
      <w:r>
        <w:rPr>
          <w:rFonts w:hint="eastAsia" w:ascii="宋体" w:hAnsi="宋体" w:cs="宋体"/>
          <w:sz w:val="24"/>
        </w:rPr>
        <w:t>预算金额：730500.00元</w:t>
      </w:r>
    </w:p>
    <w:p>
      <w:pPr>
        <w:adjustRightInd w:val="0"/>
        <w:snapToGrid w:val="0"/>
        <w:spacing w:line="540" w:lineRule="exact"/>
        <w:rPr>
          <w:rFonts w:ascii="宋体" w:hAnsi="宋体" w:cs="宋体"/>
          <w:sz w:val="24"/>
        </w:rPr>
      </w:pPr>
      <w:r>
        <w:rPr>
          <w:rFonts w:hint="eastAsia" w:ascii="宋体" w:hAnsi="宋体" w:cs="宋体"/>
          <w:sz w:val="24"/>
        </w:rPr>
        <w:t>最高限价：730500.00元</w:t>
      </w:r>
    </w:p>
    <w:p>
      <w:pPr>
        <w:widowControl/>
        <w:spacing w:line="540" w:lineRule="exact"/>
        <w:rPr>
          <w:rFonts w:ascii="宋体" w:hAnsi="宋体" w:cs="宋体"/>
          <w:sz w:val="24"/>
        </w:rPr>
      </w:pPr>
      <w:r>
        <w:rPr>
          <w:rFonts w:hint="eastAsia" w:ascii="宋体" w:hAnsi="宋体" w:cs="宋体"/>
          <w:sz w:val="24"/>
        </w:rPr>
        <w:t>采购需求：</w:t>
      </w:r>
      <w:r>
        <w:rPr>
          <w:rFonts w:hint="eastAsia" w:ascii="宋体" w:hAnsi="宋体" w:cs="宋体"/>
          <w:sz w:val="24"/>
          <w:lang w:bidi="ar"/>
        </w:rPr>
        <w:t xml:space="preserve">建设数据中心机房（VPN安全设备）采购 </w:t>
      </w:r>
      <w:r>
        <w:rPr>
          <w:rFonts w:hint="eastAsia" w:ascii="宋体" w:hAnsi="宋体" w:cs="宋体"/>
          <w:sz w:val="24"/>
        </w:rPr>
        <w:t>，如需进一步了解，详见采购文件。</w:t>
      </w:r>
    </w:p>
    <w:p>
      <w:pPr>
        <w:adjustRightInd w:val="0"/>
        <w:snapToGrid w:val="0"/>
        <w:spacing w:line="540" w:lineRule="exact"/>
        <w:rPr>
          <w:rFonts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合同履行期限：</w:t>
      </w:r>
      <w:r>
        <w:rPr>
          <w:rFonts w:hint="eastAsia" w:ascii="宋体" w:hAnsi="宋体" w:cs="宋体"/>
          <w:color w:val="auto"/>
          <w:sz w:val="24"/>
          <w:highlight w:val="none"/>
          <w:shd w:val="clear" w:color="auto" w:fill="auto"/>
          <w:lang w:bidi="ar"/>
        </w:rPr>
        <w:t>自签订合同之日起45天内交货并安装调试完毕。</w:t>
      </w:r>
    </w:p>
    <w:p>
      <w:pPr>
        <w:adjustRightInd w:val="0"/>
        <w:snapToGrid w:val="0"/>
        <w:spacing w:line="540" w:lineRule="exact"/>
        <w:rPr>
          <w:rFonts w:ascii="宋体" w:hAnsi="宋体" w:cs="宋体"/>
          <w:sz w:val="24"/>
        </w:rPr>
      </w:pPr>
      <w:r>
        <w:rPr>
          <w:rFonts w:hint="eastAsia" w:ascii="宋体" w:hAnsi="宋体" w:cs="宋体"/>
          <w:sz w:val="24"/>
        </w:rPr>
        <w:t>本项目（否）接受联合体</w:t>
      </w:r>
    </w:p>
    <w:p>
      <w:pPr>
        <w:pStyle w:val="4"/>
        <w:numPr>
          <w:ilvl w:val="0"/>
          <w:numId w:val="1"/>
        </w:numPr>
        <w:spacing w:before="0" w:after="0" w:line="540" w:lineRule="exact"/>
        <w:rPr>
          <w:rFonts w:ascii="宋体" w:hAnsi="宋体" w:cs="宋体"/>
          <w:sz w:val="24"/>
        </w:rPr>
      </w:pPr>
      <w:bookmarkStart w:id="12" w:name="_Toc35393630"/>
      <w:bookmarkStart w:id="13" w:name="_Toc35393799"/>
      <w:bookmarkStart w:id="14" w:name="_Toc28359013"/>
      <w:bookmarkStart w:id="15" w:name="_Toc28359090"/>
      <w:r>
        <w:rPr>
          <w:rFonts w:hint="eastAsia" w:ascii="宋体" w:hAnsi="宋体" w:cs="宋体"/>
          <w:sz w:val="24"/>
        </w:rPr>
        <w:t>供应商的资格条件</w:t>
      </w:r>
      <w:bookmarkEnd w:id="12"/>
      <w:bookmarkEnd w:id="13"/>
      <w:bookmarkEnd w:id="14"/>
      <w:bookmarkEnd w:id="15"/>
    </w:p>
    <w:p>
      <w:pPr>
        <w:numPr>
          <w:ilvl w:val="0"/>
          <w:numId w:val="2"/>
        </w:numPr>
        <w:adjustRightInd w:val="0"/>
        <w:snapToGrid w:val="0"/>
        <w:spacing w:line="540" w:lineRule="exact"/>
        <w:rPr>
          <w:rFonts w:ascii="宋体" w:hAnsi="宋体" w:cs="宋体"/>
          <w:sz w:val="24"/>
        </w:rPr>
      </w:pPr>
      <w:bookmarkStart w:id="16" w:name="_Toc28359091"/>
      <w:bookmarkStart w:id="17" w:name="_Toc28359014"/>
      <w:r>
        <w:rPr>
          <w:rFonts w:hint="eastAsia" w:ascii="宋体" w:hAnsi="宋体" w:cs="宋体"/>
          <w:sz w:val="24"/>
        </w:rPr>
        <w:t>满足《中华人民共和国政府采购法》第二十二条规定；</w:t>
      </w:r>
    </w:p>
    <w:p>
      <w:pPr>
        <w:numPr>
          <w:ilvl w:val="0"/>
          <w:numId w:val="2"/>
        </w:numPr>
        <w:adjustRightInd w:val="0"/>
        <w:snapToGrid w:val="0"/>
        <w:spacing w:line="540" w:lineRule="exact"/>
        <w:rPr>
          <w:rFonts w:ascii="宋体" w:hAnsi="宋体" w:cs="宋体"/>
          <w:sz w:val="24"/>
        </w:rPr>
      </w:pPr>
      <w:r>
        <w:rPr>
          <w:rFonts w:hint="eastAsia" w:ascii="宋体" w:hAnsi="宋体" w:cs="宋体"/>
          <w:sz w:val="24"/>
        </w:rPr>
        <w:t>落实政府采购政策需满足的资格要求：不专门面向中小企业采购；</w:t>
      </w:r>
    </w:p>
    <w:p>
      <w:pPr>
        <w:numPr>
          <w:ilvl w:val="0"/>
          <w:numId w:val="2"/>
        </w:numPr>
        <w:adjustRightInd w:val="0"/>
        <w:snapToGrid w:val="0"/>
        <w:spacing w:line="540" w:lineRule="exact"/>
        <w:rPr>
          <w:rFonts w:ascii="宋体" w:hAnsi="宋体" w:cs="宋体"/>
          <w:sz w:val="24"/>
          <w:u w:val="single"/>
        </w:rPr>
      </w:pPr>
      <w:r>
        <w:rPr>
          <w:rFonts w:hint="eastAsia" w:ascii="宋体" w:hAnsi="宋体" w:cs="宋体"/>
          <w:sz w:val="24"/>
        </w:rPr>
        <w:t>本项目的特定资格要求：否</w:t>
      </w:r>
    </w:p>
    <w:p>
      <w:pPr>
        <w:numPr>
          <w:ilvl w:val="0"/>
          <w:numId w:val="2"/>
        </w:numPr>
        <w:adjustRightInd w:val="0"/>
        <w:snapToGrid w:val="0"/>
        <w:spacing w:line="540" w:lineRule="exact"/>
        <w:rPr>
          <w:rFonts w:ascii="宋体" w:hAnsi="宋体" w:cs="宋体"/>
          <w:sz w:val="24"/>
        </w:rPr>
      </w:pPr>
      <w:r>
        <w:rPr>
          <w:rFonts w:hint="eastAsia" w:ascii="宋体" w:hAnsi="宋体" w:cs="宋体"/>
          <w:sz w:val="24"/>
        </w:rPr>
        <w:t>本项目的特定条件：否</w:t>
      </w:r>
    </w:p>
    <w:p>
      <w:pPr>
        <w:pStyle w:val="4"/>
        <w:numPr>
          <w:ilvl w:val="0"/>
          <w:numId w:val="1"/>
        </w:numPr>
        <w:spacing w:before="0" w:after="0" w:line="540" w:lineRule="exact"/>
        <w:rPr>
          <w:rFonts w:ascii="宋体" w:hAnsi="宋体" w:cs="宋体"/>
          <w:sz w:val="24"/>
        </w:rPr>
      </w:pPr>
      <w:bookmarkStart w:id="18" w:name="_Toc35393631"/>
      <w:bookmarkStart w:id="19" w:name="_Toc35393800"/>
      <w:r>
        <w:rPr>
          <w:rFonts w:hint="eastAsia" w:ascii="宋体" w:hAnsi="宋体" w:cs="宋体"/>
          <w:sz w:val="24"/>
        </w:rPr>
        <w:t>获取竞争性谈判文件</w:t>
      </w:r>
      <w:bookmarkEnd w:id="16"/>
      <w:bookmarkEnd w:id="17"/>
      <w:bookmarkEnd w:id="18"/>
      <w:bookmarkEnd w:id="19"/>
    </w:p>
    <w:p>
      <w:pPr>
        <w:adjustRightInd w:val="0"/>
        <w:snapToGrid w:val="0"/>
        <w:spacing w:line="540" w:lineRule="exact"/>
        <w:rPr>
          <w:rFonts w:ascii="宋体" w:hAnsi="宋体" w:cs="宋体"/>
          <w:bCs/>
          <w:kern w:val="0"/>
          <w:sz w:val="24"/>
        </w:rPr>
      </w:pPr>
      <w:r>
        <w:rPr>
          <w:rFonts w:hint="eastAsia" w:ascii="宋体" w:hAnsi="宋体" w:cs="宋体"/>
          <w:b/>
          <w:kern w:val="0"/>
          <w:sz w:val="24"/>
        </w:rPr>
        <w:t>时间：2024年</w:t>
      </w:r>
      <w:r>
        <w:rPr>
          <w:rFonts w:hint="eastAsia" w:ascii="宋体" w:hAnsi="宋体" w:cs="宋体"/>
          <w:b/>
          <w:kern w:val="0"/>
          <w:sz w:val="24"/>
          <w:lang w:val="en-US" w:eastAsia="zh-CN"/>
        </w:rPr>
        <w:t>4</w:t>
      </w:r>
      <w:r>
        <w:rPr>
          <w:rFonts w:hint="eastAsia" w:ascii="宋体" w:hAnsi="宋体" w:cs="宋体"/>
          <w:b/>
          <w:kern w:val="0"/>
          <w:sz w:val="24"/>
        </w:rPr>
        <w:t>月</w:t>
      </w:r>
      <w:r>
        <w:rPr>
          <w:rFonts w:hint="eastAsia" w:ascii="宋体" w:hAnsi="宋体" w:cs="宋体"/>
          <w:b/>
          <w:kern w:val="0"/>
          <w:sz w:val="24"/>
          <w:lang w:val="en-US" w:eastAsia="zh-CN"/>
        </w:rPr>
        <w:t>11</w:t>
      </w:r>
      <w:r>
        <w:rPr>
          <w:rFonts w:hint="eastAsia" w:ascii="宋体" w:hAnsi="宋体" w:cs="宋体"/>
          <w:b/>
          <w:kern w:val="0"/>
          <w:sz w:val="24"/>
        </w:rPr>
        <w:t>日至2024年</w:t>
      </w:r>
      <w:r>
        <w:rPr>
          <w:rFonts w:hint="eastAsia" w:ascii="宋体" w:hAnsi="宋体" w:cs="宋体"/>
          <w:b/>
          <w:kern w:val="0"/>
          <w:sz w:val="24"/>
          <w:lang w:val="en-US" w:eastAsia="zh-CN"/>
        </w:rPr>
        <w:t xml:space="preserve">4 </w:t>
      </w:r>
      <w:r>
        <w:rPr>
          <w:rFonts w:hint="eastAsia" w:ascii="宋体" w:hAnsi="宋体" w:cs="宋体"/>
          <w:b/>
          <w:kern w:val="0"/>
          <w:sz w:val="24"/>
        </w:rPr>
        <w:t>月</w:t>
      </w:r>
      <w:r>
        <w:rPr>
          <w:rFonts w:hint="eastAsia" w:ascii="宋体" w:hAnsi="宋体" w:cs="宋体"/>
          <w:b/>
          <w:kern w:val="0"/>
          <w:sz w:val="24"/>
          <w:lang w:val="en-US" w:eastAsia="zh-CN"/>
        </w:rPr>
        <w:t>17</w:t>
      </w:r>
      <w:r>
        <w:rPr>
          <w:rFonts w:hint="eastAsia" w:ascii="宋体" w:hAnsi="宋体" w:cs="宋体"/>
          <w:b/>
          <w:kern w:val="0"/>
          <w:sz w:val="24"/>
        </w:rPr>
        <w:t>日，每天上午8：00至12：00，下午15：00至18：00</w:t>
      </w:r>
      <w:r>
        <w:rPr>
          <w:rFonts w:hint="eastAsia" w:ascii="宋体" w:hAnsi="宋体" w:cs="宋体"/>
          <w:bCs/>
          <w:kern w:val="0"/>
          <w:sz w:val="24"/>
        </w:rPr>
        <w:t>（北京时间，法定节假日除外）</w:t>
      </w:r>
    </w:p>
    <w:p>
      <w:pPr>
        <w:adjustRightInd w:val="0"/>
        <w:snapToGrid w:val="0"/>
        <w:spacing w:line="540" w:lineRule="exact"/>
        <w:rPr>
          <w:rFonts w:ascii="宋体" w:hAnsi="宋体" w:cs="宋体"/>
          <w:bCs/>
          <w:kern w:val="0"/>
          <w:sz w:val="24"/>
        </w:rPr>
      </w:pPr>
      <w:r>
        <w:rPr>
          <w:rFonts w:hint="eastAsia" w:ascii="宋体" w:hAnsi="宋体" w:cs="宋体"/>
          <w:b/>
          <w:kern w:val="0"/>
          <w:sz w:val="24"/>
        </w:rPr>
        <w:t>地点：</w:t>
      </w:r>
      <w:r>
        <w:rPr>
          <w:rFonts w:hint="eastAsia" w:ascii="宋体" w:hAnsi="宋体" w:cs="宋体"/>
          <w:b w:val="0"/>
          <w:bCs/>
          <w:sz w:val="24"/>
        </w:rPr>
        <w:t>广西政府采购云平台</w:t>
      </w:r>
      <w:r>
        <w:rPr>
          <w:rFonts w:hint="eastAsia" w:ascii="宋体" w:hAnsi="宋体" w:cs="宋体"/>
          <w:bCs/>
          <w:sz w:val="24"/>
        </w:rPr>
        <w:t>线上获取</w:t>
      </w:r>
    </w:p>
    <w:p>
      <w:pPr>
        <w:wordWrap w:val="0"/>
        <w:topLinePunct/>
        <w:adjustRightInd w:val="0"/>
        <w:snapToGrid w:val="0"/>
        <w:spacing w:line="540" w:lineRule="exact"/>
        <w:rPr>
          <w:rFonts w:ascii="宋体" w:hAnsi="宋体" w:cs="宋体"/>
          <w:bCs/>
          <w:kern w:val="0"/>
          <w:sz w:val="24"/>
        </w:rPr>
      </w:pPr>
      <w:r>
        <w:rPr>
          <w:rFonts w:hint="eastAsia" w:ascii="宋体" w:hAnsi="宋体" w:cs="宋体"/>
          <w:b/>
          <w:kern w:val="0"/>
          <w:sz w:val="24"/>
        </w:rPr>
        <w:t>方式：</w:t>
      </w:r>
      <w:r>
        <w:rPr>
          <w:rFonts w:hint="eastAsia" w:ascii="宋体" w:hAnsi="宋体" w:cs="宋体"/>
          <w:bCs/>
          <w:kern w:val="0"/>
          <w:sz w:val="24"/>
        </w:rPr>
        <w:t>供应商登录</w:t>
      </w:r>
      <w:r>
        <w:rPr>
          <w:rFonts w:hint="eastAsia" w:ascii="宋体" w:hAnsi="宋体" w:cs="宋体"/>
          <w:b/>
          <w:bCs/>
          <w:kern w:val="0"/>
          <w:sz w:val="24"/>
        </w:rPr>
        <w:t>广西政府采购云平台</w:t>
      </w:r>
      <w:r>
        <w:rPr>
          <w:rStyle w:val="27"/>
          <w:rFonts w:hint="eastAsia" w:ascii="宋体" w:hAnsi="宋体" w:cs="宋体"/>
          <w:color w:val="000000"/>
          <w:sz w:val="24"/>
        </w:rPr>
        <w:t>https://www.gcy.zfcg.gxzf.gov.cn/</w:t>
      </w:r>
      <w:r>
        <w:rPr>
          <w:rFonts w:hint="eastAsia" w:ascii="宋体" w:hAnsi="宋体" w:cs="宋体"/>
          <w:bCs/>
          <w:kern w:val="0"/>
          <w:sz w:val="24"/>
        </w:rPr>
        <w:t>在线申请获取采购文件（进入“项目采购”应用，在获取采购文件菜单中选择项目，申请获取采购文件）。</w:t>
      </w:r>
    </w:p>
    <w:p>
      <w:pPr>
        <w:adjustRightInd w:val="0"/>
        <w:snapToGrid w:val="0"/>
        <w:spacing w:line="540" w:lineRule="exact"/>
        <w:rPr>
          <w:rFonts w:ascii="宋体" w:hAnsi="宋体" w:cs="宋体"/>
          <w:bCs/>
          <w:sz w:val="24"/>
        </w:rPr>
      </w:pPr>
      <w:r>
        <w:rPr>
          <w:rFonts w:hint="eastAsia" w:ascii="宋体" w:hAnsi="宋体" w:cs="宋体"/>
          <w:b/>
          <w:kern w:val="0"/>
          <w:sz w:val="24"/>
        </w:rPr>
        <w:t>售价：</w:t>
      </w:r>
      <w:r>
        <w:rPr>
          <w:rFonts w:hint="eastAsia" w:ascii="宋体" w:hAnsi="宋体" w:cs="宋体"/>
          <w:bCs/>
          <w:kern w:val="0"/>
          <w:sz w:val="24"/>
        </w:rPr>
        <w:t>0元</w:t>
      </w:r>
    </w:p>
    <w:p>
      <w:pPr>
        <w:pStyle w:val="4"/>
        <w:numPr>
          <w:ilvl w:val="0"/>
          <w:numId w:val="1"/>
        </w:numPr>
        <w:spacing w:before="0" w:after="0" w:line="540" w:lineRule="exact"/>
        <w:rPr>
          <w:rFonts w:ascii="宋体" w:hAnsi="宋体" w:cs="宋体"/>
          <w:sz w:val="24"/>
        </w:rPr>
      </w:pPr>
      <w:bookmarkStart w:id="20" w:name="_Toc28359092"/>
      <w:bookmarkStart w:id="21" w:name="_Toc35393801"/>
      <w:bookmarkStart w:id="22" w:name="_Toc35393632"/>
      <w:bookmarkStart w:id="23" w:name="_Toc28359015"/>
      <w:r>
        <w:rPr>
          <w:rFonts w:hint="eastAsia" w:ascii="宋体" w:hAnsi="宋体" w:cs="宋体"/>
          <w:sz w:val="24"/>
        </w:rPr>
        <w:t>响应文件提交</w:t>
      </w:r>
      <w:bookmarkEnd w:id="20"/>
      <w:bookmarkEnd w:id="21"/>
      <w:bookmarkEnd w:id="22"/>
      <w:bookmarkEnd w:id="23"/>
    </w:p>
    <w:p>
      <w:pPr>
        <w:adjustRightInd w:val="0"/>
        <w:snapToGrid w:val="0"/>
        <w:spacing w:line="540" w:lineRule="exact"/>
        <w:rPr>
          <w:rFonts w:ascii="宋体" w:hAnsi="宋体" w:cs="宋体"/>
          <w:b/>
          <w:kern w:val="0"/>
          <w:sz w:val="24"/>
        </w:rPr>
      </w:pPr>
      <w:r>
        <w:rPr>
          <w:rFonts w:hint="eastAsia" w:ascii="宋体" w:hAnsi="宋体" w:cs="宋体"/>
          <w:b/>
          <w:kern w:val="0"/>
          <w:sz w:val="24"/>
        </w:rPr>
        <w:t>截止时间：2024年</w:t>
      </w:r>
      <w:r>
        <w:rPr>
          <w:rFonts w:hint="eastAsia" w:ascii="宋体" w:hAnsi="宋体" w:cs="宋体"/>
          <w:b/>
          <w:kern w:val="0"/>
          <w:sz w:val="24"/>
          <w:lang w:val="en-US" w:eastAsia="zh-CN"/>
        </w:rPr>
        <w:t>4</w:t>
      </w:r>
      <w:r>
        <w:rPr>
          <w:rFonts w:hint="eastAsia" w:ascii="宋体" w:hAnsi="宋体" w:cs="宋体"/>
          <w:b/>
          <w:kern w:val="0"/>
          <w:sz w:val="24"/>
        </w:rPr>
        <w:t>月</w:t>
      </w:r>
      <w:r>
        <w:rPr>
          <w:rFonts w:hint="eastAsia" w:ascii="宋体" w:hAnsi="宋体" w:cs="宋体"/>
          <w:b/>
          <w:kern w:val="0"/>
          <w:sz w:val="24"/>
          <w:lang w:val="en-US" w:eastAsia="zh-CN"/>
        </w:rPr>
        <w:t>19</w:t>
      </w:r>
      <w:r>
        <w:rPr>
          <w:rFonts w:hint="eastAsia" w:ascii="宋体" w:hAnsi="宋体" w:cs="宋体"/>
          <w:b/>
          <w:kern w:val="0"/>
          <w:sz w:val="24"/>
        </w:rPr>
        <w:t>日</w:t>
      </w:r>
      <w:r>
        <w:rPr>
          <w:rFonts w:hint="eastAsia" w:ascii="宋体" w:hAnsi="宋体" w:cs="宋体"/>
          <w:b/>
          <w:kern w:val="0"/>
          <w:sz w:val="24"/>
          <w:lang w:val="en-US" w:eastAsia="zh-CN"/>
        </w:rPr>
        <w:t>9</w:t>
      </w:r>
      <w:r>
        <w:rPr>
          <w:rFonts w:hint="eastAsia" w:ascii="宋体" w:hAnsi="宋体" w:cs="宋体"/>
          <w:b/>
          <w:kern w:val="0"/>
          <w:sz w:val="24"/>
        </w:rPr>
        <w:t>点</w:t>
      </w:r>
      <w:r>
        <w:rPr>
          <w:rFonts w:hint="eastAsia" w:ascii="宋体" w:hAnsi="宋体" w:cs="宋体"/>
          <w:b/>
          <w:kern w:val="0"/>
          <w:sz w:val="24"/>
          <w:lang w:val="en-US" w:eastAsia="zh-CN"/>
        </w:rPr>
        <w:t>30</w:t>
      </w:r>
      <w:r>
        <w:rPr>
          <w:rFonts w:hint="eastAsia" w:ascii="宋体" w:hAnsi="宋体" w:cs="宋体"/>
          <w:b/>
          <w:kern w:val="0"/>
          <w:sz w:val="24"/>
        </w:rPr>
        <w:t>分（北京时间）</w:t>
      </w:r>
    </w:p>
    <w:p>
      <w:pPr>
        <w:adjustRightInd w:val="0"/>
        <w:snapToGrid w:val="0"/>
        <w:spacing w:line="540" w:lineRule="exact"/>
        <w:rPr>
          <w:rFonts w:ascii="宋体" w:hAnsi="宋体" w:cs="宋体"/>
          <w:bCs/>
          <w:kern w:val="0"/>
          <w:sz w:val="24"/>
        </w:rPr>
      </w:pPr>
      <w:r>
        <w:rPr>
          <w:rFonts w:hint="eastAsia" w:ascii="宋体" w:hAnsi="宋体" w:cs="宋体"/>
          <w:b/>
          <w:kern w:val="0"/>
          <w:sz w:val="24"/>
        </w:rPr>
        <w:t>地点（网址）：</w:t>
      </w:r>
      <w:r>
        <w:rPr>
          <w:rFonts w:hint="eastAsia" w:ascii="宋体" w:hAnsi="宋体" w:cs="宋体"/>
          <w:bCs/>
          <w:kern w:val="0"/>
          <w:sz w:val="24"/>
        </w:rPr>
        <w:t>请登录广西政府采购云平台投标客户端投标</w:t>
      </w:r>
    </w:p>
    <w:p>
      <w:pPr>
        <w:pStyle w:val="4"/>
        <w:numPr>
          <w:ilvl w:val="0"/>
          <w:numId w:val="1"/>
        </w:numPr>
        <w:spacing w:before="0" w:after="0" w:line="540" w:lineRule="exact"/>
        <w:rPr>
          <w:rFonts w:ascii="宋体" w:hAnsi="宋体" w:cs="宋体"/>
          <w:sz w:val="24"/>
        </w:rPr>
      </w:pPr>
      <w:bookmarkStart w:id="24" w:name="_Toc28359016"/>
      <w:bookmarkStart w:id="25" w:name="_Toc35393633"/>
      <w:bookmarkStart w:id="26" w:name="_Toc28359093"/>
      <w:bookmarkStart w:id="27" w:name="_Toc35393802"/>
      <w:r>
        <w:rPr>
          <w:rFonts w:hint="eastAsia" w:ascii="宋体" w:hAnsi="宋体" w:cs="宋体"/>
          <w:sz w:val="24"/>
        </w:rPr>
        <w:t>开启</w:t>
      </w:r>
      <w:bookmarkEnd w:id="24"/>
      <w:bookmarkEnd w:id="25"/>
      <w:bookmarkEnd w:id="26"/>
      <w:bookmarkEnd w:id="27"/>
    </w:p>
    <w:p>
      <w:pPr>
        <w:adjustRightInd w:val="0"/>
        <w:snapToGrid w:val="0"/>
        <w:spacing w:line="540" w:lineRule="exact"/>
        <w:rPr>
          <w:rFonts w:ascii="宋体" w:hAnsi="宋体" w:cs="宋体"/>
          <w:bCs/>
          <w:kern w:val="0"/>
          <w:sz w:val="24"/>
        </w:rPr>
      </w:pPr>
      <w:r>
        <w:rPr>
          <w:rFonts w:hint="eastAsia" w:ascii="宋体" w:hAnsi="宋体" w:cs="宋体"/>
          <w:b/>
          <w:kern w:val="0"/>
          <w:sz w:val="24"/>
        </w:rPr>
        <w:t>时间：2024年</w:t>
      </w:r>
      <w:r>
        <w:rPr>
          <w:rFonts w:hint="eastAsia" w:ascii="宋体" w:hAnsi="宋体" w:cs="宋体"/>
          <w:b/>
          <w:kern w:val="0"/>
          <w:sz w:val="24"/>
          <w:lang w:val="en-US" w:eastAsia="zh-CN"/>
        </w:rPr>
        <w:t>4</w:t>
      </w:r>
      <w:r>
        <w:rPr>
          <w:rFonts w:hint="eastAsia" w:ascii="宋体" w:hAnsi="宋体" w:cs="宋体"/>
          <w:b/>
          <w:kern w:val="0"/>
          <w:sz w:val="24"/>
        </w:rPr>
        <w:t>月</w:t>
      </w:r>
      <w:r>
        <w:rPr>
          <w:rFonts w:hint="eastAsia" w:ascii="宋体" w:hAnsi="宋体" w:cs="宋体"/>
          <w:b/>
          <w:kern w:val="0"/>
          <w:sz w:val="24"/>
          <w:lang w:val="en-US" w:eastAsia="zh-CN"/>
        </w:rPr>
        <w:t>19</w:t>
      </w:r>
      <w:r>
        <w:rPr>
          <w:rFonts w:hint="eastAsia" w:ascii="宋体" w:hAnsi="宋体" w:cs="宋体"/>
          <w:b/>
          <w:kern w:val="0"/>
          <w:sz w:val="24"/>
        </w:rPr>
        <w:t>日</w:t>
      </w:r>
      <w:r>
        <w:rPr>
          <w:rFonts w:hint="eastAsia" w:ascii="宋体" w:hAnsi="宋体" w:cs="宋体"/>
          <w:b/>
          <w:kern w:val="0"/>
          <w:sz w:val="24"/>
          <w:lang w:val="en-US" w:eastAsia="zh-CN"/>
        </w:rPr>
        <w:t>9</w:t>
      </w:r>
      <w:r>
        <w:rPr>
          <w:rFonts w:hint="eastAsia" w:ascii="宋体" w:hAnsi="宋体" w:cs="宋体"/>
          <w:b/>
          <w:kern w:val="0"/>
          <w:sz w:val="24"/>
        </w:rPr>
        <w:t>时</w:t>
      </w:r>
      <w:r>
        <w:rPr>
          <w:rFonts w:hint="eastAsia" w:ascii="宋体" w:hAnsi="宋体" w:cs="宋体"/>
          <w:b/>
          <w:kern w:val="0"/>
          <w:sz w:val="24"/>
          <w:lang w:val="en-US" w:eastAsia="zh-CN"/>
        </w:rPr>
        <w:t>30</w:t>
      </w:r>
      <w:r>
        <w:rPr>
          <w:rFonts w:hint="eastAsia" w:ascii="宋体" w:hAnsi="宋体" w:cs="宋体"/>
          <w:b/>
          <w:kern w:val="0"/>
          <w:sz w:val="24"/>
        </w:rPr>
        <w:t>分（北京时间）</w:t>
      </w:r>
    </w:p>
    <w:p>
      <w:pPr>
        <w:wordWrap w:val="0"/>
        <w:topLinePunct/>
        <w:adjustRightInd w:val="0"/>
        <w:snapToGrid w:val="0"/>
        <w:spacing w:line="540" w:lineRule="exact"/>
        <w:rPr>
          <w:rFonts w:ascii="宋体" w:hAnsi="宋体" w:cs="宋体"/>
          <w:bCs/>
          <w:kern w:val="0"/>
          <w:sz w:val="24"/>
          <w:highlight w:val="none"/>
        </w:rPr>
      </w:pPr>
      <w:r>
        <w:rPr>
          <w:rFonts w:hint="eastAsia" w:ascii="宋体" w:hAnsi="宋体" w:cs="宋体"/>
          <w:b/>
          <w:kern w:val="0"/>
          <w:sz w:val="24"/>
        </w:rPr>
        <w:t>地点：</w:t>
      </w:r>
      <w:r>
        <w:rPr>
          <w:rFonts w:hint="eastAsia" w:ascii="宋体" w:hAnsi="宋体" w:cs="宋体"/>
          <w:sz w:val="24"/>
          <w:highlight w:val="none"/>
        </w:rPr>
        <w:t>广西政府采购云平台</w:t>
      </w:r>
      <w:r>
        <w:rPr>
          <w:rFonts w:hint="eastAsia" w:ascii="宋体" w:hAnsi="宋体" w:cs="宋体"/>
          <w:bCs/>
          <w:sz w:val="24"/>
          <w:highlight w:val="none"/>
        </w:rPr>
        <w:t>【</w:t>
      </w:r>
      <w:r>
        <w:rPr>
          <w:rFonts w:hint="eastAsia" w:ascii="宋体" w:hAnsi="宋体" w:cs="宋体"/>
          <w:sz w:val="24"/>
          <w:highlight w:val="none"/>
        </w:rPr>
        <w:t>本项目采用远程异地全流程电子评标。主会场地址：崇左市城南新区石景林路东段政务服务中心综合楼5楼崇左市公共资源交易中心；分会场地址：</w:t>
      </w:r>
      <w:r>
        <w:rPr>
          <w:rFonts w:hint="eastAsia" w:ascii="宋体" w:hAnsi="宋体" w:eastAsia="宋体" w:cs="宋体"/>
          <w:i w:val="0"/>
          <w:iCs w:val="0"/>
          <w:caps w:val="0"/>
          <w:spacing w:val="0"/>
          <w:sz w:val="24"/>
          <w:szCs w:val="24"/>
          <w:highlight w:val="none"/>
          <w:shd w:val="clear"/>
        </w:rPr>
        <w:t>广西壮族自治区北海市海城区北海大道110号</w:t>
      </w:r>
      <w:r>
        <w:rPr>
          <w:rFonts w:hint="eastAsia" w:ascii="宋体" w:hAnsi="宋体" w:cs="宋体"/>
          <w:sz w:val="24"/>
          <w:highlight w:val="none"/>
        </w:rPr>
        <w:t>北海市政府采购中心</w:t>
      </w:r>
      <w:r>
        <w:rPr>
          <w:rFonts w:hint="eastAsia" w:ascii="宋体" w:hAnsi="宋体" w:cs="宋体"/>
          <w:sz w:val="24"/>
          <w:highlight w:val="none"/>
          <w:lang w:eastAsia="zh-CN"/>
        </w:rPr>
        <w:t>。</w:t>
      </w:r>
      <w:r>
        <w:rPr>
          <w:rFonts w:hint="eastAsia" w:ascii="宋体" w:hAnsi="宋体" w:cs="宋体"/>
          <w:sz w:val="24"/>
          <w:highlight w:val="none"/>
        </w:rPr>
        <w:t>】</w:t>
      </w:r>
    </w:p>
    <w:p>
      <w:pPr>
        <w:pStyle w:val="4"/>
        <w:numPr>
          <w:ilvl w:val="0"/>
          <w:numId w:val="1"/>
        </w:numPr>
        <w:spacing w:before="0" w:after="0" w:line="540" w:lineRule="exact"/>
        <w:rPr>
          <w:rFonts w:ascii="宋体" w:hAnsi="宋体" w:cs="宋体"/>
          <w:sz w:val="24"/>
        </w:rPr>
      </w:pPr>
      <w:bookmarkStart w:id="28" w:name="_Toc28359017"/>
      <w:bookmarkStart w:id="29" w:name="_Toc28359094"/>
      <w:bookmarkStart w:id="30" w:name="_Toc35393634"/>
      <w:bookmarkStart w:id="31" w:name="_Toc35393803"/>
      <w:r>
        <w:rPr>
          <w:rFonts w:hint="eastAsia" w:ascii="宋体" w:hAnsi="宋体" w:cs="宋体"/>
          <w:sz w:val="24"/>
        </w:rPr>
        <w:t>公告期限</w:t>
      </w:r>
      <w:bookmarkEnd w:id="28"/>
      <w:bookmarkEnd w:id="29"/>
      <w:bookmarkEnd w:id="30"/>
      <w:bookmarkEnd w:id="31"/>
    </w:p>
    <w:p>
      <w:pPr>
        <w:adjustRightInd w:val="0"/>
        <w:snapToGrid w:val="0"/>
        <w:spacing w:line="540" w:lineRule="exact"/>
        <w:rPr>
          <w:rFonts w:ascii="宋体" w:hAnsi="宋体" w:cs="宋体"/>
          <w:bCs/>
          <w:kern w:val="0"/>
          <w:sz w:val="24"/>
        </w:rPr>
      </w:pPr>
      <w:r>
        <w:rPr>
          <w:rFonts w:hint="eastAsia" w:ascii="宋体" w:hAnsi="宋体" w:cs="宋体"/>
          <w:bCs/>
          <w:kern w:val="0"/>
          <w:sz w:val="24"/>
        </w:rPr>
        <w:t>自本公告发布之日起3个工作日。</w:t>
      </w:r>
    </w:p>
    <w:p>
      <w:pPr>
        <w:pStyle w:val="4"/>
        <w:numPr>
          <w:ilvl w:val="0"/>
          <w:numId w:val="1"/>
        </w:numPr>
        <w:spacing w:before="0" w:after="0" w:line="540" w:lineRule="exact"/>
        <w:rPr>
          <w:rFonts w:ascii="宋体" w:hAnsi="宋体" w:cs="宋体"/>
          <w:sz w:val="24"/>
        </w:rPr>
      </w:pPr>
      <w:bookmarkStart w:id="32" w:name="_Toc35393635"/>
      <w:bookmarkStart w:id="33" w:name="_Toc35393804"/>
      <w:r>
        <w:rPr>
          <w:rFonts w:hint="eastAsia" w:ascii="宋体" w:hAnsi="宋体" w:cs="宋体"/>
          <w:sz w:val="24"/>
        </w:rPr>
        <w:t>其他补充事宜</w:t>
      </w:r>
      <w:bookmarkEnd w:id="32"/>
      <w:bookmarkEnd w:id="33"/>
    </w:p>
    <w:p>
      <w:pPr>
        <w:numPr>
          <w:ilvl w:val="0"/>
          <w:numId w:val="3"/>
        </w:numPr>
        <w:adjustRightInd w:val="0"/>
        <w:snapToGrid w:val="0"/>
        <w:spacing w:line="540" w:lineRule="exact"/>
        <w:ind w:left="0" w:firstLine="0"/>
        <w:rPr>
          <w:rFonts w:ascii="宋体" w:hAnsi="宋体" w:cs="宋体"/>
          <w:kern w:val="0"/>
          <w:sz w:val="24"/>
        </w:rPr>
      </w:pPr>
      <w:r>
        <w:rPr>
          <w:rFonts w:hint="eastAsia" w:ascii="宋体" w:hAnsi="宋体" w:cs="宋体"/>
          <w:b/>
          <w:bCs/>
          <w:kern w:val="0"/>
          <w:sz w:val="24"/>
        </w:rPr>
        <w:t>政采贷：如成交供应商需要办理“政采贷”业务，按《崇左市财政局关于进一步做好线上“政采贷”融资业务工作的通知》崇财采〔2023〕10号执行。（具体详见采购文件“政采贷”相关信息）</w:t>
      </w:r>
    </w:p>
    <w:p>
      <w:pPr>
        <w:numPr>
          <w:ilvl w:val="0"/>
          <w:numId w:val="3"/>
        </w:numPr>
        <w:adjustRightInd w:val="0"/>
        <w:snapToGrid w:val="0"/>
        <w:spacing w:line="540" w:lineRule="exact"/>
        <w:ind w:left="0" w:firstLine="0"/>
        <w:rPr>
          <w:rFonts w:ascii="宋体" w:hAnsi="宋体" w:cs="宋体"/>
          <w:kern w:val="0"/>
          <w:sz w:val="24"/>
        </w:rPr>
      </w:pPr>
      <w:r>
        <w:rPr>
          <w:rFonts w:hint="eastAsia" w:ascii="宋体" w:hAnsi="宋体" w:cs="宋体"/>
          <w:kern w:val="0"/>
          <w:sz w:val="24"/>
        </w:rPr>
        <w:t>竞标保证金：0元</w:t>
      </w:r>
    </w:p>
    <w:p>
      <w:pPr>
        <w:adjustRightInd w:val="0"/>
        <w:snapToGrid w:val="0"/>
        <w:spacing w:line="540" w:lineRule="exact"/>
        <w:rPr>
          <w:rFonts w:ascii="宋体" w:hAnsi="宋体" w:cs="宋体"/>
          <w:kern w:val="0"/>
          <w:sz w:val="24"/>
        </w:rPr>
      </w:pPr>
      <w:r>
        <w:rPr>
          <w:rFonts w:hint="eastAsia" w:ascii="宋体" w:hAnsi="宋体" w:cs="宋体"/>
          <w:kern w:val="0"/>
          <w:sz w:val="24"/>
        </w:rPr>
        <w:t>网上查询网址：中国政府采购网、广西壮族自治区政府采购网、全国公共资源交易平台（广西•崇左）</w:t>
      </w:r>
    </w:p>
    <w:p>
      <w:pPr>
        <w:numPr>
          <w:ilvl w:val="0"/>
          <w:numId w:val="3"/>
        </w:numPr>
        <w:adjustRightInd w:val="0"/>
        <w:snapToGrid w:val="0"/>
        <w:spacing w:line="540" w:lineRule="exact"/>
        <w:ind w:left="0" w:firstLine="0"/>
        <w:rPr>
          <w:rFonts w:ascii="宋体" w:hAnsi="宋体" w:cs="宋体"/>
          <w:kern w:val="0"/>
          <w:sz w:val="24"/>
        </w:rPr>
      </w:pPr>
      <w:r>
        <w:rPr>
          <w:rFonts w:hint="eastAsia" w:ascii="宋体" w:hAnsi="宋体" w:cs="宋体"/>
          <w:kern w:val="0"/>
          <w:sz w:val="24"/>
        </w:rPr>
        <w:t>本项目需要落实的政府采购政策</w:t>
      </w:r>
    </w:p>
    <w:p>
      <w:pPr>
        <w:numPr>
          <w:ilvl w:val="0"/>
          <w:numId w:val="4"/>
        </w:numPr>
        <w:adjustRightInd w:val="0"/>
        <w:snapToGrid w:val="0"/>
        <w:spacing w:line="540" w:lineRule="exact"/>
        <w:rPr>
          <w:rFonts w:ascii="宋体" w:hAnsi="宋体" w:cs="宋体"/>
          <w:kern w:val="0"/>
          <w:sz w:val="24"/>
        </w:rPr>
      </w:pPr>
      <w:r>
        <w:rPr>
          <w:rFonts w:hint="eastAsia" w:ascii="宋体" w:hAnsi="宋体" w:cs="宋体"/>
          <w:kern w:val="0"/>
          <w:sz w:val="24"/>
        </w:rPr>
        <w:t>政府采购促进中小企业发展。</w:t>
      </w:r>
    </w:p>
    <w:p>
      <w:pPr>
        <w:numPr>
          <w:ilvl w:val="0"/>
          <w:numId w:val="4"/>
        </w:numPr>
        <w:adjustRightInd w:val="0"/>
        <w:snapToGrid w:val="0"/>
        <w:spacing w:line="540" w:lineRule="exact"/>
        <w:rPr>
          <w:rFonts w:ascii="宋体" w:hAnsi="宋体" w:cs="宋体"/>
          <w:kern w:val="0"/>
          <w:sz w:val="24"/>
        </w:rPr>
      </w:pPr>
      <w:r>
        <w:rPr>
          <w:rFonts w:hint="eastAsia" w:ascii="宋体" w:hAnsi="宋体" w:cs="宋体"/>
          <w:kern w:val="0"/>
          <w:sz w:val="24"/>
        </w:rPr>
        <w:t>政府采购支持采用本国产品的政策。</w:t>
      </w:r>
    </w:p>
    <w:p>
      <w:pPr>
        <w:numPr>
          <w:ilvl w:val="0"/>
          <w:numId w:val="4"/>
        </w:numPr>
        <w:adjustRightInd w:val="0"/>
        <w:snapToGrid w:val="0"/>
        <w:spacing w:line="540" w:lineRule="exact"/>
        <w:rPr>
          <w:rFonts w:ascii="宋体" w:hAnsi="宋体" w:cs="宋体"/>
          <w:kern w:val="0"/>
          <w:sz w:val="24"/>
        </w:rPr>
      </w:pPr>
      <w:r>
        <w:rPr>
          <w:rFonts w:hint="eastAsia" w:ascii="宋体" w:hAnsi="宋体" w:cs="宋体"/>
          <w:kern w:val="0"/>
          <w:sz w:val="24"/>
        </w:rPr>
        <w:t>强制采购节能产品；优先采购节能产品、环境标志产品。</w:t>
      </w:r>
    </w:p>
    <w:p>
      <w:pPr>
        <w:numPr>
          <w:ilvl w:val="0"/>
          <w:numId w:val="4"/>
        </w:numPr>
        <w:adjustRightInd w:val="0"/>
        <w:snapToGrid w:val="0"/>
        <w:spacing w:line="540" w:lineRule="exact"/>
        <w:rPr>
          <w:rFonts w:ascii="宋体" w:hAnsi="宋体" w:cs="宋体"/>
          <w:kern w:val="0"/>
          <w:sz w:val="24"/>
        </w:rPr>
      </w:pPr>
      <w:r>
        <w:rPr>
          <w:rFonts w:hint="eastAsia" w:ascii="宋体" w:hAnsi="宋体" w:cs="宋体"/>
          <w:kern w:val="0"/>
          <w:sz w:val="24"/>
        </w:rPr>
        <w:t>政府采购促进残疾人就业政策。</w:t>
      </w:r>
    </w:p>
    <w:p>
      <w:pPr>
        <w:numPr>
          <w:ilvl w:val="0"/>
          <w:numId w:val="4"/>
        </w:numPr>
        <w:adjustRightInd w:val="0"/>
        <w:snapToGrid w:val="0"/>
        <w:spacing w:line="540" w:lineRule="exact"/>
        <w:rPr>
          <w:rFonts w:ascii="宋体" w:hAnsi="宋体" w:cs="宋体"/>
          <w:kern w:val="0"/>
          <w:sz w:val="24"/>
        </w:rPr>
      </w:pPr>
      <w:r>
        <w:rPr>
          <w:rFonts w:hint="eastAsia" w:ascii="宋体" w:hAnsi="宋体" w:cs="宋体"/>
          <w:kern w:val="0"/>
          <w:sz w:val="24"/>
        </w:rPr>
        <w:t>政府采购支持监狱企业发展。</w:t>
      </w:r>
    </w:p>
    <w:p>
      <w:pPr>
        <w:numPr>
          <w:ilvl w:val="0"/>
          <w:numId w:val="3"/>
        </w:numPr>
        <w:adjustRightInd w:val="0"/>
        <w:snapToGrid w:val="0"/>
        <w:spacing w:line="540" w:lineRule="exact"/>
        <w:ind w:left="0" w:firstLine="0"/>
        <w:rPr>
          <w:rFonts w:ascii="宋体" w:hAnsi="宋体" w:cs="宋体"/>
          <w:b/>
          <w:bCs/>
          <w:kern w:val="0"/>
          <w:sz w:val="24"/>
        </w:rPr>
      </w:pPr>
      <w:r>
        <w:rPr>
          <w:rFonts w:hint="eastAsia" w:ascii="宋体" w:hAnsi="宋体" w:cs="宋体"/>
          <w:b/>
          <w:bCs/>
          <w:kern w:val="0"/>
          <w:sz w:val="24"/>
        </w:rPr>
        <w:t>电子招投标的说明</w:t>
      </w:r>
    </w:p>
    <w:p>
      <w:pPr>
        <w:adjustRightInd w:val="0"/>
        <w:snapToGrid w:val="0"/>
        <w:spacing w:line="540" w:lineRule="exact"/>
        <w:rPr>
          <w:rFonts w:ascii="宋体" w:hAnsi="宋体" w:cs="宋体"/>
          <w:kern w:val="0"/>
          <w:sz w:val="24"/>
        </w:rPr>
      </w:pPr>
      <w:r>
        <w:rPr>
          <w:rFonts w:hint="eastAsia" w:ascii="宋体" w:hAnsi="宋体" w:cs="宋体"/>
          <w:kern w:val="0"/>
          <w:sz w:val="24"/>
        </w:rPr>
        <w:t>（1）本项目将依托“</w:t>
      </w:r>
      <w:r>
        <w:rPr>
          <w:rFonts w:hint="eastAsia" w:ascii="宋体" w:hAnsi="宋体" w:cs="宋体"/>
          <w:b/>
          <w:bCs/>
          <w:kern w:val="0"/>
          <w:sz w:val="24"/>
        </w:rPr>
        <w:t>广西政府采购云平台</w:t>
      </w:r>
      <w:r>
        <w:rPr>
          <w:rFonts w:hint="eastAsia" w:ascii="宋体" w:hAnsi="宋体" w:cs="宋体"/>
          <w:kern w:val="0"/>
          <w:sz w:val="24"/>
        </w:rPr>
        <w:t>（zfcg.gxzf.gov.cn）”实行全流程在线电子评标，不接受纸质响应文件。同时不强制要求供应商到达开标现场，但供应商应派法定代表人或委托代理人准时在线出席电子开评标会议，随时关注开评标进度，如在开评标过程中有电子询标，应在规定的时间内对电子询标函进行澄清回复。</w:t>
      </w:r>
    </w:p>
    <w:p>
      <w:pPr>
        <w:adjustRightInd w:val="0"/>
        <w:snapToGrid w:val="0"/>
        <w:spacing w:line="540" w:lineRule="exact"/>
        <w:rPr>
          <w:rFonts w:ascii="宋体" w:hAnsi="宋体" w:cs="宋体"/>
          <w:kern w:val="0"/>
          <w:sz w:val="24"/>
        </w:rPr>
      </w:pPr>
      <w:r>
        <w:rPr>
          <w:rFonts w:hint="eastAsia" w:ascii="宋体" w:hAnsi="宋体" w:cs="宋体"/>
          <w:kern w:val="0"/>
          <w:sz w:val="24"/>
        </w:rPr>
        <w:t>（2）若对电子交易系统操作有疑问，可拨打广西政府采购云平台服务热线</w:t>
      </w:r>
      <w:r>
        <w:rPr>
          <w:rFonts w:hint="eastAsia" w:ascii="宋体" w:hAnsi="宋体" w:cs="宋体"/>
          <w:b/>
          <w:bCs/>
          <w:kern w:val="0"/>
          <w:sz w:val="24"/>
        </w:rPr>
        <w:t>95763</w:t>
      </w:r>
      <w:r>
        <w:rPr>
          <w:rFonts w:hint="eastAsia" w:ascii="宋体" w:hAnsi="宋体" w:cs="宋体"/>
          <w:kern w:val="0"/>
          <w:sz w:val="24"/>
        </w:rPr>
        <w:t>获取热线服务帮助。</w:t>
      </w:r>
    </w:p>
    <w:p>
      <w:pPr>
        <w:adjustRightInd w:val="0"/>
        <w:snapToGrid w:val="0"/>
        <w:spacing w:line="540" w:lineRule="exact"/>
        <w:rPr>
          <w:rFonts w:ascii="宋体" w:hAnsi="宋体" w:cs="宋体"/>
          <w:kern w:val="0"/>
          <w:sz w:val="24"/>
        </w:rPr>
      </w:pPr>
      <w:r>
        <w:rPr>
          <w:rFonts w:hint="eastAsia" w:ascii="宋体" w:hAnsi="宋体" w:cs="宋体"/>
          <w:kern w:val="0"/>
          <w:sz w:val="24"/>
        </w:rPr>
        <w:t>（3）供应商在“广西政府采购云平台”平台提交响应文件时，请填写参加远程开标活动经办人联系方式。</w:t>
      </w:r>
    </w:p>
    <w:p>
      <w:pPr>
        <w:pStyle w:val="4"/>
        <w:numPr>
          <w:ilvl w:val="0"/>
          <w:numId w:val="1"/>
        </w:numPr>
        <w:spacing w:before="0" w:after="0" w:line="540" w:lineRule="exact"/>
        <w:rPr>
          <w:rFonts w:ascii="宋体" w:hAnsi="宋体" w:cs="宋体"/>
          <w:sz w:val="24"/>
        </w:rPr>
      </w:pPr>
      <w:bookmarkStart w:id="34" w:name="_Toc35393636"/>
      <w:bookmarkStart w:id="35" w:name="_Toc35393805"/>
      <w:bookmarkStart w:id="36" w:name="_Toc28359018"/>
      <w:bookmarkStart w:id="37" w:name="_Toc28359095"/>
      <w:r>
        <w:rPr>
          <w:rFonts w:hint="eastAsia" w:ascii="宋体" w:hAnsi="宋体" w:cs="宋体"/>
          <w:sz w:val="24"/>
        </w:rPr>
        <w:t>凡对本次采购提出询问，请按以下方式联系。</w:t>
      </w:r>
      <w:bookmarkEnd w:id="34"/>
      <w:bookmarkEnd w:id="35"/>
      <w:bookmarkEnd w:id="36"/>
      <w:bookmarkEnd w:id="37"/>
    </w:p>
    <w:p>
      <w:pPr>
        <w:numPr>
          <w:ilvl w:val="0"/>
          <w:numId w:val="5"/>
        </w:numPr>
        <w:adjustRightInd w:val="0"/>
        <w:snapToGrid w:val="0"/>
        <w:spacing w:line="540" w:lineRule="exact"/>
        <w:ind w:left="0" w:firstLine="0"/>
        <w:rPr>
          <w:rFonts w:ascii="宋体" w:hAnsi="宋体" w:cs="宋体"/>
          <w:kern w:val="0"/>
          <w:sz w:val="24"/>
        </w:rPr>
      </w:pPr>
      <w:bookmarkStart w:id="38" w:name="_Toc28359096"/>
      <w:bookmarkStart w:id="39" w:name="_Toc35393637"/>
      <w:bookmarkStart w:id="40" w:name="_Toc35393806"/>
      <w:bookmarkStart w:id="41" w:name="_Toc28359019"/>
      <w:r>
        <w:rPr>
          <w:rFonts w:hint="eastAsia" w:ascii="宋体" w:hAnsi="宋体" w:cs="宋体"/>
          <w:kern w:val="0"/>
          <w:sz w:val="24"/>
        </w:rPr>
        <w:t>采购人信息</w:t>
      </w:r>
      <w:bookmarkEnd w:id="38"/>
      <w:bookmarkEnd w:id="39"/>
      <w:bookmarkEnd w:id="40"/>
      <w:bookmarkEnd w:id="41"/>
    </w:p>
    <w:p>
      <w:pPr>
        <w:adjustRightInd w:val="0"/>
        <w:snapToGrid w:val="0"/>
        <w:spacing w:line="540" w:lineRule="exact"/>
        <w:rPr>
          <w:rFonts w:ascii="宋体" w:hAnsi="宋体" w:cs="宋体"/>
          <w:sz w:val="24"/>
        </w:rPr>
      </w:pPr>
      <w:r>
        <w:rPr>
          <w:rFonts w:hint="eastAsia" w:ascii="宋体" w:hAnsi="宋体" w:cs="宋体"/>
          <w:sz w:val="24"/>
        </w:rPr>
        <w:t>名    称：崇左幼儿师范高等专科学校</w:t>
      </w:r>
    </w:p>
    <w:p>
      <w:pPr>
        <w:adjustRightInd w:val="0"/>
        <w:snapToGrid w:val="0"/>
        <w:spacing w:line="540" w:lineRule="exact"/>
        <w:rPr>
          <w:rFonts w:ascii="宋体" w:hAnsi="宋体" w:cs="宋体"/>
          <w:sz w:val="24"/>
        </w:rPr>
      </w:pPr>
      <w:r>
        <w:rPr>
          <w:rFonts w:hint="eastAsia" w:ascii="宋体" w:hAnsi="宋体" w:cs="宋体"/>
          <w:sz w:val="24"/>
        </w:rPr>
        <w:t>地    址：广西崇左市崇善大道55号</w:t>
      </w:r>
    </w:p>
    <w:p>
      <w:pPr>
        <w:adjustRightInd w:val="0"/>
        <w:snapToGrid w:val="0"/>
        <w:spacing w:line="540" w:lineRule="exact"/>
        <w:rPr>
          <w:rFonts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lang w:val="en-US" w:eastAsia="zh-CN"/>
        </w:rPr>
        <w:t>陈</w:t>
      </w:r>
      <w:r>
        <w:rPr>
          <w:rFonts w:hint="eastAsia" w:ascii="宋体" w:hAnsi="宋体" w:cs="宋体"/>
          <w:sz w:val="24"/>
          <w:highlight w:val="none"/>
        </w:rPr>
        <w:t>工 0771-6461159</w:t>
      </w:r>
    </w:p>
    <w:p>
      <w:pPr>
        <w:numPr>
          <w:ilvl w:val="0"/>
          <w:numId w:val="5"/>
        </w:numPr>
        <w:adjustRightInd w:val="0"/>
        <w:snapToGrid w:val="0"/>
        <w:spacing w:line="540" w:lineRule="exact"/>
        <w:ind w:left="0" w:firstLine="0"/>
        <w:rPr>
          <w:rFonts w:ascii="宋体" w:hAnsi="宋体" w:cs="宋体"/>
          <w:kern w:val="0"/>
          <w:sz w:val="24"/>
        </w:rPr>
      </w:pPr>
      <w:bookmarkStart w:id="42" w:name="_Toc28359020"/>
      <w:bookmarkStart w:id="43" w:name="_Toc35393807"/>
      <w:bookmarkStart w:id="44" w:name="_Toc28359097"/>
      <w:bookmarkStart w:id="45" w:name="_Toc35393638"/>
      <w:r>
        <w:rPr>
          <w:rFonts w:hint="eastAsia" w:ascii="宋体" w:hAnsi="宋体" w:cs="宋体"/>
          <w:kern w:val="0"/>
          <w:sz w:val="24"/>
        </w:rPr>
        <w:t>采购代理机构信息（如有）</w:t>
      </w:r>
      <w:bookmarkEnd w:id="42"/>
      <w:bookmarkEnd w:id="43"/>
      <w:bookmarkEnd w:id="44"/>
      <w:bookmarkEnd w:id="45"/>
    </w:p>
    <w:p>
      <w:pPr>
        <w:adjustRightInd w:val="0"/>
        <w:snapToGrid w:val="0"/>
        <w:spacing w:line="540" w:lineRule="exact"/>
        <w:rPr>
          <w:rFonts w:ascii="宋体" w:hAnsi="宋体" w:cs="宋体"/>
          <w:sz w:val="24"/>
        </w:rPr>
      </w:pPr>
      <w:r>
        <w:rPr>
          <w:rFonts w:hint="eastAsia" w:ascii="宋体" w:hAnsi="宋体" w:cs="宋体"/>
          <w:sz w:val="24"/>
        </w:rPr>
        <w:t>名    称：广西隆泰招标代理有限公司</w:t>
      </w:r>
    </w:p>
    <w:p>
      <w:pPr>
        <w:adjustRightInd w:val="0"/>
        <w:snapToGrid w:val="0"/>
        <w:spacing w:line="540" w:lineRule="exact"/>
        <w:rPr>
          <w:rFonts w:ascii="宋体" w:hAnsi="宋体" w:cs="宋体"/>
          <w:sz w:val="24"/>
        </w:rPr>
      </w:pPr>
      <w:r>
        <w:rPr>
          <w:rFonts w:hint="eastAsia" w:ascii="宋体" w:hAnsi="宋体" w:cs="宋体"/>
          <w:sz w:val="24"/>
        </w:rPr>
        <w:t>地　　址：崇左市花山路（嘉苑小区）R组团R-08号</w:t>
      </w:r>
    </w:p>
    <w:p>
      <w:pPr>
        <w:adjustRightInd w:val="0"/>
        <w:snapToGrid w:val="0"/>
        <w:spacing w:line="540" w:lineRule="exact"/>
        <w:rPr>
          <w:rFonts w:ascii="宋体" w:hAnsi="宋体" w:cs="宋体"/>
          <w:sz w:val="24"/>
        </w:rPr>
      </w:pPr>
      <w:r>
        <w:rPr>
          <w:rFonts w:hint="eastAsia" w:ascii="宋体" w:hAnsi="宋体" w:cs="宋体"/>
          <w:sz w:val="24"/>
        </w:rPr>
        <w:t>联系方式：0771-7883434</w:t>
      </w:r>
    </w:p>
    <w:p>
      <w:pPr>
        <w:numPr>
          <w:ilvl w:val="0"/>
          <w:numId w:val="5"/>
        </w:numPr>
        <w:adjustRightInd w:val="0"/>
        <w:snapToGrid w:val="0"/>
        <w:spacing w:line="540" w:lineRule="exact"/>
        <w:ind w:left="0" w:firstLine="0"/>
        <w:rPr>
          <w:rFonts w:ascii="宋体" w:hAnsi="宋体" w:cs="宋体"/>
          <w:kern w:val="0"/>
          <w:sz w:val="24"/>
        </w:rPr>
      </w:pPr>
      <w:bookmarkStart w:id="46" w:name="_Toc28359098"/>
      <w:bookmarkStart w:id="47" w:name="_Toc35393808"/>
      <w:bookmarkStart w:id="48" w:name="_Toc35393639"/>
      <w:bookmarkStart w:id="49" w:name="_Toc28359021"/>
      <w:r>
        <w:rPr>
          <w:rFonts w:hint="eastAsia" w:ascii="宋体" w:hAnsi="宋体" w:cs="宋体"/>
          <w:kern w:val="0"/>
          <w:sz w:val="24"/>
        </w:rPr>
        <w:t>项目联系方式</w:t>
      </w:r>
      <w:bookmarkEnd w:id="46"/>
      <w:bookmarkEnd w:id="47"/>
      <w:bookmarkEnd w:id="48"/>
      <w:bookmarkEnd w:id="49"/>
    </w:p>
    <w:p>
      <w:pPr>
        <w:pStyle w:val="13"/>
        <w:adjustRightInd w:val="0"/>
        <w:snapToGrid w:val="0"/>
        <w:spacing w:line="540" w:lineRule="exact"/>
        <w:rPr>
          <w:rFonts w:hAnsi="宋体" w:cs="宋体"/>
          <w:sz w:val="24"/>
          <w:szCs w:val="24"/>
        </w:rPr>
      </w:pPr>
      <w:r>
        <w:rPr>
          <w:rFonts w:hint="eastAsia" w:hAnsi="宋体" w:cs="宋体"/>
          <w:sz w:val="24"/>
          <w:szCs w:val="24"/>
        </w:rPr>
        <w:t>项目联系人：黄工</w:t>
      </w:r>
    </w:p>
    <w:p>
      <w:pPr>
        <w:adjustRightInd w:val="0"/>
        <w:snapToGrid w:val="0"/>
        <w:spacing w:line="540" w:lineRule="exact"/>
        <w:rPr>
          <w:rFonts w:ascii="仿宋" w:hAnsi="仿宋" w:eastAsia="仿宋" w:cs="仿宋"/>
          <w:sz w:val="28"/>
          <w:szCs w:val="28"/>
        </w:rPr>
      </w:pPr>
      <w:r>
        <w:rPr>
          <w:rFonts w:hint="eastAsia" w:ascii="宋体" w:hAnsi="宋体" w:cs="宋体"/>
          <w:sz w:val="24"/>
        </w:rPr>
        <w:t>电　　话：0771-7883434</w:t>
      </w:r>
    </w:p>
    <w:p>
      <w:pPr>
        <w:spacing w:line="360" w:lineRule="auto"/>
        <w:ind w:firstLine="630" w:firstLineChars="300"/>
        <w:jc w:val="right"/>
        <w:rPr>
          <w:rFonts w:ascii="宋体" w:hAnsi="宋体"/>
          <w:szCs w:val="21"/>
          <w:u w:val="single"/>
        </w:rPr>
      </w:pPr>
    </w:p>
    <w:p>
      <w:pPr>
        <w:spacing w:line="360" w:lineRule="auto"/>
        <w:ind w:firstLine="630" w:firstLineChars="300"/>
        <w:jc w:val="right"/>
        <w:rPr>
          <w:rFonts w:ascii="宋体" w:hAnsi="宋体"/>
          <w:szCs w:val="21"/>
          <w:u w:val="single"/>
        </w:rPr>
      </w:pPr>
    </w:p>
    <w:p>
      <w:pPr>
        <w:spacing w:line="360" w:lineRule="auto"/>
        <w:ind w:firstLine="630" w:firstLineChars="300"/>
        <w:jc w:val="right"/>
        <w:rPr>
          <w:rFonts w:ascii="宋体" w:hAnsi="宋体"/>
          <w:szCs w:val="21"/>
          <w:u w:val="single"/>
        </w:rPr>
      </w:pPr>
    </w:p>
    <w:bookmarkEnd w:id="11"/>
    <w:p>
      <w:pPr>
        <w:pStyle w:val="3"/>
        <w:jc w:val="center"/>
        <w:rPr>
          <w:rFonts w:ascii="宋体" w:hAnsi="宋体"/>
          <w:b w:val="0"/>
        </w:rPr>
        <w:sectPr>
          <w:footerReference r:id="rId6" w:type="first"/>
          <w:footerReference r:id="rId5" w:type="default"/>
          <w:pgSz w:w="11906" w:h="16838"/>
          <w:pgMar w:top="1440" w:right="1080" w:bottom="1440" w:left="1080" w:header="964" w:footer="992" w:gutter="0"/>
          <w:pgNumType w:start="1"/>
          <w:cols w:space="720" w:num="1"/>
          <w:titlePg/>
          <w:docGrid w:type="lines" w:linePitch="312" w:charSpace="0"/>
        </w:sectPr>
      </w:pPr>
      <w:bookmarkStart w:id="50" w:name="_Toc35611511"/>
    </w:p>
    <w:p>
      <w:pPr>
        <w:pStyle w:val="2"/>
        <w:spacing w:line="360" w:lineRule="auto"/>
        <w:jc w:val="center"/>
      </w:pPr>
      <w:bookmarkStart w:id="51" w:name="_Toc31212"/>
      <w:bookmarkStart w:id="52" w:name="_Toc7852"/>
      <w:bookmarkStart w:id="53" w:name="_Toc23320"/>
      <w:r>
        <w:rPr>
          <w:rFonts w:hint="eastAsia"/>
        </w:rPr>
        <w:t>第二章 供应商须知</w:t>
      </w:r>
      <w:bookmarkEnd w:id="50"/>
      <w:bookmarkEnd w:id="51"/>
      <w:bookmarkEnd w:id="52"/>
      <w:bookmarkEnd w:id="53"/>
    </w:p>
    <w:p>
      <w:pPr>
        <w:spacing w:line="400" w:lineRule="exact"/>
        <w:jc w:val="center"/>
        <w:rPr>
          <w:rFonts w:ascii="宋体" w:hAnsi="宋体"/>
          <w:b/>
          <w:sz w:val="32"/>
          <w:szCs w:val="32"/>
        </w:rPr>
      </w:pPr>
      <w:r>
        <w:rPr>
          <w:rFonts w:hint="eastAsia" w:ascii="宋体" w:hAnsi="宋体"/>
          <w:b/>
          <w:sz w:val="32"/>
          <w:szCs w:val="32"/>
        </w:rPr>
        <w:t>供应商须知前附表</w:t>
      </w:r>
    </w:p>
    <w:tbl>
      <w:tblPr>
        <w:tblStyle w:val="24"/>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0"/>
        <w:gridCol w:w="8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tcPr>
          <w:p>
            <w:pPr>
              <w:spacing w:line="520" w:lineRule="exact"/>
              <w:jc w:val="center"/>
              <w:rPr>
                <w:rFonts w:ascii="宋体" w:hAnsi="宋体" w:cs="宋体"/>
                <w:b/>
                <w:sz w:val="24"/>
              </w:rPr>
            </w:pPr>
            <w:r>
              <w:rPr>
                <w:rFonts w:hint="eastAsia" w:ascii="宋体" w:hAnsi="宋体" w:cs="宋体"/>
                <w:b/>
                <w:sz w:val="24"/>
              </w:rPr>
              <w:t>条款号</w:t>
            </w:r>
          </w:p>
        </w:tc>
        <w:tc>
          <w:tcPr>
            <w:tcW w:w="4446" w:type="pct"/>
          </w:tcPr>
          <w:p>
            <w:pPr>
              <w:spacing w:line="520" w:lineRule="exact"/>
              <w:jc w:val="center"/>
              <w:rPr>
                <w:rFonts w:ascii="宋体" w:hAnsi="宋体" w:cs="宋体"/>
                <w:b/>
                <w:sz w:val="24"/>
              </w:rPr>
            </w:pPr>
            <w:r>
              <w:rPr>
                <w:rFonts w:hint="eastAsia" w:ascii="宋体" w:hAnsi="宋体" w:cs="宋体"/>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3</w:t>
            </w:r>
          </w:p>
        </w:tc>
        <w:tc>
          <w:tcPr>
            <w:tcW w:w="4446" w:type="pct"/>
          </w:tcPr>
          <w:p>
            <w:pPr>
              <w:spacing w:line="360" w:lineRule="auto"/>
              <w:rPr>
                <w:rFonts w:ascii="宋体" w:hAnsi="宋体" w:cs="宋体"/>
                <w:sz w:val="24"/>
              </w:rPr>
            </w:pPr>
            <w:r>
              <w:rPr>
                <w:rFonts w:hint="eastAsia" w:ascii="宋体" w:hAnsi="宋体" w:cs="宋体"/>
                <w:sz w:val="24"/>
              </w:rPr>
              <w:t>供应商的资格条件：详见竞争性谈判公告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5.1</w:t>
            </w:r>
          </w:p>
        </w:tc>
        <w:tc>
          <w:tcPr>
            <w:tcW w:w="4446" w:type="pct"/>
          </w:tcPr>
          <w:p>
            <w:pPr>
              <w:spacing w:line="360" w:lineRule="auto"/>
              <w:rPr>
                <w:rFonts w:ascii="宋体" w:hAnsi="宋体" w:cs="宋体"/>
                <w:sz w:val="24"/>
              </w:rPr>
            </w:pPr>
            <w:r>
              <w:rPr>
                <w:rFonts w:hint="eastAsia" w:ascii="宋体" w:hAnsi="宋体" w:cs="宋体"/>
                <w:sz w:val="24"/>
              </w:rPr>
              <w:t>是否接受联合体竞标: 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5.2</w:t>
            </w:r>
          </w:p>
        </w:tc>
        <w:tc>
          <w:tcPr>
            <w:tcW w:w="4446" w:type="pct"/>
          </w:tcPr>
          <w:p>
            <w:pPr>
              <w:spacing w:line="360" w:lineRule="auto"/>
              <w:rPr>
                <w:rFonts w:ascii="宋体" w:hAnsi="宋体" w:cs="宋体"/>
                <w:sz w:val="24"/>
              </w:rPr>
            </w:pPr>
            <w:r>
              <w:rPr>
                <w:rFonts w:hint="eastAsia" w:ascii="宋体" w:hAnsi="宋体" w:cs="宋体"/>
                <w:sz w:val="24"/>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6.2</w:t>
            </w:r>
          </w:p>
        </w:tc>
        <w:tc>
          <w:tcPr>
            <w:tcW w:w="4446" w:type="pct"/>
          </w:tcPr>
          <w:p>
            <w:pPr>
              <w:pStyle w:val="8"/>
              <w:spacing w:line="360" w:lineRule="auto"/>
              <w:jc w:val="both"/>
              <w:rPr>
                <w:rFonts w:ascii="宋体" w:hAnsi="宋体" w:cs="宋体"/>
                <w:sz w:val="24"/>
              </w:rPr>
            </w:pPr>
            <w:r>
              <w:rPr>
                <w:rFonts w:hint="eastAsia" w:ascii="宋体" w:hAnsi="宋体" w:cs="宋体"/>
                <w:sz w:val="24"/>
              </w:rPr>
              <w:t>☑不允许分包</w:t>
            </w:r>
          </w:p>
          <w:p>
            <w:pPr>
              <w:pStyle w:val="8"/>
              <w:spacing w:line="360" w:lineRule="auto"/>
              <w:jc w:val="both"/>
              <w:rPr>
                <w:rFonts w:ascii="宋体" w:hAnsi="宋体" w:cs="宋体"/>
                <w:sz w:val="24"/>
              </w:rPr>
            </w:pPr>
            <w:r>
              <w:rPr>
                <w:rFonts w:hint="eastAsia" w:ascii="宋体" w:hAnsi="宋体" w:cs="宋体"/>
                <w:sz w:val="24"/>
              </w:rPr>
              <w:t>□允许分包</w:t>
            </w:r>
          </w:p>
          <w:p>
            <w:pPr>
              <w:pStyle w:val="8"/>
              <w:spacing w:line="360" w:lineRule="auto"/>
              <w:jc w:val="both"/>
              <w:rPr>
                <w:rFonts w:ascii="宋体" w:hAnsi="宋体" w:cs="宋体"/>
                <w:sz w:val="24"/>
                <w:u w:val="single"/>
              </w:rPr>
            </w:pPr>
            <w:r>
              <w:rPr>
                <w:rFonts w:hint="eastAsia" w:ascii="宋体" w:hAnsi="宋体" w:cs="宋体"/>
                <w:sz w:val="24"/>
              </w:rPr>
              <w:t>分包内容：</w:t>
            </w:r>
            <w:r>
              <w:rPr>
                <w:rFonts w:hint="eastAsia" w:ascii="宋体" w:hAnsi="宋体" w:cs="宋体"/>
                <w:sz w:val="24"/>
                <w:u w:val="single"/>
              </w:rPr>
              <w:t xml:space="preserve">                                     。</w:t>
            </w:r>
          </w:p>
          <w:p>
            <w:pPr>
              <w:pStyle w:val="8"/>
              <w:spacing w:line="360" w:lineRule="auto"/>
              <w:jc w:val="both"/>
              <w:rPr>
                <w:rFonts w:ascii="宋体" w:hAnsi="宋体" w:cs="宋体"/>
                <w:sz w:val="24"/>
              </w:rPr>
            </w:pPr>
            <w:r>
              <w:rPr>
                <w:rFonts w:hint="eastAsia" w:ascii="宋体" w:hAnsi="宋体" w:cs="宋体"/>
                <w:sz w:val="24"/>
              </w:rPr>
              <w:t>分包金额或者比例：</w:t>
            </w:r>
            <w:r>
              <w:rPr>
                <w:rFonts w:hint="eastAsia" w:ascii="宋体" w:hAnsi="宋体" w:cs="宋体"/>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12.1.1</w:t>
            </w:r>
          </w:p>
        </w:tc>
        <w:tc>
          <w:tcPr>
            <w:tcW w:w="4446" w:type="pct"/>
          </w:tcPr>
          <w:p>
            <w:pPr>
              <w:spacing w:line="360" w:lineRule="auto"/>
              <w:rPr>
                <w:rFonts w:ascii="宋体" w:hAnsi="宋体" w:cs="宋体"/>
                <w:b/>
                <w:sz w:val="24"/>
              </w:rPr>
            </w:pPr>
            <w:r>
              <w:rPr>
                <w:rFonts w:hint="eastAsia" w:ascii="宋体" w:hAnsi="宋体" w:cs="宋体"/>
                <w:b/>
                <w:sz w:val="24"/>
              </w:rPr>
              <w:t>资格证明文件</w:t>
            </w:r>
          </w:p>
          <w:p>
            <w:pPr>
              <w:numPr>
                <w:ilvl w:val="0"/>
                <w:numId w:val="6"/>
              </w:numPr>
              <w:spacing w:line="360" w:lineRule="auto"/>
              <w:ind w:firstLine="0"/>
              <w:rPr>
                <w:rFonts w:ascii="宋体" w:hAnsi="宋体" w:cs="宋体"/>
                <w:sz w:val="24"/>
              </w:rPr>
            </w:pPr>
            <w:r>
              <w:rPr>
                <w:rFonts w:hint="eastAsia" w:ascii="宋体" w:hAnsi="宋体" w:cs="宋体"/>
                <w:sz w:val="24"/>
                <w:lang w:bidi="ar"/>
              </w:rPr>
              <w:t>崇左市政府采购供应商信用承诺函</w:t>
            </w:r>
            <w:r>
              <w:rPr>
                <w:rFonts w:hint="eastAsia" w:ascii="宋体" w:hAnsi="宋体" w:cs="宋体"/>
                <w:sz w:val="24"/>
              </w:rPr>
              <w:t>；（</w:t>
            </w:r>
            <w:r>
              <w:rPr>
                <w:rFonts w:hint="eastAsia" w:ascii="宋体" w:hAnsi="宋体" w:cs="宋体"/>
                <w:b/>
                <w:sz w:val="24"/>
              </w:rPr>
              <w:t>必须提供，否则响应文件按无效响应处理</w:t>
            </w:r>
            <w:r>
              <w:rPr>
                <w:rFonts w:hint="eastAsia" w:ascii="宋体" w:hAnsi="宋体" w:cs="宋体"/>
                <w:sz w:val="24"/>
              </w:rPr>
              <w:t>）</w:t>
            </w:r>
          </w:p>
          <w:p>
            <w:pPr>
              <w:numPr>
                <w:ilvl w:val="0"/>
                <w:numId w:val="6"/>
              </w:numPr>
              <w:spacing w:line="360" w:lineRule="auto"/>
              <w:ind w:firstLine="0"/>
              <w:rPr>
                <w:rFonts w:ascii="宋体" w:hAnsi="宋体" w:cs="宋体"/>
                <w:sz w:val="24"/>
              </w:rPr>
            </w:pPr>
            <w:r>
              <w:rPr>
                <w:rFonts w:hint="eastAsia" w:ascii="宋体" w:hAnsi="宋体" w:cs="宋体"/>
                <w:sz w:val="24"/>
              </w:rPr>
              <w:t>供应商直接控股、管理关系信息表（格式后附）；（</w:t>
            </w:r>
            <w:r>
              <w:rPr>
                <w:rFonts w:hint="eastAsia" w:ascii="宋体" w:hAnsi="宋体" w:cs="宋体"/>
                <w:b/>
                <w:sz w:val="24"/>
              </w:rPr>
              <w:t>必须提供，否则响应文件作无效处理</w:t>
            </w:r>
            <w:r>
              <w:rPr>
                <w:rFonts w:hint="eastAsia" w:ascii="宋体" w:hAnsi="宋体" w:cs="宋体"/>
                <w:sz w:val="24"/>
              </w:rPr>
              <w:t>）</w:t>
            </w:r>
          </w:p>
          <w:p>
            <w:pPr>
              <w:numPr>
                <w:ilvl w:val="0"/>
                <w:numId w:val="6"/>
              </w:numPr>
              <w:spacing w:line="360" w:lineRule="auto"/>
              <w:ind w:firstLine="0"/>
              <w:rPr>
                <w:rFonts w:ascii="宋体" w:hAnsi="宋体" w:cs="宋体"/>
                <w:sz w:val="24"/>
              </w:rPr>
            </w:pPr>
            <w:r>
              <w:rPr>
                <w:rFonts w:hint="eastAsia" w:ascii="宋体" w:hAnsi="宋体" w:cs="宋体"/>
                <w:sz w:val="24"/>
              </w:rPr>
              <w:t>竞标声明（格式后附）；（</w:t>
            </w:r>
            <w:r>
              <w:rPr>
                <w:rFonts w:hint="eastAsia" w:ascii="宋体" w:hAnsi="宋体" w:cs="宋体"/>
                <w:b/>
                <w:sz w:val="24"/>
              </w:rPr>
              <w:t>必须提供，否则响应文件作无效处理</w:t>
            </w:r>
            <w:r>
              <w:rPr>
                <w:rFonts w:hint="eastAsia" w:ascii="宋体" w:hAnsi="宋体" w:cs="宋体"/>
                <w:sz w:val="24"/>
              </w:rPr>
              <w:t>）</w:t>
            </w:r>
          </w:p>
          <w:p>
            <w:pPr>
              <w:numPr>
                <w:ilvl w:val="0"/>
                <w:numId w:val="6"/>
              </w:numPr>
              <w:spacing w:line="360" w:lineRule="auto"/>
              <w:ind w:firstLine="0"/>
              <w:rPr>
                <w:rFonts w:ascii="宋体" w:hAnsi="宋体" w:cs="宋体"/>
                <w:sz w:val="24"/>
              </w:rPr>
            </w:pPr>
            <w:r>
              <w:rPr>
                <w:rFonts w:hint="eastAsia" w:ascii="宋体" w:hAnsi="宋体" w:cs="宋体"/>
                <w:sz w:val="24"/>
              </w:rPr>
              <w:t>中小企业声明函或者残疾人福利性单位声明函或者竞标人属于监狱企业的证明材料；（</w:t>
            </w:r>
            <w:r>
              <w:rPr>
                <w:rFonts w:hint="eastAsia" w:ascii="宋体" w:hAnsi="宋体" w:cs="宋体"/>
                <w:b/>
                <w:sz w:val="24"/>
                <w:lang w:val="en-US" w:eastAsia="zh-CN"/>
              </w:rPr>
              <w:t>如有，请提供。</w:t>
            </w:r>
            <w:r>
              <w:rPr>
                <w:rFonts w:hint="eastAsia" w:ascii="宋体" w:hAnsi="宋体" w:cs="宋体"/>
                <w:sz w:val="24"/>
              </w:rPr>
              <w:t>）</w:t>
            </w:r>
          </w:p>
          <w:p>
            <w:pPr>
              <w:numPr>
                <w:ilvl w:val="0"/>
                <w:numId w:val="6"/>
              </w:numPr>
              <w:spacing w:line="360" w:lineRule="auto"/>
              <w:ind w:firstLine="0"/>
              <w:rPr>
                <w:rFonts w:ascii="宋体" w:hAnsi="宋体" w:cs="宋体"/>
                <w:sz w:val="24"/>
              </w:rPr>
            </w:pPr>
            <w:r>
              <w:rPr>
                <w:rFonts w:hint="eastAsia" w:ascii="宋体" w:hAnsi="宋体" w:cs="宋体"/>
                <w:sz w:val="24"/>
              </w:rPr>
              <w:t>除竞争性谈判文件规定必须提供以外，供应商认为需要提供的其他证明材料；</w:t>
            </w:r>
          </w:p>
          <w:p>
            <w:pPr>
              <w:spacing w:line="360" w:lineRule="auto"/>
              <w:rPr>
                <w:rFonts w:ascii="宋体" w:hAnsi="宋体" w:cs="宋体"/>
                <w:b/>
                <w:sz w:val="24"/>
              </w:rPr>
            </w:pPr>
            <w:r>
              <w:rPr>
                <w:rFonts w:hint="eastAsia" w:ascii="宋体" w:hAnsi="宋体" w:cs="宋体"/>
                <w:b/>
                <w:sz w:val="24"/>
              </w:rPr>
              <w:t>注：</w:t>
            </w:r>
          </w:p>
          <w:p>
            <w:pPr>
              <w:numPr>
                <w:ilvl w:val="0"/>
                <w:numId w:val="7"/>
              </w:numPr>
              <w:spacing w:line="360" w:lineRule="auto"/>
              <w:rPr>
                <w:rFonts w:ascii="宋体" w:hAnsi="宋体" w:cs="宋体"/>
                <w:b/>
                <w:sz w:val="24"/>
              </w:rPr>
            </w:pPr>
            <w:r>
              <w:rPr>
                <w:rFonts w:hint="eastAsia" w:ascii="宋体" w:hAnsi="宋体" w:cs="宋体"/>
                <w:b/>
                <w:sz w:val="24"/>
              </w:rPr>
              <w:t>以上标明“必须提供”的材料属于复印件的，必须加盖供应商公章，否则响应文件作无效处理。</w:t>
            </w:r>
          </w:p>
          <w:p>
            <w:pPr>
              <w:numPr>
                <w:ilvl w:val="0"/>
                <w:numId w:val="7"/>
              </w:numPr>
              <w:spacing w:line="360" w:lineRule="auto"/>
              <w:rPr>
                <w:rFonts w:ascii="宋体" w:hAnsi="宋体" w:cs="宋体"/>
                <w:b/>
                <w:sz w:val="24"/>
              </w:rPr>
            </w:pPr>
            <w:r>
              <w:rPr>
                <w:rFonts w:hint="eastAsia" w:ascii="宋体" w:hAnsi="宋体" w:cs="宋体"/>
                <w:b/>
                <w:sz w:val="24"/>
              </w:rPr>
              <w:t>竞标声明必须由法定代表人在规定签章处逐一签字并加盖供应商公章，否则响应文件作无效处理。</w:t>
            </w:r>
          </w:p>
          <w:p>
            <w:pPr>
              <w:numPr>
                <w:ilvl w:val="0"/>
                <w:numId w:val="7"/>
              </w:numPr>
              <w:spacing w:line="360" w:lineRule="auto"/>
              <w:rPr>
                <w:rFonts w:ascii="宋体" w:hAnsi="宋体" w:cs="宋体"/>
                <w:b/>
                <w:sz w:val="24"/>
              </w:rPr>
            </w:pPr>
            <w:r>
              <w:rPr>
                <w:rFonts w:hint="eastAsia" w:ascii="宋体" w:hAnsi="宋体" w:cs="宋体"/>
                <w:b/>
                <w:sz w:val="24"/>
              </w:rPr>
              <w:t>供应商直接控股、管理关系信息表必须由法定代表人或者委托代理人在规定签章处逐一签字并加盖供应商公章，否则响应文件作无效处理。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0" w:hRule="atLeast"/>
          <w:jc w:val="center"/>
        </w:trPr>
        <w:tc>
          <w:tcPr>
            <w:tcW w:w="553" w:type="pct"/>
            <w:vMerge w:val="restart"/>
            <w:vAlign w:val="center"/>
          </w:tcPr>
          <w:p>
            <w:pPr>
              <w:spacing w:line="360" w:lineRule="auto"/>
              <w:rPr>
                <w:rFonts w:ascii="宋体" w:hAnsi="宋体" w:cs="宋体"/>
                <w:sz w:val="24"/>
              </w:rPr>
            </w:pPr>
            <w:r>
              <w:rPr>
                <w:rFonts w:hint="eastAsia" w:ascii="宋体" w:hAnsi="宋体" w:cs="宋体"/>
                <w:sz w:val="24"/>
              </w:rPr>
              <w:t>12.1.2</w:t>
            </w:r>
          </w:p>
        </w:tc>
        <w:tc>
          <w:tcPr>
            <w:tcW w:w="4446" w:type="pct"/>
          </w:tcPr>
          <w:p>
            <w:pPr>
              <w:spacing w:line="360" w:lineRule="auto"/>
              <w:rPr>
                <w:rFonts w:ascii="宋体" w:hAnsi="宋体" w:cs="宋体"/>
                <w:b/>
                <w:bCs/>
                <w:sz w:val="24"/>
              </w:rPr>
            </w:pPr>
            <w:r>
              <w:rPr>
                <w:rFonts w:hint="eastAsia" w:ascii="宋体" w:hAnsi="宋体" w:cs="宋体"/>
                <w:b/>
                <w:bCs/>
                <w:sz w:val="24"/>
              </w:rPr>
              <w:t>报价文件</w:t>
            </w:r>
          </w:p>
          <w:p>
            <w:pPr>
              <w:numPr>
                <w:ilvl w:val="0"/>
                <w:numId w:val="8"/>
              </w:numPr>
              <w:spacing w:line="360" w:lineRule="auto"/>
              <w:ind w:firstLine="0"/>
              <w:rPr>
                <w:rFonts w:ascii="宋体" w:hAnsi="宋体" w:cs="宋体"/>
                <w:sz w:val="24"/>
              </w:rPr>
            </w:pPr>
            <w:r>
              <w:rPr>
                <w:rFonts w:hint="eastAsia" w:ascii="宋体" w:hAnsi="宋体" w:cs="宋体"/>
                <w:sz w:val="24"/>
              </w:rPr>
              <w:t>竞标报价表（格式后附）；（</w:t>
            </w:r>
            <w:r>
              <w:rPr>
                <w:rFonts w:hint="eastAsia" w:ascii="宋体" w:hAnsi="宋体" w:cs="宋体"/>
                <w:b/>
                <w:sz w:val="24"/>
              </w:rPr>
              <w:t>必须提供，否则响应文件作无效处理</w:t>
            </w:r>
            <w:r>
              <w:rPr>
                <w:rFonts w:hint="eastAsia" w:ascii="宋体" w:hAnsi="宋体" w:cs="宋体"/>
                <w:sz w:val="24"/>
              </w:rPr>
              <w:t>）</w:t>
            </w:r>
          </w:p>
          <w:p>
            <w:pPr>
              <w:numPr>
                <w:ilvl w:val="0"/>
                <w:numId w:val="8"/>
              </w:numPr>
              <w:spacing w:line="360" w:lineRule="auto"/>
              <w:ind w:firstLine="0"/>
              <w:rPr>
                <w:rFonts w:ascii="宋体" w:hAnsi="宋体" w:cs="宋体"/>
                <w:sz w:val="24"/>
              </w:rPr>
            </w:pPr>
            <w:r>
              <w:rPr>
                <w:rFonts w:hint="eastAsia" w:ascii="宋体" w:hAnsi="宋体" w:cs="宋体"/>
                <w:sz w:val="24"/>
              </w:rPr>
              <w:t>供应商认为需要提供的其他有关资料。</w:t>
            </w:r>
          </w:p>
          <w:p>
            <w:pPr>
              <w:spacing w:line="360" w:lineRule="auto"/>
              <w:rPr>
                <w:rFonts w:ascii="宋体" w:hAnsi="宋体" w:cs="宋体"/>
                <w:b/>
                <w:sz w:val="24"/>
              </w:rPr>
            </w:pPr>
            <w:r>
              <w:rPr>
                <w:rFonts w:hint="eastAsia" w:ascii="宋体" w:hAnsi="宋体" w:cs="宋体"/>
                <w:b/>
                <w:sz w:val="24"/>
              </w:rPr>
              <w:t xml:space="preserve">注： </w:t>
            </w:r>
          </w:p>
          <w:p>
            <w:pPr>
              <w:numPr>
                <w:ilvl w:val="0"/>
                <w:numId w:val="9"/>
              </w:numPr>
              <w:spacing w:line="360" w:lineRule="auto"/>
              <w:rPr>
                <w:rFonts w:ascii="宋体" w:hAnsi="宋体" w:cs="宋体"/>
                <w:b/>
                <w:sz w:val="24"/>
              </w:rPr>
            </w:pPr>
            <w:r>
              <w:rPr>
                <w:rFonts w:hint="eastAsia" w:ascii="宋体" w:hAnsi="宋体" w:cs="宋体"/>
                <w:b/>
                <w:sz w:val="24"/>
              </w:rPr>
              <w:t>法定代表人授权委托书必须由法定代表人及委托代理人签字，并加盖供应商公章，否则响应文件作无效处理。</w:t>
            </w:r>
          </w:p>
          <w:p>
            <w:pPr>
              <w:numPr>
                <w:ilvl w:val="0"/>
                <w:numId w:val="9"/>
              </w:numPr>
              <w:spacing w:line="360" w:lineRule="auto"/>
              <w:rPr>
                <w:rFonts w:ascii="宋体" w:hAnsi="宋体" w:cs="宋体"/>
                <w:b/>
                <w:sz w:val="24"/>
              </w:rPr>
            </w:pPr>
            <w:r>
              <w:rPr>
                <w:rFonts w:hint="eastAsia" w:ascii="宋体" w:hAnsi="宋体" w:cs="宋体"/>
                <w:b/>
                <w:sz w:val="24"/>
              </w:rPr>
              <w:t>以上标明“必须提供”材料复印件的，必须加盖供应商公章，否则响应文件作无效处理。</w:t>
            </w:r>
          </w:p>
          <w:p>
            <w:pPr>
              <w:numPr>
                <w:ilvl w:val="0"/>
                <w:numId w:val="9"/>
              </w:numPr>
              <w:spacing w:line="360" w:lineRule="auto"/>
              <w:rPr>
                <w:rFonts w:ascii="宋体" w:hAnsi="宋体" w:cs="宋体"/>
                <w:sz w:val="24"/>
              </w:rPr>
            </w:pPr>
            <w:r>
              <w:rPr>
                <w:rFonts w:hint="eastAsia" w:ascii="宋体" w:hAnsi="宋体" w:cs="宋体"/>
                <w:b/>
                <w:sz w:val="24"/>
              </w:rPr>
              <w:t>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0" w:hRule="atLeast"/>
          <w:jc w:val="center"/>
        </w:trPr>
        <w:tc>
          <w:tcPr>
            <w:tcW w:w="553" w:type="pct"/>
            <w:vMerge w:val="continue"/>
            <w:vAlign w:val="center"/>
          </w:tcPr>
          <w:p>
            <w:pPr>
              <w:spacing w:line="360" w:lineRule="auto"/>
            </w:pPr>
          </w:p>
        </w:tc>
        <w:tc>
          <w:tcPr>
            <w:tcW w:w="4446" w:type="pct"/>
          </w:tcPr>
          <w:p>
            <w:pPr>
              <w:spacing w:line="360" w:lineRule="auto"/>
              <w:rPr>
                <w:rFonts w:ascii="宋体" w:hAnsi="宋体" w:cs="宋体"/>
                <w:b/>
                <w:bCs/>
                <w:sz w:val="24"/>
              </w:rPr>
            </w:pPr>
            <w:r>
              <w:rPr>
                <w:rFonts w:hint="eastAsia" w:ascii="宋体" w:hAnsi="宋体" w:cs="宋体"/>
                <w:b/>
                <w:bCs/>
                <w:sz w:val="24"/>
              </w:rPr>
              <w:t>商务技术文件</w:t>
            </w:r>
          </w:p>
          <w:p>
            <w:pPr>
              <w:numPr>
                <w:ilvl w:val="0"/>
                <w:numId w:val="10"/>
              </w:numPr>
              <w:spacing w:line="360" w:lineRule="auto"/>
              <w:ind w:firstLine="0"/>
              <w:rPr>
                <w:rFonts w:ascii="宋体" w:hAnsi="宋体" w:cs="宋体"/>
                <w:sz w:val="24"/>
              </w:rPr>
            </w:pPr>
            <w:r>
              <w:rPr>
                <w:rFonts w:hint="eastAsia" w:ascii="宋体" w:hAnsi="宋体" w:cs="宋体"/>
                <w:sz w:val="24"/>
              </w:rPr>
              <w:t>无串通竞标行为的承诺函（格式后附）；（</w:t>
            </w:r>
            <w:r>
              <w:rPr>
                <w:rFonts w:hint="eastAsia" w:ascii="宋体" w:hAnsi="宋体" w:cs="宋体"/>
                <w:b/>
                <w:sz w:val="24"/>
              </w:rPr>
              <w:t>必须提供，否则响应文件作无效处理</w:t>
            </w:r>
            <w:r>
              <w:rPr>
                <w:rFonts w:hint="eastAsia" w:ascii="宋体" w:hAnsi="宋体" w:cs="宋体"/>
                <w:sz w:val="24"/>
              </w:rPr>
              <w:t>）</w:t>
            </w:r>
          </w:p>
          <w:p>
            <w:pPr>
              <w:numPr>
                <w:ilvl w:val="0"/>
                <w:numId w:val="10"/>
              </w:numPr>
              <w:spacing w:line="360" w:lineRule="auto"/>
              <w:ind w:firstLine="0"/>
              <w:rPr>
                <w:rFonts w:ascii="宋体" w:hAnsi="宋体" w:cs="宋体"/>
                <w:sz w:val="24"/>
              </w:rPr>
            </w:pPr>
            <w:r>
              <w:rPr>
                <w:rFonts w:hint="eastAsia" w:ascii="宋体" w:hAnsi="宋体" w:cs="宋体"/>
                <w:sz w:val="24"/>
              </w:rPr>
              <w:t>法定代表人身份证明书及法定代表人有效身份证正反面复印件（格式后附）；（</w:t>
            </w:r>
            <w:r>
              <w:rPr>
                <w:rFonts w:hint="eastAsia" w:ascii="宋体" w:hAnsi="宋体" w:cs="宋体"/>
                <w:b/>
                <w:sz w:val="24"/>
              </w:rPr>
              <w:t>必须提供，否则响应文件作无效处理</w:t>
            </w:r>
            <w:r>
              <w:rPr>
                <w:rFonts w:hint="eastAsia" w:ascii="宋体" w:hAnsi="宋体" w:cs="宋体"/>
                <w:sz w:val="24"/>
              </w:rPr>
              <w:t>）</w:t>
            </w:r>
          </w:p>
          <w:p>
            <w:pPr>
              <w:numPr>
                <w:ilvl w:val="0"/>
                <w:numId w:val="10"/>
              </w:numPr>
              <w:spacing w:line="360" w:lineRule="auto"/>
              <w:ind w:firstLine="0"/>
              <w:rPr>
                <w:rFonts w:ascii="宋体" w:hAnsi="宋体" w:cs="宋体"/>
                <w:b/>
                <w:sz w:val="24"/>
              </w:rPr>
            </w:pPr>
            <w:r>
              <w:rPr>
                <w:rFonts w:hint="eastAsia" w:ascii="宋体" w:hAnsi="宋体" w:cs="宋体"/>
                <w:sz w:val="24"/>
              </w:rPr>
              <w:t>法定代表人授权委托书及委托代理人有效身份证正反面复印件（格式后附）；（</w:t>
            </w:r>
            <w:r>
              <w:rPr>
                <w:rFonts w:hint="eastAsia" w:ascii="宋体" w:hAnsi="宋体" w:cs="宋体"/>
                <w:b/>
                <w:sz w:val="24"/>
              </w:rPr>
              <w:t>委托时必须提供，否则响应文件作无效处理</w:t>
            </w:r>
            <w:r>
              <w:rPr>
                <w:rFonts w:hint="eastAsia" w:ascii="宋体" w:hAnsi="宋体" w:cs="宋体"/>
                <w:sz w:val="24"/>
              </w:rPr>
              <w:t>）</w:t>
            </w:r>
          </w:p>
          <w:p>
            <w:pPr>
              <w:numPr>
                <w:ilvl w:val="0"/>
                <w:numId w:val="10"/>
              </w:numPr>
              <w:spacing w:line="360" w:lineRule="auto"/>
              <w:ind w:firstLine="0"/>
              <w:rPr>
                <w:rFonts w:ascii="宋体" w:hAnsi="宋体" w:cs="宋体"/>
                <w:sz w:val="24"/>
              </w:rPr>
            </w:pPr>
            <w:r>
              <w:rPr>
                <w:rFonts w:hint="eastAsia" w:ascii="宋体" w:hAnsi="宋体" w:cs="宋体"/>
                <w:sz w:val="24"/>
              </w:rPr>
              <w:t>商务条款偏离表（格式后附）；（</w:t>
            </w:r>
            <w:r>
              <w:rPr>
                <w:rFonts w:hint="eastAsia" w:ascii="宋体" w:hAnsi="宋体" w:cs="宋体"/>
                <w:b/>
                <w:sz w:val="24"/>
              </w:rPr>
              <w:t>必须提供，否则响应文件作无效处理</w:t>
            </w:r>
            <w:r>
              <w:rPr>
                <w:rFonts w:hint="eastAsia" w:ascii="宋体" w:hAnsi="宋体" w:cs="宋体"/>
                <w:sz w:val="24"/>
              </w:rPr>
              <w:t>）</w:t>
            </w:r>
          </w:p>
          <w:p>
            <w:pPr>
              <w:numPr>
                <w:ilvl w:val="0"/>
                <w:numId w:val="10"/>
              </w:numPr>
              <w:spacing w:line="360" w:lineRule="auto"/>
              <w:ind w:firstLine="0"/>
              <w:rPr>
                <w:rFonts w:ascii="宋体" w:hAnsi="宋体" w:cs="宋体"/>
                <w:sz w:val="24"/>
              </w:rPr>
            </w:pPr>
            <w:r>
              <w:rPr>
                <w:rFonts w:hint="eastAsia" w:ascii="宋体" w:hAnsi="宋体" w:cs="宋体"/>
                <w:sz w:val="24"/>
              </w:rPr>
              <w:t>售后服务承诺；（</w:t>
            </w:r>
            <w:r>
              <w:rPr>
                <w:rFonts w:hint="eastAsia" w:ascii="宋体" w:hAnsi="宋体" w:cs="宋体"/>
                <w:b/>
                <w:sz w:val="24"/>
              </w:rPr>
              <w:t>必须提供，否则响应文件作无效处理</w:t>
            </w:r>
            <w:r>
              <w:rPr>
                <w:rFonts w:hint="eastAsia" w:ascii="宋体" w:hAnsi="宋体" w:cs="宋体"/>
                <w:sz w:val="24"/>
              </w:rPr>
              <w:t>）</w:t>
            </w:r>
          </w:p>
          <w:p>
            <w:pPr>
              <w:numPr>
                <w:ilvl w:val="0"/>
                <w:numId w:val="10"/>
              </w:numPr>
              <w:spacing w:line="360" w:lineRule="auto"/>
              <w:ind w:firstLine="0"/>
              <w:rPr>
                <w:rFonts w:ascii="宋体" w:hAnsi="宋体" w:cs="宋体"/>
                <w:sz w:val="24"/>
              </w:rPr>
            </w:pPr>
            <w:r>
              <w:rPr>
                <w:rFonts w:hint="eastAsia" w:ascii="宋体" w:hAnsi="宋体" w:cs="宋体"/>
                <w:sz w:val="24"/>
              </w:rPr>
              <w:t>配置清单（均不含报价）（格式后附）；（</w:t>
            </w:r>
            <w:r>
              <w:rPr>
                <w:rFonts w:hint="eastAsia" w:ascii="宋体" w:hAnsi="宋体" w:cs="宋体"/>
                <w:b/>
                <w:sz w:val="24"/>
              </w:rPr>
              <w:t>必须提供，否则响应文件作无效处理</w:t>
            </w:r>
            <w:r>
              <w:rPr>
                <w:rFonts w:hint="eastAsia" w:ascii="宋体" w:hAnsi="宋体" w:cs="宋体"/>
                <w:sz w:val="24"/>
              </w:rPr>
              <w:t>）</w:t>
            </w:r>
          </w:p>
          <w:p>
            <w:pPr>
              <w:numPr>
                <w:ilvl w:val="0"/>
                <w:numId w:val="10"/>
              </w:numPr>
              <w:spacing w:line="360" w:lineRule="auto"/>
              <w:ind w:firstLine="0"/>
              <w:rPr>
                <w:rFonts w:ascii="宋体" w:hAnsi="宋体" w:cs="宋体"/>
                <w:sz w:val="24"/>
              </w:rPr>
            </w:pPr>
            <w:r>
              <w:rPr>
                <w:rFonts w:hint="eastAsia" w:ascii="宋体" w:hAnsi="宋体" w:cs="宋体"/>
                <w:sz w:val="24"/>
              </w:rPr>
              <w:t>技术偏离表（格式后附）；（</w:t>
            </w:r>
            <w:r>
              <w:rPr>
                <w:rFonts w:hint="eastAsia" w:ascii="宋体" w:hAnsi="宋体" w:cs="宋体"/>
                <w:b/>
                <w:sz w:val="24"/>
              </w:rPr>
              <w:t>必须提供，否则响应文件作无效处理</w:t>
            </w:r>
            <w:r>
              <w:rPr>
                <w:rFonts w:hint="eastAsia" w:ascii="宋体" w:hAnsi="宋体" w:cs="宋体"/>
                <w:sz w:val="24"/>
              </w:rPr>
              <w:t>）</w:t>
            </w:r>
          </w:p>
          <w:p>
            <w:pPr>
              <w:numPr>
                <w:ilvl w:val="0"/>
                <w:numId w:val="10"/>
              </w:numPr>
              <w:spacing w:line="360" w:lineRule="auto"/>
              <w:ind w:firstLine="0"/>
              <w:rPr>
                <w:rFonts w:ascii="宋体" w:hAnsi="宋体" w:cs="宋体"/>
                <w:sz w:val="24"/>
              </w:rPr>
            </w:pPr>
            <w:r>
              <w:rPr>
                <w:rFonts w:hint="eastAsia" w:ascii="宋体" w:hAnsi="宋体" w:cs="宋体"/>
                <w:sz w:val="24"/>
              </w:rPr>
              <w:t>对应采购需求的技术需求、商务条款提供的其他文件资料；</w:t>
            </w:r>
          </w:p>
          <w:p>
            <w:pPr>
              <w:numPr>
                <w:ilvl w:val="0"/>
                <w:numId w:val="10"/>
              </w:numPr>
              <w:spacing w:line="360" w:lineRule="auto"/>
              <w:ind w:firstLine="0"/>
              <w:rPr>
                <w:rFonts w:ascii="宋体" w:hAnsi="宋体" w:cs="宋体"/>
                <w:sz w:val="24"/>
              </w:rPr>
            </w:pPr>
            <w:r>
              <w:rPr>
                <w:rFonts w:hint="eastAsia" w:ascii="宋体" w:hAnsi="宋体" w:cs="宋体"/>
                <w:sz w:val="24"/>
              </w:rPr>
              <w:t>供应商认为需要提供的其他有关资料。</w:t>
            </w:r>
          </w:p>
          <w:p>
            <w:pPr>
              <w:spacing w:line="360" w:lineRule="auto"/>
              <w:rPr>
                <w:rFonts w:ascii="宋体" w:hAnsi="宋体" w:cs="宋体"/>
                <w:b/>
                <w:sz w:val="24"/>
              </w:rPr>
            </w:pPr>
            <w:r>
              <w:rPr>
                <w:rFonts w:hint="eastAsia" w:ascii="宋体" w:hAnsi="宋体" w:cs="宋体"/>
                <w:b/>
                <w:sz w:val="24"/>
              </w:rPr>
              <w:t xml:space="preserve">注： </w:t>
            </w:r>
          </w:p>
          <w:p>
            <w:pPr>
              <w:numPr>
                <w:ilvl w:val="0"/>
                <w:numId w:val="11"/>
              </w:numPr>
              <w:spacing w:line="360" w:lineRule="auto"/>
              <w:rPr>
                <w:rFonts w:ascii="宋体" w:hAnsi="宋体" w:cs="宋体"/>
                <w:b/>
                <w:sz w:val="24"/>
              </w:rPr>
            </w:pPr>
            <w:r>
              <w:rPr>
                <w:rFonts w:hint="eastAsia" w:ascii="宋体" w:hAnsi="宋体" w:cs="宋体"/>
                <w:b/>
                <w:sz w:val="24"/>
              </w:rPr>
              <w:t>法定代表人授权委托书必须由法定代表人及委托代理人签字，并加盖供应商公章，否则响应文件作无效处理。</w:t>
            </w:r>
          </w:p>
          <w:p>
            <w:pPr>
              <w:numPr>
                <w:ilvl w:val="0"/>
                <w:numId w:val="11"/>
              </w:numPr>
              <w:spacing w:line="360" w:lineRule="auto"/>
              <w:rPr>
                <w:rFonts w:ascii="宋体" w:hAnsi="宋体" w:cs="宋体"/>
                <w:b/>
                <w:sz w:val="24"/>
              </w:rPr>
            </w:pPr>
            <w:r>
              <w:rPr>
                <w:rFonts w:hint="eastAsia" w:ascii="宋体" w:hAnsi="宋体" w:cs="宋体"/>
                <w:b/>
                <w:sz w:val="24"/>
              </w:rPr>
              <w:t>以上标明“必须提供”材料复印件的，必须加盖供应商公章，否则响应文件作无效处理。</w:t>
            </w:r>
          </w:p>
          <w:p>
            <w:pPr>
              <w:numPr>
                <w:ilvl w:val="0"/>
                <w:numId w:val="11"/>
              </w:numPr>
              <w:spacing w:line="360" w:lineRule="auto"/>
              <w:rPr>
                <w:rFonts w:ascii="宋体" w:hAnsi="宋体" w:cs="宋体"/>
                <w:b/>
                <w:sz w:val="24"/>
              </w:rPr>
            </w:pPr>
            <w:r>
              <w:rPr>
                <w:rFonts w:hint="eastAsia" w:ascii="宋体" w:hAnsi="宋体" w:cs="宋体"/>
                <w:b/>
                <w:sz w:val="24"/>
              </w:rPr>
              <w:t>以上材料未附格式的，由供应商自行拟定。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12.2</w:t>
            </w:r>
          </w:p>
        </w:tc>
        <w:tc>
          <w:tcPr>
            <w:tcW w:w="4446" w:type="pct"/>
          </w:tcPr>
          <w:p>
            <w:pPr>
              <w:spacing w:line="360" w:lineRule="auto"/>
              <w:rPr>
                <w:rFonts w:ascii="宋体" w:hAnsi="宋体" w:cs="宋体"/>
                <w:sz w:val="24"/>
              </w:rPr>
            </w:pPr>
            <w:r>
              <w:rPr>
                <w:rFonts w:hint="eastAsia" w:ascii="宋体" w:hAnsi="宋体" w:cs="宋体"/>
                <w:sz w:val="24"/>
              </w:rPr>
              <w:t>响应文件解密：</w:t>
            </w:r>
          </w:p>
          <w:p>
            <w:pPr>
              <w:numPr>
                <w:ilvl w:val="0"/>
                <w:numId w:val="12"/>
              </w:numPr>
              <w:spacing w:line="360" w:lineRule="auto"/>
              <w:ind w:firstLine="0"/>
              <w:rPr>
                <w:rFonts w:ascii="宋体" w:hAnsi="宋体" w:cs="宋体"/>
                <w:bCs/>
                <w:sz w:val="24"/>
              </w:rPr>
            </w:pPr>
            <w:r>
              <w:rPr>
                <w:rFonts w:hint="eastAsia" w:ascii="宋体" w:hAnsi="宋体" w:cs="宋体"/>
                <w:bCs/>
                <w:sz w:val="24"/>
              </w:rPr>
              <w:t>响应文件提交截止时间后，采购代理机构将通过广西政府采购网</w:t>
            </w:r>
            <w:r>
              <w:rPr>
                <w:rFonts w:hint="eastAsia" w:ascii="宋体" w:hAnsi="宋体" w:cs="宋体"/>
                <w:b/>
                <w:bCs/>
                <w:sz w:val="24"/>
              </w:rPr>
              <w:t>广西政府采购云平台</w:t>
            </w:r>
            <w:r>
              <w:rPr>
                <w:rFonts w:hint="eastAsia" w:ascii="宋体" w:hAnsi="宋体" w:cs="宋体"/>
                <w:bCs/>
                <w:sz w:val="24"/>
              </w:rPr>
              <w:t>向供应商发出响应文件的解密通知，供应商应在规定时间内使用数字证书（CA证书）登录广西政府采购网</w:t>
            </w:r>
            <w:r>
              <w:rPr>
                <w:rFonts w:hint="eastAsia" w:ascii="宋体" w:hAnsi="宋体" w:cs="宋体"/>
                <w:b/>
                <w:bCs/>
                <w:sz w:val="24"/>
              </w:rPr>
              <w:t>广西政府采购云平台</w:t>
            </w:r>
            <w:r>
              <w:rPr>
                <w:rFonts w:hint="eastAsia" w:ascii="宋体" w:hAnsi="宋体" w:cs="宋体"/>
                <w:bCs/>
                <w:sz w:val="24"/>
              </w:rPr>
              <w:t>对其响应文件进行解密，解密操作时长以平台倒计时时间（30分钟）为准。</w:t>
            </w:r>
          </w:p>
          <w:p>
            <w:pPr>
              <w:numPr>
                <w:ilvl w:val="0"/>
                <w:numId w:val="12"/>
              </w:numPr>
              <w:spacing w:line="360" w:lineRule="auto"/>
              <w:ind w:firstLine="0"/>
              <w:rPr>
                <w:rFonts w:ascii="宋体" w:hAnsi="宋体" w:cs="宋体"/>
                <w:sz w:val="24"/>
              </w:rPr>
            </w:pPr>
            <w:r>
              <w:rPr>
                <w:rFonts w:hint="eastAsia" w:ascii="宋体" w:hAnsi="宋体" w:cs="宋体"/>
                <w:sz w:val="24"/>
              </w:rPr>
              <w:t>若供应商在规定时间内无法解密或解密失败，可以以电子备份响应文件作为依据【在接到无法解密或解密失败的通知后，供应商可根据自身实际情况按通知时要求的时间提交电子备份响应文件】，若电子备份响应文件与</w:t>
            </w:r>
            <w:r>
              <w:rPr>
                <w:rFonts w:hint="eastAsia" w:ascii="宋体" w:hAnsi="宋体" w:cs="宋体"/>
                <w:b/>
                <w:bCs/>
                <w:sz w:val="24"/>
              </w:rPr>
              <w:t>广西政府采购云平台</w:t>
            </w:r>
            <w:r>
              <w:rPr>
                <w:rFonts w:hint="eastAsia" w:ascii="宋体" w:hAnsi="宋体" w:cs="宋体"/>
                <w:sz w:val="24"/>
              </w:rPr>
              <w:t>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15.2</w:t>
            </w:r>
          </w:p>
        </w:tc>
        <w:tc>
          <w:tcPr>
            <w:tcW w:w="4446" w:type="pct"/>
          </w:tcPr>
          <w:p>
            <w:pPr>
              <w:spacing w:line="360" w:lineRule="auto"/>
              <w:ind w:firstLine="480" w:firstLineChars="200"/>
              <w:rPr>
                <w:rFonts w:ascii="宋体" w:hAnsi="宋体" w:cs="宋体"/>
                <w:sz w:val="24"/>
              </w:rPr>
            </w:pPr>
            <w:r>
              <w:rPr>
                <w:rFonts w:hint="eastAsia" w:ascii="宋体" w:hAnsi="宋体" w:cs="宋体"/>
                <w:sz w:val="24"/>
              </w:rPr>
              <w:t>竞标报价的价格构成为：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pPr>
              <w:spacing w:line="360" w:lineRule="auto"/>
              <w:rPr>
                <w:rFonts w:ascii="宋体" w:hAnsi="宋体" w:cs="宋体"/>
                <w:b/>
                <w:sz w:val="24"/>
              </w:rPr>
            </w:pPr>
            <w:r>
              <w:rPr>
                <w:rFonts w:hint="eastAsia" w:ascii="宋体" w:hAnsi="宋体" w:cs="宋体"/>
                <w:b/>
                <w:sz w:val="24"/>
              </w:rPr>
              <w:t>☑竞标报价包含验收费用</w:t>
            </w:r>
          </w:p>
          <w:p>
            <w:pPr>
              <w:spacing w:line="360" w:lineRule="auto"/>
              <w:rPr>
                <w:rFonts w:ascii="宋体" w:hAnsi="宋体" w:cs="宋体"/>
                <w:sz w:val="24"/>
              </w:rPr>
            </w:pPr>
            <w:r>
              <w:rPr>
                <w:rFonts w:hint="eastAsia" w:ascii="宋体" w:hAnsi="宋体" w:cs="宋体"/>
                <w:b/>
                <w:sz w:val="24"/>
              </w:rPr>
              <w:t>□竞标报价不包含验收费用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16.2</w:t>
            </w:r>
          </w:p>
        </w:tc>
        <w:tc>
          <w:tcPr>
            <w:tcW w:w="4446" w:type="pct"/>
          </w:tcPr>
          <w:p>
            <w:pPr>
              <w:pStyle w:val="7"/>
              <w:widowControl w:val="0"/>
              <w:tabs>
                <w:tab w:val="clear" w:pos="454"/>
              </w:tabs>
              <w:spacing w:afterLines="0" w:line="360" w:lineRule="auto"/>
              <w:ind w:left="324" w:hanging="324" w:hangingChars="135"/>
              <w:jc w:val="both"/>
              <w:rPr>
                <w:rFonts w:ascii="宋体" w:hAnsi="宋体" w:cs="宋体"/>
                <w:kern w:val="2"/>
                <w:szCs w:val="24"/>
              </w:rPr>
            </w:pPr>
            <w:r>
              <w:rPr>
                <w:rFonts w:hint="eastAsia" w:ascii="宋体" w:hAnsi="宋体" w:cs="宋体"/>
                <w:kern w:val="2"/>
                <w:szCs w:val="24"/>
              </w:rPr>
              <w:t>竞标有效期：自响应文件提交截止之日起</w:t>
            </w:r>
            <w:r>
              <w:rPr>
                <w:rFonts w:hint="eastAsia" w:ascii="宋体" w:hAnsi="宋体" w:cs="宋体"/>
                <w:kern w:val="2"/>
                <w:szCs w:val="24"/>
                <w:u w:val="single"/>
              </w:rPr>
              <w:t xml:space="preserve"> 60  </w:t>
            </w:r>
            <w:r>
              <w:rPr>
                <w:rFonts w:hint="eastAsia" w:ascii="宋体" w:hAnsi="宋体" w:cs="宋体"/>
                <w:kern w:val="2"/>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17.1</w:t>
            </w:r>
          </w:p>
        </w:tc>
        <w:tc>
          <w:tcPr>
            <w:tcW w:w="4446" w:type="pct"/>
          </w:tcPr>
          <w:p>
            <w:pPr>
              <w:spacing w:line="360" w:lineRule="auto"/>
              <w:rPr>
                <w:rFonts w:ascii="宋体" w:hAnsi="宋体" w:cs="宋体"/>
                <w:sz w:val="24"/>
              </w:rPr>
            </w:pPr>
            <w:r>
              <w:rPr>
                <w:rFonts w:hint="eastAsia" w:ascii="宋体" w:hAnsi="宋体" w:cs="宋体"/>
                <w:sz w:val="24"/>
              </w:rPr>
              <w:t>竞标保证金的金额：详见竞争性谈判公告。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18.2</w:t>
            </w:r>
          </w:p>
        </w:tc>
        <w:tc>
          <w:tcPr>
            <w:tcW w:w="4446" w:type="pct"/>
          </w:tcPr>
          <w:p>
            <w:pPr>
              <w:spacing w:line="360" w:lineRule="auto"/>
              <w:rPr>
                <w:rFonts w:ascii="宋体" w:hAnsi="宋体" w:cs="宋体"/>
                <w:sz w:val="24"/>
              </w:rPr>
            </w:pPr>
            <w:r>
              <w:rPr>
                <w:rFonts w:hint="eastAsia" w:ascii="宋体" w:hAnsi="宋体" w:cs="宋体"/>
                <w:sz w:val="24"/>
              </w:rPr>
              <w:t>响应文件份数：加密电子响应文件 1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20.1</w:t>
            </w:r>
          </w:p>
        </w:tc>
        <w:tc>
          <w:tcPr>
            <w:tcW w:w="4446" w:type="pct"/>
          </w:tcPr>
          <w:p>
            <w:pPr>
              <w:spacing w:line="360" w:lineRule="auto"/>
              <w:rPr>
                <w:rFonts w:ascii="宋体" w:hAnsi="宋体" w:cs="宋体"/>
                <w:sz w:val="24"/>
              </w:rPr>
            </w:pPr>
            <w:r>
              <w:rPr>
                <w:rFonts w:hint="eastAsia" w:ascii="宋体" w:hAnsi="宋体" w:cs="宋体"/>
                <w:sz w:val="24"/>
              </w:rPr>
              <w:t>响应文件提交起止时间：详见竞争性谈判公告</w:t>
            </w:r>
          </w:p>
          <w:p>
            <w:pPr>
              <w:spacing w:line="360" w:lineRule="auto"/>
              <w:rPr>
                <w:rFonts w:ascii="宋体" w:hAnsi="宋体" w:cs="宋体"/>
                <w:sz w:val="24"/>
              </w:rPr>
            </w:pPr>
            <w:r>
              <w:rPr>
                <w:rFonts w:hint="eastAsia" w:ascii="宋体" w:hAnsi="宋体" w:cs="宋体"/>
                <w:sz w:val="24"/>
              </w:rPr>
              <w:t>响应文件提交截止时间：详见竞争性谈判公告</w:t>
            </w:r>
          </w:p>
          <w:p>
            <w:pPr>
              <w:spacing w:line="360" w:lineRule="auto"/>
              <w:rPr>
                <w:rFonts w:ascii="宋体" w:hAnsi="宋体" w:cs="宋体"/>
                <w:sz w:val="24"/>
              </w:rPr>
            </w:pPr>
            <w:r>
              <w:rPr>
                <w:rFonts w:hint="eastAsia" w:ascii="宋体" w:hAnsi="宋体" w:cs="宋体"/>
                <w:sz w:val="24"/>
              </w:rPr>
              <w:t>响应文件提交地点：详见竞争性谈判公告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24.1</w:t>
            </w:r>
          </w:p>
        </w:tc>
        <w:tc>
          <w:tcPr>
            <w:tcW w:w="4446" w:type="pct"/>
          </w:tcPr>
          <w:p>
            <w:pPr>
              <w:spacing w:line="360" w:lineRule="auto"/>
              <w:rPr>
                <w:rFonts w:ascii="宋体" w:hAnsi="宋体" w:cs="宋体"/>
                <w:sz w:val="24"/>
                <w:u w:val="single"/>
              </w:rPr>
            </w:pPr>
            <w:r>
              <w:rPr>
                <w:rFonts w:hint="eastAsia" w:ascii="宋体" w:hAnsi="宋体" w:cs="宋体"/>
                <w:sz w:val="24"/>
              </w:rPr>
              <w:t>谈判小组的人数：</w:t>
            </w:r>
            <w:r>
              <w:rPr>
                <w:rFonts w:hint="eastAsia" w:ascii="宋体" w:hAnsi="宋体" w:cs="宋体"/>
                <w:sz w:val="24"/>
                <w:u w:val="single"/>
              </w:rPr>
              <w:t xml:space="preserve">   3  </w:t>
            </w:r>
            <w:r>
              <w:rPr>
                <w:rFonts w:hint="eastAsia" w:ascii="宋体" w:hAnsi="宋体" w:cs="宋体"/>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25</w:t>
            </w:r>
          </w:p>
        </w:tc>
        <w:tc>
          <w:tcPr>
            <w:tcW w:w="4446" w:type="pct"/>
          </w:tcPr>
          <w:p>
            <w:pPr>
              <w:spacing w:line="360" w:lineRule="auto"/>
              <w:rPr>
                <w:rFonts w:ascii="宋体" w:hAnsi="宋体" w:cs="宋体"/>
                <w:sz w:val="24"/>
              </w:rPr>
            </w:pPr>
            <w:r>
              <w:rPr>
                <w:rFonts w:hint="eastAsia" w:ascii="宋体" w:hAnsi="宋体" w:cs="宋体"/>
                <w:sz w:val="24"/>
              </w:rPr>
              <w:t>响应文件开启时间：详见竞争性谈判公告。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Merge w:val="restart"/>
            <w:vAlign w:val="center"/>
          </w:tcPr>
          <w:p>
            <w:pPr>
              <w:spacing w:line="360" w:lineRule="auto"/>
              <w:rPr>
                <w:rFonts w:ascii="宋体" w:hAnsi="宋体" w:cs="宋体"/>
                <w:sz w:val="24"/>
              </w:rPr>
            </w:pPr>
            <w:r>
              <w:rPr>
                <w:rFonts w:hint="eastAsia" w:ascii="宋体" w:hAnsi="宋体" w:cs="宋体"/>
                <w:sz w:val="24"/>
              </w:rPr>
              <w:t>26</w:t>
            </w:r>
          </w:p>
        </w:tc>
        <w:tc>
          <w:tcPr>
            <w:tcW w:w="4446" w:type="pct"/>
          </w:tcPr>
          <w:p>
            <w:pPr>
              <w:spacing w:line="360" w:lineRule="auto"/>
              <w:rPr>
                <w:rFonts w:ascii="宋体" w:hAnsi="宋体" w:cs="宋体"/>
                <w:sz w:val="24"/>
                <w:highlight w:val="none"/>
              </w:rPr>
            </w:pPr>
            <w:r>
              <w:rPr>
                <w:rFonts w:hint="eastAsia" w:ascii="宋体" w:hAnsi="宋体" w:cs="宋体"/>
                <w:sz w:val="24"/>
                <w:highlight w:val="none"/>
              </w:rPr>
              <w:t>商务条款评审中允许负偏离的条款数为</w:t>
            </w:r>
            <w:r>
              <w:rPr>
                <w:rFonts w:hint="eastAsia" w:ascii="宋体" w:hAnsi="宋体" w:cs="宋体"/>
                <w:sz w:val="24"/>
                <w:highlight w:val="none"/>
                <w:u w:val="single"/>
              </w:rPr>
              <w:t xml:space="preserve"> 0  </w:t>
            </w:r>
            <w:r>
              <w:rPr>
                <w:rFonts w:hint="eastAsia" w:ascii="宋体" w:hAnsi="宋体" w:cs="宋体"/>
                <w:sz w:val="24"/>
                <w:highlight w:val="none"/>
              </w:rPr>
              <w:t>项。</w:t>
            </w:r>
          </w:p>
          <w:p>
            <w:pPr>
              <w:spacing w:line="360" w:lineRule="auto"/>
              <w:rPr>
                <w:rFonts w:ascii="宋体" w:hAnsi="宋体" w:cs="宋体"/>
                <w:sz w:val="24"/>
              </w:rPr>
            </w:pPr>
            <w:r>
              <w:rPr>
                <w:rFonts w:hint="eastAsia" w:ascii="宋体" w:hAnsi="宋体" w:cs="宋体"/>
                <w:sz w:val="24"/>
                <w:highlight w:val="none"/>
              </w:rPr>
              <w:t>技术需求评审中允许负偏离的条款数为</w:t>
            </w:r>
            <w:r>
              <w:rPr>
                <w:rFonts w:hint="eastAsia" w:ascii="宋体" w:hAnsi="宋体" w:cs="宋体"/>
                <w:sz w:val="24"/>
                <w:highlight w:val="none"/>
                <w:u w:val="single"/>
              </w:rPr>
              <w:t xml:space="preserve"> 1 </w:t>
            </w:r>
            <w:r>
              <w:rPr>
                <w:rFonts w:hint="eastAsia" w:ascii="宋体" w:hAnsi="宋体" w:cs="宋体"/>
                <w:sz w:val="24"/>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Merge w:val="continue"/>
            <w:vAlign w:val="center"/>
          </w:tcPr>
          <w:p>
            <w:pPr>
              <w:spacing w:line="360" w:lineRule="auto"/>
              <w:rPr>
                <w:rFonts w:ascii="宋体" w:hAnsi="宋体" w:cs="宋体"/>
                <w:sz w:val="24"/>
              </w:rPr>
            </w:pPr>
          </w:p>
        </w:tc>
        <w:tc>
          <w:tcPr>
            <w:tcW w:w="4446" w:type="pct"/>
          </w:tcPr>
          <w:p>
            <w:pPr>
              <w:spacing w:line="360" w:lineRule="auto"/>
              <w:rPr>
                <w:rFonts w:ascii="宋体" w:hAnsi="宋体" w:cs="宋体"/>
                <w:sz w:val="24"/>
              </w:rPr>
            </w:pPr>
            <w:r>
              <w:rPr>
                <w:rFonts w:hint="eastAsia" w:ascii="宋体" w:hAnsi="宋体" w:cs="宋体"/>
                <w:sz w:val="24"/>
              </w:rPr>
              <w:t>谈判的顺序：</w:t>
            </w:r>
          </w:p>
          <w:p>
            <w:pPr>
              <w:spacing w:line="360" w:lineRule="auto"/>
              <w:rPr>
                <w:rFonts w:ascii="宋体" w:hAnsi="宋体" w:cs="宋体"/>
                <w:sz w:val="24"/>
              </w:rPr>
            </w:pPr>
            <w:r>
              <w:rPr>
                <w:rFonts w:hint="eastAsia" w:ascii="宋体" w:hAnsi="宋体" w:cs="宋体"/>
                <w:sz w:val="24"/>
              </w:rPr>
              <w:t xml:space="preserve">□提交响应文件的先后顺序。通知谈判时，若某供应商不在通知现场时（该供应商排序到最后谈判），按照签到的顺序由其下一位供应商先参与谈判。 </w:t>
            </w:r>
          </w:p>
          <w:p>
            <w:pPr>
              <w:spacing w:line="360" w:lineRule="auto"/>
              <w:rPr>
                <w:rFonts w:ascii="宋体" w:hAnsi="宋体" w:cs="宋体"/>
                <w:sz w:val="24"/>
              </w:rPr>
            </w:pPr>
            <w:r>
              <w:rPr>
                <w:rFonts w:hint="eastAsia" w:ascii="宋体" w:hAnsi="宋体" w:cs="宋体"/>
                <w:sz w:val="24"/>
              </w:rPr>
              <w:t>☑随机排序。</w:t>
            </w:r>
          </w:p>
          <w:p>
            <w:pPr>
              <w:spacing w:line="360" w:lineRule="auto"/>
              <w:rPr>
                <w:rFonts w:ascii="宋体" w:hAnsi="宋体" w:cs="宋体"/>
                <w:sz w:val="24"/>
              </w:rPr>
            </w:pPr>
            <w:r>
              <w:rPr>
                <w:rFonts w:hint="eastAsia" w:ascii="宋体" w:hAnsi="宋体" w:cs="宋体"/>
                <w:sz w:val="24"/>
              </w:rPr>
              <w:t>参与谈判前，供应商法定代表人或者委托代理人必须向谈判小组出示本人有效证件原件[有效证件可以是身份证（含临时身份证明）、机动车驾驶证、社会保障卡或护照的其中一项]，若参与谈判的委托代理人不是响应文件中授权的委托代理人时，应当同时出示有效的法定代表人授权委托书原件，否则谈判小组将拒绝其参与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Merge w:val="continue"/>
            <w:vAlign w:val="center"/>
          </w:tcPr>
          <w:p>
            <w:pPr>
              <w:spacing w:line="360" w:lineRule="auto"/>
              <w:rPr>
                <w:rFonts w:ascii="宋体" w:hAnsi="宋体" w:cs="宋体"/>
                <w:sz w:val="24"/>
              </w:rPr>
            </w:pPr>
          </w:p>
        </w:tc>
        <w:tc>
          <w:tcPr>
            <w:tcW w:w="4446" w:type="pct"/>
          </w:tcPr>
          <w:p>
            <w:pPr>
              <w:spacing w:line="360" w:lineRule="auto"/>
              <w:rPr>
                <w:rFonts w:ascii="宋体" w:hAnsi="宋体" w:cs="宋体"/>
                <w:sz w:val="24"/>
              </w:rPr>
            </w:pPr>
            <w:r>
              <w:rPr>
                <w:rFonts w:hint="eastAsia" w:ascii="宋体" w:hAnsi="宋体" w:cs="宋体"/>
                <w:sz w:val="24"/>
              </w:rPr>
              <w:t>评审价相同时，按照最后报价由低到高顺序依次推荐；最后报价相同时，按以下原则确定成交候选人的顺序：</w:t>
            </w:r>
          </w:p>
          <w:p>
            <w:pPr>
              <w:spacing w:line="360" w:lineRule="auto"/>
              <w:rPr>
                <w:rFonts w:ascii="宋体" w:hAnsi="宋体" w:cs="宋体"/>
                <w:sz w:val="24"/>
              </w:rPr>
            </w:pPr>
            <w:r>
              <w:rPr>
                <w:rFonts w:hint="eastAsia" w:ascii="宋体" w:hAnsi="宋体" w:cs="宋体"/>
                <w:sz w:val="24"/>
              </w:rPr>
              <w:t>☑依次按节能、环保产品累计金额高的优先、带“▲”的实质性要求正偏离项数多的优先、均无正偏离或者正偏离项数一致时负偏离项数少的优先、质量保证期长优先、交货期短优先、故障响应时间短优先的顺序排列。</w:t>
            </w:r>
          </w:p>
          <w:p>
            <w:pPr>
              <w:spacing w:line="360" w:lineRule="auto"/>
              <w:rPr>
                <w:rFonts w:ascii="宋体" w:hAnsi="宋体" w:cs="宋体"/>
                <w:sz w:val="24"/>
              </w:rPr>
            </w:pPr>
            <w:r>
              <w:rPr>
                <w:rFonts w:hint="eastAsia" w:ascii="宋体" w:hAnsi="宋体" w:cs="宋体"/>
                <w:sz w:val="24"/>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28.1</w:t>
            </w:r>
          </w:p>
        </w:tc>
        <w:tc>
          <w:tcPr>
            <w:tcW w:w="4446" w:type="pct"/>
          </w:tcPr>
          <w:p>
            <w:pPr>
              <w:spacing w:line="360" w:lineRule="auto"/>
              <w:rPr>
                <w:rFonts w:ascii="宋体" w:hAnsi="宋体" w:cs="宋体"/>
                <w:sz w:val="24"/>
              </w:rPr>
            </w:pPr>
            <w:r>
              <w:rPr>
                <w:rFonts w:hint="eastAsia" w:ascii="宋体" w:hAnsi="宋体" w:cs="宋体"/>
                <w:sz w:val="24"/>
              </w:rPr>
              <w:t>履约保证金金额：</w:t>
            </w:r>
            <w:r>
              <w:rPr>
                <w:rFonts w:hint="eastAsia" w:ascii="宋体" w:hAnsi="宋体" w:cs="宋体"/>
                <w:b/>
                <w:bCs/>
                <w:sz w:val="24"/>
              </w:rPr>
              <w:t>按成交金额的</w:t>
            </w:r>
            <w:r>
              <w:rPr>
                <w:rFonts w:hint="eastAsia" w:ascii="宋体" w:hAnsi="宋体" w:cs="宋体"/>
                <w:b/>
                <w:bCs/>
                <w:sz w:val="24"/>
                <w:u w:val="single"/>
              </w:rPr>
              <w:t xml:space="preserve"> 0  </w:t>
            </w:r>
            <w:r>
              <w:rPr>
                <w:rFonts w:hint="eastAsia" w:ascii="宋体" w:hAnsi="宋体" w:cs="宋体"/>
                <w:b/>
                <w:bCs/>
                <w:sz w:val="24"/>
              </w:rPr>
              <w:t>%。</w:t>
            </w:r>
          </w:p>
          <w:p>
            <w:pPr>
              <w:spacing w:line="360" w:lineRule="auto"/>
              <w:rPr>
                <w:rFonts w:ascii="宋体" w:hAnsi="宋体" w:cs="宋体"/>
                <w:sz w:val="24"/>
              </w:rPr>
            </w:pPr>
            <w:r>
              <w:rPr>
                <w:rFonts w:hint="eastAsia" w:ascii="宋体" w:hAnsi="宋体" w:cs="宋体"/>
                <w:sz w:val="24"/>
              </w:rPr>
              <w:t>履约保证金提交方式：银行转账、支票、汇票、本票或者金融、担保机构出具的保函等非现金方式。</w:t>
            </w:r>
          </w:p>
          <w:p>
            <w:pPr>
              <w:wordWrap w:val="0"/>
              <w:topLinePunct/>
              <w:spacing w:line="360" w:lineRule="auto"/>
              <w:rPr>
                <w:rFonts w:ascii="宋体" w:hAnsi="宋体" w:cs="宋体"/>
                <w:sz w:val="24"/>
                <w:u w:val="single"/>
              </w:rPr>
            </w:pPr>
            <w:r>
              <w:rPr>
                <w:rFonts w:hint="eastAsia" w:ascii="宋体" w:hAnsi="宋体" w:cs="宋体"/>
                <w:sz w:val="24"/>
              </w:rPr>
              <w:t>履约保证金退付方式、时间及条件：</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spacing w:line="360" w:lineRule="auto"/>
              <w:rPr>
                <w:rFonts w:ascii="宋体" w:hAnsi="宋体" w:cs="宋体"/>
                <w:sz w:val="24"/>
              </w:rPr>
            </w:pPr>
            <w:r>
              <w:rPr>
                <w:rFonts w:hint="eastAsia" w:ascii="宋体" w:hAnsi="宋体" w:cs="宋体"/>
                <w:sz w:val="24"/>
              </w:rPr>
              <w:t>履约保证金指定账户：</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开户行行号：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银行账号：</w:t>
            </w:r>
            <w:r>
              <w:rPr>
                <w:rFonts w:hint="eastAsia" w:ascii="宋体" w:hAnsi="宋体" w:cs="宋体"/>
                <w:sz w:val="24"/>
                <w:u w:val="single"/>
              </w:rPr>
              <w:t xml:space="preserve">                </w:t>
            </w:r>
          </w:p>
          <w:p>
            <w:pPr>
              <w:spacing w:line="360" w:lineRule="auto"/>
              <w:ind w:left="480" w:hanging="480" w:hangingChars="200"/>
              <w:rPr>
                <w:rFonts w:ascii="宋体" w:hAnsi="宋体" w:cs="宋体"/>
                <w:sz w:val="24"/>
              </w:rPr>
            </w:pPr>
            <w:r>
              <w:rPr>
                <w:rFonts w:hint="eastAsia" w:ascii="宋体" w:hAnsi="宋体" w:cs="宋体"/>
                <w:sz w:val="24"/>
              </w:rPr>
              <w:t>备注：</w:t>
            </w:r>
          </w:p>
          <w:p>
            <w:pPr>
              <w:numPr>
                <w:ilvl w:val="0"/>
                <w:numId w:val="13"/>
              </w:numPr>
              <w:spacing w:line="360" w:lineRule="auto"/>
              <w:rPr>
                <w:rFonts w:ascii="宋体" w:hAnsi="宋体" w:cs="宋体"/>
                <w:b/>
                <w:sz w:val="24"/>
              </w:rPr>
            </w:pPr>
            <w:bookmarkStart w:id="54" w:name="_Hlk54170335"/>
            <w:r>
              <w:rPr>
                <w:rFonts w:hint="eastAsia" w:ascii="宋体" w:hAnsi="宋体" w:cs="宋体"/>
                <w:b/>
                <w:sz w:val="24"/>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54"/>
          </w:p>
          <w:p>
            <w:pPr>
              <w:numPr>
                <w:ilvl w:val="0"/>
                <w:numId w:val="13"/>
              </w:numPr>
              <w:spacing w:line="360" w:lineRule="auto"/>
              <w:rPr>
                <w:rFonts w:ascii="宋体" w:hAnsi="宋体" w:cs="宋体"/>
                <w:b/>
                <w:sz w:val="24"/>
              </w:rPr>
            </w:pPr>
            <w:r>
              <w:rPr>
                <w:rFonts w:hint="eastAsia" w:ascii="宋体" w:hAnsi="宋体" w:cs="宋体"/>
                <w:b/>
                <w:sz w:val="24"/>
              </w:rPr>
              <w:t>履约保证金不足额缴纳的，或者金融、担保机构出具的保函额度不足的或者保函有效期低于合同履行期限（即签订采购合同之日起至履行完合同约定的权利及义务之日止）的，不予签订合同。</w:t>
            </w:r>
          </w:p>
          <w:p>
            <w:pPr>
              <w:numPr>
                <w:ilvl w:val="0"/>
                <w:numId w:val="13"/>
              </w:numPr>
              <w:spacing w:line="360" w:lineRule="auto"/>
              <w:rPr>
                <w:rFonts w:ascii="宋体" w:hAnsi="宋体" w:cs="宋体"/>
                <w:sz w:val="24"/>
              </w:rPr>
            </w:pPr>
            <w:r>
              <w:rPr>
                <w:rFonts w:hint="eastAsia" w:ascii="宋体" w:hAnsi="宋体" w:cs="宋体"/>
                <w:b/>
                <w:sz w:val="24"/>
              </w:rPr>
              <w:t>采用金融、担保机构出具的保函的，必须为无条件保函，否则不予签订合同。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29.1</w:t>
            </w:r>
          </w:p>
        </w:tc>
        <w:tc>
          <w:tcPr>
            <w:tcW w:w="4446" w:type="pct"/>
          </w:tcPr>
          <w:p>
            <w:pPr>
              <w:autoSpaceDE w:val="0"/>
              <w:autoSpaceDN w:val="0"/>
              <w:spacing w:line="360" w:lineRule="auto"/>
              <w:rPr>
                <w:rFonts w:ascii="宋体" w:hAnsi="宋体" w:cs="宋体"/>
                <w:sz w:val="24"/>
              </w:rPr>
            </w:pPr>
            <w:r>
              <w:rPr>
                <w:rFonts w:hint="eastAsia" w:ascii="宋体" w:hAnsi="宋体" w:cs="宋体"/>
                <w:b/>
                <w:bCs/>
                <w:sz w:val="24"/>
              </w:rPr>
              <w:t>签订合同携带的证明材料：</w:t>
            </w:r>
            <w:r>
              <w:rPr>
                <w:rFonts w:hint="eastAsia" w:ascii="宋体" w:hAnsi="宋体" w:cs="宋体"/>
                <w:sz w:val="24"/>
              </w:rPr>
              <w:t xml:space="preserve"> </w:t>
            </w:r>
          </w:p>
          <w:p>
            <w:pPr>
              <w:autoSpaceDE w:val="0"/>
              <w:autoSpaceDN w:val="0"/>
              <w:spacing w:line="360" w:lineRule="auto"/>
              <w:ind w:firstLine="480" w:firstLineChars="200"/>
              <w:rPr>
                <w:rFonts w:ascii="宋体" w:hAnsi="宋体" w:cs="宋体"/>
                <w:sz w:val="24"/>
              </w:rPr>
            </w:pPr>
            <w:r>
              <w:rPr>
                <w:rFonts w:hint="eastAsia" w:ascii="宋体" w:hAnsi="宋体" w:cs="宋体"/>
                <w:sz w:val="24"/>
              </w:rPr>
              <w:t>委托代理人负责签订合同的，须携带授权委托书及委托代理人身份证原件等其他资格证件。</w:t>
            </w:r>
          </w:p>
          <w:p>
            <w:pPr>
              <w:spacing w:line="360" w:lineRule="auto"/>
              <w:ind w:firstLine="480" w:firstLineChars="200"/>
              <w:rPr>
                <w:rFonts w:ascii="宋体" w:hAnsi="宋体" w:cs="宋体"/>
                <w:sz w:val="24"/>
              </w:rPr>
            </w:pPr>
            <w:r>
              <w:rPr>
                <w:rFonts w:hint="eastAsia" w:ascii="宋体" w:hAnsi="宋体" w:cs="宋体"/>
                <w:sz w:val="24"/>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30</w:t>
            </w:r>
          </w:p>
        </w:tc>
        <w:tc>
          <w:tcPr>
            <w:tcW w:w="4446" w:type="pct"/>
          </w:tcPr>
          <w:p>
            <w:pPr>
              <w:pStyle w:val="13"/>
              <w:spacing w:line="360" w:lineRule="auto"/>
              <w:rPr>
                <w:rFonts w:hAnsi="宋体" w:cs="宋体"/>
                <w:b/>
                <w:bCs/>
                <w:kern w:val="2"/>
                <w:sz w:val="24"/>
                <w:szCs w:val="24"/>
              </w:rPr>
            </w:pPr>
            <w:r>
              <w:rPr>
                <w:rFonts w:hint="eastAsia" w:hAnsi="宋体" w:cs="宋体"/>
                <w:b/>
                <w:bCs/>
                <w:kern w:val="2"/>
                <w:sz w:val="24"/>
                <w:szCs w:val="24"/>
              </w:rPr>
              <w:t>政府采购合同公告：</w:t>
            </w:r>
          </w:p>
          <w:p>
            <w:pPr>
              <w:spacing w:line="360" w:lineRule="auto"/>
              <w:ind w:firstLine="480" w:firstLineChars="200"/>
              <w:rPr>
                <w:rFonts w:ascii="宋体" w:hAnsi="宋体" w:cs="宋体"/>
                <w:sz w:val="24"/>
              </w:rPr>
            </w:pPr>
            <w:r>
              <w:rPr>
                <w:rFonts w:hint="eastAsia" w:ascii="宋体" w:hAnsi="宋体" w:cs="宋体"/>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31.2</w:t>
            </w:r>
          </w:p>
        </w:tc>
        <w:tc>
          <w:tcPr>
            <w:tcW w:w="4446" w:type="pct"/>
          </w:tcPr>
          <w:p>
            <w:pPr>
              <w:spacing w:line="360" w:lineRule="auto"/>
              <w:rPr>
                <w:rFonts w:ascii="宋体" w:hAnsi="宋体" w:cs="宋体"/>
                <w:sz w:val="24"/>
              </w:rPr>
            </w:pPr>
            <w:r>
              <w:rPr>
                <w:rFonts w:hint="eastAsia" w:ascii="宋体" w:hAnsi="宋体" w:cs="宋体"/>
                <w:sz w:val="24"/>
              </w:rPr>
              <w:t>接收质疑函方式：以书面形式。</w:t>
            </w:r>
          </w:p>
          <w:p>
            <w:pPr>
              <w:pStyle w:val="13"/>
              <w:spacing w:line="360" w:lineRule="auto"/>
              <w:rPr>
                <w:rFonts w:hAnsi="宋体" w:cs="宋体"/>
                <w:kern w:val="2"/>
                <w:sz w:val="24"/>
                <w:szCs w:val="24"/>
              </w:rPr>
            </w:pPr>
            <w:r>
              <w:rPr>
                <w:rFonts w:hint="eastAsia" w:hAnsi="宋体" w:cs="宋体"/>
                <w:kern w:val="2"/>
                <w:sz w:val="24"/>
                <w:szCs w:val="24"/>
              </w:rPr>
              <w:t>质疑联系部门及联系方式：</w:t>
            </w:r>
          </w:p>
          <w:p>
            <w:pPr>
              <w:pStyle w:val="13"/>
              <w:spacing w:line="360" w:lineRule="auto"/>
              <w:rPr>
                <w:rFonts w:hAnsi="宋体" w:cs="宋体"/>
                <w:kern w:val="2"/>
                <w:sz w:val="24"/>
                <w:szCs w:val="24"/>
              </w:rPr>
            </w:pPr>
            <w:r>
              <w:rPr>
                <w:rFonts w:hint="eastAsia" w:hAnsi="宋体" w:cs="宋体"/>
                <w:sz w:val="24"/>
                <w:szCs w:val="24"/>
              </w:rPr>
              <w:t>单位名称：广西隆泰招标代理有限公司</w:t>
            </w:r>
          </w:p>
          <w:p>
            <w:pPr>
              <w:pStyle w:val="13"/>
              <w:spacing w:line="360" w:lineRule="auto"/>
              <w:rPr>
                <w:rFonts w:hAnsi="宋体" w:cs="宋体"/>
                <w:kern w:val="2"/>
                <w:sz w:val="24"/>
                <w:szCs w:val="24"/>
              </w:rPr>
            </w:pPr>
            <w:r>
              <w:rPr>
                <w:rFonts w:hint="eastAsia" w:hAnsi="宋体" w:cs="宋体"/>
                <w:kern w:val="2"/>
                <w:sz w:val="24"/>
                <w:szCs w:val="24"/>
              </w:rPr>
              <w:t>联系电话：</w:t>
            </w:r>
            <w:r>
              <w:rPr>
                <w:rFonts w:hint="eastAsia" w:hAnsi="宋体" w:cs="宋体"/>
                <w:sz w:val="24"/>
                <w:szCs w:val="24"/>
              </w:rPr>
              <w:t>0771-7883434</w:t>
            </w:r>
          </w:p>
          <w:p>
            <w:pPr>
              <w:pStyle w:val="13"/>
              <w:spacing w:line="360" w:lineRule="auto"/>
              <w:rPr>
                <w:rFonts w:hAnsi="宋体" w:cs="宋体"/>
                <w:kern w:val="2"/>
                <w:sz w:val="24"/>
                <w:szCs w:val="24"/>
              </w:rPr>
            </w:pPr>
            <w:r>
              <w:rPr>
                <w:rFonts w:hint="eastAsia" w:hAnsi="宋体" w:cs="宋体"/>
                <w:kern w:val="2"/>
                <w:sz w:val="24"/>
                <w:szCs w:val="24"/>
              </w:rPr>
              <w:t>通讯地址：</w:t>
            </w:r>
            <w:r>
              <w:rPr>
                <w:rFonts w:hint="eastAsia" w:hAnsi="宋体" w:cs="宋体"/>
                <w:sz w:val="24"/>
                <w:szCs w:val="24"/>
              </w:rPr>
              <w:t>崇左市花山路（嘉苑小区）R组团R-08号</w:t>
            </w:r>
          </w:p>
          <w:p>
            <w:pPr>
              <w:pStyle w:val="13"/>
              <w:spacing w:line="360" w:lineRule="auto"/>
              <w:rPr>
                <w:rFonts w:hAnsi="宋体" w:cs="宋体"/>
                <w:kern w:val="2"/>
                <w:sz w:val="24"/>
                <w:szCs w:val="24"/>
              </w:rPr>
            </w:pPr>
            <w:r>
              <w:rPr>
                <w:rFonts w:hint="eastAsia" w:hAnsi="宋体" w:cs="宋体"/>
                <w:sz w:val="24"/>
                <w:szCs w:val="24"/>
              </w:rPr>
              <w:t>业务时间：每天上午8时00分到12时00分，下午15时00分到18时 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32.1</w:t>
            </w:r>
          </w:p>
        </w:tc>
        <w:tc>
          <w:tcPr>
            <w:tcW w:w="4446" w:type="pct"/>
          </w:tcPr>
          <w:p>
            <w:pPr>
              <w:pStyle w:val="13"/>
              <w:spacing w:line="360" w:lineRule="auto"/>
              <w:rPr>
                <w:rFonts w:hAnsi="宋体" w:cs="宋体"/>
                <w:sz w:val="24"/>
                <w:szCs w:val="24"/>
              </w:rPr>
            </w:pPr>
            <w:r>
              <w:rPr>
                <w:rFonts w:hint="eastAsia" w:hAnsi="宋体" w:cs="宋体"/>
                <w:sz w:val="24"/>
                <w:szCs w:val="24"/>
              </w:rPr>
              <w:t>1.采购代理费支付方式：</w:t>
            </w:r>
          </w:p>
          <w:p>
            <w:pPr>
              <w:pStyle w:val="13"/>
              <w:spacing w:line="360" w:lineRule="auto"/>
              <w:ind w:firstLine="480" w:firstLineChars="200"/>
              <w:rPr>
                <w:rFonts w:hAnsi="宋体" w:cs="宋体"/>
                <w:sz w:val="24"/>
                <w:szCs w:val="24"/>
              </w:rPr>
            </w:pPr>
            <w:r>
              <w:rPr>
                <w:rFonts w:hint="eastAsia" w:hAnsi="宋体" w:cs="宋体"/>
                <w:sz w:val="24"/>
                <w:szCs w:val="24"/>
              </w:rPr>
              <w:t>☑本项目代理服务费按如下规定由</w:t>
            </w:r>
            <w:r>
              <w:rPr>
                <w:rFonts w:hint="eastAsia" w:hAnsi="宋体" w:cs="宋体"/>
                <w:sz w:val="24"/>
                <w:szCs w:val="24"/>
                <w:u w:val="single"/>
              </w:rPr>
              <w:t>成交供应商</w:t>
            </w:r>
            <w:r>
              <w:rPr>
                <w:rFonts w:hint="eastAsia" w:hAnsi="宋体" w:cs="宋体"/>
                <w:sz w:val="24"/>
                <w:szCs w:val="24"/>
              </w:rPr>
              <w:t>在领取成交通知书前，一次性向采购代理机构支付。</w:t>
            </w:r>
          </w:p>
          <w:p>
            <w:pPr>
              <w:pStyle w:val="13"/>
              <w:spacing w:line="360" w:lineRule="auto"/>
              <w:ind w:firstLine="480" w:firstLineChars="200"/>
              <w:rPr>
                <w:rFonts w:hAnsi="宋体" w:cs="宋体"/>
                <w:sz w:val="24"/>
                <w:szCs w:val="24"/>
              </w:rPr>
            </w:pPr>
            <w:r>
              <w:rPr>
                <w:rFonts w:hint="eastAsia" w:hAnsi="宋体" w:cs="宋体"/>
                <w:sz w:val="24"/>
                <w:szCs w:val="24"/>
              </w:rPr>
              <w:t>□采购人支付。</w:t>
            </w:r>
          </w:p>
          <w:p>
            <w:pPr>
              <w:pStyle w:val="13"/>
              <w:spacing w:line="360" w:lineRule="auto"/>
              <w:rPr>
                <w:rFonts w:hAnsi="宋体" w:cs="宋体"/>
                <w:sz w:val="24"/>
                <w:szCs w:val="24"/>
              </w:rPr>
            </w:pPr>
            <w:r>
              <w:rPr>
                <w:rFonts w:hint="eastAsia" w:hAnsi="宋体" w:cs="宋体"/>
                <w:sz w:val="24"/>
                <w:szCs w:val="24"/>
              </w:rPr>
              <w:t>2.采购代理费收取标准：</w:t>
            </w:r>
          </w:p>
          <w:p>
            <w:pPr>
              <w:pStyle w:val="13"/>
              <w:spacing w:line="360" w:lineRule="auto"/>
              <w:ind w:firstLine="480" w:firstLineChars="200"/>
              <w:rPr>
                <w:rFonts w:hAnsi="宋体" w:cs="宋体"/>
                <w:sz w:val="24"/>
                <w:szCs w:val="24"/>
              </w:rPr>
            </w:pPr>
            <w:r>
              <w:rPr>
                <w:rFonts w:hint="eastAsia" w:hAnsi="宋体" w:cs="宋体"/>
                <w:sz w:val="24"/>
                <w:szCs w:val="24"/>
              </w:rPr>
              <w:t>☑以分标（□成交金额/☑采购预算/□暂定成交金额/□其他</w:t>
            </w:r>
            <w:r>
              <w:rPr>
                <w:rFonts w:hint="eastAsia" w:hAnsi="宋体" w:cs="宋体"/>
                <w:sz w:val="24"/>
                <w:szCs w:val="24"/>
                <w:u w:val="single"/>
              </w:rPr>
              <w:t xml:space="preserve">   </w:t>
            </w:r>
            <w:r>
              <w:rPr>
                <w:rFonts w:hint="eastAsia" w:hAnsi="宋体" w:cs="宋体"/>
                <w:sz w:val="24"/>
                <w:szCs w:val="24"/>
              </w:rPr>
              <w:t>）为计费额，按本须知正文第35.1条规定的（☑货物类/□服务类/□工程类）标准采用差额定率累进法计算出收费基准价格，采购代理收费以（☑收费基准价格/□收费基准价格下浮</w:t>
            </w:r>
            <w:r>
              <w:rPr>
                <w:rFonts w:hint="eastAsia" w:hAnsi="宋体" w:cs="宋体"/>
                <w:sz w:val="24"/>
                <w:szCs w:val="24"/>
                <w:u w:val="single"/>
              </w:rPr>
              <w:t xml:space="preserve">  %</w:t>
            </w:r>
            <w:r>
              <w:rPr>
                <w:rFonts w:hint="eastAsia" w:hAnsi="宋体" w:cs="宋体"/>
                <w:sz w:val="24"/>
                <w:szCs w:val="24"/>
              </w:rPr>
              <w:t>/□收费基准价格上浮</w:t>
            </w:r>
            <w:r>
              <w:rPr>
                <w:rFonts w:hint="eastAsia" w:hAnsi="宋体" w:cs="宋体"/>
                <w:sz w:val="24"/>
                <w:szCs w:val="24"/>
                <w:u w:val="single"/>
              </w:rPr>
              <w:t xml:space="preserve">   %</w:t>
            </w:r>
            <w:r>
              <w:rPr>
                <w:rFonts w:hint="eastAsia" w:hAnsi="宋体" w:cs="宋体"/>
                <w:sz w:val="24"/>
                <w:szCs w:val="24"/>
              </w:rPr>
              <w:t>）收取。</w:t>
            </w:r>
          </w:p>
          <w:p>
            <w:pPr>
              <w:pStyle w:val="13"/>
              <w:spacing w:line="360" w:lineRule="auto"/>
              <w:ind w:firstLine="480" w:firstLineChars="200"/>
              <w:rPr>
                <w:rFonts w:hAnsi="宋体" w:cs="宋体"/>
                <w:sz w:val="24"/>
                <w:szCs w:val="24"/>
                <w:u w:val="single"/>
              </w:rPr>
            </w:pPr>
            <w:r>
              <w:rPr>
                <w:rFonts w:hint="eastAsia" w:hAnsi="宋体" w:cs="宋体"/>
                <w:sz w:val="24"/>
                <w:szCs w:val="24"/>
              </w:rPr>
              <w:t>□固定采购代理收费</w:t>
            </w:r>
            <w:r>
              <w:rPr>
                <w:rFonts w:hint="eastAsia" w:hAnsi="宋体" w:cs="宋体"/>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33.1</w:t>
            </w:r>
          </w:p>
        </w:tc>
        <w:tc>
          <w:tcPr>
            <w:tcW w:w="4446" w:type="pct"/>
          </w:tcPr>
          <w:p>
            <w:pPr>
              <w:pStyle w:val="13"/>
              <w:spacing w:line="360" w:lineRule="auto"/>
              <w:ind w:firstLine="480" w:firstLineChars="200"/>
              <w:rPr>
                <w:rFonts w:hAnsi="宋体" w:cs="宋体"/>
                <w:sz w:val="24"/>
                <w:szCs w:val="24"/>
              </w:rPr>
            </w:pPr>
            <w:r>
              <w:rPr>
                <w:rFonts w:hint="eastAsia" w:hAnsi="宋体" w:cs="宋体"/>
                <w:sz w:val="24"/>
                <w:szCs w:val="24"/>
              </w:rPr>
              <w:t>解释：构成本竞争性谈判文件的各个组成文件应互为解释，互为说明；除竞争性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竞争性谈判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3" w:type="pct"/>
            <w:vAlign w:val="center"/>
          </w:tcPr>
          <w:p>
            <w:pPr>
              <w:spacing w:line="360" w:lineRule="auto"/>
              <w:rPr>
                <w:rFonts w:ascii="宋体" w:hAnsi="宋体" w:cs="宋体"/>
                <w:sz w:val="24"/>
              </w:rPr>
            </w:pPr>
            <w:r>
              <w:rPr>
                <w:rFonts w:hint="eastAsia" w:ascii="宋体" w:hAnsi="宋体" w:cs="宋体"/>
                <w:sz w:val="24"/>
              </w:rPr>
              <w:t>33.2</w:t>
            </w:r>
          </w:p>
        </w:tc>
        <w:tc>
          <w:tcPr>
            <w:tcW w:w="4446" w:type="pct"/>
          </w:tcPr>
          <w:p>
            <w:pPr>
              <w:pStyle w:val="13"/>
              <w:numPr>
                <w:ilvl w:val="0"/>
                <w:numId w:val="14"/>
              </w:numPr>
              <w:spacing w:line="360" w:lineRule="auto"/>
              <w:rPr>
                <w:rFonts w:hAnsi="宋体" w:cs="宋体"/>
                <w:sz w:val="24"/>
                <w:szCs w:val="24"/>
              </w:rPr>
            </w:pPr>
            <w:r>
              <w:rPr>
                <w:rFonts w:hint="eastAsia" w:hAnsi="宋体" w:cs="宋体"/>
                <w:sz w:val="24"/>
                <w:szCs w:val="24"/>
              </w:rPr>
              <w:t>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pPr>
              <w:pStyle w:val="13"/>
              <w:numPr>
                <w:ilvl w:val="0"/>
                <w:numId w:val="14"/>
              </w:numPr>
              <w:spacing w:line="360" w:lineRule="auto"/>
              <w:rPr>
                <w:rFonts w:hAnsi="宋体" w:cs="宋体"/>
                <w:sz w:val="24"/>
                <w:szCs w:val="24"/>
              </w:rPr>
            </w:pPr>
            <w:r>
              <w:rPr>
                <w:rFonts w:hint="eastAsia" w:hAnsi="宋体" w:cs="宋体"/>
                <w:sz w:val="24"/>
                <w:szCs w:val="24"/>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pPr>
              <w:pStyle w:val="13"/>
              <w:numPr>
                <w:ilvl w:val="0"/>
                <w:numId w:val="14"/>
              </w:numPr>
              <w:spacing w:line="360" w:lineRule="auto"/>
              <w:rPr>
                <w:rFonts w:hAnsi="宋体" w:cs="宋体"/>
                <w:sz w:val="24"/>
                <w:szCs w:val="24"/>
              </w:rPr>
            </w:pPr>
            <w:r>
              <w:rPr>
                <w:rFonts w:hint="eastAsia" w:hAnsi="宋体" w:cs="宋体"/>
                <w:sz w:val="24"/>
                <w:szCs w:val="24"/>
              </w:rPr>
              <w:t>本文件中描述供应商的“签字”是指供应商的法定代表人或者委托代理人亲自在文件规定签署处亲笔写上个人的名字的行为，私章、签字章、印鉴、影印等其他形式均不能代替亲笔签字。(注：如果投标人法定代表人（负责人）或其委托代理人的没有电子签名时，可采用线下签名或盖姓名章后扫描上传。)</w:t>
            </w:r>
          </w:p>
          <w:p>
            <w:pPr>
              <w:pStyle w:val="13"/>
              <w:numPr>
                <w:ilvl w:val="0"/>
                <w:numId w:val="14"/>
              </w:numPr>
              <w:spacing w:line="360" w:lineRule="auto"/>
              <w:rPr>
                <w:rFonts w:hAnsi="宋体" w:cs="宋体"/>
                <w:sz w:val="24"/>
                <w:szCs w:val="24"/>
              </w:rPr>
            </w:pPr>
            <w:r>
              <w:rPr>
                <w:rFonts w:hint="eastAsia" w:hAnsi="宋体" w:cs="宋体"/>
                <w:sz w:val="24"/>
                <w:szCs w:val="24"/>
              </w:rPr>
              <w:t>自然人竞标的，竞争性谈判文件规定盖章的地方自然人可以加盖手指指印。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2"/>
            <w:vAlign w:val="center"/>
          </w:tcPr>
          <w:p>
            <w:pPr>
              <w:pStyle w:val="13"/>
              <w:spacing w:line="520" w:lineRule="exact"/>
              <w:jc w:val="center"/>
              <w:rPr>
                <w:rFonts w:hAnsi="宋体" w:cs="宋体"/>
                <w:sz w:val="24"/>
                <w:szCs w:val="24"/>
              </w:rPr>
            </w:pPr>
            <w:r>
              <w:rPr>
                <w:rFonts w:hint="eastAsia" w:hAnsi="宋体" w:cs="宋体"/>
                <w:b/>
                <w:bCs/>
                <w:sz w:val="24"/>
                <w:szCs w:val="24"/>
              </w:rPr>
              <w:t>“政采贷”相关信息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2"/>
            <w:vAlign w:val="center"/>
          </w:tcPr>
          <w:p>
            <w:pPr>
              <w:spacing w:line="580" w:lineRule="exact"/>
              <w:jc w:val="left"/>
              <w:rPr>
                <w:rFonts w:ascii="宋体" w:hAnsi="宋体" w:cs="宋体"/>
                <w:b/>
                <w:bCs/>
                <w:sz w:val="24"/>
              </w:rPr>
            </w:pPr>
          </w:p>
          <w:p>
            <w:pPr>
              <w:spacing w:line="580" w:lineRule="exact"/>
              <w:jc w:val="center"/>
              <w:rPr>
                <w:rFonts w:ascii="宋体" w:hAnsi="宋体" w:cs="宋体"/>
                <w:b/>
                <w:bCs/>
                <w:sz w:val="24"/>
              </w:rPr>
            </w:pPr>
            <w:r>
              <w:rPr>
                <w:rFonts w:hint="eastAsia" w:ascii="宋体" w:hAnsi="宋体" w:cs="宋体"/>
                <w:b/>
                <w:bCs/>
                <w:sz w:val="24"/>
              </w:rPr>
              <w:t>崇左市线上“政采贷”政策告知函</w:t>
            </w:r>
          </w:p>
          <w:p>
            <w:pPr>
              <w:spacing w:line="580" w:lineRule="exact"/>
              <w:rPr>
                <w:rFonts w:ascii="宋体" w:hAnsi="宋体" w:cs="宋体"/>
                <w:sz w:val="24"/>
              </w:rPr>
            </w:pPr>
            <w:r>
              <w:rPr>
                <w:rFonts w:hint="eastAsia" w:ascii="宋体" w:hAnsi="宋体" w:cs="宋体"/>
                <w:sz w:val="24"/>
              </w:rPr>
              <w:t>各供应商：</w:t>
            </w:r>
          </w:p>
          <w:p>
            <w:pPr>
              <w:spacing w:line="580" w:lineRule="exact"/>
              <w:ind w:firstLine="480" w:firstLineChars="200"/>
              <w:rPr>
                <w:rFonts w:ascii="宋体" w:hAnsi="宋体" w:cs="宋体"/>
                <w:sz w:val="24"/>
              </w:rPr>
            </w:pPr>
            <w:r>
              <w:rPr>
                <w:rFonts w:hint="eastAsia" w:ascii="宋体" w:hAnsi="宋体" w:cs="宋体"/>
                <w:sz w:val="24"/>
              </w:rPr>
              <w:t>欢迎贵公司参与崇左市政府采购活动！</w:t>
            </w:r>
          </w:p>
          <w:p>
            <w:pPr>
              <w:spacing w:line="580" w:lineRule="exact"/>
              <w:ind w:firstLine="480" w:firstLineChars="200"/>
              <w:rPr>
                <w:rFonts w:ascii="宋体" w:hAnsi="宋体" w:cs="宋体"/>
                <w:sz w:val="24"/>
              </w:rPr>
            </w:pPr>
            <w:r>
              <w:rPr>
                <w:rFonts w:hint="eastAsia" w:ascii="宋体" w:hAnsi="宋体" w:cs="宋体"/>
                <w:sz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pStyle w:val="13"/>
              <w:spacing w:line="520" w:lineRule="exact"/>
              <w:rPr>
                <w:rFonts w:hAnsi="宋体" w:cs="宋体"/>
                <w:sz w:val="24"/>
                <w:szCs w:val="24"/>
              </w:rPr>
            </w:pPr>
            <w:r>
              <w:rPr>
                <w:rFonts w:hint="eastAsia" w:hAnsi="宋体" w:cs="宋体"/>
                <w:sz w:val="24"/>
                <w:szCs w:val="24"/>
              </w:rPr>
              <w:t>相关金融产品和银行业金融机构联系方式，可在中征应收账款融资服务平台查询（网址：</w:t>
            </w:r>
            <w:r>
              <w:fldChar w:fldCharType="begin"/>
            </w:r>
            <w:r>
              <w:instrText xml:space="preserve"> HYPERLINK "https://www.crcrfsp.com/" </w:instrText>
            </w:r>
            <w:r>
              <w:fldChar w:fldCharType="separate"/>
            </w:r>
            <w:r>
              <w:rPr>
                <w:rFonts w:hint="eastAsia" w:hAnsi="宋体" w:cs="宋体"/>
                <w:sz w:val="24"/>
                <w:szCs w:val="24"/>
              </w:rPr>
              <w:t>https://www.crcrfsp.com/</w:t>
            </w:r>
            <w:r>
              <w:rPr>
                <w:rFonts w:hint="eastAsia" w:hAnsi="宋体" w:cs="宋体"/>
                <w:sz w:val="24"/>
                <w:szCs w:val="24"/>
              </w:rPr>
              <w:fldChar w:fldCharType="end"/>
            </w:r>
            <w:r>
              <w:rPr>
                <w:rFonts w:hint="eastAsia" w:hAnsi="宋体" w:cs="宋体"/>
                <w:sz w:val="24"/>
                <w:szCs w:val="24"/>
              </w:rPr>
              <w:t>，客服电话：400-009-0001）。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2"/>
            <w:vAlign w:val="center"/>
          </w:tcPr>
          <w:p>
            <w:pPr>
              <w:spacing w:line="600" w:lineRule="exact"/>
              <w:jc w:val="center"/>
              <w:rPr>
                <w:rFonts w:ascii="宋体" w:hAnsi="宋体" w:cs="宋体"/>
                <w:b/>
                <w:bCs/>
                <w:sz w:val="24"/>
              </w:rPr>
            </w:pPr>
            <w:r>
              <w:rPr>
                <w:rFonts w:hint="eastAsia" w:ascii="宋体" w:hAnsi="宋体" w:cs="宋体"/>
                <w:b/>
                <w:bCs/>
                <w:sz w:val="24"/>
              </w:rPr>
              <w:t>崇左市线上“政采贷”业务流程图</w:t>
            </w:r>
          </w:p>
          <w:p>
            <w:pPr>
              <w:pStyle w:val="13"/>
              <w:rPr>
                <w:rFonts w:hAnsi="宋体" w:cs="宋体"/>
                <w:sz w:val="24"/>
                <w:szCs w:val="24"/>
              </w:rPr>
            </w:pPr>
            <w:r>
              <w:rPr>
                <w:rFonts w:hint="eastAsia" w:hAnsi="宋体" w:cs="宋体"/>
                <w:sz w:val="24"/>
                <w:szCs w:val="24"/>
              </w:rPr>
              <w:drawing>
                <wp:inline distT="0" distB="0" distL="114300" distR="114300">
                  <wp:extent cx="6092825" cy="5376545"/>
                  <wp:effectExtent l="0" t="0" r="3175" b="14605"/>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8"/>
                          <a:stretch>
                            <a:fillRect/>
                          </a:stretch>
                        </pic:blipFill>
                        <pic:spPr>
                          <a:xfrm>
                            <a:off x="0" y="0"/>
                            <a:ext cx="6092825" cy="537654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2"/>
            <w:vAlign w:val="center"/>
          </w:tcPr>
          <w:p>
            <w:pPr>
              <w:pStyle w:val="54"/>
              <w:ind w:firstLine="0" w:firstLineChars="0"/>
              <w:jc w:val="center"/>
              <w:rPr>
                <w:rFonts w:ascii="宋体" w:hAnsi="宋体" w:cs="宋体"/>
                <w:b/>
                <w:bCs/>
                <w:szCs w:val="24"/>
              </w:rPr>
            </w:pPr>
            <w:r>
              <w:rPr>
                <w:rFonts w:hint="eastAsia" w:ascii="宋体" w:hAnsi="宋体" w:cs="宋体"/>
                <w:b/>
                <w:bCs/>
                <w:szCs w:val="24"/>
              </w:rPr>
              <w:t>崇左市金融机构线上“政采贷”业务办理联络表</w:t>
            </w:r>
          </w:p>
          <w:tbl>
            <w:tblPr>
              <w:tblStyle w:val="24"/>
              <w:tblW w:w="4999" w:type="pct"/>
              <w:tblInd w:w="0" w:type="dxa"/>
              <w:tblLayout w:type="autofit"/>
              <w:tblCellMar>
                <w:top w:w="0" w:type="dxa"/>
                <w:left w:w="108" w:type="dxa"/>
                <w:bottom w:w="0" w:type="dxa"/>
                <w:right w:w="108" w:type="dxa"/>
              </w:tblCellMar>
            </w:tblPr>
            <w:tblGrid>
              <w:gridCol w:w="5496"/>
              <w:gridCol w:w="2577"/>
              <w:gridCol w:w="1657"/>
            </w:tblGrid>
            <w:tr>
              <w:tblPrEx>
                <w:tblCellMar>
                  <w:top w:w="0" w:type="dxa"/>
                  <w:left w:w="108" w:type="dxa"/>
                  <w:bottom w:w="0" w:type="dxa"/>
                  <w:right w:w="108" w:type="dxa"/>
                </w:tblCellMar>
              </w:tblPrEx>
              <w:trPr>
                <w:trHeight w:val="90" w:hRule="atLeast"/>
              </w:trPr>
              <w:tc>
                <w:tcPr>
                  <w:tcW w:w="1608"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4"/>
                    </w:rPr>
                  </w:pPr>
                  <w:r>
                    <w:rPr>
                      <w:rFonts w:hint="eastAsia" w:ascii="宋体" w:hAnsi="宋体" w:cs="宋体"/>
                      <w:b/>
                      <w:bCs/>
                      <w:kern w:val="0"/>
                      <w:sz w:val="24"/>
                      <w:lang w:bidi="ar"/>
                    </w:rPr>
                    <w:t>金融机构名称</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4"/>
                    </w:rPr>
                  </w:pPr>
                  <w:r>
                    <w:rPr>
                      <w:rFonts w:hint="eastAsia" w:ascii="宋体" w:hAnsi="宋体" w:cs="宋体"/>
                      <w:b/>
                      <w:bCs/>
                      <w:kern w:val="0"/>
                      <w:sz w:val="24"/>
                      <w:lang w:bidi="ar"/>
                    </w:rPr>
                    <w:t>地址</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sz w:val="24"/>
                    </w:rPr>
                  </w:pPr>
                  <w:r>
                    <w:rPr>
                      <w:rFonts w:hint="eastAsia" w:ascii="宋体" w:hAnsi="宋体" w:cs="宋体"/>
                      <w:b/>
                      <w:bCs/>
                      <w:kern w:val="0"/>
                      <w:sz w:val="24"/>
                      <w:lang w:bidi="ar"/>
                    </w:rPr>
                    <w:t>业务咨询电话</w:t>
                  </w:r>
                </w:p>
              </w:tc>
            </w:tr>
            <w:tr>
              <w:tblPrEx>
                <w:tblCellMar>
                  <w:top w:w="0" w:type="dxa"/>
                  <w:left w:w="108" w:type="dxa"/>
                  <w:bottom w:w="0" w:type="dxa"/>
                  <w:right w:w="108" w:type="dxa"/>
                </w:tblCellMar>
              </w:tblPrEx>
              <w:trPr>
                <w:trHeight w:val="36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b/>
                      <w:bCs/>
                      <w:sz w:val="24"/>
                    </w:rPr>
                    <w:t>崇左市本级及江州区</w:t>
                  </w:r>
                </w:p>
              </w:tc>
            </w:tr>
            <w:tr>
              <w:tblPrEx>
                <w:tblCellMar>
                  <w:top w:w="0" w:type="dxa"/>
                  <w:left w:w="108" w:type="dxa"/>
                  <w:bottom w:w="0" w:type="dxa"/>
                  <w:right w:w="108" w:type="dxa"/>
                </w:tblCellMar>
              </w:tblPrEx>
              <w:trPr>
                <w:trHeight w:val="35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工商银行崇左分行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崇左市骆越大道6号（东盟国际城）裙楼2号楼</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0771-7820436 0771-7820439</w:t>
                  </w:r>
                </w:p>
              </w:tc>
            </w:tr>
            <w:tr>
              <w:tblPrEx>
                <w:tblCellMar>
                  <w:top w:w="0" w:type="dxa"/>
                  <w:left w:w="108" w:type="dxa"/>
                  <w:bottom w:w="0" w:type="dxa"/>
                  <w:right w:w="108" w:type="dxa"/>
                </w:tblCellMar>
              </w:tblPrEx>
              <w:trPr>
                <w:trHeight w:val="9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农业银行崇左分行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江州区友谊大道26号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0771-7917212</w:t>
                  </w: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农业银行江州支行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江州区江南路48号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0771-7917054</w:t>
                  </w: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建行崇左分行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崇左市江州区江南路73号建行大厦</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0771-7831103</w:t>
                  </w: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中国银行崇左分行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崇左市江州区龙胤大厦五楼</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0771-7928650 0771-7920613</w:t>
                  </w: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崇左农商行授信审批部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崇左市城西路109号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0771-7925660</w:t>
                  </w:r>
                </w:p>
              </w:tc>
            </w:tr>
            <w:tr>
              <w:tblPrEx>
                <w:tblCellMar>
                  <w:top w:w="0" w:type="dxa"/>
                  <w:left w:w="108" w:type="dxa"/>
                  <w:bottom w:w="0" w:type="dxa"/>
                  <w:right w:w="108" w:type="dxa"/>
                </w:tblCellMar>
              </w:tblPrEx>
              <w:trPr>
                <w:trHeight w:val="9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中国邮政储蓄银行崇左市分行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崇左市江州区骆越大道2号中国邮政储蓄银行崇左市分行</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0771-7968699</w:t>
                  </w: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桂林银行崇左分行营业部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广西壮族自治区崇左市江州区友谊大道中段龙胤·财富广场101商铺（龙胤大厦六楼营业部）</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0771-7916636</w:t>
                  </w: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桂林银行江州支行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崇左市江州区建设路41号桂林银行</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0771-7988895</w:t>
                  </w: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广西北部湾银行崇左分行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崇左市友谊大道中段西侧龙胤财富广场三期财富中心122号商铺</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0771-7960855</w:t>
                  </w: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广西北部湾银行崇左市中泰产业园支行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广西壮族自治区崇左市江州区中泰产业园企业总部基地企业服务中心一楼</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0771-7821126</w:t>
                  </w: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广西北部湾银行崇左市丽江支行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崇左市江州区丽江路丽江明珠滨江花苑三期106-109号商铺</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0771-7831866</w:t>
                  </w:r>
                </w:p>
              </w:tc>
            </w:tr>
            <w:tr>
              <w:tblPrEx>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b/>
                      <w:bCs/>
                      <w:sz w:val="24"/>
                    </w:rPr>
                    <w:t>扶绥县</w:t>
                  </w:r>
                </w:p>
              </w:tc>
            </w:tr>
            <w:tr>
              <w:tblPrEx>
                <w:tblCellMar>
                  <w:top w:w="0" w:type="dxa"/>
                  <w:left w:w="108" w:type="dxa"/>
                  <w:bottom w:w="0" w:type="dxa"/>
                  <w:right w:w="108" w:type="dxa"/>
                </w:tblCellMar>
              </w:tblPrEx>
              <w:trPr>
                <w:trHeight w:val="38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工商银行扶绥县支行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扶绥县新宁镇同正大道94号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0771-7535612</w:t>
                  </w:r>
                </w:p>
              </w:tc>
            </w:tr>
            <w:tr>
              <w:tblPrEx>
                <w:tblCellMar>
                  <w:top w:w="0" w:type="dxa"/>
                  <w:left w:w="108" w:type="dxa"/>
                  <w:bottom w:w="0" w:type="dxa"/>
                  <w:right w:w="108" w:type="dxa"/>
                </w:tblCellMar>
              </w:tblPrEx>
              <w:trPr>
                <w:trHeight w:val="44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农业银行扶绥县支行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扶绥县新宁镇新华路126号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0771-7917330</w:t>
                  </w:r>
                </w:p>
              </w:tc>
            </w:tr>
            <w:tr>
              <w:tblPrEx>
                <w:tblCellMar>
                  <w:top w:w="0" w:type="dxa"/>
                  <w:left w:w="108" w:type="dxa"/>
                  <w:bottom w:w="0" w:type="dxa"/>
                  <w:right w:w="108" w:type="dxa"/>
                </w:tblCellMar>
              </w:tblPrEx>
              <w:trPr>
                <w:trHeight w:val="749"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建行扶绥支行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扶绥县南密路6号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0771-7516511 0771-7531157</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建行扶绥空港支行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扶绥县双拥路3号东信华府18号楼一层</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0771-7525822</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中国银行扶绥支行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扶绥县-扶绥大道16号山水城市广场一层商铺</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0771-5025887</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扶绥农商行三农零售与乡村振兴金融部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扶绥县新宁镇永宁路2-1号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0771-7533041</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中国邮政储蓄银行扶绥县支行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扶绥县松江路138号中国邮政储蓄银行扶绥县支行</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0771-7536178 0771-7536177</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桂林银行崇左扶绥支行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广西崇左市扶绥县新宁镇松江路20号（桂林银行崇左扶绥支行）</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0771-7661101</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广西北部湾银行扶绥县支行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崇左市扶绥县新宁镇同正大道333号碧园·未来城商业综合体13号楼一楼1050、1051号商铺</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0771-7500768</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扶绥深通村镇银行业发部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扶绥县大景城1号楼正门旁</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0771-7525678</w:t>
                  </w:r>
                </w:p>
              </w:tc>
            </w:tr>
            <w:tr>
              <w:tblPrEx>
                <w:tblCellMar>
                  <w:top w:w="0" w:type="dxa"/>
                  <w:left w:w="108" w:type="dxa"/>
                  <w:bottom w:w="0" w:type="dxa"/>
                  <w:right w:w="108" w:type="dxa"/>
                </w:tblCellMar>
              </w:tblPrEx>
              <w:trPr>
                <w:trHeight w:val="47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b/>
                      <w:bCs/>
                      <w:sz w:val="24"/>
                    </w:rPr>
                    <w:t>宁明县</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trHeight w:val="36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工商银行宁明县支行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宁明县城中镇兴远街70号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0771-8620729</w:t>
                  </w:r>
                </w:p>
              </w:tc>
            </w:tr>
            <w:tr>
              <w:tblPrEx>
                <w:tblCellMar>
                  <w:top w:w="0" w:type="dxa"/>
                  <w:left w:w="108" w:type="dxa"/>
                  <w:bottom w:w="0" w:type="dxa"/>
                  <w:right w:w="108" w:type="dxa"/>
                </w:tblCellMar>
              </w:tblPrEx>
              <w:trPr>
                <w:trHeight w:val="32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农业银行宁明县支行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宁明县城中镇明阳街11号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0771-7917093</w:t>
                  </w:r>
                </w:p>
              </w:tc>
            </w:tr>
            <w:tr>
              <w:tblPrEx>
                <w:tblCellMar>
                  <w:top w:w="0" w:type="dxa"/>
                  <w:left w:w="108" w:type="dxa"/>
                  <w:bottom w:w="0" w:type="dxa"/>
                  <w:right w:w="108" w:type="dxa"/>
                </w:tblCellMar>
              </w:tblPrEx>
              <w:trPr>
                <w:trHeight w:val="32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建行宁明支行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spacing w:after="90" w:line="23" w:lineRule="atLeast"/>
                    <w:jc w:val="left"/>
                    <w:rPr>
                      <w:rFonts w:ascii="宋体" w:hAnsi="宋体" w:cs="宋体"/>
                      <w:sz w:val="24"/>
                    </w:rPr>
                  </w:pPr>
                  <w:r>
                    <w:rPr>
                      <w:rFonts w:hint="eastAsia" w:ascii="宋体" w:hAnsi="宋体" w:cs="宋体"/>
                      <w:kern w:val="0"/>
                      <w:sz w:val="24"/>
                      <w:lang w:bidi="ar"/>
                    </w:rPr>
                    <w:t>宁明县城中镇兴宁大道77号明江财富广场一层1-13号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0771-8629006</w:t>
                  </w:r>
                </w:p>
              </w:tc>
            </w:tr>
            <w:tr>
              <w:tblPrEx>
                <w:tblCellMar>
                  <w:top w:w="0" w:type="dxa"/>
                  <w:left w:w="108" w:type="dxa"/>
                  <w:bottom w:w="0" w:type="dxa"/>
                  <w:right w:w="108" w:type="dxa"/>
                </w:tblCellMar>
              </w:tblPrEx>
              <w:trPr>
                <w:trHeight w:val="32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宁明农商行三农零售与乡村振兴金融部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宁明县城中镇明阳街3号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0771-8628166</w:t>
                  </w:r>
                </w:p>
              </w:tc>
            </w:tr>
            <w:tr>
              <w:tblPrEx>
                <w:tblCellMar>
                  <w:top w:w="0" w:type="dxa"/>
                  <w:left w:w="108" w:type="dxa"/>
                  <w:bottom w:w="0" w:type="dxa"/>
                  <w:right w:w="108" w:type="dxa"/>
                </w:tblCellMar>
              </w:tblPrEx>
              <w:trPr>
                <w:trHeight w:val="439"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桂林银行崇左宁明支行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宁明县城中镇兴宁大道中70号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0771-8630787</w:t>
                  </w:r>
                </w:p>
              </w:tc>
            </w:tr>
            <w:tr>
              <w:tblPrEx>
                <w:tblCellMar>
                  <w:top w:w="0" w:type="dxa"/>
                  <w:left w:w="108" w:type="dxa"/>
                  <w:bottom w:w="0" w:type="dxa"/>
                  <w:right w:w="108" w:type="dxa"/>
                </w:tblCellMar>
              </w:tblPrEx>
              <w:trPr>
                <w:trHeight w:val="32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广西北部湾银行宁明支行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崇左市宁明县城中镇兴宁大道中79号（明都大酒店）A幢楼1楼铺面</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0771-8622237</w:t>
                  </w:r>
                </w:p>
              </w:tc>
            </w:tr>
            <w:tr>
              <w:tblPrEx>
                <w:tblCellMar>
                  <w:top w:w="0" w:type="dxa"/>
                  <w:left w:w="108" w:type="dxa"/>
                  <w:bottom w:w="0" w:type="dxa"/>
                  <w:right w:w="108" w:type="dxa"/>
                </w:tblCellMar>
              </w:tblPrEx>
              <w:trPr>
                <w:trHeight w:val="377"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b/>
                      <w:bCs/>
                      <w:sz w:val="24"/>
                    </w:rPr>
                    <w:t>大新县</w:t>
                  </w:r>
                </w:p>
              </w:tc>
            </w:tr>
            <w:tr>
              <w:tblPrEx>
                <w:tblCellMar>
                  <w:top w:w="0" w:type="dxa"/>
                  <w:left w:w="108" w:type="dxa"/>
                  <w:bottom w:w="0" w:type="dxa"/>
                  <w:right w:w="108" w:type="dxa"/>
                </w:tblCellMar>
              </w:tblPrEx>
              <w:trPr>
                <w:trHeight w:val="391"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 w:val="24"/>
                      <w:lang w:bidi="ar"/>
                    </w:rPr>
                  </w:pPr>
                  <w:r>
                    <w:rPr>
                      <w:rFonts w:hint="eastAsia" w:ascii="宋体" w:hAnsi="宋体" w:cs="宋体"/>
                      <w:sz w:val="24"/>
                    </w:rPr>
                    <w:t>工商银行大新县支行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大新县桃城镇民生街98号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0771-3628078</w:t>
                  </w:r>
                </w:p>
              </w:tc>
            </w:tr>
            <w:tr>
              <w:tblPrEx>
                <w:tblCellMar>
                  <w:top w:w="0" w:type="dxa"/>
                  <w:left w:w="108" w:type="dxa"/>
                  <w:bottom w:w="0" w:type="dxa"/>
                  <w:right w:w="108" w:type="dxa"/>
                </w:tblCellMar>
              </w:tblPrEx>
              <w:trPr>
                <w:trHeight w:val="458"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 w:val="24"/>
                      <w:lang w:bidi="ar"/>
                    </w:rPr>
                  </w:pPr>
                  <w:r>
                    <w:rPr>
                      <w:rFonts w:hint="eastAsia" w:ascii="宋体" w:hAnsi="宋体" w:cs="宋体"/>
                      <w:sz w:val="24"/>
                    </w:rPr>
                    <w:t>农业银行大新县支行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lang w:bidi="ar"/>
                    </w:rPr>
                  </w:pPr>
                  <w:r>
                    <w:rPr>
                      <w:rFonts w:hint="eastAsia" w:ascii="宋体" w:hAnsi="宋体" w:cs="宋体"/>
                      <w:sz w:val="24"/>
                    </w:rPr>
                    <w:t>大新县桃城镇伦理路223号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0771-</w:t>
                  </w:r>
                  <w:r>
                    <w:rPr>
                      <w:rFonts w:hint="eastAsia" w:ascii="宋体" w:hAnsi="宋体" w:cs="宋体"/>
                      <w:sz w:val="24"/>
                    </w:rPr>
                    <w:t>7917015</w:t>
                  </w:r>
                </w:p>
              </w:tc>
            </w:tr>
            <w:tr>
              <w:tblPrEx>
                <w:tblCellMar>
                  <w:top w:w="0" w:type="dxa"/>
                  <w:left w:w="108" w:type="dxa"/>
                  <w:bottom w:w="0" w:type="dxa"/>
                  <w:right w:w="108" w:type="dxa"/>
                </w:tblCellMar>
              </w:tblPrEx>
              <w:trPr>
                <w:trHeight w:val="42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建行大新支行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大新县民生街7号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0771-3689766</w:t>
                  </w:r>
                </w:p>
              </w:tc>
            </w:tr>
            <w:tr>
              <w:tblPrEx>
                <w:tblCellMar>
                  <w:top w:w="0" w:type="dxa"/>
                  <w:left w:w="108" w:type="dxa"/>
                  <w:bottom w:w="0" w:type="dxa"/>
                  <w:right w:w="108" w:type="dxa"/>
                </w:tblCellMar>
              </w:tblPrEx>
              <w:trPr>
                <w:trHeight w:val="42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大新农商行三农零售与乡村振兴金融部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大新县城养利路131号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0771-3623887</w:t>
                  </w:r>
                </w:p>
              </w:tc>
            </w:tr>
            <w:tr>
              <w:tblPrEx>
                <w:tblCellMar>
                  <w:top w:w="0" w:type="dxa"/>
                  <w:left w:w="108" w:type="dxa"/>
                  <w:bottom w:w="0" w:type="dxa"/>
                  <w:right w:w="108" w:type="dxa"/>
                </w:tblCellMar>
              </w:tblPrEx>
              <w:trPr>
                <w:trHeight w:val="62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 w:val="24"/>
                      <w:lang w:bidi="ar"/>
                    </w:rPr>
                  </w:pPr>
                  <w:r>
                    <w:rPr>
                      <w:rFonts w:hint="eastAsia" w:ascii="宋体" w:hAnsi="宋体" w:cs="宋体"/>
                      <w:sz w:val="24"/>
                    </w:rPr>
                    <w:t>桂林银行崇左大新支行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崇左市大新县桃城镇民生街7号东盟商业广场1楼桂林银行</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0771-3621996</w:t>
                  </w:r>
                </w:p>
              </w:tc>
            </w:tr>
            <w:tr>
              <w:tblPrEx>
                <w:tblCellMar>
                  <w:top w:w="0" w:type="dxa"/>
                  <w:left w:w="108" w:type="dxa"/>
                  <w:bottom w:w="0" w:type="dxa"/>
                  <w:right w:w="108" w:type="dxa"/>
                </w:tblCellMar>
              </w:tblPrEx>
              <w:trPr>
                <w:trHeight w:val="42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 w:val="24"/>
                      <w:lang w:bidi="ar"/>
                    </w:rPr>
                  </w:pPr>
                  <w:r>
                    <w:rPr>
                      <w:rFonts w:hint="eastAsia" w:ascii="宋体" w:hAnsi="宋体" w:cs="宋体"/>
                      <w:sz w:val="24"/>
                    </w:rPr>
                    <w:t>广西北部湾银行大新支行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崇左市大新县桃城镇伦理路230号1楼铺面</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sz w:val="24"/>
                    </w:rPr>
                    <w:t>0771-3628366</w:t>
                  </w:r>
                </w:p>
              </w:tc>
            </w:tr>
            <w:tr>
              <w:tblPrEx>
                <w:tblCellMar>
                  <w:top w:w="0" w:type="dxa"/>
                  <w:left w:w="108" w:type="dxa"/>
                  <w:bottom w:w="0" w:type="dxa"/>
                  <w:right w:w="108" w:type="dxa"/>
                </w:tblCellMar>
              </w:tblPrEx>
              <w:trPr>
                <w:trHeight w:val="42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崇左大新长江村镇银行营业部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大新县桃城镇德天大道74-1号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0771-3698002</w:t>
                  </w:r>
                </w:p>
              </w:tc>
            </w:tr>
            <w:tr>
              <w:tblPrEx>
                <w:tblCellMar>
                  <w:top w:w="0" w:type="dxa"/>
                  <w:left w:w="108" w:type="dxa"/>
                  <w:bottom w:w="0" w:type="dxa"/>
                  <w:right w:w="108" w:type="dxa"/>
                </w:tblCellMar>
              </w:tblPrEx>
              <w:trPr>
                <w:trHeight w:val="42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崇左大新长江村镇银行百汇支行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大新县桃城镇伦那路8号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0771-3626199</w:t>
                  </w:r>
                </w:p>
              </w:tc>
            </w:tr>
            <w:tr>
              <w:tblPrEx>
                <w:tblCellMar>
                  <w:top w:w="0" w:type="dxa"/>
                  <w:left w:w="108" w:type="dxa"/>
                  <w:bottom w:w="0" w:type="dxa"/>
                  <w:right w:w="108" w:type="dxa"/>
                </w:tblCellMar>
              </w:tblPrEx>
              <w:trPr>
                <w:trHeight w:val="35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b/>
                      <w:bCs/>
                      <w:sz w:val="24"/>
                    </w:rPr>
                    <w:t>龙州县</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trHeight w:val="428"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工商银行龙州县支行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龙州县龙江街60号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0771-8868619</w:t>
                  </w:r>
                </w:p>
              </w:tc>
            </w:tr>
            <w:tr>
              <w:tblPrEx>
                <w:tblCellMar>
                  <w:top w:w="0" w:type="dxa"/>
                  <w:left w:w="108" w:type="dxa"/>
                  <w:bottom w:w="0" w:type="dxa"/>
                  <w:right w:w="108" w:type="dxa"/>
                </w:tblCellMar>
              </w:tblPrEx>
              <w:trPr>
                <w:trHeight w:val="544"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农业银行龙州县支行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龙州县龙州镇康平街26号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0771-8812504</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建行龙州支行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龙州县龙夏路2号龙州商业广场D栋1号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0771-8820525</w:t>
                  </w:r>
                </w:p>
              </w:tc>
            </w:tr>
            <w:tr>
              <w:tblPrEx>
                <w:tblCellMar>
                  <w:top w:w="0" w:type="dxa"/>
                  <w:left w:w="108" w:type="dxa"/>
                  <w:bottom w:w="0" w:type="dxa"/>
                  <w:right w:w="108" w:type="dxa"/>
                </w:tblCellMar>
              </w:tblPrEx>
              <w:trPr>
                <w:trHeight w:val="41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龙州农商行公司机构金融部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龙州县龙州镇独山路172号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0771-8813013</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桂林银行崇左龙州支行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龙州县龙州镇同顾大道1号同顾·中央公园20栋10号—13号房</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0771-8871021</w:t>
                  </w:r>
                </w:p>
              </w:tc>
            </w:tr>
            <w:tr>
              <w:tblPrEx>
                <w:tblCellMar>
                  <w:top w:w="0" w:type="dxa"/>
                  <w:left w:w="108" w:type="dxa"/>
                  <w:bottom w:w="0" w:type="dxa"/>
                  <w:right w:w="108" w:type="dxa"/>
                </w:tblCellMar>
              </w:tblPrEx>
              <w:trPr>
                <w:trHeight w:val="33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广西北部湾银行龙州支行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崇左市龙州县龙州镇龙夏路1号、3号、5号（南湖商务酒店）一楼铺面</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0771-8811533</w:t>
                  </w:r>
                </w:p>
              </w:tc>
            </w:tr>
            <w:tr>
              <w:tblPrEx>
                <w:tblCellMar>
                  <w:top w:w="0" w:type="dxa"/>
                  <w:left w:w="108" w:type="dxa"/>
                  <w:bottom w:w="0" w:type="dxa"/>
                  <w:right w:w="108" w:type="dxa"/>
                </w:tblCellMar>
              </w:tblPrEx>
              <w:trPr>
                <w:trHeight w:val="48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cs="宋体"/>
                      <w:sz w:val="24"/>
                    </w:rPr>
                  </w:pPr>
                  <w:r>
                    <w:rPr>
                      <w:rFonts w:hint="eastAsia" w:ascii="宋体" w:hAnsi="宋体" w:cs="宋体"/>
                      <w:b/>
                      <w:bCs/>
                      <w:sz w:val="24"/>
                    </w:rPr>
                    <w:t>天等县</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p>
              </w:tc>
            </w:tr>
            <w:tr>
              <w:tblPrEx>
                <w:tblCellMar>
                  <w:top w:w="0" w:type="dxa"/>
                  <w:left w:w="108" w:type="dxa"/>
                  <w:bottom w:w="0" w:type="dxa"/>
                  <w:right w:w="108" w:type="dxa"/>
                </w:tblCellMar>
              </w:tblPrEx>
              <w:trPr>
                <w:trHeight w:val="27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工商银行天等县支行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天等县天等镇朝阳东路054号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0771-3532211</w:t>
                  </w:r>
                </w:p>
              </w:tc>
            </w:tr>
            <w:tr>
              <w:tblPrEx>
                <w:tblCellMar>
                  <w:top w:w="0" w:type="dxa"/>
                  <w:left w:w="108" w:type="dxa"/>
                  <w:bottom w:w="0" w:type="dxa"/>
                  <w:right w:w="108" w:type="dxa"/>
                </w:tblCellMar>
              </w:tblPrEx>
              <w:trPr>
                <w:trHeight w:val="39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农业银行天等县支行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 xml:space="preserve"> 天等县天等镇天宝北路007号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0771-7917046</w:t>
                  </w:r>
                </w:p>
              </w:tc>
            </w:tr>
            <w:tr>
              <w:tblPrEx>
                <w:tblCellMar>
                  <w:top w:w="0" w:type="dxa"/>
                  <w:left w:w="108" w:type="dxa"/>
                  <w:bottom w:w="0" w:type="dxa"/>
                  <w:right w:w="108" w:type="dxa"/>
                </w:tblCellMar>
              </w:tblPrEx>
              <w:trPr>
                <w:trHeight w:val="39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天等农商行公司机构金融部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天等县天等镇仕民路48号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0771-3521361</w:t>
                  </w:r>
                </w:p>
              </w:tc>
            </w:tr>
            <w:tr>
              <w:tblPrEx>
                <w:tblCellMar>
                  <w:top w:w="0" w:type="dxa"/>
                  <w:left w:w="108" w:type="dxa"/>
                  <w:bottom w:w="0" w:type="dxa"/>
                  <w:right w:w="108" w:type="dxa"/>
                </w:tblCellMar>
              </w:tblPrEx>
              <w:trPr>
                <w:trHeight w:val="39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桂林银行崇左天等支行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广西崇左市天等县天等镇天宝北路天府中央城5号楼115号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0771-3522157</w:t>
                  </w:r>
                </w:p>
              </w:tc>
            </w:tr>
            <w:tr>
              <w:tblPrEx>
                <w:tblCellMar>
                  <w:top w:w="0" w:type="dxa"/>
                  <w:left w:w="108" w:type="dxa"/>
                  <w:bottom w:w="0" w:type="dxa"/>
                  <w:right w:w="108" w:type="dxa"/>
                </w:tblCellMar>
              </w:tblPrEx>
              <w:trPr>
                <w:trHeight w:val="39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广西北部湾银行天等支行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崇左市天等县天宝南路002号天富商业广场28栋一层商铺6-17号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0771-3528688</w:t>
                  </w:r>
                </w:p>
              </w:tc>
            </w:tr>
            <w:tr>
              <w:tblPrEx>
                <w:tblCellMar>
                  <w:top w:w="0" w:type="dxa"/>
                  <w:left w:w="108" w:type="dxa"/>
                  <w:bottom w:w="0" w:type="dxa"/>
                  <w:right w:w="108" w:type="dxa"/>
                </w:tblCellMar>
              </w:tblPrEx>
              <w:trPr>
                <w:trHeight w:val="335" w:hRule="atLeast"/>
              </w:trPr>
              <w:tc>
                <w:tcPr>
                  <w:tcW w:w="500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b/>
                      <w:bCs/>
                      <w:sz w:val="24"/>
                    </w:rPr>
                    <w:t>凭祥市</w:t>
                  </w:r>
                </w:p>
              </w:tc>
            </w:tr>
            <w:tr>
              <w:tblPrEx>
                <w:tblCellMar>
                  <w:top w:w="0" w:type="dxa"/>
                  <w:left w:w="108" w:type="dxa"/>
                  <w:bottom w:w="0" w:type="dxa"/>
                  <w:right w:w="108" w:type="dxa"/>
                </w:tblCellMar>
              </w:tblPrEx>
              <w:trPr>
                <w:trHeight w:val="440"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工商银行凭祥分行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凭祥市新华路5号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0771-8529259</w:t>
                  </w:r>
                </w:p>
              </w:tc>
            </w:tr>
            <w:tr>
              <w:tblPrEx>
                <w:tblCellMar>
                  <w:top w:w="0" w:type="dxa"/>
                  <w:left w:w="108" w:type="dxa"/>
                  <w:bottom w:w="0" w:type="dxa"/>
                  <w:right w:w="108" w:type="dxa"/>
                </w:tblCellMar>
              </w:tblPrEx>
              <w:trPr>
                <w:trHeight w:val="21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农业银行凭祥支行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凭祥市北大路216号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0771-7917258</w:t>
                  </w:r>
                </w:p>
              </w:tc>
            </w:tr>
            <w:tr>
              <w:tblPrEx>
                <w:tblCellMar>
                  <w:top w:w="0" w:type="dxa"/>
                  <w:left w:w="108" w:type="dxa"/>
                  <w:bottom w:w="0" w:type="dxa"/>
                  <w:right w:w="108" w:type="dxa"/>
                </w:tblCellMar>
              </w:tblPrEx>
              <w:trPr>
                <w:trHeight w:val="21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建行凭祥支行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凭祥市屏山路138号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0771-8525068 0771-8536852</w:t>
                  </w:r>
                </w:p>
              </w:tc>
            </w:tr>
            <w:tr>
              <w:tblPrEx>
                <w:tblCellMar>
                  <w:top w:w="0" w:type="dxa"/>
                  <w:left w:w="108" w:type="dxa"/>
                  <w:bottom w:w="0" w:type="dxa"/>
                  <w:right w:w="108" w:type="dxa"/>
                </w:tblCellMar>
              </w:tblPrEx>
              <w:trPr>
                <w:trHeight w:val="21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建行凭祥中区支行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凭祥市金象大道香格里拉3幢3-01至3-03号商铺</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0771-8551161</w:t>
                  </w:r>
                </w:p>
              </w:tc>
            </w:tr>
            <w:tr>
              <w:tblPrEx>
                <w:tblCellMar>
                  <w:top w:w="0" w:type="dxa"/>
                  <w:left w:w="108" w:type="dxa"/>
                  <w:bottom w:w="0" w:type="dxa"/>
                  <w:right w:w="108" w:type="dxa"/>
                </w:tblCellMar>
              </w:tblPrEx>
              <w:trPr>
                <w:trHeight w:val="21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建行凭祥浦寨支行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凭祥市浦寨商业城万泰一楼8-9号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0771-8561665</w:t>
                  </w:r>
                </w:p>
              </w:tc>
            </w:tr>
            <w:tr>
              <w:tblPrEx>
                <w:tblCellMar>
                  <w:top w:w="0" w:type="dxa"/>
                  <w:left w:w="108" w:type="dxa"/>
                  <w:bottom w:w="0" w:type="dxa"/>
                  <w:right w:w="108" w:type="dxa"/>
                </w:tblCellMar>
              </w:tblPrEx>
              <w:trPr>
                <w:trHeight w:val="21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中国银行凭祥支行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凭祥市-北环路112号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0771-8520356</w:t>
                  </w:r>
                </w:p>
              </w:tc>
            </w:tr>
            <w:tr>
              <w:tblPrEx>
                <w:tblCellMar>
                  <w:top w:w="0" w:type="dxa"/>
                  <w:left w:w="108" w:type="dxa"/>
                  <w:bottom w:w="0" w:type="dxa"/>
                  <w:right w:w="108" w:type="dxa"/>
                </w:tblCellMar>
              </w:tblPrEx>
              <w:trPr>
                <w:trHeight w:val="21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凭祥农商行业务拓展部</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凭祥市友谊关大道13号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0771-8535667</w:t>
                  </w:r>
                </w:p>
              </w:tc>
            </w:tr>
            <w:tr>
              <w:tblPrEx>
                <w:tblCellMar>
                  <w:top w:w="0" w:type="dxa"/>
                  <w:left w:w="108" w:type="dxa"/>
                  <w:bottom w:w="0" w:type="dxa"/>
                  <w:right w:w="108" w:type="dxa"/>
                </w:tblCellMar>
              </w:tblPrEx>
              <w:trPr>
                <w:trHeight w:val="21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桂林银行广西自贸试验区崇左片区凭祥支行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凭祥市北大路一支40号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0771-8520550</w:t>
                  </w:r>
                </w:p>
              </w:tc>
            </w:tr>
            <w:tr>
              <w:tblPrEx>
                <w:tblCellMar>
                  <w:top w:w="0" w:type="dxa"/>
                  <w:left w:w="108" w:type="dxa"/>
                  <w:bottom w:w="0" w:type="dxa"/>
                  <w:right w:w="108" w:type="dxa"/>
                </w:tblCellMar>
              </w:tblPrEx>
              <w:trPr>
                <w:trHeight w:val="215" w:hRule="atLeast"/>
              </w:trPr>
              <w:tc>
                <w:tcPr>
                  <w:tcW w:w="160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sz w:val="24"/>
                    </w:rPr>
                    <w:t>广西北部湾银行广西自贸试验区崇左片区凭祥支行</w:t>
                  </w:r>
                </w:p>
              </w:tc>
              <w:tc>
                <w:tcPr>
                  <w:tcW w:w="2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sz w:val="24"/>
                    </w:rPr>
                    <w:t>凭祥市北大路一支60-1号</w:t>
                  </w:r>
                </w:p>
              </w:tc>
              <w:tc>
                <w:tcPr>
                  <w:tcW w:w="12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sz w:val="24"/>
                    </w:rPr>
                    <w:t>0771-8556667</w:t>
                  </w:r>
                </w:p>
              </w:tc>
            </w:tr>
          </w:tbl>
          <w:p>
            <w:pPr>
              <w:pStyle w:val="13"/>
              <w:spacing w:line="520" w:lineRule="exact"/>
              <w:rPr>
                <w:rFonts w:hAnsi="宋体" w:cs="宋体"/>
                <w:sz w:val="24"/>
                <w:szCs w:val="24"/>
              </w:rPr>
            </w:pPr>
          </w:p>
        </w:tc>
      </w:tr>
    </w:tbl>
    <w:p>
      <w:pPr>
        <w:spacing w:line="560" w:lineRule="exact"/>
        <w:jc w:val="center"/>
        <w:rPr>
          <w:rFonts w:ascii="宋体" w:hAnsi="宋体"/>
          <w:b/>
          <w:sz w:val="24"/>
        </w:rPr>
      </w:pPr>
      <w:r>
        <w:rPr>
          <w:rFonts w:ascii="宋体" w:hAnsi="宋体"/>
          <w:b/>
          <w:sz w:val="32"/>
          <w:szCs w:val="32"/>
        </w:rPr>
        <w:br w:type="page"/>
      </w:r>
      <w:r>
        <w:rPr>
          <w:rFonts w:hint="eastAsia" w:ascii="华文宋体" w:hAnsi="华文宋体" w:eastAsia="华文宋体" w:cs="华文宋体"/>
          <w:b/>
          <w:sz w:val="28"/>
          <w:szCs w:val="22"/>
        </w:rPr>
        <w:t>供应商须知正文</w:t>
      </w:r>
    </w:p>
    <w:p>
      <w:pPr>
        <w:pStyle w:val="4"/>
        <w:spacing w:before="0" w:after="0" w:line="360" w:lineRule="auto"/>
        <w:rPr>
          <w:rFonts w:ascii="宋体" w:hAnsi="宋体" w:cs="宋体"/>
          <w:sz w:val="24"/>
        </w:rPr>
      </w:pPr>
      <w:r>
        <w:rPr>
          <w:rFonts w:hint="eastAsia" w:ascii="宋体" w:hAnsi="宋体" w:cs="宋体"/>
          <w:sz w:val="24"/>
        </w:rPr>
        <w:t>一、总则</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适用范围</w:t>
      </w:r>
    </w:p>
    <w:p>
      <w:pPr>
        <w:spacing w:line="360" w:lineRule="auto"/>
        <w:rPr>
          <w:rFonts w:ascii="宋体" w:hAnsi="宋体" w:cs="宋体"/>
          <w:sz w:val="24"/>
        </w:rPr>
      </w:pPr>
      <w:r>
        <w:rPr>
          <w:rFonts w:hint="eastAsia" w:ascii="宋体" w:hAnsi="宋体" w:cs="宋体"/>
          <w:sz w:val="24"/>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rPr>
          <w:rFonts w:ascii="宋体" w:hAnsi="宋体" w:cs="宋体"/>
          <w:sz w:val="24"/>
        </w:rPr>
      </w:pPr>
      <w:r>
        <w:rPr>
          <w:rFonts w:hint="eastAsia" w:ascii="宋体" w:hAnsi="宋体" w:cs="宋体"/>
          <w:sz w:val="24"/>
        </w:rPr>
        <w:t>1.2</w:t>
      </w:r>
      <w:r>
        <w:rPr>
          <w:rFonts w:hint="eastAsia" w:ascii="宋体" w:hAnsi="宋体" w:cs="宋体"/>
          <w:spacing w:val="-6"/>
          <w:sz w:val="24"/>
        </w:rPr>
        <w:t>本竞争性谈判文件适用于本项目的所有采购程序和环节（法律、法规另有规定的，从其规定）。</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定义</w:t>
      </w:r>
    </w:p>
    <w:p>
      <w:pPr>
        <w:spacing w:line="360" w:lineRule="auto"/>
        <w:rPr>
          <w:rFonts w:ascii="宋体" w:hAnsi="宋体" w:cs="宋体"/>
          <w:sz w:val="24"/>
        </w:rPr>
      </w:pPr>
      <w:r>
        <w:rPr>
          <w:rFonts w:hint="eastAsia" w:ascii="宋体" w:hAnsi="宋体" w:cs="宋体"/>
          <w:sz w:val="24"/>
        </w:rPr>
        <w:t>2.1“采购人”是指依法进行采购的国家机关、事业单位、团体组织。</w:t>
      </w:r>
    </w:p>
    <w:p>
      <w:pPr>
        <w:spacing w:line="360" w:lineRule="auto"/>
        <w:rPr>
          <w:rFonts w:ascii="宋体" w:hAnsi="宋体" w:cs="宋体"/>
          <w:sz w:val="24"/>
        </w:rPr>
      </w:pPr>
      <w:r>
        <w:rPr>
          <w:rFonts w:hint="eastAsia" w:ascii="宋体" w:hAnsi="宋体" w:cs="宋体"/>
          <w:sz w:val="24"/>
        </w:rPr>
        <w:t>2.2“采购代理机构”是指政府采购代理机构（以下简称采购代理机构）是指集中采购机构以外、受采购人委托从事政府采购代理业务的社会中介机构。</w:t>
      </w:r>
    </w:p>
    <w:p>
      <w:pPr>
        <w:spacing w:line="360" w:lineRule="auto"/>
        <w:rPr>
          <w:rFonts w:ascii="宋体" w:hAnsi="宋体" w:cs="宋体"/>
          <w:sz w:val="24"/>
        </w:rPr>
      </w:pPr>
      <w:r>
        <w:rPr>
          <w:rFonts w:hint="eastAsia" w:ascii="宋体" w:hAnsi="宋体" w:cs="宋体"/>
          <w:sz w:val="24"/>
        </w:rPr>
        <w:t>2.3“供应商”是指向采购人提供货物、工程或者服务的法人、其他组织或者自然人。</w:t>
      </w:r>
    </w:p>
    <w:p>
      <w:pPr>
        <w:spacing w:line="360" w:lineRule="auto"/>
        <w:rPr>
          <w:rFonts w:ascii="宋体" w:hAnsi="宋体" w:cs="宋体"/>
          <w:sz w:val="24"/>
        </w:rPr>
      </w:pPr>
      <w:r>
        <w:rPr>
          <w:rFonts w:hint="eastAsia" w:ascii="宋体" w:hAnsi="宋体" w:cs="宋体"/>
          <w:sz w:val="24"/>
        </w:rPr>
        <w:t>2.4“货物”是指各种形态和种类的物品，包括原材料、燃料、设备、产品等。</w:t>
      </w:r>
    </w:p>
    <w:p>
      <w:pPr>
        <w:spacing w:line="360" w:lineRule="auto"/>
        <w:rPr>
          <w:rFonts w:ascii="宋体" w:hAnsi="宋体" w:cs="宋体"/>
          <w:sz w:val="24"/>
        </w:rPr>
      </w:pPr>
      <w:r>
        <w:rPr>
          <w:rFonts w:hint="eastAsia" w:ascii="宋体" w:hAnsi="宋体" w:cs="宋体"/>
          <w:sz w:val="24"/>
        </w:rPr>
        <w:t>2.5“配套（售后）服务” 是指包含但不限于供应商须承担的备品备件、包装、运输、装卸、保险、货到就位以及安装、调试、培训、保修和其他类似的义务。</w:t>
      </w:r>
    </w:p>
    <w:p>
      <w:pPr>
        <w:spacing w:line="360" w:lineRule="auto"/>
        <w:rPr>
          <w:rFonts w:ascii="宋体" w:hAnsi="宋体" w:cs="宋体"/>
          <w:sz w:val="24"/>
        </w:rPr>
      </w:pPr>
      <w:r>
        <w:rPr>
          <w:rFonts w:hint="eastAsia" w:ascii="宋体" w:hAnsi="宋体" w:cs="宋体"/>
          <w:sz w:val="24"/>
        </w:rPr>
        <w:t>2.6“书面形式”是指合同书、信件和数据电文（包括电报、电传、传真、电子数据交换和电子邮件）等可以有形地表现所载内容的形式。</w:t>
      </w:r>
    </w:p>
    <w:p>
      <w:pPr>
        <w:spacing w:line="360" w:lineRule="auto"/>
        <w:rPr>
          <w:rFonts w:ascii="宋体" w:hAnsi="宋体" w:cs="宋体"/>
          <w:sz w:val="24"/>
        </w:rPr>
      </w:pPr>
      <w:r>
        <w:rPr>
          <w:rFonts w:hint="eastAsia" w:ascii="宋体" w:hAnsi="宋体" w:cs="宋体"/>
          <w:sz w:val="24"/>
        </w:rPr>
        <w:t>2.7“响应文件”是指：供应商根据本文件要求，编制包含报价、技术和服务等所有内容的文件。</w:t>
      </w:r>
    </w:p>
    <w:p>
      <w:pPr>
        <w:spacing w:line="360" w:lineRule="auto"/>
        <w:rPr>
          <w:rFonts w:ascii="宋体" w:hAnsi="宋体" w:cs="宋体"/>
          <w:sz w:val="24"/>
        </w:rPr>
      </w:pPr>
      <w:r>
        <w:rPr>
          <w:rFonts w:hint="eastAsia" w:ascii="宋体" w:hAnsi="宋体" w:cs="宋体"/>
          <w:sz w:val="24"/>
        </w:rPr>
        <w:t>2.8 “实质性要求”是指采购需求中带“▲”的条款或者不能负偏离的条款或者已经指明不满足按响应文件作无效处理的条款。</w:t>
      </w:r>
    </w:p>
    <w:p>
      <w:pPr>
        <w:spacing w:line="360" w:lineRule="auto"/>
        <w:rPr>
          <w:rFonts w:ascii="宋体" w:hAnsi="宋体" w:cs="宋体"/>
          <w:sz w:val="24"/>
        </w:rPr>
      </w:pPr>
      <w:r>
        <w:rPr>
          <w:rFonts w:hint="eastAsia" w:ascii="宋体" w:hAnsi="宋体" w:cs="宋体"/>
          <w:sz w:val="24"/>
        </w:rPr>
        <w:t>2.9 “正偏离”，是指响应文件对竞争性谈判文件“采购需求”中有关条款作出优于条款要求并有利于采购人的响应情形；“负偏离”，是指响应文件对竞争性谈判文件“采购需求”中有关条款作出的响应不满足条款要求，导致采购人要求不能得到满足的情形。“满足”是指响应文件对竞争性谈判文件“采购需求”中有关条款作出无“负偏离”或者“正偏离”的情形。</w:t>
      </w:r>
    </w:p>
    <w:p>
      <w:pPr>
        <w:spacing w:line="360" w:lineRule="auto"/>
        <w:rPr>
          <w:rFonts w:ascii="宋体" w:hAnsi="宋体" w:cs="宋体"/>
          <w:sz w:val="24"/>
        </w:rPr>
      </w:pPr>
      <w:r>
        <w:rPr>
          <w:rFonts w:hint="eastAsia" w:ascii="宋体" w:hAnsi="宋体" w:cs="宋体"/>
          <w:sz w:val="24"/>
        </w:rPr>
        <w:t>2.10 “允许负偏离的条款”是指采购需求中的不属于“实质性要求”的条款。</w:t>
      </w:r>
    </w:p>
    <w:p>
      <w:pPr>
        <w:spacing w:line="360" w:lineRule="auto"/>
        <w:rPr>
          <w:rFonts w:ascii="宋体" w:hAnsi="宋体" w:cs="宋体"/>
          <w:sz w:val="24"/>
        </w:rPr>
      </w:pPr>
      <w:r>
        <w:rPr>
          <w:rFonts w:hint="eastAsia" w:ascii="宋体" w:hAnsi="宋体" w:cs="宋体"/>
          <w:sz w:val="24"/>
        </w:rPr>
        <w:t>2.11响应文件对竞争性谈判文件中的实质性要求必须作出无偏离或者正偏离响应，实质性要求不允许负偏离。</w:t>
      </w:r>
    </w:p>
    <w:p>
      <w:pPr>
        <w:spacing w:line="360" w:lineRule="auto"/>
        <w:rPr>
          <w:rFonts w:ascii="宋体" w:hAnsi="宋体" w:cs="宋体"/>
          <w:sz w:val="24"/>
        </w:rPr>
      </w:pPr>
      <w:r>
        <w:rPr>
          <w:rFonts w:hint="eastAsia" w:ascii="宋体" w:hAnsi="宋体" w:cs="宋体"/>
          <w:sz w:val="24"/>
        </w:rPr>
        <w:t>2.12技术参数或者配置缺项漏项的，或者商务条款未承诺的视同为该项负偏离。</w:t>
      </w:r>
    </w:p>
    <w:p>
      <w:pPr>
        <w:spacing w:line="360" w:lineRule="auto"/>
        <w:rPr>
          <w:rFonts w:ascii="宋体" w:hAnsi="宋体" w:cs="宋体"/>
          <w:sz w:val="24"/>
        </w:rPr>
      </w:pPr>
      <w:r>
        <w:rPr>
          <w:rFonts w:hint="eastAsia" w:ascii="宋体" w:hAnsi="宋体" w:cs="宋体"/>
          <w:sz w:val="24"/>
        </w:rPr>
        <w:t>2.13“竞标”是指供应商获取竞争性谈判文件、提交响应文件并希望获得标的的行为。</w:t>
      </w:r>
    </w:p>
    <w:p>
      <w:pPr>
        <w:spacing w:line="360" w:lineRule="auto"/>
        <w:rPr>
          <w:rFonts w:ascii="宋体" w:hAnsi="宋体" w:cs="宋体"/>
          <w:sz w:val="24"/>
        </w:rPr>
      </w:pPr>
      <w:r>
        <w:rPr>
          <w:rFonts w:hint="eastAsia" w:ascii="宋体" w:hAnsi="宋体" w:cs="宋体"/>
          <w:sz w:val="24"/>
        </w:rPr>
        <w:t>2.14“首次报价”是指供应商提交的首次响应文件中的竞标报价。</w:t>
      </w:r>
    </w:p>
    <w:p>
      <w:pPr>
        <w:spacing w:line="360" w:lineRule="auto"/>
        <w:rPr>
          <w:rFonts w:ascii="宋体" w:hAnsi="宋体" w:cs="宋体"/>
          <w:sz w:val="24"/>
        </w:rPr>
      </w:pPr>
      <w:r>
        <w:rPr>
          <w:rFonts w:hint="eastAsia" w:ascii="宋体" w:hAnsi="宋体" w:cs="宋体"/>
          <w:sz w:val="24"/>
        </w:rPr>
        <w:t>2.15“评审价”是指供应商提交的最后报价并经修正和政策功能价格扣除后的价格。</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供应商的资格条件：详见“供应商须知前附表”。</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竞标费用</w:t>
      </w:r>
    </w:p>
    <w:p>
      <w:pPr>
        <w:spacing w:line="360" w:lineRule="auto"/>
        <w:rPr>
          <w:rFonts w:ascii="宋体" w:hAnsi="宋体" w:cs="宋体"/>
          <w:sz w:val="24"/>
        </w:rPr>
      </w:pPr>
      <w:r>
        <w:rPr>
          <w:rFonts w:hint="eastAsia" w:ascii="宋体" w:hAnsi="宋体" w:cs="宋体"/>
          <w:sz w:val="24"/>
        </w:rPr>
        <w:t>4.1竞标费用：供应商应承担参与本次采购活动有关的所有费用，包括但不限于获取竞争性谈判文件、勘查现场、编制和提交响应文件、参加谈判与应答、签订合同等，不论竞标结果如何，均应自行承担。</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联合体竞标</w:t>
      </w:r>
    </w:p>
    <w:p>
      <w:pPr>
        <w:spacing w:line="360" w:lineRule="auto"/>
        <w:rPr>
          <w:rFonts w:ascii="宋体" w:hAnsi="宋体" w:cs="宋体"/>
          <w:sz w:val="24"/>
        </w:rPr>
      </w:pPr>
      <w:r>
        <w:rPr>
          <w:rFonts w:hint="eastAsia" w:ascii="宋体" w:hAnsi="宋体" w:cs="宋体"/>
          <w:sz w:val="24"/>
        </w:rPr>
        <w:t>5.1本项目是否接受联合体竞标，详见“供应商须知前附表”。</w:t>
      </w:r>
    </w:p>
    <w:p>
      <w:pPr>
        <w:spacing w:line="360" w:lineRule="auto"/>
        <w:rPr>
          <w:rFonts w:ascii="宋体" w:hAnsi="宋体" w:cs="宋体"/>
          <w:sz w:val="24"/>
        </w:rPr>
      </w:pPr>
      <w:r>
        <w:rPr>
          <w:rFonts w:hint="eastAsia" w:ascii="宋体" w:hAnsi="宋体" w:cs="宋体"/>
          <w:sz w:val="24"/>
        </w:rPr>
        <w:t>5.2联合体竞标要求，详见“供应商须知前附表”。</w:t>
      </w:r>
    </w:p>
    <w:p>
      <w:pPr>
        <w:pStyle w:val="4"/>
        <w:numPr>
          <w:ilvl w:val="0"/>
          <w:numId w:val="15"/>
        </w:numPr>
        <w:spacing w:before="0" w:after="0" w:line="360" w:lineRule="auto"/>
        <w:ind w:left="0" w:firstLine="0"/>
        <w:rPr>
          <w:rFonts w:ascii="宋体" w:hAnsi="宋体" w:cs="宋体"/>
          <w:b w:val="0"/>
          <w:bCs/>
          <w:sz w:val="24"/>
        </w:rPr>
      </w:pPr>
      <w:r>
        <w:rPr>
          <w:rFonts w:hint="eastAsia" w:ascii="宋体" w:hAnsi="宋体" w:cs="宋体"/>
          <w:sz w:val="24"/>
        </w:rPr>
        <w:t xml:space="preserve">转包与分包        </w:t>
      </w:r>
      <w:r>
        <w:rPr>
          <w:rFonts w:hint="eastAsia" w:ascii="宋体" w:hAnsi="宋体" w:cs="宋体"/>
          <w:b w:val="0"/>
          <w:bCs/>
          <w:sz w:val="24"/>
        </w:rPr>
        <w:t xml:space="preserve">     </w:t>
      </w:r>
    </w:p>
    <w:p>
      <w:pPr>
        <w:spacing w:line="360" w:lineRule="auto"/>
        <w:rPr>
          <w:rFonts w:ascii="宋体" w:hAnsi="宋体" w:cs="宋体"/>
          <w:sz w:val="24"/>
        </w:rPr>
      </w:pPr>
      <w:r>
        <w:rPr>
          <w:rFonts w:hint="eastAsia" w:ascii="宋体" w:hAnsi="宋体" w:cs="宋体"/>
          <w:sz w:val="24"/>
        </w:rPr>
        <w:t>6.1本项目不允许转包。</w:t>
      </w:r>
    </w:p>
    <w:p>
      <w:pPr>
        <w:spacing w:line="360" w:lineRule="auto"/>
        <w:rPr>
          <w:rFonts w:ascii="宋体" w:hAnsi="宋体" w:cs="宋体"/>
          <w:sz w:val="24"/>
        </w:rPr>
      </w:pPr>
      <w:r>
        <w:rPr>
          <w:rFonts w:hint="eastAsia" w:ascii="宋体" w:hAnsi="宋体" w:cs="宋体"/>
          <w:sz w:val="24"/>
        </w:rPr>
        <w:t>6.2本项目是否允许分包详见“供应商须知前附表”，本项目不允许违法分包 。</w:t>
      </w:r>
    </w:p>
    <w:p>
      <w:pPr>
        <w:pStyle w:val="4"/>
        <w:numPr>
          <w:ilvl w:val="0"/>
          <w:numId w:val="15"/>
        </w:numPr>
        <w:spacing w:before="0" w:after="0" w:line="360" w:lineRule="auto"/>
        <w:ind w:left="0" w:firstLine="0"/>
        <w:rPr>
          <w:rFonts w:ascii="宋体" w:hAnsi="宋体" w:cs="宋体"/>
          <w:sz w:val="24"/>
        </w:rPr>
      </w:pPr>
      <w:bookmarkStart w:id="55" w:name="_Toc254970673"/>
      <w:bookmarkStart w:id="56" w:name="_Toc254970532"/>
      <w:r>
        <w:rPr>
          <w:rFonts w:hint="eastAsia" w:ascii="宋体" w:hAnsi="宋体" w:cs="宋体"/>
          <w:sz w:val="24"/>
        </w:rPr>
        <w:t>特别说明</w:t>
      </w:r>
      <w:bookmarkEnd w:id="55"/>
      <w:bookmarkEnd w:id="56"/>
    </w:p>
    <w:p>
      <w:pPr>
        <w:spacing w:line="360" w:lineRule="auto"/>
        <w:rPr>
          <w:rFonts w:ascii="宋体" w:hAnsi="宋体" w:cs="宋体"/>
          <w:b/>
          <w:bCs/>
          <w:sz w:val="24"/>
        </w:rPr>
      </w:pPr>
      <w:bookmarkStart w:id="57" w:name="_8.1提供相同品牌产品且通过资格审查、符合性审查的不同投标人参加同一合"/>
      <w:bookmarkEnd w:id="57"/>
      <w:r>
        <w:rPr>
          <w:rFonts w:hint="eastAsia" w:ascii="宋体" w:hAnsi="宋体" w:cs="宋体"/>
          <w:b/>
          <w:bCs/>
          <w:sz w:val="24"/>
        </w:rPr>
        <w:fldChar w:fldCharType="begin"/>
      </w:r>
      <w:r>
        <w:rPr>
          <w:rFonts w:hint="eastAsia" w:ascii="宋体" w:hAnsi="宋体" w:cs="宋体"/>
          <w:b/>
          <w:bCs/>
          <w:sz w:val="24"/>
        </w:rPr>
        <w:instrText xml:space="preserve"> HYPERLINK  \l "_8.1" </w:instrText>
      </w:r>
      <w:r>
        <w:rPr>
          <w:rFonts w:hint="eastAsia" w:ascii="宋体" w:hAnsi="宋体" w:cs="宋体"/>
          <w:b/>
          <w:bCs/>
          <w:sz w:val="24"/>
        </w:rPr>
        <w:fldChar w:fldCharType="separate"/>
      </w:r>
      <w:r>
        <w:rPr>
          <w:rFonts w:hint="eastAsia" w:ascii="宋体" w:hAnsi="宋体" w:cs="宋体"/>
          <w:b/>
          <w:bCs/>
          <w:sz w:val="24"/>
        </w:rPr>
        <w:t>7.1</w:t>
      </w:r>
      <w:r>
        <w:rPr>
          <w:rFonts w:hint="eastAsia" w:ascii="宋体" w:hAnsi="宋体" w:cs="宋体"/>
          <w:b/>
          <w:bCs/>
          <w:sz w:val="24"/>
        </w:rPr>
        <w:fldChar w:fldCharType="end"/>
      </w:r>
      <w:r>
        <w:rPr>
          <w:rFonts w:hint="eastAsia" w:ascii="宋体" w:hAnsi="宋体" w:cs="宋体"/>
          <w:b/>
          <w:bCs/>
          <w:sz w:val="24"/>
        </w:rPr>
        <w:t>非单一产品采购项目，多家供应商提供的核心产品品牌相同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pPr>
        <w:spacing w:line="360" w:lineRule="auto"/>
        <w:rPr>
          <w:rFonts w:ascii="宋体" w:hAnsi="宋体" w:cs="宋体"/>
          <w:b/>
          <w:bCs/>
          <w:sz w:val="24"/>
        </w:rPr>
      </w:pPr>
      <w:r>
        <w:rPr>
          <w:rFonts w:hint="eastAsia" w:ascii="宋体" w:hAnsi="宋体" w:cs="宋体"/>
          <w:sz w:val="24"/>
        </w:rPr>
        <w:t>7.2</w:t>
      </w:r>
      <w:r>
        <w:rPr>
          <w:rFonts w:hint="eastAsia" w:ascii="宋体" w:hAnsi="宋体" w:cs="宋体"/>
          <w:b/>
          <w:bCs/>
          <w:sz w:val="24"/>
        </w:rPr>
        <w:t>如果本谈判文件要求供应商提供资格、信誉、荣誉、业绩与企业认证等材料的，则供应商所提供的以上材料必须为供应商所拥有。</w:t>
      </w:r>
    </w:p>
    <w:p>
      <w:pPr>
        <w:spacing w:line="360" w:lineRule="auto"/>
        <w:rPr>
          <w:rFonts w:ascii="宋体" w:hAnsi="宋体" w:cs="宋体"/>
          <w:sz w:val="24"/>
        </w:rPr>
      </w:pPr>
      <w:r>
        <w:rPr>
          <w:rFonts w:hint="eastAsia" w:ascii="宋体" w:hAnsi="宋体" w:cs="宋体"/>
          <w:sz w:val="24"/>
        </w:rPr>
        <w:t>7.3供应商应仔细阅读竞争性谈判文件的所有内容，按照竞争性谈判文件的要求提交响应文件，并对所提供的全部资料的真实性承担法律责任。</w:t>
      </w:r>
    </w:p>
    <w:p>
      <w:pPr>
        <w:spacing w:line="360" w:lineRule="auto"/>
        <w:rPr>
          <w:rFonts w:ascii="宋体" w:hAnsi="宋体" w:cs="宋体"/>
          <w:sz w:val="24"/>
        </w:rPr>
      </w:pPr>
      <w:r>
        <w:rPr>
          <w:rFonts w:hint="eastAsia" w:ascii="宋体" w:hAnsi="宋体" w:cs="宋体"/>
          <w:sz w:val="24"/>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rPr>
          <w:rFonts w:ascii="宋体" w:hAnsi="宋体" w:cs="宋体"/>
          <w:sz w:val="24"/>
        </w:rPr>
      </w:pPr>
      <w:r>
        <w:rPr>
          <w:rFonts w:hint="eastAsia" w:ascii="宋体" w:hAnsi="宋体" w:cs="宋体"/>
          <w:sz w:val="24"/>
        </w:rPr>
        <w:t>7.5在政府采购活动中，采购人员及相关人员与供应商有下列利害关系之一的，应当回避：</w:t>
      </w:r>
    </w:p>
    <w:p>
      <w:pPr>
        <w:spacing w:line="360" w:lineRule="auto"/>
        <w:rPr>
          <w:rFonts w:ascii="宋体" w:hAnsi="宋体" w:cs="宋体"/>
          <w:sz w:val="24"/>
        </w:rPr>
      </w:pPr>
      <w:r>
        <w:rPr>
          <w:rFonts w:hint="eastAsia" w:ascii="宋体" w:hAnsi="宋体" w:cs="宋体"/>
          <w:sz w:val="24"/>
        </w:rPr>
        <w:t>（1）参加采购活动前3年内与供应商存在劳动关系；</w:t>
      </w:r>
    </w:p>
    <w:p>
      <w:pPr>
        <w:spacing w:line="360" w:lineRule="auto"/>
        <w:rPr>
          <w:rFonts w:ascii="宋体" w:hAnsi="宋体" w:cs="宋体"/>
          <w:sz w:val="24"/>
        </w:rPr>
      </w:pPr>
      <w:r>
        <w:rPr>
          <w:rFonts w:hint="eastAsia" w:ascii="宋体" w:hAnsi="宋体" w:cs="宋体"/>
          <w:sz w:val="24"/>
        </w:rPr>
        <w:t>（2）参加采购活动前3年内担任供应商的董事、监事；</w:t>
      </w:r>
    </w:p>
    <w:p>
      <w:pPr>
        <w:spacing w:line="360" w:lineRule="auto"/>
        <w:rPr>
          <w:rFonts w:ascii="宋体" w:hAnsi="宋体" w:cs="宋体"/>
          <w:sz w:val="24"/>
        </w:rPr>
      </w:pPr>
      <w:r>
        <w:rPr>
          <w:rFonts w:hint="eastAsia" w:ascii="宋体" w:hAnsi="宋体" w:cs="宋体"/>
          <w:sz w:val="24"/>
        </w:rPr>
        <w:t>（3）参加采购活动前3年内是供应商的控股股东或者实际控制人；</w:t>
      </w:r>
    </w:p>
    <w:p>
      <w:pPr>
        <w:spacing w:line="360" w:lineRule="auto"/>
        <w:rPr>
          <w:rFonts w:ascii="宋体" w:hAnsi="宋体" w:cs="宋体"/>
          <w:sz w:val="24"/>
        </w:rPr>
      </w:pPr>
      <w:r>
        <w:rPr>
          <w:rFonts w:hint="eastAsia" w:ascii="宋体" w:hAnsi="宋体" w:cs="宋体"/>
          <w:sz w:val="24"/>
        </w:rPr>
        <w:t>（4）与供应商的法定代表人或者负责人有夫妻、直系血亲、三代以内旁系血亲或者近姻亲关系；</w:t>
      </w:r>
    </w:p>
    <w:p>
      <w:pPr>
        <w:spacing w:line="360" w:lineRule="auto"/>
        <w:rPr>
          <w:rFonts w:ascii="宋体" w:hAnsi="宋体" w:cs="宋体"/>
          <w:sz w:val="24"/>
        </w:rPr>
      </w:pPr>
      <w:r>
        <w:rPr>
          <w:rFonts w:hint="eastAsia" w:ascii="宋体" w:hAnsi="宋体" w:cs="宋体"/>
          <w:sz w:val="24"/>
        </w:rPr>
        <w:t>（5）与供应商有其他可能影响政府采购活动公平、公正进行的关系。</w:t>
      </w:r>
    </w:p>
    <w:p>
      <w:pPr>
        <w:spacing w:line="360" w:lineRule="auto"/>
        <w:rPr>
          <w:rFonts w:ascii="宋体" w:hAns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rPr>
          <w:rFonts w:ascii="宋体" w:hAnsi="宋体" w:cs="宋体"/>
          <w:sz w:val="24"/>
        </w:rPr>
      </w:pPr>
      <w:r>
        <w:rPr>
          <w:rFonts w:hint="eastAsia" w:ascii="宋体" w:hAnsi="宋体" w:cs="宋体"/>
          <w:sz w:val="24"/>
        </w:rPr>
        <w:t>7.6有下列情形之一的视为供应商相互串通竞标，响应文件将被视为无效：</w:t>
      </w:r>
    </w:p>
    <w:p>
      <w:pPr>
        <w:numPr>
          <w:ilvl w:val="0"/>
          <w:numId w:val="16"/>
        </w:numPr>
        <w:spacing w:line="360" w:lineRule="auto"/>
        <w:rPr>
          <w:rFonts w:ascii="宋体" w:hAnsi="宋体" w:cs="宋体"/>
          <w:sz w:val="24"/>
        </w:rPr>
      </w:pPr>
      <w:r>
        <w:rPr>
          <w:rFonts w:hint="eastAsia" w:ascii="宋体" w:hAnsi="宋体" w:cs="宋体"/>
          <w:sz w:val="24"/>
        </w:rPr>
        <w:t>不同供应商的响应文件由同一单位或者个人编制；或者不同供应商报名的IP地址一致的；</w:t>
      </w:r>
    </w:p>
    <w:p>
      <w:pPr>
        <w:numPr>
          <w:ilvl w:val="0"/>
          <w:numId w:val="16"/>
        </w:numPr>
        <w:spacing w:line="360" w:lineRule="auto"/>
        <w:rPr>
          <w:rFonts w:ascii="宋体" w:hAnsi="宋体" w:cs="宋体"/>
          <w:sz w:val="24"/>
        </w:rPr>
      </w:pPr>
      <w:r>
        <w:rPr>
          <w:rFonts w:hint="eastAsia" w:ascii="宋体" w:hAnsi="宋体" w:cs="宋体"/>
          <w:sz w:val="24"/>
        </w:rPr>
        <w:t>不同供应商委托同一单位或者个人办理竞标事宜；</w:t>
      </w:r>
    </w:p>
    <w:p>
      <w:pPr>
        <w:numPr>
          <w:ilvl w:val="0"/>
          <w:numId w:val="16"/>
        </w:numPr>
        <w:spacing w:line="360" w:lineRule="auto"/>
        <w:rPr>
          <w:rFonts w:ascii="宋体" w:hAnsi="宋体" w:cs="宋体"/>
          <w:sz w:val="24"/>
        </w:rPr>
      </w:pPr>
      <w:r>
        <w:rPr>
          <w:rFonts w:hint="eastAsia" w:ascii="宋体" w:hAnsi="宋体" w:cs="宋体"/>
          <w:sz w:val="24"/>
        </w:rPr>
        <w:t>不同的供应商的响应文件载明的项目管理员为同一个人；</w:t>
      </w:r>
    </w:p>
    <w:p>
      <w:pPr>
        <w:numPr>
          <w:ilvl w:val="0"/>
          <w:numId w:val="16"/>
        </w:numPr>
        <w:spacing w:line="360" w:lineRule="auto"/>
        <w:rPr>
          <w:rFonts w:ascii="宋体" w:hAnsi="宋体" w:cs="宋体"/>
          <w:sz w:val="24"/>
        </w:rPr>
      </w:pPr>
      <w:r>
        <w:rPr>
          <w:rFonts w:hint="eastAsia" w:ascii="宋体" w:hAnsi="宋体" w:cs="宋体"/>
          <w:sz w:val="24"/>
        </w:rPr>
        <w:t>不同供应商的响应文件异常一致或者报价呈规律性差异；</w:t>
      </w:r>
    </w:p>
    <w:p>
      <w:pPr>
        <w:numPr>
          <w:ilvl w:val="0"/>
          <w:numId w:val="16"/>
        </w:numPr>
        <w:spacing w:line="360" w:lineRule="auto"/>
        <w:rPr>
          <w:rFonts w:ascii="宋体" w:hAnsi="宋体" w:cs="宋体"/>
          <w:sz w:val="24"/>
        </w:rPr>
      </w:pPr>
      <w:r>
        <w:rPr>
          <w:rFonts w:hint="eastAsia" w:ascii="宋体" w:hAnsi="宋体" w:cs="宋体"/>
          <w:sz w:val="24"/>
        </w:rPr>
        <w:t>不同供应商的响应文件相互混装；</w:t>
      </w:r>
    </w:p>
    <w:p>
      <w:pPr>
        <w:spacing w:line="360" w:lineRule="auto"/>
        <w:rPr>
          <w:rFonts w:ascii="宋体" w:hAnsi="宋体" w:cs="宋体"/>
          <w:sz w:val="24"/>
        </w:rPr>
      </w:pPr>
      <w:r>
        <w:rPr>
          <w:rFonts w:hint="eastAsia" w:ascii="宋体" w:hAnsi="宋体" w:cs="宋体"/>
          <w:sz w:val="24"/>
        </w:rPr>
        <w:t>7.7供应商有下列情形之一的，属于恶意串通行为</w:t>
      </w:r>
      <w:bookmarkStart w:id="58" w:name="_Hlk54682620"/>
      <w:r>
        <w:rPr>
          <w:rFonts w:hint="eastAsia" w:ascii="宋体" w:hAnsi="宋体" w:cs="宋体"/>
          <w:sz w:val="24"/>
        </w:rPr>
        <w:t>，将报同级监督管理部门</w:t>
      </w:r>
      <w:bookmarkEnd w:id="58"/>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pPr>
        <w:spacing w:line="360" w:lineRule="auto"/>
        <w:rPr>
          <w:rFonts w:ascii="宋体" w:hAnsi="宋体" w:cs="宋体"/>
          <w:sz w:val="24"/>
        </w:rPr>
      </w:pPr>
      <w:r>
        <w:rPr>
          <w:rFonts w:hint="eastAsia" w:ascii="宋体" w:hAnsi="宋体" w:cs="宋体"/>
          <w:sz w:val="24"/>
        </w:rPr>
        <w:t>（2）供应商按照采购人或者采购代理机构的授意撤换、修改响应文件；</w:t>
      </w:r>
    </w:p>
    <w:p>
      <w:pPr>
        <w:spacing w:line="360" w:lineRule="auto"/>
        <w:rPr>
          <w:rFonts w:ascii="宋体" w:hAnsi="宋体" w:cs="宋体"/>
          <w:sz w:val="24"/>
        </w:rPr>
      </w:pPr>
      <w:r>
        <w:rPr>
          <w:rFonts w:hint="eastAsia" w:ascii="宋体" w:hAnsi="宋体" w:cs="宋体"/>
          <w:sz w:val="24"/>
        </w:rPr>
        <w:t>（3）供应商之间协商报价、技术方案等响应文件或者响应文件的实质性内容；</w:t>
      </w:r>
    </w:p>
    <w:p>
      <w:pPr>
        <w:spacing w:line="360" w:lineRule="auto"/>
        <w:rPr>
          <w:rFonts w:ascii="宋体" w:hAnsi="宋体" w:cs="宋体"/>
          <w:sz w:val="24"/>
        </w:rPr>
      </w:pPr>
      <w:r>
        <w:rPr>
          <w:rFonts w:hint="eastAsia" w:ascii="宋体" w:hAnsi="宋体" w:cs="宋体"/>
          <w:sz w:val="24"/>
        </w:rPr>
        <w:t>（4）属于同一集团、协会、商会等组织成员的供应商按照该组织要求协同参加政府采购活动；</w:t>
      </w:r>
    </w:p>
    <w:p>
      <w:pPr>
        <w:spacing w:line="360" w:lineRule="auto"/>
        <w:rPr>
          <w:rFonts w:ascii="宋体" w:hAnsi="宋体" w:cs="宋体"/>
          <w:sz w:val="24"/>
        </w:rPr>
      </w:pPr>
      <w:r>
        <w:rPr>
          <w:rFonts w:hint="eastAsia" w:ascii="宋体" w:hAnsi="宋体" w:cs="宋体"/>
          <w:sz w:val="24"/>
        </w:rPr>
        <w:t>（5）供应商之间事先约定一致抬高或者压低报价,或者在政府采购活动中事先约定轮流以高价位或者低价位成交,或者事先约定由某一特定供应商成交,然后再参加竞标；</w:t>
      </w:r>
    </w:p>
    <w:p>
      <w:pPr>
        <w:spacing w:line="360" w:lineRule="auto"/>
        <w:rPr>
          <w:rFonts w:ascii="宋体" w:hAnsi="宋体" w:cs="宋体"/>
          <w:sz w:val="24"/>
        </w:rPr>
      </w:pPr>
      <w:r>
        <w:rPr>
          <w:rFonts w:hint="eastAsia" w:ascii="宋体" w:hAnsi="宋体" w:cs="宋体"/>
          <w:sz w:val="24"/>
        </w:rPr>
        <w:t>（6）供应商之间商定部分供应商放弃参加政府采购活动或者放弃成交；</w:t>
      </w:r>
    </w:p>
    <w:p>
      <w:pPr>
        <w:spacing w:line="360" w:lineRule="auto"/>
        <w:rPr>
          <w:rFonts w:ascii="宋体" w:hAnsi="宋体" w:cs="宋体"/>
          <w:sz w:val="24"/>
        </w:rPr>
      </w:pPr>
      <w:r>
        <w:rPr>
          <w:rFonts w:hint="eastAsia" w:ascii="宋体" w:hAnsi="宋体" w:cs="宋体"/>
          <w:sz w:val="24"/>
        </w:rPr>
        <w:t>（7）供应商与采购人或者采购代理机构之间、供应商相互之间，为谋求特定供应商成交或者排斥其他供应商的其他串通行为。</w:t>
      </w:r>
    </w:p>
    <w:p>
      <w:pPr>
        <w:pStyle w:val="4"/>
        <w:spacing w:before="0" w:after="0" w:line="360" w:lineRule="auto"/>
        <w:rPr>
          <w:rFonts w:ascii="宋体" w:hAnsi="宋体" w:cs="宋体"/>
          <w:sz w:val="24"/>
        </w:rPr>
      </w:pPr>
      <w:bookmarkStart w:id="59" w:name="_Toc254970675"/>
      <w:bookmarkStart w:id="60" w:name="_Toc254970534"/>
      <w:r>
        <w:rPr>
          <w:rFonts w:hint="eastAsia" w:ascii="宋体" w:hAnsi="宋体" w:cs="宋体"/>
          <w:sz w:val="24"/>
        </w:rPr>
        <w:t>二、竞争性谈判文件</w:t>
      </w:r>
      <w:bookmarkEnd w:id="59"/>
      <w:bookmarkEnd w:id="60"/>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竞争性谈判文件的构成</w:t>
      </w:r>
    </w:p>
    <w:p>
      <w:pPr>
        <w:spacing w:line="360" w:lineRule="auto"/>
        <w:rPr>
          <w:rFonts w:ascii="宋体" w:hAnsi="宋体" w:cs="宋体"/>
          <w:sz w:val="24"/>
        </w:rPr>
      </w:pPr>
      <w:r>
        <w:rPr>
          <w:rFonts w:hint="eastAsia" w:ascii="宋体" w:hAnsi="宋体" w:cs="宋体"/>
          <w:sz w:val="24"/>
        </w:rPr>
        <w:t>（1）竞争性谈判公告；</w:t>
      </w:r>
    </w:p>
    <w:p>
      <w:pPr>
        <w:spacing w:line="360" w:lineRule="auto"/>
        <w:rPr>
          <w:rFonts w:ascii="宋体" w:hAnsi="宋体" w:cs="宋体"/>
          <w:sz w:val="24"/>
        </w:rPr>
      </w:pPr>
      <w:r>
        <w:rPr>
          <w:rFonts w:hint="eastAsia" w:ascii="宋体" w:hAnsi="宋体" w:cs="宋体"/>
          <w:sz w:val="24"/>
        </w:rPr>
        <w:t xml:space="preserve">（2）供应商须知； </w:t>
      </w:r>
    </w:p>
    <w:p>
      <w:pPr>
        <w:spacing w:line="360" w:lineRule="auto"/>
        <w:rPr>
          <w:rFonts w:ascii="宋体" w:hAnsi="宋体" w:cs="宋体"/>
          <w:sz w:val="24"/>
        </w:rPr>
      </w:pPr>
      <w:r>
        <w:rPr>
          <w:rFonts w:hint="eastAsia" w:ascii="宋体" w:hAnsi="宋体" w:cs="宋体"/>
          <w:sz w:val="24"/>
        </w:rPr>
        <w:t>（3）采购需求；</w:t>
      </w:r>
    </w:p>
    <w:p>
      <w:pPr>
        <w:spacing w:line="360" w:lineRule="auto"/>
        <w:rPr>
          <w:rFonts w:ascii="宋体" w:hAnsi="宋体" w:cs="宋体"/>
          <w:sz w:val="24"/>
        </w:rPr>
      </w:pPr>
      <w:r>
        <w:rPr>
          <w:rFonts w:hint="eastAsia" w:ascii="宋体" w:hAnsi="宋体" w:cs="宋体"/>
          <w:sz w:val="24"/>
        </w:rPr>
        <w:t>（4）响应文件格式</w:t>
      </w:r>
    </w:p>
    <w:p>
      <w:pPr>
        <w:spacing w:line="360" w:lineRule="auto"/>
        <w:rPr>
          <w:rFonts w:ascii="宋体" w:hAnsi="宋体" w:cs="宋体"/>
          <w:sz w:val="24"/>
        </w:rPr>
      </w:pPr>
      <w:r>
        <w:rPr>
          <w:rFonts w:hint="eastAsia" w:ascii="宋体" w:hAnsi="宋体" w:cs="宋体"/>
          <w:sz w:val="24"/>
        </w:rPr>
        <w:t>（5）合同主要条款；</w:t>
      </w:r>
    </w:p>
    <w:p>
      <w:pPr>
        <w:spacing w:line="360" w:lineRule="auto"/>
        <w:rPr>
          <w:rFonts w:ascii="宋体" w:hAnsi="宋体" w:cs="宋体"/>
          <w:sz w:val="24"/>
        </w:rPr>
      </w:pPr>
      <w:r>
        <w:rPr>
          <w:rFonts w:hint="eastAsia" w:ascii="宋体" w:hAnsi="宋体" w:cs="宋体"/>
          <w:sz w:val="24"/>
        </w:rPr>
        <w:t>（6）评审程序和评定成交的标准。</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供应商的询问</w:t>
      </w:r>
    </w:p>
    <w:p>
      <w:pPr>
        <w:spacing w:line="360" w:lineRule="auto"/>
        <w:rPr>
          <w:rFonts w:ascii="宋体" w:hAnsi="宋体" w:cs="宋体"/>
          <w:sz w:val="24"/>
        </w:rPr>
      </w:pPr>
      <w:r>
        <w:rPr>
          <w:rFonts w:hint="eastAsia" w:ascii="宋体" w:hAnsi="宋体" w:cs="宋体"/>
          <w:sz w:val="24"/>
        </w:rPr>
        <w:t>供应商应认真阅读谈判文件的采购需求，如供应商对竞争性谈判文件有疑问的，如要求采购人作出澄清或者修改的，供应商尽可能在提交响应文件截止之日前，以书面形式向采购人、采购代理机构提出。</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竞争性谈判文件的澄清和修改</w:t>
      </w:r>
    </w:p>
    <w:p>
      <w:pPr>
        <w:spacing w:line="360" w:lineRule="auto"/>
        <w:rPr>
          <w:rFonts w:ascii="宋体" w:hAnsi="宋体" w:cs="宋体"/>
          <w:sz w:val="24"/>
        </w:rPr>
      </w:pPr>
      <w:r>
        <w:rPr>
          <w:rFonts w:hint="eastAsia" w:ascii="宋体" w:hAnsi="宋体" w:cs="宋体"/>
          <w:sz w:val="24"/>
        </w:rPr>
        <w:t>提交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响应文件截止之日3个工作日前，以书面形式通知所有接收谈判文件的供应商，不足3个工作日的，应当顺延提交响应文件截止之日。</w:t>
      </w:r>
    </w:p>
    <w:p>
      <w:pPr>
        <w:pStyle w:val="4"/>
        <w:spacing w:before="0" w:after="0" w:line="360" w:lineRule="auto"/>
        <w:rPr>
          <w:rFonts w:ascii="宋体" w:hAnsi="宋体" w:cs="宋体"/>
          <w:sz w:val="24"/>
        </w:rPr>
      </w:pPr>
      <w:r>
        <w:rPr>
          <w:rFonts w:hint="eastAsia" w:ascii="宋体" w:hAnsi="宋体" w:cs="宋体"/>
          <w:sz w:val="24"/>
        </w:rPr>
        <w:t>三、响应文件的编制</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响应文件的编制原则</w:t>
      </w:r>
    </w:p>
    <w:p>
      <w:pPr>
        <w:spacing w:line="360" w:lineRule="auto"/>
        <w:rPr>
          <w:rFonts w:ascii="宋体" w:hAnsi="宋体" w:cs="宋体"/>
          <w:sz w:val="24"/>
        </w:rPr>
      </w:pPr>
      <w:r>
        <w:rPr>
          <w:rFonts w:hint="eastAsia" w:ascii="宋体" w:hAnsi="宋体" w:cs="宋体"/>
          <w:sz w:val="24"/>
        </w:rPr>
        <w:t>供应商必须按照竞争性谈判文件的要求编制响应文件，并对其提交的响应文件的真实性、合法性承担法律责任。响应文件必须对竞争性谈判文件作出实质性响应。</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响应文件的组成</w:t>
      </w:r>
    </w:p>
    <w:p>
      <w:pPr>
        <w:spacing w:line="360" w:lineRule="auto"/>
        <w:rPr>
          <w:rFonts w:ascii="宋体" w:hAnsi="宋体" w:cs="宋体"/>
          <w:sz w:val="24"/>
        </w:rPr>
      </w:pPr>
      <w:r>
        <w:rPr>
          <w:rFonts w:hint="eastAsia" w:ascii="宋体" w:hAnsi="宋体" w:cs="宋体"/>
          <w:sz w:val="24"/>
        </w:rPr>
        <w:t>12.1响应文件由资格证明文件、报价商务技术文件两部分组成。</w:t>
      </w:r>
    </w:p>
    <w:p>
      <w:pPr>
        <w:spacing w:line="360" w:lineRule="auto"/>
        <w:rPr>
          <w:rFonts w:ascii="宋体" w:hAnsi="宋体" w:cs="宋体"/>
          <w:sz w:val="24"/>
        </w:rPr>
      </w:pPr>
      <w:r>
        <w:rPr>
          <w:rFonts w:hint="eastAsia" w:ascii="宋体" w:hAnsi="宋体" w:cs="宋体"/>
          <w:sz w:val="24"/>
        </w:rPr>
        <w:t>12.1.1资格证明文件：详见须知前附表</w:t>
      </w:r>
    </w:p>
    <w:p>
      <w:pPr>
        <w:spacing w:line="360" w:lineRule="auto"/>
        <w:rPr>
          <w:rFonts w:ascii="宋体" w:hAnsi="宋体" w:cs="宋体"/>
          <w:sz w:val="24"/>
        </w:rPr>
      </w:pPr>
      <w:r>
        <w:rPr>
          <w:rFonts w:hint="eastAsia" w:ascii="宋体" w:hAnsi="宋体" w:cs="宋体"/>
          <w:sz w:val="24"/>
        </w:rPr>
        <w:t>12.1.2报价商务技术文件：详见须知前附表</w:t>
      </w:r>
    </w:p>
    <w:p>
      <w:pPr>
        <w:spacing w:line="360" w:lineRule="auto"/>
        <w:rPr>
          <w:rFonts w:ascii="宋体" w:hAnsi="宋体" w:cs="宋体"/>
          <w:sz w:val="24"/>
        </w:rPr>
      </w:pPr>
      <w:r>
        <w:rPr>
          <w:rFonts w:hint="eastAsia" w:ascii="宋体" w:hAnsi="宋体" w:cs="宋体"/>
          <w:sz w:val="24"/>
        </w:rPr>
        <w:t>12.2响应文件电子版：详见须知前附表</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计量单位</w:t>
      </w:r>
    </w:p>
    <w:p>
      <w:pPr>
        <w:spacing w:line="360" w:lineRule="auto"/>
        <w:rPr>
          <w:rFonts w:ascii="宋体" w:hAnsi="宋体" w:cs="宋体"/>
          <w:sz w:val="24"/>
        </w:rPr>
      </w:pPr>
      <w:r>
        <w:rPr>
          <w:rFonts w:hint="eastAsia" w:ascii="宋体" w:hAnsi="宋体" w:cs="宋体"/>
          <w:sz w:val="24"/>
        </w:rPr>
        <w:t>竞争性谈判文件已有明确规定的，使用竞争性谈判文件规定的计量单位；竞争性谈判文件没有规定的，应采用中华人民共和国法定计量单位，货币种类为人民币，否则视同未响应。</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竞标的风险</w:t>
      </w:r>
    </w:p>
    <w:p>
      <w:pPr>
        <w:spacing w:line="360" w:lineRule="auto"/>
        <w:rPr>
          <w:rFonts w:ascii="宋体" w:hAnsi="宋体" w:cs="宋体"/>
          <w:sz w:val="24"/>
        </w:rPr>
      </w:pPr>
      <w:r>
        <w:rPr>
          <w:rFonts w:hint="eastAsia" w:ascii="宋体" w:hAnsi="宋体" w:cs="宋体"/>
          <w:sz w:val="24"/>
        </w:rPr>
        <w:t>供应商没有按照竞争性谈判文件要求提供全部资料，或者供应商没有对竞争性谈判文件在各方面作出实质性响应可能导致其响应文件作无效处理，是供应商应当考虑的风险。</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竞标报价要求和构成</w:t>
      </w:r>
    </w:p>
    <w:p>
      <w:pPr>
        <w:spacing w:line="360" w:lineRule="auto"/>
        <w:rPr>
          <w:rFonts w:ascii="宋体" w:hAnsi="宋体" w:cs="宋体"/>
          <w:sz w:val="24"/>
        </w:rPr>
      </w:pPr>
      <w:r>
        <w:rPr>
          <w:rFonts w:hint="eastAsia" w:ascii="宋体" w:hAnsi="宋体" w:cs="宋体"/>
          <w:sz w:val="24"/>
        </w:rPr>
        <w:t>15.1竞标报价应按竞争性谈判文件中“竞标报价表”格式填写。</w:t>
      </w:r>
    </w:p>
    <w:p>
      <w:pPr>
        <w:spacing w:line="360" w:lineRule="auto"/>
        <w:rPr>
          <w:rFonts w:ascii="宋体" w:hAnsi="宋体" w:cs="宋体"/>
          <w:sz w:val="24"/>
        </w:rPr>
      </w:pPr>
      <w:r>
        <w:rPr>
          <w:rFonts w:hint="eastAsia" w:ascii="宋体" w:hAnsi="宋体" w:cs="宋体"/>
          <w:sz w:val="24"/>
        </w:rPr>
        <w:t>15.2竞标报价的价格构成见“供应商须知前附表”。</w:t>
      </w:r>
    </w:p>
    <w:p>
      <w:pPr>
        <w:spacing w:line="360" w:lineRule="auto"/>
        <w:rPr>
          <w:rFonts w:ascii="宋体" w:hAnsi="宋体" w:cs="宋体"/>
          <w:sz w:val="24"/>
        </w:rPr>
      </w:pPr>
      <w:r>
        <w:rPr>
          <w:rFonts w:hint="eastAsia" w:ascii="宋体" w:hAnsi="宋体" w:cs="宋体"/>
          <w:sz w:val="24"/>
        </w:rPr>
        <w:t>15.3竞标报价要求</w:t>
      </w:r>
    </w:p>
    <w:p>
      <w:pPr>
        <w:spacing w:line="360" w:lineRule="auto"/>
        <w:rPr>
          <w:rFonts w:ascii="宋体" w:hAnsi="宋体" w:cs="宋体"/>
          <w:sz w:val="24"/>
        </w:rPr>
      </w:pPr>
      <w:r>
        <w:rPr>
          <w:rFonts w:hint="eastAsia" w:ascii="宋体" w:hAnsi="宋体" w:cs="宋体"/>
          <w:sz w:val="24"/>
        </w:rPr>
        <w:t>15.3.1供应商的竞标报价应符合以下要求，否则响应文件按无效响应处理：</w:t>
      </w:r>
    </w:p>
    <w:p>
      <w:pPr>
        <w:spacing w:line="360" w:lineRule="auto"/>
        <w:rPr>
          <w:rFonts w:ascii="宋体" w:hAnsi="宋体" w:cs="宋体"/>
          <w:sz w:val="24"/>
        </w:rPr>
      </w:pPr>
      <w:r>
        <w:rPr>
          <w:rFonts w:hint="eastAsia" w:ascii="宋体" w:hAnsi="宋体" w:cs="宋体"/>
          <w:sz w:val="24"/>
        </w:rPr>
        <w:t>（1）供应商必须就“采购需求”中所竞标的每个分标的全部内容分别作完整唯一总价报价，</w:t>
      </w:r>
    </w:p>
    <w:p>
      <w:pPr>
        <w:spacing w:line="360" w:lineRule="auto"/>
        <w:rPr>
          <w:rFonts w:ascii="宋体" w:hAnsi="宋体" w:cs="宋体"/>
          <w:sz w:val="24"/>
        </w:rPr>
      </w:pPr>
      <w:r>
        <w:rPr>
          <w:rFonts w:hint="eastAsia" w:ascii="宋体" w:hAnsi="宋体" w:cs="宋体"/>
          <w:sz w:val="24"/>
        </w:rPr>
        <w:t>不得存在漏项报价；</w:t>
      </w:r>
    </w:p>
    <w:p>
      <w:pPr>
        <w:spacing w:line="360" w:lineRule="auto"/>
        <w:rPr>
          <w:rFonts w:ascii="宋体" w:hAnsi="宋体" w:cs="宋体"/>
          <w:sz w:val="24"/>
        </w:rPr>
      </w:pPr>
      <w:r>
        <w:rPr>
          <w:rFonts w:hint="eastAsia" w:ascii="宋体" w:hAnsi="宋体" w:cs="宋体"/>
          <w:sz w:val="24"/>
        </w:rPr>
        <w:t>（2）供应商必须就所竞标的分标的单项内容作唯一报价。</w:t>
      </w:r>
    </w:p>
    <w:p>
      <w:pPr>
        <w:spacing w:line="360" w:lineRule="auto"/>
        <w:rPr>
          <w:rFonts w:ascii="宋体" w:hAnsi="宋体" w:cs="宋体"/>
          <w:sz w:val="24"/>
        </w:rPr>
      </w:pPr>
      <w:r>
        <w:rPr>
          <w:rFonts w:hint="eastAsia" w:ascii="宋体" w:hAnsi="宋体" w:cs="宋体"/>
          <w:sz w:val="24"/>
        </w:rPr>
        <w:t>15.3.2竞标报价（包含首次报价、最后报价）超过所竞标分标规定的采购预算金额或者最高限价的，其响应文件将作无效处理。</w:t>
      </w:r>
    </w:p>
    <w:p>
      <w:pPr>
        <w:spacing w:line="360" w:lineRule="auto"/>
        <w:rPr>
          <w:rFonts w:ascii="宋体" w:hAnsi="宋体" w:cs="宋体"/>
          <w:sz w:val="24"/>
        </w:rPr>
      </w:pPr>
      <w:r>
        <w:rPr>
          <w:rFonts w:hint="eastAsia" w:ascii="宋体" w:hAnsi="宋体" w:cs="宋体"/>
          <w:sz w:val="24"/>
        </w:rPr>
        <w:t>15.3.3竞标报价（包含首次报价、最后报价）超过分项采购预算金额或者最高限价的，其响应文件将作无效处理。</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竞标有效期</w:t>
      </w:r>
    </w:p>
    <w:p>
      <w:pPr>
        <w:spacing w:line="360" w:lineRule="auto"/>
        <w:rPr>
          <w:rFonts w:ascii="宋体" w:hAnsi="宋体" w:cs="宋体"/>
          <w:sz w:val="24"/>
        </w:rPr>
      </w:pPr>
      <w:r>
        <w:rPr>
          <w:rFonts w:hint="eastAsia" w:ascii="宋体" w:hAnsi="宋体" w:cs="宋体"/>
          <w:sz w:val="24"/>
        </w:rPr>
        <w:t>16.1竞标有效期是指为保证采购人有足够的时间在提交响应文件后完成评审、确定成交供应商、合同签订等工作而要求供应商提交的响应文件在一定时间内保持有效的期限。</w:t>
      </w:r>
    </w:p>
    <w:p>
      <w:pPr>
        <w:spacing w:line="360" w:lineRule="auto"/>
        <w:rPr>
          <w:rFonts w:ascii="宋体" w:hAnsi="宋体" w:cs="宋体"/>
          <w:sz w:val="24"/>
        </w:rPr>
      </w:pPr>
      <w:r>
        <w:rPr>
          <w:rFonts w:hint="eastAsia" w:ascii="宋体" w:hAnsi="宋体" w:cs="宋体"/>
          <w:sz w:val="24"/>
        </w:rPr>
        <w:t>16.2 竞标有效期应由供应商按“供应商须知前附表”规定的期限作出响应。</w:t>
      </w:r>
    </w:p>
    <w:p>
      <w:pPr>
        <w:spacing w:line="360" w:lineRule="auto"/>
        <w:rPr>
          <w:rFonts w:ascii="宋体" w:hAnsi="宋体" w:cs="宋体"/>
          <w:sz w:val="24"/>
        </w:rPr>
      </w:pPr>
      <w:r>
        <w:rPr>
          <w:rFonts w:hint="eastAsia" w:ascii="宋体" w:hAnsi="宋体" w:cs="宋体"/>
          <w:sz w:val="24"/>
        </w:rPr>
        <w:t>16.3供应商的响应文件在竞标有效期内均保持有效。</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竞标保证金</w:t>
      </w:r>
    </w:p>
    <w:p>
      <w:pPr>
        <w:spacing w:line="360" w:lineRule="auto"/>
        <w:rPr>
          <w:rFonts w:ascii="宋体" w:hAnsi="宋体" w:cs="宋体"/>
          <w:sz w:val="24"/>
        </w:rPr>
      </w:pPr>
      <w:r>
        <w:rPr>
          <w:rFonts w:hint="eastAsia" w:ascii="宋体" w:hAnsi="宋体" w:cs="宋体"/>
          <w:sz w:val="24"/>
        </w:rPr>
        <w:t>17.1本项目不要求提交竞标保证金。</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响应文件编制的要求</w:t>
      </w:r>
    </w:p>
    <w:p>
      <w:pPr>
        <w:spacing w:line="360" w:lineRule="auto"/>
        <w:rPr>
          <w:rFonts w:ascii="宋体" w:hAnsi="宋体" w:cs="宋体"/>
          <w:sz w:val="24"/>
        </w:rPr>
      </w:pPr>
      <w:r>
        <w:rPr>
          <w:rFonts w:hint="eastAsia" w:ascii="宋体" w:hAnsi="宋体" w:cs="宋体"/>
          <w:sz w:val="24"/>
        </w:rPr>
        <w:t>18.1 本项目要求提供加密电子响应文件。</w:t>
      </w:r>
    </w:p>
    <w:p>
      <w:pPr>
        <w:spacing w:line="360" w:lineRule="auto"/>
        <w:rPr>
          <w:rFonts w:ascii="宋体" w:hAnsi="宋体" w:cs="宋体"/>
          <w:sz w:val="24"/>
        </w:rPr>
      </w:pPr>
      <w:r>
        <w:rPr>
          <w:rFonts w:hint="eastAsia" w:ascii="宋体" w:hAnsi="宋体" w:cs="宋体"/>
          <w:sz w:val="24"/>
        </w:rPr>
        <w:t>18.2 供应商应按本谈判文件规定的格式和顺序编制、装订响应文件并标注页码，响应文件内容不完整、编排混乱导致响应文件被误读、漏读或者查找不到相关内容的，由此引发的后果由供应商承担。</w:t>
      </w:r>
    </w:p>
    <w:p>
      <w:pPr>
        <w:spacing w:line="360" w:lineRule="auto"/>
        <w:rPr>
          <w:rFonts w:ascii="宋体" w:hAnsi="宋体" w:cs="宋体"/>
          <w:sz w:val="24"/>
        </w:rPr>
      </w:pPr>
      <w:r>
        <w:rPr>
          <w:rFonts w:hint="eastAsia" w:ascii="宋体" w:hAnsi="宋体" w:cs="宋体"/>
          <w:sz w:val="24"/>
        </w:rPr>
        <w:t>18.3 响应文件应按资格证明文件、报价商务技术文件分别编制，响应文件由供应商使用广西政府采购云平台交易系统提供的响应文件制作工具制作生成。响应文件制作工具可以通过广西政府采购云平台交易系统中下载。供应商应当在互联网络通畅状态下启用最新版响应文件制作工具制作响应文件。</w:t>
      </w:r>
    </w:p>
    <w:p>
      <w:pPr>
        <w:spacing w:line="360" w:lineRule="auto"/>
        <w:rPr>
          <w:rFonts w:ascii="宋体" w:hAnsi="宋体" w:cs="宋体"/>
          <w:sz w:val="24"/>
        </w:rPr>
      </w:pPr>
      <w:r>
        <w:rPr>
          <w:rFonts w:hint="eastAsia" w:ascii="宋体" w:hAnsi="宋体" w:cs="宋体"/>
          <w:sz w:val="24"/>
        </w:rPr>
        <w:t>18.4 在第五章“响应文件格式”中要求加盖公章处，供应商均应加盖供应商电子签章或公章。</w:t>
      </w:r>
    </w:p>
    <w:p>
      <w:pPr>
        <w:spacing w:line="360" w:lineRule="auto"/>
        <w:rPr>
          <w:rFonts w:ascii="宋体" w:hAnsi="宋体" w:cs="宋体"/>
          <w:sz w:val="24"/>
        </w:rPr>
      </w:pPr>
      <w:r>
        <w:rPr>
          <w:rFonts w:hint="eastAsia" w:ascii="宋体" w:hAnsi="宋体" w:cs="宋体"/>
          <w:sz w:val="24"/>
        </w:rPr>
        <w:t>18.5 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pPr>
        <w:spacing w:line="360" w:lineRule="auto"/>
        <w:rPr>
          <w:rFonts w:ascii="宋体" w:hAnsi="宋体" w:cs="宋体"/>
          <w:sz w:val="24"/>
        </w:rPr>
      </w:pPr>
      <w:r>
        <w:rPr>
          <w:rFonts w:hint="eastAsia" w:ascii="宋体" w:hAnsi="宋体" w:cs="宋体"/>
          <w:sz w:val="24"/>
        </w:rPr>
        <w:t>18.6响应文件制作的具体方法详见《政府采购项目电子交易管理操作指南-供应商》以及《政府采购项目电子交易管理操作视频-供应商》，若对电子交易系统操作有疑问，可拨打广西政府采购云平台服务热线95763获取热线服务帮助。</w:t>
      </w:r>
    </w:p>
    <w:p>
      <w:pPr>
        <w:spacing w:line="360" w:lineRule="auto"/>
        <w:rPr>
          <w:rFonts w:ascii="宋体" w:hAnsi="宋体" w:cs="宋体"/>
          <w:sz w:val="24"/>
        </w:rPr>
      </w:pPr>
      <w:r>
        <w:rPr>
          <w:rFonts w:hint="eastAsia" w:ascii="宋体" w:hAnsi="宋体" w:cs="宋体"/>
          <w:sz w:val="24"/>
        </w:rPr>
        <w:t>18.7因供应商自身原因而导致响应文件无法导入电子交易系统电子开标、评标系统的，该响应文件视为无效响应文件，供应商自行承担由此导致的全部责任。（该响应文件是指解密后的响应文件）。</w:t>
      </w:r>
    </w:p>
    <w:p>
      <w:pPr>
        <w:spacing w:line="360" w:lineRule="auto"/>
        <w:rPr>
          <w:rFonts w:ascii="宋体" w:hAnsi="宋体" w:cs="宋体"/>
          <w:sz w:val="24"/>
        </w:rPr>
      </w:pPr>
      <w:r>
        <w:rPr>
          <w:rFonts w:hint="eastAsia" w:ascii="宋体" w:hAnsi="宋体" w:cs="宋体"/>
          <w:sz w:val="24"/>
        </w:rPr>
        <w:t>18.8响应文件须由供应商在规定位置盖公章并由法定代表人或者委托代理人签字，否则其响应文件作无效处理。骑缝盖公章不视为在规定位置盖章。</w:t>
      </w:r>
    </w:p>
    <w:p>
      <w:pPr>
        <w:spacing w:line="360" w:lineRule="auto"/>
        <w:rPr>
          <w:rFonts w:ascii="宋体" w:hAnsi="宋体" w:cs="宋体"/>
          <w:sz w:val="24"/>
        </w:rPr>
      </w:pPr>
      <w:r>
        <w:rPr>
          <w:rFonts w:hint="eastAsia" w:ascii="宋体" w:hAnsi="宋体" w:cs="宋体"/>
          <w:sz w:val="24"/>
        </w:rPr>
        <w:t>18.9响应文件中标注的供应商名称应与营业执照（事业单位法人证书、执业许可证、自然人身份证）及公章一致，否则其响应文件按无效响应处理。</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响应文件的密封和提交</w:t>
      </w:r>
    </w:p>
    <w:p>
      <w:pPr>
        <w:spacing w:line="360" w:lineRule="auto"/>
        <w:rPr>
          <w:rFonts w:ascii="宋体" w:hAnsi="宋体" w:cs="宋体"/>
          <w:sz w:val="24"/>
        </w:rPr>
      </w:pPr>
      <w:r>
        <w:rPr>
          <w:rFonts w:hint="eastAsia" w:ascii="宋体" w:hAnsi="宋体" w:cs="宋体"/>
          <w:sz w:val="24"/>
        </w:rPr>
        <w:t>19.1 无要求</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响应文件的提交</w:t>
      </w:r>
    </w:p>
    <w:p>
      <w:pPr>
        <w:spacing w:line="360" w:lineRule="auto"/>
        <w:rPr>
          <w:rFonts w:ascii="宋体" w:hAnsi="宋体" w:cs="宋体"/>
          <w:sz w:val="24"/>
        </w:rPr>
      </w:pPr>
      <w:r>
        <w:rPr>
          <w:rFonts w:hint="eastAsia" w:ascii="宋体" w:hAnsi="宋体" w:cs="宋体"/>
          <w:sz w:val="24"/>
        </w:rPr>
        <w:t>20.1供应商必须在“供应商须知前附表”规定的时间和地点（网址）提交响应文件。</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响应文件的补充、修改与撤回</w:t>
      </w:r>
    </w:p>
    <w:p>
      <w:pPr>
        <w:spacing w:line="360" w:lineRule="auto"/>
        <w:rPr>
          <w:rFonts w:ascii="宋体" w:hAnsi="宋体" w:cs="宋体"/>
          <w:sz w:val="24"/>
        </w:rPr>
      </w:pPr>
      <w:r>
        <w:rPr>
          <w:rFonts w:hint="eastAsia" w:ascii="宋体" w:hAnsi="宋体" w:cs="宋体"/>
          <w:sz w:val="24"/>
        </w:rPr>
        <w:t>供应商在响应文件提交截止时间前，可以对所提交的响应文件进行补充、修改或者撤回；补充或者修改响应文件的，应当先行撤回原文件，补充、修改后重新传输递交。截止时间后，供应商不得撤回、修改响应文件。</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响应文件的退回</w:t>
      </w:r>
    </w:p>
    <w:p>
      <w:pPr>
        <w:spacing w:line="360" w:lineRule="auto"/>
        <w:rPr>
          <w:rFonts w:ascii="宋体" w:hAnsi="宋体" w:cs="宋体"/>
          <w:sz w:val="24"/>
        </w:rPr>
      </w:pPr>
      <w:r>
        <w:rPr>
          <w:rFonts w:hint="eastAsia" w:ascii="宋体" w:hAnsi="宋体" w:cs="宋体"/>
          <w:sz w:val="24"/>
        </w:rPr>
        <w:t>采购人和采购代理机构对所接收的响应文件除“第四章 评审程序和评定成交的标准”第3.6条规定的情形外，在响应文件提交截止时间止提交响应文件的供应商不足3家的，</w:t>
      </w:r>
      <w:r>
        <w:rPr>
          <w:rFonts w:hint="eastAsia" w:ascii="宋体" w:hAnsi="宋体" w:cs="宋体"/>
          <w:b/>
          <w:bCs/>
          <w:sz w:val="24"/>
        </w:rPr>
        <w:t>广西政府采购云平台</w:t>
      </w:r>
      <w:r>
        <w:rPr>
          <w:rFonts w:hint="eastAsia" w:ascii="宋体" w:hAnsi="宋体" w:cs="宋体"/>
          <w:sz w:val="24"/>
        </w:rPr>
        <w:t>自动退回响应文件，除此之外采购人和采购代理机构对已开启的响应文件概不退回。</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截止时间后的撤回</w:t>
      </w:r>
    </w:p>
    <w:p>
      <w:pPr>
        <w:spacing w:line="360" w:lineRule="auto"/>
        <w:rPr>
          <w:rFonts w:ascii="宋体" w:hAnsi="宋体" w:cs="宋体"/>
          <w:sz w:val="24"/>
        </w:rPr>
      </w:pPr>
      <w:r>
        <w:rPr>
          <w:rFonts w:hint="eastAsia" w:ascii="宋体" w:hAnsi="宋体" w:cs="宋体"/>
          <w:sz w:val="24"/>
        </w:rPr>
        <w:t>供应商在响应文件提交截止时间后向采购人、采购代理机构书面申请撤回响应文件时，按广西政府采购云平台系统相关规定执行。</w:t>
      </w:r>
    </w:p>
    <w:p>
      <w:pPr>
        <w:pStyle w:val="4"/>
        <w:spacing w:before="0" w:after="0" w:line="360" w:lineRule="auto"/>
        <w:rPr>
          <w:rFonts w:ascii="宋体" w:hAnsi="宋体" w:cs="宋体"/>
          <w:sz w:val="24"/>
        </w:rPr>
      </w:pPr>
      <w:r>
        <w:rPr>
          <w:rFonts w:hint="eastAsia" w:ascii="宋体" w:hAnsi="宋体" w:cs="宋体"/>
          <w:sz w:val="24"/>
        </w:rPr>
        <w:t>四、评审及谈判</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谈判小组成立</w:t>
      </w:r>
    </w:p>
    <w:p>
      <w:pPr>
        <w:spacing w:line="360" w:lineRule="auto"/>
        <w:rPr>
          <w:rFonts w:ascii="宋体" w:hAnsi="宋体" w:cs="宋体"/>
          <w:sz w:val="24"/>
        </w:rPr>
      </w:pPr>
      <w:r>
        <w:rPr>
          <w:rFonts w:hint="eastAsia" w:ascii="宋体" w:hAnsi="宋体" w:cs="宋体"/>
          <w:sz w:val="24"/>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pPr>
        <w:spacing w:line="360" w:lineRule="auto"/>
        <w:rPr>
          <w:rFonts w:ascii="宋体" w:hAnsi="宋体" w:cs="宋体"/>
          <w:sz w:val="24"/>
        </w:rPr>
      </w:pPr>
      <w:r>
        <w:rPr>
          <w:rFonts w:hint="eastAsia" w:ascii="宋体" w:hAnsi="宋体" w:cs="宋体"/>
          <w:sz w:val="24"/>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响应文件的开启</w:t>
      </w:r>
    </w:p>
    <w:p>
      <w:pPr>
        <w:spacing w:line="360" w:lineRule="auto"/>
        <w:rPr>
          <w:rFonts w:ascii="宋体" w:hAnsi="宋体" w:cs="宋体"/>
          <w:sz w:val="24"/>
        </w:rPr>
      </w:pPr>
      <w:r>
        <w:rPr>
          <w:rFonts w:hint="eastAsia" w:ascii="宋体" w:hAnsi="宋体" w:cs="宋体"/>
          <w:sz w:val="24"/>
        </w:rPr>
        <w:t>响应文件由谈判小组或者采购代理机构在“供应商须知前附表”规定的时间开启。</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评审程序和评定成交的标准</w:t>
      </w:r>
    </w:p>
    <w:p>
      <w:pPr>
        <w:spacing w:line="360" w:lineRule="auto"/>
        <w:rPr>
          <w:rFonts w:ascii="宋体" w:hAnsi="宋体" w:cs="宋体"/>
          <w:sz w:val="24"/>
        </w:rPr>
      </w:pPr>
      <w:r>
        <w:rPr>
          <w:rFonts w:hint="eastAsia" w:ascii="宋体" w:hAnsi="宋体" w:cs="宋体"/>
          <w:sz w:val="24"/>
        </w:rPr>
        <w:t>谈判小组按照“第四章  评审程序和评定成交的标准”规定的评审程序对响应文件进行评审，并按照评定成交的标准推荐成交候选供应商。</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确定成交供应商及结果公告</w:t>
      </w:r>
    </w:p>
    <w:p>
      <w:pPr>
        <w:spacing w:line="360" w:lineRule="auto"/>
        <w:rPr>
          <w:rFonts w:ascii="宋体" w:hAnsi="宋体" w:cs="宋体"/>
          <w:sz w:val="24"/>
        </w:rPr>
      </w:pPr>
      <w:r>
        <w:rPr>
          <w:rFonts w:hint="eastAsia" w:ascii="宋体" w:hAnsi="宋体" w:cs="宋体"/>
          <w:sz w:val="24"/>
        </w:rPr>
        <w:t>27.1 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rPr>
          <w:rFonts w:ascii="宋体" w:hAnsi="宋体" w:cs="宋体"/>
          <w:sz w:val="24"/>
        </w:rPr>
      </w:pPr>
      <w:r>
        <w:rPr>
          <w:rFonts w:hint="eastAsia" w:ascii="宋体" w:hAnsi="宋体" w:cs="宋体"/>
          <w:sz w:val="24"/>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p>
    <w:p>
      <w:pPr>
        <w:spacing w:line="360" w:lineRule="auto"/>
        <w:rPr>
          <w:rFonts w:ascii="宋体" w:hAnsi="宋体" w:cs="宋体"/>
          <w:sz w:val="24"/>
        </w:rPr>
      </w:pPr>
      <w:r>
        <w:rPr>
          <w:rFonts w:hint="eastAsia" w:ascii="宋体" w:hAnsi="宋体" w:cs="宋体"/>
          <w:sz w:val="24"/>
        </w:rPr>
        <w:t>27.3除“第四章 评审程序和评定成交的标准”第3.6条规定的情形外，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pPr>
        <w:spacing w:line="360" w:lineRule="auto"/>
        <w:rPr>
          <w:rFonts w:ascii="宋体" w:hAnsi="宋体" w:cs="宋体"/>
          <w:sz w:val="24"/>
        </w:rPr>
      </w:pPr>
      <w:r>
        <w:rPr>
          <w:rFonts w:hint="eastAsia" w:ascii="宋体" w:hAnsi="宋体" w:cs="宋体"/>
          <w:sz w:val="24"/>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履约保证金</w:t>
      </w:r>
    </w:p>
    <w:p>
      <w:pPr>
        <w:spacing w:line="360" w:lineRule="auto"/>
        <w:rPr>
          <w:rFonts w:ascii="宋体" w:hAnsi="宋体" w:cs="宋体"/>
          <w:sz w:val="24"/>
        </w:rPr>
      </w:pPr>
      <w:r>
        <w:rPr>
          <w:rFonts w:hint="eastAsia" w:ascii="宋体" w:hAnsi="宋体" w:cs="宋体"/>
          <w:sz w:val="24"/>
        </w:rPr>
        <w:t>28.1履约保证金的金额、提交方式、退付的时间和条件详见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pPr>
        <w:spacing w:line="360" w:lineRule="auto"/>
        <w:rPr>
          <w:rFonts w:ascii="宋体" w:hAnsi="宋体" w:cs="宋体"/>
          <w:sz w:val="24"/>
        </w:rPr>
      </w:pPr>
      <w:r>
        <w:rPr>
          <w:rFonts w:hint="eastAsia" w:ascii="宋体" w:hAnsi="宋体" w:cs="宋体"/>
          <w:sz w:val="24"/>
        </w:rPr>
        <w:t>28.2签订合同后，如成交供应商不按双方签订的合同规定履约，则没收其全部履约保证金，履约保证金不足以赔偿损失的，按实际损失赔偿。</w:t>
      </w:r>
    </w:p>
    <w:p>
      <w:pPr>
        <w:spacing w:line="360" w:lineRule="auto"/>
        <w:rPr>
          <w:rFonts w:ascii="宋体" w:hAnsi="宋体" w:cs="宋体"/>
          <w:sz w:val="24"/>
        </w:rPr>
      </w:pPr>
      <w:r>
        <w:rPr>
          <w:rFonts w:hint="eastAsia" w:ascii="宋体" w:hAnsi="宋体" w:cs="宋体"/>
          <w:sz w:val="24"/>
        </w:rPr>
        <w:t>28.3在履约保证金退还日期前，若成交供应商的开户名称、开户银行、帐号有变动的，请以书面形式通知履约保证金收取单位，否则由此产生的后果由成交供应商自负。</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签订合同</w:t>
      </w:r>
    </w:p>
    <w:p>
      <w:pPr>
        <w:spacing w:line="360" w:lineRule="auto"/>
        <w:rPr>
          <w:rFonts w:ascii="宋体" w:hAnsi="宋体" w:cs="宋体"/>
          <w:sz w:val="24"/>
        </w:rPr>
      </w:pPr>
      <w:r>
        <w:rPr>
          <w:rFonts w:hint="eastAsia" w:ascii="宋体" w:hAnsi="宋体" w:cs="宋体"/>
          <w:sz w:val="24"/>
        </w:rPr>
        <w:t>29.1成交供应商在收到成交通知书后，按须知前附表规定向采购人出示相关证明材料，经采购人核验合格后方可签订合同。</w:t>
      </w:r>
    </w:p>
    <w:p>
      <w:pPr>
        <w:spacing w:line="360" w:lineRule="auto"/>
        <w:rPr>
          <w:rFonts w:ascii="宋体" w:hAnsi="宋体" w:cs="宋体"/>
          <w:sz w:val="24"/>
        </w:rPr>
      </w:pPr>
      <w:r>
        <w:rPr>
          <w:rFonts w:hint="eastAsia" w:ascii="宋体" w:hAnsi="宋体" w:cs="宋体"/>
          <w:sz w:val="24"/>
        </w:rPr>
        <w:t>29.2 签订合同时间：按成交通知书的规定与采购人签订政府采购合同。</w:t>
      </w:r>
    </w:p>
    <w:p>
      <w:pPr>
        <w:spacing w:line="360" w:lineRule="auto"/>
        <w:rPr>
          <w:rFonts w:ascii="宋体" w:hAnsi="宋体" w:cs="宋体"/>
          <w:sz w:val="24"/>
        </w:rPr>
      </w:pPr>
      <w:r>
        <w:rPr>
          <w:rFonts w:hint="eastAsia" w:ascii="宋体" w:hAnsi="宋体" w:cs="宋体"/>
          <w:sz w:val="24"/>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政府采购合同公告</w:t>
      </w:r>
    </w:p>
    <w:p>
      <w:pPr>
        <w:spacing w:line="360" w:lineRule="auto"/>
        <w:rPr>
          <w:rFonts w:ascii="宋体" w:hAnsi="宋体" w:cs="宋体"/>
          <w:sz w:val="24"/>
        </w:rPr>
      </w:pPr>
      <w:r>
        <w:rPr>
          <w:rFonts w:hint="eastAsia" w:ascii="宋体" w:hAnsi="宋体" w:cs="宋体"/>
          <w:sz w:val="24"/>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询问、质疑和投诉</w:t>
      </w:r>
    </w:p>
    <w:p>
      <w:pPr>
        <w:spacing w:line="360" w:lineRule="auto"/>
        <w:rPr>
          <w:rFonts w:ascii="宋体" w:hAnsi="宋体" w:cs="宋体"/>
          <w:sz w:val="24"/>
        </w:rPr>
      </w:pPr>
      <w:r>
        <w:rPr>
          <w:rFonts w:hint="eastAsia" w:ascii="宋体" w:hAnsi="宋体" w:cs="宋体"/>
          <w:sz w:val="24"/>
        </w:rPr>
        <w:t>31.1供应商对政府采购活动事项有疑问的，可以向采购人、采购代理机构提出询问，采购人或者采购代理机构应当在3个工作日内对供应商依法提出的询问作出答复。</w:t>
      </w:r>
    </w:p>
    <w:p>
      <w:pPr>
        <w:spacing w:line="360" w:lineRule="auto"/>
        <w:rPr>
          <w:rFonts w:ascii="宋体" w:hAnsi="宋体" w:cs="宋体"/>
          <w:sz w:val="24"/>
        </w:rPr>
      </w:pPr>
      <w:r>
        <w:rPr>
          <w:rFonts w:hint="eastAsia" w:ascii="宋体" w:hAnsi="宋体" w:cs="宋体"/>
          <w:sz w:val="24"/>
        </w:rPr>
        <w:t>31.2供应商认为谈判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本须知前附表。具体质疑起算时间如下：</w:t>
      </w:r>
    </w:p>
    <w:p>
      <w:pPr>
        <w:spacing w:line="360" w:lineRule="auto"/>
        <w:rPr>
          <w:rFonts w:ascii="宋体" w:hAnsi="宋体" w:cs="宋体"/>
          <w:sz w:val="24"/>
        </w:rPr>
      </w:pPr>
      <w:r>
        <w:rPr>
          <w:rFonts w:hint="eastAsia" w:ascii="宋体" w:hAnsi="宋体" w:cs="宋体"/>
          <w:sz w:val="24"/>
        </w:rPr>
        <w:t>（1）对可以质疑的谈判文件提出质疑的，为获取谈判文件之日；</w:t>
      </w:r>
    </w:p>
    <w:p>
      <w:pPr>
        <w:spacing w:line="360" w:lineRule="auto"/>
        <w:rPr>
          <w:rFonts w:ascii="宋体" w:hAnsi="宋体" w:cs="宋体"/>
          <w:sz w:val="24"/>
        </w:rPr>
      </w:pPr>
      <w:r>
        <w:rPr>
          <w:rFonts w:hint="eastAsia" w:ascii="宋体" w:hAnsi="宋体" w:cs="宋体"/>
          <w:sz w:val="24"/>
        </w:rPr>
        <w:t>（2）对采购过程提出质疑的，为各采购程序环节结束之日；</w:t>
      </w:r>
    </w:p>
    <w:p>
      <w:pPr>
        <w:spacing w:line="360" w:lineRule="auto"/>
        <w:rPr>
          <w:rFonts w:ascii="宋体" w:hAnsi="宋体" w:cs="宋体"/>
          <w:sz w:val="24"/>
        </w:rPr>
      </w:pPr>
      <w:r>
        <w:rPr>
          <w:rFonts w:hint="eastAsia" w:ascii="宋体" w:hAnsi="宋体" w:cs="宋体"/>
          <w:sz w:val="24"/>
        </w:rPr>
        <w:t>（3）对成交结果提出质疑的，为成交结果公告期限届满之日。</w:t>
      </w:r>
    </w:p>
    <w:p>
      <w:pPr>
        <w:spacing w:line="360" w:lineRule="auto"/>
        <w:rPr>
          <w:rFonts w:ascii="宋体" w:hAnsi="宋体" w:cs="宋体"/>
          <w:sz w:val="24"/>
        </w:rPr>
      </w:pPr>
      <w:r>
        <w:rPr>
          <w:rFonts w:hint="eastAsia" w:ascii="宋体" w:hAnsi="宋体" w:cs="宋体"/>
          <w:sz w:val="24"/>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rPr>
          <w:rFonts w:ascii="宋体" w:hAnsi="宋体" w:cs="宋体"/>
          <w:sz w:val="24"/>
        </w:rPr>
      </w:pPr>
      <w:r>
        <w:rPr>
          <w:rFonts w:hint="eastAsia" w:ascii="宋体" w:hAnsi="宋体" w:cs="宋体"/>
          <w:sz w:val="24"/>
        </w:rPr>
        <w:t>31.4供应商提出质疑应当提交质疑函和必要的证明材料，针对同一采购程序环节的质疑必须在法定质疑期内一次性提出。质疑函应当包括下列内容（质疑函格式后附）：</w:t>
      </w:r>
    </w:p>
    <w:p>
      <w:pPr>
        <w:spacing w:line="360" w:lineRule="auto"/>
        <w:rPr>
          <w:rFonts w:ascii="宋体" w:hAnsi="宋体" w:cs="宋体"/>
          <w:sz w:val="24"/>
        </w:rPr>
      </w:pPr>
      <w:r>
        <w:rPr>
          <w:rFonts w:hint="eastAsia" w:ascii="宋体" w:hAnsi="宋体" w:cs="宋体"/>
          <w:sz w:val="24"/>
        </w:rPr>
        <w:t>（1）供应商的姓名或者名称、地址、邮编、联系人及联系电话；</w:t>
      </w:r>
    </w:p>
    <w:p>
      <w:pPr>
        <w:spacing w:line="360" w:lineRule="auto"/>
        <w:rPr>
          <w:rFonts w:ascii="宋体" w:hAnsi="宋体" w:cs="宋体"/>
          <w:sz w:val="24"/>
        </w:rPr>
      </w:pPr>
      <w:r>
        <w:rPr>
          <w:rFonts w:hint="eastAsia" w:ascii="宋体" w:hAnsi="宋体" w:cs="宋体"/>
          <w:sz w:val="24"/>
        </w:rPr>
        <w:t>（2）质疑项目的名称、编号；</w:t>
      </w:r>
    </w:p>
    <w:p>
      <w:pPr>
        <w:spacing w:line="360" w:lineRule="auto"/>
        <w:rPr>
          <w:rFonts w:ascii="宋体" w:hAnsi="宋体" w:cs="宋体"/>
          <w:sz w:val="24"/>
        </w:rPr>
      </w:pPr>
      <w:r>
        <w:rPr>
          <w:rFonts w:hint="eastAsia" w:ascii="宋体" w:hAnsi="宋体" w:cs="宋体"/>
          <w:sz w:val="24"/>
        </w:rPr>
        <w:t>（3）具体、明确的质疑事项和与质疑事项相关的请求；</w:t>
      </w:r>
    </w:p>
    <w:p>
      <w:pPr>
        <w:spacing w:line="360" w:lineRule="auto"/>
        <w:rPr>
          <w:rFonts w:ascii="宋体" w:hAnsi="宋体" w:cs="宋体"/>
          <w:sz w:val="24"/>
        </w:rPr>
      </w:pPr>
      <w:r>
        <w:rPr>
          <w:rFonts w:hint="eastAsia" w:ascii="宋体" w:hAnsi="宋体" w:cs="宋体"/>
          <w:sz w:val="24"/>
        </w:rPr>
        <w:t>（4）事实依据；</w:t>
      </w:r>
    </w:p>
    <w:p>
      <w:pPr>
        <w:spacing w:line="360" w:lineRule="auto"/>
        <w:rPr>
          <w:rFonts w:ascii="宋体" w:hAnsi="宋体" w:cs="宋体"/>
          <w:sz w:val="24"/>
        </w:rPr>
      </w:pPr>
      <w:r>
        <w:rPr>
          <w:rFonts w:hint="eastAsia" w:ascii="宋体" w:hAnsi="宋体" w:cs="宋体"/>
          <w:sz w:val="24"/>
        </w:rPr>
        <w:t>（5）必要的法律依据；</w:t>
      </w:r>
    </w:p>
    <w:p>
      <w:pPr>
        <w:spacing w:line="360" w:lineRule="auto"/>
        <w:rPr>
          <w:rFonts w:ascii="宋体" w:hAnsi="宋体" w:cs="宋体"/>
          <w:sz w:val="24"/>
        </w:rPr>
      </w:pPr>
      <w:r>
        <w:rPr>
          <w:rFonts w:hint="eastAsia" w:ascii="宋体" w:hAnsi="宋体" w:cs="宋体"/>
          <w:sz w:val="24"/>
        </w:rPr>
        <w:t>（6）提出质疑的日期。</w:t>
      </w:r>
    </w:p>
    <w:p>
      <w:pPr>
        <w:spacing w:line="360" w:lineRule="auto"/>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供应商为自然人的，应当由本人签字；供应商为法人或者其他组织的，应当由法定代表人、主要负责人，或者其委托代理人签字或者盖章，并加盖公章。</w:t>
      </w:r>
    </w:p>
    <w:p>
      <w:pPr>
        <w:spacing w:line="360" w:lineRule="auto"/>
        <w:rPr>
          <w:rFonts w:ascii="宋体" w:hAnsi="宋体" w:cs="宋体"/>
          <w:sz w:val="24"/>
        </w:rPr>
      </w:pPr>
      <w:r>
        <w:rPr>
          <w:rFonts w:hint="eastAsia" w:ascii="宋体" w:hAnsi="宋体" w:cs="宋体"/>
          <w:sz w:val="24"/>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rPr>
          <w:rFonts w:ascii="宋体" w:hAnsi="宋体" w:cs="宋体"/>
          <w:sz w:val="24"/>
        </w:rPr>
      </w:pPr>
      <w:r>
        <w:rPr>
          <w:rFonts w:hint="eastAsia" w:ascii="宋体" w:hAnsi="宋体" w:cs="宋体"/>
          <w:sz w:val="24"/>
        </w:rPr>
        <w:t>（一）对采购文件提出的质疑，依法通过澄清或者修改可以继续开展采购活动的，澄清或者修改采购文件后继续开展采购活动；否则应当修改采购文件后重新开展采购活动。</w:t>
      </w:r>
    </w:p>
    <w:p>
      <w:pPr>
        <w:spacing w:line="360" w:lineRule="auto"/>
        <w:rPr>
          <w:rFonts w:ascii="宋体" w:hAnsi="宋体" w:cs="宋体"/>
          <w:sz w:val="24"/>
        </w:rPr>
      </w:pPr>
      <w:r>
        <w:rPr>
          <w:rFonts w:hint="eastAsia" w:ascii="宋体" w:hAnsi="宋体" w:cs="宋体"/>
          <w:sz w:val="24"/>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rPr>
          <w:rFonts w:ascii="宋体" w:hAnsi="宋体" w:cs="宋体"/>
          <w:sz w:val="24"/>
        </w:rPr>
      </w:pPr>
      <w:r>
        <w:rPr>
          <w:rFonts w:hint="eastAsia" w:ascii="宋体" w:hAnsi="宋体" w:cs="宋体"/>
          <w:sz w:val="24"/>
        </w:rPr>
        <w:t>质疑答复导致成交结果改变的，采购人或者采购代理机构应当将有关情况书面报告本级财政部门。</w:t>
      </w:r>
    </w:p>
    <w:p>
      <w:pPr>
        <w:spacing w:line="360" w:lineRule="auto"/>
        <w:rPr>
          <w:rFonts w:ascii="宋体" w:hAnsi="宋体" w:cs="宋体"/>
          <w:sz w:val="24"/>
        </w:rPr>
      </w:pPr>
      <w:r>
        <w:rPr>
          <w:rFonts w:hint="eastAsia" w:ascii="宋体" w:hAnsi="宋体" w:cs="宋体"/>
          <w:sz w:val="24"/>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其他内容</w:t>
      </w:r>
    </w:p>
    <w:p>
      <w:pPr>
        <w:spacing w:line="360" w:lineRule="auto"/>
        <w:rPr>
          <w:rFonts w:ascii="宋体" w:hAnsi="宋体" w:cs="宋体"/>
          <w:sz w:val="24"/>
        </w:rPr>
      </w:pPr>
      <w:r>
        <w:rPr>
          <w:rFonts w:hint="eastAsia" w:ascii="宋体" w:hAnsi="宋体" w:cs="宋体"/>
          <w:sz w:val="24"/>
        </w:rPr>
        <w:t>32.1代理服务收费标准详见“供应商须知前附表”：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3"/>
        <w:gridCol w:w="2013"/>
        <w:gridCol w:w="1859"/>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Borders>
              <w:tl2br w:val="single" w:color="auto" w:sz="4" w:space="0"/>
            </w:tcBorders>
          </w:tcPr>
          <w:p>
            <w:pPr>
              <w:spacing w:line="360" w:lineRule="auto"/>
              <w:rPr>
                <w:rFonts w:ascii="宋体" w:hAnsi="宋体" w:cs="宋体"/>
                <w:sz w:val="24"/>
              </w:rPr>
            </w:pPr>
            <w:r>
              <w:rPr>
                <w:rFonts w:hint="eastAsia" w:ascii="宋体" w:hAnsi="宋体" w:cs="宋体"/>
                <w:sz w:val="24"/>
              </w:rPr>
              <w:t xml:space="preserve">               费率</w:t>
            </w:r>
          </w:p>
          <w:p>
            <w:pPr>
              <w:spacing w:line="360" w:lineRule="auto"/>
              <w:rPr>
                <w:rFonts w:ascii="宋体" w:hAnsi="宋体" w:cs="宋体"/>
                <w:sz w:val="24"/>
              </w:rPr>
            </w:pPr>
            <w:r>
              <w:rPr>
                <w:rFonts w:hint="eastAsia" w:ascii="宋体" w:hAnsi="宋体" w:cs="宋体"/>
                <w:sz w:val="24"/>
              </w:rPr>
              <w:t>金额</w:t>
            </w:r>
          </w:p>
        </w:tc>
        <w:tc>
          <w:tcPr>
            <w:tcW w:w="1010" w:type="pct"/>
            <w:vAlign w:val="center"/>
          </w:tcPr>
          <w:p>
            <w:pPr>
              <w:spacing w:line="360" w:lineRule="auto"/>
              <w:rPr>
                <w:rFonts w:ascii="宋体" w:hAnsi="宋体" w:cs="宋体"/>
                <w:sz w:val="24"/>
              </w:rPr>
            </w:pPr>
            <w:r>
              <w:rPr>
                <w:rFonts w:hint="eastAsia" w:ascii="宋体" w:hAnsi="宋体" w:cs="宋体"/>
                <w:sz w:val="24"/>
              </w:rPr>
              <w:t>货物类</w:t>
            </w:r>
          </w:p>
        </w:tc>
        <w:tc>
          <w:tcPr>
            <w:tcW w:w="933" w:type="pct"/>
            <w:vAlign w:val="center"/>
          </w:tcPr>
          <w:p>
            <w:pPr>
              <w:spacing w:line="360" w:lineRule="auto"/>
              <w:rPr>
                <w:rFonts w:ascii="宋体" w:hAnsi="宋体" w:cs="宋体"/>
                <w:sz w:val="24"/>
              </w:rPr>
            </w:pPr>
            <w:r>
              <w:rPr>
                <w:rFonts w:hint="eastAsia" w:ascii="宋体" w:hAnsi="宋体" w:cs="宋体"/>
                <w:sz w:val="24"/>
              </w:rPr>
              <w:t>服务类</w:t>
            </w:r>
          </w:p>
        </w:tc>
        <w:tc>
          <w:tcPr>
            <w:tcW w:w="941" w:type="pct"/>
            <w:vAlign w:val="center"/>
          </w:tcPr>
          <w:p>
            <w:pPr>
              <w:spacing w:line="360" w:lineRule="auto"/>
              <w:rPr>
                <w:rFonts w:ascii="宋体" w:hAnsi="宋体" w:cs="宋体"/>
                <w:sz w:val="24"/>
              </w:rPr>
            </w:pPr>
            <w:r>
              <w:rPr>
                <w:rFonts w:hint="eastAsia" w:ascii="宋体" w:hAnsi="宋体" w:cs="宋体"/>
                <w:sz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100万元以下</w:t>
            </w:r>
          </w:p>
        </w:tc>
        <w:tc>
          <w:tcPr>
            <w:tcW w:w="1010" w:type="pct"/>
          </w:tcPr>
          <w:p>
            <w:pPr>
              <w:spacing w:line="360" w:lineRule="auto"/>
              <w:rPr>
                <w:rFonts w:ascii="宋体" w:hAnsi="宋体" w:cs="宋体"/>
                <w:sz w:val="24"/>
              </w:rPr>
            </w:pPr>
            <w:r>
              <w:rPr>
                <w:rFonts w:hint="eastAsia" w:ascii="宋体" w:hAnsi="宋体" w:cs="宋体"/>
                <w:kern w:val="0"/>
                <w:sz w:val="24"/>
              </w:rPr>
              <w:t xml:space="preserve">  1.5%                </w:t>
            </w:r>
          </w:p>
        </w:tc>
        <w:tc>
          <w:tcPr>
            <w:tcW w:w="933" w:type="pct"/>
          </w:tcPr>
          <w:p>
            <w:pPr>
              <w:spacing w:line="360" w:lineRule="auto"/>
              <w:rPr>
                <w:rFonts w:ascii="宋体" w:hAnsi="宋体" w:cs="宋体"/>
                <w:sz w:val="24"/>
              </w:rPr>
            </w:pPr>
            <w:r>
              <w:rPr>
                <w:rFonts w:hint="eastAsia" w:ascii="宋体" w:hAnsi="宋体" w:cs="宋体"/>
                <w:kern w:val="0"/>
                <w:sz w:val="24"/>
              </w:rPr>
              <w:t>1.5%</w:t>
            </w:r>
          </w:p>
        </w:tc>
        <w:tc>
          <w:tcPr>
            <w:tcW w:w="941" w:type="pct"/>
          </w:tcPr>
          <w:p>
            <w:pPr>
              <w:spacing w:line="360" w:lineRule="auto"/>
              <w:rPr>
                <w:rFonts w:ascii="宋体" w:hAnsi="宋体" w:cs="宋体"/>
                <w:sz w:val="24"/>
              </w:rPr>
            </w:pPr>
            <w:r>
              <w:rPr>
                <w:rFonts w:hint="eastAsia" w:ascii="宋体" w:hAnsi="宋体" w:cs="宋体"/>
                <w:kern w:val="0"/>
                <w:sz w:val="24"/>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100～500万元</w:t>
            </w:r>
          </w:p>
        </w:tc>
        <w:tc>
          <w:tcPr>
            <w:tcW w:w="1010" w:type="pct"/>
          </w:tcPr>
          <w:p>
            <w:pPr>
              <w:spacing w:line="360" w:lineRule="auto"/>
              <w:rPr>
                <w:rFonts w:ascii="宋体" w:hAnsi="宋体" w:cs="宋体"/>
                <w:sz w:val="24"/>
              </w:rPr>
            </w:pPr>
            <w:r>
              <w:rPr>
                <w:rFonts w:hint="eastAsia" w:ascii="宋体" w:hAnsi="宋体" w:cs="宋体"/>
                <w:kern w:val="0"/>
                <w:sz w:val="24"/>
              </w:rPr>
              <w:t xml:space="preserve">1.1%                 </w:t>
            </w:r>
          </w:p>
        </w:tc>
        <w:tc>
          <w:tcPr>
            <w:tcW w:w="933" w:type="pct"/>
          </w:tcPr>
          <w:p>
            <w:pPr>
              <w:spacing w:line="360" w:lineRule="auto"/>
              <w:rPr>
                <w:rFonts w:ascii="宋体" w:hAnsi="宋体" w:cs="宋体"/>
                <w:sz w:val="24"/>
              </w:rPr>
            </w:pPr>
            <w:r>
              <w:rPr>
                <w:rFonts w:hint="eastAsia" w:ascii="宋体" w:hAnsi="宋体" w:cs="宋体"/>
                <w:kern w:val="0"/>
                <w:sz w:val="24"/>
              </w:rPr>
              <w:t>0.8%</w:t>
            </w:r>
          </w:p>
        </w:tc>
        <w:tc>
          <w:tcPr>
            <w:tcW w:w="941" w:type="pct"/>
          </w:tcPr>
          <w:p>
            <w:pPr>
              <w:spacing w:line="360" w:lineRule="auto"/>
              <w:rPr>
                <w:rFonts w:ascii="宋体" w:hAnsi="宋体" w:cs="宋体"/>
                <w:sz w:val="24"/>
              </w:rPr>
            </w:pPr>
            <w:r>
              <w:rPr>
                <w:rFonts w:hint="eastAsia" w:ascii="宋体" w:hAnsi="宋体" w:cs="宋体"/>
                <w:kern w:val="0"/>
                <w:sz w:val="24"/>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500～1000万元</w:t>
            </w:r>
          </w:p>
        </w:tc>
        <w:tc>
          <w:tcPr>
            <w:tcW w:w="1010" w:type="pct"/>
          </w:tcPr>
          <w:p>
            <w:pPr>
              <w:spacing w:line="360" w:lineRule="auto"/>
              <w:rPr>
                <w:rFonts w:ascii="宋体" w:hAnsi="宋体" w:cs="宋体"/>
                <w:sz w:val="24"/>
              </w:rPr>
            </w:pPr>
            <w:r>
              <w:rPr>
                <w:rFonts w:hint="eastAsia" w:ascii="宋体" w:hAnsi="宋体" w:cs="宋体"/>
                <w:kern w:val="0"/>
                <w:sz w:val="24"/>
              </w:rPr>
              <w:t xml:space="preserve">  0.8%                </w:t>
            </w:r>
          </w:p>
        </w:tc>
        <w:tc>
          <w:tcPr>
            <w:tcW w:w="933" w:type="pct"/>
          </w:tcPr>
          <w:p>
            <w:pPr>
              <w:spacing w:line="360" w:lineRule="auto"/>
              <w:rPr>
                <w:rFonts w:ascii="宋体" w:hAnsi="宋体" w:cs="宋体"/>
                <w:sz w:val="24"/>
              </w:rPr>
            </w:pPr>
            <w:r>
              <w:rPr>
                <w:rFonts w:hint="eastAsia" w:ascii="宋体" w:hAnsi="宋体" w:cs="宋体"/>
                <w:kern w:val="0"/>
                <w:sz w:val="24"/>
              </w:rPr>
              <w:t>0.45%</w:t>
            </w:r>
          </w:p>
        </w:tc>
        <w:tc>
          <w:tcPr>
            <w:tcW w:w="941" w:type="pct"/>
          </w:tcPr>
          <w:p>
            <w:pPr>
              <w:spacing w:line="360" w:lineRule="auto"/>
              <w:rPr>
                <w:rFonts w:ascii="宋体" w:hAnsi="宋体" w:cs="宋体"/>
                <w:sz w:val="24"/>
              </w:rPr>
            </w:pPr>
            <w:r>
              <w:rPr>
                <w:rFonts w:hint="eastAsia" w:ascii="宋体" w:hAnsi="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1000～5000万元</w:t>
            </w:r>
          </w:p>
        </w:tc>
        <w:tc>
          <w:tcPr>
            <w:tcW w:w="1010" w:type="pct"/>
          </w:tcPr>
          <w:p>
            <w:pPr>
              <w:spacing w:line="360" w:lineRule="auto"/>
              <w:rPr>
                <w:rFonts w:ascii="宋体" w:hAnsi="宋体" w:cs="宋体"/>
                <w:sz w:val="24"/>
              </w:rPr>
            </w:pPr>
            <w:r>
              <w:rPr>
                <w:rFonts w:hint="eastAsia" w:ascii="宋体" w:hAnsi="宋体" w:cs="宋体"/>
                <w:kern w:val="0"/>
                <w:sz w:val="24"/>
              </w:rPr>
              <w:t xml:space="preserve">0.5%                </w:t>
            </w:r>
          </w:p>
        </w:tc>
        <w:tc>
          <w:tcPr>
            <w:tcW w:w="933" w:type="pct"/>
          </w:tcPr>
          <w:p>
            <w:pPr>
              <w:spacing w:line="360" w:lineRule="auto"/>
              <w:rPr>
                <w:rFonts w:ascii="宋体" w:hAnsi="宋体" w:cs="宋体"/>
                <w:sz w:val="24"/>
              </w:rPr>
            </w:pPr>
            <w:r>
              <w:rPr>
                <w:rFonts w:hint="eastAsia" w:ascii="宋体" w:hAnsi="宋体" w:cs="宋体"/>
                <w:kern w:val="0"/>
                <w:sz w:val="24"/>
              </w:rPr>
              <w:t>0.25%</w:t>
            </w:r>
          </w:p>
        </w:tc>
        <w:tc>
          <w:tcPr>
            <w:tcW w:w="941" w:type="pct"/>
          </w:tcPr>
          <w:p>
            <w:pPr>
              <w:spacing w:line="360" w:lineRule="auto"/>
              <w:rPr>
                <w:rFonts w:ascii="宋体" w:hAnsi="宋体" w:cs="宋体"/>
                <w:sz w:val="24"/>
              </w:rPr>
            </w:pPr>
            <w:r>
              <w:rPr>
                <w:rFonts w:hint="eastAsia" w:ascii="宋体" w:hAnsi="宋体" w:cs="宋体"/>
                <w:kern w:val="0"/>
                <w:sz w:val="24"/>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5000万元～1亿元</w:t>
            </w:r>
          </w:p>
        </w:tc>
        <w:tc>
          <w:tcPr>
            <w:tcW w:w="1010" w:type="pct"/>
          </w:tcPr>
          <w:p>
            <w:pPr>
              <w:spacing w:line="360" w:lineRule="auto"/>
              <w:rPr>
                <w:rFonts w:ascii="宋体" w:hAnsi="宋体" w:cs="宋体"/>
                <w:sz w:val="24"/>
              </w:rPr>
            </w:pPr>
            <w:r>
              <w:rPr>
                <w:rFonts w:hint="eastAsia" w:ascii="宋体" w:hAnsi="宋体" w:cs="宋体"/>
                <w:kern w:val="0"/>
                <w:sz w:val="24"/>
              </w:rPr>
              <w:t xml:space="preserve">0.25%                 </w:t>
            </w:r>
          </w:p>
        </w:tc>
        <w:tc>
          <w:tcPr>
            <w:tcW w:w="933" w:type="pct"/>
          </w:tcPr>
          <w:p>
            <w:pPr>
              <w:spacing w:line="360" w:lineRule="auto"/>
              <w:rPr>
                <w:rFonts w:ascii="宋体" w:hAnsi="宋体" w:cs="宋体"/>
                <w:sz w:val="24"/>
              </w:rPr>
            </w:pPr>
            <w:r>
              <w:rPr>
                <w:rFonts w:hint="eastAsia" w:ascii="宋体" w:hAnsi="宋体" w:cs="宋体"/>
                <w:kern w:val="0"/>
                <w:sz w:val="24"/>
              </w:rPr>
              <w:t>0.1%</w:t>
            </w:r>
          </w:p>
        </w:tc>
        <w:tc>
          <w:tcPr>
            <w:tcW w:w="941" w:type="pct"/>
          </w:tcPr>
          <w:p>
            <w:pPr>
              <w:spacing w:line="360" w:lineRule="auto"/>
              <w:rPr>
                <w:rFonts w:ascii="宋体" w:hAnsi="宋体" w:cs="宋体"/>
                <w:sz w:val="24"/>
              </w:rPr>
            </w:pPr>
            <w:r>
              <w:rPr>
                <w:rFonts w:hint="eastAsia" w:ascii="宋体" w:hAnsi="宋体" w:cs="宋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1～5亿元</w:t>
            </w:r>
          </w:p>
        </w:tc>
        <w:tc>
          <w:tcPr>
            <w:tcW w:w="1010" w:type="pct"/>
          </w:tcPr>
          <w:p>
            <w:pPr>
              <w:spacing w:line="360" w:lineRule="auto"/>
              <w:rPr>
                <w:rFonts w:ascii="宋体" w:hAnsi="宋体" w:cs="宋体"/>
                <w:sz w:val="24"/>
              </w:rPr>
            </w:pPr>
            <w:r>
              <w:rPr>
                <w:rFonts w:hint="eastAsia" w:ascii="宋体" w:hAnsi="宋体" w:cs="宋体"/>
                <w:sz w:val="24"/>
              </w:rPr>
              <w:t>0.05%</w:t>
            </w:r>
          </w:p>
        </w:tc>
        <w:tc>
          <w:tcPr>
            <w:tcW w:w="933" w:type="pct"/>
          </w:tcPr>
          <w:p>
            <w:pPr>
              <w:spacing w:line="360" w:lineRule="auto"/>
              <w:rPr>
                <w:rFonts w:ascii="宋体" w:hAnsi="宋体" w:cs="宋体"/>
                <w:sz w:val="24"/>
              </w:rPr>
            </w:pPr>
            <w:r>
              <w:rPr>
                <w:rFonts w:hint="eastAsia" w:ascii="宋体" w:hAnsi="宋体" w:cs="宋体"/>
                <w:sz w:val="24"/>
              </w:rPr>
              <w:t xml:space="preserve">  0.05%</w:t>
            </w:r>
          </w:p>
        </w:tc>
        <w:tc>
          <w:tcPr>
            <w:tcW w:w="941" w:type="pct"/>
          </w:tcPr>
          <w:p>
            <w:pPr>
              <w:spacing w:line="360" w:lineRule="auto"/>
              <w:rPr>
                <w:rFonts w:ascii="宋体" w:hAnsi="宋体" w:cs="宋体"/>
                <w:sz w:val="24"/>
              </w:rPr>
            </w:pPr>
            <w:r>
              <w:rPr>
                <w:rFonts w:hint="eastAsia" w:ascii="宋体" w:hAnsi="宋体" w:cs="宋体"/>
                <w:sz w:val="24"/>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5～10亿元</w:t>
            </w:r>
          </w:p>
        </w:tc>
        <w:tc>
          <w:tcPr>
            <w:tcW w:w="1010" w:type="pct"/>
          </w:tcPr>
          <w:p>
            <w:pPr>
              <w:spacing w:line="360" w:lineRule="auto"/>
              <w:rPr>
                <w:rFonts w:ascii="宋体" w:hAnsi="宋体" w:cs="宋体"/>
                <w:sz w:val="24"/>
              </w:rPr>
            </w:pPr>
            <w:r>
              <w:rPr>
                <w:rFonts w:hint="eastAsia" w:ascii="宋体" w:hAnsi="宋体" w:cs="宋体"/>
                <w:sz w:val="24"/>
              </w:rPr>
              <w:t>0.035%</w:t>
            </w:r>
          </w:p>
        </w:tc>
        <w:tc>
          <w:tcPr>
            <w:tcW w:w="933" w:type="pct"/>
          </w:tcPr>
          <w:p>
            <w:pPr>
              <w:spacing w:line="360" w:lineRule="auto"/>
              <w:rPr>
                <w:rFonts w:ascii="宋体" w:hAnsi="宋体" w:cs="宋体"/>
                <w:sz w:val="24"/>
              </w:rPr>
            </w:pPr>
            <w:r>
              <w:rPr>
                <w:rFonts w:hint="eastAsia" w:ascii="宋体" w:hAnsi="宋体" w:cs="宋体"/>
                <w:sz w:val="24"/>
              </w:rPr>
              <w:t xml:space="preserve">  0.035%</w:t>
            </w:r>
          </w:p>
        </w:tc>
        <w:tc>
          <w:tcPr>
            <w:tcW w:w="941" w:type="pct"/>
          </w:tcPr>
          <w:p>
            <w:pPr>
              <w:spacing w:line="360" w:lineRule="auto"/>
              <w:rPr>
                <w:rFonts w:ascii="宋体" w:hAnsi="宋体" w:cs="宋体"/>
                <w:sz w:val="24"/>
              </w:rPr>
            </w:pPr>
            <w:r>
              <w:rPr>
                <w:rFonts w:hint="eastAsia" w:ascii="宋体" w:hAnsi="宋体" w:cs="宋体"/>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10～50亿元</w:t>
            </w:r>
          </w:p>
        </w:tc>
        <w:tc>
          <w:tcPr>
            <w:tcW w:w="1010" w:type="pct"/>
          </w:tcPr>
          <w:p>
            <w:pPr>
              <w:spacing w:line="360" w:lineRule="auto"/>
              <w:rPr>
                <w:rFonts w:ascii="宋体" w:hAnsi="宋体" w:cs="宋体"/>
                <w:sz w:val="24"/>
              </w:rPr>
            </w:pPr>
            <w:r>
              <w:rPr>
                <w:rFonts w:hint="eastAsia" w:ascii="宋体" w:hAnsi="宋体" w:cs="宋体"/>
                <w:sz w:val="24"/>
              </w:rPr>
              <w:t>0.008%</w:t>
            </w:r>
          </w:p>
        </w:tc>
        <w:tc>
          <w:tcPr>
            <w:tcW w:w="933" w:type="pct"/>
          </w:tcPr>
          <w:p>
            <w:pPr>
              <w:spacing w:line="360" w:lineRule="auto"/>
              <w:rPr>
                <w:rFonts w:ascii="宋体" w:hAnsi="宋体" w:cs="宋体"/>
                <w:sz w:val="24"/>
              </w:rPr>
            </w:pPr>
            <w:r>
              <w:rPr>
                <w:rFonts w:hint="eastAsia" w:ascii="宋体" w:hAnsi="宋体" w:cs="宋体"/>
                <w:sz w:val="24"/>
              </w:rPr>
              <w:t>0.008%</w:t>
            </w:r>
          </w:p>
        </w:tc>
        <w:tc>
          <w:tcPr>
            <w:tcW w:w="941" w:type="pct"/>
          </w:tcPr>
          <w:p>
            <w:pPr>
              <w:spacing w:line="360" w:lineRule="auto"/>
              <w:rPr>
                <w:rFonts w:ascii="宋体" w:hAnsi="宋体" w:cs="宋体"/>
                <w:sz w:val="24"/>
              </w:rPr>
            </w:pPr>
            <w:r>
              <w:rPr>
                <w:rFonts w:hint="eastAsia" w:ascii="宋体" w:hAnsi="宋体" w:cs="宋体"/>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50～100亿元</w:t>
            </w:r>
          </w:p>
        </w:tc>
        <w:tc>
          <w:tcPr>
            <w:tcW w:w="1010" w:type="pct"/>
          </w:tcPr>
          <w:p>
            <w:pPr>
              <w:spacing w:line="360" w:lineRule="auto"/>
              <w:rPr>
                <w:rFonts w:ascii="宋体" w:hAnsi="宋体" w:cs="宋体"/>
                <w:sz w:val="24"/>
              </w:rPr>
            </w:pPr>
            <w:r>
              <w:rPr>
                <w:rFonts w:hint="eastAsia" w:ascii="宋体" w:hAnsi="宋体" w:cs="宋体"/>
                <w:sz w:val="24"/>
              </w:rPr>
              <w:t xml:space="preserve"> 0.006%</w:t>
            </w:r>
          </w:p>
        </w:tc>
        <w:tc>
          <w:tcPr>
            <w:tcW w:w="933" w:type="pct"/>
          </w:tcPr>
          <w:p>
            <w:pPr>
              <w:spacing w:line="360" w:lineRule="auto"/>
              <w:rPr>
                <w:rFonts w:ascii="宋体" w:hAnsi="宋体" w:cs="宋体"/>
                <w:sz w:val="24"/>
              </w:rPr>
            </w:pPr>
            <w:r>
              <w:rPr>
                <w:rFonts w:hint="eastAsia" w:ascii="宋体" w:hAnsi="宋体" w:cs="宋体"/>
                <w:sz w:val="24"/>
              </w:rPr>
              <w:t>0.006%</w:t>
            </w:r>
          </w:p>
        </w:tc>
        <w:tc>
          <w:tcPr>
            <w:tcW w:w="941" w:type="pct"/>
          </w:tcPr>
          <w:p>
            <w:pPr>
              <w:spacing w:line="360" w:lineRule="auto"/>
              <w:rPr>
                <w:rFonts w:ascii="宋体" w:hAnsi="宋体" w:cs="宋体"/>
                <w:sz w:val="24"/>
              </w:rPr>
            </w:pPr>
            <w:r>
              <w:rPr>
                <w:rFonts w:hint="eastAsia" w:ascii="宋体" w:hAnsi="宋体" w:cs="宋体"/>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4" w:type="pct"/>
          </w:tcPr>
          <w:p>
            <w:pPr>
              <w:spacing w:line="360" w:lineRule="auto"/>
              <w:rPr>
                <w:rFonts w:ascii="宋体" w:hAnsi="宋体" w:cs="宋体"/>
                <w:sz w:val="24"/>
              </w:rPr>
            </w:pPr>
            <w:r>
              <w:rPr>
                <w:rFonts w:hint="eastAsia" w:ascii="宋体" w:hAnsi="宋体" w:cs="宋体"/>
                <w:sz w:val="24"/>
              </w:rPr>
              <w:t>100亿以上</w:t>
            </w:r>
          </w:p>
        </w:tc>
        <w:tc>
          <w:tcPr>
            <w:tcW w:w="1010" w:type="pct"/>
          </w:tcPr>
          <w:p>
            <w:pPr>
              <w:spacing w:line="360" w:lineRule="auto"/>
              <w:rPr>
                <w:rFonts w:ascii="宋体" w:hAnsi="宋体" w:cs="宋体"/>
                <w:sz w:val="24"/>
              </w:rPr>
            </w:pPr>
            <w:r>
              <w:rPr>
                <w:rFonts w:hint="eastAsia" w:ascii="宋体" w:hAnsi="宋体" w:cs="宋体"/>
                <w:sz w:val="24"/>
              </w:rPr>
              <w:t xml:space="preserve"> 0.004%</w:t>
            </w:r>
          </w:p>
        </w:tc>
        <w:tc>
          <w:tcPr>
            <w:tcW w:w="933" w:type="pct"/>
          </w:tcPr>
          <w:p>
            <w:pPr>
              <w:spacing w:line="360" w:lineRule="auto"/>
              <w:rPr>
                <w:rFonts w:ascii="宋体" w:hAnsi="宋体" w:cs="宋体"/>
                <w:sz w:val="24"/>
              </w:rPr>
            </w:pPr>
            <w:r>
              <w:rPr>
                <w:rFonts w:hint="eastAsia" w:ascii="宋体" w:hAnsi="宋体" w:cs="宋体"/>
                <w:sz w:val="24"/>
              </w:rPr>
              <w:t>0.004%</w:t>
            </w:r>
          </w:p>
        </w:tc>
        <w:tc>
          <w:tcPr>
            <w:tcW w:w="941" w:type="pct"/>
          </w:tcPr>
          <w:p>
            <w:pPr>
              <w:spacing w:line="360" w:lineRule="auto"/>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 xml:space="preserve">注： </w:t>
      </w:r>
    </w:p>
    <w:p>
      <w:pPr>
        <w:spacing w:line="360" w:lineRule="auto"/>
        <w:rPr>
          <w:rFonts w:ascii="宋体" w:hAnsi="宋体" w:cs="宋体"/>
          <w:sz w:val="24"/>
        </w:rPr>
      </w:pPr>
      <w:r>
        <w:rPr>
          <w:rFonts w:hint="eastAsia" w:ascii="宋体" w:hAnsi="宋体" w:cs="宋体"/>
          <w:sz w:val="24"/>
        </w:rPr>
        <w:t>（1）按本表费率计算的收费为采购代理的收费基准价格；</w:t>
      </w:r>
    </w:p>
    <w:p>
      <w:pPr>
        <w:spacing w:line="360" w:lineRule="auto"/>
        <w:rPr>
          <w:rFonts w:ascii="宋体" w:hAnsi="宋体" w:cs="宋体"/>
          <w:sz w:val="24"/>
        </w:rPr>
      </w:pPr>
      <w:r>
        <w:rPr>
          <w:rFonts w:hint="eastAsia" w:ascii="宋体" w:hAnsi="宋体" w:cs="宋体"/>
          <w:sz w:val="24"/>
        </w:rPr>
        <w:t>（2）采购代理收费按差额定率累进法计算。</w:t>
      </w:r>
    </w:p>
    <w:p>
      <w:pPr>
        <w:spacing w:line="360" w:lineRule="auto"/>
        <w:rPr>
          <w:rFonts w:ascii="宋体" w:hAnsi="宋体" w:cs="宋体"/>
          <w:sz w:val="24"/>
        </w:rPr>
      </w:pPr>
      <w:r>
        <w:rPr>
          <w:rFonts w:hint="eastAsia" w:ascii="宋体" w:hAnsi="宋体" w:cs="宋体"/>
          <w:sz w:val="24"/>
        </w:rPr>
        <w:t>例如：某货物采购代理业务成交金额或者暂定价为150万元，计算采购代理收费额如下：</w:t>
      </w:r>
    </w:p>
    <w:p>
      <w:pPr>
        <w:spacing w:line="360" w:lineRule="auto"/>
        <w:rPr>
          <w:rFonts w:ascii="宋体" w:hAnsi="宋体" w:cs="宋体"/>
          <w:sz w:val="24"/>
        </w:rPr>
      </w:pPr>
      <w:r>
        <w:rPr>
          <w:rFonts w:hint="eastAsia" w:ascii="宋体" w:hAnsi="宋体" w:cs="宋体"/>
          <w:sz w:val="24"/>
        </w:rPr>
        <w:t>100 万元 ×l.5 ％＝ 1.5 万元</w:t>
      </w:r>
    </w:p>
    <w:p>
      <w:pPr>
        <w:spacing w:line="360" w:lineRule="auto"/>
        <w:rPr>
          <w:rFonts w:ascii="宋体" w:hAnsi="宋体" w:cs="宋体"/>
          <w:sz w:val="24"/>
        </w:rPr>
      </w:pPr>
      <w:r>
        <w:rPr>
          <w:rFonts w:hint="eastAsia" w:ascii="宋体" w:hAnsi="宋体" w:cs="宋体"/>
          <w:sz w:val="24"/>
        </w:rPr>
        <w:t>（ 150 － 100 ）万元 ×1.1％＝ 0.55 万元</w:t>
      </w:r>
    </w:p>
    <w:p>
      <w:pPr>
        <w:spacing w:line="360" w:lineRule="auto"/>
        <w:rPr>
          <w:rFonts w:ascii="宋体" w:hAnsi="宋体" w:cs="宋体"/>
          <w:sz w:val="24"/>
        </w:rPr>
      </w:pPr>
      <w:r>
        <w:rPr>
          <w:rFonts w:hint="eastAsia" w:ascii="宋体" w:hAnsi="宋体" w:cs="宋体"/>
          <w:sz w:val="24"/>
        </w:rPr>
        <w:t>合计收费＝ 1.5 ＋ 0.55＝ 2.05 （万元）</w:t>
      </w:r>
    </w:p>
    <w:p>
      <w:pPr>
        <w:pStyle w:val="4"/>
        <w:numPr>
          <w:ilvl w:val="0"/>
          <w:numId w:val="15"/>
        </w:numPr>
        <w:spacing w:before="0" w:after="0" w:line="360" w:lineRule="auto"/>
        <w:ind w:left="0" w:firstLine="0"/>
        <w:rPr>
          <w:rFonts w:ascii="宋体" w:hAnsi="宋体" w:cs="宋体"/>
          <w:sz w:val="24"/>
        </w:rPr>
      </w:pPr>
      <w:r>
        <w:rPr>
          <w:rFonts w:hint="eastAsia" w:ascii="宋体" w:hAnsi="宋体" w:cs="宋体"/>
          <w:sz w:val="24"/>
        </w:rPr>
        <w:t>需要补充的其他内容</w:t>
      </w:r>
    </w:p>
    <w:p>
      <w:pPr>
        <w:spacing w:line="360" w:lineRule="auto"/>
        <w:rPr>
          <w:rFonts w:ascii="宋体" w:hAnsi="宋体" w:cs="宋体"/>
          <w:sz w:val="24"/>
        </w:rPr>
      </w:pPr>
      <w:r>
        <w:rPr>
          <w:rFonts w:hint="eastAsia" w:ascii="宋体" w:hAnsi="宋体" w:cs="宋体"/>
          <w:sz w:val="24"/>
        </w:rPr>
        <w:t>33.1本竞争性谈判文件解释规则详见“供应商须知前附表”。</w:t>
      </w:r>
    </w:p>
    <w:p>
      <w:pPr>
        <w:spacing w:line="360" w:lineRule="auto"/>
        <w:rPr>
          <w:rFonts w:ascii="宋体" w:hAnsi="宋体" w:cs="宋体"/>
          <w:sz w:val="24"/>
        </w:rPr>
      </w:pPr>
      <w:r>
        <w:rPr>
          <w:rFonts w:hint="eastAsia" w:ascii="宋体" w:hAnsi="宋体" w:cs="宋体"/>
          <w:sz w:val="24"/>
        </w:rPr>
        <w:t>33.2 其他事项详见“供应商须知前附表”。</w:t>
      </w:r>
    </w:p>
    <w:p>
      <w:pPr>
        <w:pStyle w:val="13"/>
        <w:snapToGrid w:val="0"/>
        <w:spacing w:line="360" w:lineRule="auto"/>
        <w:rPr>
          <w:rFonts w:hAnsi="宋体"/>
        </w:rPr>
      </w:pPr>
      <w:r>
        <w:rPr>
          <w:rFonts w:ascii="黑体" w:hAnsi="黑体" w:eastAsia="黑体" w:cs="黑体"/>
          <w:bCs/>
          <w:sz w:val="32"/>
          <w:szCs w:val="32"/>
        </w:rPr>
        <w:br w:type="page"/>
      </w:r>
      <w:r>
        <w:rPr>
          <w:rFonts w:hint="eastAsia" w:ascii="黑体" w:hAnsi="黑体" w:eastAsia="黑体" w:cs="黑体"/>
          <w:bCs/>
          <w:sz w:val="32"/>
          <w:szCs w:val="32"/>
        </w:rPr>
        <w:t>附件1：</w:t>
      </w:r>
    </w:p>
    <w:p>
      <w:pPr>
        <w:widowControl/>
        <w:shd w:val="clear" w:color="auto" w:fill="FFFFFF"/>
        <w:spacing w:line="480" w:lineRule="atLeast"/>
        <w:jc w:val="center"/>
        <w:outlineLvl w:val="0"/>
        <w:rPr>
          <w:rFonts w:ascii="仿宋" w:hAnsi="仿宋" w:eastAsia="仿宋" w:cs="宋体"/>
          <w:kern w:val="0"/>
          <w:sz w:val="32"/>
          <w:szCs w:val="32"/>
        </w:rPr>
      </w:pPr>
      <w:bookmarkStart w:id="61" w:name="_Toc27643"/>
      <w:bookmarkStart w:id="62" w:name="_Toc31569"/>
      <w:bookmarkStart w:id="63" w:name="_Toc18381"/>
      <w:r>
        <w:rPr>
          <w:rFonts w:hint="eastAsia" w:ascii="宋体" w:hAnsi="宋体" w:cs="宋体"/>
          <w:b/>
          <w:bCs/>
          <w:kern w:val="0"/>
          <w:sz w:val="32"/>
          <w:szCs w:val="32"/>
        </w:rPr>
        <w:t>广西壮族自治区政府采购项目合同验收书（格式）</w:t>
      </w:r>
      <w:bookmarkEnd w:id="61"/>
      <w:bookmarkEnd w:id="62"/>
      <w:bookmarkEnd w:id="63"/>
    </w:p>
    <w:p>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4"/>
        <w:tblW w:w="4999" w:type="pct"/>
        <w:jc w:val="center"/>
        <w:tblLayout w:type="autofit"/>
        <w:tblCellMar>
          <w:top w:w="0" w:type="dxa"/>
          <w:left w:w="0" w:type="dxa"/>
          <w:bottom w:w="0" w:type="dxa"/>
          <w:right w:w="0" w:type="dxa"/>
        </w:tblCellMar>
      </w:tblPr>
      <w:tblGrid>
        <w:gridCol w:w="927"/>
        <w:gridCol w:w="955"/>
        <w:gridCol w:w="1877"/>
        <w:gridCol w:w="922"/>
        <w:gridCol w:w="119"/>
        <w:gridCol w:w="2314"/>
        <w:gridCol w:w="203"/>
        <w:gridCol w:w="793"/>
        <w:gridCol w:w="1654"/>
      </w:tblGrid>
      <w:tr>
        <w:tblPrEx>
          <w:tblCellMar>
            <w:top w:w="0" w:type="dxa"/>
            <w:left w:w="0" w:type="dxa"/>
            <w:bottom w:w="0" w:type="dxa"/>
            <w:right w:w="0" w:type="dxa"/>
          </w:tblCellMar>
        </w:tblPrEx>
        <w:trPr>
          <w:trHeight w:val="497" w:hRule="atLeast"/>
          <w:jc w:val="center"/>
        </w:trPr>
        <w:tc>
          <w:tcPr>
            <w:tcW w:w="1925" w:type="pct"/>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3074" w:type="pct"/>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kern w:val="0"/>
                <w:szCs w:val="21"/>
              </w:rPr>
            </w:pPr>
            <w:r>
              <w:rPr>
                <w:rFonts w:hint="eastAsia" w:ascii="Verdana" w:hAnsi="Verdana" w:cs="宋体"/>
                <w:kern w:val="0"/>
                <w:sz w:val="24"/>
              </w:rPr>
              <w:t>□</w:t>
            </w:r>
            <w:r>
              <w:rPr>
                <w:rFonts w:ascii="Verdana" w:hAnsi="Verdana" w:cs="宋体"/>
                <w:kern w:val="0"/>
                <w:szCs w:val="21"/>
              </w:rPr>
              <w:t xml:space="preserve">自行验收 </w:t>
            </w:r>
            <w:r>
              <w:rPr>
                <w:rFonts w:hint="eastAsia" w:ascii="Verdana" w:hAnsi="Verdana" w:cs="宋体"/>
                <w:kern w:val="0"/>
                <w:sz w:val="24"/>
              </w:rPr>
              <w:t>□</w:t>
            </w:r>
            <w:r>
              <w:rPr>
                <w:rFonts w:ascii="Verdana" w:hAnsi="Verdana" w:cs="宋体"/>
                <w:kern w:val="0"/>
                <w:szCs w:val="21"/>
              </w:rPr>
              <w:t>委托验收</w:t>
            </w:r>
          </w:p>
        </w:tc>
      </w:tr>
      <w:tr>
        <w:tblPrEx>
          <w:tblCellMar>
            <w:top w:w="0" w:type="dxa"/>
            <w:left w:w="0" w:type="dxa"/>
            <w:bottom w:w="0" w:type="dxa"/>
            <w:right w:w="0" w:type="dxa"/>
          </w:tblCellMar>
        </w:tblPrEx>
        <w:trPr>
          <w:trHeight w:val="622" w:hRule="atLeast"/>
          <w:jc w:val="center"/>
        </w:trPr>
        <w:tc>
          <w:tcPr>
            <w:tcW w:w="475" w:type="pct"/>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449" w:type="pct"/>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名称</w:t>
            </w:r>
          </w:p>
        </w:tc>
        <w:tc>
          <w:tcPr>
            <w:tcW w:w="1718" w:type="pct"/>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510" w:type="pct"/>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846" w:type="pct"/>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金额</w:t>
            </w:r>
          </w:p>
        </w:tc>
      </w:tr>
      <w:tr>
        <w:tblPrEx>
          <w:tblCellMar>
            <w:top w:w="0" w:type="dxa"/>
            <w:left w:w="0" w:type="dxa"/>
            <w:bottom w:w="0" w:type="dxa"/>
            <w:right w:w="0" w:type="dxa"/>
          </w:tblCellMar>
        </w:tblPrEx>
        <w:trPr>
          <w:trHeight w:val="487" w:hRule="atLeast"/>
          <w:jc w:val="center"/>
        </w:trPr>
        <w:tc>
          <w:tcPr>
            <w:tcW w:w="475"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49"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718" w:type="pct"/>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510"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46" w:type="pct"/>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475"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49"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718" w:type="pct"/>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510"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46" w:type="pct"/>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475"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49"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718" w:type="pct"/>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510"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46" w:type="pct"/>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487" w:hRule="atLeast"/>
          <w:jc w:val="center"/>
        </w:trPr>
        <w:tc>
          <w:tcPr>
            <w:tcW w:w="3643" w:type="pct"/>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510"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846" w:type="pct"/>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41" w:hRule="atLeast"/>
          <w:jc w:val="center"/>
        </w:trPr>
        <w:tc>
          <w:tcPr>
            <w:tcW w:w="5000" w:type="pct"/>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 xml:space="preserve">万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元</w:t>
            </w:r>
          </w:p>
        </w:tc>
      </w:tr>
      <w:tr>
        <w:tblPrEx>
          <w:tblCellMar>
            <w:top w:w="0" w:type="dxa"/>
            <w:left w:w="0" w:type="dxa"/>
            <w:bottom w:w="0" w:type="dxa"/>
            <w:right w:w="0" w:type="dxa"/>
          </w:tblCellMar>
        </w:tblPrEx>
        <w:trPr>
          <w:trHeight w:val="641" w:hRule="atLeast"/>
          <w:jc w:val="center"/>
        </w:trPr>
        <w:tc>
          <w:tcPr>
            <w:tcW w:w="964" w:type="pct"/>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1433"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350" w:type="pct"/>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1251"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394" w:hRule="atLeast"/>
          <w:jc w:val="center"/>
        </w:trPr>
        <w:tc>
          <w:tcPr>
            <w:tcW w:w="964" w:type="pct"/>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433"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350" w:type="pct"/>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c>
          <w:tcPr>
            <w:tcW w:w="1251" w:type="pct"/>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kern w:val="0"/>
                <w:szCs w:val="21"/>
              </w:rPr>
            </w:pPr>
          </w:p>
        </w:tc>
      </w:tr>
      <w:tr>
        <w:tblPrEx>
          <w:tblCellMar>
            <w:top w:w="0" w:type="dxa"/>
            <w:left w:w="0" w:type="dxa"/>
            <w:bottom w:w="0" w:type="dxa"/>
            <w:right w:w="0" w:type="dxa"/>
          </w:tblCellMar>
        </w:tblPrEx>
        <w:trPr>
          <w:trHeight w:val="693" w:hRule="atLeast"/>
          <w:jc w:val="center"/>
        </w:trPr>
        <w:tc>
          <w:tcPr>
            <w:tcW w:w="964"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4035" w:type="pct"/>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964" w:type="pct"/>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4035" w:type="pct"/>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964" w:type="pct"/>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kern w:val="0"/>
                <w:szCs w:val="21"/>
              </w:rPr>
            </w:pPr>
          </w:p>
        </w:tc>
        <w:tc>
          <w:tcPr>
            <w:tcW w:w="4035" w:type="pct"/>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有异议的意见和说明理由：</w:t>
            </w:r>
          </w:p>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签字：</w:t>
            </w:r>
          </w:p>
        </w:tc>
      </w:tr>
      <w:tr>
        <w:tblPrEx>
          <w:tblCellMar>
            <w:top w:w="0" w:type="dxa"/>
            <w:left w:w="0" w:type="dxa"/>
            <w:bottom w:w="0" w:type="dxa"/>
            <w:right w:w="0" w:type="dxa"/>
          </w:tblCellMar>
        </w:tblPrEx>
        <w:trPr>
          <w:trHeight w:val="507" w:hRule="atLeast"/>
          <w:jc w:val="center"/>
        </w:trPr>
        <w:tc>
          <w:tcPr>
            <w:tcW w:w="5000" w:type="pct"/>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5000" w:type="pct"/>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2458" w:type="pct"/>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成交供应商负责人签字或者盖章：</w:t>
            </w:r>
          </w:p>
          <w:p>
            <w:pPr>
              <w:widowControl/>
              <w:spacing w:before="100" w:beforeAutospacing="1" w:after="100" w:afterAutospacing="1" w:line="320" w:lineRule="atLeast"/>
              <w:jc w:val="left"/>
              <w:rPr>
                <w:rFonts w:ascii="Verdana" w:hAnsi="Verdana" w:cs="宋体"/>
                <w:kern w:val="0"/>
                <w:szCs w:val="21"/>
              </w:rPr>
            </w:pPr>
          </w:p>
          <w:p>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 xml:space="preserve"> 年</w:t>
            </w:r>
            <w:r>
              <w:rPr>
                <w:rFonts w:hint="eastAsia" w:ascii="Verdana" w:hAnsi="Verdana" w:cs="宋体"/>
                <w:kern w:val="0"/>
                <w:szCs w:val="21"/>
              </w:rPr>
              <w:t xml:space="preserve"> </w:t>
            </w:r>
            <w:r>
              <w:rPr>
                <w:rFonts w:ascii="Verdana" w:hAnsi="Verdana" w:cs="宋体"/>
                <w:kern w:val="0"/>
                <w:szCs w:val="21"/>
              </w:rPr>
              <w:t xml:space="preserve"> 月 </w:t>
            </w:r>
            <w:r>
              <w:rPr>
                <w:rFonts w:hint="eastAsia" w:ascii="Verdana" w:hAnsi="Verdana" w:cs="宋体"/>
                <w:kern w:val="0"/>
                <w:szCs w:val="21"/>
              </w:rPr>
              <w:t xml:space="preserve"> </w:t>
            </w:r>
            <w:r>
              <w:rPr>
                <w:rFonts w:ascii="Verdana" w:hAnsi="Verdana" w:cs="宋体"/>
                <w:kern w:val="0"/>
                <w:szCs w:val="21"/>
              </w:rPr>
              <w:t>日</w:t>
            </w:r>
          </w:p>
        </w:tc>
        <w:tc>
          <w:tcPr>
            <w:tcW w:w="2541" w:type="pct"/>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采购人或者受托机构的意见（盖章）：</w:t>
            </w:r>
          </w:p>
          <w:p>
            <w:pPr>
              <w:widowControl/>
              <w:spacing w:before="100" w:beforeAutospacing="1" w:after="100" w:afterAutospacing="1" w:line="320" w:lineRule="atLeast"/>
              <w:ind w:firstLine="210" w:firstLineChars="100"/>
              <w:jc w:val="left"/>
              <w:rPr>
                <w:rFonts w:ascii="Verdana" w:hAnsi="Verdana" w:cs="宋体"/>
                <w:kern w:val="0"/>
                <w:szCs w:val="21"/>
              </w:rPr>
            </w:pPr>
          </w:p>
          <w:p>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年</w:t>
            </w:r>
            <w:r>
              <w:rPr>
                <w:rFonts w:hint="eastAsia" w:ascii="Verdana" w:hAnsi="Verdana" w:cs="宋体"/>
                <w:kern w:val="0"/>
                <w:szCs w:val="21"/>
              </w:rPr>
              <w:t xml:space="preserve"> </w:t>
            </w:r>
            <w:r>
              <w:rPr>
                <w:rFonts w:ascii="Verdana" w:hAnsi="Verdana" w:cs="宋体"/>
                <w:kern w:val="0"/>
                <w:szCs w:val="21"/>
              </w:rPr>
              <w:t xml:space="preserve"> 月</w:t>
            </w:r>
            <w:r>
              <w:rPr>
                <w:rFonts w:hint="eastAsia" w:ascii="Verdana" w:hAnsi="Verdana" w:cs="宋体"/>
                <w:kern w:val="0"/>
                <w:szCs w:val="21"/>
              </w:rPr>
              <w:t xml:space="preserve"> </w:t>
            </w:r>
            <w:r>
              <w:rPr>
                <w:rFonts w:ascii="Verdana" w:hAnsi="Verdana" w:cs="宋体"/>
                <w:kern w:val="0"/>
                <w:szCs w:val="21"/>
              </w:rPr>
              <w:t xml:space="preserve"> 日</w:t>
            </w:r>
          </w:p>
        </w:tc>
      </w:tr>
    </w:tbl>
    <w:p>
      <w:pPr>
        <w:pStyle w:val="13"/>
        <w:snapToGrid w:val="0"/>
        <w:rPr>
          <w:rFonts w:hAnsi="宋体"/>
        </w:rPr>
      </w:pPr>
      <w:r>
        <w:rPr>
          <w:rFonts w:hAnsi="宋体"/>
        </w:rPr>
        <w:br w:type="page"/>
      </w:r>
    </w:p>
    <w:p>
      <w:pPr>
        <w:pStyle w:val="13"/>
        <w:snapToGrid w:val="0"/>
        <w:rPr>
          <w:rFonts w:ascii="黑体" w:hAnsi="黑体" w:eastAsia="黑体" w:cs="黑体"/>
          <w:sz w:val="32"/>
          <w:szCs w:val="32"/>
        </w:rPr>
      </w:pPr>
      <w:r>
        <w:rPr>
          <w:rFonts w:hint="eastAsia" w:ascii="黑体" w:hAnsi="黑体" w:eastAsia="黑体" w:cs="黑体"/>
          <w:sz w:val="32"/>
          <w:szCs w:val="32"/>
        </w:rPr>
        <w:t>附件2：</w:t>
      </w:r>
    </w:p>
    <w:p>
      <w:pPr>
        <w:jc w:val="center"/>
        <w:rPr>
          <w:rFonts w:ascii="宋体" w:hAnsi="宋体" w:cs="宋体"/>
          <w:b/>
          <w:bCs/>
          <w:sz w:val="32"/>
          <w:szCs w:val="32"/>
        </w:rPr>
      </w:pPr>
      <w:r>
        <w:rPr>
          <w:rFonts w:hint="eastAsia" w:ascii="宋体" w:hAnsi="宋体" w:cs="宋体"/>
          <w:b/>
          <w:bCs/>
          <w:sz w:val="32"/>
          <w:szCs w:val="32"/>
        </w:rPr>
        <w:t>政府采购项目履约保证金退付意见书</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62" w:type="pct"/>
            <w:vMerge w:val="restart"/>
            <w:vAlign w:val="center"/>
          </w:tcPr>
          <w:p>
            <w:pPr>
              <w:jc w:val="center"/>
              <w:rPr>
                <w:sz w:val="24"/>
              </w:rPr>
            </w:pPr>
            <w:r>
              <w:rPr>
                <w:rFonts w:hint="eastAsia"/>
                <w:sz w:val="24"/>
              </w:rPr>
              <w:t>供</w:t>
            </w:r>
          </w:p>
          <w:p>
            <w:pPr>
              <w:jc w:val="center"/>
              <w:rPr>
                <w:sz w:val="24"/>
              </w:rPr>
            </w:pPr>
            <w:r>
              <w:rPr>
                <w:rFonts w:hint="eastAsia"/>
                <w:sz w:val="24"/>
              </w:rPr>
              <w:t>应</w:t>
            </w:r>
          </w:p>
          <w:p>
            <w:pPr>
              <w:jc w:val="center"/>
              <w:rPr>
                <w:sz w:val="24"/>
              </w:rPr>
            </w:pPr>
            <w:r>
              <w:rPr>
                <w:rFonts w:hint="eastAsia"/>
                <w:sz w:val="24"/>
              </w:rPr>
              <w:t>商</w:t>
            </w:r>
          </w:p>
          <w:p>
            <w:pPr>
              <w:jc w:val="center"/>
              <w:rPr>
                <w:sz w:val="24"/>
              </w:rPr>
            </w:pPr>
            <w:r>
              <w:rPr>
                <w:rFonts w:hint="eastAsia"/>
                <w:sz w:val="24"/>
              </w:rPr>
              <w:t>申</w:t>
            </w:r>
          </w:p>
          <w:p>
            <w:pPr>
              <w:jc w:val="center"/>
              <w:rPr>
                <w:sz w:val="24"/>
              </w:rPr>
            </w:pPr>
            <w:r>
              <w:rPr>
                <w:rFonts w:hint="eastAsia"/>
                <w:sz w:val="24"/>
              </w:rPr>
              <w:t>请</w:t>
            </w:r>
          </w:p>
        </w:tc>
        <w:tc>
          <w:tcPr>
            <w:tcW w:w="4537" w:type="pct"/>
            <w:vAlign w:val="center"/>
          </w:tcPr>
          <w:p>
            <w:pPr>
              <w:rPr>
                <w:sz w:val="24"/>
              </w:rPr>
            </w:pPr>
            <w:r>
              <w:rPr>
                <w:rFonts w:hint="eastAsia"/>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62" w:type="pct"/>
            <w:vMerge w:val="continue"/>
            <w:vAlign w:val="center"/>
          </w:tcPr>
          <w:p>
            <w:pPr>
              <w:rPr>
                <w:sz w:val="24"/>
              </w:rPr>
            </w:pPr>
          </w:p>
        </w:tc>
        <w:tc>
          <w:tcPr>
            <w:tcW w:w="4537" w:type="pct"/>
            <w:vAlign w:val="center"/>
          </w:tcPr>
          <w:p>
            <w:pPr>
              <w:rPr>
                <w:sz w:val="24"/>
              </w:rPr>
            </w:pPr>
            <w:r>
              <w:rPr>
                <w:rFonts w:hint="eastAsia"/>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2" w:type="pct"/>
            <w:vMerge w:val="continue"/>
          </w:tcPr>
          <w:p>
            <w:pPr>
              <w:rPr>
                <w:sz w:val="24"/>
              </w:rPr>
            </w:pPr>
          </w:p>
        </w:tc>
        <w:tc>
          <w:tcPr>
            <w:tcW w:w="4537" w:type="pct"/>
          </w:tcPr>
          <w:p>
            <w:pPr>
              <w:rPr>
                <w:sz w:val="24"/>
              </w:rPr>
            </w:pPr>
            <w:r>
              <w:rPr>
                <w:rFonts w:hint="eastAsia"/>
                <w:sz w:val="24"/>
              </w:rPr>
              <w:t xml:space="preserve">  </w:t>
            </w:r>
          </w:p>
          <w:p>
            <w:pPr>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pPr>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pPr>
              <w:rPr>
                <w:sz w:val="24"/>
              </w:rPr>
            </w:pPr>
            <w:r>
              <w:rPr>
                <w:rFonts w:hint="eastAsia"/>
                <w:sz w:val="24"/>
              </w:rPr>
              <w:t>单位名称：</w:t>
            </w:r>
          </w:p>
          <w:p>
            <w:pPr>
              <w:rPr>
                <w:sz w:val="24"/>
              </w:rPr>
            </w:pPr>
            <w:r>
              <w:rPr>
                <w:rFonts w:hint="eastAsia"/>
                <w:sz w:val="24"/>
              </w:rPr>
              <w:t>开户银行：</w:t>
            </w:r>
          </w:p>
          <w:p>
            <w:pPr>
              <w:rPr>
                <w:sz w:val="24"/>
              </w:rPr>
            </w:pPr>
            <w:r>
              <w:rPr>
                <w:rFonts w:hint="eastAsia"/>
                <w:sz w:val="24"/>
              </w:rPr>
              <w:t>帐    号：</w:t>
            </w:r>
          </w:p>
          <w:p>
            <w:pPr>
              <w:rPr>
                <w:sz w:val="24"/>
              </w:rPr>
            </w:pPr>
            <w:r>
              <w:rPr>
                <w:rFonts w:hint="eastAsia"/>
                <w:sz w:val="24"/>
              </w:rPr>
              <w:t>联系人及电话：</w:t>
            </w:r>
          </w:p>
          <w:p>
            <w:pPr>
              <w:rPr>
                <w:sz w:val="24"/>
              </w:rPr>
            </w:pPr>
          </w:p>
          <w:p>
            <w:pPr>
              <w:jc w:val="center"/>
              <w:rPr>
                <w:sz w:val="24"/>
              </w:rPr>
            </w:pPr>
            <w:r>
              <w:rPr>
                <w:rFonts w:hint="eastAsia"/>
                <w:sz w:val="24"/>
              </w:rPr>
              <w:t xml:space="preserve">                           供应商签章：</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462" w:type="pct"/>
            <w:vAlign w:val="center"/>
          </w:tcPr>
          <w:p>
            <w:pPr>
              <w:jc w:val="center"/>
              <w:rPr>
                <w:sz w:val="24"/>
              </w:rPr>
            </w:pPr>
            <w:r>
              <w:rPr>
                <w:rFonts w:hint="eastAsia"/>
                <w:sz w:val="24"/>
              </w:rPr>
              <w:t>采</w:t>
            </w:r>
          </w:p>
          <w:p>
            <w:pPr>
              <w:jc w:val="center"/>
              <w:rPr>
                <w:sz w:val="24"/>
              </w:rPr>
            </w:pPr>
            <w:r>
              <w:rPr>
                <w:rFonts w:hint="eastAsia"/>
                <w:sz w:val="24"/>
              </w:rPr>
              <w:t>购</w:t>
            </w:r>
          </w:p>
          <w:p>
            <w:pPr>
              <w:jc w:val="center"/>
              <w:rPr>
                <w:sz w:val="24"/>
              </w:rPr>
            </w:pPr>
            <w:r>
              <w:rPr>
                <w:rFonts w:hint="eastAsia"/>
                <w:sz w:val="24"/>
              </w:rPr>
              <w:t>单</w:t>
            </w:r>
          </w:p>
          <w:p>
            <w:pPr>
              <w:jc w:val="center"/>
              <w:rPr>
                <w:sz w:val="24"/>
              </w:rPr>
            </w:pPr>
            <w:r>
              <w:rPr>
                <w:rFonts w:hint="eastAsia"/>
                <w:sz w:val="24"/>
              </w:rPr>
              <w:t>位</w:t>
            </w:r>
          </w:p>
          <w:p>
            <w:pPr>
              <w:jc w:val="center"/>
              <w:rPr>
                <w:sz w:val="24"/>
              </w:rPr>
            </w:pPr>
            <w:r>
              <w:rPr>
                <w:rFonts w:hint="eastAsia"/>
                <w:sz w:val="24"/>
              </w:rPr>
              <w:t>意</w:t>
            </w:r>
          </w:p>
          <w:p>
            <w:pPr>
              <w:jc w:val="center"/>
              <w:rPr>
                <w:sz w:val="24"/>
              </w:rPr>
            </w:pPr>
            <w:r>
              <w:rPr>
                <w:rFonts w:hint="eastAsia"/>
                <w:sz w:val="24"/>
              </w:rPr>
              <w:t>见</w:t>
            </w:r>
          </w:p>
        </w:tc>
        <w:tc>
          <w:tcPr>
            <w:tcW w:w="4537" w:type="pct"/>
          </w:tcPr>
          <w:p>
            <w:pPr>
              <w:rPr>
                <w:sz w:val="24"/>
              </w:rPr>
            </w:pPr>
          </w:p>
          <w:p>
            <w:pPr>
              <w:rPr>
                <w:sz w:val="24"/>
              </w:rPr>
            </w:pPr>
            <w:r>
              <w:rPr>
                <w:rFonts w:hint="eastAsia"/>
                <w:sz w:val="24"/>
              </w:rPr>
              <w:t>退付意见：是否同意退付履约保证金及退付金额：</w:t>
            </w:r>
          </w:p>
          <w:p>
            <w:pPr>
              <w:rPr>
                <w:sz w:val="24"/>
              </w:rPr>
            </w:pPr>
          </w:p>
          <w:p>
            <w:pPr>
              <w:rPr>
                <w:sz w:val="24"/>
              </w:rPr>
            </w:pPr>
          </w:p>
          <w:p>
            <w:pPr>
              <w:rPr>
                <w:sz w:val="24"/>
              </w:rPr>
            </w:pPr>
            <w:r>
              <w:rPr>
                <w:rFonts w:hint="eastAsia"/>
                <w:sz w:val="24"/>
              </w:rPr>
              <w:t xml:space="preserve">联系人及电话：                                </w:t>
            </w:r>
          </w:p>
          <w:p>
            <w:pPr>
              <w:rPr>
                <w:sz w:val="24"/>
              </w:rPr>
            </w:pPr>
          </w:p>
          <w:p>
            <w:pPr>
              <w:ind w:firstLine="4560" w:firstLineChars="1900"/>
              <w:rPr>
                <w:sz w:val="24"/>
              </w:rPr>
            </w:pPr>
            <w:r>
              <w:rPr>
                <w:rFonts w:hint="eastAsia"/>
                <w:sz w:val="24"/>
              </w:rPr>
              <w:t xml:space="preserve"> 采购单位签章：</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462" w:type="pct"/>
            <w:vAlign w:val="center"/>
          </w:tcPr>
          <w:p>
            <w:pPr>
              <w:jc w:val="center"/>
              <w:rPr>
                <w:sz w:val="24"/>
              </w:rPr>
            </w:pPr>
            <w:r>
              <w:rPr>
                <w:rFonts w:hint="eastAsia"/>
                <w:sz w:val="24"/>
              </w:rPr>
              <w:t>财</w:t>
            </w:r>
          </w:p>
          <w:p>
            <w:pPr>
              <w:jc w:val="center"/>
              <w:rPr>
                <w:sz w:val="24"/>
              </w:rPr>
            </w:pPr>
            <w:r>
              <w:rPr>
                <w:rFonts w:hint="eastAsia"/>
                <w:sz w:val="24"/>
              </w:rPr>
              <w:t>务</w:t>
            </w:r>
          </w:p>
          <w:p>
            <w:pPr>
              <w:jc w:val="center"/>
              <w:rPr>
                <w:sz w:val="24"/>
              </w:rPr>
            </w:pPr>
            <w:r>
              <w:rPr>
                <w:rFonts w:hint="eastAsia"/>
                <w:sz w:val="24"/>
              </w:rPr>
              <w:t>部</w:t>
            </w:r>
          </w:p>
          <w:p>
            <w:pPr>
              <w:jc w:val="center"/>
              <w:rPr>
                <w:sz w:val="24"/>
              </w:rPr>
            </w:pPr>
            <w:r>
              <w:rPr>
                <w:rFonts w:hint="eastAsia"/>
                <w:sz w:val="24"/>
              </w:rPr>
              <w:t>门</w:t>
            </w:r>
          </w:p>
          <w:p>
            <w:pPr>
              <w:jc w:val="center"/>
              <w:rPr>
                <w:sz w:val="24"/>
              </w:rPr>
            </w:pPr>
            <w:r>
              <w:rPr>
                <w:rFonts w:hint="eastAsia"/>
                <w:sz w:val="24"/>
              </w:rPr>
              <w:t>意</w:t>
            </w:r>
          </w:p>
          <w:p>
            <w:pPr>
              <w:jc w:val="center"/>
              <w:rPr>
                <w:sz w:val="24"/>
              </w:rPr>
            </w:pPr>
            <w:r>
              <w:rPr>
                <w:rFonts w:hint="eastAsia"/>
                <w:sz w:val="24"/>
              </w:rPr>
              <w:t>见</w:t>
            </w:r>
          </w:p>
        </w:tc>
        <w:tc>
          <w:tcPr>
            <w:tcW w:w="4537" w:type="pct"/>
          </w:tcPr>
          <w:p>
            <w:pPr>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pPr>
              <w:rPr>
                <w:sz w:val="24"/>
              </w:rPr>
            </w:pPr>
          </w:p>
          <w:p>
            <w:pPr>
              <w:rPr>
                <w:sz w:val="24"/>
              </w:rPr>
            </w:pPr>
            <w:r>
              <w:rPr>
                <w:rFonts w:hint="eastAsia"/>
                <w:sz w:val="24"/>
              </w:rPr>
              <w:t>会计审核：</w:t>
            </w:r>
          </w:p>
          <w:p>
            <w:pPr>
              <w:rPr>
                <w:sz w:val="24"/>
              </w:rPr>
            </w:pPr>
          </w:p>
          <w:p>
            <w:pPr>
              <w:rPr>
                <w:sz w:val="24"/>
              </w:rPr>
            </w:pPr>
            <w:r>
              <w:rPr>
                <w:rFonts w:hint="eastAsia"/>
                <w:sz w:val="24"/>
              </w:rPr>
              <w:t>财务负责人审核：</w:t>
            </w:r>
          </w:p>
          <w:p>
            <w:pPr>
              <w:rPr>
                <w:sz w:val="24"/>
              </w:rPr>
            </w:pPr>
          </w:p>
          <w:p>
            <w:pPr>
              <w:rPr>
                <w:sz w:val="24"/>
              </w:rPr>
            </w:pPr>
            <w:r>
              <w:rPr>
                <w:rFonts w:hint="eastAsia"/>
                <w:sz w:val="24"/>
              </w:rPr>
              <w:t>单位负责人签字：</w:t>
            </w:r>
          </w:p>
          <w:p>
            <w:pPr>
              <w:rPr>
                <w:sz w:val="24"/>
              </w:rPr>
            </w:pPr>
          </w:p>
          <w:p>
            <w:pPr>
              <w:rPr>
                <w:sz w:val="24"/>
              </w:rPr>
            </w:pPr>
            <w:r>
              <w:rPr>
                <w:rFonts w:hint="eastAsia"/>
                <w:sz w:val="24"/>
              </w:rPr>
              <w:t>出纳办理转帐日期：</w:t>
            </w:r>
          </w:p>
        </w:tc>
      </w:tr>
    </w:tbl>
    <w:p>
      <w:pPr>
        <w:pStyle w:val="10"/>
        <w:ind w:left="1" w:firstLine="2" w:firstLineChars="1"/>
        <w:rPr>
          <w:rFonts w:ascii="宋体"/>
          <w:b/>
          <w:bCs/>
          <w:sz w:val="18"/>
          <w:szCs w:val="18"/>
        </w:rPr>
        <w:sectPr>
          <w:pgSz w:w="11906" w:h="16838"/>
          <w:pgMar w:top="1440" w:right="1080" w:bottom="1440" w:left="1080" w:header="964" w:footer="794" w:gutter="0"/>
          <w:cols w:space="720" w:num="1"/>
          <w:docGrid w:linePitch="312" w:charSpace="0"/>
        </w:sectPr>
      </w:pPr>
      <w:r>
        <w:rPr>
          <w:rFonts w:hint="eastAsia" w:ascii="宋体"/>
          <w:b/>
          <w:bCs/>
          <w:sz w:val="18"/>
          <w:szCs w:val="18"/>
        </w:rPr>
        <w:t>注：供应商凭经采购单位审批的退付意见书到履约保证金收取单位财务部门办理履约保证金退付事宜。</w:t>
      </w:r>
    </w:p>
    <w:p>
      <w:pPr>
        <w:pStyle w:val="2"/>
        <w:spacing w:line="240" w:lineRule="auto"/>
        <w:jc w:val="center"/>
        <w:rPr>
          <w:rFonts w:ascii="宋体" w:hAnsi="宋体" w:cs="宋体"/>
          <w:szCs w:val="44"/>
        </w:rPr>
      </w:pPr>
      <w:bookmarkStart w:id="64" w:name="_Toc4475"/>
      <w:bookmarkStart w:id="65" w:name="_Toc15130"/>
      <w:bookmarkStart w:id="66" w:name="_Toc19001"/>
      <w:bookmarkStart w:id="67" w:name="_Toc35611512"/>
      <w:r>
        <w:rPr>
          <w:rFonts w:hint="eastAsia" w:ascii="宋体" w:hAnsi="宋体" w:cs="宋体"/>
          <w:szCs w:val="44"/>
        </w:rPr>
        <w:t>第三章 采购需求</w:t>
      </w:r>
      <w:bookmarkEnd w:id="64"/>
      <w:bookmarkEnd w:id="65"/>
      <w:bookmarkEnd w:id="66"/>
      <w:bookmarkEnd w:id="67"/>
    </w:p>
    <w:p>
      <w:pPr>
        <w:spacing w:line="480" w:lineRule="auto"/>
        <w:rPr>
          <w:rFonts w:ascii="宋体" w:hAnsi="宋体" w:cs="宋体"/>
          <w:b/>
          <w:bCs/>
          <w:sz w:val="24"/>
        </w:rPr>
      </w:pPr>
      <w:r>
        <w:rPr>
          <w:rFonts w:hint="eastAsia" w:ascii="宋体" w:hAnsi="宋体" w:cs="宋体"/>
          <w:b/>
          <w:bCs/>
          <w:sz w:val="24"/>
        </w:rPr>
        <w:t>说明：</w:t>
      </w:r>
    </w:p>
    <w:p>
      <w:pPr>
        <w:numPr>
          <w:ilvl w:val="0"/>
          <w:numId w:val="17"/>
        </w:numPr>
        <w:spacing w:line="360" w:lineRule="auto"/>
        <w:ind w:firstLine="0"/>
        <w:rPr>
          <w:rFonts w:ascii="宋体" w:hAnsi="宋体" w:cs="宋体"/>
          <w:sz w:val="24"/>
        </w:rPr>
      </w:pPr>
      <w:r>
        <w:rPr>
          <w:rFonts w:hint="eastAsia" w:ascii="宋体" w:hAnsi="宋体" w:cs="宋体"/>
          <w:sz w:val="24"/>
        </w:rPr>
        <w:t>为落实政府采购政策需满足的要求</w:t>
      </w:r>
    </w:p>
    <w:p>
      <w:pPr>
        <w:spacing w:line="360" w:lineRule="auto"/>
        <w:rPr>
          <w:rFonts w:ascii="宋体" w:hAnsi="宋体" w:cs="宋体"/>
          <w:sz w:val="24"/>
        </w:rPr>
      </w:pPr>
      <w:r>
        <w:rPr>
          <w:rFonts w:hint="eastAsia" w:ascii="宋体" w:hAnsi="宋体" w:cs="宋体"/>
          <w:sz w:val="24"/>
        </w:rPr>
        <w:t>（1）本招标文件所称中小企业必须符合《政府采购促进中小企业发展管理办法》（财库〔2020〕46号）的规定。</w:t>
      </w:r>
    </w:p>
    <w:p>
      <w:pPr>
        <w:spacing w:line="360" w:lineRule="auto"/>
        <w:rPr>
          <w:rFonts w:ascii="宋体" w:hAnsi="宋体" w:cs="宋体"/>
          <w:sz w:val="24"/>
        </w:rPr>
      </w:pPr>
      <w:r>
        <w:rPr>
          <w:rFonts w:hint="eastAsia" w:ascii="宋体" w:hAnsi="宋体" w:cs="宋体"/>
          <w:sz w:val="24"/>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numPr>
          <w:ilvl w:val="0"/>
          <w:numId w:val="17"/>
        </w:numPr>
        <w:spacing w:line="360" w:lineRule="auto"/>
        <w:ind w:firstLine="0"/>
        <w:rPr>
          <w:rFonts w:ascii="宋体" w:hAnsi="宋体" w:cs="宋体"/>
          <w:sz w:val="24"/>
        </w:rPr>
      </w:pPr>
      <w:r>
        <w:rPr>
          <w:rFonts w:hint="eastAsia" w:ascii="宋体" w:hAnsi="宋体" w:cs="宋体"/>
          <w:sz w:val="24"/>
        </w:rPr>
        <w:t>“实质性要求”是指采购需求中带“▲”的条款或者不能负偏离的条款或者已经指明不满足按响应文件作无效处理的条款。</w:t>
      </w:r>
    </w:p>
    <w:p>
      <w:pPr>
        <w:numPr>
          <w:ilvl w:val="0"/>
          <w:numId w:val="17"/>
        </w:numPr>
        <w:spacing w:line="360" w:lineRule="auto"/>
        <w:ind w:firstLine="0"/>
        <w:rPr>
          <w:rFonts w:ascii="宋体" w:hAnsi="宋体" w:cs="宋体"/>
          <w:sz w:val="24"/>
        </w:rPr>
      </w:pPr>
      <w:r>
        <w:rPr>
          <w:rFonts w:hint="eastAsia" w:ascii="宋体" w:hAnsi="宋体" w:cs="宋体"/>
          <w:sz w:val="24"/>
        </w:rPr>
        <w:t>采购需求中出现的品牌、型号或者生产供应商仅起参考作用，不属于指定品牌、型号或者生产供应商的情形。供应商可参照或者选用其他相当的品牌、型号或者生产供应商替代。</w:t>
      </w:r>
    </w:p>
    <w:p>
      <w:pPr>
        <w:numPr>
          <w:ilvl w:val="0"/>
          <w:numId w:val="17"/>
        </w:numPr>
        <w:spacing w:line="360" w:lineRule="auto"/>
        <w:ind w:firstLine="0"/>
        <w:rPr>
          <w:rFonts w:ascii="宋体" w:hAnsi="宋体" w:cs="宋体"/>
          <w:sz w:val="24"/>
        </w:rPr>
      </w:pPr>
      <w:r>
        <w:rPr>
          <w:rFonts w:hint="eastAsia" w:ascii="宋体" w:hAnsi="宋体" w:cs="宋体"/>
          <w:sz w:val="24"/>
        </w:rPr>
        <w:t>供应商应根据自身实际情况响应竞争性谈判文件采购需求中的各项需求，对于重要技术条款或技术参数应当在响应文件中提供技术支持资料。技术支持资料以货物生产厂家公开发布的印刷资料或检测机构出具的检测报告或竞争性谈判文件中允许的其它形式为准。凡不符合上述要求的，将视为无效技术支持资料。</w:t>
      </w:r>
    </w:p>
    <w:p>
      <w:pPr>
        <w:pStyle w:val="5"/>
        <w:spacing w:line="240" w:lineRule="auto"/>
        <w:rPr>
          <w:sz w:val="24"/>
          <w:szCs w:val="24"/>
        </w:rPr>
      </w:pPr>
      <w:bookmarkStart w:id="68" w:name="_Hlk48036094"/>
      <w:r>
        <w:rPr>
          <w:rFonts w:hint="eastAsia"/>
          <w:sz w:val="24"/>
          <w:szCs w:val="24"/>
        </w:rPr>
        <w:t>一、采购项目需求一览表</w:t>
      </w:r>
    </w:p>
    <w:tbl>
      <w:tblPr>
        <w:tblStyle w:val="2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1148"/>
        <w:gridCol w:w="919"/>
        <w:gridCol w:w="8108"/>
        <w:gridCol w:w="630"/>
        <w:gridCol w:w="439"/>
        <w:gridCol w:w="1238"/>
        <w:gridCol w:w="589"/>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jc w:val="center"/>
        </w:trPr>
        <w:tc>
          <w:tcPr>
            <w:tcW w:w="150" w:type="pct"/>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序号</w:t>
            </w:r>
          </w:p>
        </w:tc>
        <w:tc>
          <w:tcPr>
            <w:tcW w:w="405" w:type="pct"/>
            <w:vAlign w:val="center"/>
          </w:tcPr>
          <w:p>
            <w:pPr>
              <w:tabs>
                <w:tab w:val="left" w:pos="180"/>
                <w:tab w:val="left" w:pos="1620"/>
              </w:tabs>
              <w:jc w:val="center"/>
              <w:rPr>
                <w:rFonts w:ascii="宋体" w:hAnsi="宋体" w:cs="宋体"/>
                <w:szCs w:val="21"/>
              </w:rPr>
            </w:pPr>
            <w:r>
              <w:rPr>
                <w:rFonts w:hint="eastAsia" w:ascii="宋体" w:hAnsi="宋体" w:cs="宋体"/>
                <w:szCs w:val="21"/>
              </w:rPr>
              <w:t>标的的名称</w:t>
            </w:r>
          </w:p>
        </w:tc>
        <w:tc>
          <w:tcPr>
            <w:tcW w:w="324" w:type="pct"/>
            <w:vAlign w:val="center"/>
          </w:tcPr>
          <w:p>
            <w:pPr>
              <w:tabs>
                <w:tab w:val="left" w:pos="180"/>
                <w:tab w:val="left" w:pos="1620"/>
              </w:tabs>
              <w:rPr>
                <w:rFonts w:ascii="宋体" w:hAnsi="宋体" w:cs="宋体"/>
                <w:szCs w:val="21"/>
              </w:rPr>
            </w:pPr>
            <w:r>
              <w:rPr>
                <w:rFonts w:hint="eastAsia" w:ascii="宋体" w:hAnsi="宋体" w:cs="宋体"/>
                <w:szCs w:val="21"/>
              </w:rPr>
              <w:t>参考品牌</w:t>
            </w:r>
          </w:p>
        </w:tc>
        <w:tc>
          <w:tcPr>
            <w:tcW w:w="2859" w:type="pct"/>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技术需求</w:t>
            </w:r>
          </w:p>
        </w:tc>
        <w:tc>
          <w:tcPr>
            <w:tcW w:w="222" w:type="pct"/>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数量</w:t>
            </w:r>
          </w:p>
        </w:tc>
        <w:tc>
          <w:tcPr>
            <w:tcW w:w="155" w:type="pct"/>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单位</w:t>
            </w:r>
          </w:p>
        </w:tc>
        <w:tc>
          <w:tcPr>
            <w:tcW w:w="437" w:type="pct"/>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单价</w:t>
            </w:r>
          </w:p>
        </w:tc>
        <w:tc>
          <w:tcPr>
            <w:tcW w:w="208" w:type="pct"/>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所属行业</w:t>
            </w:r>
          </w:p>
        </w:tc>
        <w:tc>
          <w:tcPr>
            <w:tcW w:w="235" w:type="pct"/>
            <w:vAlign w:val="center"/>
          </w:tcPr>
          <w:p>
            <w:pPr>
              <w:tabs>
                <w:tab w:val="left" w:pos="180"/>
                <w:tab w:val="left" w:pos="1620"/>
              </w:tabs>
              <w:spacing w:line="360" w:lineRule="auto"/>
              <w:jc w:val="center"/>
              <w:rPr>
                <w:rFonts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VPN安全设备</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安恒、深信服、天融信</w:t>
            </w:r>
          </w:p>
        </w:tc>
        <w:tc>
          <w:tcPr>
            <w:tcW w:w="2859" w:type="pct"/>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一、▲性能参数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1.标准1U设备,内存≥16G,机械硬盘≥1T，≥6个千兆电口， ≥2个千兆光口,冗余电源,≥2个扩展槽位,IPSEC吞吐率：≥1Gbps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2.IPSEC VPN隧道数：≥10000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3.SSL吞吐率：≥600Mbps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4.SSL并发用户数：≥4000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5.最大管理用户数：≥15000。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6.配置 ≥1000个SSL VPN接入授权点</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二、功能参数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1.需为专业VPN设备，采用标准SSL、TLS 协议，同时支持IPSec VPN、SSLVPN两种VPN，非插卡或防火墙带VPN模块设备；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2.支持内置CA，可为其他设备或移动用户签发证书，可生成、吊销、删除证书，内置CA支持SM2算法，同时支持6套以上第三方CA根证书；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3.▲支持DES、3DES、AES、MD5、SHA1、DH GROUP1/2/5、RSA 1024/2048等多种算法；支持国家商密专用的SM2、SM3、SM4算法；（提供截图证明）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4.▲支持国密、国际算法切换；（提供产品界面截图）</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5.支持DDNS动态域名注册；支持使用域名进行隧道定义及协商；支持使用域名向TP进行集中认证；支持远程用户通过L2TP接入；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6.支持通过WebCache技术对web页面进行数据优化，支持智能压缩技术，减少不必要的数据传输;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7.支持HTTP401方式、WEB方式、密码助手方式的单点登录，用户登录VPN后无需二次认证，即可登录内部B/S、C/S应用系统，支持用户修改单点登录的账户信息；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8.支持iOS、Android智能终端以及Windows系统的虚拟桌面与虚拟应用发布方式接入，实现数据不落地，有效保证数据安全；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9.▲支持静态用户名口令、数字证书、短信、硬件特征码绑定、人脸识别认证方式；支持两种或两种以上组合认证方式；（提供截图证明）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10.支持虚拟门户（PORTAL）风格自定义，可替换图片、文本等对资源进行自定义说明；</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11.支持GRE over IPSEC方式，支持组播穿越IPSec隧道；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12.支持智能递推、LDAP账号同步；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13.支持网络隔离功能，用户登录SSL VPN后，只能访问授权资源，不能进行其他的网络访问，确保隧道数据安全。</w:t>
            </w:r>
          </w:p>
          <w:p>
            <w:pPr>
              <w:spacing w:line="360" w:lineRule="auto"/>
              <w:rPr>
                <w:rFonts w:ascii="宋体" w:hAnsi="宋体" w:cs="宋体"/>
                <w:sz w:val="24"/>
              </w:rPr>
            </w:pPr>
            <w:r>
              <w:rPr>
                <w:rFonts w:hint="eastAsia" w:ascii="宋体" w:hAnsi="宋体" w:cs="宋体"/>
                <w:sz w:val="24"/>
              </w:rPr>
              <w:t>14.支持Welf、Syslog等多种日志格式的输出，可对日志进行加密传输；</w:t>
            </w:r>
          </w:p>
          <w:p>
            <w:pPr>
              <w:spacing w:line="360" w:lineRule="auto"/>
              <w:rPr>
                <w:rFonts w:ascii="宋体" w:hAnsi="宋体" w:cs="宋体"/>
                <w:sz w:val="24"/>
              </w:rPr>
            </w:pPr>
            <w:r>
              <w:rPr>
                <w:rFonts w:hint="eastAsia" w:ascii="宋体" w:hAnsi="宋体" w:cs="宋体"/>
                <w:sz w:val="24"/>
              </w:rPr>
              <w:t>15.支持管理员三权分立，支持16级管理员分级分权管理，可自定义管理员权限模板；</w:t>
            </w:r>
          </w:p>
          <w:p>
            <w:pPr>
              <w:spacing w:line="360" w:lineRule="auto"/>
              <w:rPr>
                <w:rFonts w:ascii="宋体" w:hAnsi="宋体" w:cs="宋体"/>
                <w:sz w:val="24"/>
              </w:rPr>
            </w:pPr>
            <w:r>
              <w:rPr>
                <w:rFonts w:hint="eastAsia" w:ascii="宋体" w:hAnsi="宋体" w:cs="宋体"/>
                <w:sz w:val="24"/>
              </w:rPr>
              <w:t>16.支持双操作系统故障切换，保障单台设备的高可用性，支持双系统升级，支持TFTP、Webui、Ftp升级；</w:t>
            </w:r>
          </w:p>
          <w:p>
            <w:pPr>
              <w:spacing w:line="360" w:lineRule="auto"/>
              <w:rPr>
                <w:rFonts w:ascii="宋体" w:hAnsi="宋体" w:cs="宋体"/>
                <w:sz w:val="24"/>
              </w:rPr>
            </w:pPr>
            <w:r>
              <w:rPr>
                <w:rFonts w:hint="eastAsia" w:ascii="宋体" w:hAnsi="宋体" w:cs="宋体"/>
                <w:sz w:val="24"/>
              </w:rPr>
              <w:t>17.支持IPv6功能：支持IPv6协议数据报通信；支持IPv6无状态地址自动配置；支持ICMPv6；支持IPv6邻居发现；支持使用ISATAP协议进行IPv4和IPv6的互通；支持IPv4和IPv6双协议栈转换；支持DHCPv6；支持ping6；</w:t>
            </w:r>
          </w:p>
          <w:p>
            <w:pPr>
              <w:spacing w:line="360" w:lineRule="auto"/>
              <w:rPr>
                <w:rFonts w:ascii="宋体" w:hAnsi="宋体" w:cs="宋体"/>
                <w:sz w:val="24"/>
              </w:rPr>
            </w:pPr>
            <w:r>
              <w:rPr>
                <w:rFonts w:hint="eastAsia" w:ascii="宋体" w:hAnsi="宋体" w:cs="宋体"/>
                <w:sz w:val="24"/>
              </w:rPr>
              <w:t>支持用户与手机号码、PC硬件特征码、手机硬件特征码、IP、MAC等硬件信息的绑定，支持自动审批和人工审批两种模式；支持自定义同一VPN账号可登录的终端设备数量。</w:t>
            </w:r>
          </w:p>
          <w:p>
            <w:pPr>
              <w:spacing w:line="360" w:lineRule="auto"/>
              <w:rPr>
                <w:rFonts w:ascii="宋体" w:hAnsi="宋体" w:cs="宋体"/>
                <w:sz w:val="24"/>
              </w:rPr>
            </w:pPr>
            <w:r>
              <w:rPr>
                <w:rFonts w:hint="eastAsia" w:ascii="宋体" w:hAnsi="宋体" w:cs="宋体"/>
                <w:sz w:val="24"/>
              </w:rPr>
              <w:t>18.支持用户与手机号码、PC硬件特征码、手机硬件特征码、IP、MAC等硬件信息的绑定，支持自动审批和人工审批两种模式；支持自定义同一VPN账号可登录的终端设备数量。</w:t>
            </w:r>
          </w:p>
          <w:p>
            <w:pPr>
              <w:spacing w:line="360" w:lineRule="auto"/>
              <w:rPr>
                <w:rFonts w:ascii="宋体" w:hAnsi="宋体" w:cs="宋体"/>
                <w:sz w:val="24"/>
              </w:rPr>
            </w:pPr>
            <w:r>
              <w:rPr>
                <w:rFonts w:hint="eastAsia" w:ascii="宋体" w:hAnsi="宋体" w:cs="宋体"/>
                <w:sz w:val="24"/>
              </w:rPr>
              <w:t>19. ▲支持移动APP自动封装SSL VPN的SDK；（提供截图证明）</w:t>
            </w:r>
          </w:p>
          <w:p>
            <w:pPr>
              <w:spacing w:line="360" w:lineRule="auto"/>
              <w:rPr>
                <w:rFonts w:ascii="宋体" w:hAnsi="宋体" w:cs="宋体"/>
                <w:sz w:val="24"/>
              </w:rPr>
            </w:pPr>
            <w:r>
              <w:rPr>
                <w:rFonts w:hint="eastAsia" w:ascii="宋体" w:hAnsi="宋体" w:cs="宋体"/>
                <w:sz w:val="24"/>
              </w:rPr>
              <w:t>三、其它要求</w:t>
            </w:r>
          </w:p>
          <w:p>
            <w:pPr>
              <w:spacing w:line="360" w:lineRule="auto"/>
              <w:rPr>
                <w:rFonts w:ascii="宋体" w:hAnsi="宋体" w:cs="宋体"/>
                <w:sz w:val="24"/>
              </w:rPr>
            </w:pPr>
            <w:r>
              <w:rPr>
                <w:rFonts w:hint="eastAsia" w:ascii="宋体" w:hAnsi="宋体" w:cs="宋体"/>
                <w:sz w:val="24"/>
              </w:rPr>
              <w:t>1.为保障投标产品的技术先进性和产品质量水平，要求投标产品原生产厂家具备质量体系认证证书（TL9000认证证书），请在投标文件中提供上述证件的复印件；</w:t>
            </w:r>
          </w:p>
          <w:p>
            <w:pPr>
              <w:widowControl w:val="0"/>
              <w:numPr>
                <w:ilvl w:val="0"/>
                <w:numId w:val="0"/>
              </w:numPr>
              <w:spacing w:line="360" w:lineRule="auto"/>
              <w:jc w:val="both"/>
              <w:textAlignment w:val="auto"/>
              <w:rPr>
                <w:rFonts w:ascii="宋体" w:hAnsi="宋体" w:cs="宋体"/>
                <w:color w:val="000000"/>
                <w:kern w:val="0"/>
                <w:sz w:val="24"/>
                <w:lang w:bidi="ar"/>
              </w:rPr>
            </w:pP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台</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¥130,000.00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制造业</w:t>
            </w:r>
          </w:p>
        </w:tc>
        <w:tc>
          <w:tcPr>
            <w:tcW w:w="235" w:type="pct"/>
            <w:vAlign w:val="center"/>
          </w:tcPr>
          <w:p>
            <w:pPr>
              <w:widowControl/>
              <w:jc w:val="center"/>
              <w:textAlignment w:val="center"/>
              <w:rPr>
                <w:rFonts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服务器机柜</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华为、维谛、施耐德</w:t>
            </w:r>
          </w:p>
        </w:tc>
        <w:tc>
          <w:tcPr>
            <w:tcW w:w="2859" w:type="pct"/>
            <w:vAlign w:val="center"/>
          </w:tcPr>
          <w:p>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1.标准服务器机柜（宽×深×高）：600 mm×1200 mm×2000mm，内部有效承载空间42U。</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2.机柜门为可拆卸式结构，门的开合转动灵活、锁定可靠、施工安装和维护方便。前后门采用外开门方式，前门单开，后门双开，开启角度应不小于120°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3.前进风机柜,其前后门均为通风网孔门，通风率不小于75%。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4.按照YD5083-2005《电信设备抗地震性能检测规范》要求，带载500kg测试连续通过8、9级烈度结构抗地震考核。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5.机柜非承重部件板厚在不小于1.0mm，承重部件板厚在不小于1.5mm。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6.机柜立柱采用八折型材一次滚压成型技术 ，保证承重要求。机柜主要承重部件包括立柱、横梁、框架等的板材厚度不小于1.5mm，顶板、侧板、底板等非承重部件的板材厚度1.0mm。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7.要求静态承载能力不小于1800kg。</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8.机柜颜色为黑色，整体防护等级应不小于IP20。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9.机柜并柜后，柜体之间不应有明显的透光缝隙。机柜前后门框右下角处有接地装置，应尽量靠近门框，不得影响设备安装。</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10.机柜应支持上走线方式，机柜顶部框架结构应为机柜出线提供足够的预留孔位，并要求有盖板或橡胶密封，以防止昆虫或老鼠钻入机柜内部。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11.含2条PDU,规格：基本型，32A单相输入，20口国标10A+4口国标16A输出。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▲12.为保证服务器机柜的质量，机柜在长期承重情况下各部件不变形弯曲，满足机柜在静载配重≧2400kg，静置试验24h检测的合格产品，投标时提供具备</w:t>
            </w:r>
            <w:r>
              <w:rPr>
                <w:rFonts w:ascii="宋体" w:hAnsi="宋体" w:cs="宋体"/>
                <w:color w:val="000000"/>
                <w:kern w:val="0"/>
                <w:sz w:val="24"/>
                <w:lang w:bidi="ar"/>
              </w:rPr>
              <w:t>CMA或CNAS资质的第三方检测机构出具的检测报告复印件。</w:t>
            </w:r>
            <w:r>
              <w:rPr>
                <w:rFonts w:ascii="宋体" w:hAnsi="宋体" w:cs="宋体"/>
                <w:color w:val="000000"/>
                <w:kern w:val="0"/>
                <w:sz w:val="24"/>
                <w:lang w:bidi="ar"/>
              </w:rPr>
              <w:br w:type="textWrapping"/>
            </w:r>
            <w:r>
              <w:rPr>
                <w:rFonts w:hint="eastAsia" w:ascii="宋体" w:hAnsi="宋体" w:cs="宋体"/>
                <w:color w:val="000000"/>
                <w:kern w:val="0"/>
                <w:sz w:val="24"/>
                <w:lang w:bidi="ar"/>
              </w:rPr>
              <w:t xml:space="preserve">▲13.为保证整体交付质量和维护便利，一体化UPS、行级精密空调、服务器机柜和冷通道组件产品要求使用同一品牌。                                                                                             </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9</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个</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¥6,500.00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制造业</w:t>
            </w:r>
          </w:p>
        </w:tc>
        <w:tc>
          <w:tcPr>
            <w:tcW w:w="235" w:type="pct"/>
            <w:vAlign w:val="center"/>
          </w:tcPr>
          <w:p>
            <w:pPr>
              <w:widowControl/>
              <w:jc w:val="center"/>
              <w:textAlignment w:val="center"/>
              <w:rPr>
                <w:rFonts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冷通道组件</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华为、维谛、施耐德</w:t>
            </w:r>
          </w:p>
        </w:tc>
        <w:tc>
          <w:tcPr>
            <w:tcW w:w="2859" w:type="pct"/>
            <w:vAlign w:val="center"/>
          </w:tcPr>
          <w:p>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1.微模块通道组件由模块两端的端门、天窗、强弱电线槽及附属钣金件、通道采集器、多功能传感器、门禁系统、水浸和通道照明组成。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2.密封通道由机柜和通道组件组成，形成良好的密封效果，避免冷热气流混合造成能量损失。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▲3.微模块门框采用告警联动指示灯，灯光与门禁及告警等级联动，需保证至少有3种颜色，能够与紧急告警、重要告警、一般告警、提示告警进行联动。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4.通道照明需采用智能照明系统，人来灯亮，人走灯灭。</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5.端门采用旋转门设计，并与门禁联动，门禁识别通过后可手动开启。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微模块通道两端应设置门禁系统，运维人员须通过识别身份方可进入微模块内部进行相应操作。微模块门禁系统由门禁机、门禁控制器、出门按钮、磁力锁、紧急按钮组成，门禁机应能满足指纹、IC卡、密码等多种识别方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天窗含玻璃天窗和功能型天窗。玻璃天窗采用钢化玻璃材质，厚度不小于5mm。为保证通道亮度，天窗玻璃面积占比应保证不小于90%，玻璃材质透光率应不小于90%。功能型天窗选用优质型材，用于安装多功能传感器和摄像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8.天窗开启实现与通道内消防告警信号联动，在消防状态下电磁锁打开，翻转天窗在重力作用下自动打开，保证灭火气体进入密封通道。天窗开启后通道的净高不小于2米，不影响日常维护工作和维护人员安全。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▲9.为保证整体交付质量和维护便利，一体化UPS、行级精密空调、服务器机柜和冷通道组件产品要求使用同一品牌。</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¥58,000.00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制造业</w:t>
            </w:r>
          </w:p>
        </w:tc>
        <w:tc>
          <w:tcPr>
            <w:tcW w:w="235" w:type="pct"/>
            <w:vAlign w:val="center"/>
          </w:tcPr>
          <w:p>
            <w:pPr>
              <w:widowControl/>
              <w:jc w:val="center"/>
              <w:textAlignment w:val="center"/>
              <w:rPr>
                <w:rFonts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通道内监控系统</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华为、维谛、施耐德</w:t>
            </w:r>
          </w:p>
        </w:tc>
        <w:tc>
          <w:tcPr>
            <w:tcW w:w="2859" w:type="pct"/>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1.通道控制器应采用两路交流输入，具备本地存储功能，固态硬盘≥ 2G，支持至少2路WAN接入，至少2路LAN接入，4路RS485接口，3路AI/DI接口，1路/DO接口。采集配电、精密空调、温湿度等历史数据和告警统计。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2.多功能传感器集成烟雾传感器、红外传感器和温湿度传感器于一体，支持通过FE、无线通信接入通道采集器。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3.红外IP半球摄像机：1/3" 200万像素逐行扫描CMOS图像传感器；支持移动侦测：可以在画面中不少于8个矩形区域任意选择，0-100灵敏度等级可调；红外照射距离：≥20米。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门禁系统含微模块门禁控制器、双门磁力锁2个、指纹/密码/读卡机三合一读卡器2套和出门按钮2个，采用嵌入式Linux实时操作系统，集成Modbus-RTU通信协议，铁电存储芯片：可无数次读写，真正的掉电不丢失数据。</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含1台10寸PAD运维平板，安装在微模块前门上，PAD平板支持无线接入数据机房管理系统，通过APP可对数据机房设备和环境参数进行实时监测。可直观展示智能微模块布局（电量、冷量、告警、环境等）、配电链路、制冷链路等信息。</w:t>
            </w:r>
          </w:p>
          <w:p>
            <w:pPr>
              <w:widowControl/>
              <w:spacing w:line="360" w:lineRule="auto"/>
              <w:jc w:val="left"/>
              <w:textAlignment w:val="center"/>
              <w:rPr>
                <w:rFonts w:ascii="宋体" w:hAnsi="宋体" w:cs="宋体"/>
                <w:sz w:val="24"/>
              </w:rPr>
            </w:pPr>
            <w:r>
              <w:rPr>
                <w:rFonts w:hint="eastAsia" w:ascii="宋体" w:hAnsi="宋体" w:cs="宋体"/>
                <w:sz w:val="24"/>
              </w:rPr>
              <w:t>▲6.通道内监控系统支持移动运维管理功能，可在手机端APP实时查看微模块通道内温度指标、湿度指标、封闭冷通道门的门磁状态信息。并支持实时在移动APP上显示，方便运维人员随时随地观看，需提供彩页或功能界面截图。</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¥39,500.00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制造业</w:t>
            </w:r>
          </w:p>
        </w:tc>
        <w:tc>
          <w:tcPr>
            <w:tcW w:w="235" w:type="pct"/>
            <w:vAlign w:val="center"/>
          </w:tcPr>
          <w:p>
            <w:pPr>
              <w:widowControl/>
              <w:jc w:val="center"/>
              <w:textAlignment w:val="center"/>
              <w:rPr>
                <w:rFonts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一体化UPS</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华为、维谛、施耐德</w:t>
            </w:r>
          </w:p>
        </w:tc>
        <w:tc>
          <w:tcPr>
            <w:tcW w:w="2859" w:type="pct"/>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1.UPS类型应为在线双变换式，制式为三相输入，三相输出。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▲2.UPS单台额定容量≥120KVA，本次配置容量≥60KVA，单功率模块的额定输出功率≥30kVA。</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3.UPS柜内集成模块化UPS、UPS输入输出开关、维修旁路开关、IT配电、空调配电及照明配电。总输入配置：400A IT配电：2*20 40A/1P;空调配电：8*63A/3P;照明配电：3*10A/1P，断路器应采用ABB、施耐德、西门子或同等品牌。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4.UPS应采用集中控制的逻辑，含2个在线热备的主控单元。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5.UPS系统在线模式下，40%负载时效率应达到96%，25%负载时效率应不小于95%；ECO模式下，效率应达到99%。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▲6.输入电压范围：线电压147-460VAC（相电压：85-266V AC）；线电压345V-460V支持满载；输入频率范围（Hz）：40Hz-70Hz；输入功率因数：≥0.99。</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7.输出电压范围:380/400/415V AC；输出功率因素：1；输出电压畸变:≤1%(线性载），≤4%（非线性载）；输出电压精度:±1％。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8.UPS市电模式转电池模式，电池模式转市电模式，市电模式转旁路模式，旁路模式转市电模式切换时间均为0ms。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9.逆变过载能力：105~110%负载，60min后转旁路；110~125%负载，10min后转旁路；125~150%负载，1min后转旁路 ；大于150%负载，200ms后转旁路。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10.当异常出现时，UPS应具有交流输入过电压保护、欠电压保护、输出短路保护、过温度保护、电池电压低保护、输出过欠压保护。</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11.UPS支持锂电和铅酸电池接入。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12.UPS具有人机交互性能，采用7英寸及以上尺寸液晶彩色触摸屏，单屏可管理供配电系统。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13.UPS标配RS232或RS485、FE(SNMP通讯口)、干接点接口及环境监控传感器接口，并提供与通信接口配套使用的通信线缆和各种告警信号输出端子。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14.UPS可以采集主路输入相电压、电流、频率、功率因素、电能、有功功率、无功功率、负载率、电压电流谐波率、母排温度等。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15.UPS可以采集IT配电支路及空调配电支路的电流、电能、触点温度、负载率等。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16.UPS告警记录、历史信息应完整，包含历史事件的属性、描述、开始时间和结束时间，支持随时刷新及在系统完全无电状态下自动保存；告警记录不可删除且信息存储数量不少于1000条。</w:t>
            </w:r>
          </w:p>
          <w:p>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▲17.为提高机房信息安全的可靠性，一体化UPS应满足网络安全的要求，产品需通过智能联网产品网络安全认证，提供公安部直属单位出具的产品网络安全认证证书</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▲18.为保证整体交付质量和维护便利，一体化UPS、行级精密空调、服务器机柜和冷通道组件产品要求使用同一品牌。     </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台</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¥128,000.00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制造业</w:t>
            </w:r>
          </w:p>
        </w:tc>
        <w:tc>
          <w:tcPr>
            <w:tcW w:w="235" w:type="pct"/>
            <w:vAlign w:val="center"/>
          </w:tcPr>
          <w:p>
            <w:pPr>
              <w:widowControl/>
              <w:jc w:val="center"/>
              <w:textAlignment w:val="center"/>
              <w:rPr>
                <w:rFonts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功率模块</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华为、维谛、施耐德</w:t>
            </w:r>
          </w:p>
        </w:tc>
        <w:tc>
          <w:tcPr>
            <w:tcW w:w="2859" w:type="pct"/>
            <w:vAlign w:val="center"/>
          </w:tcPr>
          <w:p>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1.30KVA功率模块，与UPS无缝衔接。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2.功率模块主要由PFC整流器和逆变器构成，其功能是将主路经AC/DC或电池输入经DC/DC变换，然后经由逆变器（DC/AC）转换为正弦波输出。</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块</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¥20,000.00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制造业</w:t>
            </w:r>
          </w:p>
        </w:tc>
        <w:tc>
          <w:tcPr>
            <w:tcW w:w="235" w:type="pct"/>
            <w:vAlign w:val="center"/>
          </w:tcPr>
          <w:p>
            <w:pPr>
              <w:widowControl/>
              <w:jc w:val="center"/>
              <w:textAlignment w:val="center"/>
              <w:rPr>
                <w:rFonts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行级精密空调（加热加湿）</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华为、维谛、施耐德</w:t>
            </w:r>
          </w:p>
        </w:tc>
        <w:tc>
          <w:tcPr>
            <w:tcW w:w="2859" w:type="pct"/>
            <w:vAlign w:val="center"/>
          </w:tcPr>
          <w:p>
            <w:pPr>
              <w:widowControl/>
              <w:spacing w:line="360" w:lineRule="auto"/>
              <w:jc w:val="left"/>
              <w:textAlignment w:val="center"/>
              <w:rPr>
                <w:rFonts w:ascii="宋体" w:hAnsi="宋体" w:cs="宋体"/>
                <w:color w:val="000000"/>
                <w:kern w:val="0"/>
                <w:sz w:val="24"/>
                <w:lang w:bidi="ar"/>
              </w:rPr>
            </w:pPr>
            <w:r>
              <w:rPr>
                <w:rFonts w:ascii="宋体" w:hAnsi="宋体" w:cs="宋体"/>
                <w:color w:val="000000"/>
                <w:kern w:val="0"/>
                <w:sz w:val="24"/>
                <w:lang w:bidi="ar"/>
              </w:rPr>
              <w:t>1.</w:t>
            </w:r>
            <w:r>
              <w:rPr>
                <w:rFonts w:hint="eastAsia" w:ascii="宋体" w:hAnsi="宋体" w:cs="宋体"/>
                <w:color w:val="000000"/>
                <w:kern w:val="0"/>
                <w:sz w:val="24"/>
                <w:lang w:bidi="ar"/>
              </w:rPr>
              <w:t>设备尺寸（宽*深*高）：约为600mm*1200mm*2000mm，满足本项目微模块无缝衔接安装。</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▲2.总冷量≥45kW,显冷量≥45kW，显热比为1,风量≥8500m3/h。（注：制冷量是在室内进风温度37℃，相对湿度20%，室外环境温度35℃的条件下测定的）。</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3.带加热加湿功能，加热量≥6KW,加湿量≥3kg/h。</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4.输入电压允许波动范围：380~415V±10%。</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5.温度调节范围：+18℃～+45℃；湿度调节范围：20%～80%RH。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6.精密空调室内机由直流变频压缩机、蒸发器、EC风机、控制器、电子膨胀阀、油分、视液镜、干燥过滤器、加湿器和加热器等主要部件组成。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▲7.精密空调可支持制冷量30%</w:t>
            </w:r>
            <w:r>
              <w:rPr>
                <w:rFonts w:hint="eastAsia" w:ascii="微软雅黑" w:hAnsi="微软雅黑" w:eastAsia="微软雅黑" w:cs="微软雅黑"/>
                <w:color w:val="000000"/>
                <w:kern w:val="0"/>
                <w:sz w:val="24"/>
                <w:lang w:bidi="ar"/>
              </w:rPr>
              <w:t>~</w:t>
            </w:r>
            <w:r>
              <w:rPr>
                <w:rFonts w:hint="eastAsia" w:ascii="宋体" w:hAnsi="宋体" w:cs="宋体"/>
                <w:color w:val="000000"/>
                <w:kern w:val="0"/>
                <w:sz w:val="24"/>
                <w:lang w:bidi="ar"/>
              </w:rPr>
              <w:t>100%无极调节，按需输出冷量，大幅降低能耗。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8.可以实现最低10%的IT负载及95%以上室内高湿度的情况下的稳定除湿功能，降低高湿环境下数据中心低载运行的IT设备结露风险。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9.电子膨胀阀驱动自带储能单元，异常断电可以正常关闭，防止冷媒异常迁移，造成再开机后的压缩机带液启动等风险。</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10.精密空调采用PTC电加热器，作低温热补偿用，提高系统可靠性。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11.精密空调蒸发器采用内螺纹铜管和蓝色亲水铝箔设计，防止冷凝水聚集造成吹水，同时提高换热性能。 蒸发器形式宜采用”V”型设计，气流组织更合理风阻更小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12.机组应具备不低于6kV防雷滤波规格，在极端浪涌条件下更加安全可靠。</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13.室内机采用高效节能无级调速EC风机，支持在线插拔式维护，风机更换不需停机；室内风机整体采用N+1冗余备份设计，当一台风机故障时，机组风量和制冷量不衰减。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14.空气过滤器应便于更换，具备不低于G4的过滤等级。空气过滤器应具有脏堵检测及报警功能。</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15.风机驱动应采用变频调速器，室外风机调速范围要求在10%-100% ，要求风机最低运行频率不高于5Hz，低载运行更稳定。</w:t>
            </w:r>
          </w:p>
          <w:p>
            <w:pPr>
              <w:spacing w:line="360" w:lineRule="auto"/>
              <w:rPr>
                <w:rFonts w:ascii="宋体" w:hAnsi="宋体" w:cs="宋体"/>
                <w:sz w:val="24"/>
              </w:rPr>
            </w:pPr>
            <w:r>
              <w:rPr>
                <w:rFonts w:hint="eastAsia" w:ascii="宋体" w:hAnsi="宋体" w:cs="宋体"/>
                <w:sz w:val="24"/>
              </w:rPr>
              <w:t>16.机组主控模块、辅源模块、室内风机和风机供电单元可直接进行插拔式维护 ，实现快速维护。</w:t>
            </w:r>
          </w:p>
          <w:p>
            <w:pPr>
              <w:spacing w:line="360" w:lineRule="auto"/>
              <w:rPr>
                <w:rFonts w:ascii="宋体" w:hAnsi="宋体" w:cs="宋体"/>
                <w:sz w:val="24"/>
              </w:rPr>
            </w:pPr>
            <w:r>
              <w:rPr>
                <w:rFonts w:hint="eastAsia" w:ascii="宋体" w:hAnsi="宋体" w:cs="宋体"/>
                <w:sz w:val="24"/>
              </w:rPr>
              <w:t xml:space="preserve">17.机组压缩机和干燥过滤器需可支持免动火原地维护，降低维护难度，降低维护时间。 </w:t>
            </w:r>
          </w:p>
          <w:p>
            <w:pPr>
              <w:spacing w:line="360" w:lineRule="auto"/>
              <w:rPr>
                <w:rFonts w:ascii="宋体" w:hAnsi="宋体" w:cs="宋体"/>
                <w:sz w:val="24"/>
              </w:rPr>
            </w:pPr>
            <w:r>
              <w:rPr>
                <w:rFonts w:hint="eastAsia" w:ascii="宋体" w:hAnsi="宋体" w:cs="宋体"/>
                <w:sz w:val="24"/>
              </w:rPr>
              <w:t>18.精密空调控制器采用7英寸LCD触摸真彩屏，人机交互好，界面生动，一步到位界面切换，简单灵活.  能显示最多30天温湿度彩色曲线 ，具有图形显示机组内各组件运行状态的功能。</w:t>
            </w:r>
          </w:p>
          <w:p>
            <w:pPr>
              <w:spacing w:line="360" w:lineRule="auto"/>
              <w:rPr>
                <w:rFonts w:ascii="宋体" w:hAnsi="宋体" w:cs="宋体"/>
                <w:sz w:val="24"/>
              </w:rPr>
            </w:pPr>
            <w:r>
              <w:rPr>
                <w:rFonts w:hint="eastAsia" w:ascii="宋体" w:hAnsi="宋体" w:cs="宋体"/>
                <w:sz w:val="24"/>
              </w:rPr>
              <w:t>19.空调应具有RS485及FE通讯接口，对系统进行远程巡检和参数的设置，及提供Modbus和SNMP 开放协议，以接入机房环境监控系统，降低服务成本。</w:t>
            </w:r>
          </w:p>
          <w:p>
            <w:pPr>
              <w:spacing w:line="360" w:lineRule="auto"/>
              <w:rPr>
                <w:rFonts w:ascii="宋体" w:hAnsi="宋体" w:cs="宋体"/>
                <w:sz w:val="24"/>
              </w:rPr>
            </w:pPr>
            <w:r>
              <w:rPr>
                <w:rFonts w:hint="eastAsia" w:ascii="宋体" w:hAnsi="宋体" w:cs="宋体"/>
                <w:sz w:val="24"/>
              </w:rPr>
              <w:t>20.具有大容量的故障报警记录储存的功能，存储历史告警信息不小于1500条；具备访问日志回溯功能，可显示用户登陆及设置修改历史，最多可存储1000条历史记录信息。</w:t>
            </w:r>
          </w:p>
          <w:p>
            <w:pPr>
              <w:spacing w:line="360" w:lineRule="auto"/>
              <w:rPr>
                <w:rFonts w:ascii="宋体" w:hAnsi="宋体" w:cs="宋体"/>
                <w:sz w:val="24"/>
              </w:rPr>
            </w:pPr>
            <w:r>
              <w:rPr>
                <w:rFonts w:hint="eastAsia" w:ascii="宋体" w:hAnsi="宋体" w:cs="宋体"/>
                <w:sz w:val="24"/>
              </w:rPr>
              <w:t>21.具备联动与群控功能，同一区域可以将不低于32套机组进行统一控制管理。</w:t>
            </w:r>
          </w:p>
          <w:p>
            <w:pPr>
              <w:spacing w:line="360" w:lineRule="auto"/>
              <w:rPr>
                <w:rFonts w:ascii="宋体" w:hAnsi="宋体" w:cs="宋体"/>
                <w:sz w:val="24"/>
              </w:rPr>
            </w:pPr>
            <w:r>
              <w:rPr>
                <w:rFonts w:hint="eastAsia" w:ascii="宋体" w:hAnsi="宋体" w:cs="宋体"/>
                <w:sz w:val="24"/>
              </w:rPr>
              <w:t>22.具有故障自诊断功能 ，故障发生后可通过此功能自动判断故障根因，智能排除无关故障原因，指导运维人员快速完成维护，大幅降低运维难度，缩短故障排查时间。</w:t>
            </w:r>
          </w:p>
          <w:p>
            <w:pPr>
              <w:spacing w:line="360" w:lineRule="auto"/>
              <w:rPr>
                <w:rFonts w:ascii="宋体" w:hAnsi="宋体" w:cs="宋体"/>
                <w:sz w:val="24"/>
              </w:rPr>
            </w:pPr>
            <w:r>
              <w:rPr>
                <w:rFonts w:hint="eastAsia" w:ascii="宋体" w:hAnsi="宋体" w:cs="宋体"/>
                <w:sz w:val="24"/>
              </w:rPr>
              <w:t>23.支持故障一键式USB导出功能 ，可灵活导出故障记录，在上位机故障时依然可以获取信息记录并进行分析。</w:t>
            </w:r>
          </w:p>
          <w:p>
            <w:pPr>
              <w:spacing w:line="360" w:lineRule="auto"/>
              <w:rPr>
                <w:rFonts w:ascii="宋体" w:hAnsi="宋体" w:cs="宋体"/>
                <w:sz w:val="24"/>
              </w:rPr>
            </w:pPr>
            <w:r>
              <w:rPr>
                <w:rFonts w:hint="eastAsia" w:ascii="宋体" w:hAnsi="宋体" w:cs="宋体"/>
                <w:color w:val="000000"/>
                <w:kern w:val="0"/>
                <w:sz w:val="24"/>
                <w:lang w:bidi="ar"/>
              </w:rPr>
              <w:t>▲</w:t>
            </w:r>
            <w:r>
              <w:rPr>
                <w:rFonts w:ascii="宋体" w:hAnsi="宋体" w:cs="宋体"/>
                <w:sz w:val="24"/>
              </w:rPr>
              <w:t>24.为提高机房可靠性，行级精密空调产品具有制冷剂不足告警检测功能，并提供产品或同系列产品的第三方检测报告复印件。</w:t>
            </w:r>
          </w:p>
          <w:p>
            <w:pPr>
              <w:spacing w:line="360" w:lineRule="auto"/>
              <w:rPr>
                <w:rFonts w:ascii="宋体" w:hAnsi="宋体" w:cs="宋体"/>
                <w:sz w:val="24"/>
              </w:rPr>
            </w:pPr>
            <w:r>
              <w:rPr>
                <w:rFonts w:hint="eastAsia" w:ascii="宋体" w:hAnsi="宋体" w:cs="宋体"/>
                <w:color w:val="000000"/>
                <w:kern w:val="0"/>
                <w:sz w:val="24"/>
                <w:lang w:bidi="ar"/>
              </w:rPr>
              <w:t>▲</w:t>
            </w:r>
            <w:r>
              <w:rPr>
                <w:rFonts w:ascii="宋体" w:hAnsi="宋体" w:cs="宋体"/>
                <w:sz w:val="24"/>
              </w:rPr>
              <w:t>25.为保证机房恒温恒湿，行级精密空调产品需具有轻载除湿功能，确保空调在低负载情况下可靠除湿，并提供产品或同系列产品彩页或第三方检测报告证明。</w:t>
            </w:r>
          </w:p>
          <w:p>
            <w:pPr>
              <w:widowControl/>
              <w:numPr>
                <w:ilvl w:val="255"/>
                <w:numId w:val="0"/>
              </w:numPr>
              <w:spacing w:line="360" w:lineRule="auto"/>
              <w:jc w:val="left"/>
              <w:textAlignment w:val="center"/>
              <w:rPr>
                <w:rFonts w:ascii="宋体" w:hAnsi="宋体" w:cs="宋体"/>
                <w:color w:val="000000"/>
                <w:kern w:val="0"/>
                <w:sz w:val="24"/>
                <w:lang w:bidi="ar"/>
              </w:rPr>
            </w:pPr>
            <w:r>
              <w:rPr>
                <w:rFonts w:hint="eastAsia" w:ascii="宋体" w:hAnsi="宋体" w:cs="宋体"/>
                <w:sz w:val="24"/>
              </w:rPr>
              <w:t>▲26.为保证整体交付质量和维护便利，一体化UPS、行级精密空调、服务器机柜和冷通道组件产品要求使用同一品牌。</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155" w:type="pct"/>
            <w:vAlign w:val="center"/>
          </w:tcPr>
          <w:p>
            <w:pPr>
              <w:widowControl/>
              <w:jc w:val="center"/>
              <w:textAlignment w:val="center"/>
              <w:rPr>
                <w:rFonts w:ascii="宋体" w:hAnsi="宋体" w:cs="宋体"/>
                <w:szCs w:val="21"/>
              </w:rPr>
            </w:pPr>
            <w:r>
              <w:rPr>
                <w:rStyle w:val="57"/>
                <w:rFonts w:hint="default"/>
                <w:sz w:val="21"/>
                <w:szCs w:val="21"/>
                <w:lang w:bidi="ar"/>
              </w:rPr>
              <w:t>台</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¥130,000.00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制造业</w:t>
            </w:r>
          </w:p>
        </w:tc>
        <w:tc>
          <w:tcPr>
            <w:tcW w:w="235" w:type="pct"/>
            <w:vAlign w:val="center"/>
          </w:tcPr>
          <w:p>
            <w:pPr>
              <w:widowControl/>
              <w:jc w:val="center"/>
              <w:textAlignment w:val="center"/>
              <w:rPr>
                <w:rFonts w:ascii="宋体" w:hAnsi="宋体" w:cs="宋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蓄电池</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12V/100AH</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32</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只</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¥1,000.00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电池架</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根据蓄电池尺寸非标定制</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¥6,000.00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电池开关盒</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电池保护开关盒-250A-带中线</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个</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¥3,500.00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开关盒至UPS电缆</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ZA-RVV-95mm^2（分正负和中线）</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60</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¥150.00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市电到一体化UPS线缆</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电源线-ZA-YJV-(4x95+1x50)mm^2-黑(4+1芯:黄,绿,红,蓝,黑)</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40</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¥330.00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一体化UPS到PDU线缆</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电源线-RVV-3x6mm^2-黑(3芯:棕,蓝,黄/绿)</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390</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¥30.00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设备接地线</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地线-16mm^2-黄/绿</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30</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¥20.00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行级空调铜管</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智能温控产品配套件-铜管组件-7/8(气管)和5/8(液管)*25m</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套</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¥7,000.00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行级空调制冷剂</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制冷剂R410A-约11.3KG/罐</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2</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罐</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¥1,145.00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行级空调室内机线缆</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电源线-RVV-5x10mm^2-黑(5芯:红,黄,绿,蓝,黑)</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16</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¥25.00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行级空调室外机线缆</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电源线-RVV-5x2.5mm^2-黑(5芯:红,黄,绿,蓝,黑)</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30</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¥19.00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行级空调室内外机通讯线缆</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信号线-SJTW-3x16AWG，屏蔽户外线缆</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30</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米</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¥8.00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机柜加固底座</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jc w:val="left"/>
              <w:textAlignment w:val="center"/>
              <w:rPr>
                <w:rFonts w:ascii="宋体" w:hAnsi="宋体" w:cs="宋体"/>
                <w:sz w:val="24"/>
              </w:rPr>
            </w:pPr>
            <w:r>
              <w:rPr>
                <w:rFonts w:hint="eastAsia" w:ascii="宋体" w:hAnsi="宋体" w:cs="宋体"/>
                <w:color w:val="000000"/>
                <w:kern w:val="0"/>
                <w:sz w:val="24"/>
                <w:lang w:bidi="ar"/>
              </w:rPr>
              <w:t>机柜加固底座</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10</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个</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¥300.00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23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辅助材料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150" w:type="pct"/>
            <w:vAlign w:val="center"/>
          </w:tcPr>
          <w:p>
            <w:pPr>
              <w:numPr>
                <w:ilvl w:val="0"/>
                <w:numId w:val="18"/>
              </w:numPr>
              <w:tabs>
                <w:tab w:val="left" w:pos="180"/>
                <w:tab w:val="left" w:pos="1620"/>
              </w:tabs>
              <w:spacing w:line="360" w:lineRule="auto"/>
              <w:jc w:val="center"/>
              <w:rPr>
                <w:rFonts w:ascii="宋体" w:hAnsi="宋体" w:cs="宋体"/>
                <w:sz w:val="24"/>
              </w:rPr>
            </w:pPr>
          </w:p>
        </w:tc>
        <w:tc>
          <w:tcPr>
            <w:tcW w:w="405"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系统集成服务</w:t>
            </w:r>
          </w:p>
        </w:tc>
        <w:tc>
          <w:tcPr>
            <w:tcW w:w="324" w:type="pct"/>
            <w:vAlign w:val="center"/>
          </w:tcPr>
          <w:p>
            <w:pPr>
              <w:widowControl/>
              <w:jc w:val="center"/>
              <w:textAlignment w:val="center"/>
              <w:rPr>
                <w:rFonts w:ascii="宋体" w:hAnsi="宋体" w:cs="宋体"/>
                <w:sz w:val="24"/>
              </w:rPr>
            </w:pPr>
            <w:r>
              <w:rPr>
                <w:rFonts w:hint="eastAsia" w:ascii="宋体" w:hAnsi="宋体" w:cs="宋体"/>
                <w:color w:val="000000"/>
                <w:kern w:val="0"/>
                <w:sz w:val="24"/>
                <w:lang w:bidi="ar"/>
              </w:rPr>
              <w:t>国产定制</w:t>
            </w:r>
          </w:p>
        </w:tc>
        <w:tc>
          <w:tcPr>
            <w:tcW w:w="2859" w:type="pct"/>
            <w:vAlign w:val="center"/>
          </w:tcPr>
          <w:p>
            <w:pPr>
              <w:widowControl/>
              <w:spacing w:line="360" w:lineRule="auto"/>
              <w:jc w:val="left"/>
              <w:textAlignment w:val="center"/>
              <w:rPr>
                <w:rFonts w:ascii="宋体" w:hAnsi="宋体" w:cs="宋体"/>
                <w:sz w:val="24"/>
              </w:rPr>
            </w:pPr>
            <w:r>
              <w:rPr>
                <w:rFonts w:hint="eastAsia" w:ascii="宋体" w:hAnsi="宋体" w:cs="宋体"/>
                <w:color w:val="000000"/>
                <w:kern w:val="0"/>
                <w:sz w:val="24"/>
                <w:lang w:bidi="ar"/>
              </w:rPr>
              <w:t>现场进行部署、调试，并将各个分离的设备、功能和数据等集成为相互关联、统一协调的整体， 通过本项目所采购货物，构建高可靠、高弹性、安全稳定的数据中心，包含原厂督导、模块化机房、空调系统、配电系统、动环系统安装人工及配套辅材。</w:t>
            </w:r>
          </w:p>
        </w:tc>
        <w:tc>
          <w:tcPr>
            <w:tcW w:w="222"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1</w:t>
            </w:r>
          </w:p>
        </w:tc>
        <w:tc>
          <w:tcPr>
            <w:tcW w:w="155"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项</w:t>
            </w:r>
          </w:p>
        </w:tc>
        <w:tc>
          <w:tcPr>
            <w:tcW w:w="437" w:type="pct"/>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 xml:space="preserve">¥50,000.00 </w:t>
            </w:r>
          </w:p>
        </w:tc>
        <w:tc>
          <w:tcPr>
            <w:tcW w:w="2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b/>
                <w:bCs/>
                <w:kern w:val="0"/>
                <w:sz w:val="20"/>
                <w:szCs w:val="20"/>
              </w:rPr>
              <w:t>软件和信息技术服务业</w:t>
            </w:r>
          </w:p>
        </w:tc>
        <w:tc>
          <w:tcPr>
            <w:tcW w:w="235" w:type="pct"/>
            <w:vAlign w:val="center"/>
          </w:tcPr>
          <w:p>
            <w:pPr>
              <w:widowControl/>
              <w:jc w:val="center"/>
              <w:textAlignment w:val="center"/>
              <w:rPr>
                <w:rFonts w:ascii="宋体" w:hAnsi="宋体" w:cs="宋体"/>
                <w:b/>
                <w:bCs/>
                <w:kern w:val="0"/>
                <w:sz w:val="20"/>
                <w:szCs w:val="20"/>
              </w:rPr>
            </w:pPr>
          </w:p>
        </w:tc>
      </w:tr>
    </w:tbl>
    <w:p>
      <w:pPr>
        <w:tabs>
          <w:tab w:val="left" w:pos="180"/>
          <w:tab w:val="left" w:pos="1620"/>
        </w:tabs>
        <w:spacing w:line="560" w:lineRule="exact"/>
        <w:rPr>
          <w:rFonts w:ascii="宋体" w:hAnsi="宋体" w:cs="宋体"/>
          <w:b/>
          <w:bCs/>
          <w:sz w:val="24"/>
        </w:rPr>
      </w:pPr>
      <w:r>
        <w:rPr>
          <w:rFonts w:hint="eastAsia" w:ascii="宋体" w:hAnsi="宋体" w:cs="宋体"/>
          <w:b/>
          <w:bCs/>
          <w:sz w:val="24"/>
        </w:rPr>
        <w:t>二、核心产品：</w:t>
      </w:r>
      <w:r>
        <w:rPr>
          <w:rFonts w:hint="eastAsia" w:ascii="宋体" w:hAnsi="宋体" w:cs="宋体"/>
          <w:color w:val="000000"/>
          <w:kern w:val="0"/>
          <w:sz w:val="24"/>
          <w:lang w:bidi="ar"/>
        </w:rPr>
        <w:t>VPN安全设备</w:t>
      </w:r>
      <w:r>
        <w:rPr>
          <w:rFonts w:hint="eastAsia" w:ascii="宋体" w:hAnsi="宋体" w:cs="宋体"/>
          <w:b/>
          <w:bCs/>
          <w:sz w:val="24"/>
          <w:lang w:bidi="ar"/>
        </w:rPr>
        <w:t xml:space="preserve"> </w:t>
      </w:r>
      <w:r>
        <w:rPr>
          <w:rFonts w:hint="eastAsia" w:ascii="宋体" w:hAnsi="宋体" w:cs="宋体"/>
          <w:b/>
          <w:bCs/>
          <w:sz w:val="24"/>
        </w:rPr>
        <w:t xml:space="preserve"> </w:t>
      </w:r>
    </w:p>
    <w:p>
      <w:pPr>
        <w:tabs>
          <w:tab w:val="left" w:pos="180"/>
          <w:tab w:val="left" w:pos="1620"/>
        </w:tabs>
        <w:spacing w:line="560" w:lineRule="exact"/>
        <w:rPr>
          <w:rFonts w:ascii="宋体" w:hAnsi="宋体" w:cs="宋体"/>
          <w:b/>
          <w:bCs/>
          <w:sz w:val="24"/>
        </w:rPr>
      </w:pPr>
      <w:r>
        <w:rPr>
          <w:rFonts w:hint="eastAsia" w:ascii="宋体" w:hAnsi="宋体" w:cs="宋体"/>
          <w:b/>
          <w:bCs/>
          <w:sz w:val="24"/>
        </w:rPr>
        <w:t>三、商务条款：</w:t>
      </w:r>
    </w:p>
    <w:p>
      <w:pPr>
        <w:spacing w:line="560" w:lineRule="exact"/>
        <w:rPr>
          <w:rFonts w:ascii="宋体" w:hAnsi="宋体" w:cs="宋体"/>
          <w:b/>
          <w:bCs/>
          <w:sz w:val="24"/>
        </w:rPr>
      </w:pPr>
      <w:r>
        <w:rPr>
          <w:rFonts w:hint="eastAsia" w:ascii="宋体" w:hAnsi="宋体" w:cs="宋体"/>
          <w:b/>
          <w:bCs/>
          <w:sz w:val="24"/>
        </w:rPr>
        <w:t>1. 售后服务要求</w:t>
      </w:r>
    </w:p>
    <w:p>
      <w:pPr>
        <w:numPr>
          <w:ilvl w:val="0"/>
          <w:numId w:val="19"/>
        </w:numPr>
        <w:tabs>
          <w:tab w:val="left" w:pos="180"/>
          <w:tab w:val="left" w:pos="1620"/>
        </w:tabs>
        <w:spacing w:line="520" w:lineRule="exact"/>
        <w:rPr>
          <w:rFonts w:ascii="宋体" w:hAnsi="宋体" w:cs="宋体"/>
          <w:sz w:val="24"/>
        </w:rPr>
      </w:pPr>
      <w:r>
        <w:rPr>
          <w:rFonts w:hint="eastAsia" w:ascii="宋体" w:hAnsi="宋体" w:cs="宋体"/>
          <w:sz w:val="24"/>
        </w:rPr>
        <w:t>按国家有关的产品“三包”规定实行“三包”，所有产品为全新产品，符合国家相关标准。除特别注明外，所有设备安装调试并经用户验收合格之日起保修</w:t>
      </w:r>
      <w:r>
        <w:rPr>
          <w:rFonts w:hint="eastAsia" w:ascii="宋体" w:hAnsi="宋体" w:cs="宋体"/>
          <w:sz w:val="24"/>
          <w:lang w:val="en-US" w:eastAsia="zh-CN"/>
        </w:rPr>
        <w:t>三</w:t>
      </w:r>
      <w:r>
        <w:rPr>
          <w:rFonts w:hint="eastAsia" w:ascii="宋体" w:hAnsi="宋体" w:cs="宋体"/>
          <w:sz w:val="24"/>
        </w:rPr>
        <w:t>年，终身维护。（若国家或生产厂家对本项目所涉及货物的质量保证期的规定高于本项目要求的，应按国家或生产厂家的规定执行，若投标人在投标文件中承诺高于该期限，按照投标人承诺)，质保期内负责维修、更换配件，负责向用户提供设备维修及正常维护保养所需的零部件，保修期外提供终身维修服务。需求表中特别注明的按需求表中的执行。</w:t>
      </w:r>
    </w:p>
    <w:p>
      <w:pPr>
        <w:numPr>
          <w:ilvl w:val="0"/>
          <w:numId w:val="19"/>
        </w:numPr>
        <w:tabs>
          <w:tab w:val="left" w:pos="180"/>
          <w:tab w:val="left" w:pos="1620"/>
        </w:tabs>
        <w:spacing w:line="520" w:lineRule="exact"/>
        <w:rPr>
          <w:rFonts w:ascii="宋体" w:hAnsi="宋体" w:cs="宋体"/>
          <w:sz w:val="24"/>
        </w:rPr>
      </w:pPr>
      <w:r>
        <w:rPr>
          <w:rFonts w:hint="eastAsia" w:ascii="宋体" w:hAnsi="宋体" w:cs="宋体"/>
          <w:sz w:val="24"/>
        </w:rPr>
        <w:t>响应文件中应注明维修保养期及维保范围，提供保修年限、上门保修服务及货物保养、服务说明，超过保修期之后，紧急情况下如何处理问题的说明。</w:t>
      </w:r>
    </w:p>
    <w:p>
      <w:pPr>
        <w:numPr>
          <w:ilvl w:val="0"/>
          <w:numId w:val="19"/>
        </w:numPr>
        <w:tabs>
          <w:tab w:val="left" w:pos="180"/>
          <w:tab w:val="left" w:pos="1620"/>
        </w:tabs>
        <w:spacing w:line="520" w:lineRule="exact"/>
        <w:rPr>
          <w:rFonts w:ascii="宋体" w:hAnsi="宋体" w:cs="宋体"/>
          <w:sz w:val="24"/>
        </w:rPr>
      </w:pPr>
      <w:r>
        <w:rPr>
          <w:rFonts w:hint="eastAsia" w:ascii="宋体" w:hAnsi="宋体" w:cs="宋体"/>
          <w:sz w:val="24"/>
        </w:rPr>
        <w:t>在质量保证期内货物非因人为及不可抗拒因素的原因而引起损坏或质量问题，成交人应予以技术服务、维修或货物更换，并承担相应费用和零部件的费用。成交人须负责设备的安装调试和技术培训，解决货物的使用过程出现的各种问题及提供技术指导。</w:t>
      </w:r>
    </w:p>
    <w:p>
      <w:pPr>
        <w:numPr>
          <w:ilvl w:val="0"/>
          <w:numId w:val="19"/>
        </w:numPr>
        <w:tabs>
          <w:tab w:val="left" w:pos="180"/>
          <w:tab w:val="left" w:pos="1620"/>
        </w:tabs>
        <w:spacing w:line="520" w:lineRule="exact"/>
        <w:rPr>
          <w:rFonts w:ascii="宋体" w:hAnsi="宋体" w:cs="宋体"/>
          <w:sz w:val="24"/>
        </w:rPr>
      </w:pPr>
      <w:r>
        <w:rPr>
          <w:rFonts w:hint="eastAsia" w:ascii="宋体" w:hAnsi="宋体" w:cs="宋体"/>
          <w:sz w:val="24"/>
        </w:rPr>
        <w:t>成交人应提供7×24小时咨询服务，对于设备在使用过程中出现的问题，在2小时内响应，如遇与所供产品有关的问题无法远程解决的，在接用户通知后，12小时赶到现场提供服务；24小时内未解决的成交人应提供详细的应急解决方案，若72小时内无法排除故障的，则应提供相应的备用设备以保证采购方的正常使用，因成交人工作延误，造成采购人损失的，成交人应负赔偿责任。</w:t>
      </w:r>
    </w:p>
    <w:p>
      <w:pPr>
        <w:numPr>
          <w:ilvl w:val="0"/>
          <w:numId w:val="19"/>
        </w:numPr>
        <w:tabs>
          <w:tab w:val="left" w:pos="180"/>
          <w:tab w:val="left" w:pos="1620"/>
        </w:tabs>
        <w:spacing w:line="520" w:lineRule="exact"/>
        <w:rPr>
          <w:rFonts w:ascii="宋体" w:hAnsi="宋体" w:cs="宋体"/>
          <w:sz w:val="24"/>
        </w:rPr>
      </w:pPr>
      <w:r>
        <w:rPr>
          <w:rFonts w:hint="eastAsia" w:ascii="宋体" w:hAnsi="宋体" w:cs="宋体"/>
          <w:sz w:val="24"/>
        </w:rPr>
        <w:t>工程师每年巡检不少于3次。</w:t>
      </w:r>
    </w:p>
    <w:p>
      <w:pPr>
        <w:spacing w:line="560" w:lineRule="exact"/>
        <w:rPr>
          <w:rFonts w:ascii="宋体" w:hAnsi="宋体" w:cs="宋体"/>
          <w:b/>
          <w:bCs/>
          <w:sz w:val="24"/>
        </w:rPr>
      </w:pPr>
      <w:r>
        <w:rPr>
          <w:rFonts w:hint="eastAsia" w:ascii="宋体" w:hAnsi="宋体" w:cs="宋体"/>
          <w:b/>
          <w:bCs/>
          <w:sz w:val="24"/>
        </w:rPr>
        <w:t>2. 付款方式：</w:t>
      </w:r>
    </w:p>
    <w:p>
      <w:pPr>
        <w:numPr>
          <w:ilvl w:val="255"/>
          <w:numId w:val="0"/>
        </w:numPr>
        <w:tabs>
          <w:tab w:val="left" w:pos="180"/>
          <w:tab w:val="left" w:pos="1620"/>
        </w:tabs>
        <w:spacing w:line="520" w:lineRule="exact"/>
        <w:rPr>
          <w:rFonts w:ascii="宋体" w:hAnsi="宋体" w:cs="宋体"/>
          <w:b/>
          <w:bCs/>
          <w:color w:val="auto"/>
          <w:sz w:val="24"/>
        </w:rPr>
      </w:pPr>
      <w:r>
        <w:rPr>
          <w:rFonts w:hint="eastAsia" w:ascii="宋体" w:hAnsi="宋体" w:cs="宋体"/>
          <w:b/>
          <w:bCs/>
          <w:color w:val="auto"/>
          <w:sz w:val="24"/>
        </w:rPr>
        <w:t>合同签订15个工作日内</w:t>
      </w:r>
      <w:r>
        <w:rPr>
          <w:rFonts w:hint="eastAsia" w:ascii="宋体" w:hAnsi="宋体" w:cs="宋体"/>
          <w:b/>
          <w:bCs/>
          <w:color w:val="auto"/>
          <w:sz w:val="24"/>
          <w:u w:val="single"/>
          <w:lang w:val="en-US" w:eastAsia="zh-CN"/>
        </w:rPr>
        <w:t>乙方设备进场</w:t>
      </w:r>
      <w:r>
        <w:rPr>
          <w:rFonts w:hint="eastAsia" w:ascii="宋体" w:hAnsi="宋体" w:cs="宋体"/>
          <w:b/>
          <w:bCs/>
          <w:color w:val="auto"/>
          <w:sz w:val="24"/>
        </w:rPr>
        <w:t>甲方支付合同价款的</w:t>
      </w:r>
      <w:r>
        <w:rPr>
          <w:rFonts w:hint="eastAsia" w:ascii="宋体" w:hAnsi="宋体" w:cs="宋体"/>
          <w:b/>
          <w:bCs/>
          <w:color w:val="auto"/>
          <w:sz w:val="24"/>
          <w:lang w:val="en-US" w:eastAsia="zh-CN"/>
        </w:rPr>
        <w:t>3</w:t>
      </w:r>
      <w:r>
        <w:rPr>
          <w:rFonts w:hint="eastAsia" w:ascii="宋体" w:hAnsi="宋体" w:cs="宋体"/>
          <w:b/>
          <w:bCs/>
          <w:color w:val="auto"/>
          <w:sz w:val="24"/>
        </w:rPr>
        <w:t>0%为预付款；安装完成且通过验收后30个工作日内，支付至合同总额的100%。付款前乙方需开具对应金额的发票给甲方。</w:t>
      </w:r>
    </w:p>
    <w:p>
      <w:pPr>
        <w:spacing w:line="560" w:lineRule="exact"/>
        <w:rPr>
          <w:rFonts w:ascii="宋体" w:hAnsi="宋体" w:cs="宋体"/>
          <w:sz w:val="24"/>
        </w:rPr>
      </w:pPr>
      <w:r>
        <w:rPr>
          <w:rFonts w:hint="eastAsia" w:ascii="宋体" w:hAnsi="宋体" w:cs="宋体"/>
          <w:b/>
          <w:bCs/>
          <w:sz w:val="24"/>
        </w:rPr>
        <w:t>3. 交付地点：</w:t>
      </w:r>
      <w:r>
        <w:rPr>
          <w:rFonts w:hint="eastAsia" w:ascii="宋体" w:hAnsi="宋体" w:cs="宋体"/>
          <w:sz w:val="24"/>
        </w:rPr>
        <w:t>采购人指定</w:t>
      </w:r>
    </w:p>
    <w:p>
      <w:pPr>
        <w:tabs>
          <w:tab w:val="left" w:pos="180"/>
          <w:tab w:val="left" w:pos="1620"/>
        </w:tabs>
        <w:spacing w:line="560" w:lineRule="exact"/>
        <w:rPr>
          <w:rFonts w:ascii="宋体" w:hAnsi="宋体" w:cs="宋体"/>
          <w:sz w:val="24"/>
        </w:rPr>
      </w:pPr>
      <w:r>
        <w:rPr>
          <w:rFonts w:hint="eastAsia" w:ascii="宋体" w:hAnsi="宋体" w:cs="宋体"/>
          <w:b/>
          <w:bCs/>
          <w:sz w:val="24"/>
        </w:rPr>
        <w:t>4</w:t>
      </w:r>
      <w:r>
        <w:rPr>
          <w:rFonts w:ascii="宋体" w:hAnsi="宋体" w:cs="宋体"/>
          <w:b/>
          <w:bCs/>
          <w:sz w:val="24"/>
        </w:rPr>
        <w:t>.</w:t>
      </w:r>
      <w:r>
        <w:rPr>
          <w:rFonts w:hint="eastAsia" w:ascii="宋体" w:hAnsi="宋体"/>
          <w:b/>
          <w:bCs/>
          <w:sz w:val="24"/>
        </w:rPr>
        <w:t xml:space="preserve"> 合同签订时间：</w:t>
      </w:r>
      <w:r>
        <w:rPr>
          <w:rFonts w:hint="eastAsia" w:ascii="宋体" w:hAnsi="宋体"/>
          <w:sz w:val="24"/>
        </w:rPr>
        <w:t>自成交通知书发出之日起</w:t>
      </w:r>
      <w:r>
        <w:rPr>
          <w:rFonts w:ascii="宋体" w:hAnsi="宋体"/>
          <w:sz w:val="24"/>
        </w:rPr>
        <w:t xml:space="preserve"> </w:t>
      </w:r>
      <w:r>
        <w:rPr>
          <w:rFonts w:hint="eastAsia" w:ascii="宋体" w:hAnsi="宋体"/>
          <w:sz w:val="24"/>
          <w:u w:val="single"/>
        </w:rPr>
        <w:t>15</w:t>
      </w:r>
      <w:r>
        <w:rPr>
          <w:rFonts w:hint="eastAsia" w:ascii="宋体" w:hAnsi="宋体"/>
          <w:sz w:val="24"/>
        </w:rPr>
        <w:t>日内（最迟不能超过15日）</w:t>
      </w:r>
    </w:p>
    <w:p>
      <w:pPr>
        <w:tabs>
          <w:tab w:val="left" w:pos="180"/>
          <w:tab w:val="left" w:pos="1620"/>
        </w:tabs>
        <w:spacing w:line="520" w:lineRule="exact"/>
        <w:rPr>
          <w:rFonts w:ascii="宋体" w:hAnsi="宋体" w:cs="宋体"/>
          <w:sz w:val="24"/>
        </w:rPr>
      </w:pPr>
      <w:r>
        <w:rPr>
          <w:rFonts w:hint="eastAsia" w:ascii="宋体" w:hAnsi="宋体" w:cs="宋体"/>
          <w:b/>
          <w:bCs/>
          <w:sz w:val="24"/>
        </w:rPr>
        <w:t>5.</w:t>
      </w:r>
      <w:r>
        <w:rPr>
          <w:rFonts w:hint="eastAsia" w:ascii="宋体" w:hAnsi="宋体" w:cs="宋体"/>
          <w:sz w:val="24"/>
        </w:rPr>
        <w:t xml:space="preserve"> 要求竞标人所投货物必须是全新的、未经改装的、合格的、满足本项目技术需求及要求的货物。所有零部件、配件必须是未经使用的全新的并符合国家有关质量安全标准的产品。</w:t>
      </w:r>
    </w:p>
    <w:p>
      <w:pPr>
        <w:tabs>
          <w:tab w:val="left" w:pos="180"/>
          <w:tab w:val="left" w:pos="1620"/>
        </w:tabs>
        <w:spacing w:line="560" w:lineRule="exact"/>
        <w:rPr>
          <w:rFonts w:ascii="宋体" w:hAnsi="宋体" w:cs="宋体"/>
          <w:b/>
          <w:bCs/>
          <w:sz w:val="24"/>
        </w:rPr>
      </w:pPr>
      <w:r>
        <w:rPr>
          <w:rFonts w:hint="eastAsia" w:ascii="宋体" w:hAnsi="宋体" w:cs="宋体"/>
          <w:b/>
          <w:bCs/>
          <w:sz w:val="24"/>
        </w:rPr>
        <w:t>四、进口产品说明</w:t>
      </w:r>
    </w:p>
    <w:p>
      <w:pPr>
        <w:tabs>
          <w:tab w:val="left" w:pos="180"/>
          <w:tab w:val="left" w:pos="1620"/>
        </w:tabs>
        <w:spacing w:line="560" w:lineRule="exact"/>
        <w:rPr>
          <w:rFonts w:ascii="宋体" w:hAnsi="宋体" w:cs="宋体"/>
          <w:sz w:val="24"/>
        </w:rPr>
      </w:pPr>
      <w:r>
        <w:rPr>
          <w:rFonts w:hint="eastAsia" w:ascii="宋体" w:hAnsi="宋体" w:cs="宋体"/>
          <w:sz w:val="24"/>
        </w:rPr>
        <w:sym w:font="Wingdings 2" w:char="00A3"/>
      </w:r>
      <w:r>
        <w:rPr>
          <w:rFonts w:hint="eastAsia" w:ascii="宋体" w:hAnsi="宋体" w:cs="宋体"/>
          <w:sz w:val="24"/>
        </w:rPr>
        <w:t>本表的第</w:t>
      </w:r>
      <w:r>
        <w:rPr>
          <w:rFonts w:hint="eastAsia" w:ascii="宋体" w:hAnsi="宋体" w:cs="宋体"/>
          <w:sz w:val="24"/>
          <w:u w:val="single"/>
        </w:rPr>
        <w:t xml:space="preserve">  </w:t>
      </w:r>
      <w:r>
        <w:rPr>
          <w:rFonts w:hint="eastAsia" w:ascii="宋体" w:hAnsi="宋体" w:cs="宋体"/>
          <w:sz w:val="24"/>
        </w:rPr>
        <w:t>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w:t>
      </w:r>
    </w:p>
    <w:p>
      <w:pPr>
        <w:tabs>
          <w:tab w:val="left" w:pos="180"/>
          <w:tab w:val="left" w:pos="1620"/>
        </w:tabs>
        <w:spacing w:line="560" w:lineRule="exact"/>
        <w:rPr>
          <w:rFonts w:ascii="宋体" w:hAnsi="宋体" w:cs="宋体"/>
          <w:b/>
          <w:bCs/>
          <w:sz w:val="24"/>
        </w:rPr>
      </w:pPr>
      <w:r>
        <w:rPr>
          <w:rFonts w:hint="eastAsia" w:ascii="宋体" w:hAnsi="宋体" w:cs="宋体"/>
          <w:b/>
          <w:bCs/>
          <w:sz w:val="24"/>
        </w:rPr>
        <w:sym w:font="Wingdings 2" w:char="0052"/>
      </w:r>
      <w:r>
        <w:rPr>
          <w:rFonts w:hint="eastAsia" w:ascii="宋体" w:hAnsi="宋体" w:cs="宋体"/>
          <w:b/>
          <w:bCs/>
          <w:sz w:val="24"/>
        </w:rPr>
        <w:t>本分标货物不接受进口产品（即通过中国海关报关验放进入中国境内且产自关境外的产品）参与竞标，如有此类产品参与竞标的响应文件作无效处理。</w:t>
      </w:r>
    </w:p>
    <w:p>
      <w:pPr>
        <w:tabs>
          <w:tab w:val="left" w:pos="180"/>
          <w:tab w:val="left" w:pos="1620"/>
        </w:tabs>
        <w:spacing w:line="560" w:lineRule="exact"/>
        <w:rPr>
          <w:rFonts w:ascii="宋体" w:hAnsi="宋体" w:cs="宋体"/>
          <w:b/>
          <w:bCs/>
          <w:sz w:val="24"/>
        </w:rPr>
      </w:pPr>
      <w:r>
        <w:rPr>
          <w:rFonts w:hint="eastAsia" w:ascii="宋体" w:hAnsi="宋体" w:cs="宋体"/>
          <w:b/>
          <w:bCs/>
          <w:sz w:val="24"/>
        </w:rPr>
        <w:t>五、验收标准：</w:t>
      </w:r>
    </w:p>
    <w:p>
      <w:pPr>
        <w:numPr>
          <w:ilvl w:val="0"/>
          <w:numId w:val="20"/>
        </w:numPr>
        <w:tabs>
          <w:tab w:val="left" w:pos="180"/>
          <w:tab w:val="left" w:pos="1620"/>
        </w:tabs>
        <w:spacing w:line="520" w:lineRule="exact"/>
        <w:rPr>
          <w:rFonts w:ascii="宋体" w:hAnsi="宋体" w:cs="宋体"/>
          <w:sz w:val="24"/>
        </w:rPr>
      </w:pPr>
      <w:r>
        <w:rPr>
          <w:rFonts w:hint="eastAsia" w:ascii="宋体" w:hAnsi="宋体" w:cs="宋体"/>
          <w:sz w:val="24"/>
        </w:rPr>
        <w:t>成交人在货物验收时由采购单位对照采购文件的功能目标及技术指标全面核对检验，如不符合采购文件的技术需求及要求以及提供虚假承诺的，按相关规定做退货处理及违约处理，成交人承担所有责任和费用，采购人保留进一步追究责任的权利。</w:t>
      </w:r>
    </w:p>
    <w:p>
      <w:pPr>
        <w:numPr>
          <w:ilvl w:val="0"/>
          <w:numId w:val="20"/>
        </w:numPr>
        <w:tabs>
          <w:tab w:val="left" w:pos="180"/>
          <w:tab w:val="left" w:pos="1620"/>
        </w:tabs>
        <w:spacing w:line="520" w:lineRule="exact"/>
        <w:rPr>
          <w:rFonts w:ascii="宋体" w:hAnsi="宋体" w:cs="宋体"/>
          <w:sz w:val="24"/>
        </w:rPr>
      </w:pPr>
      <w:r>
        <w:rPr>
          <w:rFonts w:hint="eastAsia" w:ascii="宋体" w:hAnsi="宋体" w:cs="宋体"/>
          <w:sz w:val="24"/>
        </w:rPr>
        <w:t>安装标准：符合国际、国家及行业有关技术规范和技术标准。</w:t>
      </w:r>
    </w:p>
    <w:p>
      <w:pPr>
        <w:numPr>
          <w:ilvl w:val="0"/>
          <w:numId w:val="20"/>
        </w:numPr>
        <w:tabs>
          <w:tab w:val="left" w:pos="180"/>
          <w:tab w:val="left" w:pos="1620"/>
        </w:tabs>
        <w:spacing w:line="520" w:lineRule="exact"/>
        <w:rPr>
          <w:rFonts w:ascii="宋体" w:hAnsi="宋体" w:cs="宋体"/>
          <w:sz w:val="24"/>
        </w:rPr>
      </w:pPr>
      <w:r>
        <w:rPr>
          <w:rFonts w:hint="eastAsia" w:ascii="宋体" w:hAnsi="宋体" w:cs="宋体"/>
          <w:sz w:val="24"/>
        </w:rPr>
        <w:t>招标项目有其他要求的按其要求。</w:t>
      </w:r>
    </w:p>
    <w:bookmarkEnd w:id="68"/>
    <w:p>
      <w:pPr>
        <w:spacing w:line="428" w:lineRule="exact"/>
        <w:rPr>
          <w:rFonts w:ascii="Arial Unicode MS" w:hAnsi="Arial Unicode MS" w:eastAsia="Arial Unicode MS" w:cs="Arial Unicode MS"/>
          <w:sz w:val="32"/>
          <w:szCs w:val="32"/>
        </w:rPr>
        <w:sectPr>
          <w:pgSz w:w="16838" w:h="11906" w:orient="landscape"/>
          <w:pgMar w:top="1080" w:right="1440" w:bottom="1080" w:left="1440" w:header="624" w:footer="794" w:gutter="0"/>
          <w:cols w:space="720" w:num="1"/>
          <w:docGrid w:linePitch="312" w:charSpace="0"/>
        </w:sectPr>
      </w:pPr>
      <w:bookmarkStart w:id="69" w:name="_Toc35611513"/>
    </w:p>
    <w:p>
      <w:pPr>
        <w:spacing w:line="428" w:lineRule="exact"/>
        <w:ind w:left="119"/>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附件1：</w:t>
      </w:r>
    </w:p>
    <w:p>
      <w:pPr>
        <w:spacing w:before="7"/>
        <w:rPr>
          <w:rFonts w:ascii="Arial Unicode MS" w:hAnsi="Arial Unicode MS" w:eastAsia="Arial Unicode MS" w:cs="Arial Unicode MS"/>
          <w:sz w:val="17"/>
          <w:szCs w:val="17"/>
        </w:rPr>
      </w:pPr>
    </w:p>
    <w:p>
      <w:pPr>
        <w:spacing w:line="528" w:lineRule="exact"/>
        <w:ind w:left="1871"/>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p>
      <w:pPr>
        <w:rPr>
          <w:rFonts w:ascii="Arial Unicode MS" w:hAnsi="Arial Unicode MS" w:eastAsia="Arial Unicode MS" w:cs="Arial Unicode MS"/>
          <w:sz w:val="20"/>
          <w:szCs w:val="20"/>
        </w:rPr>
      </w:pPr>
    </w:p>
    <w:tbl>
      <w:tblPr>
        <w:tblStyle w:val="24"/>
        <w:tblW w:w="4998" w:type="pct"/>
        <w:tblInd w:w="0" w:type="dxa"/>
        <w:tblLayout w:type="autofit"/>
        <w:tblCellMar>
          <w:top w:w="0" w:type="dxa"/>
          <w:left w:w="0" w:type="dxa"/>
          <w:bottom w:w="0" w:type="dxa"/>
          <w:right w:w="0" w:type="dxa"/>
        </w:tblCellMar>
      </w:tblPr>
      <w:tblGrid>
        <w:gridCol w:w="663"/>
        <w:gridCol w:w="1350"/>
        <w:gridCol w:w="2083"/>
        <w:gridCol w:w="2220"/>
        <w:gridCol w:w="3436"/>
      </w:tblGrid>
      <w:tr>
        <w:tblPrEx>
          <w:tblCellMar>
            <w:top w:w="0" w:type="dxa"/>
            <w:left w:w="0" w:type="dxa"/>
            <w:bottom w:w="0" w:type="dxa"/>
            <w:right w:w="0" w:type="dxa"/>
          </w:tblCellMar>
        </w:tblPrEx>
        <w:trPr>
          <w:trHeight w:val="782" w:hRule="exact"/>
        </w:trPr>
        <w:tc>
          <w:tcPr>
            <w:tcW w:w="340" w:type="pct"/>
            <w:tcBorders>
              <w:top w:val="single" w:color="000000" w:sz="4" w:space="0"/>
              <w:left w:val="single" w:color="000000" w:sz="4" w:space="0"/>
              <w:bottom w:val="single" w:color="000000" w:sz="4" w:space="0"/>
              <w:right w:val="single" w:color="000000" w:sz="4" w:space="0"/>
            </w:tcBorders>
          </w:tcPr>
          <w:p>
            <w:pPr>
              <w:pStyle w:val="55"/>
              <w:spacing w:before="57" w:line="256" w:lineRule="auto"/>
              <w:ind w:left="59" w:right="60"/>
            </w:pPr>
            <w:r>
              <w:rPr>
                <w:rFonts w:hint="eastAsia"/>
                <w:b/>
                <w:bCs/>
                <w:w w:val="99"/>
              </w:rPr>
              <w:t>品目序号</w:t>
            </w:r>
          </w:p>
        </w:tc>
        <w:tc>
          <w:tcPr>
            <w:tcW w:w="2898" w:type="pct"/>
            <w:gridSpan w:val="3"/>
            <w:tcBorders>
              <w:top w:val="single" w:color="000000" w:sz="4" w:space="0"/>
              <w:left w:val="single" w:color="000000" w:sz="4" w:space="0"/>
              <w:bottom w:val="single" w:color="000000" w:sz="4" w:space="0"/>
              <w:right w:val="single" w:color="000000" w:sz="4" w:space="0"/>
            </w:tcBorders>
          </w:tcPr>
          <w:p>
            <w:pPr>
              <w:pStyle w:val="55"/>
              <w:spacing w:before="4"/>
              <w:rPr>
                <w:sz w:val="16"/>
                <w:szCs w:val="16"/>
              </w:rPr>
            </w:pPr>
          </w:p>
          <w:p>
            <w:pPr>
              <w:pStyle w:val="55"/>
              <w:jc w:val="center"/>
            </w:pPr>
            <w:r>
              <w:rPr>
                <w:rFonts w:hint="eastAsia"/>
                <w:b/>
                <w:bCs/>
                <w:w w:val="99"/>
              </w:rPr>
              <w:t>名称</w:t>
            </w: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4"/>
              <w:rPr>
                <w:sz w:val="16"/>
                <w:szCs w:val="16"/>
              </w:rPr>
            </w:pPr>
          </w:p>
          <w:p>
            <w:pPr>
              <w:pStyle w:val="55"/>
              <w:ind w:left="926"/>
            </w:pPr>
            <w:r>
              <w:rPr>
                <w:rFonts w:hint="eastAsia"/>
                <w:b/>
                <w:bCs/>
                <w:w w:val="99"/>
              </w:rPr>
              <w:t>依据的标准</w:t>
            </w:r>
          </w:p>
        </w:tc>
      </w:tr>
      <w:tr>
        <w:tblPrEx>
          <w:tblCellMar>
            <w:top w:w="0" w:type="dxa"/>
            <w:left w:w="0" w:type="dxa"/>
            <w:bottom w:w="0" w:type="dxa"/>
            <w:right w:w="0" w:type="dxa"/>
          </w:tblCellMar>
        </w:tblPrEx>
        <w:trPr>
          <w:trHeight w:val="821" w:hRule="exact"/>
        </w:trPr>
        <w:tc>
          <w:tcPr>
            <w:tcW w:w="340"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rPr>
                <w:sz w:val="20"/>
                <w:szCs w:val="20"/>
              </w:rPr>
            </w:pPr>
          </w:p>
          <w:p>
            <w:pPr>
              <w:pStyle w:val="55"/>
              <w:spacing w:before="11"/>
              <w:rPr>
                <w:sz w:val="15"/>
                <w:szCs w:val="15"/>
              </w:rPr>
            </w:pPr>
          </w:p>
          <w:p>
            <w:pPr>
              <w:pStyle w:val="55"/>
              <w:ind w:right="1"/>
              <w:jc w:val="center"/>
              <w:rPr>
                <w:sz w:val="20"/>
                <w:szCs w:val="20"/>
              </w:rPr>
            </w:pPr>
            <w:r>
              <w:rPr>
                <w:rFonts w:hint="eastAsia"/>
                <w:w w:val="99"/>
                <w:sz w:val="20"/>
              </w:rPr>
              <w:t>1</w:t>
            </w:r>
          </w:p>
        </w:tc>
        <w:tc>
          <w:tcPr>
            <w:tcW w:w="692"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spacing w:before="12"/>
              <w:rPr>
                <w:sz w:val="23"/>
                <w:szCs w:val="23"/>
              </w:rPr>
            </w:pPr>
          </w:p>
          <w:p>
            <w:pPr>
              <w:pStyle w:val="55"/>
              <w:ind w:left="7"/>
              <w:rPr>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1计算</w:t>
            </w:r>
          </w:p>
          <w:p>
            <w:pPr>
              <w:pStyle w:val="55"/>
              <w:spacing w:before="50"/>
              <w:ind w:left="7"/>
              <w:rPr>
                <w:sz w:val="20"/>
                <w:szCs w:val="20"/>
              </w:rPr>
            </w:pPr>
            <w:r>
              <w:rPr>
                <w:rFonts w:hint="eastAsia"/>
                <w:w w:val="99"/>
                <w:sz w:val="20"/>
                <w:szCs w:val="20"/>
              </w:rPr>
              <w:t>机设备</w:t>
            </w:r>
          </w:p>
        </w:tc>
        <w:tc>
          <w:tcPr>
            <w:tcW w:w="1068" w:type="pct"/>
            <w:tcBorders>
              <w:top w:val="single" w:color="000000" w:sz="4" w:space="0"/>
              <w:left w:val="single" w:color="000000" w:sz="4" w:space="0"/>
              <w:bottom w:val="single" w:color="000000" w:sz="4" w:space="0"/>
              <w:right w:val="single" w:color="000000" w:sz="4" w:space="0"/>
            </w:tcBorders>
          </w:tcPr>
          <w:p>
            <w:pPr>
              <w:pStyle w:val="55"/>
              <w:spacing w:before="93" w:line="283" w:lineRule="auto"/>
              <w:ind w:left="7" w:right="5"/>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10</w:t>
            </w:r>
            <w:r>
              <w:rPr>
                <w:rFonts w:hint="eastAsia"/>
                <w:spacing w:val="1"/>
                <w:w w:val="99"/>
                <w:sz w:val="20"/>
                <w:szCs w:val="20"/>
              </w:rPr>
              <w:t>1</w:t>
            </w:r>
            <w:r>
              <w:rPr>
                <w:rFonts w:hint="eastAsia"/>
                <w:w w:val="99"/>
                <w:sz w:val="20"/>
                <w:szCs w:val="20"/>
              </w:rPr>
              <w:t>04台式计算机</w:t>
            </w: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93" w:line="283" w:lineRule="auto"/>
              <w:ind w:left="7" w:right="4"/>
              <w:rPr>
                <w:sz w:val="20"/>
                <w:szCs w:val="20"/>
              </w:rPr>
            </w:pPr>
            <w:r>
              <w:rPr>
                <w:rFonts w:hint="eastAsia"/>
                <w:spacing w:val="12"/>
                <w:w w:val="99"/>
                <w:sz w:val="20"/>
                <w:szCs w:val="20"/>
              </w:rPr>
              <w:t>《微型计算机能效限定</w:t>
            </w:r>
            <w:r>
              <w:rPr>
                <w:rFonts w:hint="eastAsia"/>
                <w:spacing w:val="9"/>
                <w:w w:val="99"/>
                <w:sz w:val="20"/>
                <w:szCs w:val="20"/>
              </w:rPr>
              <w:t>值</w:t>
            </w:r>
            <w:r>
              <w:rPr>
                <w:rFonts w:hint="eastAsia"/>
                <w:spacing w:val="12"/>
                <w:w w:val="99"/>
                <w:sz w:val="20"/>
                <w:szCs w:val="20"/>
              </w:rPr>
              <w:t>及能</w:t>
            </w:r>
            <w:r>
              <w:rPr>
                <w:rFonts w:hint="eastAsia"/>
                <w:w w:val="99"/>
                <w:sz w:val="20"/>
                <w:szCs w:val="20"/>
              </w:rPr>
              <w:t>效等级》（</w:t>
            </w:r>
            <w:r>
              <w:rPr>
                <w:rFonts w:hint="eastAsia"/>
                <w:spacing w:val="1"/>
                <w:w w:val="99"/>
                <w:sz w:val="20"/>
                <w:szCs w:val="20"/>
              </w:rPr>
              <w:t>G</w:t>
            </w:r>
            <w:r>
              <w:rPr>
                <w:rFonts w:hint="eastAsia"/>
                <w:w w:val="99"/>
                <w:sz w:val="20"/>
                <w:szCs w:val="20"/>
              </w:rPr>
              <w:t>B</w:t>
            </w:r>
            <w:r>
              <w:rPr>
                <w:rFonts w:hint="eastAsia"/>
                <w:spacing w:val="1"/>
                <w:w w:val="99"/>
                <w:sz w:val="20"/>
                <w:szCs w:val="20"/>
              </w:rPr>
              <w:t>28380</w:t>
            </w:r>
            <w:r>
              <w:rPr>
                <w:rFonts w:hint="eastAsia"/>
                <w:w w:val="99"/>
                <w:sz w:val="20"/>
                <w:szCs w:val="20"/>
              </w:rPr>
              <w:t>）</w:t>
            </w:r>
          </w:p>
        </w:tc>
      </w:tr>
      <w:tr>
        <w:tblPrEx>
          <w:tblCellMar>
            <w:top w:w="0" w:type="dxa"/>
            <w:left w:w="0" w:type="dxa"/>
            <w:bottom w:w="0" w:type="dxa"/>
            <w:right w:w="0" w:type="dxa"/>
          </w:tblCellMar>
        </w:tblPrEx>
        <w:trPr>
          <w:trHeight w:val="727"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068" w:type="pct"/>
            <w:tcBorders>
              <w:top w:val="single" w:color="000000" w:sz="4" w:space="0"/>
              <w:left w:val="single" w:color="000000" w:sz="4" w:space="0"/>
              <w:bottom w:val="single" w:color="000000" w:sz="4" w:space="0"/>
              <w:right w:val="single" w:color="000000" w:sz="4" w:space="0"/>
            </w:tcBorders>
          </w:tcPr>
          <w:p>
            <w:pPr>
              <w:pStyle w:val="55"/>
              <w:spacing w:before="44" w:line="283" w:lineRule="auto"/>
              <w:ind w:left="7" w:right="5"/>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10</w:t>
            </w:r>
            <w:r>
              <w:rPr>
                <w:rFonts w:hint="eastAsia"/>
                <w:spacing w:val="1"/>
                <w:w w:val="99"/>
                <w:sz w:val="20"/>
                <w:szCs w:val="20"/>
              </w:rPr>
              <w:t>1</w:t>
            </w:r>
            <w:r>
              <w:rPr>
                <w:rFonts w:hint="eastAsia"/>
                <w:w w:val="99"/>
                <w:sz w:val="20"/>
                <w:szCs w:val="20"/>
              </w:rPr>
              <w:t>05便携式计算机</w:t>
            </w: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44" w:line="283" w:lineRule="auto"/>
              <w:ind w:left="7" w:right="4"/>
              <w:rPr>
                <w:sz w:val="20"/>
                <w:szCs w:val="20"/>
              </w:rPr>
            </w:pPr>
            <w:r>
              <w:rPr>
                <w:rFonts w:hint="eastAsia"/>
                <w:spacing w:val="12"/>
                <w:w w:val="99"/>
                <w:sz w:val="20"/>
                <w:szCs w:val="20"/>
              </w:rPr>
              <w:t>《微型计算机能效限定</w:t>
            </w:r>
            <w:r>
              <w:rPr>
                <w:rFonts w:hint="eastAsia"/>
                <w:spacing w:val="9"/>
                <w:w w:val="99"/>
                <w:sz w:val="20"/>
                <w:szCs w:val="20"/>
              </w:rPr>
              <w:t>值</w:t>
            </w:r>
            <w:r>
              <w:rPr>
                <w:rFonts w:hint="eastAsia"/>
                <w:spacing w:val="12"/>
                <w:w w:val="99"/>
                <w:sz w:val="20"/>
                <w:szCs w:val="20"/>
              </w:rPr>
              <w:t>及能</w:t>
            </w:r>
            <w:r>
              <w:rPr>
                <w:rFonts w:hint="eastAsia"/>
                <w:w w:val="99"/>
                <w:sz w:val="20"/>
                <w:szCs w:val="20"/>
              </w:rPr>
              <w:t>效等级》（</w:t>
            </w:r>
            <w:r>
              <w:rPr>
                <w:rFonts w:hint="eastAsia"/>
                <w:spacing w:val="1"/>
                <w:w w:val="99"/>
                <w:sz w:val="20"/>
                <w:szCs w:val="20"/>
              </w:rPr>
              <w:t>G</w:t>
            </w:r>
            <w:r>
              <w:rPr>
                <w:rFonts w:hint="eastAsia"/>
                <w:w w:val="99"/>
                <w:sz w:val="20"/>
                <w:szCs w:val="20"/>
              </w:rPr>
              <w:t>B</w:t>
            </w:r>
            <w:r>
              <w:rPr>
                <w:rFonts w:hint="eastAsia"/>
                <w:spacing w:val="1"/>
                <w:w w:val="99"/>
                <w:sz w:val="20"/>
                <w:szCs w:val="20"/>
              </w:rPr>
              <w:t>28380</w:t>
            </w:r>
            <w:r>
              <w:rPr>
                <w:rFonts w:hint="eastAsia"/>
                <w:w w:val="99"/>
                <w:sz w:val="20"/>
                <w:szCs w:val="20"/>
              </w:rPr>
              <w:t>）</w:t>
            </w:r>
          </w:p>
        </w:tc>
      </w:tr>
      <w:tr>
        <w:tblPrEx>
          <w:tblCellMar>
            <w:top w:w="0" w:type="dxa"/>
            <w:left w:w="0" w:type="dxa"/>
            <w:bottom w:w="0" w:type="dxa"/>
            <w:right w:w="0" w:type="dxa"/>
          </w:tblCellMar>
        </w:tblPrEx>
        <w:trPr>
          <w:trHeight w:val="763"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068" w:type="pct"/>
            <w:tcBorders>
              <w:top w:val="single" w:color="000000" w:sz="4" w:space="0"/>
              <w:left w:val="single" w:color="000000" w:sz="4" w:space="0"/>
              <w:bottom w:val="single" w:color="000000" w:sz="4" w:space="0"/>
              <w:right w:val="single" w:color="000000" w:sz="4" w:space="0"/>
            </w:tcBorders>
          </w:tcPr>
          <w:p>
            <w:pPr>
              <w:pStyle w:val="55"/>
              <w:spacing w:before="64" w:line="283" w:lineRule="auto"/>
              <w:ind w:left="7" w:right="5"/>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10</w:t>
            </w:r>
            <w:r>
              <w:rPr>
                <w:rFonts w:hint="eastAsia"/>
                <w:spacing w:val="1"/>
                <w:w w:val="99"/>
                <w:sz w:val="20"/>
                <w:szCs w:val="20"/>
              </w:rPr>
              <w:t>1</w:t>
            </w:r>
            <w:r>
              <w:rPr>
                <w:rFonts w:hint="eastAsia"/>
                <w:w w:val="99"/>
                <w:sz w:val="20"/>
                <w:szCs w:val="20"/>
              </w:rPr>
              <w:t>07平板式微型计</w:t>
            </w:r>
            <w:r>
              <w:rPr>
                <w:rFonts w:hint="eastAsia"/>
                <w:spacing w:val="2"/>
                <w:w w:val="99"/>
                <w:sz w:val="20"/>
                <w:szCs w:val="20"/>
              </w:rPr>
              <w:t>算</w:t>
            </w:r>
            <w:r>
              <w:rPr>
                <w:rFonts w:hint="eastAsia"/>
                <w:w w:val="99"/>
                <w:sz w:val="20"/>
                <w:szCs w:val="20"/>
              </w:rPr>
              <w:t>机</w:t>
            </w: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64" w:line="283" w:lineRule="auto"/>
              <w:ind w:left="7" w:right="4"/>
              <w:rPr>
                <w:sz w:val="20"/>
                <w:szCs w:val="20"/>
              </w:rPr>
            </w:pPr>
            <w:r>
              <w:rPr>
                <w:rFonts w:hint="eastAsia"/>
                <w:spacing w:val="12"/>
                <w:w w:val="99"/>
                <w:sz w:val="20"/>
                <w:szCs w:val="20"/>
              </w:rPr>
              <w:t>《微型计算机能效限定</w:t>
            </w:r>
            <w:r>
              <w:rPr>
                <w:rFonts w:hint="eastAsia"/>
                <w:spacing w:val="9"/>
                <w:w w:val="99"/>
                <w:sz w:val="20"/>
                <w:szCs w:val="20"/>
              </w:rPr>
              <w:t>值</w:t>
            </w:r>
            <w:r>
              <w:rPr>
                <w:rFonts w:hint="eastAsia"/>
                <w:spacing w:val="12"/>
                <w:w w:val="99"/>
                <w:sz w:val="20"/>
                <w:szCs w:val="20"/>
              </w:rPr>
              <w:t>及能</w:t>
            </w:r>
            <w:r>
              <w:rPr>
                <w:rFonts w:hint="eastAsia"/>
                <w:w w:val="99"/>
                <w:sz w:val="20"/>
                <w:szCs w:val="20"/>
              </w:rPr>
              <w:t>效等级》（</w:t>
            </w:r>
            <w:r>
              <w:rPr>
                <w:rFonts w:hint="eastAsia"/>
                <w:spacing w:val="1"/>
                <w:w w:val="99"/>
                <w:sz w:val="20"/>
                <w:szCs w:val="20"/>
              </w:rPr>
              <w:t>G</w:t>
            </w:r>
            <w:r>
              <w:rPr>
                <w:rFonts w:hint="eastAsia"/>
                <w:w w:val="99"/>
                <w:sz w:val="20"/>
                <w:szCs w:val="20"/>
              </w:rPr>
              <w:t>B</w:t>
            </w:r>
            <w:r>
              <w:rPr>
                <w:rFonts w:hint="eastAsia"/>
                <w:spacing w:val="1"/>
                <w:w w:val="99"/>
                <w:sz w:val="20"/>
                <w:szCs w:val="20"/>
              </w:rPr>
              <w:t>28380</w:t>
            </w:r>
            <w:r>
              <w:rPr>
                <w:rFonts w:hint="eastAsia"/>
                <w:w w:val="99"/>
                <w:sz w:val="20"/>
                <w:szCs w:val="20"/>
              </w:rPr>
              <w:t>）</w:t>
            </w:r>
          </w:p>
        </w:tc>
      </w:tr>
      <w:tr>
        <w:tblPrEx>
          <w:tblCellMar>
            <w:top w:w="0" w:type="dxa"/>
            <w:left w:w="0" w:type="dxa"/>
            <w:bottom w:w="0" w:type="dxa"/>
            <w:right w:w="0" w:type="dxa"/>
          </w:tblCellMar>
        </w:tblPrEx>
        <w:trPr>
          <w:trHeight w:val="742" w:hRule="exact"/>
        </w:trPr>
        <w:tc>
          <w:tcPr>
            <w:tcW w:w="340"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spacing w:before="2"/>
              <w:rPr>
                <w:sz w:val="14"/>
                <w:szCs w:val="14"/>
              </w:rPr>
            </w:pPr>
          </w:p>
          <w:p>
            <w:pPr>
              <w:pStyle w:val="55"/>
              <w:ind w:right="1"/>
              <w:jc w:val="center"/>
              <w:rPr>
                <w:sz w:val="20"/>
                <w:szCs w:val="20"/>
              </w:rPr>
            </w:pPr>
            <w:r>
              <w:rPr>
                <w:rFonts w:hint="eastAsia"/>
                <w:w w:val="99"/>
                <w:sz w:val="20"/>
              </w:rPr>
              <w:t>2</w:t>
            </w:r>
          </w:p>
        </w:tc>
        <w:tc>
          <w:tcPr>
            <w:tcW w:w="692"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spacing w:before="3"/>
            </w:pPr>
          </w:p>
          <w:p>
            <w:pPr>
              <w:pStyle w:val="55"/>
              <w:ind w:left="7"/>
              <w:rPr>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6输入</w:t>
            </w:r>
          </w:p>
          <w:p>
            <w:pPr>
              <w:pStyle w:val="55"/>
              <w:spacing w:before="50"/>
              <w:ind w:left="7"/>
              <w:rPr>
                <w:sz w:val="20"/>
                <w:szCs w:val="20"/>
              </w:rPr>
            </w:pPr>
            <w:r>
              <w:rPr>
                <w:rFonts w:hint="eastAsia"/>
                <w:w w:val="99"/>
                <w:sz w:val="20"/>
                <w:szCs w:val="20"/>
              </w:rPr>
              <w:t>输出设备</w:t>
            </w:r>
          </w:p>
        </w:tc>
        <w:tc>
          <w:tcPr>
            <w:tcW w:w="1068"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rPr>
                <w:sz w:val="20"/>
                <w:szCs w:val="20"/>
              </w:rPr>
            </w:pPr>
          </w:p>
          <w:p>
            <w:pPr>
              <w:pStyle w:val="55"/>
              <w:spacing w:before="164"/>
              <w:ind w:left="7"/>
              <w:rPr>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601打印设备</w:t>
            </w:r>
          </w:p>
        </w:tc>
        <w:tc>
          <w:tcPr>
            <w:tcW w:w="1137" w:type="pct"/>
            <w:tcBorders>
              <w:top w:val="single" w:color="000000" w:sz="4" w:space="0"/>
              <w:left w:val="single" w:color="000000" w:sz="4" w:space="0"/>
              <w:bottom w:val="single" w:color="000000" w:sz="4" w:space="0"/>
              <w:right w:val="single" w:color="000000" w:sz="4" w:space="0"/>
            </w:tcBorders>
          </w:tcPr>
          <w:p>
            <w:pPr>
              <w:pStyle w:val="55"/>
              <w:spacing w:before="52"/>
              <w:ind w:left="7"/>
              <w:rPr>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10</w:t>
            </w:r>
            <w:r>
              <w:rPr>
                <w:rFonts w:hint="eastAsia"/>
                <w:w w:val="99"/>
                <w:sz w:val="20"/>
                <w:szCs w:val="20"/>
              </w:rPr>
              <w:t>1喷墨打</w:t>
            </w:r>
          </w:p>
          <w:p>
            <w:pPr>
              <w:pStyle w:val="55"/>
              <w:spacing w:before="50"/>
              <w:ind w:left="7"/>
              <w:rPr>
                <w:sz w:val="20"/>
                <w:szCs w:val="20"/>
              </w:rPr>
            </w:pPr>
            <w:r>
              <w:rPr>
                <w:rFonts w:hint="eastAsia"/>
                <w:w w:val="99"/>
                <w:sz w:val="20"/>
                <w:szCs w:val="20"/>
              </w:rPr>
              <w:t>印机</w:t>
            </w: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52" w:line="283" w:lineRule="auto"/>
              <w:ind w:left="7" w:right="7"/>
              <w:rPr>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tblPrEx>
          <w:tblCellMar>
            <w:top w:w="0" w:type="dxa"/>
            <w:left w:w="0" w:type="dxa"/>
            <w:bottom w:w="0" w:type="dxa"/>
            <w:right w:w="0" w:type="dxa"/>
          </w:tblCellMar>
        </w:tblPrEx>
        <w:trPr>
          <w:trHeight w:val="742"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068"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137" w:type="pct"/>
            <w:tcBorders>
              <w:top w:val="single" w:color="000000" w:sz="4" w:space="0"/>
              <w:left w:val="single" w:color="000000" w:sz="4" w:space="0"/>
              <w:bottom w:val="single" w:color="000000" w:sz="4" w:space="0"/>
              <w:right w:val="single" w:color="000000" w:sz="4" w:space="0"/>
            </w:tcBorders>
          </w:tcPr>
          <w:p>
            <w:pPr>
              <w:pStyle w:val="55"/>
              <w:spacing w:before="52"/>
              <w:ind w:left="7"/>
              <w:rPr>
                <w:sz w:val="20"/>
                <w:szCs w:val="20"/>
              </w:rPr>
            </w:pPr>
            <w:r>
              <w:rPr>
                <w:rFonts w:hint="eastAsia"/>
                <w:w w:val="99"/>
                <w:sz w:val="20"/>
                <w:szCs w:val="20"/>
              </w:rPr>
              <w:t>★</w:t>
            </w: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1</w:t>
            </w:r>
            <w:r>
              <w:rPr>
                <w:rFonts w:hint="eastAsia"/>
                <w:w w:val="99"/>
                <w:sz w:val="20"/>
                <w:szCs w:val="20"/>
              </w:rPr>
              <w:t>02激光</w:t>
            </w:r>
          </w:p>
          <w:p>
            <w:pPr>
              <w:pStyle w:val="55"/>
              <w:spacing w:before="50"/>
              <w:ind w:left="7"/>
              <w:rPr>
                <w:sz w:val="20"/>
                <w:szCs w:val="20"/>
              </w:rPr>
            </w:pPr>
            <w:r>
              <w:rPr>
                <w:rFonts w:hint="eastAsia"/>
                <w:w w:val="99"/>
                <w:sz w:val="20"/>
                <w:szCs w:val="20"/>
              </w:rPr>
              <w:t>打印机</w:t>
            </w: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52" w:line="283" w:lineRule="auto"/>
              <w:ind w:left="7" w:right="7"/>
              <w:rPr>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tblPrEx>
          <w:tblCellMar>
            <w:top w:w="0" w:type="dxa"/>
            <w:left w:w="0" w:type="dxa"/>
            <w:bottom w:w="0" w:type="dxa"/>
            <w:right w:w="0" w:type="dxa"/>
          </w:tblCellMar>
        </w:tblPrEx>
        <w:trPr>
          <w:trHeight w:val="742"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068"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137" w:type="pct"/>
            <w:tcBorders>
              <w:top w:val="single" w:color="000000" w:sz="4" w:space="0"/>
              <w:left w:val="single" w:color="000000" w:sz="4" w:space="0"/>
              <w:bottom w:val="single" w:color="000000" w:sz="4" w:space="0"/>
              <w:right w:val="single" w:color="000000" w:sz="4" w:space="0"/>
            </w:tcBorders>
          </w:tcPr>
          <w:p>
            <w:pPr>
              <w:pStyle w:val="55"/>
              <w:spacing w:before="52"/>
              <w:ind w:left="7"/>
              <w:rPr>
                <w:sz w:val="20"/>
                <w:szCs w:val="20"/>
              </w:rPr>
            </w:pPr>
            <w:r>
              <w:rPr>
                <w:rFonts w:hint="eastAsia"/>
                <w:w w:val="99"/>
                <w:sz w:val="20"/>
                <w:szCs w:val="20"/>
              </w:rPr>
              <w:t>★</w:t>
            </w: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1</w:t>
            </w:r>
            <w:r>
              <w:rPr>
                <w:rFonts w:hint="eastAsia"/>
                <w:w w:val="99"/>
                <w:sz w:val="20"/>
                <w:szCs w:val="20"/>
              </w:rPr>
              <w:t>04针式</w:t>
            </w:r>
          </w:p>
          <w:p>
            <w:pPr>
              <w:pStyle w:val="55"/>
              <w:spacing w:before="50"/>
              <w:ind w:left="7"/>
              <w:rPr>
                <w:sz w:val="20"/>
                <w:szCs w:val="20"/>
              </w:rPr>
            </w:pPr>
            <w:r>
              <w:rPr>
                <w:rFonts w:hint="eastAsia"/>
                <w:w w:val="99"/>
                <w:sz w:val="20"/>
                <w:szCs w:val="20"/>
              </w:rPr>
              <w:t>打印机</w:t>
            </w: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52" w:line="283" w:lineRule="auto"/>
              <w:ind w:left="7" w:right="7"/>
              <w:rPr>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tblPrEx>
          <w:tblCellMar>
            <w:top w:w="0" w:type="dxa"/>
            <w:left w:w="0" w:type="dxa"/>
            <w:bottom w:w="0" w:type="dxa"/>
            <w:right w:w="0" w:type="dxa"/>
          </w:tblCellMar>
        </w:tblPrEx>
        <w:trPr>
          <w:trHeight w:val="773"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068" w:type="pct"/>
            <w:tcBorders>
              <w:top w:val="single" w:color="000000" w:sz="4" w:space="0"/>
              <w:left w:val="single" w:color="000000" w:sz="4" w:space="0"/>
              <w:bottom w:val="single" w:color="000000" w:sz="4" w:space="0"/>
              <w:right w:val="single" w:color="000000" w:sz="4" w:space="0"/>
            </w:tcBorders>
          </w:tcPr>
          <w:p>
            <w:pPr>
              <w:pStyle w:val="55"/>
              <w:spacing w:before="2"/>
              <w:rPr>
                <w:sz w:val="17"/>
                <w:szCs w:val="17"/>
              </w:rPr>
            </w:pPr>
          </w:p>
          <w:p>
            <w:pPr>
              <w:pStyle w:val="55"/>
              <w:ind w:left="7"/>
              <w:rPr>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604显示设备</w:t>
            </w:r>
          </w:p>
        </w:tc>
        <w:tc>
          <w:tcPr>
            <w:tcW w:w="1137" w:type="pct"/>
            <w:tcBorders>
              <w:top w:val="single" w:color="000000" w:sz="4" w:space="0"/>
              <w:left w:val="single" w:color="000000" w:sz="4" w:space="0"/>
              <w:bottom w:val="single" w:color="000000" w:sz="4" w:space="0"/>
              <w:right w:val="single" w:color="000000" w:sz="4" w:space="0"/>
            </w:tcBorders>
          </w:tcPr>
          <w:p>
            <w:pPr>
              <w:pStyle w:val="55"/>
              <w:spacing w:before="68"/>
              <w:ind w:left="7"/>
              <w:rPr>
                <w:sz w:val="20"/>
                <w:szCs w:val="20"/>
              </w:rPr>
            </w:pPr>
            <w:r>
              <w:rPr>
                <w:rFonts w:hint="eastAsia"/>
                <w:w w:val="99"/>
                <w:sz w:val="20"/>
                <w:szCs w:val="20"/>
              </w:rPr>
              <w:t>★</w:t>
            </w: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4</w:t>
            </w:r>
            <w:r>
              <w:rPr>
                <w:rFonts w:hint="eastAsia"/>
                <w:w w:val="99"/>
                <w:sz w:val="20"/>
                <w:szCs w:val="20"/>
              </w:rPr>
              <w:t>01液晶</w:t>
            </w:r>
          </w:p>
          <w:p>
            <w:pPr>
              <w:pStyle w:val="55"/>
              <w:spacing w:before="50"/>
              <w:ind w:left="7"/>
              <w:rPr>
                <w:sz w:val="20"/>
                <w:szCs w:val="20"/>
              </w:rPr>
            </w:pPr>
            <w:r>
              <w:rPr>
                <w:rFonts w:hint="eastAsia"/>
                <w:w w:val="99"/>
                <w:sz w:val="20"/>
                <w:szCs w:val="20"/>
              </w:rPr>
              <w:t>显示器</w:t>
            </w: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68" w:line="283" w:lineRule="auto"/>
              <w:ind w:left="7" w:right="4"/>
              <w:rPr>
                <w:sz w:val="20"/>
                <w:szCs w:val="20"/>
              </w:rPr>
            </w:pPr>
            <w:r>
              <w:rPr>
                <w:rFonts w:hint="eastAsia"/>
                <w:spacing w:val="12"/>
                <w:w w:val="99"/>
                <w:sz w:val="20"/>
                <w:szCs w:val="20"/>
              </w:rPr>
              <w:t>《计算机显示器能效限</w:t>
            </w:r>
            <w:r>
              <w:rPr>
                <w:rFonts w:hint="eastAsia"/>
                <w:spacing w:val="9"/>
                <w:w w:val="99"/>
                <w:sz w:val="20"/>
                <w:szCs w:val="20"/>
              </w:rPr>
              <w:t>定</w:t>
            </w:r>
            <w:r>
              <w:rPr>
                <w:rFonts w:hint="eastAsia"/>
                <w:spacing w:val="12"/>
                <w:w w:val="99"/>
                <w:sz w:val="20"/>
                <w:szCs w:val="20"/>
              </w:rPr>
              <w:t>值及</w:t>
            </w:r>
            <w:r>
              <w:rPr>
                <w:rFonts w:hint="eastAsia"/>
                <w:w w:val="99"/>
                <w:sz w:val="20"/>
                <w:szCs w:val="20"/>
              </w:rPr>
              <w:t>能效等级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0</w:t>
            </w:r>
            <w:r>
              <w:rPr>
                <w:rFonts w:hint="eastAsia"/>
                <w:w w:val="99"/>
                <w:sz w:val="20"/>
                <w:szCs w:val="20"/>
              </w:rPr>
              <w:t>）</w:t>
            </w:r>
          </w:p>
        </w:tc>
      </w:tr>
      <w:tr>
        <w:tblPrEx>
          <w:tblCellMar>
            <w:top w:w="0" w:type="dxa"/>
            <w:left w:w="0" w:type="dxa"/>
            <w:bottom w:w="0" w:type="dxa"/>
            <w:right w:w="0" w:type="dxa"/>
          </w:tblCellMar>
        </w:tblPrEx>
        <w:trPr>
          <w:trHeight w:val="1361"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068" w:type="pct"/>
            <w:tcBorders>
              <w:top w:val="single" w:color="000000" w:sz="4" w:space="0"/>
              <w:left w:val="single" w:color="000000" w:sz="4" w:space="0"/>
              <w:bottom w:val="single" w:color="000000" w:sz="4" w:space="0"/>
              <w:right w:val="single" w:color="000000" w:sz="4" w:space="0"/>
            </w:tcBorders>
          </w:tcPr>
          <w:p>
            <w:pPr>
              <w:pStyle w:val="55"/>
              <w:spacing w:before="8"/>
              <w:rPr>
                <w:sz w:val="27"/>
                <w:szCs w:val="27"/>
              </w:rPr>
            </w:pPr>
          </w:p>
          <w:p>
            <w:pPr>
              <w:pStyle w:val="55"/>
              <w:spacing w:line="283" w:lineRule="auto"/>
              <w:ind w:left="7" w:right="5"/>
              <w:rPr>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609图形图像输入设备</w:t>
            </w:r>
          </w:p>
        </w:tc>
        <w:tc>
          <w:tcPr>
            <w:tcW w:w="1137" w:type="pc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spacing w:before="7"/>
              <w:rPr>
                <w:sz w:val="19"/>
                <w:szCs w:val="19"/>
              </w:rPr>
            </w:pPr>
          </w:p>
          <w:p>
            <w:pPr>
              <w:pStyle w:val="55"/>
              <w:ind w:left="7"/>
              <w:rPr>
                <w:sz w:val="20"/>
                <w:szCs w:val="20"/>
              </w:rPr>
            </w:pPr>
            <w:r>
              <w:rPr>
                <w:rFonts w:hint="eastAsia"/>
                <w:spacing w:val="1"/>
                <w:w w:val="99"/>
                <w:sz w:val="20"/>
                <w:szCs w:val="20"/>
              </w:rPr>
              <w:t>A02</w:t>
            </w:r>
            <w:r>
              <w:rPr>
                <w:rFonts w:hint="eastAsia"/>
                <w:w w:val="99"/>
                <w:sz w:val="20"/>
                <w:szCs w:val="20"/>
              </w:rPr>
              <w:t>01</w:t>
            </w:r>
            <w:r>
              <w:rPr>
                <w:rFonts w:hint="eastAsia"/>
                <w:spacing w:val="1"/>
                <w:w w:val="99"/>
                <w:sz w:val="20"/>
                <w:szCs w:val="20"/>
              </w:rPr>
              <w:t>0</w:t>
            </w:r>
            <w:r>
              <w:rPr>
                <w:rFonts w:hint="eastAsia"/>
                <w:w w:val="99"/>
                <w:sz w:val="20"/>
                <w:szCs w:val="20"/>
              </w:rPr>
              <w:t>60</w:t>
            </w:r>
            <w:r>
              <w:rPr>
                <w:rFonts w:hint="eastAsia"/>
                <w:spacing w:val="1"/>
                <w:w w:val="99"/>
                <w:sz w:val="20"/>
                <w:szCs w:val="20"/>
              </w:rPr>
              <w:t>9</w:t>
            </w:r>
            <w:r>
              <w:rPr>
                <w:rFonts w:hint="eastAsia"/>
                <w:w w:val="99"/>
                <w:sz w:val="20"/>
                <w:szCs w:val="20"/>
              </w:rPr>
              <w:t>01扫描仪</w:t>
            </w: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49" w:line="283" w:lineRule="auto"/>
              <w:ind w:left="7" w:right="7"/>
              <w:rPr>
                <w:sz w:val="20"/>
                <w:szCs w:val="20"/>
              </w:rPr>
            </w:pPr>
            <w:r>
              <w:rPr>
                <w:rFonts w:hint="eastAsia"/>
                <w:w w:val="99"/>
                <w:sz w:val="20"/>
                <w:szCs w:val="20"/>
              </w:rPr>
              <w:t>参</w:t>
            </w:r>
            <w:r>
              <w:rPr>
                <w:rFonts w:hint="eastAsia"/>
                <w:spacing w:val="-29"/>
                <w:w w:val="99"/>
                <w:sz w:val="20"/>
                <w:szCs w:val="20"/>
              </w:rPr>
              <w:t>照</w:t>
            </w:r>
            <w:r>
              <w:rPr>
                <w:rFonts w:hint="eastAsia"/>
                <w:w w:val="99"/>
                <w:sz w:val="20"/>
                <w:szCs w:val="20"/>
              </w:rPr>
              <w:t>《</w:t>
            </w:r>
            <w:r>
              <w:rPr>
                <w:rFonts w:hint="eastAsia"/>
                <w:spacing w:val="2"/>
                <w:w w:val="99"/>
                <w:sz w:val="20"/>
                <w:szCs w:val="20"/>
              </w:rPr>
              <w:t>复</w:t>
            </w:r>
            <w:r>
              <w:rPr>
                <w:rFonts w:hint="eastAsia"/>
                <w:w w:val="99"/>
                <w:sz w:val="20"/>
                <w:szCs w:val="20"/>
              </w:rPr>
              <w:t>印</w:t>
            </w:r>
            <w:r>
              <w:rPr>
                <w:rFonts w:hint="eastAsia"/>
                <w:spacing w:val="2"/>
                <w:w w:val="99"/>
                <w:sz w:val="20"/>
                <w:szCs w:val="20"/>
              </w:rPr>
              <w:t>机</w:t>
            </w:r>
            <w:r>
              <w:rPr>
                <w:rFonts w:hint="eastAsia"/>
                <w:spacing w:val="-29"/>
                <w:w w:val="99"/>
                <w:sz w:val="20"/>
                <w:szCs w:val="20"/>
              </w:rPr>
              <w:t>、</w:t>
            </w:r>
            <w:r>
              <w:rPr>
                <w:rFonts w:hint="eastAsia"/>
                <w:w w:val="99"/>
                <w:sz w:val="20"/>
                <w:szCs w:val="20"/>
              </w:rPr>
              <w:t>打</w:t>
            </w:r>
            <w:r>
              <w:rPr>
                <w:rFonts w:hint="eastAsia"/>
                <w:spacing w:val="2"/>
                <w:w w:val="99"/>
                <w:sz w:val="20"/>
                <w:szCs w:val="20"/>
              </w:rPr>
              <w:t>印</w:t>
            </w:r>
            <w:r>
              <w:rPr>
                <w:rFonts w:hint="eastAsia"/>
                <w:w w:val="99"/>
                <w:sz w:val="20"/>
                <w:szCs w:val="20"/>
              </w:rPr>
              <w:t>机和</w:t>
            </w:r>
            <w:r>
              <w:rPr>
                <w:rFonts w:hint="eastAsia"/>
                <w:spacing w:val="2"/>
                <w:w w:val="99"/>
                <w:sz w:val="20"/>
                <w:szCs w:val="20"/>
              </w:rPr>
              <w:t>传</w:t>
            </w:r>
            <w:r>
              <w:rPr>
                <w:rFonts w:hint="eastAsia"/>
                <w:w w:val="99"/>
                <w:sz w:val="20"/>
                <w:szCs w:val="20"/>
              </w:rPr>
              <w:t>真机能效限定</w:t>
            </w:r>
            <w:r>
              <w:rPr>
                <w:rFonts w:hint="eastAsia"/>
                <w:spacing w:val="2"/>
                <w:w w:val="99"/>
                <w:sz w:val="20"/>
                <w:szCs w:val="20"/>
              </w:rPr>
              <w:t>值</w:t>
            </w:r>
            <w:r>
              <w:rPr>
                <w:rFonts w:hint="eastAsia"/>
                <w:w w:val="99"/>
                <w:sz w:val="20"/>
                <w:szCs w:val="20"/>
              </w:rPr>
              <w:t>及能</w:t>
            </w:r>
            <w:r>
              <w:rPr>
                <w:rFonts w:hint="eastAsia"/>
                <w:spacing w:val="2"/>
                <w:w w:val="99"/>
                <w:sz w:val="20"/>
                <w:szCs w:val="20"/>
              </w:rPr>
              <w:t>效</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2152</w:t>
            </w:r>
            <w:r>
              <w:rPr>
                <w:rFonts w:hint="eastAsia"/>
                <w:w w:val="99"/>
                <w:sz w:val="20"/>
                <w:szCs w:val="20"/>
              </w:rPr>
              <w:t>1</w:t>
            </w:r>
          </w:p>
          <w:p>
            <w:pPr>
              <w:pStyle w:val="55"/>
              <w:spacing w:before="12" w:line="283" w:lineRule="auto"/>
              <w:ind w:left="7" w:right="5"/>
              <w:rPr>
                <w:sz w:val="20"/>
                <w:szCs w:val="20"/>
              </w:rPr>
            </w:pPr>
            <w:r>
              <w:rPr>
                <w:rFonts w:hint="eastAsia"/>
                <w:spacing w:val="2"/>
                <w:w w:val="99"/>
                <w:sz w:val="20"/>
                <w:szCs w:val="20"/>
              </w:rPr>
              <w:t>中</w:t>
            </w:r>
            <w:r>
              <w:rPr>
                <w:rFonts w:hint="eastAsia"/>
                <w:spacing w:val="4"/>
                <w:w w:val="99"/>
                <w:sz w:val="20"/>
                <w:szCs w:val="20"/>
              </w:rPr>
              <w:t>打印速</w:t>
            </w:r>
            <w:r>
              <w:rPr>
                <w:rFonts w:hint="eastAsia"/>
                <w:spacing w:val="2"/>
                <w:w w:val="99"/>
                <w:sz w:val="20"/>
                <w:szCs w:val="20"/>
              </w:rPr>
              <w:t>度</w:t>
            </w:r>
            <w:r>
              <w:rPr>
                <w:rFonts w:hint="eastAsia"/>
                <w:w w:val="99"/>
                <w:sz w:val="20"/>
                <w:szCs w:val="20"/>
              </w:rPr>
              <w:t>为</w:t>
            </w:r>
            <w:r>
              <w:rPr>
                <w:rFonts w:hint="eastAsia"/>
                <w:spacing w:val="1"/>
                <w:w w:val="99"/>
                <w:sz w:val="20"/>
                <w:szCs w:val="20"/>
              </w:rPr>
              <w:t>1</w:t>
            </w:r>
            <w:r>
              <w:rPr>
                <w:rFonts w:hint="eastAsia"/>
                <w:w w:val="99"/>
                <w:sz w:val="20"/>
                <w:szCs w:val="20"/>
              </w:rPr>
              <w:t>5</w:t>
            </w:r>
            <w:r>
              <w:rPr>
                <w:rFonts w:hint="eastAsia"/>
                <w:spacing w:val="2"/>
                <w:w w:val="99"/>
                <w:sz w:val="20"/>
                <w:szCs w:val="20"/>
              </w:rPr>
              <w:t>页</w:t>
            </w:r>
            <w:r>
              <w:rPr>
                <w:rFonts w:hint="eastAsia"/>
                <w:spacing w:val="5"/>
                <w:w w:val="99"/>
                <w:sz w:val="20"/>
                <w:szCs w:val="20"/>
              </w:rPr>
              <w:t>/</w:t>
            </w:r>
            <w:r>
              <w:rPr>
                <w:rFonts w:hint="eastAsia"/>
                <w:spacing w:val="4"/>
                <w:w w:val="99"/>
                <w:sz w:val="20"/>
                <w:szCs w:val="20"/>
              </w:rPr>
              <w:t>分的</w:t>
            </w:r>
            <w:r>
              <w:rPr>
                <w:rFonts w:hint="eastAsia"/>
                <w:spacing w:val="2"/>
                <w:w w:val="99"/>
                <w:sz w:val="20"/>
                <w:szCs w:val="20"/>
              </w:rPr>
              <w:t>针</w:t>
            </w:r>
            <w:r>
              <w:rPr>
                <w:rFonts w:hint="eastAsia"/>
                <w:spacing w:val="4"/>
                <w:w w:val="99"/>
                <w:sz w:val="20"/>
                <w:szCs w:val="20"/>
              </w:rPr>
              <w:t>式</w:t>
            </w:r>
            <w:r>
              <w:rPr>
                <w:rFonts w:hint="eastAsia"/>
                <w:w w:val="99"/>
                <w:sz w:val="20"/>
                <w:szCs w:val="20"/>
              </w:rPr>
              <w:t>打印机相</w:t>
            </w:r>
            <w:r>
              <w:rPr>
                <w:rFonts w:hint="eastAsia"/>
                <w:spacing w:val="2"/>
                <w:w w:val="99"/>
                <w:sz w:val="20"/>
                <w:szCs w:val="20"/>
              </w:rPr>
              <w:t>关</w:t>
            </w:r>
            <w:r>
              <w:rPr>
                <w:rFonts w:hint="eastAsia"/>
                <w:w w:val="99"/>
                <w:sz w:val="20"/>
                <w:szCs w:val="20"/>
              </w:rPr>
              <w:t>要求</w:t>
            </w:r>
          </w:p>
        </w:tc>
      </w:tr>
      <w:tr>
        <w:tblPrEx>
          <w:tblCellMar>
            <w:top w:w="0" w:type="dxa"/>
            <w:left w:w="0" w:type="dxa"/>
            <w:bottom w:w="0" w:type="dxa"/>
            <w:right w:w="0" w:type="dxa"/>
          </w:tblCellMar>
        </w:tblPrEx>
        <w:trPr>
          <w:trHeight w:val="684" w:hRule="exact"/>
        </w:trPr>
        <w:tc>
          <w:tcPr>
            <w:tcW w:w="340" w:type="pct"/>
            <w:tcBorders>
              <w:top w:val="single" w:color="000000" w:sz="4" w:space="0"/>
              <w:left w:val="single" w:color="000000" w:sz="4" w:space="0"/>
              <w:bottom w:val="single" w:color="000000" w:sz="4" w:space="0"/>
              <w:right w:val="single" w:color="000000" w:sz="4" w:space="0"/>
            </w:tcBorders>
          </w:tcPr>
          <w:p>
            <w:pPr>
              <w:pStyle w:val="55"/>
              <w:spacing w:before="179"/>
              <w:ind w:right="1"/>
              <w:jc w:val="center"/>
              <w:rPr>
                <w:sz w:val="20"/>
                <w:szCs w:val="20"/>
              </w:rPr>
            </w:pPr>
            <w:r>
              <w:rPr>
                <w:rFonts w:hint="eastAsia"/>
                <w:w w:val="99"/>
                <w:sz w:val="20"/>
              </w:rPr>
              <w:t>3</w:t>
            </w:r>
          </w:p>
        </w:tc>
        <w:tc>
          <w:tcPr>
            <w:tcW w:w="692" w:type="pct"/>
            <w:tcBorders>
              <w:top w:val="single" w:color="000000" w:sz="4" w:space="0"/>
              <w:left w:val="single" w:color="000000" w:sz="4" w:space="0"/>
              <w:bottom w:val="single" w:color="000000" w:sz="4" w:space="0"/>
              <w:right w:val="single" w:color="000000" w:sz="4" w:space="0"/>
            </w:tcBorders>
          </w:tcPr>
          <w:p>
            <w:pPr>
              <w:pStyle w:val="55"/>
              <w:spacing w:before="23"/>
              <w:ind w:left="7"/>
              <w:rPr>
                <w:sz w:val="20"/>
                <w:szCs w:val="20"/>
              </w:rPr>
            </w:pPr>
            <w:r>
              <w:rPr>
                <w:rFonts w:hint="eastAsia"/>
                <w:spacing w:val="1"/>
                <w:w w:val="99"/>
                <w:sz w:val="20"/>
                <w:szCs w:val="20"/>
              </w:rPr>
              <w:t>A02</w:t>
            </w:r>
            <w:r>
              <w:rPr>
                <w:rFonts w:hint="eastAsia"/>
                <w:w w:val="99"/>
                <w:sz w:val="20"/>
                <w:szCs w:val="20"/>
              </w:rPr>
              <w:t>02</w:t>
            </w:r>
            <w:r>
              <w:rPr>
                <w:rFonts w:hint="eastAsia"/>
                <w:spacing w:val="1"/>
                <w:w w:val="99"/>
                <w:sz w:val="20"/>
                <w:szCs w:val="20"/>
              </w:rPr>
              <w:t>0</w:t>
            </w:r>
            <w:r>
              <w:rPr>
                <w:rFonts w:hint="eastAsia"/>
                <w:w w:val="99"/>
                <w:sz w:val="20"/>
                <w:szCs w:val="20"/>
              </w:rPr>
              <w:t>2投影</w:t>
            </w:r>
          </w:p>
          <w:p>
            <w:pPr>
              <w:pStyle w:val="55"/>
              <w:spacing w:before="50"/>
              <w:ind w:left="7"/>
              <w:rPr>
                <w:sz w:val="20"/>
                <w:szCs w:val="20"/>
              </w:rPr>
            </w:pPr>
            <w:r>
              <w:rPr>
                <w:rFonts w:hint="eastAsia"/>
                <w:w w:val="99"/>
                <w:sz w:val="20"/>
                <w:szCs w:val="20"/>
              </w:rPr>
              <w:t>仪</w:t>
            </w:r>
          </w:p>
        </w:tc>
        <w:tc>
          <w:tcPr>
            <w:tcW w:w="1068"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23"/>
              <w:ind w:left="7"/>
              <w:rPr>
                <w:sz w:val="20"/>
                <w:szCs w:val="20"/>
              </w:rPr>
            </w:pPr>
            <w:r>
              <w:rPr>
                <w:rFonts w:hint="eastAsia"/>
                <w:w w:val="99"/>
                <w:sz w:val="20"/>
                <w:szCs w:val="20"/>
              </w:rPr>
              <w:t>《投影</w:t>
            </w:r>
            <w:r>
              <w:rPr>
                <w:rFonts w:hint="eastAsia"/>
                <w:spacing w:val="2"/>
                <w:w w:val="99"/>
                <w:sz w:val="20"/>
                <w:szCs w:val="20"/>
              </w:rPr>
              <w:t>机</w:t>
            </w:r>
            <w:r>
              <w:rPr>
                <w:rFonts w:hint="eastAsia"/>
                <w:w w:val="99"/>
                <w:sz w:val="20"/>
                <w:szCs w:val="20"/>
              </w:rPr>
              <w:t>能效</w:t>
            </w:r>
            <w:r>
              <w:rPr>
                <w:rFonts w:hint="eastAsia"/>
                <w:spacing w:val="2"/>
                <w:w w:val="99"/>
                <w:sz w:val="20"/>
                <w:szCs w:val="20"/>
              </w:rPr>
              <w:t>限</w:t>
            </w:r>
            <w:r>
              <w:rPr>
                <w:rFonts w:hint="eastAsia"/>
                <w:w w:val="99"/>
                <w:sz w:val="20"/>
                <w:szCs w:val="20"/>
              </w:rPr>
              <w:t>定值</w:t>
            </w:r>
            <w:r>
              <w:rPr>
                <w:rFonts w:hint="eastAsia"/>
                <w:spacing w:val="2"/>
                <w:w w:val="99"/>
                <w:sz w:val="20"/>
                <w:szCs w:val="20"/>
              </w:rPr>
              <w:t>及</w:t>
            </w:r>
            <w:r>
              <w:rPr>
                <w:rFonts w:hint="eastAsia"/>
                <w:w w:val="99"/>
                <w:sz w:val="20"/>
                <w:szCs w:val="20"/>
              </w:rPr>
              <w:t>能</w:t>
            </w:r>
            <w:r>
              <w:rPr>
                <w:rFonts w:hint="eastAsia"/>
                <w:spacing w:val="2"/>
                <w:w w:val="99"/>
                <w:sz w:val="20"/>
                <w:szCs w:val="20"/>
              </w:rPr>
              <w:t>效</w:t>
            </w:r>
            <w:r>
              <w:rPr>
                <w:rFonts w:hint="eastAsia"/>
                <w:w w:val="99"/>
                <w:sz w:val="20"/>
                <w:szCs w:val="20"/>
              </w:rPr>
              <w:t>等级</w:t>
            </w:r>
          </w:p>
          <w:p>
            <w:pPr>
              <w:pStyle w:val="55"/>
              <w:spacing w:before="50"/>
              <w:ind w:left="7"/>
              <w:rPr>
                <w:sz w:val="20"/>
                <w:szCs w:val="20"/>
              </w:rPr>
            </w:pP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w:t>
            </w:r>
            <w:r>
              <w:rPr>
                <w:rFonts w:hint="eastAsia"/>
                <w:w w:val="99"/>
                <w:sz w:val="20"/>
                <w:szCs w:val="20"/>
              </w:rPr>
              <w:t>20</w:t>
            </w:r>
            <w:r>
              <w:rPr>
                <w:rFonts w:hint="eastAsia"/>
                <w:spacing w:val="1"/>
                <w:w w:val="99"/>
                <w:sz w:val="20"/>
                <w:szCs w:val="20"/>
              </w:rPr>
              <w:t>28</w:t>
            </w:r>
            <w:r>
              <w:rPr>
                <w:rFonts w:hint="eastAsia"/>
                <w:w w:val="99"/>
                <w:sz w:val="20"/>
                <w:szCs w:val="20"/>
              </w:rPr>
              <w:t>）</w:t>
            </w:r>
          </w:p>
        </w:tc>
      </w:tr>
      <w:tr>
        <w:tblPrEx>
          <w:tblCellMar>
            <w:top w:w="0" w:type="dxa"/>
            <w:left w:w="0" w:type="dxa"/>
            <w:bottom w:w="0" w:type="dxa"/>
            <w:right w:w="0" w:type="dxa"/>
          </w:tblCellMar>
        </w:tblPrEx>
        <w:trPr>
          <w:trHeight w:val="770" w:hRule="exact"/>
        </w:trPr>
        <w:tc>
          <w:tcPr>
            <w:tcW w:w="340" w:type="pct"/>
            <w:tcBorders>
              <w:top w:val="single" w:color="000000" w:sz="4" w:space="0"/>
              <w:left w:val="single" w:color="000000" w:sz="4" w:space="0"/>
              <w:bottom w:val="single" w:color="000000" w:sz="4" w:space="0"/>
              <w:right w:val="single" w:color="000000" w:sz="4" w:space="0"/>
            </w:tcBorders>
          </w:tcPr>
          <w:p>
            <w:pPr>
              <w:pStyle w:val="55"/>
              <w:spacing w:before="13"/>
              <w:rPr>
                <w:sz w:val="16"/>
                <w:szCs w:val="16"/>
              </w:rPr>
            </w:pPr>
          </w:p>
          <w:p>
            <w:pPr>
              <w:pStyle w:val="55"/>
              <w:ind w:right="1"/>
              <w:jc w:val="center"/>
              <w:rPr>
                <w:sz w:val="20"/>
                <w:szCs w:val="20"/>
              </w:rPr>
            </w:pPr>
            <w:r>
              <w:rPr>
                <w:rFonts w:hint="eastAsia"/>
                <w:w w:val="99"/>
                <w:sz w:val="20"/>
              </w:rPr>
              <w:t>4</w:t>
            </w:r>
          </w:p>
        </w:tc>
        <w:tc>
          <w:tcPr>
            <w:tcW w:w="692" w:type="pct"/>
            <w:tcBorders>
              <w:top w:val="single" w:color="000000" w:sz="4" w:space="0"/>
              <w:left w:val="single" w:color="000000" w:sz="4" w:space="0"/>
              <w:bottom w:val="single" w:color="000000" w:sz="4" w:space="0"/>
              <w:right w:val="single" w:color="000000" w:sz="4" w:space="0"/>
            </w:tcBorders>
          </w:tcPr>
          <w:p>
            <w:pPr>
              <w:pStyle w:val="55"/>
              <w:spacing w:before="66"/>
              <w:ind w:left="7"/>
              <w:rPr>
                <w:sz w:val="20"/>
                <w:szCs w:val="20"/>
              </w:rPr>
            </w:pPr>
            <w:r>
              <w:rPr>
                <w:rFonts w:hint="eastAsia"/>
                <w:spacing w:val="1"/>
                <w:w w:val="99"/>
                <w:sz w:val="20"/>
                <w:szCs w:val="20"/>
              </w:rPr>
              <w:t>A02</w:t>
            </w:r>
            <w:r>
              <w:rPr>
                <w:rFonts w:hint="eastAsia"/>
                <w:w w:val="99"/>
                <w:sz w:val="20"/>
                <w:szCs w:val="20"/>
              </w:rPr>
              <w:t>02</w:t>
            </w:r>
            <w:r>
              <w:rPr>
                <w:rFonts w:hint="eastAsia"/>
                <w:spacing w:val="1"/>
                <w:w w:val="99"/>
                <w:sz w:val="20"/>
                <w:szCs w:val="20"/>
              </w:rPr>
              <w:t>0</w:t>
            </w:r>
            <w:r>
              <w:rPr>
                <w:rFonts w:hint="eastAsia"/>
                <w:w w:val="99"/>
                <w:sz w:val="20"/>
                <w:szCs w:val="20"/>
              </w:rPr>
              <w:t>4多功</w:t>
            </w:r>
          </w:p>
          <w:p>
            <w:pPr>
              <w:pStyle w:val="55"/>
              <w:spacing w:before="50"/>
              <w:ind w:left="7"/>
              <w:rPr>
                <w:sz w:val="20"/>
                <w:szCs w:val="20"/>
              </w:rPr>
            </w:pPr>
            <w:r>
              <w:rPr>
                <w:rFonts w:hint="eastAsia"/>
                <w:w w:val="99"/>
                <w:sz w:val="20"/>
                <w:szCs w:val="20"/>
              </w:rPr>
              <w:t>能一体机</w:t>
            </w:r>
          </w:p>
        </w:tc>
        <w:tc>
          <w:tcPr>
            <w:tcW w:w="1068"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66" w:line="283" w:lineRule="auto"/>
              <w:ind w:left="7" w:right="7"/>
              <w:rPr>
                <w:sz w:val="20"/>
                <w:szCs w:val="20"/>
              </w:rPr>
            </w:pPr>
            <w:r>
              <w:rPr>
                <w:rFonts w:hint="eastAsia"/>
                <w:w w:val="99"/>
                <w:sz w:val="20"/>
                <w:szCs w:val="20"/>
              </w:rPr>
              <w:t>《复印</w:t>
            </w:r>
            <w:r>
              <w:rPr>
                <w:rFonts w:hint="eastAsia"/>
                <w:spacing w:val="2"/>
                <w:w w:val="99"/>
                <w:sz w:val="20"/>
                <w:szCs w:val="20"/>
              </w:rPr>
              <w:t>机</w:t>
            </w:r>
            <w:r>
              <w:rPr>
                <w:rFonts w:hint="eastAsia"/>
                <w:spacing w:val="-58"/>
                <w:w w:val="99"/>
                <w:sz w:val="20"/>
                <w:szCs w:val="20"/>
              </w:rPr>
              <w:t>、</w:t>
            </w:r>
            <w:r>
              <w:rPr>
                <w:rFonts w:hint="eastAsia"/>
                <w:spacing w:val="2"/>
                <w:w w:val="99"/>
                <w:sz w:val="20"/>
                <w:szCs w:val="20"/>
              </w:rPr>
              <w:t>打</w:t>
            </w:r>
            <w:r>
              <w:rPr>
                <w:rFonts w:hint="eastAsia"/>
                <w:w w:val="99"/>
                <w:sz w:val="20"/>
                <w:szCs w:val="20"/>
              </w:rPr>
              <w:t>印机</w:t>
            </w:r>
            <w:r>
              <w:rPr>
                <w:rFonts w:hint="eastAsia"/>
                <w:spacing w:val="2"/>
                <w:w w:val="99"/>
                <w:sz w:val="20"/>
                <w:szCs w:val="20"/>
              </w:rPr>
              <w:t>和</w:t>
            </w:r>
            <w:r>
              <w:rPr>
                <w:rFonts w:hint="eastAsia"/>
                <w:w w:val="99"/>
                <w:sz w:val="20"/>
                <w:szCs w:val="20"/>
              </w:rPr>
              <w:t>传真</w:t>
            </w:r>
            <w:r>
              <w:rPr>
                <w:rFonts w:hint="eastAsia"/>
                <w:spacing w:val="2"/>
                <w:w w:val="99"/>
                <w:sz w:val="20"/>
                <w:szCs w:val="20"/>
              </w:rPr>
              <w:t>机</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1</w:t>
            </w:r>
            <w:r>
              <w:rPr>
                <w:rFonts w:hint="eastAsia"/>
                <w:w w:val="99"/>
                <w:sz w:val="20"/>
                <w:szCs w:val="20"/>
              </w:rPr>
              <w:t>）</w:t>
            </w:r>
          </w:p>
        </w:tc>
      </w:tr>
      <w:tr>
        <w:tblPrEx>
          <w:tblCellMar>
            <w:top w:w="0" w:type="dxa"/>
            <w:left w:w="0" w:type="dxa"/>
            <w:bottom w:w="0" w:type="dxa"/>
            <w:right w:w="0" w:type="dxa"/>
          </w:tblCellMar>
        </w:tblPrEx>
        <w:trPr>
          <w:trHeight w:val="646" w:hRule="exact"/>
        </w:trPr>
        <w:tc>
          <w:tcPr>
            <w:tcW w:w="340" w:type="pct"/>
            <w:tcBorders>
              <w:top w:val="single" w:color="000000" w:sz="4" w:space="0"/>
              <w:left w:val="single" w:color="000000" w:sz="4" w:space="0"/>
              <w:bottom w:val="single" w:color="000000" w:sz="4" w:space="0"/>
              <w:right w:val="single" w:color="000000" w:sz="4" w:space="0"/>
            </w:tcBorders>
          </w:tcPr>
          <w:p>
            <w:pPr>
              <w:pStyle w:val="55"/>
              <w:spacing w:before="160"/>
              <w:ind w:right="1"/>
              <w:jc w:val="center"/>
              <w:rPr>
                <w:sz w:val="20"/>
                <w:szCs w:val="20"/>
              </w:rPr>
            </w:pPr>
            <w:r>
              <w:rPr>
                <w:rFonts w:hint="eastAsia"/>
                <w:w w:val="99"/>
                <w:sz w:val="20"/>
              </w:rPr>
              <w:t>5</w:t>
            </w:r>
          </w:p>
        </w:tc>
        <w:tc>
          <w:tcPr>
            <w:tcW w:w="692" w:type="pct"/>
            <w:tcBorders>
              <w:top w:val="single" w:color="000000" w:sz="4" w:space="0"/>
              <w:left w:val="single" w:color="000000" w:sz="4" w:space="0"/>
              <w:bottom w:val="single" w:color="000000" w:sz="4" w:space="0"/>
              <w:right w:val="single" w:color="000000" w:sz="4" w:space="0"/>
            </w:tcBorders>
          </w:tcPr>
          <w:p>
            <w:pPr>
              <w:pStyle w:val="55"/>
              <w:spacing w:before="160"/>
              <w:ind w:left="7"/>
              <w:rPr>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1</w:t>
            </w:r>
            <w:r>
              <w:rPr>
                <w:rFonts w:hint="eastAsia"/>
                <w:w w:val="99"/>
                <w:sz w:val="20"/>
                <w:szCs w:val="20"/>
              </w:rPr>
              <w:t>9泵</w:t>
            </w:r>
          </w:p>
        </w:tc>
        <w:tc>
          <w:tcPr>
            <w:tcW w:w="1068" w:type="pct"/>
            <w:tcBorders>
              <w:top w:val="single" w:color="000000" w:sz="4" w:space="0"/>
              <w:left w:val="single" w:color="000000" w:sz="4" w:space="0"/>
              <w:bottom w:val="single" w:color="000000" w:sz="4" w:space="0"/>
              <w:right w:val="single" w:color="000000" w:sz="4" w:space="0"/>
            </w:tcBorders>
          </w:tcPr>
          <w:p>
            <w:pPr>
              <w:pStyle w:val="55"/>
              <w:spacing w:before="160"/>
              <w:ind w:left="7"/>
              <w:rPr>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1</w:t>
            </w:r>
            <w:r>
              <w:rPr>
                <w:rFonts w:hint="eastAsia"/>
                <w:w w:val="99"/>
                <w:sz w:val="20"/>
                <w:szCs w:val="20"/>
              </w:rPr>
              <w:t>901离心泵</w:t>
            </w: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4" w:line="283" w:lineRule="auto"/>
              <w:ind w:left="7" w:right="4"/>
              <w:rPr>
                <w:sz w:val="20"/>
                <w:szCs w:val="20"/>
              </w:rPr>
            </w:pPr>
            <w:r>
              <w:rPr>
                <w:rFonts w:hint="eastAsia"/>
                <w:spacing w:val="12"/>
                <w:w w:val="99"/>
                <w:sz w:val="20"/>
                <w:szCs w:val="20"/>
              </w:rPr>
              <w:t>《清水离心泵能效限定</w:t>
            </w:r>
            <w:r>
              <w:rPr>
                <w:rFonts w:hint="eastAsia"/>
                <w:spacing w:val="9"/>
                <w:w w:val="99"/>
                <w:sz w:val="20"/>
                <w:szCs w:val="20"/>
              </w:rPr>
              <w:t>值</w:t>
            </w:r>
            <w:r>
              <w:rPr>
                <w:rFonts w:hint="eastAsia"/>
                <w:spacing w:val="12"/>
                <w:w w:val="99"/>
                <w:sz w:val="20"/>
                <w:szCs w:val="20"/>
              </w:rPr>
              <w:t>及节</w:t>
            </w:r>
            <w:r>
              <w:rPr>
                <w:rFonts w:hint="eastAsia"/>
                <w:w w:val="99"/>
                <w:sz w:val="20"/>
                <w:szCs w:val="20"/>
              </w:rPr>
              <w:t>能评价值</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w:t>
            </w:r>
            <w:r>
              <w:rPr>
                <w:rFonts w:hint="eastAsia"/>
                <w:w w:val="99"/>
                <w:sz w:val="20"/>
                <w:szCs w:val="20"/>
              </w:rPr>
              <w:t>76</w:t>
            </w:r>
            <w:r>
              <w:rPr>
                <w:rFonts w:hint="eastAsia"/>
                <w:spacing w:val="1"/>
                <w:w w:val="99"/>
                <w:sz w:val="20"/>
                <w:szCs w:val="20"/>
              </w:rPr>
              <w:t>2</w:t>
            </w:r>
            <w:r>
              <w:rPr>
                <w:rFonts w:hint="eastAsia"/>
                <w:w w:val="99"/>
                <w:sz w:val="20"/>
                <w:szCs w:val="20"/>
              </w:rPr>
              <w:t>）</w:t>
            </w:r>
          </w:p>
        </w:tc>
      </w:tr>
      <w:tr>
        <w:tblPrEx>
          <w:tblCellMar>
            <w:top w:w="0" w:type="dxa"/>
            <w:left w:w="0" w:type="dxa"/>
            <w:bottom w:w="0" w:type="dxa"/>
            <w:right w:w="0" w:type="dxa"/>
          </w:tblCellMar>
        </w:tblPrEx>
        <w:trPr>
          <w:trHeight w:val="1322" w:hRule="exact"/>
        </w:trPr>
        <w:tc>
          <w:tcPr>
            <w:tcW w:w="340"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spacing w:before="7"/>
              <w:rPr>
                <w:sz w:val="26"/>
                <w:szCs w:val="26"/>
              </w:rPr>
            </w:pPr>
          </w:p>
          <w:p>
            <w:pPr>
              <w:pStyle w:val="55"/>
              <w:ind w:right="1"/>
              <w:jc w:val="center"/>
              <w:rPr>
                <w:sz w:val="20"/>
                <w:szCs w:val="20"/>
              </w:rPr>
            </w:pPr>
            <w:r>
              <w:rPr>
                <w:rFonts w:hint="eastAsia"/>
                <w:w w:val="99"/>
                <w:sz w:val="20"/>
              </w:rPr>
              <w:t>6</w:t>
            </w:r>
          </w:p>
        </w:tc>
        <w:tc>
          <w:tcPr>
            <w:tcW w:w="692"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spacing w:before="8"/>
              <w:rPr>
                <w:sz w:val="14"/>
                <w:szCs w:val="14"/>
              </w:rPr>
            </w:pPr>
          </w:p>
          <w:p>
            <w:pPr>
              <w:pStyle w:val="55"/>
              <w:ind w:left="7"/>
              <w:rPr>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2</w:t>
            </w:r>
            <w:r>
              <w:rPr>
                <w:rFonts w:hint="eastAsia"/>
                <w:w w:val="99"/>
                <w:sz w:val="20"/>
                <w:szCs w:val="20"/>
              </w:rPr>
              <w:t>3制冷</w:t>
            </w:r>
          </w:p>
          <w:p>
            <w:pPr>
              <w:pStyle w:val="55"/>
              <w:spacing w:before="50"/>
              <w:ind w:left="7"/>
              <w:rPr>
                <w:sz w:val="20"/>
                <w:szCs w:val="20"/>
              </w:rPr>
            </w:pPr>
            <w:r>
              <w:rPr>
                <w:rFonts w:hint="eastAsia"/>
                <w:w w:val="99"/>
                <w:sz w:val="20"/>
                <w:szCs w:val="20"/>
              </w:rPr>
              <w:t>空调设备</w:t>
            </w:r>
          </w:p>
        </w:tc>
        <w:tc>
          <w:tcPr>
            <w:tcW w:w="1068"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spacing w:before="8"/>
              <w:rPr>
                <w:sz w:val="14"/>
                <w:szCs w:val="14"/>
              </w:rPr>
            </w:pPr>
          </w:p>
          <w:p>
            <w:pPr>
              <w:pStyle w:val="55"/>
              <w:spacing w:line="283" w:lineRule="auto"/>
              <w:ind w:left="7" w:right="5"/>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52</w:t>
            </w:r>
            <w:r>
              <w:rPr>
                <w:rFonts w:hint="eastAsia"/>
                <w:spacing w:val="1"/>
                <w:w w:val="99"/>
                <w:sz w:val="20"/>
                <w:szCs w:val="20"/>
              </w:rPr>
              <w:t>3</w:t>
            </w:r>
            <w:r>
              <w:rPr>
                <w:rFonts w:hint="eastAsia"/>
                <w:w w:val="99"/>
                <w:sz w:val="20"/>
                <w:szCs w:val="20"/>
              </w:rPr>
              <w:t>01制冷压缩机</w:t>
            </w:r>
          </w:p>
        </w:tc>
        <w:tc>
          <w:tcPr>
            <w:tcW w:w="1137" w:type="pc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spacing w:before="1"/>
              <w:rPr>
                <w:sz w:val="18"/>
                <w:szCs w:val="18"/>
              </w:rPr>
            </w:pPr>
          </w:p>
          <w:p>
            <w:pPr>
              <w:pStyle w:val="55"/>
              <w:ind w:left="7"/>
              <w:rPr>
                <w:sz w:val="20"/>
                <w:szCs w:val="20"/>
              </w:rPr>
            </w:pPr>
            <w:r>
              <w:rPr>
                <w:rFonts w:hint="eastAsia"/>
                <w:w w:val="99"/>
                <w:sz w:val="20"/>
                <w:szCs w:val="20"/>
              </w:rPr>
              <w:t>冷水机组</w:t>
            </w: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30" w:line="283" w:lineRule="auto"/>
              <w:ind w:left="7" w:right="4"/>
              <w:jc w:val="both"/>
              <w:rPr>
                <w:sz w:val="20"/>
                <w:szCs w:val="20"/>
              </w:rPr>
            </w:pPr>
            <w:r>
              <w:rPr>
                <w:rFonts w:hint="eastAsia"/>
                <w:spacing w:val="12"/>
                <w:w w:val="99"/>
                <w:sz w:val="20"/>
                <w:szCs w:val="20"/>
              </w:rPr>
              <w:t>《冷水机组能效限定值</w:t>
            </w:r>
            <w:r>
              <w:rPr>
                <w:rFonts w:hint="eastAsia"/>
                <w:spacing w:val="9"/>
                <w:w w:val="99"/>
                <w:sz w:val="20"/>
                <w:szCs w:val="20"/>
              </w:rPr>
              <w:t>及</w:t>
            </w:r>
            <w:r>
              <w:rPr>
                <w:rFonts w:hint="eastAsia"/>
                <w:spacing w:val="12"/>
                <w:w w:val="99"/>
                <w:sz w:val="20"/>
                <w:szCs w:val="20"/>
              </w:rPr>
              <w:t>能效</w:t>
            </w:r>
            <w:r>
              <w:rPr>
                <w:rFonts w:hint="eastAsia"/>
                <w:w w:val="99"/>
                <w:sz w:val="20"/>
                <w:szCs w:val="20"/>
              </w:rPr>
              <w:t>等级</w:t>
            </w:r>
            <w:r>
              <w:rPr>
                <w:rFonts w:hint="eastAsia"/>
                <w:spacing w:val="-3"/>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w:t>
            </w:r>
            <w:r>
              <w:rPr>
                <w:rFonts w:hint="eastAsia"/>
                <w:w w:val="99"/>
                <w:sz w:val="20"/>
                <w:szCs w:val="20"/>
              </w:rPr>
              <w:t>77</w:t>
            </w:r>
            <w:r>
              <w:rPr>
                <w:rFonts w:hint="eastAsia"/>
                <w:spacing w:val="-3"/>
                <w:w w:val="99"/>
                <w:sz w:val="20"/>
                <w:szCs w:val="20"/>
              </w:rPr>
              <w:t>），</w:t>
            </w:r>
            <w:r>
              <w:rPr>
                <w:rFonts w:hint="eastAsia"/>
                <w:w w:val="99"/>
                <w:sz w:val="20"/>
                <w:szCs w:val="20"/>
              </w:rPr>
              <w:t>《低</w:t>
            </w:r>
            <w:r>
              <w:rPr>
                <w:rFonts w:hint="eastAsia"/>
                <w:spacing w:val="2"/>
                <w:w w:val="99"/>
                <w:sz w:val="20"/>
                <w:szCs w:val="20"/>
              </w:rPr>
              <w:t>环</w:t>
            </w:r>
            <w:r>
              <w:rPr>
                <w:rFonts w:hint="eastAsia"/>
                <w:w w:val="99"/>
                <w:sz w:val="20"/>
                <w:szCs w:val="20"/>
              </w:rPr>
              <w:t>境温度空气源</w:t>
            </w:r>
            <w:r>
              <w:rPr>
                <w:rFonts w:hint="eastAsia"/>
                <w:spacing w:val="2"/>
                <w:w w:val="99"/>
                <w:sz w:val="20"/>
                <w:szCs w:val="20"/>
              </w:rPr>
              <w:t>热</w:t>
            </w:r>
            <w:r>
              <w:rPr>
                <w:rFonts w:hint="eastAsia"/>
                <w:spacing w:val="-29"/>
                <w:w w:val="99"/>
                <w:sz w:val="20"/>
                <w:szCs w:val="20"/>
              </w:rPr>
              <w:t>泵</w:t>
            </w:r>
            <w:r>
              <w:rPr>
                <w:rFonts w:hint="eastAsia"/>
                <w:spacing w:val="2"/>
                <w:w w:val="99"/>
                <w:sz w:val="20"/>
                <w:szCs w:val="20"/>
              </w:rPr>
              <w:t>（</w:t>
            </w:r>
            <w:r>
              <w:rPr>
                <w:rFonts w:hint="eastAsia"/>
                <w:w w:val="99"/>
                <w:sz w:val="20"/>
                <w:szCs w:val="20"/>
              </w:rPr>
              <w:t>冷水</w:t>
            </w:r>
            <w:r>
              <w:rPr>
                <w:rFonts w:hint="eastAsia"/>
                <w:spacing w:val="-27"/>
                <w:w w:val="99"/>
                <w:sz w:val="20"/>
                <w:szCs w:val="20"/>
              </w:rPr>
              <w:t>）</w:t>
            </w:r>
            <w:r>
              <w:rPr>
                <w:rFonts w:hint="eastAsia"/>
                <w:w w:val="99"/>
                <w:sz w:val="20"/>
                <w:szCs w:val="20"/>
              </w:rPr>
              <w:t>机组</w:t>
            </w:r>
            <w:r>
              <w:rPr>
                <w:rFonts w:hint="eastAsia"/>
                <w:spacing w:val="2"/>
                <w:w w:val="99"/>
                <w:sz w:val="20"/>
                <w:szCs w:val="20"/>
              </w:rPr>
              <w:t>能</w:t>
            </w:r>
            <w:r>
              <w:rPr>
                <w:rFonts w:hint="eastAsia"/>
                <w:w w:val="99"/>
                <w:sz w:val="20"/>
                <w:szCs w:val="20"/>
              </w:rPr>
              <w:t>效限定值及能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w:t>
            </w:r>
            <w:r>
              <w:rPr>
                <w:rFonts w:hint="eastAsia"/>
                <w:w w:val="99"/>
                <w:sz w:val="20"/>
                <w:szCs w:val="20"/>
              </w:rPr>
              <w:t>48</w:t>
            </w:r>
            <w:r>
              <w:rPr>
                <w:rFonts w:hint="eastAsia"/>
                <w:spacing w:val="-2"/>
                <w:w w:val="99"/>
                <w:sz w:val="20"/>
                <w:szCs w:val="20"/>
              </w:rPr>
              <w:t>0</w:t>
            </w:r>
            <w:r>
              <w:rPr>
                <w:rFonts w:hint="eastAsia"/>
                <w:w w:val="99"/>
                <w:sz w:val="20"/>
                <w:szCs w:val="20"/>
              </w:rPr>
              <w:t>）</w:t>
            </w:r>
          </w:p>
        </w:tc>
      </w:tr>
      <w:tr>
        <w:tblPrEx>
          <w:tblCellMar>
            <w:top w:w="0" w:type="dxa"/>
            <w:left w:w="0" w:type="dxa"/>
            <w:bottom w:w="0" w:type="dxa"/>
            <w:right w:w="0" w:type="dxa"/>
          </w:tblCellMar>
        </w:tblPrEx>
        <w:trPr>
          <w:trHeight w:val="744"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692"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068"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137" w:type="pct"/>
            <w:tcBorders>
              <w:top w:val="single" w:color="000000" w:sz="4" w:space="0"/>
              <w:left w:val="single" w:color="000000" w:sz="4" w:space="0"/>
              <w:bottom w:val="single" w:color="000000" w:sz="4" w:space="0"/>
              <w:right w:val="single" w:color="000000" w:sz="4" w:space="0"/>
            </w:tcBorders>
          </w:tcPr>
          <w:p>
            <w:pPr>
              <w:pStyle w:val="55"/>
              <w:spacing w:before="12"/>
              <w:rPr>
                <w:sz w:val="15"/>
                <w:szCs w:val="15"/>
              </w:rPr>
            </w:pPr>
          </w:p>
          <w:p>
            <w:pPr>
              <w:pStyle w:val="55"/>
              <w:ind w:left="7"/>
              <w:rPr>
                <w:sz w:val="20"/>
                <w:szCs w:val="20"/>
              </w:rPr>
            </w:pPr>
            <w:r>
              <w:rPr>
                <w:rFonts w:hint="eastAsia"/>
                <w:w w:val="99"/>
                <w:sz w:val="20"/>
                <w:szCs w:val="20"/>
              </w:rPr>
              <w:t>水源热</w:t>
            </w:r>
            <w:r>
              <w:rPr>
                <w:rFonts w:hint="eastAsia"/>
                <w:spacing w:val="2"/>
                <w:w w:val="99"/>
                <w:sz w:val="20"/>
                <w:szCs w:val="20"/>
              </w:rPr>
              <w:t>泵</w:t>
            </w:r>
            <w:r>
              <w:rPr>
                <w:rFonts w:hint="eastAsia"/>
                <w:w w:val="99"/>
                <w:sz w:val="20"/>
                <w:szCs w:val="20"/>
              </w:rPr>
              <w:t>机组</w:t>
            </w: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52" w:line="283" w:lineRule="auto"/>
              <w:ind w:left="7" w:right="7"/>
              <w:rPr>
                <w:sz w:val="20"/>
                <w:szCs w:val="20"/>
              </w:rPr>
            </w:pPr>
            <w:r>
              <w:rPr>
                <w:rFonts w:hint="eastAsia"/>
                <w:w w:val="99"/>
                <w:sz w:val="20"/>
                <w:szCs w:val="20"/>
              </w:rPr>
              <w:t>《</w:t>
            </w:r>
            <w:r>
              <w:rPr>
                <w:rFonts w:hint="eastAsia"/>
                <w:spacing w:val="-29"/>
                <w:w w:val="99"/>
                <w:sz w:val="20"/>
                <w:szCs w:val="20"/>
              </w:rPr>
              <w:t>水</w:t>
            </w:r>
            <w:r>
              <w:rPr>
                <w:rFonts w:hint="eastAsia"/>
                <w:w w:val="99"/>
                <w:sz w:val="20"/>
                <w:szCs w:val="20"/>
              </w:rPr>
              <w:t>（</w:t>
            </w:r>
            <w:r>
              <w:rPr>
                <w:rFonts w:hint="eastAsia"/>
                <w:spacing w:val="2"/>
                <w:w w:val="99"/>
                <w:sz w:val="20"/>
                <w:szCs w:val="20"/>
              </w:rPr>
              <w:t>地</w:t>
            </w:r>
            <w:r>
              <w:rPr>
                <w:rFonts w:hint="eastAsia"/>
                <w:spacing w:val="-29"/>
                <w:w w:val="99"/>
                <w:sz w:val="20"/>
                <w:szCs w:val="20"/>
              </w:rPr>
              <w:t>）</w:t>
            </w:r>
            <w:r>
              <w:rPr>
                <w:rFonts w:hint="eastAsia"/>
                <w:spacing w:val="2"/>
                <w:w w:val="99"/>
                <w:sz w:val="20"/>
                <w:szCs w:val="20"/>
              </w:rPr>
              <w:t>源</w:t>
            </w:r>
            <w:r>
              <w:rPr>
                <w:rFonts w:hint="eastAsia"/>
                <w:w w:val="99"/>
                <w:sz w:val="20"/>
                <w:szCs w:val="20"/>
              </w:rPr>
              <w:t>热泵</w:t>
            </w:r>
            <w:r>
              <w:rPr>
                <w:rFonts w:hint="eastAsia"/>
                <w:spacing w:val="2"/>
                <w:w w:val="99"/>
                <w:sz w:val="20"/>
                <w:szCs w:val="20"/>
              </w:rPr>
              <w:t>机</w:t>
            </w:r>
            <w:r>
              <w:rPr>
                <w:rFonts w:hint="eastAsia"/>
                <w:w w:val="99"/>
                <w:sz w:val="20"/>
                <w:szCs w:val="20"/>
              </w:rPr>
              <w:t>组能</w:t>
            </w:r>
            <w:r>
              <w:rPr>
                <w:rFonts w:hint="eastAsia"/>
                <w:spacing w:val="2"/>
                <w:w w:val="99"/>
                <w:sz w:val="20"/>
                <w:szCs w:val="20"/>
              </w:rPr>
              <w:t>效</w:t>
            </w:r>
            <w:r>
              <w:rPr>
                <w:rFonts w:hint="eastAsia"/>
                <w:w w:val="99"/>
                <w:sz w:val="20"/>
                <w:szCs w:val="20"/>
              </w:rPr>
              <w:t>限定值及能效</w:t>
            </w:r>
            <w:r>
              <w:rPr>
                <w:rFonts w:hint="eastAsia"/>
                <w:spacing w:val="2"/>
                <w:w w:val="99"/>
                <w:sz w:val="20"/>
                <w:szCs w:val="20"/>
              </w:rPr>
              <w:t>等</w:t>
            </w:r>
            <w:r>
              <w:rPr>
                <w:rFonts w:hint="eastAsia"/>
                <w:w w:val="99"/>
                <w:sz w:val="20"/>
                <w:szCs w:val="20"/>
              </w:rPr>
              <w:t>级》（</w:t>
            </w:r>
            <w:r>
              <w:rPr>
                <w:rFonts w:hint="eastAsia"/>
                <w:spacing w:val="1"/>
                <w:w w:val="99"/>
                <w:sz w:val="20"/>
                <w:szCs w:val="20"/>
              </w:rPr>
              <w:t>G</w:t>
            </w:r>
            <w:r>
              <w:rPr>
                <w:rFonts w:hint="eastAsia"/>
                <w:w w:val="99"/>
                <w:sz w:val="20"/>
                <w:szCs w:val="20"/>
              </w:rPr>
              <w:t>B</w:t>
            </w:r>
            <w:r>
              <w:rPr>
                <w:rFonts w:hint="eastAsia"/>
                <w:spacing w:val="1"/>
                <w:w w:val="99"/>
                <w:sz w:val="20"/>
                <w:szCs w:val="20"/>
              </w:rPr>
              <w:t>30721</w:t>
            </w:r>
            <w:r>
              <w:rPr>
                <w:rFonts w:hint="eastAsia"/>
                <w:w w:val="99"/>
                <w:sz w:val="20"/>
                <w:szCs w:val="20"/>
              </w:rPr>
              <w:t>）</w:t>
            </w:r>
          </w:p>
        </w:tc>
      </w:tr>
    </w:tbl>
    <w:p>
      <w:pPr>
        <w:rPr>
          <w:rFonts w:ascii="Arial Unicode MS" w:hAnsi="Arial Unicode MS" w:eastAsia="Arial Unicode MS" w:cs="Arial Unicode MS"/>
          <w:sz w:val="20"/>
          <w:szCs w:val="20"/>
        </w:rPr>
      </w:pPr>
    </w:p>
    <w:p>
      <w:pPr>
        <w:rPr>
          <w:rFonts w:ascii="Arial Unicode MS" w:hAnsi="Arial Unicode MS" w:eastAsia="Arial Unicode MS" w:cs="Arial Unicode MS"/>
          <w:sz w:val="20"/>
          <w:szCs w:val="20"/>
        </w:rPr>
      </w:pPr>
    </w:p>
    <w:p>
      <w:pPr>
        <w:rPr>
          <w:rFonts w:ascii="Arial Unicode MS" w:hAnsi="Arial Unicode MS" w:eastAsia="Arial Unicode MS" w:cs="Arial Unicode MS"/>
          <w:sz w:val="20"/>
          <w:szCs w:val="20"/>
        </w:rPr>
      </w:pPr>
    </w:p>
    <w:p>
      <w:pPr>
        <w:rPr>
          <w:rFonts w:ascii="Arial Unicode MS" w:hAnsi="Arial Unicode MS" w:eastAsia="Arial Unicode MS" w:cs="Arial Unicode MS"/>
          <w:sz w:val="20"/>
          <w:szCs w:val="20"/>
        </w:rPr>
      </w:pPr>
    </w:p>
    <w:tbl>
      <w:tblPr>
        <w:tblStyle w:val="24"/>
        <w:tblW w:w="5008" w:type="pct"/>
        <w:tblInd w:w="0" w:type="dxa"/>
        <w:tblLayout w:type="autofit"/>
        <w:tblCellMar>
          <w:top w:w="0" w:type="dxa"/>
          <w:left w:w="0" w:type="dxa"/>
          <w:bottom w:w="0" w:type="dxa"/>
          <w:right w:w="0" w:type="dxa"/>
        </w:tblCellMar>
      </w:tblPr>
      <w:tblGrid>
        <w:gridCol w:w="664"/>
        <w:gridCol w:w="1351"/>
        <w:gridCol w:w="2089"/>
        <w:gridCol w:w="2224"/>
        <w:gridCol w:w="3444"/>
      </w:tblGrid>
      <w:tr>
        <w:tblPrEx>
          <w:tblCellMar>
            <w:top w:w="0" w:type="dxa"/>
            <w:left w:w="0" w:type="dxa"/>
            <w:bottom w:w="0" w:type="dxa"/>
            <w:right w:w="0" w:type="dxa"/>
          </w:tblCellMar>
        </w:tblPrEx>
        <w:trPr>
          <w:trHeight w:val="416" w:hRule="exact"/>
        </w:trPr>
        <w:tc>
          <w:tcPr>
            <w:tcW w:w="340" w:type="pct"/>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691" w:type="pct"/>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068" w:type="pct"/>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137" w:type="pct"/>
            <w:tcBorders>
              <w:top w:val="single" w:color="000000" w:sz="4" w:space="0"/>
              <w:left w:val="single" w:color="000000" w:sz="4" w:space="0"/>
              <w:bottom w:val="nil"/>
              <w:right w:val="single" w:color="000000" w:sz="4" w:space="0"/>
            </w:tcBorders>
          </w:tcPr>
          <w:p>
            <w:pPr>
              <w:pStyle w:val="55"/>
              <w:spacing w:before="93"/>
              <w:ind w:left="7"/>
              <w:rPr>
                <w:sz w:val="20"/>
                <w:szCs w:val="20"/>
              </w:rPr>
            </w:pPr>
            <w:r>
              <w:rPr>
                <w:rFonts w:hint="eastAsia"/>
                <w:spacing w:val="12"/>
                <w:w w:val="99"/>
                <w:sz w:val="20"/>
                <w:szCs w:val="20"/>
              </w:rPr>
              <w:t>溴化锂吸收式冷水</w:t>
            </w:r>
            <w:r>
              <w:rPr>
                <w:rFonts w:hint="eastAsia"/>
                <w:w w:val="99"/>
                <w:sz w:val="20"/>
                <w:szCs w:val="20"/>
              </w:rPr>
              <w:t>机</w:t>
            </w:r>
          </w:p>
        </w:tc>
        <w:tc>
          <w:tcPr>
            <w:tcW w:w="1761" w:type="pct"/>
            <w:tcBorders>
              <w:top w:val="single" w:color="000000" w:sz="4" w:space="0"/>
              <w:left w:val="single" w:color="000000" w:sz="4" w:space="0"/>
              <w:bottom w:val="nil"/>
              <w:right w:val="single" w:color="000000" w:sz="4" w:space="0"/>
            </w:tcBorders>
          </w:tcPr>
          <w:p>
            <w:pPr>
              <w:pStyle w:val="55"/>
              <w:spacing w:before="93"/>
              <w:ind w:left="7"/>
              <w:rPr>
                <w:sz w:val="20"/>
                <w:szCs w:val="20"/>
              </w:rPr>
            </w:pPr>
            <w:r>
              <w:rPr>
                <w:rFonts w:hint="eastAsia"/>
                <w:spacing w:val="12"/>
                <w:w w:val="99"/>
                <w:sz w:val="20"/>
                <w:szCs w:val="20"/>
              </w:rPr>
              <w:t>《溴化锂吸收式冷水机</w:t>
            </w:r>
            <w:r>
              <w:rPr>
                <w:rFonts w:hint="eastAsia"/>
                <w:spacing w:val="9"/>
                <w:w w:val="99"/>
                <w:sz w:val="20"/>
                <w:szCs w:val="20"/>
              </w:rPr>
              <w:t>组</w:t>
            </w:r>
            <w:r>
              <w:rPr>
                <w:rFonts w:hint="eastAsia"/>
                <w:spacing w:val="12"/>
                <w:w w:val="99"/>
                <w:sz w:val="20"/>
                <w:szCs w:val="20"/>
              </w:rPr>
              <w:t>能效</w:t>
            </w:r>
            <w:r>
              <w:rPr>
                <w:rFonts w:hint="eastAsia"/>
                <w:w w:val="99"/>
                <w:sz w:val="20"/>
                <w:szCs w:val="20"/>
              </w:rPr>
              <w:t>限</w:t>
            </w:r>
          </w:p>
        </w:tc>
      </w:tr>
      <w:tr>
        <w:tblPrEx>
          <w:tblCellMar>
            <w:top w:w="0" w:type="dxa"/>
            <w:left w:w="0" w:type="dxa"/>
            <w:bottom w:w="0" w:type="dxa"/>
            <w:right w:w="0" w:type="dxa"/>
          </w:tblCellMar>
        </w:tblPrEx>
        <w:trPr>
          <w:trHeight w:val="408"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137" w:type="pct"/>
            <w:tcBorders>
              <w:top w:val="nil"/>
              <w:left w:val="single" w:color="000000" w:sz="4" w:space="0"/>
              <w:bottom w:val="single" w:color="000000" w:sz="4" w:space="0"/>
              <w:right w:val="single" w:color="000000" w:sz="4" w:space="0"/>
            </w:tcBorders>
          </w:tcPr>
          <w:p>
            <w:pPr>
              <w:pStyle w:val="55"/>
              <w:spacing w:line="256" w:lineRule="exact"/>
              <w:ind w:left="7"/>
              <w:rPr>
                <w:sz w:val="20"/>
                <w:szCs w:val="20"/>
              </w:rPr>
            </w:pPr>
            <w:r>
              <w:rPr>
                <w:rFonts w:hint="eastAsia"/>
                <w:w w:val="99"/>
                <w:sz w:val="20"/>
                <w:szCs w:val="20"/>
              </w:rPr>
              <w:t>组</w:t>
            </w:r>
          </w:p>
        </w:tc>
        <w:tc>
          <w:tcPr>
            <w:tcW w:w="1761" w:type="pct"/>
            <w:tcBorders>
              <w:top w:val="nil"/>
              <w:left w:val="single" w:color="000000" w:sz="4" w:space="0"/>
              <w:bottom w:val="single" w:color="000000" w:sz="4" w:space="0"/>
              <w:right w:val="single" w:color="000000" w:sz="4" w:space="0"/>
            </w:tcBorders>
          </w:tcPr>
          <w:p>
            <w:pPr>
              <w:pStyle w:val="55"/>
              <w:spacing w:line="256" w:lineRule="exact"/>
              <w:ind w:left="7"/>
              <w:rPr>
                <w:sz w:val="20"/>
                <w:szCs w:val="20"/>
              </w:rPr>
            </w:pPr>
            <w:r>
              <w:rPr>
                <w:rFonts w:hint="eastAsia"/>
                <w:w w:val="99"/>
                <w:sz w:val="20"/>
                <w:szCs w:val="20"/>
              </w:rPr>
              <w:t>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29</w:t>
            </w:r>
            <w:r>
              <w:rPr>
                <w:rFonts w:hint="eastAsia"/>
                <w:w w:val="99"/>
                <w:sz w:val="20"/>
                <w:szCs w:val="20"/>
              </w:rPr>
              <w:t>54</w:t>
            </w:r>
            <w:r>
              <w:rPr>
                <w:rFonts w:hint="eastAsia"/>
                <w:spacing w:val="1"/>
                <w:w w:val="99"/>
                <w:sz w:val="20"/>
                <w:szCs w:val="20"/>
              </w:rPr>
              <w:t>0</w:t>
            </w:r>
            <w:r>
              <w:rPr>
                <w:rFonts w:hint="eastAsia"/>
                <w:w w:val="99"/>
                <w:sz w:val="20"/>
                <w:szCs w:val="20"/>
              </w:rPr>
              <w:t>）</w:t>
            </w:r>
          </w:p>
        </w:tc>
      </w:tr>
      <w:tr>
        <w:tblPrEx>
          <w:tblCellMar>
            <w:top w:w="0" w:type="dxa"/>
            <w:left w:w="0" w:type="dxa"/>
            <w:bottom w:w="0" w:type="dxa"/>
            <w:right w:w="0" w:type="dxa"/>
          </w:tblCellMar>
        </w:tblPrEx>
        <w:trPr>
          <w:trHeight w:val="958"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spacing w:before="3"/>
              <w:rPr>
                <w:sz w:val="21"/>
                <w:szCs w:val="21"/>
              </w:rPr>
            </w:pPr>
          </w:p>
          <w:p>
            <w:pPr>
              <w:pStyle w:val="55"/>
              <w:spacing w:line="283" w:lineRule="auto"/>
              <w:ind w:left="7" w:right="5"/>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52</w:t>
            </w:r>
            <w:r>
              <w:rPr>
                <w:rFonts w:hint="eastAsia"/>
                <w:spacing w:val="1"/>
                <w:w w:val="99"/>
                <w:sz w:val="20"/>
                <w:szCs w:val="20"/>
              </w:rPr>
              <w:t>3</w:t>
            </w:r>
            <w:r>
              <w:rPr>
                <w:rFonts w:hint="eastAsia"/>
                <w:w w:val="99"/>
                <w:sz w:val="20"/>
                <w:szCs w:val="20"/>
              </w:rPr>
              <w:t>05空调机组</w:t>
            </w:r>
          </w:p>
        </w:tc>
        <w:tc>
          <w:tcPr>
            <w:tcW w:w="1137" w:type="pct"/>
            <w:tcBorders>
              <w:top w:val="single" w:color="000000" w:sz="4" w:space="0"/>
              <w:left w:val="single" w:color="000000" w:sz="4" w:space="0"/>
              <w:bottom w:val="single" w:color="000000" w:sz="4" w:space="0"/>
              <w:right w:val="single" w:color="000000" w:sz="4" w:space="0"/>
            </w:tcBorders>
          </w:tcPr>
          <w:p>
            <w:pPr>
              <w:pStyle w:val="55"/>
              <w:spacing w:before="4" w:line="283" w:lineRule="auto"/>
              <w:ind w:left="7" w:right="7"/>
              <w:jc w:val="both"/>
              <w:rPr>
                <w:sz w:val="20"/>
                <w:szCs w:val="20"/>
              </w:rPr>
            </w:pPr>
            <w:r>
              <w:rPr>
                <w:rFonts w:hint="eastAsia"/>
                <w:spacing w:val="12"/>
                <w:w w:val="99"/>
                <w:sz w:val="20"/>
                <w:szCs w:val="20"/>
              </w:rPr>
              <w:t>多联式空</w:t>
            </w:r>
            <w:r>
              <w:rPr>
                <w:rFonts w:hint="eastAsia"/>
                <w:spacing w:val="11"/>
                <w:w w:val="99"/>
                <w:sz w:val="20"/>
                <w:szCs w:val="20"/>
              </w:rPr>
              <w:t>调（</w:t>
            </w:r>
            <w:r>
              <w:rPr>
                <w:rFonts w:hint="eastAsia"/>
                <w:spacing w:val="12"/>
                <w:w w:val="99"/>
                <w:sz w:val="20"/>
                <w:szCs w:val="20"/>
              </w:rPr>
              <w:t>热泵</w:t>
            </w:r>
            <w:r>
              <w:rPr>
                <w:rFonts w:hint="eastAsia"/>
                <w:w w:val="99"/>
                <w:sz w:val="20"/>
                <w:szCs w:val="20"/>
              </w:rPr>
              <w:t>）机组(制冷量</w:t>
            </w:r>
            <w:r>
              <w:rPr>
                <w:rFonts w:hint="eastAsia"/>
                <w:spacing w:val="1"/>
                <w:w w:val="99"/>
                <w:sz w:val="20"/>
                <w:szCs w:val="20"/>
              </w:rPr>
              <w:t>&gt;140</w:t>
            </w:r>
            <w:r>
              <w:rPr>
                <w:rFonts w:hint="eastAsia"/>
                <w:w w:val="99"/>
                <w:sz w:val="20"/>
                <w:szCs w:val="20"/>
              </w:rPr>
              <w:t>00</w:t>
            </w:r>
            <w:r>
              <w:rPr>
                <w:rFonts w:hint="eastAsia"/>
                <w:spacing w:val="1"/>
                <w:w w:val="99"/>
                <w:sz w:val="20"/>
                <w:szCs w:val="20"/>
              </w:rPr>
              <w:t>W</w:t>
            </w:r>
            <w:r>
              <w:rPr>
                <w:rFonts w:hint="eastAsia"/>
                <w:w w:val="99"/>
                <w:sz w:val="20"/>
                <w:szCs w:val="20"/>
              </w:rPr>
              <w:t>)</w:t>
            </w: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160" w:line="283" w:lineRule="auto"/>
              <w:ind w:left="7" w:right="7"/>
              <w:rPr>
                <w:sz w:val="20"/>
                <w:szCs w:val="20"/>
              </w:rPr>
            </w:pPr>
            <w:r>
              <w:rPr>
                <w:rFonts w:hint="eastAsia"/>
                <w:w w:val="99"/>
                <w:sz w:val="20"/>
                <w:szCs w:val="20"/>
              </w:rPr>
              <w:t>《多联</w:t>
            </w:r>
            <w:r>
              <w:rPr>
                <w:rFonts w:hint="eastAsia"/>
                <w:spacing w:val="2"/>
                <w:w w:val="99"/>
                <w:sz w:val="20"/>
                <w:szCs w:val="20"/>
              </w:rPr>
              <w:t>式</w:t>
            </w:r>
            <w:r>
              <w:rPr>
                <w:rFonts w:hint="eastAsia"/>
                <w:w w:val="99"/>
                <w:sz w:val="20"/>
                <w:szCs w:val="20"/>
              </w:rPr>
              <w:t>空</w:t>
            </w:r>
            <w:r>
              <w:rPr>
                <w:rFonts w:hint="eastAsia"/>
                <w:spacing w:val="-27"/>
                <w:w w:val="99"/>
                <w:sz w:val="20"/>
                <w:szCs w:val="20"/>
              </w:rPr>
              <w:t>调</w:t>
            </w:r>
            <w:r>
              <w:rPr>
                <w:rFonts w:hint="eastAsia"/>
                <w:w w:val="99"/>
                <w:sz w:val="20"/>
                <w:szCs w:val="20"/>
              </w:rPr>
              <w:t>（热</w:t>
            </w:r>
            <w:r>
              <w:rPr>
                <w:rFonts w:hint="eastAsia"/>
                <w:spacing w:val="2"/>
                <w:w w:val="99"/>
                <w:sz w:val="20"/>
                <w:szCs w:val="20"/>
              </w:rPr>
              <w:t>泵</w:t>
            </w:r>
            <w:r>
              <w:rPr>
                <w:rFonts w:hint="eastAsia"/>
                <w:spacing w:val="-29"/>
                <w:w w:val="99"/>
                <w:sz w:val="20"/>
                <w:szCs w:val="20"/>
              </w:rPr>
              <w:t>）</w:t>
            </w:r>
            <w:r>
              <w:rPr>
                <w:rFonts w:hint="eastAsia"/>
                <w:w w:val="99"/>
                <w:sz w:val="20"/>
                <w:szCs w:val="20"/>
              </w:rPr>
              <w:t>机</w:t>
            </w:r>
            <w:r>
              <w:rPr>
                <w:rFonts w:hint="eastAsia"/>
                <w:spacing w:val="2"/>
                <w:w w:val="99"/>
                <w:sz w:val="20"/>
                <w:szCs w:val="20"/>
              </w:rPr>
              <w:t>组</w:t>
            </w:r>
            <w:r>
              <w:rPr>
                <w:rFonts w:hint="eastAsia"/>
                <w:w w:val="99"/>
                <w:sz w:val="20"/>
                <w:szCs w:val="20"/>
              </w:rPr>
              <w:t>能效限定值及</w:t>
            </w:r>
            <w:r>
              <w:rPr>
                <w:rFonts w:hint="eastAsia"/>
                <w:spacing w:val="2"/>
                <w:w w:val="99"/>
                <w:sz w:val="20"/>
                <w:szCs w:val="20"/>
              </w:rPr>
              <w:t>能</w:t>
            </w:r>
            <w:r>
              <w:rPr>
                <w:rFonts w:hint="eastAsia"/>
                <w:w w:val="99"/>
                <w:sz w:val="20"/>
                <w:szCs w:val="20"/>
              </w:rPr>
              <w:t>源效</w:t>
            </w:r>
            <w:r>
              <w:rPr>
                <w:rFonts w:hint="eastAsia"/>
                <w:spacing w:val="2"/>
                <w:w w:val="99"/>
                <w:sz w:val="20"/>
                <w:szCs w:val="20"/>
              </w:rPr>
              <w:t>率</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2145</w:t>
            </w:r>
            <w:r>
              <w:rPr>
                <w:rFonts w:hint="eastAsia"/>
                <w:w w:val="99"/>
                <w:sz w:val="20"/>
                <w:szCs w:val="20"/>
              </w:rPr>
              <w:t>4</w:t>
            </w:r>
          </w:p>
        </w:tc>
      </w:tr>
      <w:tr>
        <w:tblPrEx>
          <w:tblCellMar>
            <w:top w:w="0" w:type="dxa"/>
            <w:left w:w="0" w:type="dxa"/>
            <w:bottom w:w="0" w:type="dxa"/>
            <w:right w:w="0" w:type="dxa"/>
          </w:tblCellMar>
        </w:tblPrEx>
        <w:trPr>
          <w:trHeight w:val="644"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137" w:type="pct"/>
            <w:tcBorders>
              <w:top w:val="single" w:color="000000" w:sz="4" w:space="0"/>
              <w:left w:val="single" w:color="000000" w:sz="4" w:space="0"/>
              <w:bottom w:val="nil"/>
              <w:right w:val="single" w:color="000000" w:sz="4" w:space="0"/>
            </w:tcBorders>
          </w:tcPr>
          <w:p>
            <w:pPr>
              <w:pStyle w:val="55"/>
              <w:spacing w:before="7"/>
              <w:rPr>
                <w:sz w:val="24"/>
              </w:rPr>
            </w:pPr>
          </w:p>
          <w:p>
            <w:pPr>
              <w:pStyle w:val="55"/>
              <w:ind w:left="7"/>
              <w:rPr>
                <w:sz w:val="20"/>
                <w:szCs w:val="20"/>
              </w:rPr>
            </w:pPr>
            <w:r>
              <w:rPr>
                <w:rFonts w:hint="eastAsia"/>
                <w:w w:val="99"/>
                <w:sz w:val="20"/>
                <w:szCs w:val="20"/>
              </w:rPr>
              <w:t>单元式空气调节机</w:t>
            </w:r>
          </w:p>
        </w:tc>
        <w:tc>
          <w:tcPr>
            <w:tcW w:w="1761" w:type="pct"/>
            <w:tcBorders>
              <w:top w:val="single" w:color="000000" w:sz="4" w:space="0"/>
              <w:left w:val="single" w:color="000000" w:sz="4" w:space="0"/>
              <w:bottom w:val="nil"/>
              <w:right w:val="single" w:color="000000" w:sz="4" w:space="0"/>
            </w:tcBorders>
          </w:tcPr>
          <w:p>
            <w:pPr>
              <w:pStyle w:val="55"/>
              <w:spacing w:before="9" w:line="283" w:lineRule="auto"/>
              <w:ind w:left="7" w:right="4"/>
              <w:rPr>
                <w:sz w:val="20"/>
                <w:szCs w:val="20"/>
              </w:rPr>
            </w:pPr>
            <w:r>
              <w:rPr>
                <w:rFonts w:hint="eastAsia"/>
                <w:spacing w:val="12"/>
                <w:w w:val="99"/>
                <w:sz w:val="20"/>
                <w:szCs w:val="20"/>
              </w:rPr>
              <w:t>《单元式空气调节机能</w:t>
            </w:r>
            <w:r>
              <w:rPr>
                <w:rFonts w:hint="eastAsia"/>
                <w:spacing w:val="9"/>
                <w:w w:val="99"/>
                <w:sz w:val="20"/>
                <w:szCs w:val="20"/>
              </w:rPr>
              <w:t>效</w:t>
            </w:r>
            <w:r>
              <w:rPr>
                <w:rFonts w:hint="eastAsia"/>
                <w:spacing w:val="12"/>
                <w:w w:val="99"/>
                <w:sz w:val="20"/>
                <w:szCs w:val="20"/>
              </w:rPr>
              <w:t>限定</w:t>
            </w:r>
            <w:r>
              <w:rPr>
                <w:rFonts w:hint="eastAsia"/>
                <w:w w:val="99"/>
                <w:sz w:val="20"/>
                <w:szCs w:val="20"/>
              </w:rPr>
              <w:t>值及能效</w:t>
            </w:r>
            <w:r>
              <w:rPr>
                <w:rFonts w:hint="eastAsia"/>
                <w:spacing w:val="2"/>
                <w:w w:val="99"/>
                <w:sz w:val="20"/>
                <w:szCs w:val="20"/>
              </w:rPr>
              <w:t>等</w:t>
            </w:r>
            <w:r>
              <w:rPr>
                <w:rFonts w:hint="eastAsia"/>
                <w:w w:val="99"/>
                <w:sz w:val="20"/>
                <w:szCs w:val="20"/>
              </w:rPr>
              <w:t>级</w:t>
            </w:r>
            <w:r>
              <w:rPr>
                <w:rFonts w:hint="eastAsia"/>
                <w:spacing w:val="-3"/>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w:t>
            </w:r>
            <w:r>
              <w:rPr>
                <w:rFonts w:hint="eastAsia"/>
                <w:w w:val="99"/>
                <w:sz w:val="20"/>
                <w:szCs w:val="20"/>
              </w:rPr>
              <w:t>7</w:t>
            </w:r>
            <w:r>
              <w:rPr>
                <w:rFonts w:hint="eastAsia"/>
                <w:spacing w:val="-1"/>
                <w:w w:val="99"/>
                <w:sz w:val="20"/>
                <w:szCs w:val="20"/>
              </w:rPr>
              <w:t>6</w:t>
            </w:r>
            <w:r>
              <w:rPr>
                <w:rFonts w:hint="eastAsia"/>
                <w:spacing w:val="-5"/>
                <w:w w:val="99"/>
                <w:sz w:val="20"/>
                <w:szCs w:val="20"/>
              </w:rPr>
              <w:t>）</w:t>
            </w:r>
            <w:r>
              <w:rPr>
                <w:rFonts w:hint="eastAsia"/>
                <w:w w:val="99"/>
                <w:sz w:val="20"/>
                <w:szCs w:val="20"/>
              </w:rPr>
              <w:t>《风管</w:t>
            </w:r>
          </w:p>
        </w:tc>
      </w:tr>
      <w:tr>
        <w:tblPrEx>
          <w:tblCellMar>
            <w:top w:w="0" w:type="dxa"/>
            <w:left w:w="0" w:type="dxa"/>
            <w:bottom w:w="0" w:type="dxa"/>
            <w:right w:w="0" w:type="dxa"/>
          </w:tblCellMar>
        </w:tblPrEx>
        <w:trPr>
          <w:trHeight w:val="312"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137" w:type="pct"/>
            <w:vMerge w:val="restart"/>
            <w:tcBorders>
              <w:top w:val="nil"/>
              <w:left w:val="single" w:color="000000" w:sz="4" w:space="0"/>
              <w:bottom w:val="single" w:color="000000" w:sz="4" w:space="0"/>
              <w:right w:val="single" w:color="000000" w:sz="4" w:space="0"/>
            </w:tcBorders>
          </w:tcPr>
          <w:p>
            <w:pPr>
              <w:pStyle w:val="55"/>
              <w:spacing w:line="256" w:lineRule="exact"/>
              <w:ind w:left="7"/>
              <w:rPr>
                <w:sz w:val="20"/>
                <w:szCs w:val="20"/>
              </w:rPr>
            </w:pPr>
            <w:r>
              <w:rPr>
                <w:rFonts w:hint="eastAsia"/>
                <w:spacing w:val="1"/>
                <w:w w:val="99"/>
                <w:sz w:val="20"/>
                <w:szCs w:val="20"/>
              </w:rPr>
              <w:t>(</w:t>
            </w:r>
            <w:r>
              <w:rPr>
                <w:rFonts w:hint="eastAsia"/>
                <w:w w:val="99"/>
                <w:sz w:val="20"/>
                <w:szCs w:val="20"/>
              </w:rPr>
              <w:t>制冷量</w:t>
            </w:r>
            <w:r>
              <w:rPr>
                <w:rFonts w:hint="eastAsia"/>
                <w:spacing w:val="1"/>
                <w:w w:val="99"/>
                <w:sz w:val="20"/>
                <w:szCs w:val="20"/>
              </w:rPr>
              <w:t>&gt;1400</w:t>
            </w:r>
            <w:r>
              <w:rPr>
                <w:rFonts w:hint="eastAsia"/>
                <w:w w:val="99"/>
                <w:sz w:val="20"/>
                <w:szCs w:val="20"/>
              </w:rPr>
              <w:t>0W)</w:t>
            </w:r>
          </w:p>
        </w:tc>
        <w:tc>
          <w:tcPr>
            <w:tcW w:w="1761" w:type="pct"/>
            <w:tcBorders>
              <w:top w:val="nil"/>
              <w:left w:val="single" w:color="000000" w:sz="4" w:space="0"/>
              <w:bottom w:val="nil"/>
              <w:right w:val="single" w:color="000000" w:sz="4" w:space="0"/>
            </w:tcBorders>
          </w:tcPr>
          <w:p>
            <w:pPr>
              <w:pStyle w:val="55"/>
              <w:spacing w:line="256" w:lineRule="exact"/>
              <w:ind w:left="7"/>
              <w:rPr>
                <w:sz w:val="20"/>
                <w:szCs w:val="20"/>
              </w:rPr>
            </w:pPr>
            <w:r>
              <w:rPr>
                <w:rFonts w:hint="eastAsia"/>
                <w:spacing w:val="12"/>
                <w:w w:val="99"/>
                <w:sz w:val="20"/>
                <w:szCs w:val="20"/>
              </w:rPr>
              <w:t>送风式空调机组能效限</w:t>
            </w:r>
            <w:r>
              <w:rPr>
                <w:rFonts w:hint="eastAsia"/>
                <w:spacing w:val="9"/>
                <w:w w:val="99"/>
                <w:sz w:val="20"/>
                <w:szCs w:val="20"/>
              </w:rPr>
              <w:t>定</w:t>
            </w:r>
            <w:r>
              <w:rPr>
                <w:rFonts w:hint="eastAsia"/>
                <w:spacing w:val="12"/>
                <w:w w:val="99"/>
                <w:sz w:val="20"/>
                <w:szCs w:val="20"/>
              </w:rPr>
              <w:t>值及</w:t>
            </w:r>
            <w:r>
              <w:rPr>
                <w:rFonts w:hint="eastAsia"/>
                <w:w w:val="99"/>
                <w:sz w:val="20"/>
                <w:szCs w:val="20"/>
              </w:rPr>
              <w:t>能</w:t>
            </w:r>
          </w:p>
        </w:tc>
      </w:tr>
      <w:tr>
        <w:tblPrEx>
          <w:tblCellMar>
            <w:top w:w="0" w:type="dxa"/>
            <w:left w:w="0" w:type="dxa"/>
            <w:bottom w:w="0" w:type="dxa"/>
            <w:right w:w="0" w:type="dxa"/>
          </w:tblCellMar>
        </w:tblPrEx>
        <w:trPr>
          <w:trHeight w:val="326" w:hRule="atLeas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137" w:type="pct"/>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761" w:type="pct"/>
            <w:tcBorders>
              <w:top w:val="nil"/>
              <w:left w:val="single" w:color="000000" w:sz="4" w:space="0"/>
              <w:bottom w:val="single" w:color="000000" w:sz="4" w:space="0"/>
              <w:right w:val="single" w:color="000000" w:sz="4" w:space="0"/>
            </w:tcBorders>
          </w:tcPr>
          <w:p>
            <w:pPr>
              <w:pStyle w:val="55"/>
              <w:spacing w:line="256" w:lineRule="exact"/>
              <w:ind w:left="7"/>
              <w:rPr>
                <w:sz w:val="20"/>
                <w:szCs w:val="20"/>
              </w:rPr>
            </w:pPr>
            <w:r>
              <w:rPr>
                <w:rFonts w:hint="eastAsia"/>
                <w:w w:val="99"/>
                <w:sz w:val="20"/>
                <w:szCs w:val="20"/>
              </w:rPr>
              <w:t>效等级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w:t>
            </w:r>
            <w:r>
              <w:rPr>
                <w:rFonts w:hint="eastAsia"/>
                <w:w w:val="99"/>
                <w:sz w:val="20"/>
                <w:szCs w:val="20"/>
              </w:rPr>
              <w:t>47</w:t>
            </w:r>
            <w:r>
              <w:rPr>
                <w:rFonts w:hint="eastAsia"/>
                <w:spacing w:val="1"/>
                <w:w w:val="99"/>
                <w:sz w:val="20"/>
                <w:szCs w:val="20"/>
              </w:rPr>
              <w:t>9</w:t>
            </w:r>
            <w:r>
              <w:rPr>
                <w:rFonts w:hint="eastAsia"/>
                <w:w w:val="99"/>
                <w:sz w:val="20"/>
                <w:szCs w:val="20"/>
              </w:rPr>
              <w:t>）</w:t>
            </w:r>
          </w:p>
        </w:tc>
      </w:tr>
      <w:tr>
        <w:tblPrEx>
          <w:tblCellMar>
            <w:top w:w="0" w:type="dxa"/>
            <w:left w:w="0" w:type="dxa"/>
            <w:bottom w:w="0" w:type="dxa"/>
            <w:right w:w="0" w:type="dxa"/>
          </w:tblCellMar>
        </w:tblPrEx>
        <w:trPr>
          <w:trHeight w:val="405"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lang w:eastAsia="en-US"/>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lang w:eastAsia="en-US"/>
              </w:rPr>
            </w:pPr>
          </w:p>
        </w:tc>
        <w:tc>
          <w:tcPr>
            <w:tcW w:w="1068" w:type="pct"/>
            <w:tcBorders>
              <w:top w:val="single" w:color="000000" w:sz="4" w:space="0"/>
              <w:left w:val="single" w:color="000000" w:sz="4" w:space="0"/>
              <w:bottom w:val="nil"/>
              <w:right w:val="single" w:color="000000" w:sz="4" w:space="0"/>
            </w:tcBorders>
          </w:tcPr>
          <w:p>
            <w:pPr>
              <w:pStyle w:val="55"/>
              <w:spacing w:before="83"/>
              <w:ind w:left="7"/>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52</w:t>
            </w:r>
            <w:r>
              <w:rPr>
                <w:rFonts w:hint="eastAsia"/>
                <w:spacing w:val="1"/>
                <w:w w:val="99"/>
                <w:sz w:val="20"/>
                <w:szCs w:val="20"/>
              </w:rPr>
              <w:t>3</w:t>
            </w:r>
            <w:r>
              <w:rPr>
                <w:rFonts w:hint="eastAsia"/>
                <w:w w:val="99"/>
                <w:sz w:val="20"/>
                <w:szCs w:val="20"/>
              </w:rPr>
              <w:t>09专用制</w:t>
            </w:r>
          </w:p>
        </w:tc>
        <w:tc>
          <w:tcPr>
            <w:tcW w:w="1137" w:type="pct"/>
            <w:vMerge w:val="restart"/>
            <w:tcBorders>
              <w:top w:val="single" w:color="000000" w:sz="4" w:space="0"/>
              <w:left w:val="single" w:color="000000" w:sz="4" w:space="0"/>
              <w:bottom w:val="single" w:color="000000" w:sz="4" w:space="0"/>
              <w:right w:val="single" w:color="000000" w:sz="4" w:space="0"/>
            </w:tcBorders>
          </w:tcPr>
          <w:p>
            <w:pPr>
              <w:pStyle w:val="55"/>
              <w:spacing w:before="1"/>
              <w:rPr>
                <w:sz w:val="18"/>
                <w:szCs w:val="18"/>
              </w:rPr>
            </w:pPr>
          </w:p>
          <w:p>
            <w:pPr>
              <w:pStyle w:val="55"/>
              <w:ind w:left="7"/>
              <w:rPr>
                <w:sz w:val="20"/>
                <w:szCs w:val="20"/>
              </w:rPr>
            </w:pPr>
            <w:r>
              <w:rPr>
                <w:rFonts w:hint="eastAsia"/>
                <w:w w:val="99"/>
                <w:sz w:val="20"/>
                <w:szCs w:val="20"/>
              </w:rPr>
              <w:t>机房空调</w:t>
            </w:r>
          </w:p>
        </w:tc>
        <w:tc>
          <w:tcPr>
            <w:tcW w:w="1761" w:type="pct"/>
            <w:tcBorders>
              <w:top w:val="single" w:color="000000" w:sz="4" w:space="0"/>
              <w:left w:val="single" w:color="000000" w:sz="4" w:space="0"/>
              <w:bottom w:val="nil"/>
              <w:right w:val="single" w:color="000000" w:sz="4" w:space="0"/>
            </w:tcBorders>
          </w:tcPr>
          <w:p>
            <w:pPr>
              <w:pStyle w:val="55"/>
              <w:spacing w:before="83"/>
              <w:ind w:left="7"/>
              <w:rPr>
                <w:sz w:val="20"/>
                <w:szCs w:val="20"/>
              </w:rPr>
            </w:pPr>
            <w:r>
              <w:rPr>
                <w:rFonts w:hint="eastAsia"/>
                <w:spacing w:val="12"/>
                <w:w w:val="99"/>
                <w:sz w:val="20"/>
                <w:szCs w:val="20"/>
              </w:rPr>
              <w:t>《单元式空气调节机能</w:t>
            </w:r>
            <w:r>
              <w:rPr>
                <w:rFonts w:hint="eastAsia"/>
                <w:spacing w:val="9"/>
                <w:w w:val="99"/>
                <w:sz w:val="20"/>
                <w:szCs w:val="20"/>
              </w:rPr>
              <w:t>效</w:t>
            </w:r>
            <w:r>
              <w:rPr>
                <w:rFonts w:hint="eastAsia"/>
                <w:spacing w:val="12"/>
                <w:w w:val="99"/>
                <w:sz w:val="20"/>
                <w:szCs w:val="20"/>
              </w:rPr>
              <w:t>限定</w:t>
            </w:r>
            <w:r>
              <w:rPr>
                <w:rFonts w:hint="eastAsia"/>
                <w:w w:val="99"/>
                <w:sz w:val="20"/>
                <w:szCs w:val="20"/>
              </w:rPr>
              <w:t>值</w:t>
            </w:r>
          </w:p>
        </w:tc>
      </w:tr>
      <w:tr>
        <w:tblPrEx>
          <w:tblCellMar>
            <w:top w:w="0" w:type="dxa"/>
            <w:left w:w="0" w:type="dxa"/>
            <w:bottom w:w="0" w:type="dxa"/>
            <w:right w:w="0" w:type="dxa"/>
          </w:tblCellMar>
        </w:tblPrEx>
        <w:trPr>
          <w:trHeight w:val="397"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tcBorders>
              <w:top w:val="nil"/>
              <w:left w:val="single" w:color="000000" w:sz="4" w:space="0"/>
              <w:bottom w:val="single" w:color="000000" w:sz="4" w:space="0"/>
              <w:right w:val="single" w:color="000000" w:sz="4" w:space="0"/>
            </w:tcBorders>
          </w:tcPr>
          <w:p>
            <w:pPr>
              <w:pStyle w:val="55"/>
              <w:spacing w:line="254" w:lineRule="exact"/>
              <w:ind w:left="7"/>
              <w:rPr>
                <w:sz w:val="20"/>
                <w:szCs w:val="20"/>
              </w:rPr>
            </w:pPr>
            <w:r>
              <w:rPr>
                <w:rFonts w:hint="eastAsia"/>
                <w:w w:val="99"/>
                <w:sz w:val="20"/>
                <w:szCs w:val="20"/>
              </w:rPr>
              <w:t>冷、空</w:t>
            </w:r>
            <w:r>
              <w:rPr>
                <w:rFonts w:hint="eastAsia"/>
                <w:spacing w:val="2"/>
                <w:w w:val="99"/>
                <w:sz w:val="20"/>
                <w:szCs w:val="20"/>
              </w:rPr>
              <w:t>调</w:t>
            </w:r>
            <w:r>
              <w:rPr>
                <w:rFonts w:hint="eastAsia"/>
                <w:w w:val="99"/>
                <w:sz w:val="20"/>
                <w:szCs w:val="20"/>
              </w:rPr>
              <w:t>设备</w:t>
            </w:r>
          </w:p>
        </w:tc>
        <w:tc>
          <w:tcPr>
            <w:tcW w:w="1137"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lang w:eastAsia="en-US"/>
              </w:rPr>
            </w:pPr>
          </w:p>
        </w:tc>
        <w:tc>
          <w:tcPr>
            <w:tcW w:w="1761" w:type="pct"/>
            <w:tcBorders>
              <w:top w:val="nil"/>
              <w:left w:val="single" w:color="000000" w:sz="4" w:space="0"/>
              <w:bottom w:val="single" w:color="000000" w:sz="4" w:space="0"/>
              <w:right w:val="single" w:color="000000" w:sz="4" w:space="0"/>
            </w:tcBorders>
          </w:tcPr>
          <w:p>
            <w:pPr>
              <w:pStyle w:val="55"/>
              <w:spacing w:line="254" w:lineRule="exact"/>
              <w:ind w:left="7"/>
              <w:rPr>
                <w:sz w:val="20"/>
                <w:szCs w:val="20"/>
              </w:rPr>
            </w:pPr>
            <w:r>
              <w:rPr>
                <w:rFonts w:hint="eastAsia"/>
                <w:w w:val="99"/>
                <w:sz w:val="20"/>
                <w:szCs w:val="20"/>
              </w:rPr>
              <w:t>及能效</w:t>
            </w:r>
            <w:r>
              <w:rPr>
                <w:rFonts w:hint="eastAsia"/>
                <w:spacing w:val="2"/>
                <w:w w:val="99"/>
                <w:sz w:val="20"/>
                <w:szCs w:val="20"/>
              </w:rPr>
              <w:t>等</w:t>
            </w:r>
            <w:r>
              <w:rPr>
                <w:rFonts w:hint="eastAsia"/>
                <w:w w:val="99"/>
                <w:sz w:val="20"/>
                <w:szCs w:val="20"/>
              </w:rPr>
              <w:t>级》（</w:t>
            </w:r>
            <w:r>
              <w:rPr>
                <w:rFonts w:hint="eastAsia"/>
                <w:spacing w:val="1"/>
                <w:w w:val="99"/>
                <w:sz w:val="20"/>
                <w:szCs w:val="20"/>
              </w:rPr>
              <w:t>G</w:t>
            </w:r>
            <w:r>
              <w:rPr>
                <w:rFonts w:hint="eastAsia"/>
                <w:w w:val="99"/>
                <w:sz w:val="20"/>
                <w:szCs w:val="20"/>
              </w:rPr>
              <w:t>B</w:t>
            </w:r>
            <w:r>
              <w:rPr>
                <w:rFonts w:hint="eastAsia"/>
                <w:spacing w:val="1"/>
                <w:w w:val="99"/>
                <w:sz w:val="20"/>
                <w:szCs w:val="20"/>
              </w:rPr>
              <w:t>19576</w:t>
            </w:r>
            <w:r>
              <w:rPr>
                <w:rFonts w:hint="eastAsia"/>
                <w:w w:val="99"/>
                <w:sz w:val="20"/>
                <w:szCs w:val="20"/>
              </w:rPr>
              <w:t>）</w:t>
            </w:r>
          </w:p>
        </w:tc>
      </w:tr>
      <w:tr>
        <w:tblPrEx>
          <w:tblCellMar>
            <w:top w:w="0" w:type="dxa"/>
            <w:left w:w="0" w:type="dxa"/>
            <w:bottom w:w="0" w:type="dxa"/>
            <w:right w:w="0" w:type="dxa"/>
          </w:tblCellMar>
        </w:tblPrEx>
        <w:trPr>
          <w:trHeight w:val="543"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vMerge w:val="restart"/>
            <w:tcBorders>
              <w:top w:val="single" w:color="000000" w:sz="4" w:space="0"/>
              <w:left w:val="single" w:color="000000" w:sz="4" w:space="0"/>
              <w:bottom w:val="nil"/>
              <w:right w:val="single" w:color="000000" w:sz="4" w:space="0"/>
            </w:tcBorders>
          </w:tcPr>
          <w:p>
            <w:pPr>
              <w:pStyle w:val="55"/>
              <w:rPr>
                <w:sz w:val="20"/>
                <w:szCs w:val="20"/>
              </w:rPr>
            </w:pPr>
          </w:p>
          <w:p>
            <w:pPr>
              <w:pStyle w:val="55"/>
              <w:spacing w:before="9"/>
              <w:rPr>
                <w:sz w:val="20"/>
                <w:szCs w:val="20"/>
              </w:rPr>
            </w:pPr>
          </w:p>
          <w:p>
            <w:pPr>
              <w:pStyle w:val="55"/>
              <w:ind w:left="7"/>
              <w:rPr>
                <w:sz w:val="20"/>
                <w:szCs w:val="20"/>
              </w:rPr>
            </w:pPr>
            <w:r>
              <w:rPr>
                <w:rFonts w:hint="eastAsia"/>
                <w:spacing w:val="1"/>
                <w:w w:val="99"/>
                <w:sz w:val="20"/>
                <w:szCs w:val="20"/>
              </w:rPr>
              <w:t>A02</w:t>
            </w:r>
            <w:r>
              <w:rPr>
                <w:rFonts w:hint="eastAsia"/>
                <w:w w:val="99"/>
                <w:sz w:val="20"/>
                <w:szCs w:val="20"/>
              </w:rPr>
              <w:t>05</w:t>
            </w:r>
            <w:r>
              <w:rPr>
                <w:rFonts w:hint="eastAsia"/>
                <w:spacing w:val="1"/>
                <w:w w:val="99"/>
                <w:sz w:val="20"/>
                <w:szCs w:val="20"/>
              </w:rPr>
              <w:t>2</w:t>
            </w:r>
            <w:r>
              <w:rPr>
                <w:rFonts w:hint="eastAsia"/>
                <w:w w:val="99"/>
                <w:sz w:val="20"/>
                <w:szCs w:val="20"/>
              </w:rPr>
              <w:t>399其他制冷</w:t>
            </w:r>
          </w:p>
        </w:tc>
        <w:tc>
          <w:tcPr>
            <w:tcW w:w="1137" w:type="pct"/>
            <w:vMerge w:val="restart"/>
            <w:tcBorders>
              <w:top w:val="single" w:color="000000" w:sz="4" w:space="0"/>
              <w:left w:val="single" w:color="000000" w:sz="4" w:space="0"/>
              <w:bottom w:val="single" w:color="000000" w:sz="4" w:space="0"/>
              <w:right w:val="single" w:color="000000" w:sz="4" w:space="0"/>
            </w:tcBorders>
          </w:tcPr>
          <w:p>
            <w:pPr>
              <w:pStyle w:val="55"/>
              <w:rPr>
                <w:sz w:val="20"/>
                <w:szCs w:val="20"/>
              </w:rPr>
            </w:pPr>
          </w:p>
          <w:p>
            <w:pPr>
              <w:pStyle w:val="55"/>
              <w:rPr>
                <w:sz w:val="20"/>
                <w:szCs w:val="20"/>
              </w:rPr>
            </w:pPr>
          </w:p>
          <w:p>
            <w:pPr>
              <w:pStyle w:val="55"/>
              <w:spacing w:before="164"/>
              <w:ind w:left="7"/>
              <w:rPr>
                <w:sz w:val="20"/>
                <w:szCs w:val="20"/>
              </w:rPr>
            </w:pPr>
            <w:r>
              <w:rPr>
                <w:rFonts w:hint="eastAsia"/>
                <w:w w:val="99"/>
                <w:sz w:val="20"/>
                <w:szCs w:val="20"/>
              </w:rPr>
              <w:t>冷却塔</w:t>
            </w:r>
          </w:p>
        </w:tc>
        <w:tc>
          <w:tcPr>
            <w:tcW w:w="1761" w:type="pct"/>
            <w:tcBorders>
              <w:top w:val="single" w:color="000000" w:sz="4" w:space="0"/>
              <w:left w:val="single" w:color="000000" w:sz="4" w:space="0"/>
              <w:bottom w:val="nil"/>
              <w:right w:val="single" w:color="000000" w:sz="4" w:space="0"/>
            </w:tcBorders>
          </w:tcPr>
          <w:p>
            <w:pPr>
              <w:pStyle w:val="55"/>
              <w:spacing w:before="11"/>
              <w:rPr>
                <w:sz w:val="16"/>
                <w:szCs w:val="16"/>
              </w:rPr>
            </w:pPr>
          </w:p>
          <w:p>
            <w:pPr>
              <w:pStyle w:val="55"/>
              <w:ind w:left="7"/>
              <w:rPr>
                <w:sz w:val="20"/>
                <w:szCs w:val="20"/>
              </w:rPr>
            </w:pPr>
            <w:r>
              <w:rPr>
                <w:rFonts w:hint="eastAsia"/>
                <w:w w:val="99"/>
                <w:sz w:val="20"/>
                <w:szCs w:val="20"/>
              </w:rPr>
              <w:t>《机械</w:t>
            </w:r>
            <w:r>
              <w:rPr>
                <w:rFonts w:hint="eastAsia"/>
                <w:spacing w:val="2"/>
                <w:w w:val="99"/>
                <w:sz w:val="20"/>
                <w:szCs w:val="20"/>
              </w:rPr>
              <w:t>通</w:t>
            </w:r>
            <w:r>
              <w:rPr>
                <w:rFonts w:hint="eastAsia"/>
                <w:w w:val="99"/>
                <w:sz w:val="20"/>
                <w:szCs w:val="20"/>
              </w:rPr>
              <w:t>风冷</w:t>
            </w:r>
            <w:r>
              <w:rPr>
                <w:rFonts w:hint="eastAsia"/>
                <w:spacing w:val="2"/>
                <w:w w:val="99"/>
                <w:sz w:val="20"/>
                <w:szCs w:val="20"/>
              </w:rPr>
              <w:t>却</w:t>
            </w:r>
            <w:r>
              <w:rPr>
                <w:rFonts w:hint="eastAsia"/>
                <w:w w:val="99"/>
                <w:sz w:val="20"/>
                <w:szCs w:val="20"/>
              </w:rPr>
              <w:t>塔第1部分：中</w:t>
            </w:r>
          </w:p>
        </w:tc>
      </w:tr>
      <w:tr>
        <w:tblPrEx>
          <w:tblCellMar>
            <w:top w:w="0" w:type="dxa"/>
            <w:left w:w="0" w:type="dxa"/>
            <w:bottom w:w="0" w:type="dxa"/>
            <w:right w:w="0" w:type="dxa"/>
          </w:tblCellMar>
        </w:tblPrEx>
        <w:trPr>
          <w:trHeight w:val="312" w:hRule="atLeas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vMerge w:val="continue"/>
            <w:tcBorders>
              <w:top w:val="single" w:color="000000" w:sz="4" w:space="0"/>
              <w:left w:val="single" w:color="000000" w:sz="4" w:space="0"/>
              <w:bottom w:val="nil"/>
              <w:right w:val="single" w:color="000000" w:sz="4" w:space="0"/>
            </w:tcBorders>
            <w:vAlign w:val="center"/>
          </w:tcPr>
          <w:p>
            <w:pPr>
              <w:widowControl/>
              <w:rPr>
                <w:rFonts w:ascii="宋体" w:hAnsi="宋体" w:cs="宋体"/>
                <w:sz w:val="20"/>
                <w:szCs w:val="20"/>
              </w:rPr>
            </w:pPr>
          </w:p>
        </w:tc>
        <w:tc>
          <w:tcPr>
            <w:tcW w:w="1137"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761" w:type="pct"/>
            <w:tcBorders>
              <w:top w:val="nil"/>
              <w:left w:val="single" w:color="000000" w:sz="4" w:space="0"/>
              <w:bottom w:val="nil"/>
              <w:right w:val="single" w:color="000000" w:sz="4" w:space="0"/>
            </w:tcBorders>
          </w:tcPr>
          <w:p>
            <w:pPr>
              <w:pStyle w:val="55"/>
              <w:spacing w:line="256" w:lineRule="exact"/>
              <w:ind w:left="7"/>
              <w:rPr>
                <w:sz w:val="20"/>
                <w:szCs w:val="20"/>
              </w:rPr>
            </w:pPr>
            <w:r>
              <w:rPr>
                <w:rFonts w:hint="eastAsia"/>
                <w:w w:val="99"/>
                <w:sz w:val="20"/>
                <w:szCs w:val="20"/>
              </w:rPr>
              <w:t>小型开</w:t>
            </w:r>
            <w:r>
              <w:rPr>
                <w:rFonts w:hint="eastAsia"/>
                <w:spacing w:val="2"/>
                <w:w w:val="99"/>
                <w:sz w:val="20"/>
                <w:szCs w:val="20"/>
              </w:rPr>
              <w:t>式</w:t>
            </w:r>
            <w:r>
              <w:rPr>
                <w:rFonts w:hint="eastAsia"/>
                <w:w w:val="99"/>
                <w:sz w:val="20"/>
                <w:szCs w:val="20"/>
              </w:rPr>
              <w:t>冷却</w:t>
            </w:r>
            <w:r>
              <w:rPr>
                <w:rFonts w:hint="eastAsia"/>
                <w:spacing w:val="2"/>
                <w:w w:val="99"/>
                <w:sz w:val="20"/>
                <w:szCs w:val="20"/>
              </w:rPr>
              <w:t>塔</w:t>
            </w:r>
            <w:r>
              <w:rPr>
                <w:rFonts w:hint="eastAsia"/>
                <w:spacing w:val="-171"/>
                <w:w w:val="99"/>
                <w:sz w:val="20"/>
                <w:szCs w:val="20"/>
              </w:rPr>
              <w:t>》</w:t>
            </w:r>
            <w:r>
              <w:rPr>
                <w:rFonts w:hint="eastAsia"/>
                <w:spacing w:val="-1"/>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w:t>
            </w:r>
            <w:r>
              <w:rPr>
                <w:rFonts w:hint="eastAsia"/>
                <w:w w:val="99"/>
                <w:sz w:val="20"/>
                <w:szCs w:val="20"/>
              </w:rPr>
              <w:t>T7190</w:t>
            </w:r>
            <w:r>
              <w:rPr>
                <w:rFonts w:hint="eastAsia"/>
                <w:spacing w:val="1"/>
                <w:w w:val="99"/>
                <w:sz w:val="20"/>
                <w:szCs w:val="20"/>
              </w:rPr>
              <w:t>.1</w:t>
            </w:r>
            <w:r>
              <w:rPr>
                <w:rFonts w:hint="eastAsia"/>
                <w:spacing w:val="-87"/>
                <w:w w:val="99"/>
                <w:sz w:val="20"/>
                <w:szCs w:val="20"/>
              </w:rPr>
              <w:t>）</w:t>
            </w:r>
          </w:p>
        </w:tc>
      </w:tr>
      <w:tr>
        <w:tblPrEx>
          <w:tblCellMar>
            <w:top w:w="0" w:type="dxa"/>
            <w:left w:w="0" w:type="dxa"/>
            <w:bottom w:w="0" w:type="dxa"/>
            <w:right w:w="0" w:type="dxa"/>
          </w:tblCellMar>
        </w:tblPrEx>
        <w:trPr>
          <w:trHeight w:val="312"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vMerge w:val="restart"/>
            <w:tcBorders>
              <w:top w:val="nil"/>
              <w:left w:val="single" w:color="000000" w:sz="4" w:space="0"/>
              <w:bottom w:val="single" w:color="000000" w:sz="4" w:space="0"/>
              <w:right w:val="single" w:color="000000" w:sz="4" w:space="0"/>
            </w:tcBorders>
          </w:tcPr>
          <w:p>
            <w:pPr>
              <w:pStyle w:val="55"/>
              <w:spacing w:line="256" w:lineRule="exact"/>
              <w:ind w:left="7"/>
              <w:rPr>
                <w:sz w:val="20"/>
                <w:szCs w:val="20"/>
              </w:rPr>
            </w:pPr>
            <w:r>
              <w:rPr>
                <w:rFonts w:hint="eastAsia"/>
                <w:w w:val="99"/>
                <w:sz w:val="20"/>
                <w:szCs w:val="20"/>
              </w:rPr>
              <w:t>空调设备</w:t>
            </w:r>
          </w:p>
        </w:tc>
        <w:tc>
          <w:tcPr>
            <w:tcW w:w="1137"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lang w:eastAsia="en-US"/>
              </w:rPr>
            </w:pPr>
          </w:p>
        </w:tc>
        <w:tc>
          <w:tcPr>
            <w:tcW w:w="1761" w:type="pct"/>
            <w:tcBorders>
              <w:top w:val="nil"/>
              <w:left w:val="single" w:color="000000" w:sz="4" w:space="0"/>
              <w:bottom w:val="nil"/>
              <w:right w:val="single" w:color="000000" w:sz="4" w:space="0"/>
            </w:tcBorders>
          </w:tcPr>
          <w:p>
            <w:pPr>
              <w:pStyle w:val="55"/>
              <w:spacing w:line="256" w:lineRule="exact"/>
              <w:ind w:left="7"/>
              <w:rPr>
                <w:sz w:val="20"/>
                <w:szCs w:val="20"/>
              </w:rPr>
            </w:pPr>
            <w:r>
              <w:rPr>
                <w:rFonts w:hint="eastAsia"/>
                <w:w w:val="99"/>
                <w:sz w:val="20"/>
                <w:szCs w:val="20"/>
              </w:rPr>
              <w:t>《机械</w:t>
            </w:r>
            <w:r>
              <w:rPr>
                <w:rFonts w:hint="eastAsia"/>
                <w:spacing w:val="2"/>
                <w:w w:val="99"/>
                <w:sz w:val="20"/>
                <w:szCs w:val="20"/>
              </w:rPr>
              <w:t>通</w:t>
            </w:r>
            <w:r>
              <w:rPr>
                <w:rFonts w:hint="eastAsia"/>
                <w:w w:val="99"/>
                <w:sz w:val="20"/>
                <w:szCs w:val="20"/>
              </w:rPr>
              <w:t>风冷</w:t>
            </w:r>
            <w:r>
              <w:rPr>
                <w:rFonts w:hint="eastAsia"/>
                <w:spacing w:val="2"/>
                <w:w w:val="99"/>
                <w:sz w:val="20"/>
                <w:szCs w:val="20"/>
              </w:rPr>
              <w:t>却</w:t>
            </w:r>
            <w:r>
              <w:rPr>
                <w:rFonts w:hint="eastAsia"/>
                <w:w w:val="99"/>
                <w:sz w:val="20"/>
                <w:szCs w:val="20"/>
              </w:rPr>
              <w:t>塔第2部分：大</w:t>
            </w:r>
          </w:p>
        </w:tc>
      </w:tr>
      <w:tr>
        <w:tblPrEx>
          <w:tblCellMar>
            <w:top w:w="0" w:type="dxa"/>
            <w:left w:w="0" w:type="dxa"/>
            <w:bottom w:w="0" w:type="dxa"/>
            <w:right w:w="0" w:type="dxa"/>
          </w:tblCellMar>
        </w:tblPrEx>
        <w:trPr>
          <w:trHeight w:val="535" w:hRule="atLeas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rPr>
            </w:pPr>
          </w:p>
        </w:tc>
        <w:tc>
          <w:tcPr>
            <w:tcW w:w="1068" w:type="pct"/>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137"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1761" w:type="pct"/>
            <w:tcBorders>
              <w:top w:val="nil"/>
              <w:left w:val="single" w:color="000000" w:sz="4" w:space="0"/>
              <w:bottom w:val="single" w:color="000000" w:sz="4" w:space="0"/>
              <w:right w:val="single" w:color="000000" w:sz="4" w:space="0"/>
            </w:tcBorders>
          </w:tcPr>
          <w:p>
            <w:pPr>
              <w:pStyle w:val="55"/>
              <w:spacing w:line="256" w:lineRule="exact"/>
              <w:ind w:left="7"/>
              <w:rPr>
                <w:sz w:val="20"/>
                <w:szCs w:val="20"/>
              </w:rPr>
            </w:pPr>
            <w:r>
              <w:rPr>
                <w:rFonts w:hint="eastAsia"/>
                <w:w w:val="99"/>
                <w:sz w:val="20"/>
                <w:szCs w:val="20"/>
              </w:rPr>
              <w:t>型开式</w:t>
            </w:r>
            <w:r>
              <w:rPr>
                <w:rFonts w:hint="eastAsia"/>
                <w:spacing w:val="2"/>
                <w:w w:val="99"/>
                <w:sz w:val="20"/>
                <w:szCs w:val="20"/>
              </w:rPr>
              <w:t>冷</w:t>
            </w:r>
            <w:r>
              <w:rPr>
                <w:rFonts w:hint="eastAsia"/>
                <w:w w:val="99"/>
                <w:sz w:val="20"/>
                <w:szCs w:val="20"/>
              </w:rPr>
              <w:t>却塔</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w:t>
            </w:r>
            <w:r>
              <w:rPr>
                <w:rFonts w:hint="eastAsia"/>
                <w:w w:val="99"/>
                <w:sz w:val="20"/>
                <w:szCs w:val="20"/>
              </w:rPr>
              <w:t>T719</w:t>
            </w:r>
            <w:r>
              <w:rPr>
                <w:rFonts w:hint="eastAsia"/>
                <w:spacing w:val="1"/>
                <w:w w:val="99"/>
                <w:sz w:val="20"/>
                <w:szCs w:val="20"/>
              </w:rPr>
              <w:t>0.</w:t>
            </w:r>
            <w:r>
              <w:rPr>
                <w:rFonts w:hint="eastAsia"/>
                <w:w w:val="99"/>
                <w:sz w:val="20"/>
                <w:szCs w:val="20"/>
              </w:rPr>
              <w:t>2</w:t>
            </w:r>
          </w:p>
        </w:tc>
      </w:tr>
      <w:tr>
        <w:tblPrEx>
          <w:tblCellMar>
            <w:top w:w="0" w:type="dxa"/>
            <w:left w:w="0" w:type="dxa"/>
            <w:bottom w:w="0" w:type="dxa"/>
            <w:right w:w="0" w:type="dxa"/>
          </w:tblCellMar>
        </w:tblPrEx>
        <w:trPr>
          <w:trHeight w:val="742" w:hRule="exact"/>
        </w:trPr>
        <w:tc>
          <w:tcPr>
            <w:tcW w:w="340" w:type="pct"/>
            <w:tcBorders>
              <w:top w:val="single" w:color="000000" w:sz="4" w:space="0"/>
              <w:left w:val="single" w:color="000000" w:sz="4" w:space="0"/>
              <w:bottom w:val="single" w:color="000000" w:sz="4" w:space="0"/>
              <w:right w:val="single" w:color="000000" w:sz="4" w:space="0"/>
            </w:tcBorders>
          </w:tcPr>
          <w:p>
            <w:pPr>
              <w:pStyle w:val="55"/>
              <w:spacing w:before="12"/>
              <w:rPr>
                <w:sz w:val="15"/>
                <w:szCs w:val="15"/>
              </w:rPr>
            </w:pPr>
          </w:p>
          <w:p>
            <w:pPr>
              <w:pStyle w:val="55"/>
              <w:ind w:right="1"/>
              <w:jc w:val="center"/>
              <w:rPr>
                <w:sz w:val="20"/>
                <w:szCs w:val="20"/>
              </w:rPr>
            </w:pPr>
            <w:r>
              <w:rPr>
                <w:rFonts w:hint="eastAsia"/>
                <w:w w:val="99"/>
                <w:sz w:val="20"/>
              </w:rPr>
              <w:t>7</w:t>
            </w:r>
          </w:p>
        </w:tc>
        <w:tc>
          <w:tcPr>
            <w:tcW w:w="691" w:type="pct"/>
            <w:tcBorders>
              <w:top w:val="single" w:color="000000" w:sz="4" w:space="0"/>
              <w:left w:val="single" w:color="000000" w:sz="4" w:space="0"/>
              <w:bottom w:val="single" w:color="000000" w:sz="4" w:space="0"/>
              <w:right w:val="single" w:color="000000" w:sz="4" w:space="0"/>
            </w:tcBorders>
          </w:tcPr>
          <w:p>
            <w:pPr>
              <w:pStyle w:val="55"/>
              <w:spacing w:before="12"/>
              <w:rPr>
                <w:sz w:val="15"/>
                <w:szCs w:val="15"/>
              </w:rPr>
            </w:pPr>
          </w:p>
          <w:p>
            <w:pPr>
              <w:pStyle w:val="55"/>
              <w:ind w:left="7"/>
              <w:rPr>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0</w:t>
            </w:r>
            <w:r>
              <w:rPr>
                <w:rFonts w:hint="eastAsia"/>
                <w:w w:val="99"/>
                <w:sz w:val="20"/>
                <w:szCs w:val="20"/>
              </w:rPr>
              <w:t>1电机</w:t>
            </w:r>
          </w:p>
        </w:tc>
        <w:tc>
          <w:tcPr>
            <w:tcW w:w="1068"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52" w:line="283" w:lineRule="auto"/>
              <w:ind w:left="7" w:right="4"/>
              <w:rPr>
                <w:sz w:val="20"/>
                <w:szCs w:val="20"/>
              </w:rPr>
            </w:pPr>
            <w:r>
              <w:rPr>
                <w:rFonts w:hint="eastAsia"/>
                <w:spacing w:val="12"/>
                <w:w w:val="99"/>
                <w:sz w:val="20"/>
                <w:szCs w:val="20"/>
              </w:rPr>
              <w:t>《中小型三相异步电动</w:t>
            </w:r>
            <w:r>
              <w:rPr>
                <w:rFonts w:hint="eastAsia"/>
                <w:spacing w:val="9"/>
                <w:w w:val="99"/>
                <w:sz w:val="20"/>
                <w:szCs w:val="20"/>
              </w:rPr>
              <w:t>机</w:t>
            </w:r>
            <w:r>
              <w:rPr>
                <w:rFonts w:hint="eastAsia"/>
                <w:spacing w:val="12"/>
                <w:w w:val="99"/>
                <w:sz w:val="20"/>
                <w:szCs w:val="20"/>
              </w:rPr>
              <w:t>能效</w:t>
            </w:r>
            <w:r>
              <w:rPr>
                <w:rFonts w:hint="eastAsia"/>
                <w:w w:val="99"/>
                <w:sz w:val="20"/>
                <w:szCs w:val="20"/>
              </w:rPr>
              <w:t>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18</w:t>
            </w:r>
            <w:r>
              <w:rPr>
                <w:rFonts w:hint="eastAsia"/>
                <w:w w:val="99"/>
                <w:sz w:val="20"/>
                <w:szCs w:val="20"/>
              </w:rPr>
              <w:t>61</w:t>
            </w:r>
            <w:r>
              <w:rPr>
                <w:rFonts w:hint="eastAsia"/>
                <w:spacing w:val="1"/>
                <w:w w:val="99"/>
                <w:sz w:val="20"/>
                <w:szCs w:val="20"/>
              </w:rPr>
              <w:t>3</w:t>
            </w:r>
            <w:r>
              <w:rPr>
                <w:rFonts w:hint="eastAsia"/>
                <w:w w:val="99"/>
                <w:sz w:val="20"/>
                <w:szCs w:val="20"/>
              </w:rPr>
              <w:t>）</w:t>
            </w:r>
          </w:p>
        </w:tc>
      </w:tr>
      <w:tr>
        <w:tblPrEx>
          <w:tblCellMar>
            <w:top w:w="0" w:type="dxa"/>
            <w:left w:w="0" w:type="dxa"/>
            <w:bottom w:w="0" w:type="dxa"/>
            <w:right w:w="0" w:type="dxa"/>
          </w:tblCellMar>
        </w:tblPrEx>
        <w:trPr>
          <w:trHeight w:val="353" w:hRule="exact"/>
        </w:trPr>
        <w:tc>
          <w:tcPr>
            <w:tcW w:w="340" w:type="pct"/>
            <w:vMerge w:val="restart"/>
            <w:tcBorders>
              <w:top w:val="single" w:color="000000" w:sz="4" w:space="0"/>
              <w:left w:val="single" w:color="000000" w:sz="4" w:space="0"/>
              <w:bottom w:val="single" w:color="000000" w:sz="4" w:space="0"/>
              <w:right w:val="single" w:color="000000" w:sz="4" w:space="0"/>
            </w:tcBorders>
          </w:tcPr>
          <w:p>
            <w:pPr>
              <w:pStyle w:val="55"/>
              <w:spacing w:before="3"/>
              <w:rPr>
                <w:sz w:val="14"/>
                <w:szCs w:val="14"/>
              </w:rPr>
            </w:pPr>
          </w:p>
          <w:p>
            <w:pPr>
              <w:pStyle w:val="55"/>
              <w:ind w:right="1"/>
              <w:jc w:val="center"/>
              <w:rPr>
                <w:sz w:val="20"/>
                <w:szCs w:val="20"/>
              </w:rPr>
            </w:pPr>
            <w:r>
              <w:rPr>
                <w:rFonts w:hint="eastAsia"/>
                <w:w w:val="99"/>
                <w:sz w:val="20"/>
              </w:rPr>
              <w:t>8</w:t>
            </w:r>
          </w:p>
        </w:tc>
        <w:tc>
          <w:tcPr>
            <w:tcW w:w="691" w:type="pct"/>
            <w:tcBorders>
              <w:top w:val="single" w:color="000000" w:sz="4" w:space="0"/>
              <w:left w:val="single" w:color="000000" w:sz="4" w:space="0"/>
              <w:bottom w:val="nil"/>
              <w:right w:val="single" w:color="000000" w:sz="4" w:space="0"/>
            </w:tcBorders>
          </w:tcPr>
          <w:p>
            <w:pPr>
              <w:pStyle w:val="55"/>
              <w:spacing w:before="30"/>
              <w:ind w:left="7"/>
              <w:rPr>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0</w:t>
            </w:r>
            <w:r>
              <w:rPr>
                <w:rFonts w:hint="eastAsia"/>
                <w:w w:val="99"/>
                <w:sz w:val="20"/>
                <w:szCs w:val="20"/>
              </w:rPr>
              <w:t>2变压</w:t>
            </w:r>
          </w:p>
        </w:tc>
        <w:tc>
          <w:tcPr>
            <w:tcW w:w="1068" w:type="pct"/>
            <w:vMerge w:val="restart"/>
            <w:tcBorders>
              <w:top w:val="single" w:color="000000" w:sz="4" w:space="0"/>
              <w:left w:val="single" w:color="000000" w:sz="4" w:space="0"/>
              <w:bottom w:val="single" w:color="000000" w:sz="4" w:space="0"/>
              <w:right w:val="single" w:color="000000" w:sz="4" w:space="0"/>
            </w:tcBorders>
          </w:tcPr>
          <w:p>
            <w:pPr>
              <w:pStyle w:val="55"/>
              <w:spacing w:before="3"/>
              <w:rPr>
                <w:sz w:val="14"/>
                <w:szCs w:val="14"/>
              </w:rPr>
            </w:pPr>
          </w:p>
          <w:p>
            <w:pPr>
              <w:pStyle w:val="55"/>
              <w:ind w:left="7"/>
              <w:rPr>
                <w:sz w:val="20"/>
                <w:szCs w:val="20"/>
              </w:rPr>
            </w:pPr>
            <w:r>
              <w:rPr>
                <w:rFonts w:hint="eastAsia"/>
                <w:w w:val="99"/>
                <w:sz w:val="20"/>
                <w:szCs w:val="20"/>
              </w:rPr>
              <w:t>配电变</w:t>
            </w:r>
            <w:r>
              <w:rPr>
                <w:rFonts w:hint="eastAsia"/>
                <w:spacing w:val="2"/>
                <w:w w:val="99"/>
                <w:sz w:val="20"/>
                <w:szCs w:val="20"/>
              </w:rPr>
              <w:t>压</w:t>
            </w:r>
            <w:r>
              <w:rPr>
                <w:rFonts w:hint="eastAsia"/>
                <w:w w:val="99"/>
                <w:sz w:val="20"/>
                <w:szCs w:val="20"/>
              </w:rPr>
              <w:t>器</w:t>
            </w:r>
          </w:p>
        </w:tc>
        <w:tc>
          <w:tcPr>
            <w:tcW w:w="1137" w:type="pct"/>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nil"/>
              <w:right w:val="single" w:color="000000" w:sz="4" w:space="0"/>
            </w:tcBorders>
          </w:tcPr>
          <w:p>
            <w:pPr>
              <w:pStyle w:val="55"/>
              <w:spacing w:before="30"/>
              <w:ind w:left="7"/>
              <w:rPr>
                <w:sz w:val="20"/>
                <w:szCs w:val="20"/>
              </w:rPr>
            </w:pPr>
            <w:r>
              <w:rPr>
                <w:rFonts w:hint="eastAsia"/>
                <w:spacing w:val="12"/>
                <w:w w:val="99"/>
                <w:sz w:val="20"/>
                <w:szCs w:val="20"/>
              </w:rPr>
              <w:t>《三相配电变压器能效</w:t>
            </w:r>
            <w:r>
              <w:rPr>
                <w:rFonts w:hint="eastAsia"/>
                <w:spacing w:val="9"/>
                <w:w w:val="99"/>
                <w:sz w:val="20"/>
                <w:szCs w:val="20"/>
              </w:rPr>
              <w:t>限</w:t>
            </w:r>
            <w:r>
              <w:rPr>
                <w:rFonts w:hint="eastAsia"/>
                <w:spacing w:val="12"/>
                <w:w w:val="99"/>
                <w:sz w:val="20"/>
                <w:szCs w:val="20"/>
              </w:rPr>
              <w:t>定值</w:t>
            </w:r>
            <w:r>
              <w:rPr>
                <w:rFonts w:hint="eastAsia"/>
                <w:w w:val="99"/>
                <w:sz w:val="20"/>
                <w:szCs w:val="20"/>
              </w:rPr>
              <w:t>及</w:t>
            </w:r>
          </w:p>
        </w:tc>
      </w:tr>
      <w:tr>
        <w:tblPrEx>
          <w:tblCellMar>
            <w:top w:w="0" w:type="dxa"/>
            <w:left w:w="0" w:type="dxa"/>
            <w:bottom w:w="0" w:type="dxa"/>
            <w:right w:w="0" w:type="dxa"/>
          </w:tblCellMar>
        </w:tblPrEx>
        <w:trPr>
          <w:trHeight w:val="345" w:hRule="exact"/>
        </w:trPr>
        <w:tc>
          <w:tcPr>
            <w:tcW w:w="340"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rPr>
            </w:pPr>
          </w:p>
        </w:tc>
        <w:tc>
          <w:tcPr>
            <w:tcW w:w="691" w:type="pct"/>
            <w:tcBorders>
              <w:top w:val="nil"/>
              <w:left w:val="single" w:color="000000" w:sz="4" w:space="0"/>
              <w:bottom w:val="single" w:color="000000" w:sz="4" w:space="0"/>
              <w:right w:val="single" w:color="000000" w:sz="4" w:space="0"/>
            </w:tcBorders>
          </w:tcPr>
          <w:p>
            <w:pPr>
              <w:pStyle w:val="55"/>
              <w:spacing w:line="256" w:lineRule="exact"/>
              <w:ind w:left="7"/>
              <w:rPr>
                <w:sz w:val="20"/>
                <w:szCs w:val="20"/>
              </w:rPr>
            </w:pPr>
            <w:r>
              <w:rPr>
                <w:rFonts w:hint="eastAsia"/>
                <w:w w:val="99"/>
                <w:sz w:val="20"/>
                <w:szCs w:val="20"/>
              </w:rPr>
              <w:t>器</w:t>
            </w:r>
          </w:p>
        </w:tc>
        <w:tc>
          <w:tcPr>
            <w:tcW w:w="1068"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 w:val="20"/>
                <w:szCs w:val="20"/>
                <w:lang w:eastAsia="en-US"/>
              </w:rPr>
            </w:pPr>
          </w:p>
        </w:tc>
        <w:tc>
          <w:tcPr>
            <w:tcW w:w="1137" w:type="pct"/>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Calibri" w:hAnsi="Calibri"/>
                <w:sz w:val="22"/>
                <w:szCs w:val="22"/>
                <w:lang w:eastAsia="en-US"/>
              </w:rPr>
            </w:pPr>
          </w:p>
        </w:tc>
        <w:tc>
          <w:tcPr>
            <w:tcW w:w="1761" w:type="pct"/>
            <w:tcBorders>
              <w:top w:val="nil"/>
              <w:left w:val="single" w:color="000000" w:sz="4" w:space="0"/>
              <w:bottom w:val="single" w:color="000000" w:sz="4" w:space="0"/>
              <w:right w:val="single" w:color="000000" w:sz="4" w:space="0"/>
            </w:tcBorders>
          </w:tcPr>
          <w:p>
            <w:pPr>
              <w:pStyle w:val="55"/>
              <w:spacing w:line="256" w:lineRule="exact"/>
              <w:ind w:left="7"/>
              <w:rPr>
                <w:sz w:val="20"/>
                <w:szCs w:val="20"/>
              </w:rPr>
            </w:pPr>
            <w:r>
              <w:rPr>
                <w:rFonts w:hint="eastAsia"/>
                <w:w w:val="99"/>
                <w:sz w:val="20"/>
                <w:szCs w:val="20"/>
              </w:rPr>
              <w:t>能效等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200</w:t>
            </w:r>
            <w:r>
              <w:rPr>
                <w:rFonts w:hint="eastAsia"/>
                <w:w w:val="99"/>
                <w:sz w:val="20"/>
                <w:szCs w:val="20"/>
              </w:rPr>
              <w:t>5</w:t>
            </w:r>
            <w:r>
              <w:rPr>
                <w:rFonts w:hint="eastAsia"/>
                <w:spacing w:val="-1"/>
                <w:w w:val="99"/>
                <w:sz w:val="20"/>
                <w:szCs w:val="20"/>
              </w:rPr>
              <w:t>2</w:t>
            </w:r>
            <w:r>
              <w:rPr>
                <w:rFonts w:hint="eastAsia"/>
                <w:w w:val="99"/>
                <w:sz w:val="20"/>
                <w:szCs w:val="20"/>
              </w:rPr>
              <w:t>）</w:t>
            </w:r>
          </w:p>
        </w:tc>
      </w:tr>
      <w:tr>
        <w:tblPrEx>
          <w:tblCellMar>
            <w:top w:w="0" w:type="dxa"/>
            <w:left w:w="0" w:type="dxa"/>
            <w:bottom w:w="0" w:type="dxa"/>
            <w:right w:w="0" w:type="dxa"/>
          </w:tblCellMar>
        </w:tblPrEx>
        <w:trPr>
          <w:trHeight w:val="449" w:hRule="exact"/>
        </w:trPr>
        <w:tc>
          <w:tcPr>
            <w:tcW w:w="340" w:type="pct"/>
            <w:vMerge w:val="restart"/>
            <w:tcBorders>
              <w:top w:val="single" w:color="000000" w:sz="4" w:space="0"/>
              <w:left w:val="single" w:color="000000" w:sz="4" w:space="0"/>
              <w:bottom w:val="single" w:color="000000" w:sz="4" w:space="0"/>
              <w:right w:val="single" w:color="000000" w:sz="4" w:space="0"/>
            </w:tcBorders>
          </w:tcPr>
          <w:p>
            <w:pPr>
              <w:pStyle w:val="55"/>
              <w:spacing w:before="8"/>
              <w:rPr>
                <w:sz w:val="21"/>
                <w:szCs w:val="21"/>
              </w:rPr>
            </w:pPr>
          </w:p>
          <w:p>
            <w:pPr>
              <w:pStyle w:val="55"/>
              <w:ind w:right="1"/>
              <w:jc w:val="center"/>
              <w:rPr>
                <w:sz w:val="20"/>
                <w:szCs w:val="20"/>
              </w:rPr>
            </w:pPr>
            <w:r>
              <w:rPr>
                <w:rFonts w:hint="eastAsia"/>
                <w:w w:val="99"/>
                <w:sz w:val="20"/>
              </w:rPr>
              <w:t>9</w:t>
            </w:r>
          </w:p>
        </w:tc>
        <w:tc>
          <w:tcPr>
            <w:tcW w:w="691" w:type="pct"/>
            <w:tcBorders>
              <w:top w:val="single" w:color="000000" w:sz="4" w:space="0"/>
              <w:left w:val="single" w:color="000000" w:sz="4" w:space="0"/>
              <w:bottom w:val="nil"/>
              <w:right w:val="single" w:color="000000" w:sz="4" w:space="0"/>
            </w:tcBorders>
          </w:tcPr>
          <w:p>
            <w:pPr>
              <w:pStyle w:val="55"/>
              <w:spacing w:before="126"/>
              <w:ind w:left="7"/>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609镇</w:t>
            </w:r>
          </w:p>
        </w:tc>
        <w:tc>
          <w:tcPr>
            <w:tcW w:w="1068" w:type="pct"/>
            <w:vMerge w:val="restart"/>
            <w:tcBorders>
              <w:top w:val="single" w:color="000000" w:sz="4" w:space="0"/>
              <w:left w:val="single" w:color="000000" w:sz="4" w:space="0"/>
              <w:bottom w:val="single" w:color="000000" w:sz="4" w:space="0"/>
              <w:right w:val="single" w:color="000000" w:sz="4" w:space="0"/>
            </w:tcBorders>
          </w:tcPr>
          <w:p>
            <w:pPr>
              <w:pStyle w:val="55"/>
              <w:spacing w:before="8"/>
              <w:rPr>
                <w:sz w:val="21"/>
                <w:szCs w:val="21"/>
              </w:rPr>
            </w:pPr>
          </w:p>
          <w:p>
            <w:pPr>
              <w:pStyle w:val="55"/>
              <w:ind w:left="7"/>
              <w:rPr>
                <w:sz w:val="20"/>
                <w:szCs w:val="20"/>
              </w:rPr>
            </w:pPr>
            <w:r>
              <w:rPr>
                <w:rFonts w:hint="eastAsia"/>
                <w:w w:val="99"/>
                <w:sz w:val="20"/>
                <w:szCs w:val="20"/>
              </w:rPr>
              <w:t>管型荧</w:t>
            </w:r>
            <w:r>
              <w:rPr>
                <w:rFonts w:hint="eastAsia"/>
                <w:spacing w:val="2"/>
                <w:w w:val="99"/>
                <w:sz w:val="20"/>
                <w:szCs w:val="20"/>
              </w:rPr>
              <w:t>光</w:t>
            </w:r>
            <w:r>
              <w:rPr>
                <w:rFonts w:hint="eastAsia"/>
                <w:w w:val="99"/>
                <w:sz w:val="20"/>
                <w:szCs w:val="20"/>
              </w:rPr>
              <w:t>灯镇</w:t>
            </w:r>
            <w:r>
              <w:rPr>
                <w:rFonts w:hint="eastAsia"/>
                <w:spacing w:val="2"/>
                <w:w w:val="99"/>
                <w:sz w:val="20"/>
                <w:szCs w:val="20"/>
              </w:rPr>
              <w:t>流</w:t>
            </w:r>
            <w:r>
              <w:rPr>
                <w:rFonts w:hint="eastAsia"/>
                <w:w w:val="99"/>
                <w:sz w:val="20"/>
                <w:szCs w:val="20"/>
              </w:rPr>
              <w:t>器</w:t>
            </w:r>
          </w:p>
        </w:tc>
        <w:tc>
          <w:tcPr>
            <w:tcW w:w="1137" w:type="pct"/>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nil"/>
              <w:right w:val="single" w:color="000000" w:sz="4" w:space="0"/>
            </w:tcBorders>
          </w:tcPr>
          <w:p>
            <w:pPr>
              <w:pStyle w:val="55"/>
              <w:spacing w:before="126"/>
              <w:ind w:left="7"/>
              <w:rPr>
                <w:sz w:val="20"/>
                <w:szCs w:val="20"/>
              </w:rPr>
            </w:pPr>
            <w:r>
              <w:rPr>
                <w:rFonts w:hint="eastAsia"/>
                <w:spacing w:val="12"/>
                <w:w w:val="99"/>
                <w:sz w:val="20"/>
                <w:szCs w:val="20"/>
              </w:rPr>
              <w:t>《管形荧光灯镇流器能</w:t>
            </w:r>
            <w:r>
              <w:rPr>
                <w:rFonts w:hint="eastAsia"/>
                <w:spacing w:val="9"/>
                <w:w w:val="99"/>
                <w:sz w:val="20"/>
                <w:szCs w:val="20"/>
              </w:rPr>
              <w:t>效</w:t>
            </w:r>
            <w:r>
              <w:rPr>
                <w:rFonts w:hint="eastAsia"/>
                <w:spacing w:val="12"/>
                <w:w w:val="99"/>
                <w:sz w:val="20"/>
                <w:szCs w:val="20"/>
              </w:rPr>
              <w:t>限定</w:t>
            </w:r>
            <w:r>
              <w:rPr>
                <w:rFonts w:hint="eastAsia"/>
                <w:w w:val="99"/>
                <w:sz w:val="20"/>
                <w:szCs w:val="20"/>
              </w:rPr>
              <w:t>值</w:t>
            </w:r>
          </w:p>
        </w:tc>
      </w:tr>
      <w:tr>
        <w:tblPrEx>
          <w:tblCellMar>
            <w:top w:w="0" w:type="dxa"/>
            <w:left w:w="0" w:type="dxa"/>
            <w:bottom w:w="0" w:type="dxa"/>
            <w:right w:w="0" w:type="dxa"/>
          </w:tblCellMar>
        </w:tblPrEx>
        <w:trPr>
          <w:trHeight w:val="441" w:hRule="exact"/>
        </w:trPr>
        <w:tc>
          <w:tcPr>
            <w:tcW w:w="340" w:type="pct"/>
            <w:vMerge w:val="continue"/>
            <w:tcBorders>
              <w:top w:val="single" w:color="000000" w:sz="4" w:space="0"/>
              <w:left w:val="single" w:color="000000" w:sz="4" w:space="0"/>
              <w:bottom w:val="single" w:color="auto" w:sz="4" w:space="0"/>
              <w:right w:val="single" w:color="000000" w:sz="4" w:space="0"/>
            </w:tcBorders>
            <w:vAlign w:val="center"/>
          </w:tcPr>
          <w:p>
            <w:pPr>
              <w:widowControl/>
              <w:rPr>
                <w:rFonts w:ascii="宋体" w:hAnsi="宋体" w:cs="宋体"/>
                <w:sz w:val="20"/>
                <w:szCs w:val="20"/>
              </w:rPr>
            </w:pPr>
          </w:p>
        </w:tc>
        <w:tc>
          <w:tcPr>
            <w:tcW w:w="691" w:type="pct"/>
            <w:tcBorders>
              <w:top w:val="nil"/>
              <w:left w:val="single" w:color="000000" w:sz="4" w:space="0"/>
              <w:bottom w:val="single" w:color="auto" w:sz="4" w:space="0"/>
              <w:right w:val="single" w:color="000000" w:sz="4" w:space="0"/>
            </w:tcBorders>
          </w:tcPr>
          <w:p>
            <w:pPr>
              <w:pStyle w:val="55"/>
              <w:spacing w:line="256" w:lineRule="exact"/>
              <w:ind w:left="7"/>
              <w:rPr>
                <w:sz w:val="20"/>
                <w:szCs w:val="20"/>
              </w:rPr>
            </w:pPr>
            <w:r>
              <w:rPr>
                <w:rFonts w:hint="eastAsia"/>
                <w:w w:val="99"/>
                <w:sz w:val="20"/>
                <w:szCs w:val="20"/>
              </w:rPr>
              <w:t>流器</w:t>
            </w:r>
          </w:p>
        </w:tc>
        <w:tc>
          <w:tcPr>
            <w:tcW w:w="1068" w:type="pct"/>
            <w:vMerge w:val="continue"/>
            <w:tcBorders>
              <w:top w:val="single" w:color="000000" w:sz="4" w:space="0"/>
              <w:left w:val="single" w:color="000000" w:sz="4" w:space="0"/>
              <w:bottom w:val="single" w:color="auto" w:sz="4" w:space="0"/>
              <w:right w:val="single" w:color="000000" w:sz="4" w:space="0"/>
            </w:tcBorders>
            <w:vAlign w:val="center"/>
          </w:tcPr>
          <w:p>
            <w:pPr>
              <w:widowControl/>
              <w:rPr>
                <w:rFonts w:ascii="宋体" w:hAnsi="宋体" w:cs="宋体"/>
                <w:sz w:val="20"/>
                <w:szCs w:val="20"/>
                <w:lang w:eastAsia="en-US"/>
              </w:rPr>
            </w:pPr>
          </w:p>
        </w:tc>
        <w:tc>
          <w:tcPr>
            <w:tcW w:w="1137" w:type="pct"/>
            <w:vMerge w:val="continue"/>
            <w:tcBorders>
              <w:top w:val="single" w:color="000000" w:sz="4" w:space="0"/>
              <w:left w:val="single" w:color="000000" w:sz="4" w:space="0"/>
              <w:bottom w:val="single" w:color="auto" w:sz="4" w:space="0"/>
              <w:right w:val="single" w:color="000000" w:sz="4" w:space="0"/>
            </w:tcBorders>
            <w:vAlign w:val="center"/>
          </w:tcPr>
          <w:p>
            <w:pPr>
              <w:widowControl/>
              <w:rPr>
                <w:rFonts w:ascii="Calibri" w:hAnsi="Calibri"/>
                <w:sz w:val="22"/>
                <w:szCs w:val="22"/>
                <w:lang w:eastAsia="en-US"/>
              </w:rPr>
            </w:pPr>
          </w:p>
        </w:tc>
        <w:tc>
          <w:tcPr>
            <w:tcW w:w="1761" w:type="pct"/>
            <w:tcBorders>
              <w:top w:val="nil"/>
              <w:left w:val="single" w:color="000000" w:sz="4" w:space="0"/>
              <w:bottom w:val="single" w:color="auto" w:sz="4" w:space="0"/>
              <w:right w:val="single" w:color="000000" w:sz="4" w:space="0"/>
            </w:tcBorders>
          </w:tcPr>
          <w:p>
            <w:pPr>
              <w:pStyle w:val="55"/>
              <w:spacing w:line="256" w:lineRule="exact"/>
              <w:ind w:left="7"/>
              <w:rPr>
                <w:sz w:val="20"/>
                <w:szCs w:val="20"/>
              </w:rPr>
            </w:pPr>
            <w:r>
              <w:rPr>
                <w:rFonts w:hint="eastAsia"/>
                <w:w w:val="99"/>
                <w:sz w:val="20"/>
                <w:szCs w:val="20"/>
              </w:rPr>
              <w:t>及能效</w:t>
            </w:r>
            <w:r>
              <w:rPr>
                <w:rFonts w:hint="eastAsia"/>
                <w:spacing w:val="2"/>
                <w:w w:val="99"/>
                <w:sz w:val="20"/>
                <w:szCs w:val="20"/>
              </w:rPr>
              <w:t>等</w:t>
            </w:r>
            <w:r>
              <w:rPr>
                <w:rFonts w:hint="eastAsia"/>
                <w:w w:val="99"/>
                <w:sz w:val="20"/>
                <w:szCs w:val="20"/>
              </w:rPr>
              <w:t>级》（</w:t>
            </w:r>
            <w:r>
              <w:rPr>
                <w:rFonts w:hint="eastAsia"/>
                <w:spacing w:val="1"/>
                <w:w w:val="99"/>
                <w:sz w:val="20"/>
                <w:szCs w:val="20"/>
              </w:rPr>
              <w:t>G</w:t>
            </w:r>
            <w:r>
              <w:rPr>
                <w:rFonts w:hint="eastAsia"/>
                <w:w w:val="99"/>
                <w:sz w:val="20"/>
                <w:szCs w:val="20"/>
              </w:rPr>
              <w:t>B</w:t>
            </w:r>
            <w:r>
              <w:rPr>
                <w:rFonts w:hint="eastAsia"/>
                <w:spacing w:val="1"/>
                <w:w w:val="99"/>
                <w:sz w:val="20"/>
                <w:szCs w:val="20"/>
              </w:rPr>
              <w:t>17896</w:t>
            </w:r>
            <w:r>
              <w:rPr>
                <w:rFonts w:hint="eastAsia"/>
                <w:w w:val="99"/>
                <w:sz w:val="20"/>
                <w:szCs w:val="20"/>
              </w:rPr>
              <w:t>）</w:t>
            </w:r>
          </w:p>
        </w:tc>
      </w:tr>
      <w:tr>
        <w:tblPrEx>
          <w:tblCellMar>
            <w:top w:w="0" w:type="dxa"/>
            <w:left w:w="0" w:type="dxa"/>
            <w:bottom w:w="0" w:type="dxa"/>
            <w:right w:w="0" w:type="dxa"/>
          </w:tblCellMar>
        </w:tblPrEx>
        <w:trPr>
          <w:trHeight w:val="377" w:hRule="exact"/>
        </w:trPr>
        <w:tc>
          <w:tcPr>
            <w:tcW w:w="340" w:type="pct"/>
            <w:vMerge w:val="restar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spacing w:before="5"/>
              <w:rPr>
                <w:sz w:val="18"/>
                <w:szCs w:val="18"/>
              </w:rPr>
            </w:pPr>
          </w:p>
          <w:p>
            <w:pPr>
              <w:pStyle w:val="55"/>
              <w:ind w:left="182"/>
              <w:rPr>
                <w:sz w:val="20"/>
                <w:szCs w:val="20"/>
              </w:rPr>
            </w:pPr>
            <w:r>
              <w:rPr>
                <w:rFonts w:hint="eastAsia"/>
                <w:spacing w:val="1"/>
                <w:w w:val="99"/>
                <w:sz w:val="20"/>
              </w:rPr>
              <w:t>1</w:t>
            </w:r>
            <w:r>
              <w:rPr>
                <w:rFonts w:hint="eastAsia"/>
                <w:w w:val="99"/>
                <w:sz w:val="20"/>
              </w:rPr>
              <w:t>0</w:t>
            </w:r>
          </w:p>
        </w:tc>
        <w:tc>
          <w:tcPr>
            <w:tcW w:w="691" w:type="pct"/>
            <w:vMerge w:val="restar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spacing w:before="6"/>
              <w:rPr>
                <w:sz w:val="26"/>
                <w:szCs w:val="26"/>
              </w:rPr>
            </w:pPr>
          </w:p>
          <w:p>
            <w:pPr>
              <w:pStyle w:val="55"/>
              <w:ind w:left="7"/>
              <w:rPr>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8生活</w:t>
            </w:r>
          </w:p>
          <w:p>
            <w:pPr>
              <w:pStyle w:val="55"/>
              <w:spacing w:before="50"/>
              <w:ind w:left="7"/>
              <w:rPr>
                <w:sz w:val="20"/>
                <w:szCs w:val="20"/>
              </w:rPr>
            </w:pPr>
            <w:r>
              <w:rPr>
                <w:rFonts w:hint="eastAsia"/>
                <w:w w:val="99"/>
                <w:sz w:val="20"/>
                <w:szCs w:val="20"/>
              </w:rPr>
              <w:t>用电器</w:t>
            </w:r>
          </w:p>
        </w:tc>
        <w:tc>
          <w:tcPr>
            <w:tcW w:w="1068" w:type="pct"/>
            <w:vMerge w:val="restart"/>
            <w:tcBorders>
              <w:top w:val="single" w:color="auto" w:sz="4" w:space="0"/>
              <w:left w:val="single" w:color="auto" w:sz="4" w:space="0"/>
              <w:bottom w:val="single" w:color="auto" w:sz="4" w:space="0"/>
              <w:right w:val="single" w:color="auto" w:sz="4" w:space="0"/>
            </w:tcBorders>
          </w:tcPr>
          <w:p>
            <w:pPr>
              <w:pStyle w:val="55"/>
              <w:spacing w:before="1"/>
              <w:rPr>
                <w:sz w:val="16"/>
                <w:szCs w:val="16"/>
              </w:rPr>
            </w:pPr>
          </w:p>
          <w:p>
            <w:pPr>
              <w:pStyle w:val="55"/>
              <w:ind w:left="7"/>
              <w:rPr>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80</w:t>
            </w:r>
            <w:r>
              <w:rPr>
                <w:rFonts w:hint="eastAsia"/>
                <w:spacing w:val="1"/>
                <w:w w:val="99"/>
                <w:sz w:val="20"/>
                <w:szCs w:val="20"/>
              </w:rPr>
              <w:t>1</w:t>
            </w:r>
            <w:r>
              <w:rPr>
                <w:rFonts w:hint="eastAsia"/>
                <w:w w:val="99"/>
                <w:sz w:val="20"/>
                <w:szCs w:val="20"/>
              </w:rPr>
              <w:t>01电冰箱</w:t>
            </w:r>
          </w:p>
        </w:tc>
        <w:tc>
          <w:tcPr>
            <w:tcW w:w="1137" w:type="pct"/>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lang w:eastAsia="en-US"/>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54"/>
              <w:ind w:left="7"/>
              <w:rPr>
                <w:sz w:val="20"/>
                <w:szCs w:val="20"/>
              </w:rPr>
            </w:pPr>
            <w:r>
              <w:rPr>
                <w:rFonts w:hint="eastAsia"/>
                <w:spacing w:val="12"/>
                <w:w w:val="99"/>
                <w:sz w:val="20"/>
                <w:szCs w:val="20"/>
              </w:rPr>
              <w:t>《家用电冰箱耗电量限</w:t>
            </w:r>
            <w:r>
              <w:rPr>
                <w:rFonts w:hint="eastAsia"/>
                <w:spacing w:val="9"/>
                <w:w w:val="99"/>
                <w:sz w:val="20"/>
                <w:szCs w:val="20"/>
              </w:rPr>
              <w:t>定</w:t>
            </w:r>
            <w:r>
              <w:rPr>
                <w:rFonts w:hint="eastAsia"/>
                <w:spacing w:val="12"/>
                <w:w w:val="99"/>
                <w:sz w:val="20"/>
                <w:szCs w:val="20"/>
              </w:rPr>
              <w:t>值及</w:t>
            </w:r>
            <w:r>
              <w:rPr>
                <w:rFonts w:hint="eastAsia"/>
                <w:w w:val="99"/>
                <w:sz w:val="20"/>
                <w:szCs w:val="20"/>
              </w:rPr>
              <w:t>能</w:t>
            </w:r>
          </w:p>
        </w:tc>
      </w:tr>
      <w:tr>
        <w:tblPrEx>
          <w:tblCellMar>
            <w:top w:w="0" w:type="dxa"/>
            <w:left w:w="0" w:type="dxa"/>
            <w:bottom w:w="0" w:type="dxa"/>
            <w:right w:w="0" w:type="dxa"/>
          </w:tblCellMar>
        </w:tblPrEx>
        <w:trPr>
          <w:trHeight w:val="367" w:hRule="atLeas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sz w:val="22"/>
                <w:szCs w:val="22"/>
              </w:rPr>
            </w:pPr>
          </w:p>
        </w:tc>
        <w:tc>
          <w:tcPr>
            <w:tcW w:w="1761" w:type="pct"/>
            <w:tcBorders>
              <w:top w:val="single" w:color="auto" w:sz="4" w:space="0"/>
              <w:left w:val="single" w:color="auto" w:sz="4" w:space="0"/>
              <w:bottom w:val="single" w:color="auto" w:sz="4" w:space="0"/>
              <w:right w:val="single" w:color="auto" w:sz="4" w:space="0"/>
            </w:tcBorders>
          </w:tcPr>
          <w:p>
            <w:pPr>
              <w:pStyle w:val="55"/>
              <w:tabs>
                <w:tab w:val="left" w:pos="1408"/>
              </w:tabs>
              <w:spacing w:line="256" w:lineRule="exact"/>
              <w:ind w:left="7"/>
              <w:rPr>
                <w:sz w:val="20"/>
                <w:szCs w:val="20"/>
              </w:rPr>
            </w:pPr>
            <w:r>
              <w:rPr>
                <w:rFonts w:hint="eastAsia"/>
                <w:w w:val="99"/>
                <w:sz w:val="20"/>
                <w:szCs w:val="20"/>
              </w:rPr>
              <w:t>效等级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z w:val="20"/>
                <w:szCs w:val="20"/>
              </w:rPr>
              <w:tab/>
            </w:r>
            <w:r>
              <w:rPr>
                <w:rFonts w:hint="eastAsia"/>
                <w:spacing w:val="1"/>
                <w:w w:val="99"/>
                <w:sz w:val="20"/>
                <w:szCs w:val="20"/>
              </w:rPr>
              <w:t>1</w:t>
            </w:r>
            <w:r>
              <w:rPr>
                <w:rFonts w:hint="eastAsia"/>
                <w:w w:val="99"/>
                <w:sz w:val="20"/>
                <w:szCs w:val="20"/>
              </w:rPr>
              <w:t>20</w:t>
            </w:r>
            <w:r>
              <w:rPr>
                <w:rFonts w:hint="eastAsia"/>
                <w:spacing w:val="1"/>
                <w:w w:val="99"/>
                <w:sz w:val="20"/>
                <w:szCs w:val="20"/>
              </w:rPr>
              <w:t>2</w:t>
            </w:r>
            <w:r>
              <w:rPr>
                <w:rFonts w:hint="eastAsia"/>
                <w:w w:val="99"/>
                <w:sz w:val="20"/>
                <w:szCs w:val="20"/>
              </w:rPr>
              <w:t>1.</w:t>
            </w:r>
            <w:r>
              <w:rPr>
                <w:rFonts w:hint="eastAsia"/>
                <w:spacing w:val="1"/>
                <w:w w:val="99"/>
                <w:sz w:val="20"/>
                <w:szCs w:val="20"/>
              </w:rPr>
              <w:t>2</w:t>
            </w:r>
            <w:r>
              <w:rPr>
                <w:rFonts w:hint="eastAsia"/>
                <w:w w:val="99"/>
                <w:sz w:val="20"/>
                <w:szCs w:val="20"/>
              </w:rPr>
              <w:t>）</w:t>
            </w:r>
          </w:p>
        </w:tc>
      </w:tr>
      <w:tr>
        <w:tblPrEx>
          <w:tblCellMar>
            <w:top w:w="0" w:type="dxa"/>
            <w:left w:w="0" w:type="dxa"/>
            <w:bottom w:w="0" w:type="dxa"/>
            <w:right w:w="0" w:type="dxa"/>
          </w:tblCellMar>
        </w:tblPrEx>
        <w:trPr>
          <w:trHeight w:val="327"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1068" w:type="pct"/>
            <w:vMerge w:val="restar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spacing w:before="171"/>
              <w:ind w:left="7"/>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61</w:t>
            </w:r>
            <w:r>
              <w:rPr>
                <w:rFonts w:hint="eastAsia"/>
                <w:spacing w:val="1"/>
                <w:w w:val="99"/>
                <w:sz w:val="20"/>
                <w:szCs w:val="20"/>
              </w:rPr>
              <w:t>8</w:t>
            </w:r>
            <w:r>
              <w:rPr>
                <w:rFonts w:hint="eastAsia"/>
                <w:w w:val="99"/>
                <w:sz w:val="20"/>
                <w:szCs w:val="20"/>
              </w:rPr>
              <w:t>0203空调</w:t>
            </w:r>
          </w:p>
          <w:p>
            <w:pPr>
              <w:pStyle w:val="55"/>
              <w:spacing w:before="50"/>
              <w:ind w:left="7"/>
              <w:rPr>
                <w:sz w:val="20"/>
                <w:szCs w:val="20"/>
              </w:rPr>
            </w:pPr>
            <w:r>
              <w:rPr>
                <w:rFonts w:hint="eastAsia"/>
                <w:w w:val="99"/>
                <w:sz w:val="20"/>
                <w:szCs w:val="20"/>
              </w:rPr>
              <w:t>机</w:t>
            </w:r>
          </w:p>
        </w:tc>
        <w:tc>
          <w:tcPr>
            <w:tcW w:w="1137" w:type="pct"/>
            <w:vMerge w:val="restar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spacing w:before="12"/>
              <w:rPr>
                <w:sz w:val="19"/>
                <w:szCs w:val="19"/>
              </w:rPr>
            </w:pPr>
          </w:p>
          <w:p>
            <w:pPr>
              <w:pStyle w:val="55"/>
              <w:ind w:left="7"/>
              <w:rPr>
                <w:sz w:val="20"/>
                <w:szCs w:val="20"/>
              </w:rPr>
            </w:pPr>
            <w:r>
              <w:rPr>
                <w:rFonts w:hint="eastAsia"/>
                <w:w w:val="99"/>
                <w:sz w:val="20"/>
                <w:szCs w:val="20"/>
              </w:rPr>
              <w:t>房间空</w:t>
            </w:r>
            <w:r>
              <w:rPr>
                <w:rFonts w:hint="eastAsia"/>
                <w:spacing w:val="2"/>
                <w:w w:val="99"/>
                <w:sz w:val="20"/>
                <w:szCs w:val="20"/>
              </w:rPr>
              <w:t>气</w:t>
            </w:r>
            <w:r>
              <w:rPr>
                <w:rFonts w:hint="eastAsia"/>
                <w:w w:val="99"/>
                <w:sz w:val="20"/>
                <w:szCs w:val="20"/>
              </w:rPr>
              <w:t>调节器</w:t>
            </w:r>
          </w:p>
        </w:tc>
        <w:tc>
          <w:tcPr>
            <w:tcW w:w="1761" w:type="pct"/>
            <w:tcBorders>
              <w:top w:val="single" w:color="auto" w:sz="4" w:space="0"/>
              <w:left w:val="single" w:color="auto" w:sz="4" w:space="0"/>
              <w:bottom w:val="single" w:color="auto" w:sz="4" w:space="0"/>
              <w:right w:val="single" w:color="auto" w:sz="4" w:space="0"/>
            </w:tcBorders>
          </w:tcPr>
          <w:p>
            <w:pPr>
              <w:pStyle w:val="55"/>
              <w:spacing w:before="4"/>
              <w:ind w:left="7"/>
              <w:rPr>
                <w:sz w:val="20"/>
                <w:szCs w:val="20"/>
              </w:rPr>
            </w:pPr>
            <w:r>
              <w:rPr>
                <w:rFonts w:hint="eastAsia"/>
                <w:spacing w:val="12"/>
                <w:w w:val="99"/>
                <w:sz w:val="20"/>
                <w:szCs w:val="20"/>
              </w:rPr>
              <w:t>《转速可控型房间空气</w:t>
            </w:r>
            <w:r>
              <w:rPr>
                <w:rFonts w:hint="eastAsia"/>
                <w:spacing w:val="9"/>
                <w:w w:val="99"/>
                <w:sz w:val="20"/>
                <w:szCs w:val="20"/>
              </w:rPr>
              <w:t>调</w:t>
            </w:r>
            <w:r>
              <w:rPr>
                <w:rFonts w:hint="eastAsia"/>
                <w:spacing w:val="12"/>
                <w:w w:val="99"/>
                <w:sz w:val="20"/>
                <w:szCs w:val="20"/>
              </w:rPr>
              <w:t>节器</w:t>
            </w:r>
            <w:r>
              <w:rPr>
                <w:rFonts w:hint="eastAsia"/>
                <w:w w:val="99"/>
                <w:sz w:val="20"/>
                <w:szCs w:val="20"/>
              </w:rPr>
              <w:t>能</w:t>
            </w:r>
          </w:p>
        </w:tc>
      </w:tr>
      <w:tr>
        <w:tblPrEx>
          <w:tblCellMar>
            <w:top w:w="0" w:type="dxa"/>
            <w:left w:w="0" w:type="dxa"/>
            <w:bottom w:w="0" w:type="dxa"/>
            <w:right w:w="0" w:type="dxa"/>
          </w:tblCellMar>
        </w:tblPrEx>
        <w:trPr>
          <w:trHeight w:val="312" w:hRule="atLeas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761" w:type="pct"/>
            <w:tcBorders>
              <w:top w:val="single" w:color="auto" w:sz="4" w:space="0"/>
              <w:left w:val="single" w:color="auto" w:sz="4" w:space="0"/>
              <w:bottom w:val="single" w:color="auto" w:sz="4" w:space="0"/>
              <w:right w:val="single" w:color="auto" w:sz="4" w:space="0"/>
            </w:tcBorders>
          </w:tcPr>
          <w:p>
            <w:pPr>
              <w:pStyle w:val="55"/>
              <w:spacing w:line="256" w:lineRule="exact"/>
              <w:ind w:left="7"/>
              <w:rPr>
                <w:sz w:val="20"/>
                <w:szCs w:val="20"/>
              </w:rPr>
            </w:pPr>
            <w:r>
              <w:rPr>
                <w:rFonts w:hint="eastAsia"/>
                <w:w w:val="99"/>
                <w:sz w:val="20"/>
                <w:szCs w:val="20"/>
              </w:rPr>
              <w:t>效限定值及能效等级》（</w:t>
            </w:r>
            <w:r>
              <w:rPr>
                <w:rFonts w:hint="eastAsia"/>
                <w:spacing w:val="1"/>
                <w:w w:val="99"/>
                <w:sz w:val="20"/>
                <w:szCs w:val="20"/>
              </w:rPr>
              <w:t>G</w:t>
            </w:r>
            <w:r>
              <w:rPr>
                <w:rFonts w:hint="eastAsia"/>
                <w:w w:val="99"/>
                <w:sz w:val="20"/>
                <w:szCs w:val="20"/>
              </w:rPr>
              <w:t>B</w:t>
            </w:r>
          </w:p>
        </w:tc>
      </w:tr>
      <w:tr>
        <w:tblPrEx>
          <w:tblCellMar>
            <w:top w:w="0" w:type="dxa"/>
            <w:left w:w="0" w:type="dxa"/>
            <w:bottom w:w="0" w:type="dxa"/>
            <w:right w:w="0" w:type="dxa"/>
          </w:tblCellMar>
        </w:tblPrEx>
        <w:trPr>
          <w:trHeight w:val="312" w:hRule="atLeas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761" w:type="pct"/>
            <w:tcBorders>
              <w:top w:val="single" w:color="auto" w:sz="4" w:space="0"/>
              <w:left w:val="single" w:color="auto" w:sz="4" w:space="0"/>
              <w:bottom w:val="single" w:color="auto" w:sz="4" w:space="0"/>
              <w:right w:val="single" w:color="auto" w:sz="4" w:space="0"/>
            </w:tcBorders>
          </w:tcPr>
          <w:p>
            <w:pPr>
              <w:pStyle w:val="55"/>
              <w:spacing w:line="256" w:lineRule="exact"/>
              <w:ind w:left="7"/>
              <w:rPr>
                <w:sz w:val="20"/>
                <w:szCs w:val="20"/>
              </w:rPr>
            </w:pPr>
            <w:r>
              <w:rPr>
                <w:rFonts w:hint="eastAsia"/>
                <w:spacing w:val="1"/>
                <w:w w:val="99"/>
                <w:sz w:val="20"/>
                <w:szCs w:val="20"/>
              </w:rPr>
              <w:t>214</w:t>
            </w:r>
            <w:r>
              <w:rPr>
                <w:rFonts w:hint="eastAsia"/>
                <w:w w:val="99"/>
                <w:sz w:val="20"/>
                <w:szCs w:val="20"/>
              </w:rPr>
              <w:t>55</w:t>
            </w:r>
            <w:r>
              <w:rPr>
                <w:rFonts w:hint="eastAsia"/>
                <w:spacing w:val="1"/>
                <w:w w:val="99"/>
                <w:sz w:val="20"/>
                <w:szCs w:val="20"/>
              </w:rPr>
              <w:t>-</w:t>
            </w:r>
            <w:r>
              <w:rPr>
                <w:rFonts w:hint="eastAsia"/>
                <w:w w:val="99"/>
                <w:sz w:val="20"/>
                <w:szCs w:val="20"/>
              </w:rPr>
              <w:t>20</w:t>
            </w:r>
            <w:r>
              <w:rPr>
                <w:rFonts w:hint="eastAsia"/>
                <w:spacing w:val="1"/>
                <w:w w:val="99"/>
                <w:sz w:val="20"/>
                <w:szCs w:val="20"/>
              </w:rPr>
              <w:t>13</w:t>
            </w:r>
            <w:r>
              <w:rPr>
                <w:rFonts w:hint="eastAsia"/>
                <w:w w:val="99"/>
                <w:sz w:val="20"/>
                <w:szCs w:val="20"/>
              </w:rPr>
              <w:t>），待</w:t>
            </w:r>
            <w:r>
              <w:rPr>
                <w:rFonts w:hint="eastAsia"/>
                <w:spacing w:val="1"/>
                <w:w w:val="99"/>
                <w:sz w:val="20"/>
                <w:szCs w:val="20"/>
              </w:rPr>
              <w:t>20</w:t>
            </w:r>
            <w:r>
              <w:rPr>
                <w:rFonts w:hint="eastAsia"/>
                <w:w w:val="99"/>
                <w:sz w:val="20"/>
                <w:szCs w:val="20"/>
              </w:rPr>
              <w:t>19</w:t>
            </w:r>
            <w:r>
              <w:rPr>
                <w:rFonts w:hint="eastAsia"/>
                <w:spacing w:val="-3"/>
                <w:w w:val="99"/>
                <w:sz w:val="20"/>
                <w:szCs w:val="20"/>
              </w:rPr>
              <w:t>年</w:t>
            </w:r>
            <w:r>
              <w:rPr>
                <w:rFonts w:hint="eastAsia"/>
                <w:w w:val="99"/>
                <w:sz w:val="20"/>
                <w:szCs w:val="20"/>
              </w:rPr>
              <w:t>修订发</w:t>
            </w:r>
          </w:p>
        </w:tc>
      </w:tr>
      <w:tr>
        <w:tblPrEx>
          <w:tblCellMar>
            <w:top w:w="0" w:type="dxa"/>
            <w:left w:w="0" w:type="dxa"/>
            <w:bottom w:w="0" w:type="dxa"/>
            <w:right w:w="0" w:type="dxa"/>
          </w:tblCellMar>
        </w:tblPrEx>
        <w:trPr>
          <w:trHeight w:val="312" w:hRule="atLeas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11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1761" w:type="pct"/>
            <w:tcBorders>
              <w:top w:val="single" w:color="auto" w:sz="4" w:space="0"/>
              <w:left w:val="single" w:color="auto" w:sz="4" w:space="0"/>
              <w:bottom w:val="single" w:color="auto" w:sz="4" w:space="0"/>
              <w:right w:val="single" w:color="auto" w:sz="4" w:space="0"/>
            </w:tcBorders>
          </w:tcPr>
          <w:p>
            <w:pPr>
              <w:pStyle w:val="55"/>
              <w:spacing w:line="256" w:lineRule="exact"/>
              <w:ind w:left="7"/>
              <w:rPr>
                <w:sz w:val="20"/>
                <w:szCs w:val="20"/>
              </w:rPr>
            </w:pPr>
            <w:r>
              <w:rPr>
                <w:rFonts w:hint="eastAsia"/>
                <w:w w:val="99"/>
                <w:sz w:val="20"/>
                <w:szCs w:val="20"/>
              </w:rPr>
              <w:t>布后</w:t>
            </w:r>
            <w:r>
              <w:rPr>
                <w:rFonts w:hint="eastAsia"/>
                <w:spacing w:val="-29"/>
                <w:w w:val="99"/>
                <w:sz w:val="20"/>
                <w:szCs w:val="20"/>
              </w:rPr>
              <w:t>，</w:t>
            </w:r>
            <w:r>
              <w:rPr>
                <w:rFonts w:hint="eastAsia"/>
                <w:spacing w:val="-27"/>
                <w:w w:val="99"/>
                <w:sz w:val="20"/>
                <w:szCs w:val="20"/>
              </w:rPr>
              <w:t>按</w:t>
            </w:r>
            <w:r>
              <w:rPr>
                <w:rFonts w:hint="eastAsia"/>
                <w:w w:val="99"/>
                <w:sz w:val="20"/>
                <w:szCs w:val="20"/>
              </w:rPr>
              <w:t>《</w:t>
            </w:r>
            <w:r>
              <w:rPr>
                <w:rFonts w:hint="eastAsia"/>
                <w:spacing w:val="2"/>
                <w:w w:val="99"/>
                <w:sz w:val="20"/>
                <w:szCs w:val="20"/>
              </w:rPr>
              <w:t>房</w:t>
            </w:r>
            <w:r>
              <w:rPr>
                <w:rFonts w:hint="eastAsia"/>
                <w:w w:val="99"/>
                <w:sz w:val="20"/>
                <w:szCs w:val="20"/>
              </w:rPr>
              <w:t>间空</w:t>
            </w:r>
            <w:r>
              <w:rPr>
                <w:rFonts w:hint="eastAsia"/>
                <w:spacing w:val="2"/>
                <w:w w:val="99"/>
                <w:sz w:val="20"/>
                <w:szCs w:val="20"/>
              </w:rPr>
              <w:t>气</w:t>
            </w:r>
            <w:r>
              <w:rPr>
                <w:rFonts w:hint="eastAsia"/>
                <w:w w:val="99"/>
                <w:sz w:val="20"/>
                <w:szCs w:val="20"/>
              </w:rPr>
              <w:t>调节</w:t>
            </w:r>
            <w:r>
              <w:rPr>
                <w:rFonts w:hint="eastAsia"/>
                <w:spacing w:val="2"/>
                <w:w w:val="99"/>
                <w:sz w:val="20"/>
                <w:szCs w:val="20"/>
              </w:rPr>
              <w:t>器</w:t>
            </w:r>
            <w:r>
              <w:rPr>
                <w:rFonts w:hint="eastAsia"/>
                <w:w w:val="99"/>
                <w:sz w:val="20"/>
                <w:szCs w:val="20"/>
              </w:rPr>
              <w:t>能效限</w:t>
            </w:r>
          </w:p>
        </w:tc>
      </w:tr>
      <w:tr>
        <w:tblPrEx>
          <w:tblCellMar>
            <w:top w:w="0" w:type="dxa"/>
            <w:left w:w="0" w:type="dxa"/>
            <w:bottom w:w="0" w:type="dxa"/>
            <w:right w:w="0" w:type="dxa"/>
          </w:tblCellMar>
        </w:tblPrEx>
        <w:trPr>
          <w:trHeight w:val="312" w:hRule="atLeas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761" w:type="pct"/>
            <w:tcBorders>
              <w:top w:val="single" w:color="auto" w:sz="4" w:space="0"/>
              <w:left w:val="single" w:color="auto" w:sz="4" w:space="0"/>
              <w:bottom w:val="single" w:color="auto" w:sz="4" w:space="0"/>
              <w:right w:val="single" w:color="auto" w:sz="4" w:space="0"/>
            </w:tcBorders>
          </w:tcPr>
          <w:p>
            <w:pPr>
              <w:pStyle w:val="55"/>
              <w:spacing w:line="256" w:lineRule="exact"/>
              <w:ind w:left="7"/>
              <w:rPr>
                <w:sz w:val="20"/>
                <w:szCs w:val="20"/>
              </w:rPr>
            </w:pPr>
            <w:r>
              <w:rPr>
                <w:rFonts w:hint="eastAsia"/>
                <w:w w:val="99"/>
                <w:sz w:val="20"/>
                <w:szCs w:val="20"/>
              </w:rPr>
              <w:t>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spacing w:val="-156"/>
                <w:w w:val="99"/>
                <w:sz w:val="20"/>
                <w:szCs w:val="20"/>
              </w:rPr>
              <w:t>》</w:t>
            </w:r>
            <w:r>
              <w:rPr>
                <w:rFonts w:hint="eastAsia"/>
                <w:w w:val="99"/>
                <w:sz w:val="20"/>
                <w:szCs w:val="20"/>
              </w:rPr>
              <w:t>（</w:t>
            </w:r>
            <w:r>
              <w:rPr>
                <w:rFonts w:hint="eastAsia"/>
                <w:spacing w:val="1"/>
                <w:w w:val="99"/>
                <w:sz w:val="20"/>
                <w:szCs w:val="20"/>
              </w:rPr>
              <w:t>GB214</w:t>
            </w:r>
            <w:r>
              <w:rPr>
                <w:rFonts w:hint="eastAsia"/>
                <w:w w:val="99"/>
                <w:sz w:val="20"/>
                <w:szCs w:val="20"/>
              </w:rPr>
              <w:t>5</w:t>
            </w:r>
            <w:r>
              <w:rPr>
                <w:rFonts w:hint="eastAsia"/>
                <w:spacing w:val="-1"/>
                <w:w w:val="99"/>
                <w:sz w:val="20"/>
                <w:szCs w:val="20"/>
              </w:rPr>
              <w:t>5</w:t>
            </w:r>
            <w:r>
              <w:rPr>
                <w:rFonts w:hint="eastAsia"/>
                <w:spacing w:val="-2"/>
                <w:w w:val="99"/>
                <w:sz w:val="20"/>
                <w:szCs w:val="20"/>
              </w:rPr>
              <w:t>-</w:t>
            </w:r>
            <w:r>
              <w:rPr>
                <w:rFonts w:hint="eastAsia"/>
                <w:spacing w:val="1"/>
                <w:w w:val="99"/>
                <w:sz w:val="20"/>
                <w:szCs w:val="20"/>
              </w:rPr>
              <w:t>201</w:t>
            </w:r>
            <w:r>
              <w:rPr>
                <w:rFonts w:hint="eastAsia"/>
                <w:w w:val="99"/>
                <w:sz w:val="20"/>
                <w:szCs w:val="20"/>
              </w:rPr>
              <w:t>9</w:t>
            </w:r>
          </w:p>
        </w:tc>
      </w:tr>
      <w:tr>
        <w:tblPrEx>
          <w:tblCellMar>
            <w:top w:w="0" w:type="dxa"/>
            <w:left w:w="0" w:type="dxa"/>
            <w:bottom w:w="0" w:type="dxa"/>
            <w:right w:w="0" w:type="dxa"/>
          </w:tblCellMar>
        </w:tblPrEx>
        <w:trPr>
          <w:trHeight w:val="319" w:hRule="atLeas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761" w:type="pct"/>
            <w:tcBorders>
              <w:top w:val="single" w:color="auto" w:sz="4" w:space="0"/>
              <w:left w:val="single" w:color="auto" w:sz="4" w:space="0"/>
              <w:bottom w:val="single" w:color="auto" w:sz="4" w:space="0"/>
              <w:right w:val="single" w:color="auto" w:sz="4" w:space="0"/>
            </w:tcBorders>
          </w:tcPr>
          <w:p>
            <w:pPr>
              <w:pStyle w:val="55"/>
              <w:spacing w:line="256" w:lineRule="exact"/>
              <w:ind w:left="7"/>
              <w:rPr>
                <w:sz w:val="20"/>
                <w:szCs w:val="20"/>
              </w:rPr>
            </w:pPr>
            <w:r>
              <w:rPr>
                <w:rFonts w:hint="eastAsia"/>
                <w:w w:val="99"/>
                <w:sz w:val="20"/>
                <w:szCs w:val="20"/>
              </w:rPr>
              <w:t>实施。</w:t>
            </w:r>
          </w:p>
        </w:tc>
      </w:tr>
      <w:tr>
        <w:tblPrEx>
          <w:tblCellMar>
            <w:top w:w="0" w:type="dxa"/>
            <w:left w:w="0" w:type="dxa"/>
            <w:bottom w:w="0" w:type="dxa"/>
            <w:right w:w="0" w:type="dxa"/>
          </w:tblCellMar>
        </w:tblPrEx>
        <w:trPr>
          <w:trHeight w:val="958"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1137" w:type="pct"/>
            <w:tcBorders>
              <w:top w:val="single" w:color="auto" w:sz="4" w:space="0"/>
              <w:left w:val="single" w:color="auto" w:sz="4" w:space="0"/>
              <w:bottom w:val="single" w:color="auto" w:sz="4" w:space="0"/>
              <w:right w:val="single" w:color="auto" w:sz="4" w:space="0"/>
            </w:tcBorders>
          </w:tcPr>
          <w:p>
            <w:pPr>
              <w:pStyle w:val="55"/>
              <w:spacing w:before="4" w:line="283" w:lineRule="auto"/>
              <w:ind w:left="7" w:right="7"/>
              <w:jc w:val="both"/>
              <w:rPr>
                <w:sz w:val="20"/>
                <w:szCs w:val="20"/>
              </w:rPr>
            </w:pPr>
            <w:r>
              <w:rPr>
                <w:rFonts w:hint="eastAsia"/>
                <w:spacing w:val="12"/>
                <w:w w:val="99"/>
                <w:sz w:val="20"/>
                <w:szCs w:val="20"/>
              </w:rPr>
              <w:t>多联式空</w:t>
            </w:r>
            <w:r>
              <w:rPr>
                <w:rFonts w:hint="eastAsia"/>
                <w:spacing w:val="11"/>
                <w:w w:val="99"/>
                <w:sz w:val="20"/>
                <w:szCs w:val="20"/>
              </w:rPr>
              <w:t>调（</w:t>
            </w:r>
            <w:r>
              <w:rPr>
                <w:rFonts w:hint="eastAsia"/>
                <w:spacing w:val="12"/>
                <w:w w:val="99"/>
                <w:sz w:val="20"/>
                <w:szCs w:val="20"/>
              </w:rPr>
              <w:t>热泵</w:t>
            </w:r>
            <w:r>
              <w:rPr>
                <w:rFonts w:hint="eastAsia"/>
                <w:w w:val="99"/>
                <w:sz w:val="20"/>
                <w:szCs w:val="20"/>
              </w:rPr>
              <w:t xml:space="preserve">）机组（制冷量≤ </w:t>
            </w:r>
            <w:r>
              <w:rPr>
                <w:rFonts w:hint="eastAsia"/>
                <w:spacing w:val="1"/>
                <w:w w:val="99"/>
                <w:sz w:val="20"/>
                <w:szCs w:val="20"/>
              </w:rPr>
              <w:t>140</w:t>
            </w:r>
            <w:r>
              <w:rPr>
                <w:rFonts w:hint="eastAsia"/>
                <w:w w:val="99"/>
                <w:sz w:val="20"/>
                <w:szCs w:val="20"/>
              </w:rPr>
              <w:t>00</w:t>
            </w:r>
            <w:r>
              <w:rPr>
                <w:rFonts w:hint="eastAsia"/>
                <w:spacing w:val="1"/>
                <w:w w:val="99"/>
                <w:sz w:val="20"/>
                <w:szCs w:val="20"/>
              </w:rPr>
              <w:t>W</w:t>
            </w:r>
            <w:r>
              <w:rPr>
                <w:rFonts w:hint="eastAsia"/>
                <w:w w:val="99"/>
                <w:sz w:val="20"/>
                <w:szCs w:val="20"/>
              </w:rPr>
              <w:t>）</w:t>
            </w:r>
          </w:p>
        </w:tc>
        <w:tc>
          <w:tcPr>
            <w:tcW w:w="1761" w:type="pct"/>
            <w:tcBorders>
              <w:top w:val="single" w:color="auto" w:sz="4" w:space="0"/>
              <w:left w:val="single" w:color="auto" w:sz="4" w:space="0"/>
              <w:bottom w:val="single" w:color="auto" w:sz="4" w:space="0"/>
              <w:right w:val="single" w:color="auto" w:sz="4" w:space="0"/>
            </w:tcBorders>
          </w:tcPr>
          <w:p>
            <w:pPr>
              <w:pStyle w:val="55"/>
              <w:spacing w:before="160" w:line="283" w:lineRule="auto"/>
              <w:ind w:left="7" w:right="7"/>
              <w:rPr>
                <w:sz w:val="20"/>
                <w:szCs w:val="20"/>
              </w:rPr>
            </w:pPr>
            <w:r>
              <w:rPr>
                <w:rFonts w:hint="eastAsia"/>
                <w:w w:val="99"/>
                <w:sz w:val="20"/>
                <w:szCs w:val="20"/>
              </w:rPr>
              <w:t>《多联</w:t>
            </w:r>
            <w:r>
              <w:rPr>
                <w:rFonts w:hint="eastAsia"/>
                <w:spacing w:val="2"/>
                <w:w w:val="99"/>
                <w:sz w:val="20"/>
                <w:szCs w:val="20"/>
              </w:rPr>
              <w:t>式</w:t>
            </w:r>
            <w:r>
              <w:rPr>
                <w:rFonts w:hint="eastAsia"/>
                <w:w w:val="99"/>
                <w:sz w:val="20"/>
                <w:szCs w:val="20"/>
              </w:rPr>
              <w:t>空</w:t>
            </w:r>
            <w:r>
              <w:rPr>
                <w:rFonts w:hint="eastAsia"/>
                <w:spacing w:val="-27"/>
                <w:w w:val="99"/>
                <w:sz w:val="20"/>
                <w:szCs w:val="20"/>
              </w:rPr>
              <w:t>调</w:t>
            </w:r>
            <w:r>
              <w:rPr>
                <w:rFonts w:hint="eastAsia"/>
                <w:w w:val="99"/>
                <w:sz w:val="20"/>
                <w:szCs w:val="20"/>
              </w:rPr>
              <w:t>（热</w:t>
            </w:r>
            <w:r>
              <w:rPr>
                <w:rFonts w:hint="eastAsia"/>
                <w:spacing w:val="2"/>
                <w:w w:val="99"/>
                <w:sz w:val="20"/>
                <w:szCs w:val="20"/>
              </w:rPr>
              <w:t>泵</w:t>
            </w:r>
            <w:r>
              <w:rPr>
                <w:rFonts w:hint="eastAsia"/>
                <w:spacing w:val="-29"/>
                <w:w w:val="99"/>
                <w:sz w:val="20"/>
                <w:szCs w:val="20"/>
              </w:rPr>
              <w:t>）</w:t>
            </w:r>
            <w:r>
              <w:rPr>
                <w:rFonts w:hint="eastAsia"/>
                <w:w w:val="99"/>
                <w:sz w:val="20"/>
                <w:szCs w:val="20"/>
              </w:rPr>
              <w:t>机</w:t>
            </w:r>
            <w:r>
              <w:rPr>
                <w:rFonts w:hint="eastAsia"/>
                <w:spacing w:val="2"/>
                <w:w w:val="99"/>
                <w:sz w:val="20"/>
                <w:szCs w:val="20"/>
              </w:rPr>
              <w:t>组</w:t>
            </w:r>
            <w:r>
              <w:rPr>
                <w:rFonts w:hint="eastAsia"/>
                <w:w w:val="99"/>
                <w:sz w:val="20"/>
                <w:szCs w:val="20"/>
              </w:rPr>
              <w:t>能效限定值及</w:t>
            </w:r>
            <w:r>
              <w:rPr>
                <w:rFonts w:hint="eastAsia"/>
                <w:spacing w:val="2"/>
                <w:w w:val="99"/>
                <w:sz w:val="20"/>
                <w:szCs w:val="20"/>
              </w:rPr>
              <w:t>能</w:t>
            </w:r>
            <w:r>
              <w:rPr>
                <w:rFonts w:hint="eastAsia"/>
                <w:w w:val="99"/>
                <w:sz w:val="20"/>
                <w:szCs w:val="20"/>
              </w:rPr>
              <w:t>源效</w:t>
            </w:r>
            <w:r>
              <w:rPr>
                <w:rFonts w:hint="eastAsia"/>
                <w:spacing w:val="2"/>
                <w:w w:val="99"/>
                <w:sz w:val="20"/>
                <w:szCs w:val="20"/>
              </w:rPr>
              <w:t>率</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2145</w:t>
            </w:r>
            <w:r>
              <w:rPr>
                <w:rFonts w:hint="eastAsia"/>
                <w:w w:val="99"/>
                <w:sz w:val="20"/>
                <w:szCs w:val="20"/>
              </w:rPr>
              <w:t>4</w:t>
            </w:r>
          </w:p>
        </w:tc>
      </w:tr>
      <w:tr>
        <w:tblPrEx>
          <w:tblCellMar>
            <w:top w:w="0" w:type="dxa"/>
            <w:left w:w="0" w:type="dxa"/>
            <w:bottom w:w="0" w:type="dxa"/>
            <w:right w:w="0" w:type="dxa"/>
          </w:tblCellMar>
        </w:tblPrEx>
        <w:trPr>
          <w:trHeight w:val="327"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vMerge w:val="restart"/>
            <w:tcBorders>
              <w:top w:val="single" w:color="auto" w:sz="4" w:space="0"/>
              <w:left w:val="single" w:color="auto" w:sz="4" w:space="0"/>
              <w:bottom w:val="single" w:color="auto" w:sz="4" w:space="0"/>
              <w:right w:val="single" w:color="auto" w:sz="4" w:space="0"/>
            </w:tcBorders>
          </w:tcPr>
          <w:p>
            <w:pPr>
              <w:pStyle w:val="55"/>
              <w:spacing w:before="2"/>
              <w:rPr>
                <w:sz w:val="24"/>
              </w:rPr>
            </w:pPr>
          </w:p>
          <w:p>
            <w:pPr>
              <w:pStyle w:val="55"/>
              <w:ind w:left="7"/>
              <w:rPr>
                <w:sz w:val="20"/>
                <w:szCs w:val="20"/>
              </w:rPr>
            </w:pPr>
            <w:r>
              <w:rPr>
                <w:rFonts w:hint="eastAsia"/>
                <w:w w:val="99"/>
                <w:sz w:val="20"/>
                <w:szCs w:val="20"/>
              </w:rPr>
              <w:t>单元式空气调节机</w:t>
            </w:r>
          </w:p>
        </w:tc>
        <w:tc>
          <w:tcPr>
            <w:tcW w:w="1761" w:type="pct"/>
            <w:tcBorders>
              <w:top w:val="single" w:color="auto" w:sz="4" w:space="0"/>
              <w:left w:val="single" w:color="auto" w:sz="4" w:space="0"/>
              <w:bottom w:val="single" w:color="auto" w:sz="4" w:space="0"/>
              <w:right w:val="single" w:color="auto" w:sz="4" w:space="0"/>
            </w:tcBorders>
          </w:tcPr>
          <w:p>
            <w:pPr>
              <w:pStyle w:val="55"/>
              <w:spacing w:before="4"/>
              <w:ind w:left="7"/>
              <w:rPr>
                <w:sz w:val="20"/>
                <w:szCs w:val="20"/>
              </w:rPr>
            </w:pPr>
            <w:r>
              <w:rPr>
                <w:rFonts w:hint="eastAsia"/>
                <w:spacing w:val="12"/>
                <w:w w:val="99"/>
                <w:sz w:val="20"/>
                <w:szCs w:val="20"/>
              </w:rPr>
              <w:t>《单元式空气调节机能</w:t>
            </w:r>
            <w:r>
              <w:rPr>
                <w:rFonts w:hint="eastAsia"/>
                <w:spacing w:val="9"/>
                <w:w w:val="99"/>
                <w:sz w:val="20"/>
                <w:szCs w:val="20"/>
              </w:rPr>
              <w:t>效</w:t>
            </w:r>
            <w:r>
              <w:rPr>
                <w:rFonts w:hint="eastAsia"/>
                <w:spacing w:val="12"/>
                <w:w w:val="99"/>
                <w:sz w:val="20"/>
                <w:szCs w:val="20"/>
              </w:rPr>
              <w:t>限定</w:t>
            </w:r>
            <w:r>
              <w:rPr>
                <w:rFonts w:hint="eastAsia"/>
                <w:w w:val="99"/>
                <w:sz w:val="20"/>
                <w:szCs w:val="20"/>
              </w:rPr>
              <w:t>值</w:t>
            </w:r>
          </w:p>
        </w:tc>
      </w:tr>
      <w:tr>
        <w:tblPrEx>
          <w:tblCellMar>
            <w:top w:w="0" w:type="dxa"/>
            <w:left w:w="0" w:type="dxa"/>
            <w:bottom w:w="0" w:type="dxa"/>
            <w:right w:w="0" w:type="dxa"/>
          </w:tblCellMar>
        </w:tblPrEx>
        <w:trPr>
          <w:trHeight w:val="312" w:hRule="atLeas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761" w:type="pct"/>
            <w:tcBorders>
              <w:top w:val="single" w:color="auto" w:sz="4" w:space="0"/>
              <w:left w:val="single" w:color="auto" w:sz="4" w:space="0"/>
              <w:bottom w:val="single" w:color="auto" w:sz="4" w:space="0"/>
              <w:right w:val="single" w:color="auto" w:sz="4" w:space="0"/>
            </w:tcBorders>
          </w:tcPr>
          <w:p>
            <w:pPr>
              <w:pStyle w:val="55"/>
              <w:spacing w:line="256" w:lineRule="exact"/>
              <w:ind w:left="7"/>
              <w:rPr>
                <w:sz w:val="20"/>
                <w:szCs w:val="20"/>
              </w:rPr>
            </w:pPr>
            <w:r>
              <w:rPr>
                <w:rFonts w:hint="eastAsia"/>
                <w:w w:val="99"/>
                <w:sz w:val="20"/>
                <w:szCs w:val="20"/>
              </w:rPr>
              <w:t>及能源</w:t>
            </w:r>
            <w:r>
              <w:rPr>
                <w:rFonts w:hint="eastAsia"/>
                <w:spacing w:val="2"/>
                <w:w w:val="99"/>
                <w:sz w:val="20"/>
                <w:szCs w:val="20"/>
              </w:rPr>
              <w:t>效</w:t>
            </w:r>
            <w:r>
              <w:rPr>
                <w:rFonts w:hint="eastAsia"/>
                <w:w w:val="99"/>
                <w:sz w:val="20"/>
                <w:szCs w:val="20"/>
              </w:rPr>
              <w:t>率等</w:t>
            </w:r>
            <w:r>
              <w:rPr>
                <w:rFonts w:hint="eastAsia"/>
                <w:spacing w:val="2"/>
                <w:w w:val="99"/>
                <w:sz w:val="20"/>
                <w:szCs w:val="20"/>
              </w:rPr>
              <w:t>级</w:t>
            </w:r>
            <w:r>
              <w:rPr>
                <w:rFonts w:hint="eastAsia"/>
                <w:spacing w:val="-104"/>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195</w:t>
            </w:r>
            <w:r>
              <w:rPr>
                <w:rFonts w:hint="eastAsia"/>
                <w:w w:val="99"/>
                <w:sz w:val="20"/>
                <w:szCs w:val="20"/>
              </w:rPr>
              <w:t>7</w:t>
            </w:r>
            <w:r>
              <w:rPr>
                <w:rFonts w:hint="eastAsia"/>
                <w:spacing w:val="-3"/>
                <w:w w:val="99"/>
                <w:sz w:val="20"/>
                <w:szCs w:val="20"/>
              </w:rPr>
              <w:t>6</w:t>
            </w:r>
            <w:r>
              <w:rPr>
                <w:rFonts w:hint="eastAsia"/>
                <w:spacing w:val="-104"/>
                <w:w w:val="99"/>
                <w:sz w:val="20"/>
                <w:szCs w:val="20"/>
              </w:rPr>
              <w:t>）</w:t>
            </w:r>
            <w:r>
              <w:rPr>
                <w:rFonts w:hint="eastAsia"/>
                <w:w w:val="99"/>
                <w:sz w:val="20"/>
                <w:szCs w:val="20"/>
              </w:rPr>
              <w:t>《风</w:t>
            </w:r>
          </w:p>
        </w:tc>
      </w:tr>
      <w:tr>
        <w:tblPrEx>
          <w:tblCellMar>
            <w:top w:w="0" w:type="dxa"/>
            <w:left w:w="0" w:type="dxa"/>
            <w:bottom w:w="0" w:type="dxa"/>
            <w:right w:w="0" w:type="dxa"/>
          </w:tblCellMar>
        </w:tblPrEx>
        <w:trPr>
          <w:trHeight w:val="312"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vMerge w:val="restart"/>
            <w:tcBorders>
              <w:top w:val="single" w:color="auto" w:sz="4" w:space="0"/>
              <w:left w:val="single" w:color="auto" w:sz="4" w:space="0"/>
              <w:bottom w:val="single" w:color="auto" w:sz="4" w:space="0"/>
              <w:right w:val="single" w:color="auto" w:sz="4" w:space="0"/>
            </w:tcBorders>
          </w:tcPr>
          <w:p>
            <w:pPr>
              <w:pStyle w:val="55"/>
              <w:spacing w:line="256" w:lineRule="exact"/>
              <w:ind w:left="7"/>
              <w:rPr>
                <w:sz w:val="20"/>
                <w:szCs w:val="20"/>
              </w:rPr>
            </w:pPr>
            <w:r>
              <w:rPr>
                <w:rFonts w:hint="eastAsia"/>
                <w:spacing w:val="1"/>
                <w:w w:val="99"/>
                <w:sz w:val="20"/>
                <w:szCs w:val="20"/>
              </w:rPr>
              <w:t>(</w:t>
            </w:r>
            <w:r>
              <w:rPr>
                <w:rFonts w:hint="eastAsia"/>
                <w:w w:val="99"/>
                <w:sz w:val="20"/>
                <w:szCs w:val="20"/>
              </w:rPr>
              <w:t>制冷量≤</w:t>
            </w:r>
            <w:r>
              <w:rPr>
                <w:rFonts w:hint="eastAsia"/>
                <w:spacing w:val="1"/>
                <w:w w:val="99"/>
                <w:sz w:val="20"/>
                <w:szCs w:val="20"/>
              </w:rPr>
              <w:t>14000W</w:t>
            </w:r>
            <w:r>
              <w:rPr>
                <w:rFonts w:hint="eastAsia"/>
                <w:w w:val="99"/>
                <w:sz w:val="20"/>
                <w:szCs w:val="20"/>
              </w:rPr>
              <w:t>)</w:t>
            </w:r>
          </w:p>
        </w:tc>
        <w:tc>
          <w:tcPr>
            <w:tcW w:w="1761" w:type="pct"/>
            <w:tcBorders>
              <w:top w:val="single" w:color="auto" w:sz="4" w:space="0"/>
              <w:left w:val="single" w:color="auto" w:sz="4" w:space="0"/>
              <w:bottom w:val="single" w:color="auto" w:sz="4" w:space="0"/>
              <w:right w:val="single" w:color="auto" w:sz="4" w:space="0"/>
            </w:tcBorders>
          </w:tcPr>
          <w:p>
            <w:pPr>
              <w:pStyle w:val="55"/>
              <w:spacing w:line="256" w:lineRule="exact"/>
              <w:ind w:left="7"/>
              <w:rPr>
                <w:sz w:val="20"/>
                <w:szCs w:val="20"/>
              </w:rPr>
            </w:pPr>
            <w:r>
              <w:rPr>
                <w:rFonts w:hint="eastAsia"/>
                <w:spacing w:val="12"/>
                <w:w w:val="99"/>
                <w:sz w:val="20"/>
                <w:szCs w:val="20"/>
              </w:rPr>
              <w:t>管送风式空调机组能效</w:t>
            </w:r>
            <w:r>
              <w:rPr>
                <w:rFonts w:hint="eastAsia"/>
                <w:spacing w:val="9"/>
                <w:w w:val="99"/>
                <w:sz w:val="20"/>
                <w:szCs w:val="20"/>
              </w:rPr>
              <w:t>限</w:t>
            </w:r>
            <w:r>
              <w:rPr>
                <w:rFonts w:hint="eastAsia"/>
                <w:spacing w:val="12"/>
                <w:w w:val="99"/>
                <w:sz w:val="20"/>
                <w:szCs w:val="20"/>
              </w:rPr>
              <w:t>定值</w:t>
            </w:r>
            <w:r>
              <w:rPr>
                <w:rFonts w:hint="eastAsia"/>
                <w:w w:val="99"/>
                <w:sz w:val="20"/>
                <w:szCs w:val="20"/>
              </w:rPr>
              <w:t>及</w:t>
            </w:r>
          </w:p>
        </w:tc>
      </w:tr>
      <w:tr>
        <w:tblPrEx>
          <w:tblCellMar>
            <w:top w:w="0" w:type="dxa"/>
            <w:left w:w="0" w:type="dxa"/>
            <w:bottom w:w="0" w:type="dxa"/>
            <w:right w:w="0" w:type="dxa"/>
          </w:tblCellMar>
        </w:tblPrEx>
        <w:trPr>
          <w:trHeight w:val="319" w:hRule="atLeas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761" w:type="pct"/>
            <w:tcBorders>
              <w:top w:val="single" w:color="auto" w:sz="4" w:space="0"/>
              <w:left w:val="single" w:color="auto" w:sz="4" w:space="0"/>
              <w:bottom w:val="single" w:color="auto" w:sz="4" w:space="0"/>
              <w:right w:val="single" w:color="auto" w:sz="4" w:space="0"/>
            </w:tcBorders>
          </w:tcPr>
          <w:p>
            <w:pPr>
              <w:pStyle w:val="55"/>
              <w:spacing w:line="256" w:lineRule="exact"/>
              <w:ind w:left="7"/>
              <w:rPr>
                <w:sz w:val="20"/>
                <w:szCs w:val="20"/>
              </w:rPr>
            </w:pPr>
            <w:r>
              <w:rPr>
                <w:rFonts w:hint="eastAsia"/>
                <w:w w:val="99"/>
                <w:sz w:val="20"/>
                <w:szCs w:val="20"/>
              </w:rPr>
              <w:t>能效等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374</w:t>
            </w:r>
            <w:r>
              <w:rPr>
                <w:rFonts w:hint="eastAsia"/>
                <w:w w:val="99"/>
                <w:sz w:val="20"/>
                <w:szCs w:val="20"/>
              </w:rPr>
              <w:t>7</w:t>
            </w:r>
            <w:r>
              <w:rPr>
                <w:rFonts w:hint="eastAsia"/>
                <w:spacing w:val="-1"/>
                <w:w w:val="99"/>
                <w:sz w:val="20"/>
                <w:szCs w:val="20"/>
              </w:rPr>
              <w:t>9</w:t>
            </w:r>
            <w:r>
              <w:rPr>
                <w:rFonts w:hint="eastAsia"/>
                <w:w w:val="99"/>
                <w:sz w:val="20"/>
                <w:szCs w:val="20"/>
              </w:rPr>
              <w:t>）</w:t>
            </w:r>
          </w:p>
        </w:tc>
      </w:tr>
      <w:tr>
        <w:tblPrEx>
          <w:tblCellMar>
            <w:top w:w="0" w:type="dxa"/>
            <w:left w:w="0" w:type="dxa"/>
            <w:bottom w:w="0" w:type="dxa"/>
            <w:right w:w="0" w:type="dxa"/>
          </w:tblCellMar>
        </w:tblPrEx>
        <w:trPr>
          <w:trHeight w:val="653"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1068" w:type="pct"/>
            <w:tcBorders>
              <w:top w:val="single" w:color="auto" w:sz="4" w:space="0"/>
              <w:left w:val="single" w:color="auto" w:sz="4" w:space="0"/>
              <w:bottom w:val="single" w:color="auto" w:sz="4" w:space="0"/>
              <w:right w:val="single" w:color="auto" w:sz="4" w:space="0"/>
            </w:tcBorders>
          </w:tcPr>
          <w:p>
            <w:pPr>
              <w:pStyle w:val="55"/>
              <w:spacing w:before="162"/>
              <w:ind w:left="7"/>
              <w:rPr>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80</w:t>
            </w:r>
            <w:r>
              <w:rPr>
                <w:rFonts w:hint="eastAsia"/>
                <w:spacing w:val="1"/>
                <w:w w:val="99"/>
                <w:sz w:val="20"/>
                <w:szCs w:val="20"/>
              </w:rPr>
              <w:t>3</w:t>
            </w:r>
            <w:r>
              <w:rPr>
                <w:rFonts w:hint="eastAsia"/>
                <w:w w:val="99"/>
                <w:sz w:val="20"/>
                <w:szCs w:val="20"/>
              </w:rPr>
              <w:t>01洗衣机</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lang w:eastAsia="en-US"/>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6" w:line="283" w:lineRule="auto"/>
              <w:ind w:left="7" w:right="4"/>
              <w:rPr>
                <w:sz w:val="20"/>
                <w:szCs w:val="20"/>
              </w:rPr>
            </w:pPr>
            <w:r>
              <w:rPr>
                <w:rFonts w:hint="eastAsia"/>
                <w:spacing w:val="12"/>
                <w:w w:val="99"/>
                <w:sz w:val="20"/>
                <w:szCs w:val="20"/>
              </w:rPr>
              <w:t>《电动洗衣机能效水效</w:t>
            </w:r>
            <w:r>
              <w:rPr>
                <w:rFonts w:hint="eastAsia"/>
                <w:spacing w:val="9"/>
                <w:w w:val="99"/>
                <w:sz w:val="20"/>
                <w:szCs w:val="20"/>
              </w:rPr>
              <w:t>限</w:t>
            </w:r>
            <w:r>
              <w:rPr>
                <w:rFonts w:hint="eastAsia"/>
                <w:spacing w:val="12"/>
                <w:w w:val="99"/>
                <w:sz w:val="20"/>
                <w:szCs w:val="20"/>
              </w:rPr>
              <w:t>定值</w:t>
            </w:r>
            <w:r>
              <w:rPr>
                <w:rFonts w:hint="eastAsia"/>
                <w:w w:val="99"/>
                <w:sz w:val="20"/>
                <w:szCs w:val="20"/>
              </w:rPr>
              <w:t>及等级》（</w:t>
            </w:r>
            <w:r>
              <w:rPr>
                <w:rFonts w:hint="eastAsia"/>
                <w:spacing w:val="1"/>
                <w:w w:val="99"/>
                <w:sz w:val="20"/>
                <w:szCs w:val="20"/>
              </w:rPr>
              <w:t>G</w:t>
            </w:r>
            <w:r>
              <w:rPr>
                <w:rFonts w:hint="eastAsia"/>
                <w:w w:val="99"/>
                <w:sz w:val="20"/>
                <w:szCs w:val="20"/>
              </w:rPr>
              <w:t>B</w:t>
            </w:r>
            <w:r>
              <w:rPr>
                <w:rFonts w:hint="eastAsia"/>
                <w:spacing w:val="1"/>
                <w:w w:val="99"/>
                <w:sz w:val="20"/>
                <w:szCs w:val="20"/>
              </w:rPr>
              <w:t>1202</w:t>
            </w:r>
            <w:r>
              <w:rPr>
                <w:rFonts w:hint="eastAsia"/>
                <w:w w:val="99"/>
                <w:sz w:val="20"/>
                <w:szCs w:val="20"/>
              </w:rPr>
              <w:t>1.</w:t>
            </w:r>
            <w:r>
              <w:rPr>
                <w:rFonts w:hint="eastAsia"/>
                <w:spacing w:val="1"/>
                <w:w w:val="99"/>
                <w:sz w:val="20"/>
                <w:szCs w:val="20"/>
              </w:rPr>
              <w:t>4</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40" w:type="pct"/>
            <w:vMerge w:val="continue"/>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691" w:type="pct"/>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068" w:type="pct"/>
            <w:vMerge w:val="restar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spacing w:before="161"/>
              <w:ind w:left="7"/>
              <w:rPr>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808热水器</w:t>
            </w:r>
          </w:p>
        </w:tc>
        <w:tc>
          <w:tcPr>
            <w:tcW w:w="1137" w:type="pct"/>
            <w:tcBorders>
              <w:top w:val="single" w:color="auto" w:sz="4" w:space="0"/>
              <w:left w:val="single" w:color="auto" w:sz="4" w:space="0"/>
              <w:bottom w:val="single" w:color="auto" w:sz="4" w:space="0"/>
              <w:right w:val="single" w:color="auto" w:sz="4" w:space="0"/>
            </w:tcBorders>
          </w:tcPr>
          <w:p>
            <w:pPr>
              <w:pStyle w:val="55"/>
              <w:spacing w:before="12"/>
              <w:rPr>
                <w:sz w:val="15"/>
                <w:szCs w:val="15"/>
              </w:rPr>
            </w:pPr>
          </w:p>
          <w:p>
            <w:pPr>
              <w:pStyle w:val="55"/>
              <w:ind w:left="7"/>
              <w:rPr>
                <w:sz w:val="20"/>
                <w:szCs w:val="20"/>
              </w:rPr>
            </w:pPr>
            <w:r>
              <w:rPr>
                <w:rFonts w:hint="eastAsia"/>
                <w:w w:val="99"/>
                <w:sz w:val="20"/>
                <w:szCs w:val="20"/>
              </w:rPr>
              <w:t>★电热</w:t>
            </w:r>
            <w:r>
              <w:rPr>
                <w:rFonts w:hint="eastAsia"/>
                <w:spacing w:val="2"/>
                <w:w w:val="99"/>
                <w:sz w:val="20"/>
                <w:szCs w:val="20"/>
              </w:rPr>
              <w:t>水</w:t>
            </w:r>
            <w:r>
              <w:rPr>
                <w:rFonts w:hint="eastAsia"/>
                <w:w w:val="99"/>
                <w:sz w:val="20"/>
                <w:szCs w:val="20"/>
              </w:rPr>
              <w:t>器</w:t>
            </w:r>
          </w:p>
        </w:tc>
        <w:tc>
          <w:tcPr>
            <w:tcW w:w="1761" w:type="pct"/>
            <w:tcBorders>
              <w:top w:val="single" w:color="auto" w:sz="4" w:space="0"/>
              <w:left w:val="single" w:color="auto" w:sz="4" w:space="0"/>
              <w:bottom w:val="single" w:color="auto" w:sz="4" w:space="0"/>
              <w:right w:val="single" w:color="auto" w:sz="4" w:space="0"/>
            </w:tcBorders>
          </w:tcPr>
          <w:p>
            <w:pPr>
              <w:pStyle w:val="55"/>
              <w:tabs>
                <w:tab w:val="left" w:pos="1608"/>
              </w:tabs>
              <w:spacing w:before="52" w:line="283" w:lineRule="auto"/>
              <w:ind w:left="7" w:right="4"/>
              <w:rPr>
                <w:sz w:val="20"/>
                <w:szCs w:val="20"/>
              </w:rPr>
            </w:pPr>
            <w:r>
              <w:rPr>
                <w:rFonts w:hint="eastAsia"/>
                <w:spacing w:val="12"/>
                <w:w w:val="99"/>
                <w:sz w:val="20"/>
                <w:szCs w:val="20"/>
              </w:rPr>
              <w:t>《储水式电热水器能效</w:t>
            </w:r>
            <w:r>
              <w:rPr>
                <w:rFonts w:hint="eastAsia"/>
                <w:spacing w:val="9"/>
                <w:w w:val="99"/>
                <w:sz w:val="20"/>
                <w:szCs w:val="20"/>
              </w:rPr>
              <w:t>限</w:t>
            </w:r>
            <w:r>
              <w:rPr>
                <w:rFonts w:hint="eastAsia"/>
                <w:spacing w:val="12"/>
                <w:w w:val="99"/>
                <w:sz w:val="20"/>
                <w:szCs w:val="20"/>
              </w:rPr>
              <w:t>定值</w:t>
            </w:r>
            <w:r>
              <w:rPr>
                <w:rFonts w:hint="eastAsia"/>
                <w:w w:val="99"/>
                <w:sz w:val="20"/>
                <w:szCs w:val="20"/>
              </w:rPr>
              <w:t>及能效等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z w:val="20"/>
                <w:szCs w:val="20"/>
              </w:rPr>
              <w:tab/>
            </w:r>
            <w:r>
              <w:rPr>
                <w:rFonts w:hint="eastAsia"/>
                <w:spacing w:val="1"/>
                <w:w w:val="99"/>
                <w:sz w:val="20"/>
                <w:szCs w:val="20"/>
              </w:rPr>
              <w:t>21</w:t>
            </w:r>
            <w:r>
              <w:rPr>
                <w:rFonts w:hint="eastAsia"/>
                <w:w w:val="99"/>
                <w:sz w:val="20"/>
                <w:szCs w:val="20"/>
              </w:rPr>
              <w:t>51</w:t>
            </w:r>
            <w:r>
              <w:rPr>
                <w:rFonts w:hint="eastAsia"/>
                <w:spacing w:val="1"/>
                <w:w w:val="99"/>
                <w:sz w:val="20"/>
                <w:szCs w:val="20"/>
              </w:rPr>
              <w:t>9</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sz w:val="22"/>
                <w:szCs w:val="22"/>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tcBorders>
              <w:top w:val="single" w:color="auto" w:sz="4" w:space="0"/>
              <w:left w:val="single" w:color="auto" w:sz="4" w:space="0"/>
              <w:bottom w:val="single" w:color="auto" w:sz="4" w:space="0"/>
              <w:right w:val="single" w:color="auto" w:sz="4" w:space="0"/>
            </w:tcBorders>
          </w:tcPr>
          <w:p>
            <w:pPr>
              <w:pStyle w:val="55"/>
              <w:spacing w:before="2"/>
              <w:rPr>
                <w:sz w:val="24"/>
              </w:rPr>
            </w:pPr>
          </w:p>
          <w:p>
            <w:pPr>
              <w:pStyle w:val="55"/>
              <w:ind w:left="7"/>
              <w:rPr>
                <w:sz w:val="20"/>
                <w:szCs w:val="20"/>
              </w:rPr>
            </w:pPr>
            <w:r>
              <w:rPr>
                <w:rFonts w:hint="eastAsia"/>
                <w:w w:val="99"/>
                <w:sz w:val="20"/>
                <w:szCs w:val="20"/>
              </w:rPr>
              <w:t>燃气热</w:t>
            </w:r>
            <w:r>
              <w:rPr>
                <w:rFonts w:hint="eastAsia"/>
                <w:spacing w:val="2"/>
                <w:w w:val="99"/>
                <w:sz w:val="20"/>
                <w:szCs w:val="20"/>
              </w:rPr>
              <w:t>水</w:t>
            </w:r>
            <w:r>
              <w:rPr>
                <w:rFonts w:hint="eastAsia"/>
                <w:w w:val="99"/>
                <w:sz w:val="20"/>
                <w:szCs w:val="20"/>
              </w:rPr>
              <w:t>器</w:t>
            </w:r>
          </w:p>
        </w:tc>
        <w:tc>
          <w:tcPr>
            <w:tcW w:w="1761" w:type="pct"/>
            <w:tcBorders>
              <w:top w:val="single" w:color="auto" w:sz="4" w:space="0"/>
              <w:left w:val="single" w:color="auto" w:sz="4" w:space="0"/>
              <w:bottom w:val="single" w:color="auto" w:sz="4" w:space="0"/>
              <w:right w:val="single" w:color="auto" w:sz="4" w:space="0"/>
            </w:tcBorders>
          </w:tcPr>
          <w:p>
            <w:pPr>
              <w:pStyle w:val="55"/>
              <w:spacing w:before="4" w:line="283" w:lineRule="auto"/>
              <w:ind w:left="7" w:right="4"/>
              <w:rPr>
                <w:sz w:val="20"/>
                <w:szCs w:val="20"/>
              </w:rPr>
            </w:pPr>
            <w:r>
              <w:rPr>
                <w:rFonts w:hint="eastAsia"/>
                <w:spacing w:val="12"/>
                <w:w w:val="99"/>
                <w:sz w:val="20"/>
                <w:szCs w:val="20"/>
              </w:rPr>
              <w:t>《家用燃气快速热水器</w:t>
            </w:r>
            <w:r>
              <w:rPr>
                <w:rFonts w:hint="eastAsia"/>
                <w:spacing w:val="9"/>
                <w:w w:val="99"/>
                <w:sz w:val="20"/>
                <w:szCs w:val="20"/>
              </w:rPr>
              <w:t>和</w:t>
            </w:r>
            <w:r>
              <w:rPr>
                <w:rFonts w:hint="eastAsia"/>
                <w:spacing w:val="12"/>
                <w:w w:val="99"/>
                <w:sz w:val="20"/>
                <w:szCs w:val="20"/>
              </w:rPr>
              <w:t>燃气</w:t>
            </w:r>
            <w:r>
              <w:rPr>
                <w:rFonts w:hint="eastAsia"/>
                <w:w w:val="99"/>
                <w:sz w:val="20"/>
                <w:szCs w:val="20"/>
              </w:rPr>
              <w:t>采暖热水</w:t>
            </w:r>
            <w:r>
              <w:rPr>
                <w:rFonts w:hint="eastAsia"/>
                <w:spacing w:val="2"/>
                <w:w w:val="99"/>
                <w:sz w:val="20"/>
                <w:szCs w:val="20"/>
              </w:rPr>
              <w:t>炉</w:t>
            </w:r>
            <w:r>
              <w:rPr>
                <w:rFonts w:hint="eastAsia"/>
                <w:w w:val="99"/>
                <w:sz w:val="20"/>
                <w:szCs w:val="20"/>
              </w:rPr>
              <w:t>能效</w:t>
            </w:r>
            <w:r>
              <w:rPr>
                <w:rFonts w:hint="eastAsia"/>
                <w:spacing w:val="2"/>
                <w:w w:val="99"/>
                <w:sz w:val="20"/>
                <w:szCs w:val="20"/>
              </w:rPr>
              <w:t>限</w:t>
            </w:r>
            <w:r>
              <w:rPr>
                <w:rFonts w:hint="eastAsia"/>
                <w:w w:val="99"/>
                <w:sz w:val="20"/>
                <w:szCs w:val="20"/>
              </w:rPr>
              <w:t>定值</w:t>
            </w:r>
            <w:r>
              <w:rPr>
                <w:rFonts w:hint="eastAsia"/>
                <w:spacing w:val="2"/>
                <w:w w:val="99"/>
                <w:sz w:val="20"/>
                <w:szCs w:val="20"/>
              </w:rPr>
              <w:t>及</w:t>
            </w:r>
            <w:r>
              <w:rPr>
                <w:rFonts w:hint="eastAsia"/>
                <w:w w:val="99"/>
                <w:sz w:val="20"/>
                <w:szCs w:val="20"/>
              </w:rPr>
              <w:t>能</w:t>
            </w:r>
            <w:r>
              <w:rPr>
                <w:rFonts w:hint="eastAsia"/>
                <w:spacing w:val="2"/>
                <w:w w:val="99"/>
                <w:sz w:val="20"/>
                <w:szCs w:val="20"/>
              </w:rPr>
              <w:t>效</w:t>
            </w:r>
            <w:r>
              <w:rPr>
                <w:rFonts w:hint="eastAsia"/>
                <w:w w:val="99"/>
                <w:sz w:val="20"/>
                <w:szCs w:val="20"/>
              </w:rPr>
              <w:t>等级》</w:t>
            </w:r>
          </w:p>
          <w:p>
            <w:pPr>
              <w:pStyle w:val="55"/>
              <w:spacing w:before="12"/>
              <w:ind w:left="7"/>
              <w:rPr>
                <w:sz w:val="20"/>
                <w:szCs w:val="20"/>
              </w:rPr>
            </w:pP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w:t>
            </w:r>
            <w:r>
              <w:rPr>
                <w:rFonts w:hint="eastAsia"/>
                <w:w w:val="99"/>
                <w:sz w:val="20"/>
                <w:szCs w:val="20"/>
              </w:rPr>
              <w:t>06</w:t>
            </w:r>
            <w:r>
              <w:rPr>
                <w:rFonts w:hint="eastAsia"/>
                <w:spacing w:val="1"/>
                <w:w w:val="99"/>
                <w:sz w:val="20"/>
                <w:szCs w:val="20"/>
              </w:rPr>
              <w:t>65</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sz w:val="22"/>
                <w:szCs w:val="22"/>
                <w:lang w:eastAsia="en-US"/>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sz w:val="22"/>
                <w:szCs w:val="22"/>
                <w:lang w:eastAsia="en-US"/>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1137" w:type="pct"/>
            <w:tcBorders>
              <w:top w:val="single" w:color="auto" w:sz="4" w:space="0"/>
              <w:left w:val="single" w:color="auto" w:sz="4" w:space="0"/>
              <w:bottom w:val="single" w:color="auto" w:sz="4" w:space="0"/>
              <w:right w:val="single" w:color="auto" w:sz="4" w:space="0"/>
            </w:tcBorders>
          </w:tcPr>
          <w:p>
            <w:pPr>
              <w:pStyle w:val="55"/>
              <w:rPr>
                <w:sz w:val="19"/>
                <w:szCs w:val="19"/>
              </w:rPr>
            </w:pPr>
          </w:p>
          <w:p>
            <w:pPr>
              <w:pStyle w:val="55"/>
              <w:ind w:left="7"/>
              <w:rPr>
                <w:sz w:val="20"/>
                <w:szCs w:val="20"/>
              </w:rPr>
            </w:pPr>
            <w:r>
              <w:rPr>
                <w:rFonts w:hint="eastAsia"/>
                <w:w w:val="99"/>
                <w:sz w:val="20"/>
                <w:szCs w:val="20"/>
              </w:rPr>
              <w:t>热泵热</w:t>
            </w:r>
            <w:r>
              <w:rPr>
                <w:rFonts w:hint="eastAsia"/>
                <w:spacing w:val="2"/>
                <w:w w:val="99"/>
                <w:sz w:val="20"/>
                <w:szCs w:val="20"/>
              </w:rPr>
              <w:t>水</w:t>
            </w:r>
            <w:r>
              <w:rPr>
                <w:rFonts w:hint="eastAsia"/>
                <w:w w:val="99"/>
                <w:sz w:val="20"/>
                <w:szCs w:val="20"/>
              </w:rPr>
              <w:t>器</w:t>
            </w:r>
          </w:p>
        </w:tc>
        <w:tc>
          <w:tcPr>
            <w:tcW w:w="1761" w:type="pct"/>
            <w:tcBorders>
              <w:top w:val="single" w:color="auto" w:sz="4" w:space="0"/>
              <w:left w:val="single" w:color="auto" w:sz="4" w:space="0"/>
              <w:bottom w:val="single" w:color="auto" w:sz="4" w:space="0"/>
              <w:right w:val="single" w:color="auto" w:sz="4" w:space="0"/>
            </w:tcBorders>
          </w:tcPr>
          <w:p>
            <w:pPr>
              <w:pStyle w:val="55"/>
              <w:spacing w:before="93" w:line="283" w:lineRule="auto"/>
              <w:ind w:left="7" w:right="7"/>
              <w:rPr>
                <w:sz w:val="20"/>
                <w:szCs w:val="20"/>
              </w:rPr>
            </w:pPr>
            <w:r>
              <w:rPr>
                <w:rFonts w:hint="eastAsia"/>
                <w:w w:val="99"/>
                <w:sz w:val="20"/>
                <w:szCs w:val="20"/>
              </w:rPr>
              <w:t>《热泵</w:t>
            </w:r>
            <w:r>
              <w:rPr>
                <w:rFonts w:hint="eastAsia"/>
                <w:spacing w:val="2"/>
                <w:w w:val="99"/>
                <w:sz w:val="20"/>
                <w:szCs w:val="20"/>
              </w:rPr>
              <w:t>热</w:t>
            </w:r>
            <w:r>
              <w:rPr>
                <w:rFonts w:hint="eastAsia"/>
                <w:w w:val="99"/>
                <w:sz w:val="20"/>
                <w:szCs w:val="20"/>
              </w:rPr>
              <w:t>水</w:t>
            </w:r>
            <w:r>
              <w:rPr>
                <w:rFonts w:hint="eastAsia"/>
                <w:spacing w:val="-27"/>
                <w:w w:val="99"/>
                <w:sz w:val="20"/>
                <w:szCs w:val="20"/>
              </w:rPr>
              <w:t>机</w:t>
            </w:r>
            <w:r>
              <w:rPr>
                <w:rFonts w:hint="eastAsia"/>
                <w:w w:val="99"/>
                <w:sz w:val="20"/>
                <w:szCs w:val="20"/>
              </w:rPr>
              <w:t>（器</w:t>
            </w:r>
            <w:r>
              <w:rPr>
                <w:rFonts w:hint="eastAsia"/>
                <w:spacing w:val="-27"/>
                <w:w w:val="99"/>
                <w:sz w:val="20"/>
                <w:szCs w:val="20"/>
              </w:rPr>
              <w:t>）</w:t>
            </w:r>
            <w:r>
              <w:rPr>
                <w:rFonts w:hint="eastAsia"/>
                <w:w w:val="99"/>
                <w:sz w:val="20"/>
                <w:szCs w:val="20"/>
              </w:rPr>
              <w:t>能效</w:t>
            </w:r>
            <w:r>
              <w:rPr>
                <w:rFonts w:hint="eastAsia"/>
                <w:spacing w:val="2"/>
                <w:w w:val="99"/>
                <w:sz w:val="20"/>
                <w:szCs w:val="20"/>
              </w:rPr>
              <w:t>限</w:t>
            </w:r>
            <w:r>
              <w:rPr>
                <w:rFonts w:hint="eastAsia"/>
                <w:w w:val="99"/>
                <w:sz w:val="20"/>
                <w:szCs w:val="20"/>
              </w:rPr>
              <w:t>定值及能效等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295</w:t>
            </w:r>
            <w:r>
              <w:rPr>
                <w:rFonts w:hint="eastAsia"/>
                <w:w w:val="99"/>
                <w:sz w:val="20"/>
                <w:szCs w:val="20"/>
              </w:rPr>
              <w:t>4</w:t>
            </w:r>
            <w:r>
              <w:rPr>
                <w:rFonts w:hint="eastAsia"/>
                <w:spacing w:val="-1"/>
                <w:w w:val="99"/>
                <w:sz w:val="20"/>
                <w:szCs w:val="20"/>
              </w:rPr>
              <w:t>1</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sz w:val="22"/>
                <w:szCs w:val="22"/>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137" w:type="pct"/>
            <w:tcBorders>
              <w:top w:val="single" w:color="auto" w:sz="4" w:space="0"/>
              <w:left w:val="single" w:color="auto" w:sz="4" w:space="0"/>
              <w:bottom w:val="single" w:color="auto" w:sz="4" w:space="0"/>
              <w:right w:val="single" w:color="auto" w:sz="4" w:space="0"/>
            </w:tcBorders>
          </w:tcPr>
          <w:p>
            <w:pPr>
              <w:pStyle w:val="55"/>
              <w:spacing w:before="12"/>
              <w:rPr>
                <w:sz w:val="15"/>
                <w:szCs w:val="15"/>
              </w:rPr>
            </w:pPr>
          </w:p>
          <w:p>
            <w:pPr>
              <w:pStyle w:val="55"/>
              <w:ind w:left="7"/>
              <w:rPr>
                <w:sz w:val="20"/>
                <w:szCs w:val="20"/>
              </w:rPr>
            </w:pPr>
            <w:r>
              <w:rPr>
                <w:rFonts w:hint="eastAsia"/>
                <w:w w:val="99"/>
                <w:sz w:val="20"/>
                <w:szCs w:val="20"/>
              </w:rPr>
              <w:t>太阳能</w:t>
            </w:r>
            <w:r>
              <w:rPr>
                <w:rFonts w:hint="eastAsia"/>
                <w:spacing w:val="2"/>
                <w:w w:val="99"/>
                <w:sz w:val="20"/>
                <w:szCs w:val="20"/>
              </w:rPr>
              <w:t>热</w:t>
            </w:r>
            <w:r>
              <w:rPr>
                <w:rFonts w:hint="eastAsia"/>
                <w:w w:val="99"/>
                <w:sz w:val="20"/>
                <w:szCs w:val="20"/>
              </w:rPr>
              <w:t>水系统</w:t>
            </w:r>
          </w:p>
        </w:tc>
        <w:tc>
          <w:tcPr>
            <w:tcW w:w="1761" w:type="pct"/>
            <w:tcBorders>
              <w:top w:val="single" w:color="auto" w:sz="4" w:space="0"/>
              <w:left w:val="single" w:color="auto" w:sz="4" w:space="0"/>
              <w:bottom w:val="single" w:color="auto" w:sz="4" w:space="0"/>
              <w:right w:val="single" w:color="auto" w:sz="4" w:space="0"/>
            </w:tcBorders>
          </w:tcPr>
          <w:p>
            <w:pPr>
              <w:pStyle w:val="55"/>
              <w:spacing w:before="52" w:line="283" w:lineRule="auto"/>
              <w:ind w:left="7" w:right="4"/>
              <w:rPr>
                <w:sz w:val="20"/>
                <w:szCs w:val="20"/>
              </w:rPr>
            </w:pPr>
            <w:r>
              <w:rPr>
                <w:rFonts w:hint="eastAsia"/>
                <w:spacing w:val="12"/>
                <w:w w:val="99"/>
                <w:sz w:val="20"/>
                <w:szCs w:val="20"/>
              </w:rPr>
              <w:t>《家用太阳能热水系统</w:t>
            </w:r>
            <w:r>
              <w:rPr>
                <w:rFonts w:hint="eastAsia"/>
                <w:spacing w:val="9"/>
                <w:w w:val="99"/>
                <w:sz w:val="20"/>
                <w:szCs w:val="20"/>
              </w:rPr>
              <w:t>能</w:t>
            </w:r>
            <w:r>
              <w:rPr>
                <w:rFonts w:hint="eastAsia"/>
                <w:spacing w:val="12"/>
                <w:w w:val="99"/>
                <w:sz w:val="20"/>
                <w:szCs w:val="20"/>
              </w:rPr>
              <w:t>效限</w:t>
            </w:r>
            <w:r>
              <w:rPr>
                <w:rFonts w:hint="eastAsia"/>
                <w:w w:val="99"/>
                <w:sz w:val="20"/>
                <w:szCs w:val="20"/>
              </w:rPr>
              <w:t>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26</w:t>
            </w:r>
            <w:r>
              <w:rPr>
                <w:rFonts w:hint="eastAsia"/>
                <w:w w:val="99"/>
                <w:sz w:val="20"/>
                <w:szCs w:val="20"/>
              </w:rPr>
              <w:t>96</w:t>
            </w:r>
            <w:r>
              <w:rPr>
                <w:rFonts w:hint="eastAsia"/>
                <w:spacing w:val="-2"/>
                <w:w w:val="99"/>
                <w:sz w:val="20"/>
                <w:szCs w:val="20"/>
              </w:rPr>
              <w:t>9</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340" w:type="pct"/>
            <w:vMerge w:val="restar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spacing w:before="12"/>
              <w:rPr>
                <w:sz w:val="23"/>
                <w:szCs w:val="23"/>
              </w:rPr>
            </w:pPr>
          </w:p>
          <w:p>
            <w:pPr>
              <w:pStyle w:val="55"/>
              <w:ind w:left="182"/>
              <w:rPr>
                <w:sz w:val="20"/>
                <w:szCs w:val="20"/>
              </w:rPr>
            </w:pPr>
            <w:r>
              <w:rPr>
                <w:rFonts w:hint="eastAsia"/>
                <w:spacing w:val="1"/>
                <w:w w:val="99"/>
                <w:sz w:val="20"/>
              </w:rPr>
              <w:t>1</w:t>
            </w:r>
            <w:r>
              <w:rPr>
                <w:rFonts w:hint="eastAsia"/>
                <w:w w:val="99"/>
                <w:sz w:val="20"/>
              </w:rPr>
              <w:t>1</w:t>
            </w:r>
          </w:p>
        </w:tc>
        <w:tc>
          <w:tcPr>
            <w:tcW w:w="691" w:type="pct"/>
            <w:vMerge w:val="restar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rPr>
                <w:sz w:val="20"/>
                <w:szCs w:val="20"/>
              </w:rPr>
            </w:pPr>
          </w:p>
          <w:p>
            <w:pPr>
              <w:pStyle w:val="55"/>
              <w:spacing w:before="157"/>
              <w:ind w:left="7"/>
              <w:rPr>
                <w:sz w:val="20"/>
                <w:szCs w:val="20"/>
              </w:rPr>
            </w:pPr>
            <w:r>
              <w:rPr>
                <w:rFonts w:hint="eastAsia"/>
                <w:spacing w:val="1"/>
                <w:w w:val="99"/>
                <w:sz w:val="20"/>
                <w:szCs w:val="20"/>
              </w:rPr>
              <w:t>A02</w:t>
            </w:r>
            <w:r>
              <w:rPr>
                <w:rFonts w:hint="eastAsia"/>
                <w:w w:val="99"/>
                <w:sz w:val="20"/>
                <w:szCs w:val="20"/>
              </w:rPr>
              <w:t>06</w:t>
            </w:r>
            <w:r>
              <w:rPr>
                <w:rFonts w:hint="eastAsia"/>
                <w:spacing w:val="1"/>
                <w:w w:val="99"/>
                <w:sz w:val="20"/>
                <w:szCs w:val="20"/>
              </w:rPr>
              <w:t>1</w:t>
            </w:r>
            <w:r>
              <w:rPr>
                <w:rFonts w:hint="eastAsia"/>
                <w:w w:val="99"/>
                <w:sz w:val="20"/>
                <w:szCs w:val="20"/>
              </w:rPr>
              <w:t>9照明</w:t>
            </w:r>
          </w:p>
          <w:p>
            <w:pPr>
              <w:pStyle w:val="55"/>
              <w:spacing w:before="50"/>
              <w:ind w:left="7"/>
              <w:rPr>
                <w:sz w:val="20"/>
                <w:szCs w:val="20"/>
              </w:rPr>
            </w:pPr>
            <w:r>
              <w:rPr>
                <w:rFonts w:hint="eastAsia"/>
                <w:w w:val="99"/>
                <w:sz w:val="20"/>
                <w:szCs w:val="20"/>
              </w:rPr>
              <w:t>设备</w:t>
            </w:r>
          </w:p>
        </w:tc>
        <w:tc>
          <w:tcPr>
            <w:tcW w:w="1068" w:type="pct"/>
            <w:tcBorders>
              <w:top w:val="single" w:color="auto" w:sz="4" w:space="0"/>
              <w:left w:val="single" w:color="auto" w:sz="4" w:space="0"/>
              <w:bottom w:val="single" w:color="auto" w:sz="4" w:space="0"/>
              <w:right w:val="single" w:color="auto" w:sz="4" w:space="0"/>
            </w:tcBorders>
          </w:tcPr>
          <w:p>
            <w:pPr>
              <w:pStyle w:val="55"/>
              <w:spacing w:before="133" w:line="283" w:lineRule="auto"/>
              <w:ind w:left="7" w:right="7"/>
              <w:rPr>
                <w:sz w:val="20"/>
                <w:szCs w:val="20"/>
              </w:rPr>
            </w:pPr>
            <w:r>
              <w:rPr>
                <w:rFonts w:hint="eastAsia"/>
                <w:w w:val="99"/>
                <w:sz w:val="20"/>
                <w:szCs w:val="20"/>
              </w:rPr>
              <w:t>★</w:t>
            </w:r>
            <w:r>
              <w:rPr>
                <w:rFonts w:hint="eastAsia"/>
                <w:spacing w:val="24"/>
                <w:w w:val="99"/>
                <w:sz w:val="20"/>
                <w:szCs w:val="20"/>
              </w:rPr>
              <w:t>普</w:t>
            </w:r>
            <w:r>
              <w:rPr>
                <w:rFonts w:hint="eastAsia"/>
                <w:w w:val="99"/>
                <w:sz w:val="20"/>
                <w:szCs w:val="20"/>
              </w:rPr>
              <w:t>通照明用</w:t>
            </w:r>
            <w:r>
              <w:rPr>
                <w:rFonts w:hint="eastAsia"/>
                <w:spacing w:val="24"/>
                <w:w w:val="99"/>
                <w:sz w:val="20"/>
                <w:szCs w:val="20"/>
              </w:rPr>
              <w:t>双</w:t>
            </w:r>
            <w:r>
              <w:rPr>
                <w:rFonts w:hint="eastAsia"/>
                <w:w w:val="99"/>
                <w:sz w:val="20"/>
                <w:szCs w:val="20"/>
              </w:rPr>
              <w:t>端荧光灯</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133" w:line="283" w:lineRule="auto"/>
              <w:ind w:left="7" w:right="4"/>
              <w:rPr>
                <w:sz w:val="20"/>
                <w:szCs w:val="20"/>
              </w:rPr>
            </w:pPr>
            <w:r>
              <w:rPr>
                <w:rFonts w:hint="eastAsia"/>
                <w:spacing w:val="12"/>
                <w:w w:val="99"/>
                <w:sz w:val="20"/>
                <w:szCs w:val="20"/>
              </w:rPr>
              <w:t>《普通照明用双端荧光</w:t>
            </w:r>
            <w:r>
              <w:rPr>
                <w:rFonts w:hint="eastAsia"/>
                <w:spacing w:val="9"/>
                <w:w w:val="99"/>
                <w:sz w:val="20"/>
                <w:szCs w:val="20"/>
              </w:rPr>
              <w:t>灯</w:t>
            </w:r>
            <w:r>
              <w:rPr>
                <w:rFonts w:hint="eastAsia"/>
                <w:spacing w:val="12"/>
                <w:w w:val="99"/>
                <w:sz w:val="20"/>
                <w:szCs w:val="20"/>
              </w:rPr>
              <w:t>能效</w:t>
            </w:r>
            <w:r>
              <w:rPr>
                <w:rFonts w:hint="eastAsia"/>
                <w:w w:val="99"/>
                <w:sz w:val="20"/>
                <w:szCs w:val="20"/>
              </w:rPr>
              <w:t>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19</w:t>
            </w:r>
            <w:r>
              <w:rPr>
                <w:rFonts w:hint="eastAsia"/>
                <w:w w:val="99"/>
                <w:sz w:val="20"/>
                <w:szCs w:val="20"/>
              </w:rPr>
              <w:t>04</w:t>
            </w:r>
            <w:r>
              <w:rPr>
                <w:rFonts w:hint="eastAsia"/>
                <w:spacing w:val="1"/>
                <w:w w:val="99"/>
                <w:sz w:val="20"/>
                <w:szCs w:val="20"/>
              </w:rPr>
              <w:t>3</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tcBorders>
              <w:top w:val="single" w:color="auto" w:sz="4" w:space="0"/>
              <w:left w:val="single" w:color="auto" w:sz="4" w:space="0"/>
              <w:bottom w:val="single" w:color="auto" w:sz="4" w:space="0"/>
              <w:right w:val="single" w:color="auto" w:sz="4" w:space="0"/>
            </w:tcBorders>
          </w:tcPr>
          <w:p>
            <w:pPr>
              <w:pStyle w:val="55"/>
              <w:spacing w:before="92" w:line="283" w:lineRule="auto"/>
              <w:ind w:left="7" w:right="2"/>
              <w:rPr>
                <w:sz w:val="20"/>
                <w:szCs w:val="20"/>
              </w:rPr>
            </w:pPr>
            <w:r>
              <w:rPr>
                <w:rFonts w:hint="eastAsia"/>
                <w:spacing w:val="1"/>
                <w:w w:val="99"/>
                <w:sz w:val="20"/>
                <w:szCs w:val="20"/>
              </w:rPr>
              <w:t>LE</w:t>
            </w:r>
            <w:r>
              <w:rPr>
                <w:rFonts w:hint="eastAsia"/>
                <w:w w:val="99"/>
                <w:sz w:val="20"/>
                <w:szCs w:val="20"/>
              </w:rPr>
              <w:t>D</w:t>
            </w:r>
            <w:r>
              <w:rPr>
                <w:rFonts w:hint="eastAsia"/>
                <w:spacing w:val="12"/>
                <w:w w:val="99"/>
                <w:sz w:val="20"/>
                <w:szCs w:val="20"/>
              </w:rPr>
              <w:t>道</w:t>
            </w:r>
            <w:r>
              <w:rPr>
                <w:rFonts w:hint="eastAsia"/>
                <w:spacing w:val="9"/>
                <w:w w:val="99"/>
                <w:sz w:val="20"/>
                <w:szCs w:val="20"/>
              </w:rPr>
              <w:t>路</w:t>
            </w:r>
            <w:r>
              <w:rPr>
                <w:rFonts w:hint="eastAsia"/>
                <w:spacing w:val="13"/>
                <w:w w:val="99"/>
                <w:sz w:val="20"/>
                <w:szCs w:val="20"/>
              </w:rPr>
              <w:t>/</w:t>
            </w:r>
            <w:r>
              <w:rPr>
                <w:rFonts w:hint="eastAsia"/>
                <w:spacing w:val="12"/>
                <w:w w:val="99"/>
                <w:sz w:val="20"/>
                <w:szCs w:val="20"/>
              </w:rPr>
              <w:t>隧道照</w:t>
            </w:r>
            <w:r>
              <w:rPr>
                <w:rFonts w:hint="eastAsia"/>
                <w:w w:val="99"/>
                <w:sz w:val="20"/>
                <w:szCs w:val="20"/>
              </w:rPr>
              <w:t>明产品</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lang w:eastAsia="en-US"/>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92" w:line="283" w:lineRule="auto"/>
              <w:ind w:left="7" w:right="7"/>
              <w:rPr>
                <w:sz w:val="20"/>
                <w:szCs w:val="20"/>
              </w:rPr>
            </w:pPr>
            <w:r>
              <w:rPr>
                <w:rFonts w:hint="eastAsia"/>
                <w:spacing w:val="4"/>
                <w:w w:val="99"/>
                <w:sz w:val="20"/>
                <w:szCs w:val="20"/>
              </w:rPr>
              <w:t>《</w:t>
            </w:r>
            <w:r>
              <w:rPr>
                <w:rFonts w:hint="eastAsia"/>
                <w:spacing w:val="2"/>
                <w:w w:val="99"/>
                <w:sz w:val="20"/>
                <w:szCs w:val="20"/>
              </w:rPr>
              <w:t>道</w:t>
            </w:r>
            <w:r>
              <w:rPr>
                <w:rFonts w:hint="eastAsia"/>
                <w:spacing w:val="4"/>
                <w:w w:val="99"/>
                <w:sz w:val="20"/>
                <w:szCs w:val="20"/>
              </w:rPr>
              <w:t>路和隧道照</w:t>
            </w:r>
            <w:r>
              <w:rPr>
                <w:rFonts w:hint="eastAsia"/>
                <w:spacing w:val="2"/>
                <w:w w:val="99"/>
                <w:sz w:val="20"/>
                <w:szCs w:val="20"/>
              </w:rPr>
              <w:t>明</w:t>
            </w:r>
            <w:r>
              <w:rPr>
                <w:rFonts w:hint="eastAsia"/>
                <w:w w:val="99"/>
                <w:sz w:val="20"/>
                <w:szCs w:val="20"/>
              </w:rPr>
              <w:t>用</w:t>
            </w:r>
            <w:r>
              <w:rPr>
                <w:rFonts w:hint="eastAsia"/>
                <w:spacing w:val="1"/>
                <w:w w:val="99"/>
                <w:sz w:val="20"/>
                <w:szCs w:val="20"/>
              </w:rPr>
              <w:t>LE</w:t>
            </w:r>
            <w:r>
              <w:rPr>
                <w:rFonts w:hint="eastAsia"/>
                <w:w w:val="99"/>
                <w:sz w:val="20"/>
                <w:szCs w:val="20"/>
              </w:rPr>
              <w:t>D</w:t>
            </w:r>
            <w:r>
              <w:rPr>
                <w:rFonts w:hint="eastAsia"/>
                <w:spacing w:val="4"/>
                <w:w w:val="99"/>
                <w:sz w:val="20"/>
                <w:szCs w:val="20"/>
              </w:rPr>
              <w:t>灯</w:t>
            </w:r>
            <w:r>
              <w:rPr>
                <w:rFonts w:hint="eastAsia"/>
                <w:spacing w:val="2"/>
                <w:w w:val="99"/>
                <w:sz w:val="20"/>
                <w:szCs w:val="20"/>
              </w:rPr>
              <w:t>具</w:t>
            </w:r>
            <w:r>
              <w:rPr>
                <w:rFonts w:hint="eastAsia"/>
                <w:w w:val="99"/>
                <w:sz w:val="20"/>
                <w:szCs w:val="20"/>
              </w:rPr>
              <w:t>能效限定</w:t>
            </w:r>
            <w:r>
              <w:rPr>
                <w:rFonts w:hint="eastAsia"/>
                <w:spacing w:val="2"/>
                <w:w w:val="99"/>
                <w:sz w:val="20"/>
                <w:szCs w:val="20"/>
              </w:rPr>
              <w:t>值</w:t>
            </w:r>
            <w:r>
              <w:rPr>
                <w:rFonts w:hint="eastAsia"/>
                <w:w w:val="99"/>
                <w:sz w:val="20"/>
                <w:szCs w:val="20"/>
              </w:rPr>
              <w:t>及能</w:t>
            </w:r>
            <w:r>
              <w:rPr>
                <w:rFonts w:hint="eastAsia"/>
                <w:spacing w:val="2"/>
                <w:w w:val="99"/>
                <w:sz w:val="20"/>
                <w:szCs w:val="20"/>
              </w:rPr>
              <w:t>效</w:t>
            </w:r>
            <w:r>
              <w:rPr>
                <w:rFonts w:hint="eastAsia"/>
                <w:w w:val="99"/>
                <w:sz w:val="20"/>
                <w:szCs w:val="20"/>
              </w:rPr>
              <w:t>等级</w:t>
            </w:r>
            <w:r>
              <w:rPr>
                <w:rFonts w:hint="eastAsia"/>
                <w:spacing w:val="-106"/>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3747</w:t>
            </w:r>
            <w:r>
              <w:rPr>
                <w:rFonts w:hint="eastAsia"/>
                <w:w w:val="99"/>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tcBorders>
              <w:top w:val="single" w:color="auto" w:sz="4" w:space="0"/>
              <w:left w:val="single" w:color="auto" w:sz="4" w:space="0"/>
              <w:bottom w:val="single" w:color="auto" w:sz="4" w:space="0"/>
              <w:right w:val="single" w:color="auto" w:sz="4" w:space="0"/>
            </w:tcBorders>
          </w:tcPr>
          <w:p>
            <w:pPr>
              <w:pStyle w:val="55"/>
              <w:spacing w:before="4"/>
              <w:rPr>
                <w:sz w:val="18"/>
                <w:szCs w:val="18"/>
              </w:rPr>
            </w:pPr>
          </w:p>
          <w:p>
            <w:pPr>
              <w:pStyle w:val="55"/>
              <w:ind w:left="7"/>
              <w:rPr>
                <w:sz w:val="20"/>
                <w:szCs w:val="20"/>
              </w:rPr>
            </w:pPr>
            <w:r>
              <w:rPr>
                <w:rFonts w:hint="eastAsia"/>
                <w:spacing w:val="1"/>
                <w:w w:val="99"/>
                <w:sz w:val="20"/>
                <w:szCs w:val="20"/>
              </w:rPr>
              <w:t>LE</w:t>
            </w:r>
            <w:r>
              <w:rPr>
                <w:rFonts w:hint="eastAsia"/>
                <w:w w:val="99"/>
                <w:sz w:val="20"/>
                <w:szCs w:val="20"/>
              </w:rPr>
              <w:t>D筒灯</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lang w:eastAsia="en-US"/>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83" w:line="283" w:lineRule="auto"/>
              <w:ind w:left="7" w:right="7"/>
              <w:rPr>
                <w:sz w:val="20"/>
                <w:szCs w:val="20"/>
              </w:rPr>
            </w:pPr>
            <w:r>
              <w:rPr>
                <w:rFonts w:hint="eastAsia"/>
                <w:spacing w:val="4"/>
                <w:w w:val="99"/>
                <w:sz w:val="20"/>
                <w:szCs w:val="20"/>
              </w:rPr>
              <w:t>《</w:t>
            </w:r>
            <w:r>
              <w:rPr>
                <w:rFonts w:hint="eastAsia"/>
                <w:spacing w:val="2"/>
                <w:w w:val="99"/>
                <w:sz w:val="20"/>
                <w:szCs w:val="20"/>
              </w:rPr>
              <w:t>室</w:t>
            </w:r>
            <w:r>
              <w:rPr>
                <w:rFonts w:hint="eastAsia"/>
                <w:spacing w:val="4"/>
                <w:w w:val="99"/>
                <w:sz w:val="20"/>
                <w:szCs w:val="20"/>
              </w:rPr>
              <w:t>内照明</w:t>
            </w:r>
            <w:r>
              <w:rPr>
                <w:rFonts w:hint="eastAsia"/>
                <w:w w:val="99"/>
                <w:sz w:val="20"/>
                <w:szCs w:val="20"/>
              </w:rPr>
              <w:t>用</w:t>
            </w:r>
            <w:r>
              <w:rPr>
                <w:rFonts w:hint="eastAsia"/>
                <w:spacing w:val="1"/>
                <w:w w:val="99"/>
                <w:sz w:val="20"/>
                <w:szCs w:val="20"/>
              </w:rPr>
              <w:t>LE</w:t>
            </w:r>
            <w:r>
              <w:rPr>
                <w:rFonts w:hint="eastAsia"/>
                <w:w w:val="99"/>
                <w:sz w:val="20"/>
                <w:szCs w:val="20"/>
              </w:rPr>
              <w:t>D</w:t>
            </w:r>
            <w:r>
              <w:rPr>
                <w:rFonts w:hint="eastAsia"/>
                <w:spacing w:val="4"/>
                <w:w w:val="99"/>
                <w:sz w:val="20"/>
                <w:szCs w:val="20"/>
              </w:rPr>
              <w:t>产</w:t>
            </w:r>
            <w:r>
              <w:rPr>
                <w:rFonts w:hint="eastAsia"/>
                <w:spacing w:val="2"/>
                <w:w w:val="99"/>
                <w:sz w:val="20"/>
                <w:szCs w:val="20"/>
              </w:rPr>
              <w:t>品</w:t>
            </w:r>
            <w:r>
              <w:rPr>
                <w:rFonts w:hint="eastAsia"/>
                <w:spacing w:val="4"/>
                <w:w w:val="99"/>
                <w:sz w:val="20"/>
                <w:szCs w:val="20"/>
              </w:rPr>
              <w:t>能效</w:t>
            </w:r>
            <w:r>
              <w:rPr>
                <w:rFonts w:hint="eastAsia"/>
                <w:spacing w:val="2"/>
                <w:w w:val="99"/>
                <w:sz w:val="20"/>
                <w:szCs w:val="20"/>
              </w:rPr>
              <w:t>限</w:t>
            </w:r>
            <w:r>
              <w:rPr>
                <w:rFonts w:hint="eastAsia"/>
                <w:w w:val="99"/>
                <w:sz w:val="20"/>
                <w:szCs w:val="20"/>
              </w:rPr>
              <w:t>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w:t>
            </w:r>
            <w:r>
              <w:rPr>
                <w:rFonts w:hint="eastAsia"/>
                <w:w w:val="99"/>
                <w:sz w:val="20"/>
                <w:szCs w:val="20"/>
              </w:rPr>
              <w:t>25</w:t>
            </w:r>
            <w:r>
              <w:rPr>
                <w:rFonts w:hint="eastAsia"/>
                <w:spacing w:val="-2"/>
                <w:w w:val="99"/>
                <w:sz w:val="20"/>
                <w:szCs w:val="20"/>
              </w:rPr>
              <w:t>5</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tcBorders>
              <w:top w:val="single" w:color="auto" w:sz="4" w:space="0"/>
              <w:left w:val="single" w:color="auto" w:sz="4" w:space="0"/>
              <w:bottom w:val="single" w:color="auto" w:sz="4" w:space="0"/>
              <w:right w:val="single" w:color="auto" w:sz="4" w:space="0"/>
            </w:tcBorders>
          </w:tcPr>
          <w:p>
            <w:pPr>
              <w:pStyle w:val="55"/>
              <w:spacing w:line="283" w:lineRule="auto"/>
              <w:ind w:right="7"/>
              <w:rPr>
                <w:sz w:val="20"/>
                <w:szCs w:val="20"/>
              </w:rPr>
            </w:pPr>
            <w:r>
              <w:rPr>
                <w:rFonts w:hint="eastAsia"/>
                <w:w w:val="99"/>
                <w:sz w:val="20"/>
                <w:szCs w:val="20"/>
              </w:rPr>
              <w:t>普</w:t>
            </w:r>
            <w:r>
              <w:rPr>
                <w:rFonts w:hint="eastAsia"/>
                <w:spacing w:val="24"/>
                <w:w w:val="99"/>
                <w:sz w:val="20"/>
                <w:szCs w:val="20"/>
              </w:rPr>
              <w:t>通</w:t>
            </w:r>
            <w:r>
              <w:rPr>
                <w:rFonts w:hint="eastAsia"/>
                <w:w w:val="99"/>
                <w:sz w:val="20"/>
                <w:szCs w:val="20"/>
              </w:rPr>
              <w:t>照明用非</w:t>
            </w:r>
            <w:r>
              <w:rPr>
                <w:rFonts w:hint="eastAsia"/>
                <w:spacing w:val="24"/>
                <w:w w:val="99"/>
                <w:sz w:val="20"/>
                <w:szCs w:val="20"/>
              </w:rPr>
              <w:t>定</w:t>
            </w:r>
            <w:r>
              <w:rPr>
                <w:rFonts w:hint="eastAsia"/>
                <w:w w:val="99"/>
                <w:sz w:val="20"/>
                <w:szCs w:val="20"/>
              </w:rPr>
              <w:t>向自镇流</w:t>
            </w:r>
            <w:r>
              <w:rPr>
                <w:rFonts w:hint="eastAsia"/>
                <w:spacing w:val="1"/>
                <w:w w:val="99"/>
                <w:sz w:val="20"/>
                <w:szCs w:val="20"/>
              </w:rPr>
              <w:t>LE</w:t>
            </w:r>
            <w:r>
              <w:rPr>
                <w:rFonts w:hint="eastAsia"/>
                <w:w w:val="99"/>
                <w:sz w:val="20"/>
                <w:szCs w:val="20"/>
              </w:rPr>
              <w:t>D灯</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761" w:type="pct"/>
            <w:tcBorders>
              <w:top w:val="single" w:color="auto" w:sz="4" w:space="0"/>
              <w:left w:val="single" w:color="auto" w:sz="4" w:space="0"/>
              <w:bottom w:val="single" w:color="auto" w:sz="4" w:space="0"/>
              <w:right w:val="single" w:color="auto" w:sz="4" w:space="0"/>
            </w:tcBorders>
          </w:tcPr>
          <w:p>
            <w:pPr>
              <w:pStyle w:val="55"/>
              <w:spacing w:line="283" w:lineRule="auto"/>
              <w:ind w:right="7"/>
              <w:rPr>
                <w:sz w:val="20"/>
                <w:szCs w:val="20"/>
              </w:rPr>
            </w:pPr>
            <w:r>
              <w:rPr>
                <w:rFonts w:hint="eastAsia"/>
                <w:spacing w:val="4"/>
                <w:w w:val="99"/>
                <w:sz w:val="20"/>
                <w:szCs w:val="20"/>
              </w:rPr>
              <w:t>《</w:t>
            </w:r>
            <w:r>
              <w:rPr>
                <w:rFonts w:hint="eastAsia"/>
                <w:spacing w:val="2"/>
                <w:w w:val="99"/>
                <w:sz w:val="20"/>
                <w:szCs w:val="20"/>
              </w:rPr>
              <w:t>室</w:t>
            </w:r>
            <w:r>
              <w:rPr>
                <w:rFonts w:hint="eastAsia"/>
                <w:spacing w:val="4"/>
                <w:w w:val="99"/>
                <w:sz w:val="20"/>
                <w:szCs w:val="20"/>
              </w:rPr>
              <w:t>内照明</w:t>
            </w:r>
            <w:r>
              <w:rPr>
                <w:rFonts w:hint="eastAsia"/>
                <w:w w:val="99"/>
                <w:sz w:val="20"/>
                <w:szCs w:val="20"/>
              </w:rPr>
              <w:t>用</w:t>
            </w:r>
            <w:r>
              <w:rPr>
                <w:rFonts w:hint="eastAsia"/>
                <w:spacing w:val="1"/>
                <w:w w:val="99"/>
                <w:sz w:val="20"/>
                <w:szCs w:val="20"/>
              </w:rPr>
              <w:t>LE</w:t>
            </w:r>
            <w:r>
              <w:rPr>
                <w:rFonts w:hint="eastAsia"/>
                <w:w w:val="99"/>
                <w:sz w:val="20"/>
                <w:szCs w:val="20"/>
              </w:rPr>
              <w:t>D</w:t>
            </w:r>
            <w:r>
              <w:rPr>
                <w:rFonts w:hint="eastAsia"/>
                <w:spacing w:val="4"/>
                <w:w w:val="99"/>
                <w:sz w:val="20"/>
                <w:szCs w:val="20"/>
              </w:rPr>
              <w:t>产</w:t>
            </w:r>
            <w:r>
              <w:rPr>
                <w:rFonts w:hint="eastAsia"/>
                <w:spacing w:val="2"/>
                <w:w w:val="99"/>
                <w:sz w:val="20"/>
                <w:szCs w:val="20"/>
              </w:rPr>
              <w:t>品</w:t>
            </w:r>
            <w:r>
              <w:rPr>
                <w:rFonts w:hint="eastAsia"/>
                <w:spacing w:val="4"/>
                <w:w w:val="99"/>
                <w:sz w:val="20"/>
                <w:szCs w:val="20"/>
              </w:rPr>
              <w:t>能效</w:t>
            </w:r>
            <w:r>
              <w:rPr>
                <w:rFonts w:hint="eastAsia"/>
                <w:spacing w:val="2"/>
                <w:w w:val="99"/>
                <w:sz w:val="20"/>
                <w:szCs w:val="20"/>
              </w:rPr>
              <w:t>限</w:t>
            </w:r>
            <w:r>
              <w:rPr>
                <w:rFonts w:hint="eastAsia"/>
                <w:w w:val="99"/>
                <w:sz w:val="20"/>
                <w:szCs w:val="20"/>
              </w:rPr>
              <w:t>定值及能</w:t>
            </w:r>
            <w:r>
              <w:rPr>
                <w:rFonts w:hint="eastAsia"/>
                <w:spacing w:val="2"/>
                <w:w w:val="99"/>
                <w:sz w:val="20"/>
                <w:szCs w:val="20"/>
              </w:rPr>
              <w:t>效</w:t>
            </w:r>
            <w:r>
              <w:rPr>
                <w:rFonts w:hint="eastAsia"/>
                <w:w w:val="99"/>
                <w:sz w:val="20"/>
                <w:szCs w:val="20"/>
              </w:rPr>
              <w:t>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w:t>
            </w:r>
            <w:r>
              <w:rPr>
                <w:rFonts w:hint="eastAsia"/>
                <w:w w:val="99"/>
                <w:sz w:val="20"/>
                <w:szCs w:val="20"/>
              </w:rPr>
              <w:t>25</w:t>
            </w:r>
            <w:r>
              <w:rPr>
                <w:rFonts w:hint="eastAsia"/>
                <w:spacing w:val="-2"/>
                <w:w w:val="99"/>
                <w:sz w:val="20"/>
                <w:szCs w:val="20"/>
              </w:rPr>
              <w:t>5</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340" w:type="pct"/>
            <w:tcBorders>
              <w:top w:val="single" w:color="auto" w:sz="4" w:space="0"/>
              <w:left w:val="single" w:color="auto" w:sz="4" w:space="0"/>
              <w:bottom w:val="single" w:color="auto" w:sz="4" w:space="0"/>
              <w:right w:val="single" w:color="auto" w:sz="4" w:space="0"/>
            </w:tcBorders>
          </w:tcPr>
          <w:p>
            <w:pPr>
              <w:pStyle w:val="55"/>
              <w:spacing w:before="1"/>
              <w:rPr>
                <w:sz w:val="18"/>
                <w:szCs w:val="18"/>
              </w:rPr>
            </w:pPr>
          </w:p>
          <w:p>
            <w:pPr>
              <w:pStyle w:val="55"/>
              <w:ind w:left="182"/>
              <w:rPr>
                <w:sz w:val="20"/>
                <w:szCs w:val="20"/>
              </w:rPr>
            </w:pPr>
            <w:r>
              <w:rPr>
                <w:rFonts w:hint="eastAsia"/>
                <w:spacing w:val="1"/>
                <w:w w:val="99"/>
                <w:sz w:val="20"/>
              </w:rPr>
              <w:t>1</w:t>
            </w:r>
            <w:r>
              <w:rPr>
                <w:rFonts w:hint="eastAsia"/>
                <w:w w:val="99"/>
                <w:sz w:val="20"/>
              </w:rPr>
              <w:t>2</w:t>
            </w:r>
          </w:p>
        </w:tc>
        <w:tc>
          <w:tcPr>
            <w:tcW w:w="691" w:type="pct"/>
            <w:tcBorders>
              <w:top w:val="single" w:color="auto" w:sz="4" w:space="0"/>
              <w:left w:val="single" w:color="auto" w:sz="4" w:space="0"/>
              <w:bottom w:val="single" w:color="auto" w:sz="4" w:space="0"/>
              <w:right w:val="single" w:color="auto" w:sz="4" w:space="0"/>
            </w:tcBorders>
          </w:tcPr>
          <w:p>
            <w:pPr>
              <w:pStyle w:val="55"/>
              <w:spacing w:before="81"/>
              <w:ind w:left="7"/>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910电</w:t>
            </w:r>
          </w:p>
          <w:p>
            <w:pPr>
              <w:pStyle w:val="55"/>
              <w:spacing w:before="50"/>
              <w:ind w:left="7"/>
              <w:rPr>
                <w:sz w:val="20"/>
                <w:szCs w:val="20"/>
              </w:rPr>
            </w:pPr>
            <w:r>
              <w:rPr>
                <w:rFonts w:hint="eastAsia"/>
                <w:w w:val="99"/>
                <w:sz w:val="20"/>
                <w:szCs w:val="20"/>
              </w:rPr>
              <w:t>视设备</w:t>
            </w:r>
          </w:p>
        </w:tc>
        <w:tc>
          <w:tcPr>
            <w:tcW w:w="1068" w:type="pct"/>
            <w:tcBorders>
              <w:top w:val="single" w:color="auto" w:sz="4" w:space="0"/>
              <w:left w:val="single" w:color="auto" w:sz="4" w:space="0"/>
              <w:bottom w:val="single" w:color="auto" w:sz="4" w:space="0"/>
              <w:right w:val="single" w:color="auto" w:sz="4" w:space="0"/>
            </w:tcBorders>
          </w:tcPr>
          <w:p>
            <w:pPr>
              <w:pStyle w:val="55"/>
              <w:spacing w:before="81" w:line="283" w:lineRule="auto"/>
              <w:ind w:left="7" w:right="5"/>
              <w:rPr>
                <w:sz w:val="20"/>
                <w:szCs w:val="20"/>
              </w:rPr>
            </w:pPr>
            <w:r>
              <w:rPr>
                <w:rFonts w:hint="eastAsia"/>
                <w:spacing w:val="1"/>
                <w:w w:val="99"/>
                <w:sz w:val="20"/>
                <w:szCs w:val="20"/>
              </w:rPr>
              <w:t>A02</w:t>
            </w:r>
            <w:r>
              <w:rPr>
                <w:rFonts w:hint="eastAsia"/>
                <w:w w:val="99"/>
                <w:sz w:val="20"/>
                <w:szCs w:val="20"/>
              </w:rPr>
              <w:t>09</w:t>
            </w:r>
            <w:r>
              <w:rPr>
                <w:rFonts w:hint="eastAsia"/>
                <w:spacing w:val="1"/>
                <w:w w:val="99"/>
                <w:sz w:val="20"/>
                <w:szCs w:val="20"/>
              </w:rPr>
              <w:t>1</w:t>
            </w:r>
            <w:r>
              <w:rPr>
                <w:rFonts w:hint="eastAsia"/>
                <w:w w:val="99"/>
                <w:sz w:val="20"/>
                <w:szCs w:val="20"/>
              </w:rPr>
              <w:t>001普通电视设备（</w:t>
            </w:r>
            <w:r>
              <w:rPr>
                <w:rFonts w:hint="eastAsia"/>
                <w:spacing w:val="2"/>
                <w:w w:val="99"/>
                <w:sz w:val="20"/>
                <w:szCs w:val="20"/>
              </w:rPr>
              <w:t>电</w:t>
            </w:r>
            <w:r>
              <w:rPr>
                <w:rFonts w:hint="eastAsia"/>
                <w:w w:val="99"/>
                <w:sz w:val="20"/>
                <w:szCs w:val="20"/>
              </w:rPr>
              <w:t>视机）</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81" w:line="283" w:lineRule="auto"/>
              <w:ind w:left="7" w:right="4"/>
              <w:rPr>
                <w:sz w:val="20"/>
                <w:szCs w:val="20"/>
              </w:rPr>
            </w:pPr>
            <w:r>
              <w:rPr>
                <w:rFonts w:hint="eastAsia"/>
                <w:spacing w:val="12"/>
                <w:w w:val="99"/>
                <w:sz w:val="20"/>
                <w:szCs w:val="20"/>
              </w:rPr>
              <w:t>《平板电视能效限定值</w:t>
            </w:r>
            <w:r>
              <w:rPr>
                <w:rFonts w:hint="eastAsia"/>
                <w:spacing w:val="9"/>
                <w:w w:val="99"/>
                <w:sz w:val="20"/>
                <w:szCs w:val="20"/>
              </w:rPr>
              <w:t>及</w:t>
            </w:r>
            <w:r>
              <w:rPr>
                <w:rFonts w:hint="eastAsia"/>
                <w:spacing w:val="12"/>
                <w:w w:val="99"/>
                <w:sz w:val="20"/>
                <w:szCs w:val="20"/>
              </w:rPr>
              <w:t>能效</w:t>
            </w:r>
            <w:r>
              <w:rPr>
                <w:rFonts w:hint="eastAsia"/>
                <w:w w:val="99"/>
                <w:sz w:val="20"/>
                <w:szCs w:val="20"/>
              </w:rPr>
              <w:t>等级》（</w:t>
            </w:r>
            <w:r>
              <w:rPr>
                <w:rFonts w:hint="eastAsia"/>
                <w:spacing w:val="1"/>
                <w:w w:val="99"/>
                <w:sz w:val="20"/>
                <w:szCs w:val="20"/>
              </w:rPr>
              <w:t>G</w:t>
            </w:r>
            <w:r>
              <w:rPr>
                <w:rFonts w:hint="eastAsia"/>
                <w:w w:val="99"/>
                <w:sz w:val="20"/>
                <w:szCs w:val="20"/>
              </w:rPr>
              <w:t>B</w:t>
            </w:r>
            <w:r>
              <w:rPr>
                <w:rFonts w:hint="eastAsia"/>
                <w:spacing w:val="1"/>
                <w:w w:val="99"/>
                <w:sz w:val="20"/>
                <w:szCs w:val="20"/>
              </w:rPr>
              <w:t>248</w:t>
            </w:r>
            <w:r>
              <w:rPr>
                <w:rFonts w:hint="eastAsia"/>
                <w:w w:val="99"/>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340" w:type="pc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spacing w:before="10"/>
              <w:rPr>
                <w:sz w:val="21"/>
                <w:szCs w:val="21"/>
              </w:rPr>
            </w:pPr>
          </w:p>
          <w:p>
            <w:pPr>
              <w:pStyle w:val="55"/>
              <w:ind w:left="182"/>
              <w:rPr>
                <w:sz w:val="20"/>
                <w:szCs w:val="20"/>
              </w:rPr>
            </w:pPr>
            <w:r>
              <w:rPr>
                <w:rFonts w:hint="eastAsia"/>
                <w:spacing w:val="1"/>
                <w:w w:val="99"/>
                <w:sz w:val="20"/>
              </w:rPr>
              <w:t>1</w:t>
            </w:r>
            <w:r>
              <w:rPr>
                <w:rFonts w:hint="eastAsia"/>
                <w:w w:val="99"/>
                <w:sz w:val="20"/>
              </w:rPr>
              <w:t>3</w:t>
            </w:r>
          </w:p>
        </w:tc>
        <w:tc>
          <w:tcPr>
            <w:tcW w:w="691" w:type="pc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spacing w:before="11"/>
              <w:rPr>
                <w:sz w:val="29"/>
                <w:szCs w:val="29"/>
              </w:rPr>
            </w:pPr>
          </w:p>
          <w:p>
            <w:pPr>
              <w:pStyle w:val="55"/>
              <w:ind w:left="7"/>
              <w:rPr>
                <w:sz w:val="20"/>
                <w:szCs w:val="20"/>
              </w:rPr>
            </w:pPr>
            <w:r>
              <w:rPr>
                <w:rFonts w:hint="eastAsia"/>
                <w:w w:val="99"/>
                <w:sz w:val="20"/>
                <w:szCs w:val="20"/>
              </w:rPr>
              <w:t>★</w:t>
            </w:r>
            <w:r>
              <w:rPr>
                <w:rFonts w:hint="eastAsia"/>
                <w:spacing w:val="1"/>
                <w:w w:val="99"/>
                <w:sz w:val="20"/>
                <w:szCs w:val="20"/>
              </w:rPr>
              <w:t>A020</w:t>
            </w:r>
            <w:r>
              <w:rPr>
                <w:rFonts w:hint="eastAsia"/>
                <w:w w:val="99"/>
                <w:sz w:val="20"/>
                <w:szCs w:val="20"/>
              </w:rPr>
              <w:t>911视</w:t>
            </w:r>
          </w:p>
          <w:p>
            <w:pPr>
              <w:pStyle w:val="55"/>
              <w:spacing w:before="50"/>
              <w:ind w:left="7"/>
              <w:rPr>
                <w:sz w:val="20"/>
                <w:szCs w:val="20"/>
              </w:rPr>
            </w:pPr>
            <w:r>
              <w:rPr>
                <w:rFonts w:hint="eastAsia"/>
                <w:w w:val="99"/>
                <w:sz w:val="20"/>
                <w:szCs w:val="20"/>
              </w:rPr>
              <w:t>频设备</w:t>
            </w:r>
          </w:p>
        </w:tc>
        <w:tc>
          <w:tcPr>
            <w:tcW w:w="1068" w:type="pc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spacing w:before="11"/>
              <w:rPr>
                <w:sz w:val="29"/>
                <w:szCs w:val="29"/>
              </w:rPr>
            </w:pPr>
          </w:p>
          <w:p>
            <w:pPr>
              <w:pStyle w:val="55"/>
              <w:spacing w:line="283" w:lineRule="auto"/>
              <w:ind w:left="7" w:right="5"/>
              <w:rPr>
                <w:sz w:val="20"/>
                <w:szCs w:val="20"/>
              </w:rPr>
            </w:pPr>
            <w:r>
              <w:rPr>
                <w:rFonts w:hint="eastAsia"/>
                <w:spacing w:val="1"/>
                <w:w w:val="99"/>
                <w:sz w:val="20"/>
                <w:szCs w:val="20"/>
              </w:rPr>
              <w:t>A02</w:t>
            </w:r>
            <w:r>
              <w:rPr>
                <w:rFonts w:hint="eastAsia"/>
                <w:w w:val="99"/>
                <w:sz w:val="20"/>
                <w:szCs w:val="20"/>
              </w:rPr>
              <w:t>09</w:t>
            </w:r>
            <w:r>
              <w:rPr>
                <w:rFonts w:hint="eastAsia"/>
                <w:spacing w:val="1"/>
                <w:w w:val="99"/>
                <w:sz w:val="20"/>
                <w:szCs w:val="20"/>
              </w:rPr>
              <w:t>1</w:t>
            </w:r>
            <w:r>
              <w:rPr>
                <w:rFonts w:hint="eastAsia"/>
                <w:w w:val="99"/>
                <w:sz w:val="20"/>
                <w:szCs w:val="20"/>
              </w:rPr>
              <w:t>107视频监控设备</w:t>
            </w:r>
          </w:p>
        </w:tc>
        <w:tc>
          <w:tcPr>
            <w:tcW w:w="1137" w:type="pc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spacing w:before="10"/>
              <w:rPr>
                <w:sz w:val="21"/>
                <w:szCs w:val="21"/>
              </w:rPr>
            </w:pPr>
          </w:p>
          <w:p>
            <w:pPr>
              <w:pStyle w:val="55"/>
              <w:ind w:left="7"/>
              <w:rPr>
                <w:sz w:val="20"/>
                <w:szCs w:val="20"/>
              </w:rPr>
            </w:pPr>
            <w:r>
              <w:rPr>
                <w:rFonts w:hint="eastAsia"/>
                <w:w w:val="99"/>
                <w:sz w:val="20"/>
                <w:szCs w:val="20"/>
              </w:rPr>
              <w:t>监视器</w:t>
            </w:r>
          </w:p>
        </w:tc>
        <w:tc>
          <w:tcPr>
            <w:tcW w:w="1761" w:type="pct"/>
            <w:tcBorders>
              <w:top w:val="single" w:color="auto" w:sz="4" w:space="0"/>
              <w:left w:val="single" w:color="auto" w:sz="4" w:space="0"/>
              <w:bottom w:val="single" w:color="auto" w:sz="4" w:space="0"/>
              <w:right w:val="single" w:color="auto" w:sz="4" w:space="0"/>
            </w:tcBorders>
          </w:tcPr>
          <w:p>
            <w:pPr>
              <w:pStyle w:val="55"/>
              <w:spacing w:before="28" w:line="283" w:lineRule="auto"/>
              <w:ind w:left="7" w:right="5"/>
              <w:rPr>
                <w:sz w:val="20"/>
                <w:szCs w:val="20"/>
              </w:rPr>
            </w:pPr>
            <w:r>
              <w:rPr>
                <w:rFonts w:hint="eastAsia"/>
                <w:spacing w:val="12"/>
                <w:w w:val="99"/>
                <w:sz w:val="20"/>
                <w:szCs w:val="20"/>
              </w:rPr>
              <w:t>以射频信号为主要信号</w:t>
            </w:r>
            <w:r>
              <w:rPr>
                <w:rFonts w:hint="eastAsia"/>
                <w:spacing w:val="9"/>
                <w:w w:val="99"/>
                <w:sz w:val="20"/>
                <w:szCs w:val="20"/>
              </w:rPr>
              <w:t>输</w:t>
            </w:r>
            <w:r>
              <w:rPr>
                <w:rFonts w:hint="eastAsia"/>
                <w:spacing w:val="12"/>
                <w:w w:val="99"/>
                <w:sz w:val="20"/>
                <w:szCs w:val="20"/>
              </w:rPr>
              <w:t>入的</w:t>
            </w:r>
            <w:r>
              <w:rPr>
                <w:rFonts w:hint="eastAsia"/>
                <w:w w:val="99"/>
                <w:sz w:val="20"/>
                <w:szCs w:val="20"/>
              </w:rPr>
              <w:t>监视器应</w:t>
            </w:r>
            <w:r>
              <w:rPr>
                <w:rFonts w:hint="eastAsia"/>
                <w:spacing w:val="2"/>
                <w:w w:val="99"/>
                <w:sz w:val="20"/>
                <w:szCs w:val="20"/>
              </w:rPr>
              <w:t>符</w:t>
            </w:r>
            <w:r>
              <w:rPr>
                <w:rFonts w:hint="eastAsia"/>
                <w:spacing w:val="-58"/>
                <w:w w:val="99"/>
                <w:sz w:val="20"/>
                <w:szCs w:val="20"/>
              </w:rPr>
              <w:t>合</w:t>
            </w:r>
            <w:r>
              <w:rPr>
                <w:rFonts w:hint="eastAsia"/>
                <w:spacing w:val="2"/>
                <w:w w:val="99"/>
                <w:sz w:val="20"/>
                <w:szCs w:val="20"/>
              </w:rPr>
              <w:t>《</w:t>
            </w:r>
            <w:r>
              <w:rPr>
                <w:rFonts w:hint="eastAsia"/>
                <w:w w:val="99"/>
                <w:sz w:val="20"/>
                <w:szCs w:val="20"/>
              </w:rPr>
              <w:t>平板</w:t>
            </w:r>
            <w:r>
              <w:rPr>
                <w:rFonts w:hint="eastAsia"/>
                <w:spacing w:val="2"/>
                <w:w w:val="99"/>
                <w:sz w:val="20"/>
                <w:szCs w:val="20"/>
              </w:rPr>
              <w:t>电</w:t>
            </w:r>
            <w:r>
              <w:rPr>
                <w:rFonts w:hint="eastAsia"/>
                <w:w w:val="99"/>
                <w:sz w:val="20"/>
                <w:szCs w:val="20"/>
              </w:rPr>
              <w:t>视能</w:t>
            </w:r>
            <w:r>
              <w:rPr>
                <w:rFonts w:hint="eastAsia"/>
                <w:spacing w:val="2"/>
                <w:w w:val="99"/>
                <w:sz w:val="20"/>
                <w:szCs w:val="20"/>
              </w:rPr>
              <w:t>效</w:t>
            </w:r>
            <w:r>
              <w:rPr>
                <w:rFonts w:hint="eastAsia"/>
                <w:w w:val="99"/>
                <w:sz w:val="20"/>
                <w:szCs w:val="20"/>
              </w:rPr>
              <w:t>限定值及能效</w:t>
            </w:r>
            <w:r>
              <w:rPr>
                <w:rFonts w:hint="eastAsia"/>
                <w:spacing w:val="2"/>
                <w:w w:val="99"/>
                <w:sz w:val="20"/>
                <w:szCs w:val="20"/>
              </w:rPr>
              <w:t>等</w:t>
            </w:r>
            <w:r>
              <w:rPr>
                <w:rFonts w:hint="eastAsia"/>
                <w:w w:val="99"/>
                <w:sz w:val="20"/>
                <w:szCs w:val="20"/>
              </w:rPr>
              <w:t>级》（</w:t>
            </w:r>
            <w:r>
              <w:rPr>
                <w:rFonts w:hint="eastAsia"/>
                <w:spacing w:val="1"/>
                <w:w w:val="99"/>
                <w:sz w:val="20"/>
                <w:szCs w:val="20"/>
              </w:rPr>
              <w:t>G</w:t>
            </w:r>
            <w:r>
              <w:rPr>
                <w:rFonts w:hint="eastAsia"/>
                <w:w w:val="99"/>
                <w:sz w:val="20"/>
                <w:szCs w:val="20"/>
              </w:rPr>
              <w:t>B</w:t>
            </w:r>
            <w:r>
              <w:rPr>
                <w:rFonts w:hint="eastAsia"/>
                <w:spacing w:val="1"/>
                <w:w w:val="99"/>
                <w:sz w:val="20"/>
                <w:szCs w:val="20"/>
              </w:rPr>
              <w:t>24850</w:t>
            </w:r>
            <w:r>
              <w:rPr>
                <w:rFonts w:hint="eastAsia"/>
                <w:spacing w:val="-3"/>
                <w:w w:val="99"/>
                <w:sz w:val="20"/>
                <w:szCs w:val="20"/>
              </w:rPr>
              <w:t>）</w:t>
            </w:r>
            <w:r>
              <w:rPr>
                <w:rFonts w:hint="eastAsia"/>
                <w:w w:val="99"/>
                <w:sz w:val="20"/>
                <w:szCs w:val="20"/>
              </w:rPr>
              <w:t>，</w:t>
            </w:r>
            <w:r>
              <w:rPr>
                <w:rFonts w:hint="eastAsia"/>
                <w:spacing w:val="12"/>
                <w:w w:val="99"/>
                <w:sz w:val="20"/>
                <w:szCs w:val="20"/>
              </w:rPr>
              <w:t>以数字信号为主要信号</w:t>
            </w:r>
            <w:r>
              <w:rPr>
                <w:rFonts w:hint="eastAsia"/>
                <w:spacing w:val="9"/>
                <w:w w:val="99"/>
                <w:sz w:val="20"/>
                <w:szCs w:val="20"/>
              </w:rPr>
              <w:t>输</w:t>
            </w:r>
            <w:r>
              <w:rPr>
                <w:rFonts w:hint="eastAsia"/>
                <w:spacing w:val="12"/>
                <w:w w:val="99"/>
                <w:sz w:val="20"/>
                <w:szCs w:val="20"/>
              </w:rPr>
              <w:t>入的</w:t>
            </w:r>
            <w:r>
              <w:rPr>
                <w:rFonts w:hint="eastAsia"/>
                <w:w w:val="99"/>
                <w:sz w:val="20"/>
                <w:szCs w:val="20"/>
              </w:rPr>
              <w:t>监视器应</w:t>
            </w:r>
            <w:r>
              <w:rPr>
                <w:rFonts w:hint="eastAsia"/>
                <w:spacing w:val="2"/>
                <w:w w:val="99"/>
                <w:sz w:val="20"/>
                <w:szCs w:val="20"/>
              </w:rPr>
              <w:t>符</w:t>
            </w:r>
            <w:r>
              <w:rPr>
                <w:rFonts w:hint="eastAsia"/>
                <w:spacing w:val="-58"/>
                <w:w w:val="99"/>
                <w:sz w:val="20"/>
                <w:szCs w:val="20"/>
              </w:rPr>
              <w:t>合</w:t>
            </w:r>
            <w:r>
              <w:rPr>
                <w:rFonts w:hint="eastAsia"/>
                <w:spacing w:val="2"/>
                <w:w w:val="99"/>
                <w:sz w:val="20"/>
                <w:szCs w:val="20"/>
              </w:rPr>
              <w:t>《</w:t>
            </w:r>
            <w:r>
              <w:rPr>
                <w:rFonts w:hint="eastAsia"/>
                <w:w w:val="99"/>
                <w:sz w:val="20"/>
                <w:szCs w:val="20"/>
              </w:rPr>
              <w:t>计算</w:t>
            </w:r>
            <w:r>
              <w:rPr>
                <w:rFonts w:hint="eastAsia"/>
                <w:spacing w:val="2"/>
                <w:w w:val="99"/>
                <w:sz w:val="20"/>
                <w:szCs w:val="20"/>
              </w:rPr>
              <w:t>机</w:t>
            </w:r>
            <w:r>
              <w:rPr>
                <w:rFonts w:hint="eastAsia"/>
                <w:w w:val="99"/>
                <w:sz w:val="20"/>
                <w:szCs w:val="20"/>
              </w:rPr>
              <w:t>显示</w:t>
            </w:r>
            <w:r>
              <w:rPr>
                <w:rFonts w:hint="eastAsia"/>
                <w:spacing w:val="2"/>
                <w:w w:val="99"/>
                <w:sz w:val="20"/>
                <w:szCs w:val="20"/>
              </w:rPr>
              <w:t>器</w:t>
            </w:r>
            <w:r>
              <w:rPr>
                <w:rFonts w:hint="eastAsia"/>
                <w:w w:val="99"/>
                <w:sz w:val="20"/>
                <w:szCs w:val="20"/>
              </w:rPr>
              <w:t>能效限定值及</w:t>
            </w:r>
            <w:r>
              <w:rPr>
                <w:rFonts w:hint="eastAsia"/>
                <w:spacing w:val="2"/>
                <w:w w:val="99"/>
                <w:sz w:val="20"/>
                <w:szCs w:val="20"/>
              </w:rPr>
              <w:t>能</w:t>
            </w:r>
            <w:r>
              <w:rPr>
                <w:rFonts w:hint="eastAsia"/>
                <w:w w:val="99"/>
                <w:sz w:val="20"/>
                <w:szCs w:val="20"/>
              </w:rPr>
              <w:t>效等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21</w:t>
            </w:r>
            <w:r>
              <w:rPr>
                <w:rFonts w:hint="eastAsia"/>
                <w:w w:val="99"/>
                <w:sz w:val="20"/>
                <w:szCs w:val="20"/>
              </w:rPr>
              <w:t>52</w:t>
            </w:r>
            <w:r>
              <w:rPr>
                <w:rFonts w:hint="eastAsia"/>
                <w:spacing w:val="1"/>
                <w:w w:val="99"/>
                <w:sz w:val="20"/>
                <w:szCs w:val="20"/>
              </w:rPr>
              <w:t>0</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340" w:type="pct"/>
            <w:tcBorders>
              <w:top w:val="single" w:color="auto" w:sz="4" w:space="0"/>
              <w:left w:val="single" w:color="auto" w:sz="4" w:space="0"/>
              <w:bottom w:val="single" w:color="auto" w:sz="4" w:space="0"/>
              <w:right w:val="single" w:color="auto" w:sz="4" w:space="0"/>
            </w:tcBorders>
          </w:tcPr>
          <w:p>
            <w:pPr>
              <w:pStyle w:val="55"/>
              <w:spacing w:before="10"/>
              <w:rPr>
                <w:sz w:val="17"/>
                <w:szCs w:val="17"/>
              </w:rPr>
            </w:pPr>
          </w:p>
          <w:p>
            <w:pPr>
              <w:pStyle w:val="55"/>
              <w:ind w:left="182"/>
              <w:rPr>
                <w:sz w:val="20"/>
                <w:szCs w:val="20"/>
              </w:rPr>
            </w:pPr>
            <w:r>
              <w:rPr>
                <w:rFonts w:hint="eastAsia"/>
                <w:spacing w:val="1"/>
                <w:w w:val="99"/>
                <w:sz w:val="20"/>
              </w:rPr>
              <w:t>1</w:t>
            </w:r>
            <w:r>
              <w:rPr>
                <w:rFonts w:hint="eastAsia"/>
                <w:w w:val="99"/>
                <w:sz w:val="20"/>
              </w:rPr>
              <w:t>4</w:t>
            </w:r>
          </w:p>
        </w:tc>
        <w:tc>
          <w:tcPr>
            <w:tcW w:w="691" w:type="pct"/>
            <w:tcBorders>
              <w:top w:val="single" w:color="auto" w:sz="4" w:space="0"/>
              <w:left w:val="single" w:color="auto" w:sz="4" w:space="0"/>
              <w:bottom w:val="single" w:color="auto" w:sz="4" w:space="0"/>
              <w:right w:val="single" w:color="auto" w:sz="4" w:space="0"/>
            </w:tcBorders>
          </w:tcPr>
          <w:p>
            <w:pPr>
              <w:pStyle w:val="55"/>
              <w:spacing w:before="76"/>
              <w:ind w:left="7"/>
              <w:rPr>
                <w:sz w:val="20"/>
                <w:szCs w:val="20"/>
              </w:rPr>
            </w:pPr>
            <w:r>
              <w:rPr>
                <w:rFonts w:hint="eastAsia"/>
                <w:spacing w:val="1"/>
                <w:w w:val="99"/>
                <w:sz w:val="20"/>
                <w:szCs w:val="20"/>
              </w:rPr>
              <w:t>A03</w:t>
            </w:r>
            <w:r>
              <w:rPr>
                <w:rFonts w:hint="eastAsia"/>
                <w:w w:val="99"/>
                <w:sz w:val="20"/>
                <w:szCs w:val="20"/>
              </w:rPr>
              <w:t>12</w:t>
            </w:r>
            <w:r>
              <w:rPr>
                <w:rFonts w:hint="eastAsia"/>
                <w:spacing w:val="1"/>
                <w:w w:val="99"/>
                <w:sz w:val="20"/>
                <w:szCs w:val="20"/>
              </w:rPr>
              <w:t>1</w:t>
            </w:r>
            <w:r>
              <w:rPr>
                <w:rFonts w:hint="eastAsia"/>
                <w:w w:val="99"/>
                <w:sz w:val="20"/>
                <w:szCs w:val="20"/>
              </w:rPr>
              <w:t>0饮食</w:t>
            </w:r>
          </w:p>
          <w:p>
            <w:pPr>
              <w:pStyle w:val="55"/>
              <w:spacing w:before="50"/>
              <w:ind w:left="7"/>
              <w:rPr>
                <w:sz w:val="20"/>
                <w:szCs w:val="20"/>
              </w:rPr>
            </w:pPr>
            <w:r>
              <w:rPr>
                <w:rFonts w:hint="eastAsia"/>
                <w:w w:val="99"/>
                <w:sz w:val="20"/>
                <w:szCs w:val="20"/>
              </w:rPr>
              <w:t>炊事机械</w:t>
            </w:r>
          </w:p>
        </w:tc>
        <w:tc>
          <w:tcPr>
            <w:tcW w:w="1068" w:type="pct"/>
            <w:tcBorders>
              <w:top w:val="single" w:color="auto" w:sz="4" w:space="0"/>
              <w:left w:val="single" w:color="auto" w:sz="4" w:space="0"/>
              <w:bottom w:val="single" w:color="auto" w:sz="4" w:space="0"/>
              <w:right w:val="single" w:color="auto" w:sz="4" w:space="0"/>
            </w:tcBorders>
          </w:tcPr>
          <w:p>
            <w:pPr>
              <w:pStyle w:val="55"/>
              <w:spacing w:before="10"/>
              <w:rPr>
                <w:sz w:val="17"/>
                <w:szCs w:val="17"/>
              </w:rPr>
            </w:pPr>
          </w:p>
          <w:p>
            <w:pPr>
              <w:pStyle w:val="55"/>
              <w:ind w:left="7"/>
              <w:rPr>
                <w:sz w:val="20"/>
                <w:szCs w:val="20"/>
              </w:rPr>
            </w:pPr>
            <w:r>
              <w:rPr>
                <w:rFonts w:hint="eastAsia"/>
                <w:w w:val="99"/>
                <w:sz w:val="20"/>
                <w:szCs w:val="20"/>
              </w:rPr>
              <w:t>商用燃</w:t>
            </w:r>
            <w:r>
              <w:rPr>
                <w:rFonts w:hint="eastAsia"/>
                <w:spacing w:val="2"/>
                <w:w w:val="99"/>
                <w:sz w:val="20"/>
                <w:szCs w:val="20"/>
              </w:rPr>
              <w:t>气</w:t>
            </w:r>
            <w:r>
              <w:rPr>
                <w:rFonts w:hint="eastAsia"/>
                <w:w w:val="99"/>
                <w:sz w:val="20"/>
                <w:szCs w:val="20"/>
              </w:rPr>
              <w:t>灶具</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lang w:eastAsia="en-US"/>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76" w:line="283" w:lineRule="auto"/>
              <w:ind w:left="7" w:right="4"/>
              <w:rPr>
                <w:sz w:val="20"/>
                <w:szCs w:val="20"/>
              </w:rPr>
            </w:pPr>
            <w:r>
              <w:rPr>
                <w:rFonts w:hint="eastAsia"/>
                <w:spacing w:val="12"/>
                <w:w w:val="99"/>
                <w:sz w:val="20"/>
                <w:szCs w:val="20"/>
              </w:rPr>
              <w:t>《商用燃气灶具能效限</w:t>
            </w:r>
            <w:r>
              <w:rPr>
                <w:rFonts w:hint="eastAsia"/>
                <w:spacing w:val="9"/>
                <w:w w:val="99"/>
                <w:sz w:val="20"/>
                <w:szCs w:val="20"/>
              </w:rPr>
              <w:t>定</w:t>
            </w:r>
            <w:r>
              <w:rPr>
                <w:rFonts w:hint="eastAsia"/>
                <w:spacing w:val="12"/>
                <w:w w:val="99"/>
                <w:sz w:val="20"/>
                <w:szCs w:val="20"/>
              </w:rPr>
              <w:t>值及</w:t>
            </w:r>
            <w:r>
              <w:rPr>
                <w:rFonts w:hint="eastAsia"/>
                <w:w w:val="99"/>
                <w:sz w:val="20"/>
                <w:szCs w:val="20"/>
              </w:rPr>
              <w:t>能效等级</w:t>
            </w:r>
            <w:r>
              <w:rPr>
                <w:rFonts w:hint="eastAsia"/>
                <w:spacing w:val="2"/>
                <w:w w:val="99"/>
                <w:sz w:val="20"/>
                <w:szCs w:val="20"/>
              </w:rPr>
              <w:t>》</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w:t>
            </w:r>
            <w:r>
              <w:rPr>
                <w:rFonts w:hint="eastAsia"/>
                <w:w w:val="99"/>
                <w:sz w:val="20"/>
                <w:szCs w:val="20"/>
              </w:rPr>
              <w:t>53</w:t>
            </w:r>
            <w:r>
              <w:rPr>
                <w:rFonts w:hint="eastAsia"/>
                <w:spacing w:val="1"/>
                <w:w w:val="99"/>
                <w:sz w:val="20"/>
                <w:szCs w:val="20"/>
              </w:rPr>
              <w:t>1</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40" w:type="pct"/>
            <w:vMerge w:val="restar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rPr>
                <w:sz w:val="20"/>
                <w:szCs w:val="20"/>
              </w:rPr>
            </w:pPr>
          </w:p>
          <w:p>
            <w:pPr>
              <w:pStyle w:val="55"/>
              <w:spacing w:before="1"/>
              <w:rPr>
                <w:sz w:val="29"/>
                <w:szCs w:val="29"/>
              </w:rPr>
            </w:pPr>
          </w:p>
          <w:p>
            <w:pPr>
              <w:pStyle w:val="55"/>
              <w:ind w:left="182"/>
              <w:rPr>
                <w:sz w:val="20"/>
                <w:szCs w:val="20"/>
              </w:rPr>
            </w:pPr>
            <w:r>
              <w:rPr>
                <w:rFonts w:hint="eastAsia"/>
                <w:spacing w:val="1"/>
                <w:w w:val="99"/>
                <w:sz w:val="20"/>
              </w:rPr>
              <w:t>1</w:t>
            </w:r>
            <w:r>
              <w:rPr>
                <w:rFonts w:hint="eastAsia"/>
                <w:w w:val="99"/>
                <w:sz w:val="20"/>
              </w:rPr>
              <w:t>5</w:t>
            </w:r>
          </w:p>
        </w:tc>
        <w:tc>
          <w:tcPr>
            <w:tcW w:w="691" w:type="pct"/>
            <w:vMerge w:val="restart"/>
            <w:tcBorders>
              <w:top w:val="single" w:color="auto" w:sz="4" w:space="0"/>
              <w:left w:val="single" w:color="auto" w:sz="4" w:space="0"/>
              <w:bottom w:val="single" w:color="auto" w:sz="4" w:space="0"/>
              <w:right w:val="single" w:color="auto" w:sz="4" w:space="0"/>
            </w:tcBorders>
          </w:tcPr>
          <w:p>
            <w:pPr>
              <w:pStyle w:val="55"/>
              <w:rPr>
                <w:sz w:val="20"/>
                <w:szCs w:val="20"/>
              </w:rPr>
            </w:pPr>
          </w:p>
          <w:p>
            <w:pPr>
              <w:pStyle w:val="55"/>
              <w:rPr>
                <w:sz w:val="20"/>
                <w:szCs w:val="20"/>
              </w:rPr>
            </w:pPr>
          </w:p>
          <w:p>
            <w:pPr>
              <w:pStyle w:val="55"/>
              <w:spacing w:before="9"/>
              <w:rPr>
                <w:sz w:val="17"/>
                <w:szCs w:val="17"/>
              </w:rPr>
            </w:pPr>
          </w:p>
          <w:p>
            <w:pPr>
              <w:pStyle w:val="55"/>
              <w:ind w:left="7"/>
              <w:rPr>
                <w:sz w:val="20"/>
                <w:szCs w:val="20"/>
              </w:rPr>
            </w:pPr>
            <w:r>
              <w:rPr>
                <w:rFonts w:hint="eastAsia"/>
                <w:w w:val="99"/>
                <w:sz w:val="20"/>
                <w:szCs w:val="20"/>
              </w:rPr>
              <w:t>★</w:t>
            </w:r>
            <w:r>
              <w:rPr>
                <w:rFonts w:hint="eastAsia"/>
                <w:spacing w:val="1"/>
                <w:w w:val="99"/>
                <w:sz w:val="20"/>
                <w:szCs w:val="20"/>
              </w:rPr>
              <w:t>A060</w:t>
            </w:r>
            <w:r>
              <w:rPr>
                <w:rFonts w:hint="eastAsia"/>
                <w:w w:val="99"/>
                <w:sz w:val="20"/>
                <w:szCs w:val="20"/>
              </w:rPr>
              <w:t>805便</w:t>
            </w:r>
          </w:p>
          <w:p>
            <w:pPr>
              <w:pStyle w:val="55"/>
              <w:spacing w:before="50"/>
              <w:ind w:left="7"/>
              <w:rPr>
                <w:sz w:val="20"/>
                <w:szCs w:val="20"/>
              </w:rPr>
            </w:pPr>
            <w:r>
              <w:rPr>
                <w:rFonts w:hint="eastAsia"/>
                <w:w w:val="99"/>
                <w:sz w:val="20"/>
                <w:szCs w:val="20"/>
              </w:rPr>
              <w:t>器</w:t>
            </w:r>
          </w:p>
        </w:tc>
        <w:tc>
          <w:tcPr>
            <w:tcW w:w="1068" w:type="pct"/>
            <w:tcBorders>
              <w:top w:val="single" w:color="auto" w:sz="4" w:space="0"/>
              <w:left w:val="single" w:color="auto" w:sz="4" w:space="0"/>
              <w:bottom w:val="single" w:color="auto" w:sz="4" w:space="0"/>
              <w:right w:val="single" w:color="auto" w:sz="4" w:space="0"/>
            </w:tcBorders>
          </w:tcPr>
          <w:p>
            <w:pPr>
              <w:pStyle w:val="55"/>
              <w:spacing w:before="5"/>
              <w:rPr>
                <w:sz w:val="21"/>
                <w:szCs w:val="21"/>
              </w:rPr>
            </w:pPr>
          </w:p>
          <w:p>
            <w:pPr>
              <w:pStyle w:val="55"/>
              <w:ind w:left="7"/>
              <w:rPr>
                <w:sz w:val="20"/>
                <w:szCs w:val="20"/>
              </w:rPr>
            </w:pPr>
            <w:r>
              <w:rPr>
                <w:rFonts w:hint="eastAsia"/>
                <w:w w:val="99"/>
                <w:sz w:val="20"/>
                <w:szCs w:val="20"/>
              </w:rPr>
              <w:t>坐便器</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lang w:eastAsia="en-US"/>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124"/>
              <w:ind w:left="7"/>
              <w:rPr>
                <w:sz w:val="20"/>
                <w:szCs w:val="20"/>
              </w:rPr>
            </w:pPr>
            <w:r>
              <w:rPr>
                <w:rFonts w:hint="eastAsia"/>
                <w:w w:val="99"/>
                <w:sz w:val="20"/>
                <w:szCs w:val="20"/>
              </w:rPr>
              <w:t>《坐便</w:t>
            </w:r>
            <w:r>
              <w:rPr>
                <w:rFonts w:hint="eastAsia"/>
                <w:spacing w:val="2"/>
                <w:w w:val="99"/>
                <w:sz w:val="20"/>
                <w:szCs w:val="20"/>
              </w:rPr>
              <w:t>器</w:t>
            </w:r>
            <w:r>
              <w:rPr>
                <w:rFonts w:hint="eastAsia"/>
                <w:w w:val="99"/>
                <w:sz w:val="20"/>
                <w:szCs w:val="20"/>
              </w:rPr>
              <w:t>水效</w:t>
            </w:r>
            <w:r>
              <w:rPr>
                <w:rFonts w:hint="eastAsia"/>
                <w:spacing w:val="2"/>
                <w:w w:val="99"/>
                <w:sz w:val="20"/>
                <w:szCs w:val="20"/>
              </w:rPr>
              <w:t>限</w:t>
            </w:r>
            <w:r>
              <w:rPr>
                <w:rFonts w:hint="eastAsia"/>
                <w:w w:val="99"/>
                <w:sz w:val="20"/>
                <w:szCs w:val="20"/>
              </w:rPr>
              <w:t>定值</w:t>
            </w:r>
            <w:r>
              <w:rPr>
                <w:rFonts w:hint="eastAsia"/>
                <w:spacing w:val="2"/>
                <w:w w:val="99"/>
                <w:sz w:val="20"/>
                <w:szCs w:val="20"/>
              </w:rPr>
              <w:t>及</w:t>
            </w:r>
            <w:r>
              <w:rPr>
                <w:rFonts w:hint="eastAsia"/>
                <w:w w:val="99"/>
                <w:sz w:val="20"/>
                <w:szCs w:val="20"/>
              </w:rPr>
              <w:t>水</w:t>
            </w:r>
            <w:r>
              <w:rPr>
                <w:rFonts w:hint="eastAsia"/>
                <w:spacing w:val="2"/>
                <w:w w:val="99"/>
                <w:sz w:val="20"/>
                <w:szCs w:val="20"/>
              </w:rPr>
              <w:t>效</w:t>
            </w:r>
            <w:r>
              <w:rPr>
                <w:rFonts w:hint="eastAsia"/>
                <w:w w:val="99"/>
                <w:sz w:val="20"/>
                <w:szCs w:val="20"/>
              </w:rPr>
              <w:t>等级》</w:t>
            </w:r>
          </w:p>
          <w:p>
            <w:pPr>
              <w:pStyle w:val="55"/>
              <w:spacing w:before="50"/>
              <w:ind w:left="7"/>
              <w:rPr>
                <w:sz w:val="20"/>
                <w:szCs w:val="20"/>
              </w:rPr>
            </w:pP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w:t>
            </w:r>
            <w:r>
              <w:rPr>
                <w:rFonts w:hint="eastAsia"/>
                <w:w w:val="99"/>
                <w:sz w:val="20"/>
                <w:szCs w:val="20"/>
              </w:rPr>
              <w:t>55</w:t>
            </w:r>
            <w:r>
              <w:rPr>
                <w:rFonts w:hint="eastAsia"/>
                <w:spacing w:val="1"/>
                <w:w w:val="99"/>
                <w:sz w:val="20"/>
                <w:szCs w:val="20"/>
              </w:rPr>
              <w:t>02</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lang w:eastAsia="en-US"/>
              </w:rPr>
            </w:pPr>
          </w:p>
        </w:tc>
        <w:tc>
          <w:tcPr>
            <w:tcW w:w="1068" w:type="pct"/>
            <w:tcBorders>
              <w:top w:val="single" w:color="auto" w:sz="4" w:space="0"/>
              <w:left w:val="single" w:color="auto" w:sz="4" w:space="0"/>
              <w:bottom w:val="single" w:color="auto" w:sz="4" w:space="0"/>
              <w:right w:val="single" w:color="auto" w:sz="4" w:space="0"/>
            </w:tcBorders>
          </w:tcPr>
          <w:p>
            <w:pPr>
              <w:pStyle w:val="55"/>
              <w:spacing w:before="5"/>
              <w:rPr>
                <w:sz w:val="21"/>
                <w:szCs w:val="21"/>
              </w:rPr>
            </w:pPr>
          </w:p>
          <w:p>
            <w:pPr>
              <w:pStyle w:val="55"/>
              <w:ind w:left="7"/>
              <w:rPr>
                <w:sz w:val="20"/>
                <w:szCs w:val="20"/>
              </w:rPr>
            </w:pPr>
            <w:r>
              <w:rPr>
                <w:rFonts w:hint="eastAsia"/>
                <w:w w:val="99"/>
                <w:sz w:val="20"/>
                <w:szCs w:val="20"/>
              </w:rPr>
              <w:t>蹲便器</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lang w:eastAsia="en-US"/>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124" w:line="283" w:lineRule="auto"/>
              <w:ind w:left="7" w:right="4"/>
              <w:rPr>
                <w:sz w:val="20"/>
                <w:szCs w:val="20"/>
              </w:rPr>
            </w:pPr>
            <w:r>
              <w:rPr>
                <w:rFonts w:hint="eastAsia"/>
                <w:spacing w:val="12"/>
                <w:w w:val="99"/>
                <w:sz w:val="20"/>
                <w:szCs w:val="20"/>
              </w:rPr>
              <w:t>《蹲便器用水效率限定</w:t>
            </w:r>
            <w:r>
              <w:rPr>
                <w:rFonts w:hint="eastAsia"/>
                <w:spacing w:val="9"/>
                <w:w w:val="99"/>
                <w:sz w:val="20"/>
                <w:szCs w:val="20"/>
              </w:rPr>
              <w:t>值</w:t>
            </w:r>
            <w:r>
              <w:rPr>
                <w:rFonts w:hint="eastAsia"/>
                <w:spacing w:val="12"/>
                <w:w w:val="99"/>
                <w:sz w:val="20"/>
                <w:szCs w:val="20"/>
              </w:rPr>
              <w:t>及用</w:t>
            </w:r>
            <w:r>
              <w:rPr>
                <w:rFonts w:hint="eastAsia"/>
                <w:w w:val="99"/>
                <w:sz w:val="20"/>
                <w:szCs w:val="20"/>
              </w:rPr>
              <w:t>水效率等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307</w:t>
            </w:r>
            <w:r>
              <w:rPr>
                <w:rFonts w:hint="eastAsia"/>
                <w:w w:val="99"/>
                <w:sz w:val="20"/>
                <w:szCs w:val="20"/>
              </w:rPr>
              <w:t>1</w:t>
            </w:r>
            <w:r>
              <w:rPr>
                <w:rFonts w:hint="eastAsia"/>
                <w:spacing w:val="-1"/>
                <w:w w:val="99"/>
                <w:sz w:val="20"/>
                <w:szCs w:val="20"/>
              </w:rPr>
              <w:t>7</w:t>
            </w:r>
            <w:r>
              <w:rPr>
                <w:rFonts w:hint="eastAsia"/>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69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 w:val="20"/>
                <w:szCs w:val="20"/>
              </w:rPr>
            </w:pPr>
          </w:p>
        </w:tc>
        <w:tc>
          <w:tcPr>
            <w:tcW w:w="1068" w:type="pct"/>
            <w:tcBorders>
              <w:top w:val="single" w:color="auto" w:sz="4" w:space="0"/>
              <w:left w:val="single" w:color="auto" w:sz="4" w:space="0"/>
              <w:bottom w:val="single" w:color="auto" w:sz="4" w:space="0"/>
              <w:right w:val="single" w:color="auto" w:sz="4" w:space="0"/>
            </w:tcBorders>
          </w:tcPr>
          <w:p>
            <w:pPr>
              <w:pStyle w:val="55"/>
              <w:spacing w:before="5"/>
              <w:rPr>
                <w:sz w:val="21"/>
                <w:szCs w:val="21"/>
              </w:rPr>
            </w:pPr>
          </w:p>
          <w:p>
            <w:pPr>
              <w:pStyle w:val="55"/>
              <w:ind w:left="7"/>
              <w:rPr>
                <w:sz w:val="20"/>
                <w:szCs w:val="20"/>
              </w:rPr>
            </w:pPr>
            <w:r>
              <w:rPr>
                <w:rFonts w:hint="eastAsia"/>
                <w:w w:val="99"/>
                <w:sz w:val="20"/>
                <w:szCs w:val="20"/>
              </w:rPr>
              <w:t>小便器</w:t>
            </w:r>
          </w:p>
        </w:tc>
        <w:tc>
          <w:tcPr>
            <w:tcW w:w="1137" w:type="pct"/>
            <w:tcBorders>
              <w:top w:val="single" w:color="auto" w:sz="4" w:space="0"/>
              <w:left w:val="single" w:color="auto" w:sz="4" w:space="0"/>
              <w:bottom w:val="single" w:color="auto" w:sz="4" w:space="0"/>
              <w:right w:val="single" w:color="auto" w:sz="4" w:space="0"/>
            </w:tcBorders>
          </w:tcPr>
          <w:p>
            <w:pPr>
              <w:rPr>
                <w:rFonts w:ascii="Calibri" w:hAnsi="Calibri"/>
                <w:sz w:val="22"/>
                <w:szCs w:val="22"/>
                <w:lang w:eastAsia="en-US"/>
              </w:rPr>
            </w:pPr>
          </w:p>
        </w:tc>
        <w:tc>
          <w:tcPr>
            <w:tcW w:w="1761" w:type="pct"/>
            <w:tcBorders>
              <w:top w:val="single" w:color="auto" w:sz="4" w:space="0"/>
              <w:left w:val="single" w:color="auto" w:sz="4" w:space="0"/>
              <w:bottom w:val="single" w:color="auto" w:sz="4" w:space="0"/>
              <w:right w:val="single" w:color="auto" w:sz="4" w:space="0"/>
            </w:tcBorders>
          </w:tcPr>
          <w:p>
            <w:pPr>
              <w:pStyle w:val="55"/>
              <w:spacing w:before="124" w:line="283" w:lineRule="auto"/>
              <w:ind w:left="7" w:right="4"/>
              <w:rPr>
                <w:sz w:val="20"/>
                <w:szCs w:val="20"/>
              </w:rPr>
            </w:pPr>
            <w:r>
              <w:rPr>
                <w:rFonts w:hint="eastAsia"/>
                <w:spacing w:val="12"/>
                <w:w w:val="99"/>
                <w:sz w:val="20"/>
                <w:szCs w:val="20"/>
              </w:rPr>
              <w:t>《小便器用水效率限定</w:t>
            </w:r>
            <w:r>
              <w:rPr>
                <w:rFonts w:hint="eastAsia"/>
                <w:spacing w:val="9"/>
                <w:w w:val="99"/>
                <w:sz w:val="20"/>
                <w:szCs w:val="20"/>
              </w:rPr>
              <w:t>值</w:t>
            </w:r>
            <w:r>
              <w:rPr>
                <w:rFonts w:hint="eastAsia"/>
                <w:spacing w:val="12"/>
                <w:w w:val="99"/>
                <w:sz w:val="20"/>
                <w:szCs w:val="20"/>
              </w:rPr>
              <w:t>及用</w:t>
            </w:r>
            <w:r>
              <w:rPr>
                <w:rFonts w:hint="eastAsia"/>
                <w:w w:val="99"/>
                <w:sz w:val="20"/>
                <w:szCs w:val="20"/>
              </w:rPr>
              <w:t>水效率等</w:t>
            </w:r>
            <w:r>
              <w:rPr>
                <w:rFonts w:hint="eastAsia"/>
                <w:spacing w:val="2"/>
                <w:w w:val="99"/>
                <w:sz w:val="20"/>
                <w:szCs w:val="20"/>
              </w:rPr>
              <w:t>级</w:t>
            </w:r>
            <w:r>
              <w:rPr>
                <w:rFonts w:hint="eastAsia"/>
                <w:w w:val="99"/>
                <w:sz w:val="20"/>
                <w:szCs w:val="20"/>
              </w:rPr>
              <w:t>》（</w:t>
            </w:r>
            <w:r>
              <w:rPr>
                <w:rFonts w:hint="eastAsia"/>
                <w:spacing w:val="1"/>
                <w:w w:val="99"/>
                <w:sz w:val="20"/>
                <w:szCs w:val="20"/>
              </w:rPr>
              <w:t>G</w:t>
            </w:r>
            <w:r>
              <w:rPr>
                <w:rFonts w:hint="eastAsia"/>
                <w:w w:val="99"/>
                <w:sz w:val="20"/>
                <w:szCs w:val="20"/>
              </w:rPr>
              <w:t>B</w:t>
            </w:r>
            <w:r>
              <w:rPr>
                <w:rFonts w:hint="eastAsia"/>
                <w:spacing w:val="1"/>
                <w:w w:val="99"/>
                <w:sz w:val="20"/>
                <w:szCs w:val="20"/>
              </w:rPr>
              <w:t>283</w:t>
            </w:r>
            <w:r>
              <w:rPr>
                <w:rFonts w:hint="eastAsia"/>
                <w:w w:val="99"/>
                <w:sz w:val="20"/>
                <w:szCs w:val="20"/>
              </w:rPr>
              <w:t>7</w:t>
            </w:r>
            <w:r>
              <w:rPr>
                <w:rFonts w:hint="eastAsia"/>
                <w:spacing w:val="-1"/>
                <w:w w:val="99"/>
                <w:sz w:val="20"/>
                <w:szCs w:val="20"/>
              </w:rPr>
              <w:t>7</w:t>
            </w:r>
            <w:r>
              <w:rPr>
                <w:rFonts w:hint="eastAsia"/>
                <w:w w:val="99"/>
                <w:sz w:val="20"/>
                <w:szCs w:val="20"/>
              </w:rPr>
              <w:t>）</w:t>
            </w:r>
          </w:p>
        </w:tc>
      </w:tr>
    </w:tbl>
    <w:p>
      <w:pPr>
        <w:rPr>
          <w:rFonts w:ascii="宋体" w:hAnsi="宋体" w:cs="宋体"/>
          <w:sz w:val="20"/>
          <w:szCs w:val="20"/>
        </w:rPr>
      </w:pPr>
    </w:p>
    <w:tbl>
      <w:tblPr>
        <w:tblStyle w:val="24"/>
        <w:tblW w:w="4998" w:type="pct"/>
        <w:tblInd w:w="0" w:type="dxa"/>
        <w:tblLayout w:type="autofit"/>
        <w:tblCellMar>
          <w:top w:w="0" w:type="dxa"/>
          <w:left w:w="0" w:type="dxa"/>
          <w:bottom w:w="0" w:type="dxa"/>
          <w:right w:w="0" w:type="dxa"/>
        </w:tblCellMar>
      </w:tblPr>
      <w:tblGrid>
        <w:gridCol w:w="663"/>
        <w:gridCol w:w="1350"/>
        <w:gridCol w:w="2085"/>
        <w:gridCol w:w="2218"/>
        <w:gridCol w:w="3436"/>
      </w:tblGrid>
      <w:tr>
        <w:tblPrEx>
          <w:tblCellMar>
            <w:top w:w="0" w:type="dxa"/>
            <w:left w:w="0" w:type="dxa"/>
            <w:bottom w:w="0" w:type="dxa"/>
            <w:right w:w="0" w:type="dxa"/>
          </w:tblCellMar>
        </w:tblPrEx>
        <w:trPr>
          <w:trHeight w:val="943" w:hRule="exact"/>
        </w:trPr>
        <w:tc>
          <w:tcPr>
            <w:tcW w:w="340" w:type="pct"/>
            <w:tcBorders>
              <w:top w:val="single" w:color="000000" w:sz="4" w:space="0"/>
              <w:left w:val="single" w:color="000000" w:sz="4" w:space="0"/>
              <w:bottom w:val="single" w:color="000000" w:sz="4" w:space="0"/>
              <w:right w:val="single" w:color="000000" w:sz="4" w:space="0"/>
            </w:tcBorders>
          </w:tcPr>
          <w:p>
            <w:pPr>
              <w:pStyle w:val="55"/>
              <w:spacing w:before="8"/>
              <w:rPr>
                <w:sz w:val="23"/>
                <w:szCs w:val="23"/>
              </w:rPr>
            </w:pPr>
          </w:p>
          <w:p>
            <w:pPr>
              <w:pStyle w:val="55"/>
              <w:ind w:left="182"/>
              <w:rPr>
                <w:sz w:val="20"/>
                <w:szCs w:val="20"/>
              </w:rPr>
            </w:pPr>
            <w:r>
              <w:rPr>
                <w:rFonts w:hint="eastAsia"/>
                <w:sz w:val="20"/>
              </w:rPr>
              <w:t>16</w:t>
            </w:r>
          </w:p>
        </w:tc>
        <w:tc>
          <w:tcPr>
            <w:tcW w:w="692" w:type="pct"/>
            <w:tcBorders>
              <w:top w:val="single" w:color="000000" w:sz="4" w:space="0"/>
              <w:left w:val="single" w:color="000000" w:sz="4" w:space="0"/>
              <w:bottom w:val="single" w:color="000000" w:sz="4" w:space="0"/>
              <w:right w:val="single" w:color="000000" w:sz="4" w:space="0"/>
            </w:tcBorders>
          </w:tcPr>
          <w:p>
            <w:pPr>
              <w:pStyle w:val="55"/>
              <w:spacing w:before="153"/>
              <w:ind w:left="7"/>
              <w:rPr>
                <w:sz w:val="20"/>
                <w:szCs w:val="20"/>
              </w:rPr>
            </w:pPr>
            <w:r>
              <w:rPr>
                <w:rFonts w:hint="eastAsia"/>
                <w:sz w:val="20"/>
                <w:szCs w:val="20"/>
              </w:rPr>
              <w:t>★A060806水</w:t>
            </w:r>
          </w:p>
          <w:p>
            <w:pPr>
              <w:pStyle w:val="55"/>
              <w:spacing w:before="50"/>
              <w:ind w:left="7"/>
              <w:rPr>
                <w:sz w:val="20"/>
                <w:szCs w:val="20"/>
              </w:rPr>
            </w:pPr>
            <w:r>
              <w:rPr>
                <w:rFonts w:hint="eastAsia"/>
                <w:w w:val="99"/>
                <w:sz w:val="20"/>
                <w:szCs w:val="20"/>
              </w:rPr>
              <w:t>嘴</w:t>
            </w:r>
          </w:p>
        </w:tc>
        <w:tc>
          <w:tcPr>
            <w:tcW w:w="1069"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153" w:line="283" w:lineRule="auto"/>
              <w:ind w:left="7" w:right="4"/>
              <w:rPr>
                <w:sz w:val="20"/>
                <w:szCs w:val="20"/>
              </w:rPr>
            </w:pPr>
            <w:r>
              <w:rPr>
                <w:rFonts w:hint="eastAsia"/>
                <w:spacing w:val="10"/>
                <w:sz w:val="20"/>
                <w:szCs w:val="20"/>
              </w:rPr>
              <w:t>《水嘴用水效率限定值及用水效</w:t>
            </w:r>
            <w:r>
              <w:rPr>
                <w:rFonts w:hint="eastAsia"/>
                <w:sz w:val="20"/>
                <w:szCs w:val="20"/>
              </w:rPr>
              <w:t>率等级》（GB 25501）</w:t>
            </w:r>
          </w:p>
        </w:tc>
      </w:tr>
      <w:tr>
        <w:tblPrEx>
          <w:tblCellMar>
            <w:top w:w="0" w:type="dxa"/>
            <w:left w:w="0" w:type="dxa"/>
            <w:bottom w:w="0" w:type="dxa"/>
            <w:right w:w="0" w:type="dxa"/>
          </w:tblCellMar>
        </w:tblPrEx>
        <w:trPr>
          <w:trHeight w:val="862" w:hRule="exact"/>
        </w:trPr>
        <w:tc>
          <w:tcPr>
            <w:tcW w:w="340" w:type="pct"/>
            <w:tcBorders>
              <w:top w:val="single" w:color="000000" w:sz="4" w:space="0"/>
              <w:left w:val="single" w:color="000000" w:sz="4" w:space="0"/>
              <w:bottom w:val="single" w:color="000000" w:sz="4" w:space="0"/>
              <w:right w:val="single" w:color="000000" w:sz="4" w:space="0"/>
            </w:tcBorders>
          </w:tcPr>
          <w:p>
            <w:pPr>
              <w:pStyle w:val="55"/>
              <w:spacing w:before="6"/>
              <w:rPr>
                <w:sz w:val="20"/>
                <w:szCs w:val="20"/>
              </w:rPr>
            </w:pPr>
          </w:p>
          <w:p>
            <w:pPr>
              <w:pStyle w:val="55"/>
              <w:ind w:left="182"/>
              <w:rPr>
                <w:sz w:val="20"/>
                <w:szCs w:val="20"/>
              </w:rPr>
            </w:pPr>
            <w:r>
              <w:rPr>
                <w:rFonts w:hint="eastAsia"/>
                <w:sz w:val="20"/>
              </w:rPr>
              <w:t>17</w:t>
            </w:r>
          </w:p>
        </w:tc>
        <w:tc>
          <w:tcPr>
            <w:tcW w:w="692" w:type="pct"/>
            <w:tcBorders>
              <w:top w:val="single" w:color="000000" w:sz="4" w:space="0"/>
              <w:left w:val="single" w:color="000000" w:sz="4" w:space="0"/>
              <w:bottom w:val="single" w:color="000000" w:sz="4" w:space="0"/>
              <w:right w:val="single" w:color="000000" w:sz="4" w:space="0"/>
            </w:tcBorders>
          </w:tcPr>
          <w:p>
            <w:pPr>
              <w:pStyle w:val="55"/>
              <w:spacing w:before="112"/>
              <w:ind w:left="7"/>
              <w:rPr>
                <w:sz w:val="20"/>
                <w:szCs w:val="20"/>
              </w:rPr>
            </w:pPr>
            <w:r>
              <w:rPr>
                <w:rFonts w:hint="eastAsia"/>
                <w:sz w:val="20"/>
                <w:szCs w:val="20"/>
              </w:rPr>
              <w:t>A060807便器</w:t>
            </w:r>
          </w:p>
          <w:p>
            <w:pPr>
              <w:pStyle w:val="55"/>
              <w:spacing w:before="50"/>
              <w:ind w:left="7"/>
              <w:rPr>
                <w:sz w:val="20"/>
                <w:szCs w:val="20"/>
              </w:rPr>
            </w:pPr>
            <w:r>
              <w:rPr>
                <w:rFonts w:hint="eastAsia"/>
                <w:sz w:val="20"/>
                <w:szCs w:val="20"/>
              </w:rPr>
              <w:t>冲洗阀</w:t>
            </w:r>
          </w:p>
        </w:tc>
        <w:tc>
          <w:tcPr>
            <w:tcW w:w="1069"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112" w:line="283" w:lineRule="auto"/>
              <w:ind w:left="7" w:right="4"/>
              <w:rPr>
                <w:sz w:val="20"/>
                <w:szCs w:val="20"/>
              </w:rPr>
            </w:pPr>
            <w:r>
              <w:rPr>
                <w:rFonts w:hint="eastAsia"/>
                <w:spacing w:val="10"/>
                <w:sz w:val="20"/>
                <w:szCs w:val="20"/>
              </w:rPr>
              <w:t>《便器冲洗阀用水效率限定值及</w:t>
            </w:r>
            <w:r>
              <w:rPr>
                <w:rFonts w:hint="eastAsia"/>
                <w:sz w:val="20"/>
                <w:szCs w:val="20"/>
              </w:rPr>
              <w:t>用水效率等级》（GB28379）</w:t>
            </w:r>
          </w:p>
        </w:tc>
      </w:tr>
      <w:tr>
        <w:tblPrEx>
          <w:tblCellMar>
            <w:top w:w="0" w:type="dxa"/>
            <w:left w:w="0" w:type="dxa"/>
            <w:bottom w:w="0" w:type="dxa"/>
            <w:right w:w="0" w:type="dxa"/>
          </w:tblCellMar>
        </w:tblPrEx>
        <w:trPr>
          <w:trHeight w:val="902" w:hRule="exact"/>
        </w:trPr>
        <w:tc>
          <w:tcPr>
            <w:tcW w:w="340" w:type="pct"/>
            <w:tcBorders>
              <w:top w:val="single" w:color="000000" w:sz="4" w:space="0"/>
              <w:left w:val="single" w:color="000000" w:sz="4" w:space="0"/>
              <w:bottom w:val="single" w:color="000000" w:sz="4" w:space="0"/>
              <w:right w:val="single" w:color="000000" w:sz="4" w:space="0"/>
            </w:tcBorders>
          </w:tcPr>
          <w:p>
            <w:pPr>
              <w:pStyle w:val="55"/>
              <w:spacing w:before="12"/>
              <w:rPr>
                <w:sz w:val="21"/>
                <w:szCs w:val="21"/>
              </w:rPr>
            </w:pPr>
          </w:p>
          <w:p>
            <w:pPr>
              <w:pStyle w:val="55"/>
              <w:ind w:left="182"/>
              <w:rPr>
                <w:sz w:val="20"/>
                <w:szCs w:val="20"/>
              </w:rPr>
            </w:pPr>
            <w:r>
              <w:rPr>
                <w:rFonts w:hint="eastAsia"/>
                <w:sz w:val="20"/>
              </w:rPr>
              <w:t>18</w:t>
            </w:r>
          </w:p>
        </w:tc>
        <w:tc>
          <w:tcPr>
            <w:tcW w:w="692" w:type="pct"/>
            <w:tcBorders>
              <w:top w:val="single" w:color="000000" w:sz="4" w:space="0"/>
              <w:left w:val="single" w:color="000000" w:sz="4" w:space="0"/>
              <w:bottom w:val="single" w:color="000000" w:sz="4" w:space="0"/>
              <w:right w:val="single" w:color="000000" w:sz="4" w:space="0"/>
            </w:tcBorders>
          </w:tcPr>
          <w:p>
            <w:pPr>
              <w:pStyle w:val="55"/>
              <w:spacing w:before="131"/>
              <w:ind w:left="7"/>
              <w:rPr>
                <w:sz w:val="20"/>
                <w:szCs w:val="20"/>
              </w:rPr>
            </w:pPr>
            <w:r>
              <w:rPr>
                <w:rFonts w:hint="eastAsia"/>
                <w:sz w:val="20"/>
                <w:szCs w:val="20"/>
              </w:rPr>
              <w:t>A060810淋浴</w:t>
            </w:r>
          </w:p>
          <w:p>
            <w:pPr>
              <w:pStyle w:val="55"/>
              <w:spacing w:before="50"/>
              <w:ind w:left="7"/>
              <w:rPr>
                <w:sz w:val="20"/>
                <w:szCs w:val="20"/>
              </w:rPr>
            </w:pPr>
            <w:r>
              <w:rPr>
                <w:rFonts w:hint="eastAsia"/>
                <w:w w:val="99"/>
                <w:sz w:val="20"/>
                <w:szCs w:val="20"/>
              </w:rPr>
              <w:t>器</w:t>
            </w:r>
          </w:p>
        </w:tc>
        <w:tc>
          <w:tcPr>
            <w:tcW w:w="1069"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137" w:type="pct"/>
            <w:tcBorders>
              <w:top w:val="single" w:color="000000" w:sz="4" w:space="0"/>
              <w:left w:val="single" w:color="000000" w:sz="4" w:space="0"/>
              <w:bottom w:val="single" w:color="000000" w:sz="4" w:space="0"/>
              <w:right w:val="single" w:color="000000" w:sz="4" w:space="0"/>
            </w:tcBorders>
          </w:tcPr>
          <w:p>
            <w:pPr>
              <w:rPr>
                <w:rFonts w:ascii="Calibri" w:hAnsi="Calibri"/>
                <w:sz w:val="22"/>
                <w:szCs w:val="22"/>
                <w:lang w:eastAsia="en-US"/>
              </w:rPr>
            </w:pPr>
          </w:p>
        </w:tc>
        <w:tc>
          <w:tcPr>
            <w:tcW w:w="1761" w:type="pct"/>
            <w:tcBorders>
              <w:top w:val="single" w:color="000000" w:sz="4" w:space="0"/>
              <w:left w:val="single" w:color="000000" w:sz="4" w:space="0"/>
              <w:bottom w:val="single" w:color="000000" w:sz="4" w:space="0"/>
              <w:right w:val="single" w:color="000000" w:sz="4" w:space="0"/>
            </w:tcBorders>
          </w:tcPr>
          <w:p>
            <w:pPr>
              <w:pStyle w:val="55"/>
              <w:spacing w:before="131" w:line="283" w:lineRule="auto"/>
              <w:ind w:left="7" w:right="4"/>
              <w:rPr>
                <w:sz w:val="20"/>
                <w:szCs w:val="20"/>
              </w:rPr>
            </w:pPr>
            <w:r>
              <w:rPr>
                <w:rFonts w:hint="eastAsia"/>
                <w:spacing w:val="10"/>
                <w:sz w:val="20"/>
                <w:szCs w:val="20"/>
              </w:rPr>
              <w:t>《淋浴器用水效率限定值及用水</w:t>
            </w:r>
            <w:r>
              <w:rPr>
                <w:rFonts w:hint="eastAsia"/>
                <w:sz w:val="20"/>
                <w:szCs w:val="20"/>
              </w:rPr>
              <w:t>效率等级》（GB28378）</w:t>
            </w:r>
          </w:p>
        </w:tc>
      </w:tr>
    </w:tbl>
    <w:p>
      <w:pPr>
        <w:pStyle w:val="10"/>
        <w:spacing w:line="360" w:lineRule="auto"/>
        <w:rPr>
          <w:rFonts w:ascii="宋体" w:hAnsi="宋体"/>
          <w:szCs w:val="21"/>
        </w:rPr>
      </w:pPr>
      <w:r>
        <w:rPr>
          <w:rFonts w:hint="eastAsia"/>
          <w:spacing w:val="-3"/>
          <w:szCs w:val="21"/>
        </w:rPr>
        <w:t>注：1.节能产品认证应依据相关国家标准的最新版本，依据国家标准中二级能效（水效）</w:t>
      </w:r>
      <w:r>
        <w:rPr>
          <w:rFonts w:hint="eastAsia"/>
          <w:szCs w:val="21"/>
        </w:rPr>
        <w:t>指标。</w:t>
      </w:r>
    </w:p>
    <w:p>
      <w:pPr>
        <w:pStyle w:val="10"/>
        <w:spacing w:line="360" w:lineRule="auto"/>
        <w:rPr>
          <w:b/>
          <w:bCs/>
          <w:szCs w:val="21"/>
        </w:rPr>
      </w:pPr>
      <w:r>
        <w:rPr>
          <w:rFonts w:hint="eastAsia" w:ascii="宋体" w:hAnsi="宋体"/>
          <w:szCs w:val="21"/>
        </w:rPr>
        <w:t xml:space="preserve">    </w:t>
      </w:r>
      <w:r>
        <w:rPr>
          <w:rFonts w:hint="eastAsia"/>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pPr>
        <w:pStyle w:val="2"/>
        <w:spacing w:line="240" w:lineRule="auto"/>
        <w:jc w:val="center"/>
        <w:rPr>
          <w:sz w:val="48"/>
          <w:szCs w:val="48"/>
        </w:rPr>
        <w:sectPr>
          <w:pgSz w:w="11906" w:h="16838"/>
          <w:pgMar w:top="1440" w:right="1080" w:bottom="1440" w:left="1080" w:header="964" w:footer="794" w:gutter="0"/>
          <w:cols w:space="720" w:num="1"/>
          <w:docGrid w:linePitch="312" w:charSpace="0"/>
        </w:sectPr>
      </w:pPr>
    </w:p>
    <w:p>
      <w:pPr>
        <w:pStyle w:val="13"/>
        <w:jc w:val="left"/>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附件2：</w:t>
      </w:r>
    </w:p>
    <w:p>
      <w:pPr>
        <w:spacing w:line="528" w:lineRule="exact"/>
        <w:jc w:val="center"/>
        <w:rPr>
          <w:rFonts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24"/>
        <w:tblW w:w="4997" w:type="pct"/>
        <w:tblInd w:w="0" w:type="dxa"/>
        <w:tblLayout w:type="autofit"/>
        <w:tblCellMar>
          <w:top w:w="0" w:type="dxa"/>
          <w:left w:w="108" w:type="dxa"/>
          <w:bottom w:w="0" w:type="dxa"/>
          <w:right w:w="108" w:type="dxa"/>
        </w:tblCellMar>
      </w:tblPr>
      <w:tblGrid>
        <w:gridCol w:w="2098"/>
        <w:gridCol w:w="1708"/>
        <w:gridCol w:w="1125"/>
        <w:gridCol w:w="1998"/>
        <w:gridCol w:w="1777"/>
        <w:gridCol w:w="1142"/>
      </w:tblGrid>
      <w:tr>
        <w:trPr>
          <w:trHeight w:val="285" w:hRule="atLeast"/>
        </w:trPr>
        <w:tc>
          <w:tcPr>
            <w:tcW w:w="1065"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867" w:type="pct"/>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571" w:type="pct"/>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014" w:type="pct"/>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902" w:type="pct"/>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579" w:type="pct"/>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农、林、牧、渔</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工业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建筑业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批发业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零售业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交通运输业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仓储业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邮政业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住宿业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餐饮业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信息传输业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软件和信息技术服务业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房地产开发经营</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物业管理</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租赁和商务服务业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20"/>
                <w:szCs w:val="20"/>
              </w:rPr>
            </w:pPr>
            <w:r>
              <w:rPr>
                <w:rFonts w:hint="eastAsia" w:ascii="宋体" w:hAnsi="宋体" w:cs="宋体"/>
                <w:b/>
                <w:bCs/>
                <w:kern w:val="0"/>
                <w:sz w:val="20"/>
                <w:szCs w:val="20"/>
              </w:rPr>
              <w:t>其他未列明行业</w:t>
            </w:r>
          </w:p>
        </w:tc>
        <w:tc>
          <w:tcPr>
            <w:tcW w:w="867"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571"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014"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02"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579" w:type="pct"/>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pStyle w:val="13"/>
        <w:jc w:val="center"/>
        <w:rPr>
          <w:rFonts w:hAnsi="宋体"/>
        </w:rPr>
        <w:sectPr>
          <w:pgSz w:w="11906" w:h="16838"/>
          <w:pgMar w:top="1134" w:right="1134" w:bottom="1134" w:left="1134" w:header="720" w:footer="720" w:gutter="0"/>
          <w:cols w:space="720" w:num="1"/>
          <w:docGrid w:type="lines" w:linePitch="331" w:charSpace="0"/>
        </w:sectPr>
      </w:pPr>
    </w:p>
    <w:p>
      <w:pPr>
        <w:pStyle w:val="2"/>
        <w:jc w:val="center"/>
      </w:pPr>
      <w:bookmarkStart w:id="70" w:name="_Toc4875"/>
      <w:bookmarkStart w:id="71" w:name="_Toc27956"/>
      <w:bookmarkStart w:id="72" w:name="_Toc14895"/>
      <w:r>
        <w:rPr>
          <w:rFonts w:hint="eastAsia"/>
        </w:rPr>
        <w:t>第四章  评审程序和评定成交的标准</w:t>
      </w:r>
      <w:bookmarkEnd w:id="69"/>
      <w:bookmarkEnd w:id="70"/>
      <w:bookmarkEnd w:id="71"/>
      <w:bookmarkEnd w:id="72"/>
    </w:p>
    <w:p>
      <w:pPr>
        <w:pStyle w:val="4"/>
        <w:spacing w:before="0" w:after="0" w:line="360" w:lineRule="auto"/>
        <w:rPr>
          <w:rFonts w:ascii="宋体" w:hAnsi="宋体" w:cs="宋体"/>
          <w:sz w:val="24"/>
        </w:rPr>
      </w:pPr>
      <w:r>
        <w:rPr>
          <w:rFonts w:hint="eastAsia" w:ascii="宋体" w:hAnsi="宋体" w:cs="宋体"/>
          <w:sz w:val="24"/>
        </w:rPr>
        <w:t>一、评审程序</w:t>
      </w:r>
    </w:p>
    <w:p>
      <w:pPr>
        <w:pStyle w:val="4"/>
        <w:numPr>
          <w:ilvl w:val="0"/>
          <w:numId w:val="21"/>
        </w:numPr>
        <w:spacing w:before="0" w:after="0" w:line="360" w:lineRule="auto"/>
        <w:ind w:left="0" w:firstLine="0"/>
        <w:rPr>
          <w:rFonts w:ascii="宋体" w:hAnsi="宋体" w:cs="宋体"/>
          <w:sz w:val="24"/>
        </w:rPr>
      </w:pPr>
      <w:r>
        <w:rPr>
          <w:rFonts w:hint="eastAsia" w:ascii="宋体" w:hAnsi="宋体" w:cs="宋体"/>
          <w:sz w:val="24"/>
        </w:rPr>
        <w:t>确认谈判文件</w:t>
      </w:r>
    </w:p>
    <w:p>
      <w:pPr>
        <w:spacing w:line="360" w:lineRule="auto"/>
        <w:rPr>
          <w:rFonts w:ascii="宋体" w:hAnsi="宋体" w:cs="宋体"/>
          <w:sz w:val="24"/>
        </w:rPr>
      </w:pPr>
      <w:r>
        <w:rPr>
          <w:rFonts w:hint="eastAsia" w:ascii="宋体" w:hAnsi="宋体" w:cs="宋体"/>
          <w:sz w:val="24"/>
        </w:rPr>
        <w:t>由谈判小组确认谈判文件。</w:t>
      </w:r>
    </w:p>
    <w:p>
      <w:pPr>
        <w:pStyle w:val="4"/>
        <w:numPr>
          <w:ilvl w:val="0"/>
          <w:numId w:val="21"/>
        </w:numPr>
        <w:spacing w:before="0" w:after="0" w:line="360" w:lineRule="auto"/>
        <w:ind w:left="0" w:firstLine="0"/>
        <w:rPr>
          <w:rFonts w:ascii="宋体" w:hAnsi="宋体" w:cs="宋体"/>
          <w:sz w:val="24"/>
        </w:rPr>
      </w:pPr>
      <w:r>
        <w:rPr>
          <w:rFonts w:hint="eastAsia" w:ascii="宋体" w:hAnsi="宋体" w:cs="宋体"/>
          <w:sz w:val="24"/>
        </w:rPr>
        <w:t>资格审查</w:t>
      </w:r>
    </w:p>
    <w:p>
      <w:pPr>
        <w:numPr>
          <w:ilvl w:val="0"/>
          <w:numId w:val="22"/>
        </w:numPr>
        <w:spacing w:line="360" w:lineRule="auto"/>
        <w:rPr>
          <w:rFonts w:ascii="宋体" w:hAnsi="宋体" w:cs="宋体"/>
          <w:sz w:val="24"/>
        </w:rPr>
      </w:pPr>
      <w:r>
        <w:rPr>
          <w:rFonts w:hint="eastAsia" w:ascii="宋体" w:hAnsi="宋体" w:cs="宋体"/>
          <w:sz w:val="24"/>
        </w:rPr>
        <w:t>响应文件开启后，谈判小组依法对供应商的资格证明文件进行审查。</w:t>
      </w:r>
    </w:p>
    <w:p>
      <w:pPr>
        <w:snapToGrid w:val="0"/>
        <w:spacing w:line="360" w:lineRule="auto"/>
        <w:rPr>
          <w:rFonts w:ascii="宋体" w:hAnsi="宋体" w:cs="宋体"/>
          <w:sz w:val="24"/>
        </w:rPr>
      </w:pPr>
      <w:r>
        <w:rPr>
          <w:rFonts w:hint="eastAsia" w:ascii="宋体" w:hAnsi="宋体" w:cs="宋体"/>
          <w:sz w:val="24"/>
        </w:rPr>
        <w:t>注：提交响应文件截止时间前一天至资格审查结束前，对供应商进行信用查询。</w:t>
      </w:r>
    </w:p>
    <w:p>
      <w:pPr>
        <w:wordWrap w:val="0"/>
        <w:topLinePunct/>
        <w:snapToGrid w:val="0"/>
        <w:spacing w:line="360" w:lineRule="auto"/>
        <w:rPr>
          <w:rFonts w:ascii="宋体" w:hAnsi="宋体" w:cs="宋体"/>
          <w:sz w:val="24"/>
        </w:rPr>
      </w:pPr>
      <w:r>
        <w:rPr>
          <w:rFonts w:hint="eastAsia" w:ascii="宋体" w:hAnsi="宋体" w:cs="宋体"/>
          <w:sz w:val="24"/>
        </w:rPr>
        <w:t>查询渠道：“信用中国”网站(www.creditchina.gov.cn) 、中国政府采购网(www.ccgp.gov.cn)》。</w:t>
      </w:r>
    </w:p>
    <w:p>
      <w:pPr>
        <w:snapToGrid w:val="0"/>
        <w:spacing w:line="360" w:lineRule="auto"/>
        <w:rPr>
          <w:rFonts w:ascii="宋体" w:hAnsi="宋体" w:cs="宋体"/>
          <w:sz w:val="24"/>
        </w:rPr>
      </w:pPr>
      <w:r>
        <w:rPr>
          <w:rFonts w:hint="eastAsia" w:ascii="宋体" w:hAnsi="宋体" w:cs="宋体"/>
          <w:sz w:val="24"/>
        </w:rPr>
        <w:t>信用查询截止时点：提交响应文件截止时间前一天至资格审查结束前</w:t>
      </w:r>
    </w:p>
    <w:p>
      <w:pPr>
        <w:snapToGrid w:val="0"/>
        <w:spacing w:line="360" w:lineRule="auto"/>
        <w:rPr>
          <w:rFonts w:ascii="宋体" w:hAnsi="宋体" w:cs="宋体"/>
          <w:sz w:val="24"/>
        </w:rPr>
      </w:pPr>
      <w:r>
        <w:rPr>
          <w:rFonts w:hint="eastAsia" w:ascii="宋体" w:hAnsi="宋体" w:cs="宋体"/>
          <w:sz w:val="24"/>
        </w:rPr>
        <w:t>查询记录和证据留存方式：在查询网站中直接打印查询记录，打印材料作为评审资料保存。</w:t>
      </w:r>
    </w:p>
    <w:p>
      <w:pPr>
        <w:spacing w:line="360" w:lineRule="auto"/>
        <w:rPr>
          <w:rFonts w:ascii="宋体" w:hAnsi="宋体" w:cs="宋体"/>
          <w:sz w:val="24"/>
        </w:rPr>
      </w:pPr>
      <w:r>
        <w:rPr>
          <w:rFonts w:hint="eastAsia" w:ascii="宋体" w:hAnsi="宋体" w:cs="宋体"/>
          <w:sz w:val="24"/>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0"/>
          <w:numId w:val="22"/>
        </w:numPr>
        <w:spacing w:line="360" w:lineRule="auto"/>
        <w:rPr>
          <w:rFonts w:ascii="宋体" w:hAnsi="宋体" w:cs="宋体"/>
          <w:sz w:val="24"/>
        </w:rPr>
      </w:pPr>
      <w:r>
        <w:rPr>
          <w:rFonts w:hint="eastAsia" w:ascii="宋体" w:hAnsi="宋体" w:cs="宋体"/>
          <w:sz w:val="24"/>
        </w:rPr>
        <w:t>资格审查标准为本谈判文件中载明对供应商资格要求的条件。本项目资格审查采用合格制，凡符合谈判文件规定的供应商资格要求的供应商均通过资格审查。</w:t>
      </w:r>
    </w:p>
    <w:p>
      <w:pPr>
        <w:numPr>
          <w:ilvl w:val="0"/>
          <w:numId w:val="22"/>
        </w:numPr>
        <w:spacing w:line="360" w:lineRule="auto"/>
        <w:rPr>
          <w:rFonts w:ascii="宋体" w:hAnsi="宋体" w:cs="宋体"/>
          <w:sz w:val="24"/>
        </w:rPr>
      </w:pPr>
      <w:r>
        <w:rPr>
          <w:rFonts w:hint="eastAsia" w:ascii="宋体" w:hAnsi="宋体" w:cs="宋体"/>
          <w:sz w:val="24"/>
        </w:rPr>
        <w:t>供应商有下列情形之一的，资格审查不通过，其响应文件作无效处理：</w:t>
      </w:r>
    </w:p>
    <w:p>
      <w:pPr>
        <w:snapToGrid w:val="0"/>
        <w:spacing w:line="360" w:lineRule="auto"/>
        <w:rPr>
          <w:rFonts w:ascii="宋体" w:hAnsi="宋体" w:cs="宋体"/>
          <w:sz w:val="24"/>
        </w:rPr>
      </w:pPr>
      <w:r>
        <w:rPr>
          <w:rFonts w:hint="eastAsia" w:ascii="宋体" w:hAnsi="宋体" w:cs="宋体"/>
          <w:sz w:val="24"/>
        </w:rPr>
        <w:t>（1）不具备谈判文件中规定的资格要求的；</w:t>
      </w:r>
    </w:p>
    <w:p>
      <w:pPr>
        <w:spacing w:line="360" w:lineRule="auto"/>
        <w:rPr>
          <w:rFonts w:ascii="宋体" w:hAnsi="宋体" w:cs="宋体"/>
          <w:sz w:val="24"/>
        </w:rPr>
      </w:pPr>
      <w:r>
        <w:rPr>
          <w:rFonts w:hint="eastAsia" w:ascii="宋体" w:hAnsi="宋体" w:cs="宋体"/>
          <w:sz w:val="24"/>
        </w:rPr>
        <w:t>（2）响应文件未提供任一项“供应商须知前附表”资格证明文件规定的“必须提供”的文件资料的。</w:t>
      </w:r>
    </w:p>
    <w:p>
      <w:pPr>
        <w:spacing w:line="360" w:lineRule="auto"/>
        <w:rPr>
          <w:rFonts w:ascii="宋体" w:hAnsi="宋体" w:cs="宋体"/>
          <w:sz w:val="24"/>
        </w:rPr>
      </w:pPr>
      <w:r>
        <w:rPr>
          <w:rFonts w:hint="eastAsia" w:ascii="宋体" w:hAnsi="宋体" w:cs="宋体"/>
          <w:sz w:val="24"/>
        </w:rPr>
        <w:t>（3）响应文件提供的资格证明文件出现任一项不符合“供应商须知前附表”资格证明文件规定的“必须提供”的文件资料要求或者无效的；</w:t>
      </w:r>
    </w:p>
    <w:p>
      <w:pPr>
        <w:numPr>
          <w:ilvl w:val="0"/>
          <w:numId w:val="22"/>
        </w:numPr>
        <w:spacing w:line="360" w:lineRule="auto"/>
        <w:rPr>
          <w:rFonts w:ascii="宋体" w:hAnsi="宋体" w:cs="宋体"/>
          <w:sz w:val="24"/>
        </w:rPr>
      </w:pPr>
      <w:r>
        <w:rPr>
          <w:rFonts w:hint="eastAsia" w:ascii="宋体" w:hAnsi="宋体" w:cs="宋体"/>
          <w:sz w:val="24"/>
        </w:rPr>
        <w:t>通过资格审查的合格供应商不足3家（本章3.6条规定除外）的，不得进入符合性审查环节，应当重新开展采购活动。</w:t>
      </w:r>
    </w:p>
    <w:p>
      <w:pPr>
        <w:pStyle w:val="4"/>
        <w:numPr>
          <w:ilvl w:val="0"/>
          <w:numId w:val="21"/>
        </w:numPr>
        <w:spacing w:before="0" w:after="0" w:line="360" w:lineRule="auto"/>
        <w:ind w:left="0" w:firstLine="0"/>
        <w:rPr>
          <w:rFonts w:ascii="宋体" w:hAnsi="宋体" w:cs="宋体"/>
          <w:sz w:val="24"/>
        </w:rPr>
      </w:pPr>
      <w:r>
        <w:rPr>
          <w:rFonts w:hint="eastAsia" w:ascii="宋体" w:hAnsi="宋体" w:cs="宋体"/>
          <w:sz w:val="24"/>
        </w:rPr>
        <w:t>符合性审查</w:t>
      </w:r>
    </w:p>
    <w:p>
      <w:pPr>
        <w:numPr>
          <w:ilvl w:val="0"/>
          <w:numId w:val="23"/>
        </w:numPr>
        <w:spacing w:line="360" w:lineRule="auto"/>
        <w:rPr>
          <w:rFonts w:ascii="宋体" w:hAnsi="宋体" w:cs="宋体"/>
          <w:sz w:val="24"/>
        </w:rPr>
      </w:pPr>
      <w:r>
        <w:rPr>
          <w:rFonts w:hint="eastAsia" w:ascii="宋体" w:hAnsi="宋体" w:cs="宋体"/>
          <w:sz w:val="24"/>
        </w:rPr>
        <w:t>谈判小组应当对符合资格的供应商的响应文件进行竞标报价、商务、技术等实质性要求符合性审查，以确定其是否满足谈判文件的实质性要求。</w:t>
      </w:r>
    </w:p>
    <w:p>
      <w:pPr>
        <w:numPr>
          <w:ilvl w:val="0"/>
          <w:numId w:val="23"/>
        </w:numPr>
        <w:spacing w:line="360" w:lineRule="auto"/>
        <w:rPr>
          <w:rFonts w:ascii="宋体" w:hAnsi="宋体" w:cs="宋体"/>
          <w:sz w:val="24"/>
        </w:rPr>
      </w:pPr>
      <w:r>
        <w:rPr>
          <w:rFonts w:hint="eastAsia" w:ascii="宋体" w:hAnsi="宋体" w:cs="宋体"/>
          <w:sz w:val="24"/>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0"/>
          <w:numId w:val="23"/>
        </w:numPr>
        <w:spacing w:line="360" w:lineRule="auto"/>
        <w:rPr>
          <w:rFonts w:ascii="宋体" w:hAnsi="宋体" w:cs="宋体"/>
          <w:spacing w:val="-6"/>
          <w:sz w:val="24"/>
        </w:rPr>
      </w:pPr>
      <w:r>
        <w:rPr>
          <w:rFonts w:hint="eastAsia" w:ascii="宋体" w:hAnsi="宋体" w:cs="宋体"/>
          <w:sz w:val="24"/>
        </w:rPr>
        <w:t>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有利于采购人的原则由谈判小组进行判定。供应商的澄清、说明或者更正必须由法定代表人或者其委托代理人签字或者加盖公章。由委托代理人签字的，</w:t>
      </w:r>
      <w:r>
        <w:rPr>
          <w:rFonts w:hint="eastAsia" w:ascii="宋体" w:hAnsi="宋体" w:cs="宋体"/>
          <w:bCs/>
          <w:sz w:val="24"/>
        </w:rPr>
        <w:t>若委托代理人不是响应文件中授权的委托代理人时，必须同时出示有效的法定代表人授权委托书原件</w:t>
      </w:r>
      <w:r>
        <w:rPr>
          <w:rFonts w:hint="eastAsia" w:ascii="宋体" w:hAnsi="宋体" w:cs="宋体"/>
          <w:spacing w:val="-6"/>
          <w:sz w:val="24"/>
        </w:rPr>
        <w:t>。供应商为自然人的，必须由本人签字并附身份证明。</w:t>
      </w:r>
    </w:p>
    <w:p>
      <w:pPr>
        <w:numPr>
          <w:ilvl w:val="0"/>
          <w:numId w:val="23"/>
        </w:numPr>
        <w:spacing w:line="360" w:lineRule="auto"/>
        <w:rPr>
          <w:rFonts w:ascii="宋体" w:hAnsi="宋体" w:cs="宋体"/>
          <w:sz w:val="24"/>
        </w:rPr>
      </w:pPr>
      <w:r>
        <w:rPr>
          <w:rFonts w:hint="eastAsia" w:ascii="宋体" w:hAnsi="宋体" w:cs="宋体"/>
          <w:sz w:val="24"/>
        </w:rPr>
        <w:t xml:space="preserve">响应文件报价出现前后不一致的，按照下列规定修正： </w:t>
      </w:r>
    </w:p>
    <w:p>
      <w:pPr>
        <w:spacing w:line="360" w:lineRule="auto"/>
        <w:rPr>
          <w:rFonts w:ascii="宋体" w:hAnsi="宋体" w:cs="宋体"/>
          <w:sz w:val="24"/>
        </w:rPr>
      </w:pPr>
      <w:r>
        <w:rPr>
          <w:rFonts w:hint="eastAsia" w:ascii="宋体" w:hAnsi="宋体" w:cs="宋体"/>
          <w:sz w:val="24"/>
        </w:rPr>
        <w:t>（1）响应文件中报价表内容与响应文件中相应内容不一致的，以报价表为准；</w:t>
      </w:r>
    </w:p>
    <w:p>
      <w:pPr>
        <w:spacing w:line="360" w:lineRule="auto"/>
        <w:rPr>
          <w:rFonts w:ascii="宋体" w:hAnsi="宋体" w:cs="宋体"/>
          <w:sz w:val="24"/>
        </w:rPr>
      </w:pPr>
      <w:r>
        <w:rPr>
          <w:rFonts w:hint="eastAsia" w:ascii="宋体" w:hAnsi="宋体" w:cs="宋体"/>
          <w:sz w:val="24"/>
        </w:rPr>
        <w:t>（2）大写金额和小写金额不一致的，以大写金额为准；</w:t>
      </w:r>
    </w:p>
    <w:p>
      <w:pPr>
        <w:spacing w:line="360" w:lineRule="auto"/>
        <w:rPr>
          <w:rFonts w:ascii="宋体" w:hAnsi="宋体" w:cs="宋体"/>
          <w:sz w:val="24"/>
        </w:rPr>
      </w:pPr>
      <w:r>
        <w:rPr>
          <w:rFonts w:hint="eastAsia" w:ascii="宋体" w:hAnsi="宋体" w:cs="宋体"/>
          <w:sz w:val="24"/>
        </w:rPr>
        <w:t>（3）单价金额小数点或者百分比有明显错位的，以报价表的总价为准，并修改单价；</w:t>
      </w:r>
    </w:p>
    <w:p>
      <w:pPr>
        <w:spacing w:line="360" w:lineRule="auto"/>
        <w:rPr>
          <w:rFonts w:ascii="宋体" w:hAnsi="宋体" w:cs="宋体"/>
          <w:sz w:val="24"/>
        </w:rPr>
      </w:pPr>
      <w:r>
        <w:rPr>
          <w:rFonts w:hint="eastAsia" w:ascii="宋体" w:hAnsi="宋体" w:cs="宋体"/>
          <w:sz w:val="24"/>
        </w:rPr>
        <w:t>（4）总价金额与按单价汇总金额不一致的，以单价金额计算结果为准。</w:t>
      </w:r>
    </w:p>
    <w:p>
      <w:pPr>
        <w:spacing w:line="360" w:lineRule="auto"/>
        <w:rPr>
          <w:rFonts w:ascii="宋体" w:hAnsi="宋体" w:cs="宋体"/>
          <w:sz w:val="24"/>
        </w:rPr>
      </w:pPr>
      <w:r>
        <w:rPr>
          <w:rFonts w:hint="eastAsia" w:ascii="宋体" w:hAnsi="宋体" w:cs="宋体"/>
          <w:sz w:val="24"/>
        </w:rPr>
        <w:t>同时出现两种以上不一致的，按照以上（1）-（4）规定的顺序逐条进行修正。修正后的报价经供应商确认后产生约束力，供应商不确认的，其响应文件按无效响应处理。</w:t>
      </w:r>
    </w:p>
    <w:p>
      <w:pPr>
        <w:numPr>
          <w:ilvl w:val="0"/>
          <w:numId w:val="23"/>
        </w:numPr>
        <w:spacing w:line="360" w:lineRule="auto"/>
        <w:rPr>
          <w:rFonts w:ascii="宋体" w:hAnsi="宋体" w:cs="宋体"/>
          <w:sz w:val="24"/>
        </w:rPr>
      </w:pPr>
      <w:r>
        <w:rPr>
          <w:rFonts w:hint="eastAsia" w:ascii="宋体" w:hAnsi="宋体" w:cs="宋体"/>
          <w:sz w:val="24"/>
        </w:rPr>
        <w:t>商务技术报价评审</w:t>
      </w:r>
    </w:p>
    <w:p>
      <w:pPr>
        <w:spacing w:line="360" w:lineRule="auto"/>
        <w:rPr>
          <w:rFonts w:ascii="宋体" w:hAnsi="宋体" w:cs="宋体"/>
          <w:sz w:val="24"/>
        </w:rPr>
      </w:pPr>
      <w:r>
        <w:rPr>
          <w:rFonts w:hint="eastAsia" w:ascii="宋体" w:hAnsi="宋体" w:cs="宋体"/>
          <w:sz w:val="24"/>
        </w:rPr>
        <w:t>在评审时，如发现下列情形之一的，将被视为响应文件无效处理：</w:t>
      </w:r>
    </w:p>
    <w:p>
      <w:pPr>
        <w:spacing w:line="360" w:lineRule="auto"/>
        <w:rPr>
          <w:rFonts w:ascii="宋体" w:hAnsi="宋体" w:cs="宋体"/>
          <w:b/>
          <w:bCs/>
          <w:sz w:val="24"/>
        </w:rPr>
      </w:pPr>
      <w:r>
        <w:rPr>
          <w:rFonts w:hint="eastAsia" w:ascii="宋体" w:hAnsi="宋体" w:cs="宋体"/>
          <w:b/>
          <w:bCs/>
          <w:sz w:val="24"/>
        </w:rPr>
        <w:t>（1）商务技术评审</w:t>
      </w:r>
    </w:p>
    <w:p>
      <w:pPr>
        <w:numPr>
          <w:ilvl w:val="0"/>
          <w:numId w:val="24"/>
        </w:numPr>
        <w:spacing w:line="360" w:lineRule="auto"/>
        <w:rPr>
          <w:rFonts w:ascii="宋体" w:hAnsi="宋体" w:cs="宋体"/>
          <w:sz w:val="24"/>
        </w:rPr>
      </w:pPr>
      <w:r>
        <w:rPr>
          <w:rFonts w:hint="eastAsia" w:ascii="宋体" w:hAnsi="宋体" w:cs="宋体"/>
          <w:sz w:val="24"/>
        </w:rPr>
        <w:t>响应文件未按谈判文件要求签署、盖章的；</w:t>
      </w:r>
    </w:p>
    <w:p>
      <w:pPr>
        <w:numPr>
          <w:ilvl w:val="0"/>
          <w:numId w:val="24"/>
        </w:numPr>
        <w:spacing w:line="360" w:lineRule="auto"/>
        <w:rPr>
          <w:rFonts w:ascii="宋体" w:hAnsi="宋体" w:cs="宋体"/>
          <w:sz w:val="24"/>
        </w:rPr>
      </w:pPr>
      <w:r>
        <w:rPr>
          <w:rFonts w:hint="eastAsia" w:ascii="宋体" w:hAnsi="宋体" w:cs="宋体"/>
          <w:sz w:val="24"/>
        </w:rPr>
        <w:t xml:space="preserve">委托代理人未能出具有效身份证明或者出具的身份证明与授权委托书中的信息不符的； </w:t>
      </w:r>
    </w:p>
    <w:p>
      <w:pPr>
        <w:numPr>
          <w:ilvl w:val="0"/>
          <w:numId w:val="24"/>
        </w:numPr>
        <w:spacing w:line="360" w:lineRule="auto"/>
        <w:rPr>
          <w:rFonts w:ascii="宋体" w:hAnsi="宋体" w:cs="宋体"/>
          <w:sz w:val="24"/>
        </w:rPr>
      </w:pPr>
      <w:r>
        <w:rPr>
          <w:rFonts w:hint="eastAsia" w:ascii="宋体" w:hAnsi="宋体" w:cs="宋体"/>
          <w:sz w:val="24"/>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numPr>
          <w:ilvl w:val="0"/>
          <w:numId w:val="24"/>
        </w:numPr>
        <w:spacing w:line="360" w:lineRule="auto"/>
        <w:rPr>
          <w:rFonts w:ascii="宋体" w:hAnsi="宋体" w:cs="宋体"/>
          <w:sz w:val="24"/>
        </w:rPr>
      </w:pPr>
      <w:r>
        <w:rPr>
          <w:rFonts w:hint="eastAsia" w:ascii="宋体" w:hAnsi="宋体" w:cs="宋体"/>
          <w:sz w:val="24"/>
        </w:rPr>
        <w:t>商务条款中标“▲”的条款发生负偏离的或者允许负偏离的条款数超过“供应商须知前附表”规定项数的或者标明实质性的要求发生负偏离；</w:t>
      </w:r>
    </w:p>
    <w:p>
      <w:pPr>
        <w:numPr>
          <w:ilvl w:val="0"/>
          <w:numId w:val="24"/>
        </w:numPr>
        <w:spacing w:line="360" w:lineRule="auto"/>
        <w:rPr>
          <w:rFonts w:ascii="宋体" w:hAnsi="宋体" w:cs="宋体"/>
          <w:sz w:val="24"/>
        </w:rPr>
      </w:pPr>
      <w:r>
        <w:rPr>
          <w:rFonts w:hint="eastAsia" w:ascii="宋体" w:hAnsi="宋体" w:cs="宋体"/>
          <w:sz w:val="24"/>
        </w:rPr>
        <w:t>未对竞标有效期作出响应或者响应文件承诺的竞标有效期不满足谈判文件要求；</w:t>
      </w:r>
    </w:p>
    <w:p>
      <w:pPr>
        <w:numPr>
          <w:ilvl w:val="0"/>
          <w:numId w:val="24"/>
        </w:numPr>
        <w:spacing w:line="360" w:lineRule="auto"/>
        <w:rPr>
          <w:rFonts w:ascii="宋体" w:hAnsi="宋体" w:cs="宋体"/>
          <w:sz w:val="24"/>
        </w:rPr>
      </w:pPr>
      <w:r>
        <w:rPr>
          <w:rFonts w:hint="eastAsia" w:ascii="宋体" w:hAnsi="宋体" w:cs="宋体"/>
          <w:sz w:val="24"/>
        </w:rPr>
        <w:t>响应文件的实质性内容未使用中文表述、使用计量单位不符合谈判文件要求的；</w:t>
      </w:r>
    </w:p>
    <w:p>
      <w:pPr>
        <w:numPr>
          <w:ilvl w:val="0"/>
          <w:numId w:val="24"/>
        </w:numPr>
        <w:spacing w:line="360" w:lineRule="auto"/>
        <w:rPr>
          <w:rFonts w:ascii="宋体" w:hAnsi="宋体" w:cs="宋体"/>
          <w:sz w:val="24"/>
        </w:rPr>
      </w:pPr>
      <w:r>
        <w:rPr>
          <w:rFonts w:hint="eastAsia" w:ascii="宋体" w:hAnsi="宋体" w:cs="宋体"/>
          <w:sz w:val="24"/>
        </w:rPr>
        <w:t>响应文件中的文件资料因填写不齐全或者内容虚假或者出现其他情形而导致被谈判小组认定无效的；</w:t>
      </w:r>
    </w:p>
    <w:p>
      <w:pPr>
        <w:numPr>
          <w:ilvl w:val="0"/>
          <w:numId w:val="24"/>
        </w:numPr>
        <w:spacing w:line="360" w:lineRule="auto"/>
        <w:rPr>
          <w:rFonts w:ascii="宋体" w:hAnsi="宋体" w:cs="宋体"/>
          <w:sz w:val="24"/>
        </w:rPr>
      </w:pPr>
      <w:r>
        <w:rPr>
          <w:rFonts w:hint="eastAsia" w:ascii="宋体" w:hAnsi="宋体" w:cs="宋体"/>
          <w:sz w:val="24"/>
        </w:rPr>
        <w:t>响应文件含有采购人不能接受的附加条件的；</w:t>
      </w:r>
    </w:p>
    <w:p>
      <w:pPr>
        <w:numPr>
          <w:ilvl w:val="0"/>
          <w:numId w:val="24"/>
        </w:numPr>
        <w:spacing w:line="360" w:lineRule="auto"/>
        <w:rPr>
          <w:rFonts w:ascii="宋体" w:hAnsi="宋体" w:cs="宋体"/>
          <w:sz w:val="24"/>
        </w:rPr>
      </w:pPr>
      <w:r>
        <w:rPr>
          <w:rFonts w:hint="eastAsia" w:ascii="宋体" w:hAnsi="宋体" w:cs="宋体"/>
          <w:sz w:val="24"/>
        </w:rPr>
        <w:t>属于“供应商须知正文”第7.5条的情形的；</w:t>
      </w:r>
    </w:p>
    <w:p>
      <w:pPr>
        <w:numPr>
          <w:ilvl w:val="0"/>
          <w:numId w:val="24"/>
        </w:numPr>
        <w:spacing w:line="360" w:lineRule="auto"/>
        <w:rPr>
          <w:rFonts w:ascii="宋体" w:hAnsi="宋体" w:cs="宋体"/>
          <w:sz w:val="24"/>
        </w:rPr>
      </w:pPr>
      <w:r>
        <w:rPr>
          <w:rFonts w:hint="eastAsia" w:ascii="宋体" w:hAnsi="宋体" w:cs="宋体"/>
          <w:sz w:val="24"/>
        </w:rPr>
        <w:t>明显不满足谈判文件要求的技术规格、安全、质量标准，或者与谈判文件中标“▲”的技术指标、主要功能或者标明实质性的要求发生负偏离的；</w:t>
      </w:r>
    </w:p>
    <w:p>
      <w:pPr>
        <w:numPr>
          <w:ilvl w:val="0"/>
          <w:numId w:val="24"/>
        </w:numPr>
        <w:spacing w:line="360" w:lineRule="auto"/>
        <w:rPr>
          <w:rFonts w:ascii="宋体" w:hAnsi="宋体" w:cs="宋体"/>
          <w:sz w:val="24"/>
        </w:rPr>
      </w:pPr>
      <w:r>
        <w:rPr>
          <w:rFonts w:hint="eastAsia" w:ascii="宋体" w:hAnsi="宋体" w:cs="宋体"/>
          <w:sz w:val="24"/>
        </w:rPr>
        <w:t>技术评审允许负偏离的条款数超过“供应商须知前附表”规定项数的；</w:t>
      </w:r>
    </w:p>
    <w:p>
      <w:pPr>
        <w:numPr>
          <w:ilvl w:val="0"/>
          <w:numId w:val="24"/>
        </w:numPr>
        <w:spacing w:line="360" w:lineRule="auto"/>
        <w:rPr>
          <w:rFonts w:ascii="宋体" w:hAnsi="宋体" w:cs="宋体"/>
          <w:sz w:val="24"/>
        </w:rPr>
      </w:pPr>
      <w:r>
        <w:rPr>
          <w:rFonts w:hint="eastAsia" w:ascii="宋体" w:hAnsi="宋体" w:cs="宋体"/>
          <w:sz w:val="24"/>
        </w:rPr>
        <w:t>虚假竞标，或者出现其他情形而导致被谈判小组认定无效的；</w:t>
      </w:r>
    </w:p>
    <w:p>
      <w:pPr>
        <w:numPr>
          <w:ilvl w:val="0"/>
          <w:numId w:val="24"/>
        </w:numPr>
        <w:spacing w:line="360" w:lineRule="auto"/>
        <w:rPr>
          <w:rFonts w:ascii="宋体" w:hAnsi="宋体" w:cs="宋体"/>
          <w:sz w:val="24"/>
        </w:rPr>
      </w:pPr>
      <w:r>
        <w:rPr>
          <w:rFonts w:hint="eastAsia" w:ascii="宋体" w:hAnsi="宋体" w:cs="宋体"/>
          <w:sz w:val="24"/>
        </w:rPr>
        <w:t>竞标技术方案不明确，谈判文件未允许但存在一个或者一个以上备选（替代）竞标方案的；</w:t>
      </w:r>
    </w:p>
    <w:p>
      <w:pPr>
        <w:numPr>
          <w:ilvl w:val="0"/>
          <w:numId w:val="24"/>
        </w:numPr>
        <w:spacing w:line="360" w:lineRule="auto"/>
        <w:rPr>
          <w:rFonts w:ascii="宋体" w:hAnsi="宋体" w:cs="宋体"/>
          <w:sz w:val="24"/>
        </w:rPr>
      </w:pPr>
      <w:r>
        <w:rPr>
          <w:rFonts w:hint="eastAsia" w:ascii="宋体" w:hAnsi="宋体" w:cs="宋体"/>
          <w:sz w:val="24"/>
        </w:rPr>
        <w:t xml:space="preserve">未响应谈判文件实质性要求的； </w:t>
      </w:r>
    </w:p>
    <w:p>
      <w:pPr>
        <w:numPr>
          <w:ilvl w:val="0"/>
          <w:numId w:val="24"/>
        </w:numPr>
        <w:spacing w:line="360" w:lineRule="auto"/>
        <w:rPr>
          <w:rFonts w:ascii="宋体" w:hAnsi="宋体" w:cs="宋体"/>
          <w:sz w:val="24"/>
        </w:rPr>
      </w:pPr>
      <w:r>
        <w:rPr>
          <w:rFonts w:hint="eastAsia" w:ascii="宋体" w:hAnsi="宋体" w:cs="宋体"/>
          <w:sz w:val="24"/>
        </w:rPr>
        <w:t>法律、法规和谈判文件规定的其他无效情形。</w:t>
      </w:r>
    </w:p>
    <w:p>
      <w:pPr>
        <w:spacing w:line="360" w:lineRule="auto"/>
        <w:rPr>
          <w:rFonts w:ascii="宋体" w:hAnsi="宋体" w:cs="宋体"/>
          <w:b/>
          <w:bCs/>
          <w:sz w:val="24"/>
        </w:rPr>
      </w:pPr>
      <w:r>
        <w:rPr>
          <w:rFonts w:hint="eastAsia" w:ascii="宋体" w:hAnsi="宋体" w:cs="宋体"/>
          <w:b/>
          <w:bCs/>
          <w:sz w:val="24"/>
        </w:rPr>
        <w:t>（2）报价评审</w:t>
      </w:r>
    </w:p>
    <w:p>
      <w:pPr>
        <w:numPr>
          <w:ilvl w:val="0"/>
          <w:numId w:val="25"/>
        </w:numPr>
        <w:spacing w:line="360" w:lineRule="auto"/>
        <w:rPr>
          <w:rFonts w:ascii="宋体" w:hAnsi="宋体" w:cs="宋体"/>
          <w:sz w:val="24"/>
        </w:rPr>
      </w:pPr>
      <w:r>
        <w:rPr>
          <w:rFonts w:hint="eastAsia" w:ascii="宋体" w:hAnsi="宋体" w:cs="宋体"/>
          <w:sz w:val="24"/>
        </w:rPr>
        <w:t>响应文件未提供“供应商须知前附表” 报价商务技术文件中规定的“竞标报价表”的；</w:t>
      </w:r>
    </w:p>
    <w:p>
      <w:pPr>
        <w:numPr>
          <w:ilvl w:val="0"/>
          <w:numId w:val="25"/>
        </w:numPr>
        <w:spacing w:line="360" w:lineRule="auto"/>
        <w:rPr>
          <w:rFonts w:ascii="宋体" w:hAnsi="宋体" w:cs="宋体"/>
          <w:sz w:val="24"/>
        </w:rPr>
      </w:pPr>
      <w:r>
        <w:rPr>
          <w:rFonts w:hint="eastAsia" w:ascii="宋体" w:hAnsi="宋体" w:cs="宋体"/>
          <w:sz w:val="24"/>
        </w:rPr>
        <w:t>未采用人民币报价或者未按照谈判文件标明的币种报价的；</w:t>
      </w:r>
    </w:p>
    <w:p>
      <w:pPr>
        <w:numPr>
          <w:ilvl w:val="0"/>
          <w:numId w:val="25"/>
        </w:numPr>
        <w:spacing w:line="360" w:lineRule="auto"/>
        <w:rPr>
          <w:rFonts w:ascii="宋体" w:hAnsi="宋体" w:cs="宋体"/>
          <w:sz w:val="24"/>
        </w:rPr>
      </w:pPr>
      <w:r>
        <w:rPr>
          <w:rFonts w:hint="eastAsia" w:ascii="宋体" w:hAnsi="宋体" w:cs="宋体"/>
          <w:sz w:val="24"/>
        </w:rPr>
        <w:t>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numPr>
          <w:ilvl w:val="0"/>
          <w:numId w:val="25"/>
        </w:numPr>
        <w:spacing w:line="360" w:lineRule="auto"/>
        <w:rPr>
          <w:rFonts w:ascii="宋体" w:hAnsi="宋体" w:cs="宋体"/>
          <w:sz w:val="24"/>
        </w:rPr>
      </w:pPr>
      <w:r>
        <w:rPr>
          <w:rFonts w:hint="eastAsia" w:ascii="宋体" w:hAnsi="宋体" w:cs="宋体"/>
          <w:sz w:val="24"/>
        </w:rPr>
        <w:t>竞标报价（包含首次报价、最后报价）超过所竞标分标规定的采购预算金额或者最高限价的（如本项目公布了最高限价）；</w:t>
      </w:r>
      <w:bookmarkStart w:id="73" w:name="_Hlk42596405"/>
      <w:r>
        <w:rPr>
          <w:rFonts w:hint="eastAsia" w:ascii="宋体" w:hAnsi="宋体" w:cs="宋体"/>
          <w:sz w:val="24"/>
        </w:rPr>
        <w:t>竞标报价（包含首次报价、最后报价）</w:t>
      </w:r>
      <w:bookmarkEnd w:id="73"/>
      <w:bookmarkStart w:id="74" w:name="_Hlk42596276"/>
      <w:r>
        <w:rPr>
          <w:rFonts w:hint="eastAsia" w:ascii="宋体" w:hAnsi="宋体" w:cs="宋体"/>
          <w:sz w:val="24"/>
        </w:rPr>
        <w:t>超过谈判文件分项采购预算金额或者最高限价的</w:t>
      </w:r>
      <w:bookmarkEnd w:id="74"/>
      <w:r>
        <w:rPr>
          <w:rFonts w:hint="eastAsia" w:ascii="宋体" w:hAnsi="宋体" w:cs="宋体"/>
          <w:sz w:val="24"/>
        </w:rPr>
        <w:t>（如本项目公布了最高限价）；</w:t>
      </w:r>
    </w:p>
    <w:p>
      <w:pPr>
        <w:numPr>
          <w:ilvl w:val="0"/>
          <w:numId w:val="25"/>
        </w:numPr>
        <w:spacing w:line="360" w:lineRule="auto"/>
        <w:rPr>
          <w:rFonts w:ascii="宋体" w:hAnsi="宋体" w:cs="宋体"/>
          <w:sz w:val="24"/>
        </w:rPr>
      </w:pPr>
      <w:r>
        <w:rPr>
          <w:rFonts w:hint="eastAsia" w:ascii="宋体" w:hAnsi="宋体" w:cs="宋体"/>
          <w:sz w:val="24"/>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pPr>
        <w:numPr>
          <w:ilvl w:val="0"/>
          <w:numId w:val="23"/>
        </w:numPr>
        <w:spacing w:line="360" w:lineRule="auto"/>
        <w:rPr>
          <w:rFonts w:ascii="宋体" w:hAnsi="宋体" w:cs="宋体"/>
          <w:sz w:val="24"/>
        </w:rPr>
      </w:pPr>
      <w:r>
        <w:rPr>
          <w:rFonts w:hint="eastAsia" w:ascii="宋体" w:hAnsi="宋体" w:cs="宋体"/>
          <w:sz w:val="24"/>
        </w:rPr>
        <w:t>谈判小组对响应文件进行评审，未实质性响应谈判文件的响应文件按无效处理，谈判小组应当告知有关供应商。谈判小组从符合谈判文件规定的相应资格条件的供应商名单中确定不少于3家的供应商参加谈判。</w:t>
      </w:r>
    </w:p>
    <w:p>
      <w:pPr>
        <w:numPr>
          <w:ilvl w:val="0"/>
          <w:numId w:val="23"/>
        </w:numPr>
        <w:spacing w:line="360" w:lineRule="auto"/>
        <w:rPr>
          <w:rFonts w:ascii="宋体" w:hAnsi="宋体" w:cs="宋体"/>
          <w:sz w:val="24"/>
        </w:rPr>
      </w:pPr>
      <w:r>
        <w:rPr>
          <w:rFonts w:hint="eastAsia" w:ascii="宋体" w:hAnsi="宋体" w:cs="宋体"/>
          <w:sz w:val="24"/>
        </w:rPr>
        <w:t>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numPr>
          <w:ilvl w:val="0"/>
          <w:numId w:val="23"/>
        </w:numPr>
        <w:spacing w:line="360" w:lineRule="auto"/>
        <w:rPr>
          <w:rFonts w:ascii="宋体" w:hAnsi="宋体" w:cs="宋体"/>
          <w:sz w:val="24"/>
        </w:rPr>
      </w:pPr>
      <w:r>
        <w:rPr>
          <w:rFonts w:hint="eastAsia" w:ascii="宋体" w:hAnsi="宋体" w:cs="宋体"/>
          <w:sz w:val="24"/>
        </w:rPr>
        <w:t>通过符合性审查的合格供应商不足3家的，不得进入谈判环节，应当重新开展采购活动。</w:t>
      </w:r>
    </w:p>
    <w:p>
      <w:pPr>
        <w:pStyle w:val="4"/>
        <w:spacing w:before="0" w:after="0" w:line="360" w:lineRule="auto"/>
        <w:rPr>
          <w:rFonts w:ascii="宋体" w:hAnsi="宋体" w:cs="宋体"/>
          <w:sz w:val="24"/>
        </w:rPr>
      </w:pPr>
      <w:r>
        <w:rPr>
          <w:rFonts w:hint="eastAsia" w:ascii="宋体" w:hAnsi="宋体" w:cs="宋体"/>
          <w:sz w:val="24"/>
        </w:rPr>
        <w:t>4.谈判</w:t>
      </w:r>
    </w:p>
    <w:p>
      <w:pPr>
        <w:pStyle w:val="4"/>
        <w:numPr>
          <w:ilvl w:val="0"/>
          <w:numId w:val="21"/>
        </w:numPr>
        <w:spacing w:before="0" w:after="0" w:line="360" w:lineRule="auto"/>
        <w:ind w:left="0" w:firstLine="0"/>
        <w:rPr>
          <w:rFonts w:ascii="宋体" w:hAnsi="宋体" w:cs="宋体"/>
          <w:sz w:val="24"/>
        </w:rPr>
      </w:pPr>
      <w:r>
        <w:rPr>
          <w:rFonts w:hint="eastAsia" w:ascii="宋体" w:hAnsi="宋体" w:cs="宋体"/>
          <w:sz w:val="24"/>
        </w:rPr>
        <w:t>谈判的程序</w:t>
      </w:r>
    </w:p>
    <w:p>
      <w:pPr>
        <w:numPr>
          <w:ilvl w:val="0"/>
          <w:numId w:val="26"/>
        </w:numPr>
        <w:spacing w:line="360" w:lineRule="auto"/>
        <w:rPr>
          <w:rFonts w:ascii="宋体" w:hAnsi="宋体" w:cs="宋体"/>
          <w:kern w:val="0"/>
          <w:sz w:val="24"/>
        </w:rPr>
      </w:pPr>
      <w:r>
        <w:rPr>
          <w:rFonts w:hint="eastAsia" w:ascii="宋体" w:hAnsi="宋体" w:cs="宋体"/>
          <w:kern w:val="0"/>
          <w:sz w:val="24"/>
        </w:rPr>
        <w:t>谈判小组按照“供应商须知前附表”第26条确定的</w:t>
      </w:r>
      <w:r>
        <w:rPr>
          <w:rFonts w:hint="eastAsia" w:ascii="宋体" w:hAnsi="宋体" w:cs="宋体"/>
          <w:sz w:val="24"/>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pPr>
        <w:numPr>
          <w:ilvl w:val="0"/>
          <w:numId w:val="26"/>
        </w:numPr>
        <w:spacing w:line="360" w:lineRule="auto"/>
        <w:rPr>
          <w:rFonts w:ascii="宋体" w:hAnsi="宋体" w:cs="宋体"/>
          <w:sz w:val="24"/>
        </w:rPr>
      </w:pPr>
      <w:r>
        <w:rPr>
          <w:rFonts w:hint="eastAsia" w:ascii="宋体" w:hAnsi="宋体" w:cs="宋体"/>
          <w:sz w:val="24"/>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pPr>
        <w:numPr>
          <w:ilvl w:val="0"/>
          <w:numId w:val="26"/>
        </w:numPr>
        <w:spacing w:line="360" w:lineRule="auto"/>
        <w:rPr>
          <w:rFonts w:ascii="宋体" w:hAnsi="宋体" w:cs="宋体"/>
          <w:sz w:val="24"/>
        </w:rPr>
      </w:pPr>
      <w:r>
        <w:rPr>
          <w:rFonts w:hint="eastAsia" w:ascii="宋体" w:hAnsi="宋体" w:cs="宋体"/>
          <w:sz w:val="24"/>
        </w:rPr>
        <w:t>对谈判文件作出的实质性变动是谈判文件的有效组成部分，谈判小组应当及时以书面形式同时通知所有参加谈判的供应商。</w:t>
      </w:r>
    </w:p>
    <w:p>
      <w:pPr>
        <w:numPr>
          <w:ilvl w:val="0"/>
          <w:numId w:val="26"/>
        </w:numPr>
        <w:spacing w:line="360" w:lineRule="auto"/>
        <w:rPr>
          <w:rFonts w:ascii="宋体" w:hAnsi="宋体" w:cs="宋体"/>
          <w:sz w:val="24"/>
        </w:rPr>
      </w:pPr>
      <w:r>
        <w:rPr>
          <w:rFonts w:hint="eastAsia" w:ascii="宋体" w:hAnsi="宋体" w:cs="宋体"/>
          <w:sz w:val="24"/>
        </w:rPr>
        <w:t>供应商必须按照谈判文件的变动情况和谈判小组的要求重新提交响应文件，并由其法定代表人或者委托代理人签字或者加盖公章。由委托代理人签字的，</w:t>
      </w:r>
      <w:r>
        <w:rPr>
          <w:rFonts w:hint="eastAsia" w:ascii="宋体" w:hAnsi="宋体" w:cs="宋体"/>
          <w:bCs/>
          <w:sz w:val="24"/>
        </w:rPr>
        <w:t>若委托代理人不是响应文件中授权的委托代理人时，必须同时出示有效的法定代表人授权委托书原件</w:t>
      </w:r>
      <w:r>
        <w:rPr>
          <w:rFonts w:hint="eastAsia" w:ascii="宋体" w:hAnsi="宋体" w:cs="宋体"/>
          <w:sz w:val="24"/>
        </w:rPr>
        <w:t>。供应商为自然人的，必须由本人签字并附身份证明。参加谈判的供应商未在规定时间内重新提交响应文件的，视同退出谈判，其响应文件作无效处理。</w:t>
      </w:r>
    </w:p>
    <w:p>
      <w:pPr>
        <w:numPr>
          <w:ilvl w:val="0"/>
          <w:numId w:val="26"/>
        </w:numPr>
        <w:spacing w:line="360" w:lineRule="auto"/>
        <w:rPr>
          <w:rFonts w:ascii="宋体" w:hAnsi="宋体" w:cs="宋体"/>
          <w:sz w:val="24"/>
        </w:rPr>
      </w:pPr>
      <w:r>
        <w:rPr>
          <w:rFonts w:hint="eastAsia" w:ascii="宋体" w:hAnsi="宋体" w:cs="宋体"/>
          <w:sz w:val="24"/>
        </w:rPr>
        <w:t>谈判中，谈判的任何一方不得透露与谈判有关的其他供应商的技术资料、价格和其他信息。</w:t>
      </w:r>
    </w:p>
    <w:p>
      <w:pPr>
        <w:numPr>
          <w:ilvl w:val="0"/>
          <w:numId w:val="26"/>
        </w:numPr>
        <w:spacing w:line="360" w:lineRule="auto"/>
        <w:rPr>
          <w:rFonts w:ascii="宋体" w:hAnsi="宋体" w:cs="宋体"/>
          <w:sz w:val="24"/>
        </w:rPr>
      </w:pPr>
      <w:r>
        <w:rPr>
          <w:rFonts w:hint="eastAsia" w:ascii="宋体" w:hAnsi="宋体" w:cs="宋体"/>
          <w:sz w:val="24"/>
        </w:rPr>
        <w:t>采购代理机构对谈判过程和重要谈判内容进行记录，谈判双方在记录上签字确认。</w:t>
      </w:r>
    </w:p>
    <w:p>
      <w:pPr>
        <w:numPr>
          <w:ilvl w:val="0"/>
          <w:numId w:val="26"/>
        </w:numPr>
        <w:spacing w:line="360" w:lineRule="auto"/>
        <w:rPr>
          <w:rFonts w:ascii="宋体" w:hAnsi="宋体" w:cs="宋体"/>
          <w:sz w:val="24"/>
        </w:rPr>
      </w:pPr>
      <w:r>
        <w:rPr>
          <w:rFonts w:hint="eastAsia" w:ascii="宋体" w:hAnsi="宋体" w:cs="宋体"/>
          <w:sz w:val="24"/>
        </w:rPr>
        <w:t>谈判过程中重新提交的响应文件，供应商可以在开启前补充、修改。</w:t>
      </w:r>
    </w:p>
    <w:p>
      <w:pPr>
        <w:numPr>
          <w:ilvl w:val="0"/>
          <w:numId w:val="26"/>
        </w:numPr>
        <w:spacing w:line="360" w:lineRule="auto"/>
        <w:rPr>
          <w:rFonts w:ascii="宋体" w:hAnsi="宋体" w:cs="宋体"/>
          <w:sz w:val="24"/>
        </w:rPr>
      </w:pPr>
      <w:r>
        <w:rPr>
          <w:rFonts w:hint="eastAsia" w:ascii="宋体" w:hAnsi="宋体" w:cs="宋体"/>
          <w:sz w:val="24"/>
        </w:rPr>
        <w:t>最后谈判结束后，谈判小组不得再与供应商进行任何形式的商谈。</w:t>
      </w:r>
    </w:p>
    <w:p>
      <w:pPr>
        <w:pStyle w:val="4"/>
        <w:numPr>
          <w:ilvl w:val="0"/>
          <w:numId w:val="21"/>
        </w:numPr>
        <w:spacing w:before="0" w:after="0" w:line="360" w:lineRule="auto"/>
        <w:ind w:left="0" w:firstLine="0"/>
        <w:rPr>
          <w:rFonts w:ascii="宋体" w:hAnsi="宋体" w:cs="宋体"/>
          <w:sz w:val="24"/>
        </w:rPr>
      </w:pPr>
      <w:r>
        <w:rPr>
          <w:rFonts w:hint="eastAsia" w:ascii="宋体" w:hAnsi="宋体" w:cs="宋体"/>
          <w:sz w:val="24"/>
        </w:rPr>
        <w:t>最后报价</w:t>
      </w:r>
    </w:p>
    <w:p>
      <w:pPr>
        <w:numPr>
          <w:ilvl w:val="0"/>
          <w:numId w:val="27"/>
        </w:numPr>
        <w:spacing w:line="360" w:lineRule="auto"/>
        <w:rPr>
          <w:rFonts w:ascii="宋体" w:hAnsi="宋体" w:cs="宋体"/>
          <w:sz w:val="24"/>
        </w:rPr>
      </w:pPr>
      <w:r>
        <w:rPr>
          <w:rFonts w:hint="eastAsia" w:ascii="宋体" w:hAnsi="宋体" w:cs="宋体"/>
          <w:sz w:val="24"/>
        </w:rPr>
        <w:t>谈判文件能够详细列明采购标的的技术、服务要求的，谈判结束后，谈判小组应当要求所有继续参加谈判的供应商在规定时间内密封提交最后报价，提交最后报价的供应商不得少于3家，除本章第3.6条外，否则必须重新采购。</w:t>
      </w:r>
    </w:p>
    <w:p>
      <w:pPr>
        <w:numPr>
          <w:ilvl w:val="0"/>
          <w:numId w:val="27"/>
        </w:numPr>
        <w:spacing w:line="360" w:lineRule="auto"/>
        <w:rPr>
          <w:rFonts w:ascii="宋体" w:hAnsi="宋体" w:cs="宋体"/>
          <w:sz w:val="24"/>
        </w:rPr>
      </w:pPr>
      <w:r>
        <w:rPr>
          <w:rFonts w:hint="eastAsia" w:ascii="宋体" w:hAnsi="宋体" w:cs="宋体"/>
          <w:sz w:val="24"/>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pPr>
        <w:numPr>
          <w:ilvl w:val="0"/>
          <w:numId w:val="27"/>
        </w:numPr>
        <w:spacing w:line="360" w:lineRule="auto"/>
        <w:rPr>
          <w:rFonts w:ascii="宋体" w:hAnsi="宋体" w:cs="宋体"/>
          <w:sz w:val="24"/>
        </w:rPr>
      </w:pPr>
      <w:r>
        <w:rPr>
          <w:rFonts w:hint="eastAsia" w:ascii="宋体" w:hAnsi="宋体" w:cs="宋体"/>
          <w:sz w:val="24"/>
        </w:rPr>
        <w:t>最后报价是供应商响应文件的有效组成部分。</w:t>
      </w:r>
    </w:p>
    <w:p>
      <w:pPr>
        <w:numPr>
          <w:ilvl w:val="0"/>
          <w:numId w:val="27"/>
        </w:numPr>
        <w:spacing w:line="360" w:lineRule="auto"/>
        <w:rPr>
          <w:rFonts w:ascii="宋体" w:hAnsi="宋体" w:cs="宋体"/>
          <w:sz w:val="24"/>
        </w:rPr>
      </w:pPr>
      <w:r>
        <w:rPr>
          <w:rFonts w:hint="eastAsia" w:ascii="宋体" w:hAnsi="宋体" w:cs="宋体"/>
          <w:sz w:val="24"/>
        </w:rPr>
        <w:t>已经提交响应文件的供应商，在提交最后报价之前，可以根据谈判情况退出谈判。采购人、采购代理机构将退还退出谈判的供应商的保证金。</w:t>
      </w:r>
    </w:p>
    <w:p>
      <w:pPr>
        <w:numPr>
          <w:ilvl w:val="0"/>
          <w:numId w:val="27"/>
        </w:numPr>
        <w:spacing w:line="360" w:lineRule="auto"/>
        <w:rPr>
          <w:rFonts w:ascii="宋体" w:hAnsi="宋体" w:cs="宋体"/>
          <w:b/>
          <w:bCs/>
          <w:sz w:val="24"/>
        </w:rPr>
      </w:pPr>
      <w:r>
        <w:rPr>
          <w:rFonts w:hint="eastAsia" w:ascii="宋体" w:hAnsi="宋体" w:cs="宋体"/>
          <w:b/>
          <w:bCs/>
          <w:sz w:val="24"/>
        </w:rPr>
        <w:t>供应商未在规定时间内提交最后报价的，视为退出谈判，其响应文件作无效处理。</w:t>
      </w:r>
    </w:p>
    <w:p>
      <w:pPr>
        <w:numPr>
          <w:ilvl w:val="0"/>
          <w:numId w:val="27"/>
        </w:numPr>
        <w:spacing w:line="360" w:lineRule="auto"/>
        <w:rPr>
          <w:rFonts w:ascii="宋体" w:hAnsi="宋体" w:cs="宋体"/>
          <w:sz w:val="24"/>
        </w:rPr>
      </w:pPr>
      <w:r>
        <w:rPr>
          <w:rFonts w:hint="eastAsia" w:ascii="宋体" w:hAnsi="宋体" w:cs="宋体"/>
          <w:sz w:val="24"/>
        </w:rPr>
        <w:t>谈判小组收齐某一分标最后报价后统一开启，谈判小组对最后报价进行有效性、完整性和响应程度的审查。</w:t>
      </w:r>
    </w:p>
    <w:p>
      <w:pPr>
        <w:numPr>
          <w:ilvl w:val="0"/>
          <w:numId w:val="27"/>
        </w:numPr>
        <w:spacing w:line="360" w:lineRule="auto"/>
        <w:rPr>
          <w:rFonts w:ascii="宋体" w:hAnsi="宋体" w:cs="宋体"/>
          <w:sz w:val="24"/>
        </w:rPr>
      </w:pPr>
      <w:r>
        <w:rPr>
          <w:rFonts w:hint="eastAsia" w:ascii="宋体" w:hAnsi="宋体" w:cs="宋体"/>
          <w:sz w:val="24"/>
        </w:rPr>
        <w:t xml:space="preserve">响应文件首次及最后报价出现前后不一致的，按照本章第3.4条的规定修正。 </w:t>
      </w:r>
    </w:p>
    <w:p>
      <w:pPr>
        <w:numPr>
          <w:ilvl w:val="0"/>
          <w:numId w:val="27"/>
        </w:numPr>
        <w:spacing w:line="360" w:lineRule="auto"/>
        <w:rPr>
          <w:rFonts w:ascii="宋体" w:hAnsi="宋体" w:cs="宋体"/>
          <w:sz w:val="24"/>
        </w:rPr>
      </w:pPr>
      <w:r>
        <w:rPr>
          <w:rFonts w:hint="eastAsia" w:ascii="宋体" w:hAnsi="宋体" w:cs="宋体"/>
          <w:sz w:val="24"/>
        </w:rPr>
        <w:t>修正后的报价出现下列情形的，按无效响应处理：</w:t>
      </w:r>
    </w:p>
    <w:p>
      <w:pPr>
        <w:spacing w:line="360" w:lineRule="auto"/>
        <w:rPr>
          <w:rFonts w:ascii="宋体" w:hAnsi="宋体" w:cs="宋体"/>
          <w:sz w:val="24"/>
        </w:rPr>
      </w:pPr>
      <w:r>
        <w:rPr>
          <w:rFonts w:hint="eastAsia" w:ascii="宋体" w:hAnsi="宋体" w:cs="宋体"/>
          <w:sz w:val="24"/>
        </w:rPr>
        <w:t>（1）供应商不确认的；</w:t>
      </w:r>
    </w:p>
    <w:p>
      <w:pPr>
        <w:spacing w:line="360" w:lineRule="auto"/>
        <w:rPr>
          <w:rFonts w:ascii="宋体" w:hAnsi="宋体" w:cs="宋体"/>
          <w:sz w:val="24"/>
        </w:rPr>
      </w:pPr>
      <w:r>
        <w:rPr>
          <w:rFonts w:hint="eastAsia" w:ascii="宋体" w:hAnsi="宋体" w:cs="宋体"/>
          <w:sz w:val="24"/>
        </w:rPr>
        <w:t>（2）经供应商确认修正后的竞标报价（包含首次报价、最后报价）超过所竞标分标规定的采购预算金额或者最高限价的（如本项目公布了最高限价）；</w:t>
      </w:r>
    </w:p>
    <w:p>
      <w:pPr>
        <w:spacing w:line="360" w:lineRule="auto"/>
        <w:rPr>
          <w:rFonts w:ascii="宋体" w:hAnsi="宋体" w:cs="宋体"/>
          <w:sz w:val="24"/>
        </w:rPr>
      </w:pPr>
      <w:r>
        <w:rPr>
          <w:rFonts w:hint="eastAsia" w:ascii="宋体" w:hAnsi="宋体" w:cs="宋体"/>
          <w:sz w:val="24"/>
        </w:rPr>
        <w:t>（3）经供应商确认修正后的竞标报价（包含首次报价、最后报价）超过分项采购预算金额或者最高限价的（如本项目公布了最高限价）。</w:t>
      </w:r>
    </w:p>
    <w:p>
      <w:pPr>
        <w:numPr>
          <w:ilvl w:val="0"/>
          <w:numId w:val="27"/>
        </w:numPr>
        <w:spacing w:line="360" w:lineRule="auto"/>
        <w:rPr>
          <w:rFonts w:ascii="宋体" w:hAnsi="宋体" w:cs="宋体"/>
          <w:sz w:val="24"/>
        </w:rPr>
      </w:pPr>
      <w:r>
        <w:rPr>
          <w:rFonts w:hint="eastAsia" w:ascii="宋体" w:hAnsi="宋体" w:cs="宋体"/>
          <w:sz w:val="24"/>
        </w:rPr>
        <w:t>经供应商确认修正后的最后报价作为评审及签订合同的依据。</w:t>
      </w:r>
    </w:p>
    <w:p>
      <w:pPr>
        <w:numPr>
          <w:ilvl w:val="0"/>
          <w:numId w:val="27"/>
        </w:numPr>
        <w:spacing w:line="360" w:lineRule="auto"/>
        <w:rPr>
          <w:rFonts w:ascii="宋体" w:hAnsi="宋体" w:cs="宋体"/>
          <w:sz w:val="24"/>
        </w:rPr>
      </w:pPr>
      <w:r>
        <w:rPr>
          <w:rFonts w:hint="eastAsia" w:ascii="宋体" w:hAnsi="宋体" w:cs="宋体"/>
          <w:sz w:val="24"/>
        </w:rPr>
        <w:t>最后报价结束后，谈判小组不得再与供应商进行任何形式的商谈。</w:t>
      </w:r>
    </w:p>
    <w:p>
      <w:pPr>
        <w:pStyle w:val="4"/>
        <w:numPr>
          <w:ilvl w:val="0"/>
          <w:numId w:val="21"/>
        </w:numPr>
        <w:spacing w:before="0" w:after="0" w:line="360" w:lineRule="auto"/>
        <w:ind w:left="0" w:firstLine="0"/>
        <w:rPr>
          <w:rFonts w:ascii="宋体" w:hAnsi="宋体" w:cs="宋体"/>
          <w:sz w:val="24"/>
        </w:rPr>
      </w:pPr>
      <w:r>
        <w:rPr>
          <w:rFonts w:hint="eastAsia" w:ascii="宋体" w:hAnsi="宋体" w:cs="宋体"/>
          <w:sz w:val="24"/>
        </w:rPr>
        <w:t>最后报价政府采购政策性扣除</w:t>
      </w:r>
    </w:p>
    <w:p>
      <w:pPr>
        <w:numPr>
          <w:ilvl w:val="0"/>
          <w:numId w:val="28"/>
        </w:numPr>
        <w:spacing w:line="360" w:lineRule="auto"/>
        <w:ind w:firstLine="0"/>
        <w:rPr>
          <w:rFonts w:ascii="宋体" w:hAnsi="宋体" w:cs="宋体"/>
          <w:sz w:val="24"/>
        </w:rPr>
      </w:pPr>
      <w:r>
        <w:rPr>
          <w:rFonts w:hint="eastAsia" w:ascii="宋体" w:hAnsi="宋体" w:cs="宋体"/>
          <w:sz w:val="24"/>
        </w:rPr>
        <w:t>评审价为供应商的最后报价进行政策性扣除后的价格，评审价只是作为评审时使用。最终成交供应商的成交金额等于最后报价（如有修正，以确认修正后的最后报价为准）。</w:t>
      </w:r>
    </w:p>
    <w:p>
      <w:pPr>
        <w:numPr>
          <w:ilvl w:val="0"/>
          <w:numId w:val="28"/>
        </w:numPr>
        <w:spacing w:line="360" w:lineRule="auto"/>
        <w:ind w:firstLine="0"/>
        <w:rPr>
          <w:rFonts w:ascii="宋体" w:hAnsi="宋体" w:cs="宋体"/>
          <w:sz w:val="24"/>
        </w:rPr>
      </w:pPr>
      <w:r>
        <w:rPr>
          <w:rFonts w:hint="eastAsia" w:ascii="宋体" w:hAnsi="宋体" w:cs="宋体"/>
          <w:sz w:val="24"/>
        </w:rPr>
        <w:t>按照《政府采购促进中小企业发展管理办法》（财库[2020]46号）及财库〔2022〕19号 《关于进一步加大政府采购支持中小企业力度的通知》的规定，供应商为小型和微型企业，并在其响应文件中提供《中小企业声明函》，且其所竞标产品全部为小型和微型企业产品的，对其最后报价给予20%的扣除。</w:t>
      </w:r>
    </w:p>
    <w:p>
      <w:pPr>
        <w:numPr>
          <w:ilvl w:val="0"/>
          <w:numId w:val="28"/>
        </w:numPr>
        <w:spacing w:line="360" w:lineRule="auto"/>
        <w:ind w:firstLine="0"/>
        <w:rPr>
          <w:rFonts w:ascii="宋体" w:hAnsi="宋体" w:cs="宋体"/>
          <w:sz w:val="24"/>
        </w:rPr>
      </w:pPr>
      <w:r>
        <w:rPr>
          <w:rFonts w:hint="eastAsia" w:ascii="宋体" w:hAnsi="宋体" w:cs="宋体"/>
          <w:sz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numPr>
          <w:ilvl w:val="0"/>
          <w:numId w:val="28"/>
        </w:numPr>
        <w:spacing w:line="360" w:lineRule="auto"/>
        <w:ind w:firstLine="0"/>
        <w:rPr>
          <w:rFonts w:ascii="宋体" w:hAnsi="宋体" w:cs="宋体"/>
          <w:sz w:val="24"/>
        </w:rPr>
      </w:pPr>
      <w:r>
        <w:rPr>
          <w:rFonts w:hint="eastAsia" w:ascii="宋体" w:hAnsi="宋体" w:cs="宋体"/>
          <w:sz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numPr>
          <w:ilvl w:val="0"/>
          <w:numId w:val="28"/>
        </w:numPr>
        <w:spacing w:line="360" w:lineRule="auto"/>
        <w:ind w:firstLine="0"/>
        <w:rPr>
          <w:rFonts w:ascii="宋体" w:hAnsi="宋体" w:cs="宋体"/>
          <w:sz w:val="24"/>
        </w:rPr>
      </w:pPr>
      <w:r>
        <w:rPr>
          <w:rFonts w:hint="eastAsia" w:ascii="宋体" w:hAnsi="宋体" w:cs="宋体"/>
          <w:sz w:val="24"/>
        </w:rPr>
        <w:t>政策性扣除计算方法。</w:t>
      </w:r>
    </w:p>
    <w:p>
      <w:pPr>
        <w:spacing w:line="360" w:lineRule="auto"/>
        <w:rPr>
          <w:rFonts w:ascii="宋体" w:hAnsi="宋体" w:cs="宋体"/>
          <w:sz w:val="24"/>
        </w:rPr>
      </w:pPr>
      <w:r>
        <w:rPr>
          <w:rFonts w:hint="eastAsia" w:ascii="宋体" w:hAnsi="宋体" w:cs="宋体"/>
          <w:sz w:val="24"/>
        </w:rPr>
        <w:t>供应商被评定为监狱企业或者残疾人福利性单位或者小型和微型企业且其所竞标全部产品为小型和微型企业产品的，该供应商的最后报价给予</w:t>
      </w:r>
      <w:r>
        <w:rPr>
          <w:rFonts w:hint="eastAsia" w:ascii="宋体" w:hAnsi="宋体" w:cs="宋体"/>
          <w:b/>
          <w:bCs/>
          <w:sz w:val="24"/>
        </w:rPr>
        <w:t>20%</w:t>
      </w:r>
      <w:r>
        <w:rPr>
          <w:rFonts w:hint="eastAsia" w:ascii="宋体" w:hAnsi="宋体" w:cs="宋体"/>
          <w:sz w:val="24"/>
        </w:rPr>
        <w:t>的扣除，扣除后的价格为评审价，即评审价=最后报价×</w:t>
      </w:r>
      <w:r>
        <w:rPr>
          <w:rFonts w:hint="eastAsia" w:ascii="宋体" w:hAnsi="宋体" w:cs="宋体"/>
          <w:b/>
          <w:bCs/>
          <w:sz w:val="24"/>
        </w:rPr>
        <w:t>（1-20%）</w:t>
      </w:r>
      <w:r>
        <w:rPr>
          <w:rFonts w:hint="eastAsia" w:ascii="宋体" w:hAnsi="宋体" w:cs="宋体"/>
          <w:sz w:val="24"/>
        </w:rPr>
        <w:t>；大中型企业和其他自然人、法人或者其他组织与小型、微型企业组成联合体竞标，且联合体协议中约定小型、微型企业的协议合同金额占到联合体协议合同总金额30%以上的，联合体最后报价给予</w:t>
      </w:r>
      <w:r>
        <w:rPr>
          <w:rFonts w:hint="eastAsia" w:ascii="宋体" w:hAnsi="宋体" w:cs="宋体"/>
          <w:b/>
          <w:bCs/>
          <w:sz w:val="24"/>
          <w:u w:val="single"/>
        </w:rPr>
        <w:t xml:space="preserve"> 6 </w:t>
      </w:r>
      <w:r>
        <w:rPr>
          <w:rFonts w:hint="eastAsia" w:ascii="宋体" w:hAnsi="宋体" w:cs="宋体"/>
          <w:b/>
          <w:bCs/>
          <w:sz w:val="24"/>
        </w:rPr>
        <w:t>%</w:t>
      </w:r>
      <w:r>
        <w:rPr>
          <w:rFonts w:hint="eastAsia" w:ascii="宋体" w:hAnsi="宋体" w:cs="宋体"/>
          <w:sz w:val="24"/>
        </w:rPr>
        <w:t>的扣除，扣除后的价格为评审价，即评审价=最后报价×（1-</w:t>
      </w:r>
      <w:r>
        <w:rPr>
          <w:rFonts w:hint="eastAsia" w:ascii="宋体" w:hAnsi="宋体" w:cs="宋体"/>
          <w:sz w:val="24"/>
          <w:u w:val="single"/>
        </w:rPr>
        <w:t xml:space="preserve"> </w:t>
      </w:r>
      <w:r>
        <w:rPr>
          <w:rFonts w:hint="eastAsia" w:ascii="宋体" w:hAnsi="宋体" w:cs="宋体"/>
          <w:b/>
          <w:bCs/>
          <w:sz w:val="24"/>
          <w:u w:val="single"/>
        </w:rPr>
        <w:t xml:space="preserve">6 </w:t>
      </w:r>
      <w:r>
        <w:rPr>
          <w:rFonts w:hint="eastAsia" w:ascii="宋体" w:hAnsi="宋体" w:cs="宋体"/>
          <w:b/>
          <w:bCs/>
          <w:sz w:val="24"/>
        </w:rPr>
        <w:t>%</w:t>
      </w:r>
      <w:r>
        <w:rPr>
          <w:rFonts w:hint="eastAsia" w:ascii="宋体" w:hAnsi="宋体" w:cs="宋体"/>
          <w:sz w:val="24"/>
        </w:rPr>
        <w:t>）；除上述情况外，评审价=最后报价。</w:t>
      </w:r>
    </w:p>
    <w:p>
      <w:pPr>
        <w:numPr>
          <w:ilvl w:val="0"/>
          <w:numId w:val="28"/>
        </w:numPr>
        <w:spacing w:line="360" w:lineRule="auto"/>
        <w:ind w:firstLine="0"/>
        <w:rPr>
          <w:rFonts w:ascii="宋体" w:hAnsi="宋体" w:cs="宋体"/>
          <w:sz w:val="24"/>
        </w:rPr>
      </w:pPr>
      <w:r>
        <w:rPr>
          <w:rFonts w:hint="eastAsia" w:ascii="宋体" w:hAnsi="宋体" w:cs="宋体"/>
          <w:sz w:val="24"/>
        </w:rPr>
        <w:t>非政府强制采购的节能产品或者环境标志产品，依据品目清单和认证证书实施政府优先采购。供应商应能够提供国家确定的认证机构出具的、处于有效期之内的节能产品、环境标志产品认证证书，方可对获得证书的产品优先推荐。对供应商竞标报价中节能产品或者环境标志产品部分的报价给予</w:t>
      </w:r>
      <w:r>
        <w:rPr>
          <w:rFonts w:hint="eastAsia" w:ascii="宋体" w:hAnsi="宋体" w:cs="宋体"/>
          <w:b/>
          <w:bCs/>
          <w:sz w:val="24"/>
          <w:u w:val="single"/>
        </w:rPr>
        <w:t xml:space="preserve"> 1 </w:t>
      </w:r>
      <w:r>
        <w:rPr>
          <w:rFonts w:hint="eastAsia" w:ascii="宋体" w:hAnsi="宋体" w:cs="宋体"/>
          <w:b/>
          <w:bCs/>
          <w:sz w:val="24"/>
        </w:rPr>
        <w:t>%</w:t>
      </w:r>
      <w:r>
        <w:rPr>
          <w:rFonts w:hint="eastAsia" w:ascii="宋体" w:hAnsi="宋体" w:cs="宋体"/>
          <w:sz w:val="24"/>
        </w:rPr>
        <w:t>的价格扣除，用扣除后的价格参与评审。</w:t>
      </w:r>
    </w:p>
    <w:p>
      <w:pPr>
        <w:numPr>
          <w:ilvl w:val="0"/>
          <w:numId w:val="28"/>
        </w:numPr>
        <w:spacing w:line="360" w:lineRule="auto"/>
        <w:ind w:firstLine="0"/>
        <w:rPr>
          <w:rFonts w:ascii="宋体" w:hAnsi="宋体" w:cs="宋体"/>
          <w:sz w:val="24"/>
        </w:rPr>
      </w:pPr>
      <w:r>
        <w:rPr>
          <w:rFonts w:hint="eastAsia" w:ascii="宋体" w:hAnsi="宋体" w:cs="宋体"/>
          <w:sz w:val="24"/>
        </w:rPr>
        <w:t>除上述情况外，评审价＝最后报价。</w:t>
      </w:r>
    </w:p>
    <w:p>
      <w:pPr>
        <w:pStyle w:val="4"/>
        <w:spacing w:before="0" w:after="0" w:line="360" w:lineRule="auto"/>
        <w:rPr>
          <w:rFonts w:ascii="宋体" w:hAnsi="宋体" w:cs="宋体"/>
          <w:sz w:val="24"/>
        </w:rPr>
      </w:pPr>
      <w:r>
        <w:rPr>
          <w:rFonts w:hint="eastAsia" w:ascii="宋体" w:hAnsi="宋体" w:cs="宋体"/>
          <w:sz w:val="24"/>
        </w:rPr>
        <w:t>二、评定成交的标准</w:t>
      </w:r>
    </w:p>
    <w:p>
      <w:pPr>
        <w:pStyle w:val="4"/>
        <w:numPr>
          <w:ilvl w:val="0"/>
          <w:numId w:val="21"/>
        </w:numPr>
        <w:spacing w:before="0" w:after="0" w:line="360" w:lineRule="auto"/>
        <w:ind w:left="0" w:firstLine="0"/>
        <w:rPr>
          <w:rFonts w:ascii="宋体" w:hAnsi="宋体" w:cs="宋体"/>
          <w:sz w:val="24"/>
        </w:rPr>
      </w:pPr>
      <w:r>
        <w:rPr>
          <w:rFonts w:hint="eastAsia" w:ascii="宋体" w:hAnsi="宋体" w:cs="宋体"/>
          <w:sz w:val="24"/>
        </w:rPr>
        <w:t>成交候选人推荐原则</w:t>
      </w:r>
    </w:p>
    <w:p>
      <w:pPr>
        <w:spacing w:line="360" w:lineRule="auto"/>
        <w:rPr>
          <w:rFonts w:ascii="宋体" w:hAnsi="宋体" w:cs="宋体"/>
          <w:sz w:val="24"/>
        </w:rPr>
      </w:pPr>
      <w:r>
        <w:rPr>
          <w:rFonts w:hint="eastAsia" w:ascii="宋体" w:hAnsi="宋体" w:cs="宋体"/>
          <w:sz w:val="24"/>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w:t>
      </w:r>
    </w:p>
    <w:p>
      <w:pPr>
        <w:pStyle w:val="3"/>
        <w:spacing w:before="0" w:after="0" w:line="360" w:lineRule="auto"/>
        <w:rPr>
          <w:rStyle w:val="31"/>
          <w:rFonts w:ascii="宋体" w:hAnsi="宋体" w:cs="宋体"/>
          <w:b/>
          <w:sz w:val="24"/>
          <w:szCs w:val="24"/>
        </w:rPr>
        <w:sectPr>
          <w:pgSz w:w="11906" w:h="16838"/>
          <w:pgMar w:top="1440" w:right="1080" w:bottom="1440" w:left="1080" w:header="1020" w:footer="1020" w:gutter="0"/>
          <w:cols w:space="720" w:num="1"/>
          <w:titlePg/>
          <w:docGrid w:type="lines" w:linePitch="312" w:charSpace="0"/>
        </w:sectPr>
      </w:pPr>
      <w:bookmarkStart w:id="75" w:name="_Toc28681"/>
      <w:bookmarkStart w:id="76" w:name="_Toc35611514"/>
      <w:bookmarkStart w:id="77" w:name="_Toc23488"/>
      <w:bookmarkStart w:id="78" w:name="_Toc14815"/>
    </w:p>
    <w:p>
      <w:pPr>
        <w:pStyle w:val="3"/>
        <w:jc w:val="center"/>
        <w:rPr>
          <w:bCs w:val="0"/>
        </w:rPr>
      </w:pPr>
      <w:r>
        <w:rPr>
          <w:rStyle w:val="31"/>
          <w:b/>
          <w:bCs w:val="0"/>
        </w:rPr>
        <w:t>第五章 响应文件格式</w:t>
      </w:r>
      <w:bookmarkEnd w:id="75"/>
      <w:bookmarkEnd w:id="76"/>
      <w:bookmarkEnd w:id="77"/>
      <w:bookmarkEnd w:id="78"/>
    </w:p>
    <w:p>
      <w:pPr>
        <w:spacing w:line="240" w:lineRule="atLeast"/>
        <w:rPr>
          <w:rFonts w:ascii="宋体" w:hAnsi="宋体"/>
          <w:b/>
          <w:sz w:val="32"/>
          <w:szCs w:val="32"/>
        </w:rPr>
      </w:pPr>
    </w:p>
    <w:p>
      <w:pPr>
        <w:snapToGrid w:val="0"/>
        <w:spacing w:before="50" w:after="50"/>
        <w:rPr>
          <w:rFonts w:ascii="宋体" w:hAnsi="宋体"/>
          <w:b/>
          <w:bCs/>
          <w:sz w:val="24"/>
        </w:rPr>
      </w:pPr>
    </w:p>
    <w:p>
      <w:pPr>
        <w:snapToGrid w:val="0"/>
        <w:spacing w:before="156" w:beforeLines="50" w:after="50"/>
        <w:rPr>
          <w:rFonts w:ascii="宋体" w:hAnsi="宋体"/>
          <w:sz w:val="24"/>
          <w:szCs w:val="20"/>
        </w:rPr>
      </w:pPr>
    </w:p>
    <w:p>
      <w:pPr>
        <w:snapToGrid w:val="0"/>
        <w:spacing w:before="156" w:beforeLines="50" w:after="50"/>
        <w:jc w:val="center"/>
        <w:rPr>
          <w:rFonts w:ascii="宋体" w:hAnsi="宋体"/>
          <w:bCs/>
          <w:sz w:val="24"/>
          <w:szCs w:val="20"/>
        </w:rPr>
      </w:pPr>
    </w:p>
    <w:p>
      <w:pPr>
        <w:spacing w:line="240" w:lineRule="atLeast"/>
        <w:rPr>
          <w:rFonts w:ascii="宋体" w:hAnsi="宋体"/>
          <w:bCs/>
          <w:sz w:val="32"/>
          <w:szCs w:val="32"/>
        </w:rPr>
      </w:pPr>
      <w:r>
        <w:rPr>
          <w:rFonts w:hint="eastAsia" w:ascii="宋体" w:hAnsi="宋体"/>
          <w:b/>
          <w:bCs/>
          <w:sz w:val="32"/>
          <w:szCs w:val="32"/>
        </w:rPr>
        <w:t>（响应文件封面格式）</w:t>
      </w:r>
    </w:p>
    <w:p>
      <w:pPr>
        <w:spacing w:line="240" w:lineRule="atLeast"/>
        <w:jc w:val="center"/>
        <w:rPr>
          <w:rFonts w:ascii="宋体" w:hAnsi="宋体"/>
          <w:bCs/>
          <w:sz w:val="24"/>
        </w:rPr>
      </w:pPr>
    </w:p>
    <w:p>
      <w:pPr>
        <w:spacing w:line="240" w:lineRule="atLeast"/>
        <w:jc w:val="center"/>
        <w:rPr>
          <w:rFonts w:ascii="宋体" w:hAnsi="宋体"/>
          <w:bCs/>
          <w:sz w:val="24"/>
        </w:rPr>
      </w:pPr>
    </w:p>
    <w:p>
      <w:pPr>
        <w:spacing w:line="240" w:lineRule="atLeast"/>
        <w:jc w:val="center"/>
        <w:rPr>
          <w:rFonts w:ascii="方正小标宋简体" w:hAnsi="方正小标宋简体" w:eastAsia="方正小标宋简体" w:cs="方正小标宋简体"/>
          <w:bCs/>
          <w:sz w:val="44"/>
          <w:szCs w:val="44"/>
        </w:rPr>
      </w:pPr>
    </w:p>
    <w:p>
      <w:pPr>
        <w:spacing w:line="240" w:lineRule="atLeast"/>
        <w:jc w:val="center"/>
        <w:rPr>
          <w:rFonts w:ascii="方正小标宋简体" w:hAnsi="方正小标宋简体" w:eastAsia="方正小标宋简体" w:cs="方正小标宋简体"/>
          <w:bCs/>
          <w:sz w:val="44"/>
          <w:szCs w:val="44"/>
        </w:rPr>
      </w:pPr>
    </w:p>
    <w:p>
      <w:pPr>
        <w:spacing w:line="240" w:lineRule="atLeast"/>
        <w:jc w:val="center"/>
        <w:rPr>
          <w:rFonts w:ascii="宋体" w:hAnsi="宋体"/>
          <w:b/>
          <w:sz w:val="32"/>
          <w:szCs w:val="32"/>
        </w:rPr>
      </w:pPr>
      <w:r>
        <w:rPr>
          <w:rFonts w:hint="eastAsia" w:ascii="宋体" w:hAnsi="宋体" w:cs="宋体"/>
          <w:bCs/>
          <w:sz w:val="144"/>
          <w:szCs w:val="144"/>
        </w:rPr>
        <w:t>响应文件</w:t>
      </w:r>
      <w:r>
        <w:rPr>
          <w:rFonts w:hint="eastAsia" w:ascii="宋体" w:hAnsi="宋体"/>
          <w:b/>
          <w:sz w:val="32"/>
          <w:szCs w:val="32"/>
        </w:rPr>
        <w:t xml:space="preserve"> </w:t>
      </w:r>
      <w:r>
        <w:rPr>
          <w:rFonts w:hint="eastAsia" w:ascii="宋体" w:hAnsi="宋体"/>
          <w:szCs w:val="21"/>
        </w:rPr>
        <w:t>(封面)</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p>
    <w:p>
      <w:pPr>
        <w:tabs>
          <w:tab w:val="left" w:pos="3240"/>
        </w:tabs>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所竞分标</w:t>
      </w:r>
      <w:r>
        <w:rPr>
          <w:rFonts w:hint="eastAsia" w:ascii="仿宋_GB2312" w:hAnsi="仿宋_GB2312" w:eastAsia="仿宋_GB2312" w:cs="仿宋_GB2312"/>
          <w:bCs/>
          <w:sz w:val="32"/>
          <w:szCs w:val="32"/>
        </w:rPr>
        <w:t>（如有则填写，无分标时填写“无”或者留空）</w:t>
      </w:r>
      <w:r>
        <w:rPr>
          <w:rFonts w:hint="eastAsia"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w:t>
      </w:r>
    </w:p>
    <w:p>
      <w:pPr>
        <w:snapToGrid w:val="0"/>
        <w:spacing w:before="156" w:beforeLines="50" w:after="5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年    月    日</w:t>
      </w:r>
    </w:p>
    <w:p>
      <w:pPr>
        <w:snapToGrid w:val="0"/>
        <w:spacing w:before="156" w:beforeLines="50" w:after="50" w:line="360" w:lineRule="auto"/>
        <w:outlineLvl w:val="1"/>
        <w:rPr>
          <w:rFonts w:ascii="宋体" w:hAnsi="宋体"/>
          <w:b/>
          <w:bCs/>
          <w:sz w:val="32"/>
          <w:szCs w:val="32"/>
        </w:rPr>
      </w:pPr>
      <w:bookmarkStart w:id="79" w:name="_Toc35611516"/>
      <w:bookmarkStart w:id="80" w:name="_Toc31723070"/>
      <w:bookmarkStart w:id="81" w:name="_Toc31728084"/>
      <w:bookmarkStart w:id="82" w:name="_Toc35611438"/>
      <w:r>
        <w:rPr>
          <w:rFonts w:hint="eastAsia" w:ascii="宋体" w:hAnsi="宋体"/>
          <w:b/>
          <w:bCs/>
          <w:sz w:val="32"/>
          <w:szCs w:val="32"/>
        </w:rPr>
        <w:t>一、资格证明文件格式</w:t>
      </w:r>
      <w:bookmarkEnd w:id="79"/>
      <w:bookmarkEnd w:id="80"/>
      <w:bookmarkEnd w:id="81"/>
      <w:bookmarkEnd w:id="82"/>
    </w:p>
    <w:p>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pPr>
        <w:snapToGrid w:val="0"/>
        <w:spacing w:before="156" w:beforeLines="50" w:after="50"/>
        <w:rPr>
          <w:rFonts w:ascii="宋体" w:hAnsi="宋体"/>
          <w:sz w:val="24"/>
          <w:szCs w:val="20"/>
        </w:rPr>
      </w:pPr>
      <w:r>
        <w:rPr>
          <w:rFonts w:hint="eastAsia" w:ascii="宋体" w:hAnsi="宋体"/>
          <w:sz w:val="24"/>
        </w:rPr>
        <w:t xml:space="preserve">                                                 </w:t>
      </w: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pStyle w:val="5"/>
        <w:jc w:val="center"/>
        <w:rPr>
          <w:b w:val="0"/>
          <w:bCs w:val="0"/>
          <w:sz w:val="96"/>
          <w:szCs w:val="96"/>
        </w:rPr>
      </w:pPr>
      <w:r>
        <w:rPr>
          <w:rFonts w:hint="eastAsia"/>
          <w:b w:val="0"/>
          <w:bCs w:val="0"/>
          <w:sz w:val="96"/>
          <w:szCs w:val="96"/>
        </w:rPr>
        <w:t>资格证明文件</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所竞分标（如有则填写，无分标时填写“无”或者留空）：</w:t>
      </w:r>
    </w:p>
    <w:p>
      <w:pPr>
        <w:pStyle w:val="6"/>
        <w:snapToGrid w:val="0"/>
        <w:spacing w:before="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pPr>
        <w:pStyle w:val="6"/>
        <w:snapToGrid w:val="0"/>
        <w:spacing w:before="50" w:after="50"/>
        <w:ind w:firstLine="1280" w:firstLineChars="400"/>
        <w:rPr>
          <w:rFonts w:ascii="仿宋_GB2312" w:hAnsi="仿宋_GB2312" w:eastAsia="仿宋_GB2312" w:cs="仿宋_GB2312"/>
          <w:bCs/>
          <w:sz w:val="32"/>
          <w:szCs w:val="32"/>
        </w:rPr>
      </w:pPr>
    </w:p>
    <w:p>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sz w:val="32"/>
          <w:szCs w:val="32"/>
        </w:rPr>
        <w:t>2.</w:t>
      </w:r>
      <w:r>
        <w:rPr>
          <w:rStyle w:val="34"/>
          <w:rFonts w:hint="eastAsia"/>
        </w:rPr>
        <w:t>资格证明文件目录</w:t>
      </w:r>
    </w:p>
    <w:p>
      <w:pPr>
        <w:snapToGrid w:val="0"/>
        <w:spacing w:before="156" w:beforeLines="50" w:after="50" w:line="360" w:lineRule="auto"/>
        <w:ind w:firstLine="645"/>
        <w:rPr>
          <w:rFonts w:ascii="宋体" w:hAnsi="宋体"/>
          <w:sz w:val="24"/>
        </w:rPr>
      </w:pPr>
      <w:r>
        <w:rPr>
          <w:rFonts w:hint="eastAsia" w:ascii="宋体" w:hAnsi="宋体"/>
          <w:sz w:val="24"/>
        </w:rPr>
        <w:t>根据竞争性谈判文件规定及供应商提供的材料自行编写目录（部分格式后附）。</w:t>
      </w:r>
    </w:p>
    <w:p>
      <w:pPr>
        <w:snapToGrid w:val="0"/>
        <w:spacing w:before="156" w:beforeLines="50" w:after="50" w:line="360" w:lineRule="auto"/>
        <w:rPr>
          <w:rFonts w:ascii="宋体" w:hAnsi="宋体"/>
          <w:sz w:val="24"/>
          <w:szCs w:val="20"/>
        </w:rPr>
      </w:pPr>
      <w:r>
        <w:rPr>
          <w:rFonts w:ascii="宋体" w:hAnsi="宋体"/>
          <w:sz w:val="24"/>
          <w:szCs w:val="20"/>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20" w:lineRule="exact"/>
        <w:jc w:val="left"/>
        <w:rPr>
          <w:rFonts w:ascii="宋体" w:hAnsi="宋体"/>
          <w:szCs w:val="21"/>
        </w:rPr>
      </w:pPr>
    </w:p>
    <w:p>
      <w:pPr>
        <w:widowControl/>
        <w:spacing w:line="440" w:lineRule="exact"/>
        <w:jc w:val="center"/>
        <w:rPr>
          <w:rStyle w:val="33"/>
        </w:rPr>
      </w:pPr>
      <w:r>
        <w:rPr>
          <w:rFonts w:ascii="宋体" w:hAnsi="宋体"/>
          <w:b/>
          <w:sz w:val="32"/>
          <w:szCs w:val="32"/>
        </w:rPr>
        <w:br w:type="page"/>
      </w:r>
      <w:r>
        <w:rPr>
          <w:rStyle w:val="33"/>
          <w:rFonts w:hint="eastAsia"/>
        </w:rPr>
        <w:t>崇左</w:t>
      </w:r>
      <w:r>
        <w:rPr>
          <w:rStyle w:val="33"/>
        </w:rPr>
        <w:t>市政府采购供应商信用承诺函（格式）</w:t>
      </w:r>
    </w:p>
    <w:p>
      <w:pPr>
        <w:widowControl/>
        <w:spacing w:line="440" w:lineRule="exact"/>
        <w:jc w:val="center"/>
        <w:rPr>
          <w:rStyle w:val="33"/>
        </w:rPr>
      </w:pPr>
    </w:p>
    <w:p>
      <w:pPr>
        <w:widowControl/>
        <w:spacing w:line="480" w:lineRule="auto"/>
        <w:rPr>
          <w:rFonts w:ascii="仿宋" w:hAnsi="仿宋" w:eastAsia="仿宋" w:cs="仿宋"/>
          <w:sz w:val="28"/>
          <w:szCs w:val="28"/>
          <w:u w:val="single"/>
        </w:rPr>
      </w:pPr>
      <w:r>
        <w:rPr>
          <w:rFonts w:hint="eastAsia" w:ascii="仿宋" w:hAnsi="仿宋" w:eastAsia="仿宋" w:cs="仿宋"/>
          <w:kern w:val="0"/>
          <w:sz w:val="28"/>
          <w:szCs w:val="28"/>
          <w:lang w:bidi="ar"/>
        </w:rPr>
        <w:t>致</w:t>
      </w:r>
      <w:r>
        <w:rPr>
          <w:rFonts w:hint="eastAsia" w:ascii="仿宋" w:hAnsi="仿宋" w:eastAsia="仿宋" w:cs="仿宋"/>
          <w:kern w:val="0"/>
          <w:sz w:val="28"/>
          <w:szCs w:val="28"/>
          <w:u w:val="single"/>
          <w:lang w:bidi="ar"/>
        </w:rPr>
        <w:t>（采购代理机构名称）</w:t>
      </w:r>
      <w:r>
        <w:rPr>
          <w:rFonts w:hint="eastAsia" w:ascii="仿宋" w:hAnsi="仿宋" w:eastAsia="仿宋" w:cs="仿宋"/>
          <w:kern w:val="0"/>
          <w:sz w:val="28"/>
          <w:szCs w:val="28"/>
          <w:lang w:bidi="ar"/>
        </w:rPr>
        <w:t>:</w:t>
      </w:r>
    </w:p>
    <w:p>
      <w:pPr>
        <w:widowControl/>
        <w:spacing w:line="480" w:lineRule="auto"/>
        <w:rPr>
          <w:rFonts w:ascii="仿宋" w:hAnsi="仿宋" w:eastAsia="仿宋" w:cs="仿宋"/>
          <w:spacing w:val="-6"/>
          <w:sz w:val="28"/>
          <w:szCs w:val="28"/>
        </w:rPr>
      </w:pPr>
      <w:r>
        <w:rPr>
          <w:rFonts w:hint="eastAsia" w:ascii="仿宋" w:hAnsi="仿宋" w:eastAsia="仿宋" w:cs="仿宋"/>
          <w:kern w:val="0"/>
          <w:sz w:val="28"/>
          <w:szCs w:val="28"/>
          <w:lang w:bidi="ar"/>
        </w:rPr>
        <w:t>我方自愿参加</w:t>
      </w:r>
      <w:r>
        <w:rPr>
          <w:rFonts w:hint="eastAsia" w:ascii="仿宋" w:hAnsi="仿宋" w:eastAsia="仿宋" w:cs="仿宋"/>
          <w:kern w:val="0"/>
          <w:sz w:val="28"/>
          <w:szCs w:val="28"/>
          <w:u w:val="single"/>
          <w:lang w:bidi="ar"/>
        </w:rPr>
        <w:t xml:space="preserve"> （项目名称） </w:t>
      </w:r>
      <w:r>
        <w:rPr>
          <w:rFonts w:hint="eastAsia" w:ascii="仿宋" w:hAnsi="仿宋" w:eastAsia="仿宋" w:cs="仿宋"/>
          <w:kern w:val="0"/>
          <w:sz w:val="28"/>
          <w:szCs w:val="28"/>
          <w:lang w:bidi="ar"/>
        </w:rPr>
        <w:t>项目</w:t>
      </w:r>
      <w:r>
        <w:rPr>
          <w:rFonts w:hint="eastAsia" w:ascii="仿宋" w:hAnsi="仿宋" w:eastAsia="仿宋" w:cs="仿宋"/>
          <w:spacing w:val="6"/>
          <w:sz w:val="28"/>
          <w:szCs w:val="28"/>
        </w:rPr>
        <w:t>（项目编号：</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w:t>
      </w:r>
      <w:r>
        <w:rPr>
          <w:rFonts w:hint="eastAsia" w:ascii="仿宋" w:hAnsi="仿宋" w:eastAsia="仿宋" w:cs="仿宋"/>
          <w:kern w:val="0"/>
          <w:sz w:val="28"/>
          <w:szCs w:val="28"/>
          <w:lang w:bidi="ar"/>
        </w:rPr>
        <w:t>的政府采购活动，严格遵守《中华人民共和国政府采购法》及相关法律法规，依法诚信经营，无条件遵守本次政府采购活动的各项规定，并郑重承诺</w:t>
      </w:r>
      <w:r>
        <w:rPr>
          <w:rFonts w:hint="eastAsia" w:ascii="仿宋" w:hAnsi="仿宋" w:eastAsia="仿宋" w:cs="仿宋"/>
          <w:spacing w:val="-6"/>
          <w:kern w:val="0"/>
          <w:sz w:val="28"/>
          <w:szCs w:val="28"/>
          <w:lang w:bidi="ar"/>
        </w:rPr>
        <w:t xml:space="preserve">： </w:t>
      </w:r>
    </w:p>
    <w:p>
      <w:pPr>
        <w:widowControl/>
        <w:numPr>
          <w:ilvl w:val="0"/>
          <w:numId w:val="29"/>
        </w:numPr>
        <w:spacing w:line="48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我方</w:t>
      </w:r>
      <w:r>
        <w:rPr>
          <w:rFonts w:hint="eastAsia" w:ascii="仿宋" w:hAnsi="仿宋" w:eastAsia="仿宋" w:cs="仿宋"/>
          <w:spacing w:val="6"/>
          <w:sz w:val="28"/>
          <w:szCs w:val="28"/>
        </w:rPr>
        <w:t>具有独立承担民事责任的能力或我方属于银行、保险、石油石化、电力、电信等有行业特殊情况的法人的分支机构在参加本次政府采购活动前已取得总公司的授权。</w:t>
      </w:r>
    </w:p>
    <w:p>
      <w:pPr>
        <w:widowControl/>
        <w:numPr>
          <w:ilvl w:val="0"/>
          <w:numId w:val="29"/>
        </w:numPr>
        <w:spacing w:line="48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 xml:space="preserve">我方具有符合采购文件资格要求的财务状况报告。 </w:t>
      </w:r>
    </w:p>
    <w:p>
      <w:pPr>
        <w:widowControl/>
        <w:numPr>
          <w:ilvl w:val="0"/>
          <w:numId w:val="29"/>
        </w:numPr>
        <w:spacing w:line="480" w:lineRule="auto"/>
        <w:ind w:firstLine="536" w:firstLineChars="200"/>
        <w:rPr>
          <w:rFonts w:ascii="仿宋" w:hAnsi="仿宋" w:eastAsia="仿宋" w:cs="仿宋"/>
          <w:spacing w:val="-17"/>
          <w:sz w:val="28"/>
          <w:szCs w:val="28"/>
        </w:rPr>
      </w:pPr>
      <w:r>
        <w:rPr>
          <w:rFonts w:hint="eastAsia" w:ascii="仿宋" w:hAnsi="仿宋" w:eastAsia="仿宋" w:cs="仿宋"/>
          <w:spacing w:val="-6"/>
          <w:kern w:val="0"/>
          <w:sz w:val="28"/>
          <w:szCs w:val="28"/>
          <w:lang w:bidi="ar"/>
        </w:rPr>
        <w:t>我方具有符合采购文件资格要求的依法缴纳税收和社会保障资金的良好记录。</w:t>
      </w:r>
      <w:r>
        <w:rPr>
          <w:rFonts w:hint="eastAsia" w:ascii="仿宋" w:hAnsi="仿宋" w:eastAsia="仿宋" w:cs="仿宋"/>
          <w:spacing w:val="-17"/>
          <w:kern w:val="0"/>
          <w:sz w:val="28"/>
          <w:szCs w:val="28"/>
          <w:lang w:bidi="ar"/>
        </w:rPr>
        <w:t xml:space="preserve"> </w:t>
      </w:r>
    </w:p>
    <w:p>
      <w:pPr>
        <w:widowControl/>
        <w:numPr>
          <w:ilvl w:val="0"/>
          <w:numId w:val="29"/>
        </w:numPr>
        <w:spacing w:line="48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 xml:space="preserve">我方具有符合采购文件资格要求履行合同所必需的设备和专业技术能力。 </w:t>
      </w:r>
    </w:p>
    <w:p>
      <w:pPr>
        <w:widowControl/>
        <w:numPr>
          <w:ilvl w:val="0"/>
          <w:numId w:val="29"/>
        </w:numPr>
        <w:spacing w:line="48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 xml:space="preserve">我方参加政府采购活动前3年内在经营活动中没有重大违法记录。 </w:t>
      </w:r>
    </w:p>
    <w:p>
      <w:pPr>
        <w:widowControl/>
        <w:spacing w:line="48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我方对以上承诺内容的真实性负责。如有虚假，将依法承担相应责任。</w:t>
      </w:r>
    </w:p>
    <w:p>
      <w:pPr>
        <w:widowControl/>
        <w:spacing w:line="480" w:lineRule="auto"/>
        <w:ind w:left="5040" w:leftChars="24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供应商名称（盖章）： </w:t>
      </w:r>
    </w:p>
    <w:p>
      <w:pPr>
        <w:widowControl/>
        <w:spacing w:line="480" w:lineRule="auto"/>
        <w:ind w:left="5040" w:leftChars="24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日期：</w:t>
      </w:r>
    </w:p>
    <w:p>
      <w:pPr>
        <w:pStyle w:val="21"/>
        <w:widowControl/>
        <w:wordWrap w:val="0"/>
        <w:spacing w:line="400" w:lineRule="exact"/>
        <w:rPr>
          <w:rFonts w:ascii="宋体" w:hAnsi="宋体" w:cs="宋体"/>
          <w:sz w:val="18"/>
          <w:szCs w:val="18"/>
        </w:rPr>
      </w:pPr>
      <w:r>
        <w:rPr>
          <w:rFonts w:hint="eastAsia" w:ascii="宋体" w:hAnsi="宋体" w:cs="宋体"/>
          <w:sz w:val="18"/>
          <w:szCs w:val="18"/>
          <w:lang w:bidi="ar"/>
        </w:rPr>
        <w:t>注：1.</w:t>
      </w:r>
      <w:r>
        <w:rPr>
          <w:rFonts w:hint="eastAsia" w:ascii="宋体" w:hAnsi="宋体" w:cs="宋体"/>
          <w:sz w:val="18"/>
          <w:szCs w:val="18"/>
        </w:rPr>
        <w:t>参与政府采购活动的供应商可按第1点的内容：“</w:t>
      </w:r>
      <w:r>
        <w:rPr>
          <w:rFonts w:hint="eastAsia" w:ascii="宋体" w:hAnsi="宋体" w:cs="宋体"/>
          <w:sz w:val="18"/>
          <w:szCs w:val="18"/>
          <w:lang w:bidi="ar"/>
        </w:rPr>
        <w:t>我方</w:t>
      </w:r>
      <w:r>
        <w:rPr>
          <w:rFonts w:hint="eastAsia" w:ascii="宋体" w:hAnsi="宋体" w:cs="宋体"/>
          <w:spacing w:val="6"/>
          <w:sz w:val="18"/>
          <w:szCs w:val="18"/>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sz w:val="18"/>
          <w:szCs w:val="18"/>
          <w:lang w:bidi="ar"/>
        </w:rPr>
        <w:t>我方</w:t>
      </w:r>
      <w:r>
        <w:rPr>
          <w:rFonts w:hint="eastAsia" w:ascii="宋体" w:hAnsi="宋体" w:cs="宋体"/>
          <w:spacing w:val="6"/>
          <w:sz w:val="18"/>
          <w:szCs w:val="18"/>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pPr>
        <w:snapToGrid w:val="0"/>
        <w:spacing w:before="156" w:beforeLines="50" w:after="50"/>
        <w:jc w:val="center"/>
        <w:rPr>
          <w:rFonts w:ascii="宋体" w:hAnsi="宋体"/>
          <w:b/>
          <w:sz w:val="32"/>
          <w:szCs w:val="32"/>
        </w:rPr>
        <w:sectPr>
          <w:pgSz w:w="11906" w:h="16838"/>
          <w:pgMar w:top="1440" w:right="1080" w:bottom="1440" w:left="1080" w:header="1134" w:footer="992" w:gutter="0"/>
          <w:cols w:space="720" w:num="1"/>
          <w:titlePg/>
          <w:docGrid w:type="lines" w:linePitch="312" w:charSpace="0"/>
        </w:sectPr>
      </w:pPr>
    </w:p>
    <w:p>
      <w:pPr>
        <w:pStyle w:val="4"/>
        <w:jc w:val="center"/>
      </w:pPr>
      <w:r>
        <w:rPr>
          <w:rFonts w:hint="eastAsia"/>
        </w:rPr>
        <w:t>供应商直接控股、管理关系信息表</w:t>
      </w:r>
    </w:p>
    <w:p>
      <w:pPr>
        <w:snapToGrid w:val="0"/>
        <w:spacing w:before="156" w:beforeLines="50" w:after="50"/>
        <w:jc w:val="center"/>
        <w:rPr>
          <w:rFonts w:ascii="宋体" w:hAnsi="宋体"/>
          <w:b/>
          <w:sz w:val="32"/>
          <w:szCs w:val="32"/>
        </w:rPr>
      </w:pPr>
      <w:r>
        <w:rPr>
          <w:rFonts w:hint="eastAsia" w:ascii="宋体" w:hAnsi="宋体"/>
          <w:b/>
          <w:sz w:val="32"/>
          <w:szCs w:val="32"/>
        </w:rPr>
        <w:t>供应商直接控股股东信息表</w:t>
      </w: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19" w:type="dxa"/>
              <w:left w:w="120" w:type="dxa"/>
              <w:bottom w:w="119" w:type="dxa"/>
              <w:right w:w="119" w:type="dxa"/>
            </w:tcMar>
            <w:tcFitText/>
            <w:vAlign w:val="center"/>
          </w:tcPr>
          <w:p>
            <w:pPr>
              <w:widowControl/>
              <w:spacing w:line="360" w:lineRule="auto"/>
              <w:jc w:val="center"/>
              <w:rPr>
                <w:rFonts w:ascii="宋体" w:hAnsi="宋体" w:cs="宋体"/>
                <w:b/>
                <w:bCs/>
                <w:kern w:val="0"/>
                <w:sz w:val="28"/>
                <w:szCs w:val="28"/>
              </w:rPr>
            </w:pPr>
            <w:r>
              <w:rPr>
                <w:rFonts w:hint="eastAsia" w:ascii="宋体" w:hAnsi="宋体" w:cs="宋体"/>
                <w:b/>
                <w:bCs/>
                <w:w w:val="95"/>
                <w:kern w:val="0"/>
                <w:sz w:val="28"/>
                <w:szCs w:val="28"/>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宋体" w:hAnsi="宋体" w:cs="宋体"/>
                <w:b/>
                <w:bCs/>
                <w:kern w:val="0"/>
                <w:sz w:val="28"/>
                <w:szCs w:val="28"/>
              </w:rPr>
            </w:pPr>
            <w:r>
              <w:rPr>
                <w:rFonts w:hint="eastAsia" w:ascii="宋体" w:hAnsi="宋体" w:cs="宋体"/>
                <w:b/>
                <w:bCs/>
                <w:kern w:val="0"/>
                <w:sz w:val="28"/>
                <w:szCs w:val="28"/>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r>
              <w:rPr>
                <w:rFonts w:hint="eastAsia" w:ascii="宋体" w:hAnsi="宋体" w:cs="宋体"/>
                <w:kern w:val="0"/>
                <w:sz w:val="28"/>
                <w:szCs w:val="28"/>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spacing w:line="360" w:lineRule="auto"/>
              <w:jc w:val="center"/>
              <w:rPr>
                <w:rFonts w:ascii="宋体" w:hAnsi="宋体" w:cs="宋体"/>
                <w:kern w:val="0"/>
                <w:sz w:val="28"/>
                <w:szCs w:val="28"/>
              </w:rPr>
            </w:pPr>
          </w:p>
        </w:tc>
      </w:tr>
    </w:tbl>
    <w:p>
      <w:pPr>
        <w:snapToGrid w:val="0"/>
        <w:spacing w:line="360" w:lineRule="auto"/>
        <w:jc w:val="left"/>
        <w:rPr>
          <w:rFonts w:ascii="宋体" w:hAnsi="宋体" w:cs="宋体"/>
          <w:szCs w:val="21"/>
        </w:rPr>
      </w:pPr>
      <w:r>
        <w:rPr>
          <w:rFonts w:hint="eastAsia" w:ascii="宋体" w:hAnsi="宋体" w:cs="宋体"/>
          <w:szCs w:val="21"/>
        </w:rPr>
        <w:t>注：</w:t>
      </w:r>
    </w:p>
    <w:p>
      <w:pPr>
        <w:snapToGrid w:val="0"/>
        <w:spacing w:line="480" w:lineRule="auto"/>
        <w:ind w:firstLine="420" w:firstLineChars="200"/>
        <w:jc w:val="left"/>
        <w:rPr>
          <w:rFonts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480" w:lineRule="auto"/>
        <w:ind w:firstLine="420" w:firstLineChars="200"/>
        <w:jc w:val="left"/>
        <w:rPr>
          <w:rFonts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pPr>
        <w:snapToGrid w:val="0"/>
        <w:spacing w:line="480" w:lineRule="auto"/>
        <w:ind w:firstLine="420" w:firstLineChars="200"/>
        <w:jc w:val="left"/>
        <w:rPr>
          <w:rFonts w:ascii="宋体" w:hAnsi="宋体" w:cs="宋体"/>
          <w:szCs w:val="21"/>
        </w:rPr>
      </w:pPr>
      <w:r>
        <w:rPr>
          <w:rFonts w:hint="eastAsia" w:ascii="宋体" w:hAnsi="宋体" w:cs="宋体"/>
          <w:szCs w:val="21"/>
        </w:rPr>
        <w:t>3.供应商不存在直接控股股东的，则填“无”。</w:t>
      </w:r>
    </w:p>
    <w:p>
      <w:pPr>
        <w:snapToGrid w:val="0"/>
        <w:spacing w:line="360" w:lineRule="auto"/>
        <w:ind w:firstLine="420" w:firstLineChars="200"/>
        <w:jc w:val="left"/>
        <w:rPr>
          <w:rFonts w:ascii="宋体" w:hAnsi="宋体" w:cs="宋体"/>
          <w:szCs w:val="21"/>
        </w:rPr>
      </w:pPr>
    </w:p>
    <w:p>
      <w:pPr>
        <w:snapToGrid w:val="0"/>
        <w:spacing w:line="360" w:lineRule="auto"/>
        <w:ind w:firstLine="560" w:firstLineChars="200"/>
        <w:jc w:val="left"/>
        <w:rPr>
          <w:rFonts w:ascii="宋体" w:hAnsi="宋体" w:cs="宋体"/>
          <w:sz w:val="28"/>
          <w:szCs w:val="28"/>
        </w:rPr>
      </w:pPr>
    </w:p>
    <w:p>
      <w:pPr>
        <w:snapToGrid w:val="0"/>
        <w:spacing w:before="156" w:beforeLines="50" w:line="360" w:lineRule="auto"/>
        <w:ind w:right="480"/>
        <w:jc w:val="center"/>
        <w:rPr>
          <w:rFonts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法定代表人或者委托代理人签字：</w:t>
      </w:r>
      <w:r>
        <w:rPr>
          <w:rFonts w:hint="eastAsia" w:ascii="宋体" w:hAnsi="宋体" w:cs="宋体"/>
          <w:sz w:val="24"/>
          <w:u w:val="single"/>
        </w:rPr>
        <w:t xml:space="preserve"> </w:t>
      </w:r>
      <w:r>
        <w:rPr>
          <w:rFonts w:ascii="宋体" w:hAnsi="宋体" w:cs="宋体"/>
          <w:sz w:val="24"/>
          <w:u w:val="single"/>
        </w:rPr>
        <w:t xml:space="preserve">                   </w:t>
      </w:r>
    </w:p>
    <w:p>
      <w:pPr>
        <w:snapToGrid w:val="0"/>
        <w:spacing w:before="156" w:beforeLines="50" w:after="50" w:line="360" w:lineRule="auto"/>
        <w:ind w:right="480" w:firstLine="3000" w:firstLineChars="1250"/>
        <w:rPr>
          <w:rFonts w:ascii="宋体" w:hAnsi="宋体" w:cs="宋体"/>
          <w:sz w:val="24"/>
          <w:u w:val="single"/>
        </w:rPr>
      </w:pPr>
      <w:r>
        <w:rPr>
          <w:rFonts w:hint="eastAsia" w:ascii="宋体" w:hAnsi="宋体" w:cs="宋体"/>
          <w:sz w:val="24"/>
        </w:rPr>
        <w:t xml:space="preserve">供应商（盖公章 ）： </w:t>
      </w:r>
      <w:r>
        <w:rPr>
          <w:rFonts w:hint="eastAsia" w:ascii="宋体" w:hAnsi="宋体" w:cs="宋体"/>
          <w:sz w:val="24"/>
          <w:u w:val="single"/>
        </w:rPr>
        <w:t xml:space="preserve">                              </w:t>
      </w:r>
    </w:p>
    <w:p>
      <w:pPr>
        <w:snapToGrid w:val="0"/>
        <w:spacing w:before="156"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pPr>
        <w:snapToGrid w:val="0"/>
        <w:jc w:val="center"/>
        <w:rPr>
          <w:rFonts w:ascii="宋体" w:hAnsi="宋体"/>
          <w:b/>
          <w:sz w:val="32"/>
          <w:szCs w:val="32"/>
        </w:rPr>
      </w:pPr>
      <w:r>
        <w:rPr>
          <w:rFonts w:ascii="宋体" w:hAnsi="宋体"/>
          <w:b/>
          <w:sz w:val="28"/>
          <w:szCs w:val="28"/>
        </w:rPr>
        <w:br w:type="page"/>
      </w:r>
      <w:r>
        <w:rPr>
          <w:rFonts w:hint="eastAsia" w:ascii="宋体" w:hAnsi="宋体"/>
          <w:b/>
          <w:sz w:val="32"/>
          <w:szCs w:val="32"/>
        </w:rPr>
        <w:t>供应商直接管理关系信息表</w:t>
      </w: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r>
              <w:rPr>
                <w:rFonts w:hint="eastAsia" w:ascii="宋体" w:hAnsi="宋体" w:cs="宋体"/>
                <w:kern w:val="0"/>
                <w:sz w:val="28"/>
                <w:szCs w:val="28"/>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ascii="宋体" w:hAnsi="宋体" w:cs="宋体"/>
                <w:kern w:val="0"/>
                <w:sz w:val="28"/>
                <w:szCs w:val="28"/>
              </w:rPr>
            </w:pPr>
          </w:p>
        </w:tc>
      </w:tr>
    </w:tbl>
    <w:p>
      <w:pPr>
        <w:snapToGrid w:val="0"/>
        <w:spacing w:line="360" w:lineRule="auto"/>
        <w:jc w:val="left"/>
        <w:rPr>
          <w:rFonts w:ascii="宋体" w:hAnsi="宋体"/>
          <w:szCs w:val="21"/>
        </w:rPr>
      </w:pPr>
      <w:r>
        <w:rPr>
          <w:rFonts w:hint="eastAsia" w:ascii="宋体" w:hAnsi="宋体"/>
          <w:szCs w:val="21"/>
        </w:rPr>
        <w:t>注：</w:t>
      </w:r>
    </w:p>
    <w:p>
      <w:pPr>
        <w:snapToGrid w:val="0"/>
        <w:spacing w:line="480" w:lineRule="auto"/>
        <w:ind w:firstLine="420" w:firstLineChars="200"/>
        <w:jc w:val="left"/>
        <w:rPr>
          <w:rFonts w:ascii="宋体" w:hAnsi="宋体"/>
          <w:szCs w:val="21"/>
        </w:rPr>
      </w:pPr>
      <w:r>
        <w:rPr>
          <w:rFonts w:hint="eastAsia" w:ascii="宋体" w:hAnsi="宋体"/>
          <w:szCs w:val="21"/>
        </w:rPr>
        <w:t>1.管理关系：是指不具有出资持股关系的其他单位之间存在的管理与被管理关系，如一些上下级关系的事业单位和团体组织。</w:t>
      </w:r>
    </w:p>
    <w:p>
      <w:pPr>
        <w:snapToGrid w:val="0"/>
        <w:spacing w:line="480" w:lineRule="auto"/>
        <w:ind w:firstLine="420" w:firstLineChars="200"/>
        <w:jc w:val="left"/>
        <w:rPr>
          <w:rFonts w:ascii="宋体" w:hAnsi="宋体"/>
          <w:szCs w:val="21"/>
        </w:rPr>
      </w:pPr>
      <w:r>
        <w:rPr>
          <w:rFonts w:hint="eastAsia" w:ascii="宋体" w:hAnsi="宋体"/>
          <w:szCs w:val="21"/>
        </w:rPr>
        <w:t>2.</w:t>
      </w:r>
      <w:r>
        <w:rPr>
          <w:rFonts w:hint="eastAsia" w:ascii="宋体" w:hAnsi="宋体"/>
          <w:spacing w:val="-6"/>
          <w:szCs w:val="21"/>
        </w:rPr>
        <w:t>本表所指的管理关系仅限于直接管理关系，不包括间接的管理关系。</w:t>
      </w:r>
    </w:p>
    <w:p>
      <w:pPr>
        <w:snapToGrid w:val="0"/>
        <w:spacing w:line="480" w:lineRule="auto"/>
        <w:ind w:firstLine="420" w:firstLineChars="200"/>
        <w:jc w:val="left"/>
        <w:rPr>
          <w:rFonts w:ascii="宋体" w:hAnsi="宋体"/>
          <w:sz w:val="28"/>
          <w:szCs w:val="28"/>
        </w:rPr>
      </w:pPr>
      <w:r>
        <w:rPr>
          <w:rFonts w:hint="eastAsia" w:ascii="宋体" w:hAnsi="宋体"/>
          <w:szCs w:val="21"/>
        </w:rPr>
        <w:t>3.供应商不存在直接管理关系的，则填“无”。</w:t>
      </w:r>
    </w:p>
    <w:p>
      <w:pPr>
        <w:snapToGrid w:val="0"/>
        <w:spacing w:line="360" w:lineRule="auto"/>
        <w:jc w:val="left"/>
        <w:rPr>
          <w:rFonts w:ascii="宋体" w:hAnsi="宋体"/>
          <w:sz w:val="28"/>
          <w:szCs w:val="28"/>
        </w:rPr>
      </w:pPr>
    </w:p>
    <w:p>
      <w:pPr>
        <w:snapToGrid w:val="0"/>
        <w:spacing w:line="360" w:lineRule="auto"/>
        <w:jc w:val="left"/>
        <w:rPr>
          <w:rFonts w:ascii="宋体" w:hAnsi="宋体"/>
          <w:sz w:val="28"/>
          <w:szCs w:val="28"/>
        </w:rPr>
      </w:pPr>
    </w:p>
    <w:p>
      <w:pPr>
        <w:snapToGrid w:val="0"/>
        <w:spacing w:line="360" w:lineRule="auto"/>
        <w:jc w:val="left"/>
        <w:rPr>
          <w:sz w:val="28"/>
          <w:szCs w:val="28"/>
        </w:rPr>
      </w:pPr>
    </w:p>
    <w:p>
      <w:pPr>
        <w:snapToGrid w:val="0"/>
        <w:spacing w:line="360" w:lineRule="auto"/>
        <w:jc w:val="left"/>
        <w:rPr>
          <w:sz w:val="28"/>
          <w:szCs w:val="28"/>
        </w:rPr>
      </w:pPr>
    </w:p>
    <w:p>
      <w:pPr>
        <w:snapToGrid w:val="0"/>
        <w:spacing w:line="360" w:lineRule="auto"/>
        <w:jc w:val="left"/>
        <w:rPr>
          <w:sz w:val="28"/>
          <w:szCs w:val="28"/>
        </w:rPr>
      </w:pPr>
    </w:p>
    <w:p>
      <w:pPr>
        <w:snapToGrid w:val="0"/>
        <w:spacing w:line="360" w:lineRule="auto"/>
        <w:jc w:val="left"/>
        <w:rPr>
          <w:rFonts w:ascii="宋体" w:hAnsi="宋体"/>
          <w:sz w:val="28"/>
          <w:szCs w:val="28"/>
        </w:rPr>
      </w:pPr>
    </w:p>
    <w:p>
      <w:pPr>
        <w:snapToGrid w:val="0"/>
        <w:spacing w:before="156" w:beforeLines="50" w:line="360" w:lineRule="auto"/>
        <w:ind w:right="480"/>
        <w:jc w:val="center"/>
        <w:rPr>
          <w:rFonts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w:t>
      </w:r>
      <w:r>
        <w:rPr>
          <w:rFonts w:hint="eastAsia" w:ascii="宋体" w:hAnsi="宋体"/>
          <w:sz w:val="24"/>
          <w:u w:val="single"/>
        </w:rPr>
        <w:t xml:space="preserve"> </w:t>
      </w:r>
      <w:r>
        <w:rPr>
          <w:rFonts w:ascii="宋体" w:hAnsi="宋体"/>
          <w:sz w:val="24"/>
          <w:u w:val="single"/>
        </w:rPr>
        <w:t xml:space="preserve">                  </w:t>
      </w:r>
    </w:p>
    <w:p>
      <w:pPr>
        <w:snapToGrid w:val="0"/>
        <w:spacing w:before="156" w:beforeLines="50" w:after="50" w:line="360" w:lineRule="auto"/>
        <w:ind w:right="480" w:firstLine="3360" w:firstLineChars="1400"/>
        <w:rPr>
          <w:rFonts w:ascii="宋体" w:hAnsi="宋体"/>
          <w:sz w:val="24"/>
        </w:rPr>
      </w:pPr>
      <w:r>
        <w:rPr>
          <w:rFonts w:hint="eastAsia" w:ascii="宋体" w:hAnsi="宋体"/>
          <w:sz w:val="24"/>
        </w:rPr>
        <w:t>供应商（盖公章）：</w:t>
      </w:r>
      <w:r>
        <w:rPr>
          <w:rFonts w:hint="eastAsia" w:ascii="宋体" w:hAnsi="宋体"/>
          <w:sz w:val="24"/>
          <w:u w:val="single"/>
        </w:rPr>
        <w:t xml:space="preserve">                </w:t>
      </w:r>
    </w:p>
    <w:p>
      <w:pPr>
        <w:snapToGrid w:val="0"/>
        <w:spacing w:before="156" w:beforeLines="50" w:after="50" w:line="360" w:lineRule="auto"/>
        <w:ind w:right="480" w:firstLine="240" w:firstLineChars="100"/>
        <w:jc w:val="center"/>
        <w:rPr>
          <w:rFonts w:ascii="宋体" w:hAnsi="宋体"/>
          <w:sz w:val="28"/>
          <w:szCs w:val="28"/>
        </w:rPr>
      </w:pPr>
      <w:r>
        <w:rPr>
          <w:rFonts w:hint="eastAsia" w:ascii="宋体" w:hAnsi="宋体"/>
          <w:sz w:val="24"/>
        </w:rPr>
        <w:t xml:space="preserve">                                        年    月    日</w:t>
      </w:r>
    </w:p>
    <w:p>
      <w:pPr>
        <w:spacing w:line="600" w:lineRule="auto"/>
        <w:jc w:val="center"/>
        <w:rPr>
          <w:rFonts w:ascii="宋体" w:hAnsi="宋体"/>
          <w:b/>
          <w:sz w:val="32"/>
          <w:szCs w:val="32"/>
        </w:rPr>
      </w:pPr>
      <w:r>
        <w:rPr>
          <w:rFonts w:ascii="宋体" w:hAnsi="宋体"/>
          <w:b/>
          <w:sz w:val="32"/>
          <w:szCs w:val="32"/>
        </w:rPr>
        <w:br w:type="page"/>
      </w:r>
      <w:r>
        <w:rPr>
          <w:rStyle w:val="33"/>
          <w:rFonts w:hint="eastAsia"/>
        </w:rPr>
        <w:t>竞标声明</w:t>
      </w:r>
    </w:p>
    <w:p>
      <w:pPr>
        <w:spacing w:line="320" w:lineRule="exact"/>
        <w:jc w:val="center"/>
        <w:rPr>
          <w:rFonts w:ascii="宋体" w:hAnsi="宋体"/>
          <w:sz w:val="24"/>
          <w:szCs w:val="20"/>
        </w:rPr>
      </w:pPr>
    </w:p>
    <w:p>
      <w:pPr>
        <w:spacing w:line="360" w:lineRule="auto"/>
        <w:contextualSpacing/>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（采购代理机构名称）</w:t>
      </w:r>
      <w:r>
        <w:rPr>
          <w:rFonts w:hint="eastAsia" w:ascii="仿宋" w:hAnsi="仿宋" w:eastAsia="仿宋" w:cs="仿宋"/>
          <w:sz w:val="28"/>
          <w:szCs w:val="28"/>
        </w:rPr>
        <w:t>：</w:t>
      </w:r>
    </w:p>
    <w:p>
      <w:pPr>
        <w:wordWrap w:val="0"/>
        <w:topLinePunct/>
        <w:spacing w:line="360" w:lineRule="auto"/>
        <w:contextualSpacing/>
        <w:rPr>
          <w:rFonts w:ascii="仿宋" w:hAnsi="仿宋" w:eastAsia="仿宋" w:cs="仿宋"/>
          <w:sz w:val="28"/>
          <w:szCs w:val="28"/>
        </w:rPr>
      </w:pPr>
      <w:r>
        <w:rPr>
          <w:rFonts w:hint="eastAsia" w:ascii="仿宋" w:hAnsi="仿宋" w:eastAsia="仿宋" w:cs="仿宋"/>
          <w:sz w:val="28"/>
          <w:szCs w:val="28"/>
        </w:rPr>
        <w:t>我方</w:t>
      </w:r>
      <w:r>
        <w:rPr>
          <w:rFonts w:hint="eastAsia" w:ascii="仿宋" w:hAnsi="仿宋" w:eastAsia="仿宋" w:cs="仿宋"/>
          <w:sz w:val="28"/>
          <w:szCs w:val="28"/>
          <w:u w:val="single"/>
        </w:rPr>
        <w:t>（供应商名称）</w:t>
      </w:r>
      <w:r>
        <w:rPr>
          <w:rFonts w:hint="eastAsia" w:ascii="仿宋" w:hAnsi="仿宋" w:eastAsia="仿宋" w:cs="仿宋"/>
          <w:sz w:val="28"/>
          <w:szCs w:val="28"/>
        </w:rPr>
        <w:t>系中华人民共和国合法供应商，经营地址</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我方愿意参加贵方组织的</w:t>
      </w:r>
      <w:r>
        <w:rPr>
          <w:rFonts w:hint="eastAsia" w:ascii="仿宋" w:hAnsi="仿宋" w:eastAsia="仿宋" w:cs="仿宋"/>
          <w:sz w:val="28"/>
          <w:szCs w:val="28"/>
          <w:u w:val="single"/>
        </w:rPr>
        <w:t>（项目名称）</w:t>
      </w:r>
      <w:r>
        <w:rPr>
          <w:rFonts w:hint="eastAsia" w:ascii="仿宋" w:hAnsi="仿宋" w:eastAsia="仿宋" w:cs="仿宋"/>
          <w:sz w:val="28"/>
          <w:szCs w:val="28"/>
        </w:rPr>
        <w:t>项目的竞标，为便于贵方公正、择优地确定成交供应商及其竞标产品和服务，我方就本次竞标有关事项郑重声明如下：</w:t>
      </w:r>
    </w:p>
    <w:p>
      <w:pPr>
        <w:numPr>
          <w:ilvl w:val="0"/>
          <w:numId w:val="30"/>
        </w:numPr>
        <w:spacing w:line="360" w:lineRule="auto"/>
        <w:ind w:firstLine="0"/>
        <w:contextualSpacing/>
        <w:rPr>
          <w:rFonts w:ascii="仿宋" w:hAnsi="仿宋" w:eastAsia="仿宋" w:cs="仿宋"/>
          <w:sz w:val="28"/>
          <w:szCs w:val="28"/>
        </w:rPr>
      </w:pPr>
      <w:r>
        <w:rPr>
          <w:rFonts w:hint="eastAsia" w:ascii="仿宋" w:hAnsi="仿宋" w:eastAsia="仿宋" w:cs="仿宋"/>
          <w:sz w:val="28"/>
          <w:szCs w:val="28"/>
        </w:rPr>
        <w:t>我方向贵方提交的所有响应文件、资料都是准确的和真实的。</w:t>
      </w:r>
    </w:p>
    <w:p>
      <w:pPr>
        <w:numPr>
          <w:ilvl w:val="0"/>
          <w:numId w:val="30"/>
        </w:numPr>
        <w:spacing w:line="360" w:lineRule="auto"/>
        <w:ind w:firstLine="0"/>
        <w:contextualSpacing/>
        <w:rPr>
          <w:rFonts w:ascii="仿宋" w:hAnsi="仿宋" w:eastAsia="仿宋" w:cs="仿宋"/>
          <w:sz w:val="28"/>
          <w:szCs w:val="28"/>
        </w:rPr>
      </w:pPr>
      <w:r>
        <w:rPr>
          <w:rFonts w:hint="eastAsia" w:ascii="仿宋" w:hAnsi="仿宋" w:eastAsia="仿宋" w:cs="仿宋"/>
          <w:sz w:val="28"/>
          <w:szCs w:val="28"/>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numPr>
          <w:ilvl w:val="0"/>
          <w:numId w:val="30"/>
        </w:numPr>
        <w:spacing w:line="360" w:lineRule="auto"/>
        <w:ind w:firstLine="0"/>
        <w:contextualSpacing/>
        <w:rPr>
          <w:rFonts w:ascii="仿宋" w:hAnsi="仿宋" w:eastAsia="仿宋" w:cs="仿宋"/>
          <w:sz w:val="28"/>
          <w:szCs w:val="28"/>
        </w:rPr>
      </w:pPr>
      <w:r>
        <w:rPr>
          <w:rFonts w:hint="eastAsia" w:ascii="仿宋" w:hAnsi="仿宋" w:eastAsia="仿宋" w:cs="仿宋"/>
          <w:sz w:val="28"/>
          <w:szCs w:val="28"/>
        </w:rPr>
        <w:t>在此，我方宣布同意如下：</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(1)将按竞争性谈判文件的约定履行合同责任和义务；</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(2)已详细审查全部竞争性谈判文件，包括补遗文件（如有）；</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(3)同意提供按照贵方可能要求的与谈判有关的一切数据或者资料；</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(4)响应竞争性谈判文件规定的竞标有效期。</w:t>
      </w:r>
    </w:p>
    <w:p>
      <w:pPr>
        <w:numPr>
          <w:ilvl w:val="0"/>
          <w:numId w:val="30"/>
        </w:numPr>
        <w:spacing w:line="360" w:lineRule="auto"/>
        <w:ind w:firstLine="0"/>
        <w:contextualSpacing/>
        <w:rPr>
          <w:rFonts w:ascii="仿宋" w:hAnsi="仿宋" w:eastAsia="仿宋" w:cs="仿宋"/>
          <w:sz w:val="28"/>
          <w:szCs w:val="28"/>
        </w:rPr>
      </w:pPr>
      <w:r>
        <w:rPr>
          <w:rFonts w:hint="eastAsia" w:ascii="仿宋" w:hAnsi="仿宋" w:eastAsia="仿宋" w:cs="仿宋"/>
          <w:sz w:val="28"/>
          <w:szCs w:val="28"/>
        </w:rPr>
        <w:t>我方承诺符合《中华人民共和国政府采购法》第二十二条规定：</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（1）具有独立承担民事责任的能力；</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（6）法律、行政法规规定的其他条件。</w:t>
      </w:r>
    </w:p>
    <w:p>
      <w:pPr>
        <w:numPr>
          <w:ilvl w:val="0"/>
          <w:numId w:val="30"/>
        </w:numPr>
        <w:spacing w:line="360" w:lineRule="auto"/>
        <w:ind w:firstLine="0"/>
        <w:contextualSpacing/>
        <w:rPr>
          <w:rFonts w:ascii="仿宋" w:hAnsi="仿宋" w:eastAsia="仿宋" w:cs="仿宋"/>
          <w:sz w:val="28"/>
          <w:szCs w:val="28"/>
        </w:rPr>
      </w:pPr>
      <w:r>
        <w:rPr>
          <w:rFonts w:hint="eastAsia" w:ascii="仿宋" w:hAnsi="仿宋" w:eastAsia="仿宋" w:cs="仿宋"/>
          <w:sz w:val="28"/>
          <w:szCs w:val="28"/>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numPr>
          <w:ilvl w:val="0"/>
          <w:numId w:val="30"/>
        </w:numPr>
        <w:spacing w:line="360" w:lineRule="auto"/>
        <w:ind w:firstLine="0"/>
        <w:contextualSpacing/>
        <w:rPr>
          <w:rFonts w:ascii="仿宋" w:hAnsi="仿宋" w:eastAsia="仿宋" w:cs="仿宋"/>
          <w:sz w:val="28"/>
          <w:szCs w:val="28"/>
        </w:rPr>
      </w:pPr>
      <w:r>
        <w:rPr>
          <w:rFonts w:hint="eastAsia" w:ascii="仿宋" w:hAnsi="仿宋" w:eastAsia="仿宋" w:cs="仿宋"/>
          <w:sz w:val="28"/>
          <w:szCs w:val="28"/>
        </w:rPr>
        <w:t>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□我方本次响应文件</w:t>
      </w:r>
      <w:r>
        <w:rPr>
          <w:rFonts w:hint="eastAsia" w:ascii="仿宋" w:hAnsi="仿宋" w:eastAsia="仿宋" w:cs="仿宋"/>
          <w:kern w:val="0"/>
          <w:sz w:val="28"/>
          <w:szCs w:val="28"/>
        </w:rPr>
        <w:t>内容中</w:t>
      </w:r>
      <w:r>
        <w:rPr>
          <w:rFonts w:hint="eastAsia" w:ascii="仿宋" w:hAnsi="仿宋" w:eastAsia="仿宋" w:cs="仿宋"/>
          <w:sz w:val="28"/>
          <w:szCs w:val="28"/>
        </w:rPr>
        <w:t>未</w:t>
      </w:r>
      <w:r>
        <w:rPr>
          <w:rFonts w:hint="eastAsia" w:ascii="仿宋" w:hAnsi="仿宋" w:eastAsia="仿宋" w:cs="仿宋"/>
          <w:kern w:val="0"/>
          <w:sz w:val="28"/>
          <w:szCs w:val="28"/>
        </w:rPr>
        <w:t>涉及商业秘密；</w:t>
      </w:r>
    </w:p>
    <w:p>
      <w:pPr>
        <w:spacing w:line="360" w:lineRule="auto"/>
        <w:contextualSpacing/>
        <w:rPr>
          <w:rFonts w:ascii="仿宋" w:hAnsi="仿宋" w:eastAsia="仿宋" w:cs="仿宋"/>
          <w:sz w:val="28"/>
          <w:szCs w:val="28"/>
        </w:rPr>
      </w:pPr>
      <w:r>
        <w:rPr>
          <w:rFonts w:hint="eastAsia" w:ascii="仿宋" w:hAnsi="仿宋" w:eastAsia="仿宋" w:cs="仿宋"/>
          <w:sz w:val="28"/>
          <w:szCs w:val="28"/>
        </w:rPr>
        <w:t>□我方本次响应文件</w:t>
      </w:r>
      <w:r>
        <w:rPr>
          <w:rFonts w:hint="eastAsia" w:ascii="仿宋" w:hAnsi="仿宋" w:eastAsia="仿宋" w:cs="仿宋"/>
          <w:kern w:val="0"/>
          <w:sz w:val="28"/>
          <w:szCs w:val="28"/>
        </w:rPr>
        <w:t>涉及商业秘密的内容有：</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numPr>
          <w:ilvl w:val="0"/>
          <w:numId w:val="30"/>
        </w:numPr>
        <w:spacing w:line="360" w:lineRule="auto"/>
        <w:ind w:firstLine="0"/>
        <w:contextualSpacing/>
        <w:rPr>
          <w:rFonts w:ascii="仿宋" w:hAnsi="仿宋" w:eastAsia="仿宋" w:cs="仿宋"/>
          <w:sz w:val="28"/>
          <w:szCs w:val="28"/>
          <w:u w:val="single"/>
        </w:rPr>
      </w:pPr>
      <w:r>
        <w:rPr>
          <w:rFonts w:hint="eastAsia" w:ascii="仿宋" w:hAnsi="仿宋" w:eastAsia="仿宋" w:cs="仿宋"/>
          <w:sz w:val="28"/>
          <w:szCs w:val="28"/>
        </w:rPr>
        <w:t>与本谈判有关的一切正式往来信函请寄：</w:t>
      </w:r>
      <w:r>
        <w:rPr>
          <w:rFonts w:hint="eastAsia" w:ascii="仿宋" w:hAnsi="仿宋" w:eastAsia="仿宋" w:cs="仿宋"/>
          <w:sz w:val="28"/>
          <w:szCs w:val="28"/>
          <w:u w:val="single"/>
        </w:rPr>
        <w:t xml:space="preserve">                  </w:t>
      </w:r>
      <w:r>
        <w:rPr>
          <w:rFonts w:hint="eastAsia" w:ascii="仿宋" w:hAnsi="仿宋" w:eastAsia="仿宋" w:cs="仿宋"/>
          <w:sz w:val="28"/>
          <w:szCs w:val="28"/>
        </w:rPr>
        <w:t>邮政编号：</w:t>
      </w:r>
      <w:r>
        <w:rPr>
          <w:rFonts w:hint="eastAsia" w:ascii="仿宋" w:hAnsi="仿宋" w:eastAsia="仿宋" w:cs="仿宋"/>
          <w:sz w:val="28"/>
          <w:szCs w:val="28"/>
          <w:u w:val="single"/>
        </w:rPr>
        <w:t xml:space="preserve">    </w:t>
      </w:r>
    </w:p>
    <w:p>
      <w:pPr>
        <w:pStyle w:val="13"/>
        <w:spacing w:line="360" w:lineRule="auto"/>
        <w:contextualSpacing/>
        <w:rPr>
          <w:rFonts w:ascii="仿宋" w:hAnsi="仿宋" w:eastAsia="仿宋" w:cs="仿宋"/>
          <w:sz w:val="28"/>
          <w:szCs w:val="28"/>
        </w:rPr>
      </w:pPr>
      <w:r>
        <w:rPr>
          <w:rFonts w:hint="eastAsia" w:ascii="仿宋" w:hAnsi="仿宋" w:eastAsia="仿宋" w:cs="仿宋"/>
          <w:sz w:val="28"/>
          <w:szCs w:val="28"/>
        </w:rPr>
        <w:t>电话/传真：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电子函件：</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2"/>
        <w:tabs>
          <w:tab w:val="left" w:pos="939"/>
        </w:tabs>
        <w:spacing w:line="360" w:lineRule="auto"/>
        <w:ind w:left="0" w:leftChars="0" w:firstLine="0" w:firstLineChars="0"/>
        <w:rPr>
          <w:rFonts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帐号/行号：</w:t>
      </w:r>
      <w:r>
        <w:rPr>
          <w:rFonts w:hint="eastAsia" w:ascii="仿宋" w:hAnsi="仿宋" w:eastAsia="仿宋" w:cs="仿宋"/>
          <w:sz w:val="28"/>
          <w:szCs w:val="28"/>
          <w:u w:val="single"/>
        </w:rPr>
        <w:t xml:space="preserve">           </w:t>
      </w:r>
    </w:p>
    <w:p>
      <w:pPr>
        <w:numPr>
          <w:ilvl w:val="0"/>
          <w:numId w:val="30"/>
        </w:numPr>
        <w:spacing w:line="360" w:lineRule="auto"/>
        <w:ind w:firstLine="0"/>
        <w:contextualSpacing/>
        <w:rPr>
          <w:rFonts w:ascii="仿宋" w:hAnsi="仿宋" w:eastAsia="仿宋" w:cs="仿宋"/>
          <w:sz w:val="28"/>
          <w:szCs w:val="28"/>
        </w:rPr>
      </w:pPr>
      <w:r>
        <w:rPr>
          <w:rFonts w:hint="eastAsia" w:ascii="仿宋" w:hAnsi="仿宋" w:eastAsia="仿宋" w:cs="仿宋"/>
          <w:sz w:val="28"/>
          <w:szCs w:val="28"/>
        </w:rPr>
        <w:t>以上事项如有虚假或者隐瞒，我方愿意承担一切后果，并不再寻求任何旨在减轻或者免除法律责任的辩解。</w:t>
      </w:r>
    </w:p>
    <w:p>
      <w:pPr>
        <w:pStyle w:val="12"/>
        <w:tabs>
          <w:tab w:val="left" w:pos="939"/>
        </w:tabs>
        <w:spacing w:line="360" w:lineRule="auto"/>
        <w:ind w:left="0" w:leftChars="0" w:firstLine="0" w:firstLineChars="0"/>
        <w:rPr>
          <w:rFonts w:ascii="仿宋" w:hAnsi="仿宋" w:eastAsia="仿宋" w:cs="仿宋"/>
          <w:sz w:val="28"/>
          <w:szCs w:val="28"/>
        </w:rPr>
      </w:pPr>
      <w:r>
        <w:rPr>
          <w:rFonts w:hint="eastAsia" w:ascii="仿宋" w:hAnsi="仿宋" w:eastAsia="仿宋" w:cs="仿宋"/>
          <w:sz w:val="28"/>
          <w:szCs w:val="28"/>
        </w:rPr>
        <w:t>特此承诺。</w:t>
      </w:r>
    </w:p>
    <w:p>
      <w:pPr>
        <w:wordWrap w:val="0"/>
        <w:topLinePunct/>
        <w:spacing w:line="360" w:lineRule="auto"/>
        <w:ind w:firstLine="4320" w:firstLineChars="1800"/>
        <w:rPr>
          <w:sz w:val="24"/>
          <w:szCs w:val="32"/>
        </w:rPr>
      </w:pPr>
      <w:r>
        <w:rPr>
          <w:rFonts w:hint="eastAsia"/>
          <w:sz w:val="24"/>
          <w:szCs w:val="32"/>
        </w:rPr>
        <w:t>法定代表人（签字）：</w:t>
      </w:r>
      <w:r>
        <w:rPr>
          <w:rFonts w:hint="eastAsia"/>
          <w:sz w:val="24"/>
          <w:szCs w:val="32"/>
          <w:u w:val="single"/>
        </w:rPr>
        <w:t xml:space="preserve">           </w:t>
      </w:r>
      <w:r>
        <w:rPr>
          <w:rFonts w:hint="eastAsia"/>
          <w:sz w:val="24"/>
          <w:szCs w:val="32"/>
        </w:rPr>
        <w:t xml:space="preserve"> </w:t>
      </w:r>
    </w:p>
    <w:p>
      <w:pPr>
        <w:wordWrap w:val="0"/>
        <w:topLinePunct/>
        <w:spacing w:line="360" w:lineRule="auto"/>
        <w:ind w:firstLine="4320" w:firstLineChars="1800"/>
        <w:rPr>
          <w:rFonts w:ascii="宋体" w:hAnsi="宋体"/>
          <w:szCs w:val="21"/>
        </w:rPr>
      </w:pPr>
      <w:r>
        <w:rPr>
          <w:rFonts w:hint="eastAsia"/>
          <w:sz w:val="24"/>
          <w:szCs w:val="32"/>
        </w:rPr>
        <w:t>供应商（盖公章）：</w:t>
      </w:r>
      <w:r>
        <w:rPr>
          <w:rFonts w:hint="eastAsia"/>
          <w:sz w:val="24"/>
          <w:szCs w:val="32"/>
          <w:u w:val="single"/>
        </w:rPr>
        <w:t xml:space="preserve">                     </w:t>
      </w:r>
      <w:r>
        <w:rPr>
          <w:rFonts w:hint="eastAsia"/>
          <w:sz w:val="24"/>
          <w:szCs w:val="32"/>
        </w:rPr>
        <w:t xml:space="preserve">  </w:t>
      </w:r>
      <w:r>
        <w:rPr>
          <w:rFonts w:hint="eastAsia"/>
        </w:rPr>
        <w:t xml:space="preserve">    </w:t>
      </w:r>
      <w:r>
        <w:rPr>
          <w:rFonts w:hint="eastAsia" w:ascii="宋体" w:hAnsi="宋体" w:cs="宋体"/>
          <w:szCs w:val="21"/>
        </w:rPr>
        <w:t xml:space="preserve">                                                            </w:t>
      </w:r>
      <w:r>
        <w:rPr>
          <w:rFonts w:hint="eastAsia"/>
        </w:rPr>
        <w:t xml:space="preserve"> 年    月    日 </w:t>
      </w:r>
    </w:p>
    <w:p>
      <w:pPr>
        <w:snapToGrid w:val="0"/>
        <w:spacing w:before="156" w:beforeLines="50" w:after="50" w:line="360" w:lineRule="auto"/>
        <w:jc w:val="left"/>
        <w:rPr>
          <w:rFonts w:ascii="宋体" w:hAnsi="宋体"/>
          <w:b/>
          <w:bCs/>
          <w:sz w:val="32"/>
          <w:szCs w:val="32"/>
        </w:rPr>
        <w:sectPr>
          <w:pgSz w:w="11906" w:h="16838"/>
          <w:pgMar w:top="1440" w:right="1080" w:bottom="1440" w:left="1080" w:header="1134" w:footer="992" w:gutter="0"/>
          <w:cols w:space="720" w:num="1"/>
          <w:titlePg/>
          <w:docGrid w:type="lines" w:linePitch="312" w:charSpace="0"/>
        </w:sectPr>
      </w:pPr>
    </w:p>
    <w:p>
      <w:pPr>
        <w:snapToGrid w:val="0"/>
        <w:spacing w:before="156" w:beforeLines="50" w:after="50" w:line="360" w:lineRule="auto"/>
        <w:jc w:val="left"/>
        <w:rPr>
          <w:rFonts w:ascii="宋体" w:hAnsi="宋体"/>
          <w:b/>
          <w:sz w:val="32"/>
          <w:szCs w:val="32"/>
        </w:rPr>
      </w:pPr>
      <w:r>
        <w:rPr>
          <w:rFonts w:hint="eastAsia" w:ascii="宋体" w:hAnsi="宋体"/>
          <w:b/>
          <w:bCs/>
          <w:sz w:val="32"/>
          <w:szCs w:val="32"/>
        </w:rPr>
        <w:t>二、</w:t>
      </w:r>
      <w:r>
        <w:rPr>
          <w:rFonts w:hint="eastAsia" w:ascii="宋体" w:hAnsi="宋体"/>
          <w:b/>
          <w:sz w:val="32"/>
          <w:szCs w:val="32"/>
        </w:rPr>
        <w:t xml:space="preserve">报价文件格式 </w:t>
      </w:r>
    </w:p>
    <w:p>
      <w:pPr>
        <w:snapToGrid w:val="0"/>
        <w:spacing w:before="156" w:beforeLines="50" w:after="50" w:line="360" w:lineRule="auto"/>
        <w:jc w:val="left"/>
        <w:rPr>
          <w:rFonts w:ascii="宋体" w:hAnsi="宋体"/>
          <w:b/>
          <w:sz w:val="32"/>
          <w:szCs w:val="32"/>
        </w:rPr>
      </w:pPr>
      <w:r>
        <w:rPr>
          <w:rFonts w:hint="eastAsia" w:ascii="宋体" w:hAnsi="宋体"/>
          <w:b/>
          <w:sz w:val="32"/>
          <w:szCs w:val="32"/>
        </w:rPr>
        <w:t>1.报价文件封面格式</w:t>
      </w:r>
    </w:p>
    <w:p>
      <w:pPr>
        <w:snapToGrid w:val="0"/>
        <w:spacing w:before="156" w:beforeLines="50" w:after="50"/>
        <w:rPr>
          <w:rFonts w:ascii="宋体" w:hAnsi="宋体"/>
          <w:sz w:val="24"/>
          <w:szCs w:val="20"/>
        </w:rPr>
      </w:pPr>
      <w:r>
        <w:rPr>
          <w:rFonts w:hint="eastAsia" w:ascii="宋体" w:hAnsi="宋体"/>
          <w:sz w:val="24"/>
        </w:rPr>
        <w:t xml:space="preserve">                                                  </w:t>
      </w: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pStyle w:val="5"/>
        <w:jc w:val="center"/>
        <w:rPr>
          <w:b w:val="0"/>
          <w:bCs w:val="0"/>
          <w:sz w:val="96"/>
          <w:szCs w:val="96"/>
        </w:rPr>
      </w:pPr>
      <w:r>
        <w:rPr>
          <w:rFonts w:hint="eastAsia"/>
          <w:b w:val="0"/>
          <w:bCs w:val="0"/>
          <w:sz w:val="96"/>
          <w:szCs w:val="96"/>
        </w:rPr>
        <w:t>报价文件</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pPr>
        <w:snapToGrid w:val="0"/>
        <w:spacing w:before="156" w:beforeLines="50" w:after="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所竞分标（如有则填写，无分标时填写“无”或者留空）：</w:t>
      </w:r>
    </w:p>
    <w:p>
      <w:pPr>
        <w:pStyle w:val="6"/>
        <w:snapToGrid w:val="0"/>
        <w:spacing w:before="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pPr>
        <w:pStyle w:val="6"/>
        <w:snapToGrid w:val="0"/>
        <w:spacing w:before="50" w:after="50"/>
        <w:ind w:firstLine="720" w:firstLineChars="225"/>
        <w:rPr>
          <w:rFonts w:ascii="仿宋_GB2312" w:hAnsi="仿宋_GB2312" w:eastAsia="仿宋_GB2312" w:cs="仿宋_GB2312"/>
          <w:bCs/>
          <w:sz w:val="32"/>
          <w:szCs w:val="32"/>
        </w:rPr>
      </w:pPr>
    </w:p>
    <w:p>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before="156"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2.报价文件目录</w:t>
      </w:r>
    </w:p>
    <w:p>
      <w:pPr>
        <w:snapToGrid w:val="0"/>
        <w:spacing w:before="156" w:beforeLines="50" w:after="50" w:line="360" w:lineRule="auto"/>
        <w:ind w:firstLine="480" w:firstLineChars="200"/>
        <w:rPr>
          <w:rFonts w:ascii="宋体" w:hAnsi="宋体"/>
          <w:sz w:val="24"/>
        </w:rPr>
      </w:pPr>
      <w:r>
        <w:rPr>
          <w:rFonts w:hint="eastAsia" w:ascii="宋体" w:hAnsi="宋体"/>
          <w:sz w:val="24"/>
        </w:rPr>
        <w:t>根据竞争性谈判文件规定及供应商提供的材料自行编写目录（部分格式后附）。</w:t>
      </w:r>
    </w:p>
    <w:p>
      <w:pPr>
        <w:spacing w:line="400" w:lineRule="exact"/>
        <w:rPr>
          <w:rFonts w:ascii="仿宋_GB2312" w:hAnsi="仿宋_GB2312" w:eastAsia="仿宋_GB2312" w:cs="仿宋_GB2312"/>
          <w:sz w:val="32"/>
          <w:szCs w:val="32"/>
        </w:rPr>
      </w:pPr>
    </w:p>
    <w:p>
      <w:pPr>
        <w:pStyle w:val="4"/>
        <w:jc w:val="center"/>
      </w:pPr>
      <w:r>
        <w:rPr>
          <w:rFonts w:hint="eastAsia" w:ascii="方正小标宋简体" w:hAnsi="方正小标宋简体" w:eastAsia="方正小标宋简体" w:cs="方正小标宋简体"/>
          <w:sz w:val="44"/>
          <w:szCs w:val="44"/>
        </w:rPr>
        <w:br w:type="page"/>
      </w:r>
      <w:r>
        <w:rPr>
          <w:rFonts w:hint="eastAsia"/>
          <w:sz w:val="44"/>
          <w:szCs w:val="36"/>
        </w:rPr>
        <w:t>竞标报价表</w:t>
      </w:r>
    </w:p>
    <w:p>
      <w:pPr>
        <w:spacing w:line="520" w:lineRule="exact"/>
        <w:jc w:val="center"/>
        <w:rPr>
          <w:rFonts w:ascii="方正小标宋简体" w:hAnsi="方正小标宋简体" w:eastAsia="方正小标宋简体" w:cs="方正小标宋简体"/>
          <w:bCs/>
          <w:sz w:val="32"/>
          <w:szCs w:val="32"/>
        </w:rPr>
      </w:pPr>
    </w:p>
    <w:p>
      <w:pPr>
        <w:snapToGrid w:val="0"/>
        <w:spacing w:before="50" w:after="50" w:line="360" w:lineRule="auto"/>
        <w:rPr>
          <w:rFonts w:ascii="宋体" w:hAnsi="宋体" w:cs="仿宋_GB2312"/>
          <w:sz w:val="24"/>
          <w:u w:val="single"/>
        </w:rPr>
      </w:pPr>
      <w:bookmarkStart w:id="83" w:name="_Hlk48036220"/>
      <w:r>
        <w:rPr>
          <w:rFonts w:hint="eastAsia" w:ascii="宋体" w:hAnsi="宋体" w:cs="仿宋_GB2312"/>
          <w:sz w:val="24"/>
        </w:rPr>
        <w:t>项目名称：</w:t>
      </w:r>
      <w:r>
        <w:rPr>
          <w:rFonts w:hint="eastAsia" w:ascii="宋体" w:hAnsi="宋体" w:cs="仿宋_GB2312"/>
          <w:sz w:val="24"/>
          <w:u w:val="single"/>
        </w:rPr>
        <w:t xml:space="preserve">                </w:t>
      </w:r>
    </w:p>
    <w:p>
      <w:pPr>
        <w:snapToGrid w:val="0"/>
        <w:spacing w:before="50" w:after="50" w:line="360" w:lineRule="auto"/>
        <w:rPr>
          <w:rFonts w:ascii="宋体" w:hAnsi="宋体" w:cs="仿宋_GB2312"/>
          <w:sz w:val="24"/>
        </w:rPr>
      </w:pP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p>
      <w:pPr>
        <w:snapToGrid w:val="0"/>
        <w:spacing w:before="50" w:after="50" w:line="360" w:lineRule="auto"/>
        <w:rPr>
          <w:rFonts w:ascii="宋体" w:hAnsi="宋体" w:cs="仿宋_GB2312"/>
          <w:sz w:val="24"/>
        </w:rPr>
      </w:pPr>
      <w:r>
        <w:rPr>
          <w:rFonts w:hint="eastAsia" w:ascii="宋体" w:hAnsi="宋体" w:cs="仿宋_GB2312"/>
          <w:sz w:val="24"/>
        </w:rPr>
        <w:t>分标（如有）：</w:t>
      </w:r>
      <w:r>
        <w:rPr>
          <w:rFonts w:hint="eastAsia" w:ascii="宋体" w:hAnsi="宋体" w:cs="仿宋_GB2312"/>
          <w:sz w:val="24"/>
          <w:u w:val="single"/>
        </w:rPr>
        <w:t xml:space="preserve">            </w:t>
      </w:r>
    </w:p>
    <w:p>
      <w:pPr>
        <w:snapToGrid w:val="0"/>
        <w:spacing w:before="50" w:after="50" w:line="360" w:lineRule="auto"/>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 xml:space="preserve">                      </w:t>
      </w:r>
    </w:p>
    <w:p>
      <w:pPr>
        <w:snapToGrid w:val="0"/>
        <w:spacing w:before="50" w:after="50"/>
        <w:ind w:firstLine="5520" w:firstLineChars="2300"/>
        <w:jc w:val="right"/>
        <w:rPr>
          <w:rFonts w:ascii="宋体" w:hAnsi="宋体" w:cs="仿宋_GB2312"/>
          <w:sz w:val="24"/>
        </w:rPr>
      </w:pPr>
      <w:r>
        <w:rPr>
          <w:rFonts w:hint="eastAsia" w:ascii="宋体" w:hAnsi="宋体" w:cs="仿宋_GB2312"/>
          <w:sz w:val="24"/>
        </w:rPr>
        <w:t>单位：元</w:t>
      </w:r>
    </w:p>
    <w:tbl>
      <w:tblPr>
        <w:tblStyle w:val="24"/>
        <w:tblW w:w="498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4"/>
        <w:gridCol w:w="995"/>
        <w:gridCol w:w="938"/>
        <w:gridCol w:w="810"/>
        <w:gridCol w:w="995"/>
        <w:gridCol w:w="1126"/>
        <w:gridCol w:w="1021"/>
        <w:gridCol w:w="1021"/>
        <w:gridCol w:w="723"/>
        <w:gridCol w:w="17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trPr>
        <w:tc>
          <w:tcPr>
            <w:tcW w:w="279" w:type="pct"/>
            <w:tcBorders>
              <w:top w:val="single" w:color="auto" w:sz="4" w:space="0"/>
              <w:left w:val="single" w:color="auto" w:sz="4" w:space="0"/>
              <w:bottom w:val="single" w:color="auto" w:sz="4" w:space="0"/>
              <w:right w:val="single" w:color="auto" w:sz="4" w:space="0"/>
            </w:tcBorders>
            <w:tcFitText/>
            <w:vAlign w:val="center"/>
          </w:tcPr>
          <w:p>
            <w:pPr>
              <w:jc w:val="center"/>
              <w:rPr>
                <w:rFonts w:ascii="宋体" w:hAnsi="宋体" w:cs="仿宋_GB2312"/>
                <w:b/>
                <w:bCs/>
                <w:sz w:val="24"/>
              </w:rPr>
            </w:pPr>
            <w:r>
              <w:rPr>
                <w:rFonts w:hint="eastAsia" w:ascii="宋体" w:hAnsi="宋体" w:cs="仿宋_GB2312"/>
                <w:b/>
                <w:bCs/>
                <w:w w:val="65"/>
                <w:sz w:val="24"/>
              </w:rPr>
              <w:t>项</w:t>
            </w:r>
            <w:r>
              <w:rPr>
                <w:rFonts w:hint="eastAsia" w:ascii="宋体" w:hAnsi="宋体" w:cs="仿宋_GB2312"/>
                <w:b/>
                <w:bCs/>
                <w:spacing w:val="2"/>
                <w:w w:val="65"/>
                <w:sz w:val="24"/>
              </w:rPr>
              <w:t>号</w:t>
            </w:r>
          </w:p>
        </w:tc>
        <w:tc>
          <w:tcPr>
            <w:tcW w:w="501" w:type="pct"/>
            <w:tcBorders>
              <w:top w:val="single" w:color="auto" w:sz="4" w:space="0"/>
              <w:left w:val="single" w:color="auto" w:sz="4" w:space="0"/>
              <w:bottom w:val="single" w:color="auto" w:sz="4" w:space="0"/>
              <w:right w:val="single" w:color="auto" w:sz="4" w:space="0"/>
            </w:tcBorders>
            <w:tcFitText/>
            <w:vAlign w:val="center"/>
          </w:tcPr>
          <w:p>
            <w:pPr>
              <w:jc w:val="center"/>
              <w:rPr>
                <w:rFonts w:ascii="宋体" w:hAnsi="宋体" w:cs="仿宋_GB2312"/>
                <w:b/>
                <w:bCs/>
                <w:sz w:val="24"/>
              </w:rPr>
            </w:pPr>
            <w:r>
              <w:rPr>
                <w:rFonts w:hint="eastAsia" w:ascii="宋体" w:hAnsi="宋体" w:cs="仿宋_GB2312"/>
                <w:b/>
                <w:bCs/>
                <w:spacing w:val="143"/>
                <w:sz w:val="24"/>
              </w:rPr>
              <w:t>货</w:t>
            </w:r>
            <w:r>
              <w:rPr>
                <w:rFonts w:hint="eastAsia" w:ascii="宋体" w:hAnsi="宋体" w:cs="仿宋_GB2312"/>
                <w:b/>
                <w:bCs/>
                <w:sz w:val="24"/>
              </w:rPr>
              <w:t>物</w:t>
            </w:r>
          </w:p>
          <w:p>
            <w:pPr>
              <w:jc w:val="center"/>
              <w:rPr>
                <w:rFonts w:ascii="宋体" w:hAnsi="宋体" w:cs="仿宋_GB2312"/>
                <w:b/>
                <w:bCs/>
                <w:sz w:val="24"/>
              </w:rPr>
            </w:pPr>
            <w:r>
              <w:rPr>
                <w:rFonts w:hint="eastAsia" w:ascii="宋体" w:hAnsi="宋体" w:cs="仿宋_GB2312"/>
                <w:b/>
                <w:bCs/>
                <w:sz w:val="24"/>
              </w:rPr>
              <w:t>名称</w:t>
            </w:r>
          </w:p>
        </w:tc>
        <w:tc>
          <w:tcPr>
            <w:tcW w:w="472" w:type="pct"/>
            <w:tcBorders>
              <w:top w:val="single" w:color="auto" w:sz="4" w:space="0"/>
              <w:left w:val="single" w:color="auto" w:sz="4" w:space="0"/>
              <w:bottom w:val="single" w:color="auto" w:sz="4" w:space="0"/>
              <w:right w:val="single" w:color="auto" w:sz="4" w:space="0"/>
            </w:tcBorders>
            <w:tcFitText/>
            <w:vAlign w:val="center"/>
          </w:tcPr>
          <w:p>
            <w:pPr>
              <w:jc w:val="center"/>
              <w:rPr>
                <w:rFonts w:ascii="宋体" w:hAnsi="宋体" w:cs="仿宋_GB2312"/>
                <w:b/>
                <w:bCs/>
                <w:sz w:val="24"/>
              </w:rPr>
            </w:pPr>
            <w:r>
              <w:rPr>
                <w:rFonts w:hint="eastAsia" w:ascii="宋体" w:hAnsi="宋体" w:cs="仿宋_GB2312"/>
                <w:b/>
                <w:bCs/>
                <w:w w:val="58"/>
                <w:sz w:val="24"/>
              </w:rPr>
              <w:t>数量及单</w:t>
            </w:r>
            <w:r>
              <w:rPr>
                <w:rFonts w:hint="eastAsia" w:ascii="宋体" w:hAnsi="宋体" w:cs="仿宋_GB2312"/>
                <w:b/>
                <w:bCs/>
                <w:spacing w:val="1"/>
                <w:w w:val="58"/>
                <w:sz w:val="24"/>
              </w:rPr>
              <w:t>位</w:t>
            </w:r>
          </w:p>
          <w:p>
            <w:pPr>
              <w:jc w:val="center"/>
              <w:rPr>
                <w:rFonts w:ascii="宋体" w:hAnsi="宋体" w:cs="仿宋_GB2312"/>
                <w:b/>
                <w:bCs/>
                <w:sz w:val="24"/>
              </w:rPr>
            </w:pPr>
            <w:r>
              <w:rPr>
                <w:rFonts w:hint="eastAsia" w:ascii="宋体" w:hAnsi="宋体" w:cs="仿宋_GB2312"/>
                <w:b/>
                <w:bCs/>
                <w:sz w:val="24"/>
              </w:rPr>
              <w:t>①</w:t>
            </w:r>
          </w:p>
        </w:tc>
        <w:tc>
          <w:tcPr>
            <w:tcW w:w="408" w:type="pct"/>
            <w:tcBorders>
              <w:top w:val="single" w:color="auto" w:sz="4" w:space="0"/>
              <w:left w:val="single" w:color="auto" w:sz="4" w:space="0"/>
              <w:bottom w:val="single" w:color="auto" w:sz="4" w:space="0"/>
              <w:right w:val="single" w:color="auto" w:sz="4" w:space="0"/>
            </w:tcBorders>
            <w:tcFitText/>
            <w:vAlign w:val="center"/>
          </w:tcPr>
          <w:p>
            <w:pPr>
              <w:jc w:val="center"/>
              <w:rPr>
                <w:rFonts w:ascii="宋体" w:hAnsi="宋体" w:cs="仿宋_GB2312"/>
                <w:b/>
                <w:bCs/>
                <w:sz w:val="24"/>
              </w:rPr>
            </w:pPr>
            <w:r>
              <w:rPr>
                <w:rFonts w:hint="eastAsia" w:ascii="宋体" w:hAnsi="宋体" w:cs="仿宋_GB2312"/>
                <w:b/>
                <w:bCs/>
                <w:spacing w:val="51"/>
                <w:sz w:val="24"/>
              </w:rPr>
              <w:t>品</w:t>
            </w:r>
            <w:r>
              <w:rPr>
                <w:rFonts w:hint="eastAsia" w:ascii="宋体" w:hAnsi="宋体" w:cs="仿宋_GB2312"/>
                <w:b/>
                <w:bCs/>
                <w:sz w:val="24"/>
              </w:rPr>
              <w:t>牌</w:t>
            </w:r>
          </w:p>
        </w:tc>
        <w:tc>
          <w:tcPr>
            <w:tcW w:w="501" w:type="pct"/>
            <w:tcBorders>
              <w:top w:val="single" w:color="auto" w:sz="4" w:space="0"/>
              <w:left w:val="single" w:color="auto" w:sz="4" w:space="0"/>
              <w:bottom w:val="single" w:color="auto" w:sz="4" w:space="0"/>
              <w:right w:val="single" w:color="auto" w:sz="4" w:space="0"/>
            </w:tcBorders>
            <w:tcFitText/>
            <w:vAlign w:val="center"/>
          </w:tcPr>
          <w:p>
            <w:pPr>
              <w:jc w:val="center"/>
              <w:rPr>
                <w:rFonts w:ascii="宋体" w:hAnsi="宋体" w:cs="仿宋_GB2312"/>
                <w:b/>
                <w:bCs/>
                <w:sz w:val="24"/>
              </w:rPr>
            </w:pPr>
            <w:r>
              <w:rPr>
                <w:rFonts w:hint="eastAsia" w:ascii="宋体" w:hAnsi="宋体" w:cs="仿宋_GB2312"/>
                <w:b/>
                <w:bCs/>
                <w:spacing w:val="143"/>
                <w:sz w:val="24"/>
              </w:rPr>
              <w:t>规</w:t>
            </w:r>
            <w:r>
              <w:rPr>
                <w:rFonts w:hint="eastAsia" w:ascii="宋体" w:hAnsi="宋体" w:cs="仿宋_GB2312"/>
                <w:b/>
                <w:bCs/>
                <w:sz w:val="24"/>
              </w:rPr>
              <w:t>格</w:t>
            </w:r>
          </w:p>
          <w:p>
            <w:pPr>
              <w:jc w:val="center"/>
              <w:rPr>
                <w:rFonts w:ascii="宋体" w:hAnsi="宋体" w:cs="仿宋_GB2312"/>
                <w:b/>
                <w:bCs/>
                <w:sz w:val="24"/>
              </w:rPr>
            </w:pPr>
            <w:r>
              <w:rPr>
                <w:rFonts w:hint="eastAsia" w:ascii="宋体" w:hAnsi="宋体" w:cs="仿宋_GB2312"/>
                <w:b/>
                <w:bCs/>
                <w:sz w:val="24"/>
              </w:rPr>
              <w:t>型号</w:t>
            </w:r>
          </w:p>
        </w:tc>
        <w:tc>
          <w:tcPr>
            <w:tcW w:w="567" w:type="pct"/>
            <w:tcBorders>
              <w:top w:val="single" w:color="auto" w:sz="4" w:space="0"/>
              <w:left w:val="single" w:color="auto" w:sz="4" w:space="0"/>
              <w:bottom w:val="single" w:color="auto" w:sz="4" w:space="0"/>
              <w:right w:val="single" w:color="auto" w:sz="4" w:space="0"/>
            </w:tcBorders>
            <w:tcFitText/>
            <w:vAlign w:val="center"/>
          </w:tcPr>
          <w:p>
            <w:pPr>
              <w:jc w:val="center"/>
              <w:rPr>
                <w:rFonts w:ascii="宋体" w:hAnsi="宋体" w:cs="仿宋_GB2312"/>
                <w:b/>
                <w:bCs/>
                <w:sz w:val="24"/>
              </w:rPr>
            </w:pPr>
            <w:r>
              <w:rPr>
                <w:rFonts w:hint="eastAsia" w:ascii="宋体" w:hAnsi="宋体" w:cs="仿宋_GB2312"/>
                <w:b/>
                <w:bCs/>
                <w:spacing w:val="44"/>
                <w:sz w:val="24"/>
              </w:rPr>
              <w:t>制造</w:t>
            </w:r>
            <w:r>
              <w:rPr>
                <w:rFonts w:hint="eastAsia" w:ascii="宋体" w:hAnsi="宋体" w:cs="仿宋_GB2312"/>
                <w:b/>
                <w:bCs/>
                <w:sz w:val="24"/>
              </w:rPr>
              <w:t>商</w:t>
            </w:r>
          </w:p>
        </w:tc>
        <w:tc>
          <w:tcPr>
            <w:tcW w:w="514" w:type="pct"/>
            <w:tcBorders>
              <w:top w:val="single" w:color="auto" w:sz="4" w:space="0"/>
              <w:left w:val="single" w:color="auto" w:sz="4" w:space="0"/>
              <w:bottom w:val="single" w:color="auto" w:sz="4" w:space="0"/>
              <w:right w:val="single" w:color="auto" w:sz="4" w:space="0"/>
            </w:tcBorders>
            <w:tcFitText/>
            <w:vAlign w:val="center"/>
          </w:tcPr>
          <w:p>
            <w:pPr>
              <w:jc w:val="center"/>
              <w:rPr>
                <w:rFonts w:ascii="宋体" w:hAnsi="宋体" w:cs="仿宋_GB2312"/>
                <w:b/>
                <w:bCs/>
                <w:sz w:val="24"/>
              </w:rPr>
            </w:pPr>
            <w:r>
              <w:rPr>
                <w:rFonts w:hint="eastAsia" w:ascii="宋体" w:hAnsi="宋体" w:cs="仿宋_GB2312"/>
                <w:b/>
                <w:bCs/>
                <w:spacing w:val="18"/>
                <w:sz w:val="24"/>
              </w:rPr>
              <w:t>原产</w:t>
            </w:r>
            <w:r>
              <w:rPr>
                <w:rFonts w:hint="eastAsia" w:ascii="宋体" w:hAnsi="宋体" w:cs="仿宋_GB2312"/>
                <w:b/>
                <w:bCs/>
                <w:sz w:val="24"/>
              </w:rPr>
              <w:t>地</w:t>
            </w:r>
          </w:p>
        </w:tc>
        <w:tc>
          <w:tcPr>
            <w:tcW w:w="5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b/>
                <w:bCs/>
                <w:sz w:val="24"/>
              </w:rPr>
            </w:pPr>
            <w:r>
              <w:rPr>
                <w:rFonts w:hint="eastAsia"/>
                <w:b/>
                <w:bCs/>
              </w:rPr>
              <w:t>参数性能、指标及配置</w:t>
            </w:r>
          </w:p>
        </w:tc>
        <w:tc>
          <w:tcPr>
            <w:tcW w:w="364" w:type="pct"/>
            <w:tcBorders>
              <w:top w:val="single" w:color="auto" w:sz="4" w:space="0"/>
              <w:left w:val="single" w:color="auto" w:sz="4" w:space="0"/>
              <w:bottom w:val="single" w:color="auto" w:sz="4" w:space="0"/>
              <w:right w:val="single" w:color="auto" w:sz="4" w:space="0"/>
            </w:tcBorders>
            <w:tcFitText/>
            <w:vAlign w:val="center"/>
          </w:tcPr>
          <w:p>
            <w:pPr>
              <w:jc w:val="center"/>
              <w:rPr>
                <w:rFonts w:ascii="宋体" w:hAnsi="宋体" w:cs="仿宋_GB2312"/>
                <w:b/>
                <w:bCs/>
                <w:sz w:val="24"/>
              </w:rPr>
            </w:pPr>
            <w:r>
              <w:rPr>
                <w:rFonts w:hint="eastAsia" w:ascii="宋体" w:hAnsi="宋体" w:cs="仿宋_GB2312"/>
                <w:b/>
                <w:bCs/>
                <w:spacing w:val="7"/>
                <w:sz w:val="24"/>
              </w:rPr>
              <w:t>单</w:t>
            </w:r>
            <w:r>
              <w:rPr>
                <w:rFonts w:hint="eastAsia" w:ascii="宋体" w:hAnsi="宋体" w:cs="仿宋_GB2312"/>
                <w:b/>
                <w:bCs/>
                <w:sz w:val="24"/>
              </w:rPr>
              <w:t>价</w:t>
            </w:r>
          </w:p>
          <w:p>
            <w:pPr>
              <w:jc w:val="center"/>
              <w:rPr>
                <w:rFonts w:ascii="宋体" w:hAnsi="宋体" w:cs="仿宋_GB2312"/>
                <w:b/>
                <w:bCs/>
                <w:sz w:val="24"/>
              </w:rPr>
            </w:pPr>
            <w:r>
              <w:rPr>
                <w:rFonts w:hint="eastAsia" w:ascii="宋体" w:hAnsi="宋体" w:cs="仿宋_GB2312"/>
                <w:b/>
                <w:bCs/>
                <w:sz w:val="24"/>
              </w:rPr>
              <w:t>②</w:t>
            </w:r>
          </w:p>
        </w:tc>
        <w:tc>
          <w:tcPr>
            <w:tcW w:w="874" w:type="pct"/>
            <w:tcBorders>
              <w:top w:val="single" w:color="auto" w:sz="4" w:space="0"/>
              <w:left w:val="single" w:color="auto" w:sz="4" w:space="0"/>
              <w:bottom w:val="single" w:color="auto" w:sz="4" w:space="0"/>
              <w:right w:val="single" w:color="auto" w:sz="4" w:space="0"/>
            </w:tcBorders>
            <w:tcFitText/>
            <w:vAlign w:val="center"/>
          </w:tcPr>
          <w:p>
            <w:pPr>
              <w:jc w:val="center"/>
              <w:rPr>
                <w:rFonts w:ascii="宋体" w:hAnsi="宋体" w:cs="仿宋_GB2312"/>
                <w:b/>
                <w:bCs/>
                <w:sz w:val="24"/>
              </w:rPr>
            </w:pPr>
            <w:r>
              <w:rPr>
                <w:rFonts w:hint="eastAsia" w:ascii="宋体" w:hAnsi="宋体" w:cs="仿宋_GB2312"/>
                <w:b/>
                <w:bCs/>
                <w:spacing w:val="93"/>
                <w:sz w:val="24"/>
              </w:rPr>
              <w:t>竞标报</w:t>
            </w:r>
            <w:r>
              <w:rPr>
                <w:rFonts w:hint="eastAsia" w:ascii="宋体" w:hAnsi="宋体" w:cs="仿宋_GB2312"/>
                <w:b/>
                <w:bCs/>
                <w:sz w:val="24"/>
              </w:rPr>
              <w:t>价</w:t>
            </w:r>
          </w:p>
          <w:p>
            <w:pPr>
              <w:jc w:val="center"/>
              <w:rPr>
                <w:rFonts w:ascii="宋体" w:hAnsi="宋体" w:cs="仿宋_GB2312"/>
                <w:b/>
                <w:bCs/>
                <w:sz w:val="24"/>
              </w:rPr>
            </w:pPr>
            <w:r>
              <w:rPr>
                <w:rFonts w:hint="eastAsia" w:ascii="宋体" w:hAnsi="宋体" w:cs="仿宋_GB2312"/>
                <w:b/>
                <w:bCs/>
                <w:sz w:val="24"/>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2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1</w:t>
            </w: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47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40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5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514"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sz w:val="24"/>
              </w:rPr>
            </w:pPr>
          </w:p>
        </w:tc>
        <w:tc>
          <w:tcPr>
            <w:tcW w:w="5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3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2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2</w:t>
            </w: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47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40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5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514"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sz w:val="24"/>
              </w:rPr>
            </w:pPr>
          </w:p>
        </w:tc>
        <w:tc>
          <w:tcPr>
            <w:tcW w:w="5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3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2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w:t>
            </w: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w:t>
            </w:r>
          </w:p>
        </w:tc>
        <w:tc>
          <w:tcPr>
            <w:tcW w:w="47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40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5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5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514"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sz w:val="24"/>
              </w:rPr>
            </w:pPr>
          </w:p>
        </w:tc>
        <w:tc>
          <w:tcPr>
            <w:tcW w:w="51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3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8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000" w:type="pct"/>
            <w:gridSpan w:val="10"/>
            <w:tcBorders>
              <w:top w:val="single" w:color="auto" w:sz="4" w:space="0"/>
              <w:left w:val="single" w:color="auto" w:sz="4" w:space="0"/>
              <w:bottom w:val="single" w:color="auto" w:sz="4" w:space="0"/>
              <w:right w:val="single" w:color="auto" w:sz="4" w:space="0"/>
            </w:tcBorders>
          </w:tcPr>
          <w:p>
            <w:pPr>
              <w:snapToGrid w:val="0"/>
              <w:spacing w:before="50" w:after="50" w:line="360" w:lineRule="auto"/>
              <w:rPr>
                <w:rFonts w:ascii="宋体" w:hAnsi="宋体" w:cs="仿宋_GB2312"/>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p>
            <w:pPr>
              <w:snapToGrid w:val="0"/>
              <w:spacing w:before="50" w:after="50" w:line="360" w:lineRule="auto"/>
              <w:rPr>
                <w:rFonts w:ascii="宋体" w:hAnsi="宋体" w:cs="仿宋_GB2312"/>
                <w:sz w:val="24"/>
                <w:u w:val="single"/>
              </w:rPr>
            </w:pPr>
            <w:r>
              <w:rPr>
                <w:rFonts w:hint="eastAsia" w:ascii="宋体" w:hAnsi="宋体" w:cs="仿宋_GB2312"/>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pPr>
        <w:snapToGrid w:val="0"/>
        <w:spacing w:before="50" w:after="50" w:line="360" w:lineRule="auto"/>
        <w:jc w:val="left"/>
        <w:rPr>
          <w:rFonts w:ascii="宋体" w:hAnsi="宋体" w:cs="仿宋_GB2312"/>
          <w:sz w:val="24"/>
        </w:rPr>
      </w:pPr>
      <w:r>
        <w:rPr>
          <w:rFonts w:hint="eastAsia" w:ascii="宋体" w:hAnsi="宋体" w:cs="仿宋_GB2312"/>
          <w:sz w:val="24"/>
        </w:rPr>
        <w:t xml:space="preserve">注: </w:t>
      </w:r>
    </w:p>
    <w:p>
      <w:pPr>
        <w:numPr>
          <w:ilvl w:val="0"/>
          <w:numId w:val="31"/>
        </w:numPr>
        <w:snapToGrid w:val="0"/>
        <w:spacing w:before="50" w:after="50" w:line="360" w:lineRule="auto"/>
        <w:ind w:firstLine="480" w:firstLineChars="200"/>
        <w:jc w:val="left"/>
        <w:rPr>
          <w:rFonts w:ascii="宋体" w:hAnsi="宋体" w:cs="仿宋_GB2312"/>
          <w:sz w:val="24"/>
        </w:rPr>
      </w:pPr>
      <w:r>
        <w:rPr>
          <w:rFonts w:hint="eastAsia" w:ascii="宋体" w:hAnsi="宋体"/>
          <w:sz w:val="24"/>
        </w:rPr>
        <w:t>以上性能配置清单中“货物名称、数量及单位、品牌、规格型号、制造商、原产地、参数性能、指标及配置”必须如实填写完整，品牌、规格型号没有则填无，填写有缺漏</w:t>
      </w:r>
      <w:r>
        <w:rPr>
          <w:rFonts w:hint="eastAsia" w:ascii="宋体" w:hAnsi="宋体"/>
          <w:bCs/>
          <w:sz w:val="24"/>
        </w:rPr>
        <w:t>的，</w:t>
      </w:r>
      <w:r>
        <w:rPr>
          <w:rFonts w:hint="eastAsia" w:ascii="宋体" w:hAnsi="宋体" w:cs="仿宋_GB2312"/>
          <w:b/>
          <w:sz w:val="24"/>
        </w:rPr>
        <w:t>其响应文件作无效处理</w:t>
      </w:r>
      <w:r>
        <w:rPr>
          <w:rFonts w:hint="eastAsia" w:ascii="宋体" w:hAnsi="宋体"/>
          <w:b/>
          <w:sz w:val="24"/>
        </w:rPr>
        <w:t>。</w:t>
      </w:r>
    </w:p>
    <w:p>
      <w:pPr>
        <w:numPr>
          <w:ilvl w:val="0"/>
          <w:numId w:val="31"/>
        </w:num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供应商的报价表必须加盖供应商公章并由法定代表人或者委托代理人签字，</w:t>
      </w:r>
      <w:r>
        <w:rPr>
          <w:rFonts w:hint="eastAsia" w:ascii="宋体" w:hAnsi="宋体" w:cs="仿宋_GB2312"/>
          <w:b/>
          <w:sz w:val="24"/>
        </w:rPr>
        <w:t>否则其响应文件作无效处理</w:t>
      </w:r>
      <w:r>
        <w:rPr>
          <w:rFonts w:hint="eastAsia" w:ascii="宋体" w:hAnsi="宋体" w:cs="仿宋_GB2312"/>
          <w:sz w:val="24"/>
        </w:rPr>
        <w:t>。</w:t>
      </w:r>
    </w:p>
    <w:p>
      <w:pPr>
        <w:numPr>
          <w:ilvl w:val="0"/>
          <w:numId w:val="31"/>
        </w:numPr>
        <w:snapToGrid w:val="0"/>
        <w:spacing w:before="50" w:after="50" w:line="360" w:lineRule="auto"/>
        <w:ind w:firstLine="480" w:firstLineChars="200"/>
        <w:jc w:val="left"/>
        <w:rPr>
          <w:rFonts w:ascii="宋体" w:hAnsi="宋体" w:cs="仿宋_GB2312"/>
          <w:b/>
          <w:sz w:val="24"/>
        </w:rPr>
      </w:pPr>
      <w:r>
        <w:rPr>
          <w:rFonts w:hint="eastAsia" w:ascii="宋体" w:hAnsi="宋体" w:cs="仿宋_GB2312"/>
          <w:sz w:val="24"/>
        </w:rPr>
        <w:t>报价一经涂改，应在涂改处加盖供应商公章或者由法定代表人或者授权委托人签字或者盖章</w:t>
      </w:r>
      <w:r>
        <w:rPr>
          <w:rFonts w:hint="eastAsia" w:ascii="宋体" w:hAnsi="宋体" w:cs="仿宋_GB2312"/>
          <w:b/>
          <w:sz w:val="24"/>
        </w:rPr>
        <w:t>，否则其响应文件作无效处理。</w:t>
      </w:r>
    </w:p>
    <w:p>
      <w:pPr>
        <w:numPr>
          <w:ilvl w:val="0"/>
          <w:numId w:val="31"/>
        </w:num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竞争性谈判文件中列明采购专用耗材的，应按竞争性谈判文件规定的耗材量或者按耗材的常规试用量提供报价。</w:t>
      </w:r>
    </w:p>
    <w:p>
      <w:pPr>
        <w:numPr>
          <w:ilvl w:val="0"/>
          <w:numId w:val="31"/>
        </w:num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否则其响应文件作无效处理。</w:t>
      </w:r>
    </w:p>
    <w:p>
      <w:pPr>
        <w:numPr>
          <w:ilvl w:val="0"/>
          <w:numId w:val="31"/>
        </w:num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如为联合体竞标,盖章处须加盖联合体各方公章，</w:t>
      </w:r>
      <w:r>
        <w:rPr>
          <w:rFonts w:hint="eastAsia" w:ascii="宋体" w:hAnsi="宋体" w:cs="仿宋_GB2312"/>
          <w:b/>
          <w:sz w:val="24"/>
        </w:rPr>
        <w:t>否则其响应文件作无效处理。</w:t>
      </w:r>
    </w:p>
    <w:p>
      <w:pPr>
        <w:numPr>
          <w:ilvl w:val="0"/>
          <w:numId w:val="31"/>
        </w:numPr>
        <w:snapToGrid w:val="0"/>
        <w:spacing w:before="50" w:after="50" w:line="360" w:lineRule="auto"/>
        <w:ind w:firstLine="456" w:firstLineChars="200"/>
        <w:rPr>
          <w:rFonts w:ascii="宋体" w:hAnsi="宋体" w:cs="仿宋_GB2312"/>
          <w:b/>
          <w:sz w:val="24"/>
        </w:rPr>
      </w:pP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否则其响应文件作无效处理。</w:t>
      </w:r>
    </w:p>
    <w:p>
      <w:pPr>
        <w:wordWrap w:val="0"/>
        <w:topLinePunct/>
        <w:snapToGrid w:val="0"/>
        <w:spacing w:before="50" w:after="50" w:line="360" w:lineRule="auto"/>
        <w:ind w:firstLine="2640" w:firstLineChars="1100"/>
        <w:jc w:val="right"/>
        <w:rPr>
          <w:rFonts w:ascii="宋体" w:hAnsi="宋体" w:cs="仿宋_GB2312"/>
          <w:sz w:val="24"/>
        </w:rPr>
      </w:pPr>
    </w:p>
    <w:p>
      <w:pPr>
        <w:wordWrap w:val="0"/>
        <w:topLinePunct/>
        <w:snapToGrid w:val="0"/>
        <w:spacing w:before="50" w:after="50" w:line="360" w:lineRule="auto"/>
        <w:ind w:firstLine="2640" w:firstLineChars="1100"/>
        <w:jc w:val="right"/>
        <w:rPr>
          <w:rFonts w:ascii="宋体" w:hAnsi="宋体" w:cs="仿宋_GB2312"/>
          <w:sz w:val="24"/>
        </w:rPr>
      </w:pPr>
    </w:p>
    <w:p>
      <w:pPr>
        <w:topLinePunct/>
        <w:snapToGrid w:val="0"/>
        <w:spacing w:before="50" w:after="50" w:line="360" w:lineRule="auto"/>
        <w:ind w:firstLine="2640" w:firstLineChars="1100"/>
        <w:jc w:val="center"/>
        <w:rPr>
          <w:rFonts w:ascii="宋体" w:hAnsi="宋体" w:cs="仿宋_GB2312"/>
          <w:sz w:val="24"/>
        </w:rPr>
      </w:pPr>
      <w:r>
        <w:rPr>
          <w:rFonts w:hint="eastAsia" w:ascii="宋体" w:hAnsi="宋体" w:cs="仿宋_GB2312"/>
          <w:sz w:val="24"/>
        </w:rPr>
        <w:t>法定代表人或者委托代理人（签字）：</w:t>
      </w:r>
    </w:p>
    <w:p>
      <w:pPr>
        <w:topLinePunct/>
        <w:snapToGrid w:val="0"/>
        <w:spacing w:before="50" w:after="50" w:line="360" w:lineRule="auto"/>
        <w:ind w:firstLine="2640" w:firstLineChars="1100"/>
        <w:jc w:val="center"/>
        <w:rPr>
          <w:rFonts w:ascii="宋体" w:hAnsi="宋体" w:cs="仿宋_GB2312"/>
          <w:sz w:val="24"/>
        </w:rPr>
      </w:pPr>
      <w:r>
        <w:rPr>
          <w:rFonts w:hint="eastAsia" w:ascii="宋体" w:hAnsi="宋体" w:cs="仿宋_GB2312"/>
          <w:sz w:val="24"/>
        </w:rPr>
        <w:t>供应商（盖公章）：</w:t>
      </w:r>
    </w:p>
    <w:p>
      <w:pPr>
        <w:topLinePunct/>
        <w:snapToGrid w:val="0"/>
        <w:spacing w:before="50" w:after="50" w:line="360" w:lineRule="auto"/>
        <w:ind w:firstLine="4080" w:firstLineChars="1700"/>
        <w:jc w:val="center"/>
        <w:rPr>
          <w:rFonts w:ascii="仿宋_GB2312" w:hAnsi="仿宋_GB2312" w:eastAsia="仿宋_GB2312" w:cs="仿宋_GB2312"/>
          <w:b/>
          <w:sz w:val="32"/>
          <w:szCs w:val="32"/>
        </w:rPr>
      </w:pPr>
      <w:r>
        <w:rPr>
          <w:rFonts w:hint="eastAsia" w:ascii="宋体" w:hAnsi="宋体" w:cs="仿宋_GB2312"/>
          <w:sz w:val="24"/>
        </w:rPr>
        <w:t>日期：2024年   月   日</w:t>
      </w:r>
      <w:bookmarkEnd w:id="83"/>
    </w:p>
    <w:p>
      <w:pPr>
        <w:spacing w:line="520" w:lineRule="exact"/>
        <w:jc w:val="center"/>
        <w:rPr>
          <w:rFonts w:ascii="方正小标宋简体" w:hAnsi="方正小标宋简体" w:eastAsia="方正小标宋简体" w:cs="方正小标宋简体"/>
          <w:sz w:val="44"/>
          <w:szCs w:val="44"/>
        </w:rPr>
        <w:sectPr>
          <w:pgSz w:w="11906" w:h="16838"/>
          <w:pgMar w:top="1440" w:right="1080" w:bottom="1440" w:left="1080" w:header="1134" w:footer="992" w:gutter="0"/>
          <w:cols w:space="720" w:num="1"/>
          <w:titlePg/>
          <w:docGrid w:type="lines" w:linePitch="312" w:charSpace="0"/>
        </w:sectPr>
      </w:pPr>
    </w:p>
    <w:p>
      <w:pPr>
        <w:snapToGrid w:val="0"/>
        <w:spacing w:before="156" w:beforeLines="50" w:after="50" w:line="360" w:lineRule="auto"/>
        <w:jc w:val="left"/>
        <w:rPr>
          <w:rFonts w:ascii="宋体" w:hAnsi="宋体"/>
          <w:b/>
          <w:sz w:val="32"/>
          <w:szCs w:val="32"/>
        </w:rPr>
      </w:pPr>
      <w:r>
        <w:rPr>
          <w:rFonts w:hint="eastAsia" w:ascii="宋体" w:hAnsi="宋体"/>
          <w:b/>
          <w:sz w:val="32"/>
          <w:szCs w:val="32"/>
        </w:rPr>
        <w:t>三.商务技术文件格式</w:t>
      </w:r>
    </w:p>
    <w:p>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pPr>
        <w:snapToGrid w:val="0"/>
        <w:spacing w:before="156" w:beforeLines="50" w:after="50"/>
        <w:rPr>
          <w:rFonts w:ascii="宋体" w:hAnsi="宋体"/>
          <w:sz w:val="24"/>
          <w:szCs w:val="20"/>
        </w:rPr>
      </w:pPr>
      <w:r>
        <w:rPr>
          <w:rFonts w:hint="eastAsia" w:ascii="宋体" w:hAnsi="宋体"/>
          <w:sz w:val="24"/>
        </w:rPr>
        <w:t xml:space="preserve">                                                  </w:t>
      </w: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pStyle w:val="5"/>
        <w:jc w:val="center"/>
        <w:rPr>
          <w:b w:val="0"/>
          <w:bCs w:val="0"/>
          <w:sz w:val="96"/>
          <w:szCs w:val="96"/>
        </w:rPr>
      </w:pPr>
      <w:r>
        <w:rPr>
          <w:rFonts w:hint="eastAsia"/>
          <w:b w:val="0"/>
          <w:bCs w:val="0"/>
          <w:sz w:val="96"/>
          <w:szCs w:val="96"/>
        </w:rPr>
        <w:t>商务技术文件</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w:t>
      </w:r>
    </w:p>
    <w:p>
      <w:pPr>
        <w:snapToGrid w:val="0"/>
        <w:spacing w:before="156" w:beforeLines="50" w:after="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所竞分标（如有则填写，无分标时填写“无”或者留空）：</w:t>
      </w:r>
    </w:p>
    <w:p>
      <w:pPr>
        <w:pStyle w:val="6"/>
        <w:snapToGrid w:val="0"/>
        <w:spacing w:before="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pPr>
        <w:pStyle w:val="6"/>
        <w:snapToGrid w:val="0"/>
        <w:spacing w:before="50" w:after="50"/>
        <w:ind w:firstLine="720" w:firstLineChars="225"/>
        <w:rPr>
          <w:rFonts w:ascii="仿宋_GB2312" w:hAnsi="仿宋_GB2312" w:eastAsia="仿宋_GB2312" w:cs="仿宋_GB2312"/>
          <w:bCs/>
          <w:sz w:val="32"/>
          <w:szCs w:val="32"/>
        </w:rPr>
      </w:pPr>
    </w:p>
    <w:p>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before="156"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2.商务技术文件目录</w:t>
      </w:r>
    </w:p>
    <w:p>
      <w:pPr>
        <w:snapToGrid w:val="0"/>
        <w:spacing w:before="156" w:beforeLines="50" w:after="50" w:line="360" w:lineRule="auto"/>
        <w:ind w:firstLine="480" w:firstLineChars="200"/>
        <w:rPr>
          <w:rFonts w:ascii="宋体" w:hAnsi="宋体"/>
          <w:sz w:val="24"/>
        </w:rPr>
      </w:pPr>
      <w:r>
        <w:rPr>
          <w:rFonts w:hint="eastAsia" w:ascii="宋体" w:hAnsi="宋体"/>
          <w:sz w:val="24"/>
        </w:rPr>
        <w:t>根据竞争性谈判文件规定及供应商提供的材料自行编写目录（部分格式后附）。</w:t>
      </w:r>
    </w:p>
    <w:p>
      <w:pPr>
        <w:spacing w:line="600" w:lineRule="auto"/>
        <w:jc w:val="center"/>
        <w:rPr>
          <w:b/>
          <w:sz w:val="44"/>
          <w:szCs w:val="36"/>
        </w:rPr>
        <w:sectPr>
          <w:pgSz w:w="11906" w:h="16838"/>
          <w:pgMar w:top="1440" w:right="1080" w:bottom="1440" w:left="1080" w:header="1134" w:footer="992" w:gutter="0"/>
          <w:cols w:space="720" w:num="1"/>
          <w:titlePg/>
          <w:docGrid w:type="lines" w:linePitch="312" w:charSpace="0"/>
        </w:sectPr>
      </w:pPr>
    </w:p>
    <w:p>
      <w:pPr>
        <w:spacing w:line="600" w:lineRule="auto"/>
        <w:jc w:val="center"/>
        <w:rPr>
          <w:rFonts w:ascii="仿宋_GB2312" w:hAnsi="仿宋_GB2312" w:eastAsia="仿宋_GB2312" w:cs="仿宋_GB2312"/>
          <w:sz w:val="44"/>
          <w:szCs w:val="44"/>
        </w:rPr>
      </w:pPr>
      <w:r>
        <w:rPr>
          <w:rFonts w:hint="eastAsia"/>
          <w:b/>
          <w:sz w:val="44"/>
          <w:szCs w:val="36"/>
        </w:rPr>
        <w:t>无串通竞标行为的承诺函</w:t>
      </w:r>
    </w:p>
    <w:p>
      <w:pPr>
        <w:spacing w:line="400" w:lineRule="exact"/>
        <w:ind w:firstLine="640" w:firstLineChars="200"/>
        <w:rPr>
          <w:rFonts w:ascii="仿宋_GB2312" w:hAnsi="仿宋_GB2312" w:eastAsia="仿宋_GB2312" w:cs="仿宋_GB2312"/>
          <w:sz w:val="32"/>
          <w:szCs w:val="32"/>
        </w:rPr>
      </w:pPr>
    </w:p>
    <w:p>
      <w:pPr>
        <w:pStyle w:val="5"/>
        <w:spacing w:line="360" w:lineRule="auto"/>
        <w:rPr>
          <w:rFonts w:ascii="仿宋" w:hAnsi="仿宋" w:eastAsia="仿宋" w:cs="仿宋"/>
        </w:rPr>
      </w:pPr>
      <w:r>
        <w:rPr>
          <w:rFonts w:hint="eastAsia" w:ascii="仿宋" w:hAnsi="仿宋" w:eastAsia="仿宋" w:cs="仿宋"/>
        </w:rPr>
        <w:t>一、我公司承诺无下列相互串通竞标的情形：</w:t>
      </w:r>
    </w:p>
    <w:p>
      <w:pPr>
        <w:numPr>
          <w:ilvl w:val="0"/>
          <w:numId w:val="3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不同供应商的响应文件由同一单位或者个人编制；或者不同供应商报名的IP地址一致的；</w:t>
      </w:r>
    </w:p>
    <w:p>
      <w:pPr>
        <w:numPr>
          <w:ilvl w:val="0"/>
          <w:numId w:val="3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不同供应商委托同一单位或者个人办理竞标事宜；</w:t>
      </w:r>
    </w:p>
    <w:p>
      <w:pPr>
        <w:numPr>
          <w:ilvl w:val="0"/>
          <w:numId w:val="3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不同的供应商的响应文件载明的项目管理员为同一个人；</w:t>
      </w:r>
    </w:p>
    <w:p>
      <w:pPr>
        <w:numPr>
          <w:ilvl w:val="0"/>
          <w:numId w:val="3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不</w:t>
      </w:r>
      <w:r>
        <w:rPr>
          <w:rFonts w:hint="eastAsia" w:ascii="仿宋" w:hAnsi="仿宋" w:eastAsia="仿宋" w:cs="仿宋"/>
          <w:spacing w:val="-6"/>
          <w:sz w:val="28"/>
          <w:szCs w:val="28"/>
        </w:rPr>
        <w:t>同供应商的响应文件异常一致或者竞标报价呈规律性差异；</w:t>
      </w:r>
    </w:p>
    <w:p>
      <w:pPr>
        <w:numPr>
          <w:ilvl w:val="0"/>
          <w:numId w:val="32"/>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不同供应商的响应文件相互混装；</w:t>
      </w:r>
    </w:p>
    <w:p>
      <w:pPr>
        <w:spacing w:line="360" w:lineRule="auto"/>
        <w:rPr>
          <w:rFonts w:ascii="仿宋" w:hAnsi="仿宋" w:eastAsia="仿宋" w:cs="仿宋"/>
          <w:b/>
          <w:bCs/>
          <w:sz w:val="28"/>
          <w:szCs w:val="28"/>
        </w:rPr>
      </w:pPr>
      <w:r>
        <w:rPr>
          <w:rStyle w:val="34"/>
          <w:rFonts w:hint="eastAsia" w:ascii="仿宋" w:hAnsi="仿宋" w:eastAsia="仿宋" w:cs="仿宋"/>
        </w:rPr>
        <w:t>二、我公司承诺无下列恶意串通的情形</w:t>
      </w:r>
      <w:r>
        <w:rPr>
          <w:rFonts w:hint="eastAsia" w:ascii="仿宋" w:hAnsi="仿宋" w:eastAsia="仿宋" w:cs="仿宋"/>
          <w:b/>
          <w:bCs/>
          <w:sz w:val="28"/>
          <w:szCs w:val="28"/>
        </w:rPr>
        <w:t>：</w:t>
      </w:r>
    </w:p>
    <w:p>
      <w:pPr>
        <w:numPr>
          <w:ilvl w:val="0"/>
          <w:numId w:val="3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供应商直接或者间接从采购人或者采购代理机构处获得其他供应商的相关信息并修改其响应文件；</w:t>
      </w:r>
    </w:p>
    <w:p>
      <w:pPr>
        <w:numPr>
          <w:ilvl w:val="0"/>
          <w:numId w:val="3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供应商按照采购人或者采购代理机构的授意撤换、修改响应文件；</w:t>
      </w:r>
    </w:p>
    <w:p>
      <w:pPr>
        <w:numPr>
          <w:ilvl w:val="0"/>
          <w:numId w:val="3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w:t>
      </w:r>
      <w:r>
        <w:rPr>
          <w:rFonts w:hint="eastAsia" w:ascii="仿宋" w:hAnsi="仿宋" w:eastAsia="仿宋" w:cs="仿宋"/>
          <w:spacing w:val="-6"/>
          <w:sz w:val="28"/>
          <w:szCs w:val="28"/>
        </w:rPr>
        <w:t>应商之间协商报价、技术方案等响应文件的实质性内容；</w:t>
      </w:r>
    </w:p>
    <w:p>
      <w:pPr>
        <w:numPr>
          <w:ilvl w:val="0"/>
          <w:numId w:val="3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属于同一集团、协会、商会等组织成员的供应商按照该组织要求协同参加政府采购活动；</w:t>
      </w:r>
    </w:p>
    <w:p>
      <w:pPr>
        <w:numPr>
          <w:ilvl w:val="0"/>
          <w:numId w:val="3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供应商之间事先约定一致抬高或者压低竞标报价,或者在竞争性谈判项目中事先约定轮流以高价位或者低价位成交,或者事先约定由某一特定供应商成交,然后再参加竞标；</w:t>
      </w:r>
    </w:p>
    <w:p>
      <w:pPr>
        <w:numPr>
          <w:ilvl w:val="0"/>
          <w:numId w:val="3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供应商之间商定部分供应商放弃参加政府采购活动或者放弃成交；</w:t>
      </w:r>
    </w:p>
    <w:p>
      <w:pPr>
        <w:numPr>
          <w:ilvl w:val="0"/>
          <w:numId w:val="33"/>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供应商与采购人或者采购代理机构之间、供应商相互之间，为</w:t>
      </w:r>
      <w:r>
        <w:rPr>
          <w:rFonts w:hint="eastAsia" w:ascii="仿宋" w:hAnsi="仿宋" w:eastAsia="仿宋" w:cs="仿宋"/>
          <w:spacing w:val="-6"/>
          <w:sz w:val="28"/>
          <w:szCs w:val="28"/>
        </w:rPr>
        <w:t>谋求特定供应商成交或者排斥其他供应商的其他串通行为。</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以上情形一经核查属实，我方愿意承担一切后果，并不再寻求任何旨在减轻或者免除法律责任的辩解。</w:t>
      </w:r>
    </w:p>
    <w:p>
      <w:pPr>
        <w:spacing w:line="360" w:lineRule="auto"/>
        <w:ind w:firstLine="480" w:firstLineChars="200"/>
        <w:rPr>
          <w:rFonts w:ascii="宋体" w:hAnsi="宋体" w:cs="仿宋_GB2312"/>
          <w:sz w:val="24"/>
        </w:rPr>
      </w:pPr>
    </w:p>
    <w:p>
      <w:pPr>
        <w:spacing w:line="360" w:lineRule="auto"/>
        <w:rPr>
          <w:rFonts w:ascii="宋体" w:hAnsi="宋体" w:cs="仿宋_GB2312"/>
          <w:sz w:val="24"/>
        </w:rPr>
      </w:pPr>
    </w:p>
    <w:p>
      <w:pPr>
        <w:spacing w:line="360" w:lineRule="auto"/>
        <w:ind w:firstLine="536" w:firstLineChars="200"/>
        <w:jc w:val="center"/>
        <w:rPr>
          <w:rFonts w:ascii="仿宋" w:hAnsi="仿宋" w:eastAsia="仿宋" w:cs="仿宋"/>
          <w:spacing w:val="-6"/>
          <w:sz w:val="28"/>
          <w:szCs w:val="28"/>
        </w:rPr>
      </w:pPr>
      <w:r>
        <w:rPr>
          <w:rFonts w:hint="eastAsia" w:ascii="仿宋" w:hAnsi="仿宋" w:eastAsia="仿宋" w:cs="仿宋"/>
          <w:spacing w:val="-6"/>
          <w:sz w:val="28"/>
          <w:szCs w:val="28"/>
        </w:rPr>
        <w:t>供应商（盖公章 ）：</w:t>
      </w:r>
    </w:p>
    <w:p>
      <w:pPr>
        <w:spacing w:line="360" w:lineRule="auto"/>
        <w:ind w:firstLine="536" w:firstLineChars="200"/>
        <w:jc w:val="center"/>
        <w:rPr>
          <w:rFonts w:ascii="仿宋" w:hAnsi="仿宋" w:eastAsia="仿宋" w:cs="仿宋"/>
          <w:spacing w:val="-6"/>
          <w:sz w:val="28"/>
          <w:szCs w:val="28"/>
        </w:rPr>
      </w:pPr>
      <w:r>
        <w:rPr>
          <w:rFonts w:hint="eastAsia" w:ascii="仿宋" w:hAnsi="仿宋" w:eastAsia="仿宋" w:cs="仿宋"/>
          <w:spacing w:val="-6"/>
          <w:sz w:val="28"/>
          <w:szCs w:val="28"/>
        </w:rPr>
        <w:t>2024年   月   日</w:t>
      </w:r>
    </w:p>
    <w:p>
      <w:pPr>
        <w:tabs>
          <w:tab w:val="left" w:pos="3479"/>
        </w:tabs>
        <w:spacing w:line="520" w:lineRule="exact"/>
        <w:jc w:val="center"/>
        <w:rPr>
          <w:rFonts w:ascii="方正小标宋简体" w:hAnsi="方正小标宋简体" w:eastAsia="方正小标宋简体" w:cs="方正小标宋简体"/>
          <w:bCs/>
          <w:sz w:val="44"/>
          <w:szCs w:val="44"/>
        </w:rPr>
        <w:sectPr>
          <w:pgSz w:w="11906" w:h="16838"/>
          <w:pgMar w:top="1440" w:right="1080" w:bottom="1440" w:left="1080" w:header="1134" w:footer="992" w:gutter="0"/>
          <w:cols w:space="720" w:num="1"/>
          <w:titlePg/>
          <w:docGrid w:type="lines" w:linePitch="312" w:charSpace="0"/>
        </w:sectPr>
      </w:pPr>
    </w:p>
    <w:p>
      <w:pPr>
        <w:spacing w:before="312" w:beforeLines="100" w:after="156" w:afterLines="50" w:line="520" w:lineRule="exact"/>
        <w:ind w:left="540"/>
        <w:jc w:val="center"/>
        <w:rPr>
          <w:rFonts w:ascii="仿宋_GB2312" w:hAnsi="仿宋_GB2312" w:eastAsia="仿宋_GB2312" w:cs="仿宋_GB2312"/>
          <w:sz w:val="32"/>
          <w:szCs w:val="32"/>
        </w:rPr>
      </w:pPr>
      <w:r>
        <w:rPr>
          <w:rFonts w:hint="eastAsia"/>
          <w:b/>
          <w:sz w:val="32"/>
        </w:rPr>
        <w:t>法定代表人证明书</w:t>
      </w:r>
    </w:p>
    <w:p>
      <w:pPr>
        <w:spacing w:line="520" w:lineRule="exact"/>
        <w:ind w:left="540"/>
        <w:rPr>
          <w:rFonts w:ascii="仿宋_GB2312" w:hAnsi="仿宋_GB2312" w:eastAsia="仿宋_GB2312" w:cs="仿宋_GB2312"/>
          <w:sz w:val="32"/>
          <w:szCs w:val="32"/>
        </w:rPr>
      </w:pPr>
    </w:p>
    <w:p>
      <w:pPr>
        <w:spacing w:line="360" w:lineRule="auto"/>
        <w:ind w:left="54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rPr>
          <w:rFonts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rPr>
          <w:rFonts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rPr>
          <w:rFonts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left="540"/>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（供应商名称） </w:t>
      </w:r>
      <w:r>
        <w:rPr>
          <w:rFonts w:ascii="宋体" w:hAnsi="宋体" w:cs="仿宋_GB2312"/>
          <w:sz w:val="24"/>
          <w:u w:val="single"/>
        </w:rPr>
        <w:t xml:space="preserve">  </w:t>
      </w:r>
      <w:r>
        <w:rPr>
          <w:rFonts w:hint="eastAsia" w:ascii="宋体" w:hAnsi="宋体" w:cs="仿宋_GB2312"/>
          <w:sz w:val="24"/>
        </w:rPr>
        <w:t>的法定代表人。</w:t>
      </w:r>
    </w:p>
    <w:p>
      <w:pPr>
        <w:spacing w:line="360" w:lineRule="auto"/>
        <w:ind w:left="540"/>
        <w:rPr>
          <w:rFonts w:ascii="宋体" w:hAnsi="宋体" w:cs="仿宋_GB2312"/>
          <w:sz w:val="24"/>
        </w:rPr>
      </w:pPr>
      <w:r>
        <w:rPr>
          <w:rFonts w:hint="eastAsia" w:ascii="宋体" w:hAnsi="宋体" w:cs="仿宋_GB2312"/>
          <w:sz w:val="24"/>
        </w:rPr>
        <w:t>特此证明。</w:t>
      </w:r>
    </w:p>
    <w:p>
      <w:pPr>
        <w:spacing w:line="360" w:lineRule="auto"/>
        <w:ind w:left="540"/>
        <w:rPr>
          <w:rFonts w:ascii="宋体" w:hAnsi="宋体" w:cs="仿宋_GB2312"/>
          <w:sz w:val="24"/>
        </w:rPr>
      </w:pPr>
    </w:p>
    <w:p>
      <w:pPr>
        <w:spacing w:line="360" w:lineRule="auto"/>
        <w:ind w:left="540"/>
        <w:rPr>
          <w:rFonts w:ascii="宋体" w:hAnsi="宋体" w:cs="仿宋_GB2312"/>
          <w:sz w:val="24"/>
        </w:rPr>
      </w:pPr>
    </w:p>
    <w:p>
      <w:pPr>
        <w:spacing w:line="360" w:lineRule="auto"/>
        <w:ind w:left="540"/>
        <w:rPr>
          <w:rFonts w:ascii="宋体" w:hAnsi="宋体" w:cs="仿宋_GB2312"/>
          <w:sz w:val="24"/>
        </w:rPr>
      </w:pPr>
    </w:p>
    <w:p>
      <w:pPr>
        <w:spacing w:line="360" w:lineRule="auto"/>
        <w:ind w:left="540"/>
        <w:rPr>
          <w:rFonts w:ascii="宋体" w:hAnsi="宋体" w:cs="仿宋_GB2312"/>
          <w:sz w:val="24"/>
        </w:rPr>
      </w:pPr>
      <w:r>
        <w:rPr>
          <w:rFonts w:hint="eastAsia" w:ascii="宋体" w:hAnsi="宋体" w:cs="仿宋_GB2312"/>
          <w:sz w:val="24"/>
        </w:rPr>
        <w:t>附件：法定代表人有效身份证正反面复印件</w:t>
      </w:r>
    </w:p>
    <w:p>
      <w:pPr>
        <w:spacing w:line="360" w:lineRule="auto"/>
        <w:ind w:left="540"/>
        <w:rPr>
          <w:rFonts w:ascii="宋体" w:hAnsi="宋体" w:cs="仿宋_GB2312"/>
          <w:sz w:val="24"/>
        </w:rPr>
      </w:pPr>
    </w:p>
    <w:p>
      <w:pPr>
        <w:wordWrap w:val="0"/>
        <w:topLinePunct/>
        <w:spacing w:line="360" w:lineRule="auto"/>
        <w:ind w:left="540"/>
        <w:jc w:val="right"/>
        <w:rPr>
          <w:rFonts w:ascii="宋体" w:hAnsi="宋体" w:cs="仿宋_GB2312"/>
          <w:sz w:val="24"/>
        </w:rPr>
      </w:pPr>
      <w:r>
        <w:rPr>
          <w:rFonts w:hint="eastAsia" w:ascii="宋体" w:hAnsi="宋体" w:cs="仿宋_GB2312"/>
          <w:sz w:val="24"/>
        </w:rPr>
        <w:t>供应商（盖公章）：</w:t>
      </w:r>
      <w:r>
        <w:rPr>
          <w:rFonts w:hint="eastAsia" w:ascii="宋体" w:hAnsi="宋体" w:cs="仿宋_GB2312"/>
          <w:sz w:val="24"/>
          <w:u w:val="single"/>
        </w:rPr>
        <w:t xml:space="preserve">               </w:t>
      </w:r>
    </w:p>
    <w:p>
      <w:pPr>
        <w:wordWrap w:val="0"/>
        <w:topLinePunct/>
        <w:snapToGrid w:val="0"/>
        <w:spacing w:before="156" w:beforeLines="50" w:after="50" w:line="360" w:lineRule="auto"/>
        <w:ind w:firstLine="4080" w:firstLineChars="1700"/>
        <w:jc w:val="right"/>
        <w:rPr>
          <w:rFonts w:ascii="宋体" w:hAnsi="宋体" w:cs="仿宋_GB2312"/>
          <w:sz w:val="24"/>
        </w:rPr>
      </w:pPr>
      <w:r>
        <w:rPr>
          <w:rFonts w:hint="eastAsia" w:ascii="宋体" w:hAnsi="宋体" w:cs="仿宋_GB2312"/>
          <w:sz w:val="24"/>
          <w:u w:val="single"/>
        </w:rPr>
        <w:t>2024</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napToGrid w:val="0"/>
        <w:spacing w:before="156" w:beforeLines="50" w:after="50" w:line="360" w:lineRule="auto"/>
        <w:jc w:val="center"/>
        <w:rPr>
          <w:rFonts w:ascii="宋体" w:hAnsi="宋体" w:cs="仿宋_GB2312"/>
          <w:b/>
          <w:sz w:val="24"/>
        </w:rPr>
      </w:pPr>
    </w:p>
    <w:p>
      <w:pPr>
        <w:spacing w:line="360" w:lineRule="auto"/>
        <w:rPr>
          <w:rFonts w:ascii="宋体" w:hAnsi="宋体" w:cs="宋体"/>
        </w:rPr>
      </w:pPr>
      <w:r>
        <w:rPr>
          <w:rFonts w:hint="eastAsia" w:ascii="宋体" w:hAnsi="宋体" w:cs="宋体"/>
        </w:rPr>
        <w:t>注：</w:t>
      </w:r>
    </w:p>
    <w:p>
      <w:pPr>
        <w:spacing w:line="360" w:lineRule="auto"/>
        <w:rPr>
          <w:rFonts w:ascii="宋体" w:hAnsi="宋体" w:cs="宋体"/>
        </w:rPr>
      </w:pPr>
      <w:r>
        <w:rPr>
          <w:rFonts w:hint="eastAsia" w:ascii="宋体" w:hAnsi="宋体" w:cs="宋体"/>
        </w:rPr>
        <w:t>1.自然人竞标的无需提供，联合体竞标的只需牵头人出具。</w:t>
      </w:r>
    </w:p>
    <w:p>
      <w:pPr>
        <w:spacing w:line="360" w:lineRule="auto"/>
        <w:rPr>
          <w:rFonts w:ascii="宋体" w:hAnsi="宋体" w:cs="宋体"/>
        </w:rPr>
      </w:pPr>
      <w:r>
        <w:rPr>
          <w:rFonts w:hint="eastAsia" w:ascii="宋体" w:hAnsi="宋体" w:cs="宋体"/>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adjustRightInd w:val="0"/>
        <w:snapToGrid w:val="0"/>
        <w:spacing w:line="300" w:lineRule="auto"/>
        <w:jc w:val="left"/>
        <w:rPr>
          <w:rFonts w:ascii="宋体" w:hAnsi="宋体"/>
          <w:b/>
          <w:szCs w:val="21"/>
        </w:rPr>
      </w:pP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b/>
          <w:sz w:val="32"/>
        </w:rPr>
        <w:t>法定代表人授权委托书</w:t>
      </w:r>
    </w:p>
    <w:p>
      <w:pPr>
        <w:pStyle w:val="4"/>
        <w:jc w:val="center"/>
      </w:pPr>
      <w:r>
        <w:rPr>
          <w:rFonts w:hint="eastAsia"/>
        </w:rPr>
        <w:t>（如有委托时）</w:t>
      </w:r>
    </w:p>
    <w:p>
      <w:pPr>
        <w:spacing w:line="500" w:lineRule="exact"/>
        <w:rPr>
          <w:rFonts w:ascii="仿宋_GB2312" w:hAnsi="仿宋_GB2312" w:eastAsia="仿宋_GB2312" w:cs="仿宋_GB2312"/>
          <w:sz w:val="32"/>
          <w:szCs w:val="32"/>
        </w:rPr>
      </w:pPr>
    </w:p>
    <w:p>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（姓名）</w:t>
      </w: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（姓名）</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 xml:space="preserve">委托代理人（签字）：         法定代表人（签字）：                    </w:t>
      </w:r>
    </w:p>
    <w:p>
      <w:pPr>
        <w:spacing w:line="360" w:lineRule="auto"/>
        <w:rPr>
          <w:rFonts w:ascii="宋体" w:hAnsi="宋体" w:cs="仿宋_GB2312"/>
          <w:sz w:val="24"/>
        </w:rPr>
      </w:pPr>
      <w:r>
        <w:rPr>
          <w:rFonts w:hint="eastAsia" w:ascii="宋体" w:hAnsi="宋体" w:cs="仿宋_GB2312"/>
          <w:sz w:val="24"/>
        </w:rPr>
        <w:t xml:space="preserve">委托代理人身份证号码：                              </w:t>
      </w:r>
    </w:p>
    <w:p>
      <w:pPr>
        <w:spacing w:line="360" w:lineRule="auto"/>
        <w:rPr>
          <w:rFonts w:ascii="宋体" w:hAnsi="宋体" w:cs="仿宋_GB2312"/>
          <w:sz w:val="24"/>
        </w:rPr>
      </w:pPr>
      <w:r>
        <w:rPr>
          <w:rFonts w:hint="eastAsia"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 xml:space="preserve">                         供应商（盖公章）：                      </w:t>
      </w:r>
    </w:p>
    <w:p>
      <w:pPr>
        <w:spacing w:line="360" w:lineRule="auto"/>
        <w:rPr>
          <w:rFonts w:ascii="宋体" w:hAnsi="宋体" w:cs="仿宋_GB2312"/>
          <w:sz w:val="24"/>
        </w:rPr>
      </w:pPr>
      <w:r>
        <w:rPr>
          <w:rFonts w:hint="eastAsia" w:ascii="宋体" w:hAnsi="宋体" w:cs="仿宋_GB2312"/>
          <w:sz w:val="24"/>
        </w:rPr>
        <w:t xml:space="preserve">                                         年    月    日</w:t>
      </w:r>
    </w:p>
    <w:p>
      <w:pPr>
        <w:spacing w:line="360" w:lineRule="auto"/>
        <w:rPr>
          <w:rFonts w:ascii="宋体" w:hAnsi="宋体" w:cs="仿宋_GB2312"/>
          <w:sz w:val="24"/>
        </w:rPr>
      </w:pPr>
      <w:r>
        <w:rPr>
          <w:rFonts w:hint="eastAsia" w:ascii="宋体" w:hAnsi="宋体" w:cs="仿宋_GB2312"/>
          <w:sz w:val="24"/>
        </w:rPr>
        <w:t>注：</w:t>
      </w:r>
    </w:p>
    <w:p>
      <w:pPr>
        <w:spacing w:line="360" w:lineRule="auto"/>
        <w:ind w:firstLine="480" w:firstLineChars="200"/>
        <w:rPr>
          <w:rFonts w:ascii="宋体" w:hAnsi="宋体" w:cs="仿宋_GB2312"/>
          <w:sz w:val="24"/>
        </w:rPr>
      </w:pPr>
      <w:r>
        <w:rPr>
          <w:rFonts w:hint="eastAsia" w:ascii="宋体" w:hAnsi="宋体" w:cs="仿宋_GB2312"/>
          <w:sz w:val="24"/>
        </w:rPr>
        <w:t>1.法定代表人和委托代理人必须在授权委托书上亲笔签名，不得使用印章、签名章或者其他电子制版签名代替；</w:t>
      </w:r>
    </w:p>
    <w:p>
      <w:pPr>
        <w:spacing w:line="360" w:lineRule="auto"/>
        <w:ind w:firstLine="480" w:firstLineChars="200"/>
        <w:jc w:val="left"/>
        <w:rPr>
          <w:rFonts w:ascii="仿宋_GB2312" w:hAnsi="仿宋_GB2312" w:eastAsia="仿宋_GB2312" w:cs="仿宋_GB2312"/>
          <w:sz w:val="32"/>
          <w:szCs w:val="32"/>
        </w:rPr>
      </w:pPr>
      <w:r>
        <w:rPr>
          <w:rFonts w:hint="eastAsia" w:ascii="宋体" w:hAnsi="宋体" w:cs="仿宋_GB2312"/>
          <w:sz w:val="24"/>
        </w:rPr>
        <w:t>2.以联合体竞标的，本授权委托书应由联合体牵头人的法定代表人按上述规定签署。</w:t>
      </w:r>
    </w:p>
    <w:p>
      <w:pPr>
        <w:spacing w:line="500" w:lineRule="exact"/>
        <w:jc w:val="center"/>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br w:type="page"/>
      </w:r>
      <w:r>
        <w:rPr>
          <w:rFonts w:hint="eastAsia"/>
          <w:b/>
          <w:sz w:val="32"/>
        </w:rPr>
        <w:t>商务条款偏离表格式</w:t>
      </w:r>
    </w:p>
    <w:p>
      <w:pPr>
        <w:snapToGrid w:val="0"/>
        <w:spacing w:before="50"/>
        <w:jc w:val="left"/>
        <w:rPr>
          <w:rFonts w:ascii="宋体" w:hAnsi="宋体"/>
          <w:sz w:val="24"/>
        </w:rPr>
      </w:pPr>
    </w:p>
    <w:p>
      <w:pPr>
        <w:pStyle w:val="13"/>
        <w:spacing w:line="360" w:lineRule="auto"/>
        <w:rPr>
          <w:rFonts w:hAnsi="宋体" w:cs="仿宋_GB2312"/>
          <w:sz w:val="24"/>
          <w:szCs w:val="24"/>
        </w:rPr>
      </w:pPr>
      <w:bookmarkStart w:id="84" w:name="_Hlk48036267"/>
      <w:r>
        <w:rPr>
          <w:rFonts w:hint="eastAsia" w:hAnsi="宋体" w:cs="仿宋_GB2312"/>
          <w:sz w:val="24"/>
          <w:szCs w:val="24"/>
        </w:rPr>
        <w:t>所竞分标：</w:t>
      </w:r>
      <w:r>
        <w:rPr>
          <w:rFonts w:hint="eastAsia" w:hAnsi="宋体" w:cs="仿宋_GB2312"/>
          <w:sz w:val="24"/>
          <w:szCs w:val="24"/>
          <w:u w:val="single"/>
        </w:rPr>
        <w:t xml:space="preserve">              </w:t>
      </w:r>
    </w:p>
    <w:tbl>
      <w:tblPr>
        <w:tblStyle w:val="24"/>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55"/>
        <w:gridCol w:w="3441"/>
        <w:gridCol w:w="2501"/>
        <w:gridCol w:w="1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32"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仿宋_GB2312"/>
                <w:sz w:val="24"/>
              </w:rPr>
            </w:pPr>
            <w:r>
              <w:rPr>
                <w:rFonts w:hint="eastAsia" w:ascii="宋体" w:hAnsi="宋体" w:cs="仿宋_GB2312"/>
                <w:sz w:val="24"/>
              </w:rPr>
              <w:t>项目</w:t>
            </w:r>
          </w:p>
        </w:tc>
        <w:tc>
          <w:tcPr>
            <w:tcW w:w="1728"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仿宋_GB2312"/>
                <w:sz w:val="24"/>
              </w:rPr>
            </w:pPr>
            <w:r>
              <w:rPr>
                <w:rFonts w:hint="eastAsia" w:ascii="宋体" w:hAnsi="宋体" w:cs="仿宋_GB2312"/>
                <w:sz w:val="24"/>
              </w:rPr>
              <w:t>竞争性谈判文件商务条款要求</w:t>
            </w:r>
          </w:p>
        </w:tc>
        <w:tc>
          <w:tcPr>
            <w:tcW w:w="1256"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仿宋_GB2312"/>
                <w:sz w:val="24"/>
              </w:rPr>
            </w:pPr>
            <w:r>
              <w:rPr>
                <w:rFonts w:hint="eastAsia" w:ascii="宋体" w:hAnsi="宋体" w:cs="仿宋_GB2312"/>
                <w:sz w:val="24"/>
              </w:rPr>
              <w:t>供应商的承诺</w:t>
            </w:r>
          </w:p>
        </w:tc>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仿宋_GB2312"/>
                <w:sz w:val="24"/>
              </w:rPr>
            </w:pPr>
            <w:r>
              <w:rPr>
                <w:rFonts w:hint="eastAsia" w:ascii="宋体" w:hAnsi="宋体" w:cs="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1728"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1256"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1728"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1256"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1728"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1256"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43"/>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3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1728"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1256"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2"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1728"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1256"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jc w:val="center"/>
              <w:rPr>
                <w:rFonts w:ascii="宋体" w:hAnsi="宋体" w:cs="仿宋_GB2312"/>
                <w:sz w:val="24"/>
              </w:rPr>
            </w:pPr>
          </w:p>
        </w:tc>
      </w:tr>
    </w:tbl>
    <w:p>
      <w:pPr>
        <w:pStyle w:val="9"/>
        <w:rPr>
          <w:rFonts w:ascii="宋体" w:hAnsi="宋体"/>
          <w:kern w:val="0"/>
          <w:sz w:val="24"/>
          <w:szCs w:val="24"/>
        </w:rPr>
      </w:pPr>
      <w:bookmarkStart w:id="85" w:name="_Hlk55980472"/>
      <w:r>
        <w:rPr>
          <w:rFonts w:hint="eastAsia" w:ascii="宋体" w:hAnsi="宋体"/>
          <w:kern w:val="0"/>
          <w:sz w:val="24"/>
          <w:szCs w:val="24"/>
        </w:rPr>
        <w:t>注：</w:t>
      </w:r>
    </w:p>
    <w:p>
      <w:pPr>
        <w:pStyle w:val="9"/>
        <w:spacing w:line="360" w:lineRule="auto"/>
        <w:rPr>
          <w:rFonts w:ascii="宋体" w:hAnsi="宋体"/>
          <w:kern w:val="0"/>
          <w:sz w:val="24"/>
          <w:szCs w:val="24"/>
        </w:rPr>
      </w:pPr>
      <w:r>
        <w:rPr>
          <w:rFonts w:hint="eastAsia" w:ascii="宋体" w:hAnsi="宋体"/>
          <w:kern w:val="0"/>
          <w:sz w:val="24"/>
          <w:szCs w:val="24"/>
        </w:rPr>
        <w:t>1.说明：应对照谈判文件“第三章 采购需求”中的商务条款逐条实质性响应，并作出偏离说明。</w:t>
      </w:r>
    </w:p>
    <w:p>
      <w:pPr>
        <w:pStyle w:val="9"/>
        <w:spacing w:line="360" w:lineRule="auto"/>
        <w:rPr>
          <w:rFonts w:ascii="宋体" w:hAnsi="宋体"/>
          <w:kern w:val="0"/>
          <w:sz w:val="24"/>
          <w:szCs w:val="24"/>
        </w:rPr>
      </w:pPr>
      <w:r>
        <w:rPr>
          <w:rFonts w:hint="eastAsia" w:ascii="宋体" w:hAnsi="宋体"/>
          <w:kern w:val="0"/>
          <w:sz w:val="24"/>
          <w:szCs w:val="24"/>
        </w:rPr>
        <w:t>2.供应商应根据自身的承诺，对照谈判文件要求在“偏离说明”中注明“正偏离”、“负偏离”或者“无偏离”。既不属于“正偏离”也不属于“负偏离”即为“无偏离”。</w:t>
      </w:r>
      <w:bookmarkEnd w:id="85"/>
    </w:p>
    <w:p>
      <w:pPr>
        <w:snapToGrid w:val="0"/>
        <w:spacing w:before="50" w:line="360" w:lineRule="auto"/>
        <w:jc w:val="left"/>
        <w:rPr>
          <w:rFonts w:ascii="宋体" w:hAnsi="宋体" w:cs="仿宋_GB2312"/>
          <w:sz w:val="24"/>
          <w:u w:val="single"/>
        </w:rPr>
      </w:pPr>
    </w:p>
    <w:p>
      <w:pPr>
        <w:snapToGrid w:val="0"/>
        <w:spacing w:before="50" w:line="360" w:lineRule="auto"/>
        <w:jc w:val="left"/>
        <w:rPr>
          <w:rFonts w:ascii="宋体" w:hAnsi="宋体" w:cs="仿宋_GB2312"/>
          <w:sz w:val="24"/>
          <w:u w:val="single"/>
        </w:rPr>
      </w:pPr>
    </w:p>
    <w:p>
      <w:pPr>
        <w:snapToGrid w:val="0"/>
        <w:spacing w:before="50" w:after="50" w:line="360" w:lineRule="auto"/>
        <w:ind w:right="-817" w:rightChars="-389"/>
        <w:rPr>
          <w:rFonts w:ascii="宋体" w:hAnsi="宋体" w:cs="仿宋_GB2312"/>
          <w:sz w:val="24"/>
        </w:rPr>
      </w:pPr>
    </w:p>
    <w:p>
      <w:pPr>
        <w:snapToGrid w:val="0"/>
        <w:spacing w:before="50" w:after="50" w:line="360" w:lineRule="auto"/>
        <w:ind w:left="3990" w:leftChars="1900" w:right="-817" w:rightChars="-389"/>
        <w:rPr>
          <w:rFonts w:ascii="宋体" w:hAnsi="宋体" w:cs="仿宋_GB2312"/>
          <w:sz w:val="24"/>
        </w:rPr>
      </w:pPr>
      <w:r>
        <w:rPr>
          <w:rFonts w:hint="eastAsia" w:ascii="宋体" w:hAnsi="宋体" w:cs="仿宋_GB2312"/>
          <w:sz w:val="24"/>
        </w:rPr>
        <w:t>法定代表人或者委托代理人（签字）：</w:t>
      </w:r>
    </w:p>
    <w:p>
      <w:pPr>
        <w:snapToGrid w:val="0"/>
        <w:spacing w:before="50" w:after="50" w:line="360" w:lineRule="auto"/>
        <w:ind w:left="3990" w:leftChars="1900" w:right="-817" w:rightChars="-389"/>
        <w:rPr>
          <w:rFonts w:ascii="宋体" w:hAnsi="宋体" w:cs="仿宋_GB2312"/>
          <w:sz w:val="24"/>
        </w:rPr>
      </w:pPr>
      <w:r>
        <w:rPr>
          <w:rFonts w:hint="eastAsia" w:ascii="宋体" w:hAnsi="宋体" w:cs="仿宋_GB2312"/>
          <w:sz w:val="24"/>
        </w:rPr>
        <w:t xml:space="preserve">供应商（盖公章）：      </w:t>
      </w:r>
    </w:p>
    <w:p>
      <w:pPr>
        <w:snapToGrid w:val="0"/>
        <w:spacing w:before="50" w:after="50" w:line="360" w:lineRule="auto"/>
        <w:ind w:left="3990" w:leftChars="1900" w:right="-817" w:rightChars="-389"/>
        <w:rPr>
          <w:rFonts w:ascii="宋体" w:hAnsi="宋体" w:cs="仿宋_GB2312"/>
          <w:sz w:val="24"/>
        </w:rPr>
      </w:pPr>
      <w:r>
        <w:rPr>
          <w:rFonts w:hint="eastAsia" w:ascii="宋体" w:hAnsi="宋体" w:cs="仿宋_GB2312"/>
          <w:sz w:val="24"/>
        </w:rPr>
        <w:t>日期：   年   月   日</w:t>
      </w:r>
      <w:bookmarkEnd w:id="84"/>
    </w:p>
    <w:p>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pPr>
        <w:adjustRightInd w:val="0"/>
        <w:snapToGrid w:val="0"/>
        <w:spacing w:line="520" w:lineRule="exact"/>
        <w:ind w:firstLine="7040" w:firstLineChars="1600"/>
        <w:jc w:val="center"/>
        <w:rPr>
          <w:rFonts w:ascii="方正小标宋简体" w:hAnsi="方正小标宋简体" w:eastAsia="方正小标宋简体" w:cs="方正小标宋简体"/>
          <w:bCs/>
          <w:sz w:val="44"/>
          <w:szCs w:val="44"/>
        </w:rPr>
      </w:pPr>
    </w:p>
    <w:p>
      <w:pPr>
        <w:adjustRightInd w:val="0"/>
        <w:snapToGrid w:val="0"/>
        <w:spacing w:line="520" w:lineRule="exact"/>
        <w:jc w:val="center"/>
        <w:rPr>
          <w:rFonts w:ascii="宋体" w:hAnsi="宋体"/>
          <w:b/>
          <w:sz w:val="32"/>
          <w:szCs w:val="32"/>
        </w:rPr>
      </w:pPr>
      <w:r>
        <w:rPr>
          <w:rFonts w:ascii="方正小标宋简体" w:hAnsi="方正小标宋简体" w:eastAsia="方正小标宋简体" w:cs="方正小标宋简体"/>
          <w:bCs/>
          <w:sz w:val="44"/>
          <w:szCs w:val="44"/>
        </w:rPr>
        <w:br w:type="page"/>
      </w:r>
      <w:r>
        <w:rPr>
          <w:rFonts w:hint="eastAsia"/>
          <w:b/>
          <w:sz w:val="32"/>
        </w:rPr>
        <w:t>货物配置清单</w:t>
      </w:r>
    </w:p>
    <w:p>
      <w:pPr>
        <w:spacing w:line="300" w:lineRule="auto"/>
        <w:rPr>
          <w:rFonts w:ascii="宋体" w:hAnsi="宋体"/>
          <w:szCs w:val="21"/>
        </w:rPr>
      </w:pPr>
    </w:p>
    <w:p>
      <w:pPr>
        <w:spacing w:line="360" w:lineRule="auto"/>
        <w:rPr>
          <w:rFonts w:ascii="宋体" w:hAnsi="宋体" w:cs="仿宋_GB2312"/>
          <w:sz w:val="24"/>
        </w:rPr>
      </w:pP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 xml:space="preserve"> </w:t>
      </w:r>
    </w:p>
    <w:p>
      <w:pPr>
        <w:spacing w:line="360" w:lineRule="auto"/>
        <w:rPr>
          <w:rFonts w:ascii="宋体" w:hAnsi="宋体" w:cs="仿宋_GB2312"/>
          <w:sz w:val="24"/>
          <w:u w:val="single"/>
        </w:rPr>
      </w:pPr>
      <w:r>
        <w:rPr>
          <w:rFonts w:hint="eastAsia" w:ascii="宋体" w:hAnsi="宋体" w:cs="仿宋_GB2312"/>
          <w:sz w:val="24"/>
        </w:rPr>
        <w:t>所竞分标：</w:t>
      </w:r>
      <w:r>
        <w:rPr>
          <w:rFonts w:hint="eastAsia" w:ascii="宋体" w:hAnsi="宋体" w:cs="仿宋_GB2312"/>
          <w:sz w:val="24"/>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2"/>
        <w:gridCol w:w="1387"/>
        <w:gridCol w:w="895"/>
        <w:gridCol w:w="996"/>
        <w:gridCol w:w="1988"/>
        <w:gridCol w:w="1387"/>
        <w:gridCol w:w="821"/>
        <w:gridCol w:w="1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品牌</w:t>
            </w: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p>
            <w:pPr>
              <w:snapToGrid w:val="0"/>
              <w:spacing w:before="50" w:after="50"/>
              <w:jc w:val="center"/>
              <w:rPr>
                <w:rFonts w:ascii="宋体" w:hAnsi="宋体"/>
                <w:sz w:val="24"/>
              </w:rPr>
            </w:pPr>
            <w:r>
              <w:rPr>
                <w:rFonts w:hint="eastAsia" w:ascii="宋体" w:hAnsi="宋体"/>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r>
              <w:rPr>
                <w:rFonts w:hint="eastAsia" w:ascii="宋体" w:hAnsi="宋体"/>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sz w:val="24"/>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rPr>
            </w:pPr>
          </w:p>
        </w:tc>
      </w:tr>
    </w:tbl>
    <w:p>
      <w:pPr>
        <w:snapToGrid w:val="0"/>
        <w:spacing w:before="50" w:after="50"/>
        <w:rPr>
          <w:rFonts w:ascii="宋体" w:hAnsi="宋体"/>
          <w:sz w:val="24"/>
        </w:rPr>
      </w:pPr>
      <w:r>
        <w:rPr>
          <w:rFonts w:hint="eastAsia" w:ascii="宋体" w:hAnsi="宋体"/>
          <w:sz w:val="24"/>
        </w:rPr>
        <w:t>备注：</w:t>
      </w:r>
    </w:p>
    <w:p>
      <w:pPr>
        <w:tabs>
          <w:tab w:val="left" w:pos="1065"/>
        </w:tabs>
        <w:adjustRightInd w:val="0"/>
        <w:snapToGrid w:val="0"/>
        <w:spacing w:line="360" w:lineRule="auto"/>
        <w:rPr>
          <w:rFonts w:ascii="宋体" w:hAnsi="宋体" w:cs="仿宋_GB2312"/>
          <w:sz w:val="24"/>
        </w:rPr>
      </w:pPr>
      <w:r>
        <w:rPr>
          <w:rFonts w:hint="eastAsia" w:ascii="宋体" w:hAnsi="宋体"/>
          <w:sz w:val="24"/>
        </w:rPr>
        <w:t>以上性能配置清单中“货物名称、数量及单位、品牌、规格型号、制造商、原产地、参数性能、指标及配置”必须如实填写完整，品牌、规格型号没有则填无，填写有缺漏</w:t>
      </w:r>
      <w:r>
        <w:rPr>
          <w:rFonts w:hint="eastAsia" w:ascii="宋体" w:hAnsi="宋体"/>
          <w:bCs/>
          <w:sz w:val="24"/>
        </w:rPr>
        <w:t>的，响应文件作无效处理</w:t>
      </w:r>
      <w:r>
        <w:rPr>
          <w:rFonts w:hint="eastAsia" w:ascii="宋体" w:hAnsi="宋体"/>
          <w:b/>
          <w:sz w:val="24"/>
        </w:rPr>
        <w:t>。</w:t>
      </w:r>
      <w:r>
        <w:rPr>
          <w:rFonts w:hint="eastAsia" w:ascii="宋体" w:hAnsi="宋体"/>
          <w:sz w:val="24"/>
        </w:rPr>
        <w:t>货物名称、数量及单位、品牌必须与“开标一览表”一致，</w:t>
      </w:r>
      <w:r>
        <w:rPr>
          <w:rFonts w:hint="eastAsia" w:ascii="宋体" w:hAnsi="宋体"/>
          <w:bCs/>
          <w:sz w:val="24"/>
        </w:rPr>
        <w:t>否则响应文件作无效处理</w:t>
      </w:r>
      <w:r>
        <w:rPr>
          <w:rFonts w:hint="eastAsia" w:ascii="宋体" w:hAnsi="宋体"/>
          <w:b/>
          <w:sz w:val="24"/>
        </w:rPr>
        <w:t>。</w:t>
      </w:r>
      <w:r>
        <w:rPr>
          <w:rFonts w:hint="eastAsia" w:ascii="宋体" w:hAnsi="宋体" w:cs="仿宋_GB2312"/>
          <w:sz w:val="24"/>
        </w:rPr>
        <w:tab/>
      </w:r>
    </w:p>
    <w:p>
      <w:pPr>
        <w:adjustRightInd w:val="0"/>
        <w:snapToGrid w:val="0"/>
        <w:spacing w:line="360" w:lineRule="auto"/>
        <w:jc w:val="left"/>
        <w:rPr>
          <w:rFonts w:ascii="宋体" w:hAnsi="宋体" w:cs="仿宋_GB2312"/>
          <w:sz w:val="24"/>
        </w:rPr>
      </w:pPr>
    </w:p>
    <w:p>
      <w:pPr>
        <w:adjustRightInd w:val="0"/>
        <w:snapToGrid w:val="0"/>
        <w:spacing w:line="360" w:lineRule="auto"/>
        <w:jc w:val="left"/>
        <w:rPr>
          <w:rFonts w:ascii="宋体" w:hAnsi="宋体" w:cs="仿宋_GB2312"/>
          <w:sz w:val="24"/>
        </w:rPr>
      </w:pPr>
    </w:p>
    <w:p>
      <w:pPr>
        <w:adjustRightInd w:val="0"/>
        <w:snapToGrid w:val="0"/>
        <w:spacing w:line="360" w:lineRule="auto"/>
        <w:jc w:val="left"/>
        <w:rPr>
          <w:rFonts w:ascii="宋体" w:hAnsi="宋体" w:cs="仿宋_GB2312"/>
          <w:sz w:val="24"/>
        </w:rPr>
      </w:pPr>
    </w:p>
    <w:p>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供应商（盖公章）：</w:t>
      </w:r>
    </w:p>
    <w:p>
      <w:pPr>
        <w:snapToGrid w:val="0"/>
        <w:spacing w:before="50" w:after="50" w:line="360" w:lineRule="auto"/>
        <w:ind w:right="-817" w:rightChars="-389"/>
        <w:jc w:val="center"/>
        <w:rPr>
          <w:rFonts w:ascii="仿宋_GB2312" w:hAnsi="仿宋_GB2312" w:eastAsia="仿宋_GB2312" w:cs="仿宋_GB2312"/>
          <w:b/>
          <w:sz w:val="32"/>
          <w:szCs w:val="32"/>
        </w:rPr>
      </w:pPr>
      <w:r>
        <w:rPr>
          <w:rFonts w:hint="eastAsia" w:ascii="宋体" w:hAnsi="宋体" w:cs="仿宋_GB2312"/>
          <w:sz w:val="24"/>
        </w:rPr>
        <w:t>日期：   年   月   日</w:t>
      </w: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rPr>
          <w:rFonts w:ascii="宋体" w:hAnsi="宋体"/>
          <w:szCs w:val="21"/>
          <w:u w:val="single"/>
        </w:rPr>
      </w:pPr>
    </w:p>
    <w:p>
      <w:pPr>
        <w:adjustRightInd w:val="0"/>
        <w:snapToGrid w:val="0"/>
        <w:spacing w:line="300" w:lineRule="auto"/>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b/>
          <w:sz w:val="32"/>
        </w:rPr>
        <w:t>技术需求偏离表</w:t>
      </w:r>
    </w:p>
    <w:p>
      <w:pPr>
        <w:spacing w:line="520" w:lineRule="exact"/>
        <w:rPr>
          <w:rFonts w:ascii="仿宋_GB2312" w:hAnsi="仿宋_GB2312" w:eastAsia="仿宋_GB2312" w:cs="仿宋_GB2312"/>
          <w:sz w:val="32"/>
          <w:szCs w:val="32"/>
        </w:rPr>
      </w:pPr>
    </w:p>
    <w:p>
      <w:pPr>
        <w:spacing w:line="360" w:lineRule="auto"/>
        <w:rPr>
          <w:rFonts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p>
    <w:p>
      <w:pPr>
        <w:spacing w:line="360" w:lineRule="auto"/>
        <w:rPr>
          <w:rFonts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p>
    <w:p>
      <w:pPr>
        <w:spacing w:line="360" w:lineRule="auto"/>
        <w:rPr>
          <w:rFonts w:ascii="宋体" w:hAnsi="宋体" w:cs="仿宋_GB2312"/>
          <w:sz w:val="24"/>
          <w:u w:val="single"/>
        </w:rPr>
      </w:pPr>
      <w:r>
        <w:rPr>
          <w:rFonts w:hint="eastAsia" w:ascii="宋体" w:hAnsi="宋体" w:cs="仿宋_GB2312"/>
          <w:sz w:val="24"/>
        </w:rPr>
        <w:t>分标号：</w:t>
      </w:r>
      <w:r>
        <w:rPr>
          <w:rFonts w:hint="eastAsia" w:ascii="宋体" w:hAnsi="宋体" w:cs="仿宋_GB2312"/>
          <w:sz w:val="24"/>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1002"/>
        <w:gridCol w:w="3328"/>
        <w:gridCol w:w="2995"/>
        <w:gridCol w:w="16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kern w:val="2"/>
                <w:sz w:val="24"/>
                <w:szCs w:val="24"/>
              </w:rPr>
            </w:pPr>
            <w:bookmarkStart w:id="86" w:name="_Toc301781611"/>
            <w:bookmarkStart w:id="87" w:name="_Toc173066401"/>
            <w:bookmarkStart w:id="88" w:name="_Toc295404981"/>
            <w:bookmarkStart w:id="89" w:name="_Toc173211900"/>
            <w:bookmarkStart w:id="90" w:name="_Toc373333689"/>
            <w:bookmarkStart w:id="91" w:name="_Toc254970588"/>
            <w:bookmarkStart w:id="92" w:name="_Toc383699906"/>
            <w:bookmarkStart w:id="93" w:name="_Toc297193185"/>
            <w:bookmarkStart w:id="94" w:name="_Toc254970729"/>
            <w:r>
              <w:rPr>
                <w:rFonts w:hint="eastAsia" w:ascii="宋体" w:hAnsi="宋体" w:eastAsia="宋体" w:cs="仿宋_GB2312"/>
                <w:kern w:val="2"/>
                <w:sz w:val="24"/>
                <w:szCs w:val="24"/>
              </w:rPr>
              <w:t>序号</w:t>
            </w:r>
            <w:bookmarkEnd w:id="86"/>
            <w:bookmarkEnd w:id="87"/>
            <w:bookmarkEnd w:id="88"/>
            <w:bookmarkEnd w:id="89"/>
            <w:bookmarkEnd w:id="90"/>
            <w:bookmarkEnd w:id="91"/>
            <w:bookmarkEnd w:id="92"/>
            <w:bookmarkEnd w:id="93"/>
            <w:bookmarkEnd w:id="94"/>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r>
              <w:rPr>
                <w:rFonts w:hint="eastAsia" w:ascii="宋体" w:hAnsi="宋体" w:eastAsia="宋体" w:cs="仿宋_GB2312"/>
                <w:kern w:val="2"/>
                <w:sz w:val="24"/>
                <w:szCs w:val="24"/>
              </w:rPr>
              <w:t>名称</w:t>
            </w: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bookmarkStart w:id="95" w:name="_Toc254970730"/>
            <w:bookmarkStart w:id="96" w:name="_Toc301781612"/>
            <w:bookmarkStart w:id="97" w:name="_Toc254970589"/>
            <w:bookmarkStart w:id="98" w:name="_Toc383699907"/>
            <w:bookmarkStart w:id="99" w:name="_Toc173066402"/>
            <w:bookmarkStart w:id="100" w:name="_Toc297193186"/>
            <w:bookmarkStart w:id="101" w:name="_Toc295404982"/>
            <w:bookmarkStart w:id="102" w:name="_Toc373333690"/>
            <w:bookmarkStart w:id="103" w:name="_Toc173211901"/>
            <w:r>
              <w:rPr>
                <w:rFonts w:hint="eastAsia" w:ascii="宋体" w:hAnsi="宋体" w:eastAsia="宋体" w:cs="仿宋_GB2312"/>
                <w:kern w:val="2"/>
                <w:sz w:val="24"/>
                <w:szCs w:val="24"/>
              </w:rPr>
              <w:t>竞争性谈判文件要求</w:t>
            </w:r>
            <w:bookmarkEnd w:id="95"/>
            <w:bookmarkEnd w:id="96"/>
            <w:bookmarkEnd w:id="97"/>
            <w:bookmarkEnd w:id="98"/>
            <w:bookmarkEnd w:id="99"/>
            <w:bookmarkEnd w:id="100"/>
            <w:bookmarkEnd w:id="101"/>
            <w:bookmarkEnd w:id="102"/>
            <w:bookmarkEnd w:id="103"/>
          </w:p>
        </w:tc>
        <w:tc>
          <w:tcPr>
            <w:tcW w:w="1503" w:type="pct"/>
            <w:vAlign w:val="center"/>
          </w:tcPr>
          <w:p>
            <w:pPr>
              <w:pStyle w:val="11"/>
              <w:spacing w:line="360" w:lineRule="auto"/>
              <w:ind w:firstLine="0" w:firstLineChars="0"/>
              <w:jc w:val="center"/>
              <w:rPr>
                <w:rFonts w:ascii="宋体" w:hAnsi="宋体" w:eastAsia="宋体" w:cs="仿宋_GB2312"/>
                <w:kern w:val="2"/>
                <w:sz w:val="24"/>
                <w:szCs w:val="24"/>
              </w:rPr>
            </w:pPr>
            <w:bookmarkStart w:id="104" w:name="_Toc301781613"/>
            <w:bookmarkStart w:id="105" w:name="_Toc383699908"/>
            <w:bookmarkStart w:id="106" w:name="_Toc373333691"/>
            <w:bookmarkStart w:id="107" w:name="_Toc173066403"/>
            <w:bookmarkStart w:id="108" w:name="_Toc295404983"/>
            <w:bookmarkStart w:id="109" w:name="_Toc254970731"/>
            <w:bookmarkStart w:id="110" w:name="_Toc297193187"/>
            <w:bookmarkStart w:id="111" w:name="_Toc173211902"/>
            <w:bookmarkStart w:id="112" w:name="_Toc254970590"/>
            <w:r>
              <w:rPr>
                <w:rFonts w:hint="eastAsia" w:ascii="宋体" w:hAnsi="宋体" w:eastAsia="宋体" w:cs="仿宋_GB2312"/>
                <w:kern w:val="2"/>
                <w:sz w:val="24"/>
                <w:szCs w:val="24"/>
              </w:rPr>
              <w:t>竞标响应</w:t>
            </w:r>
            <w:bookmarkEnd w:id="104"/>
            <w:bookmarkEnd w:id="105"/>
            <w:bookmarkEnd w:id="106"/>
            <w:bookmarkEnd w:id="107"/>
            <w:bookmarkEnd w:id="108"/>
            <w:bookmarkEnd w:id="109"/>
            <w:bookmarkEnd w:id="110"/>
            <w:bookmarkEnd w:id="111"/>
            <w:bookmarkEnd w:id="112"/>
          </w:p>
        </w:tc>
        <w:tc>
          <w:tcPr>
            <w:tcW w:w="820" w:type="pct"/>
            <w:vAlign w:val="center"/>
          </w:tcPr>
          <w:p>
            <w:pPr>
              <w:pStyle w:val="11"/>
              <w:spacing w:line="360" w:lineRule="auto"/>
              <w:ind w:firstLine="0" w:firstLineChars="0"/>
              <w:jc w:val="center"/>
              <w:rPr>
                <w:rFonts w:ascii="宋体" w:hAnsi="宋体" w:eastAsia="宋体" w:cs="仿宋_GB2312"/>
                <w:kern w:val="2"/>
                <w:sz w:val="24"/>
                <w:szCs w:val="24"/>
              </w:rPr>
            </w:pPr>
            <w:bookmarkStart w:id="113" w:name="_Toc295404984"/>
            <w:bookmarkStart w:id="114" w:name="_Toc383699909"/>
            <w:bookmarkStart w:id="115" w:name="_Toc254970732"/>
            <w:bookmarkStart w:id="116" w:name="_Toc173066404"/>
            <w:bookmarkStart w:id="117" w:name="_Toc297193188"/>
            <w:bookmarkStart w:id="118" w:name="_Toc173211903"/>
            <w:bookmarkStart w:id="119" w:name="_Toc301781614"/>
            <w:bookmarkStart w:id="120" w:name="_Toc373333692"/>
            <w:bookmarkStart w:id="121" w:name="_Toc254970591"/>
            <w:r>
              <w:rPr>
                <w:rFonts w:hint="eastAsia" w:ascii="宋体" w:hAnsi="宋体" w:eastAsia="宋体" w:cs="仿宋_GB2312"/>
                <w:kern w:val="2"/>
                <w:sz w:val="24"/>
                <w:szCs w:val="24"/>
              </w:rPr>
              <w:t>偏离</w:t>
            </w:r>
            <w:bookmarkEnd w:id="113"/>
            <w:bookmarkEnd w:id="114"/>
            <w:bookmarkEnd w:id="115"/>
            <w:bookmarkEnd w:id="116"/>
            <w:bookmarkEnd w:id="117"/>
            <w:bookmarkEnd w:id="118"/>
            <w:bookmarkEnd w:id="119"/>
            <w:bookmarkEnd w:id="120"/>
            <w:bookmarkEnd w:id="121"/>
            <w:r>
              <w:rPr>
                <w:rFonts w:hint="eastAsia" w:ascii="宋体" w:hAnsi="宋体" w:eastAsia="宋体" w:cs="仿宋_GB2312"/>
                <w:kern w:val="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kern w:val="2"/>
                <w:sz w:val="24"/>
                <w:szCs w:val="24"/>
              </w:rPr>
            </w:pPr>
            <w:bookmarkStart w:id="122" w:name="_Toc173066406"/>
            <w:bookmarkStart w:id="123" w:name="_Toc383699911"/>
            <w:bookmarkStart w:id="124" w:name="_Toc295404986"/>
            <w:bookmarkStart w:id="125" w:name="_Toc297193190"/>
            <w:bookmarkStart w:id="126" w:name="_Toc254970593"/>
            <w:bookmarkStart w:id="127" w:name="_Toc254970734"/>
            <w:bookmarkStart w:id="128" w:name="_Toc301781616"/>
            <w:bookmarkStart w:id="129" w:name="_Toc173211905"/>
            <w:bookmarkStart w:id="130" w:name="_Toc373333694"/>
            <w:r>
              <w:rPr>
                <w:rFonts w:hint="eastAsia" w:ascii="宋体" w:hAnsi="宋体" w:eastAsia="宋体" w:cs="仿宋_GB2312"/>
                <w:kern w:val="2"/>
                <w:sz w:val="24"/>
                <w:szCs w:val="24"/>
              </w:rPr>
              <w:t>1</w:t>
            </w:r>
            <w:bookmarkEnd w:id="122"/>
            <w:bookmarkEnd w:id="123"/>
            <w:bookmarkEnd w:id="124"/>
            <w:bookmarkEnd w:id="125"/>
            <w:bookmarkEnd w:id="126"/>
            <w:bookmarkEnd w:id="127"/>
            <w:bookmarkEnd w:id="128"/>
            <w:bookmarkEnd w:id="129"/>
            <w:bookmarkEnd w:id="130"/>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503" w:type="pct"/>
            <w:vAlign w:val="center"/>
          </w:tcPr>
          <w:p>
            <w:pPr>
              <w:pStyle w:val="11"/>
              <w:spacing w:line="360" w:lineRule="auto"/>
              <w:ind w:firstLine="0" w:firstLineChars="0"/>
              <w:jc w:val="center"/>
              <w:rPr>
                <w:rFonts w:ascii="宋体" w:hAnsi="宋体" w:eastAsia="宋体" w:cs="仿宋_GB2312"/>
                <w:kern w:val="2"/>
                <w:sz w:val="24"/>
                <w:szCs w:val="24"/>
              </w:rPr>
            </w:pPr>
          </w:p>
        </w:tc>
        <w:tc>
          <w:tcPr>
            <w:tcW w:w="820" w:type="pct"/>
            <w:vAlign w:val="center"/>
          </w:tcPr>
          <w:p>
            <w:pPr>
              <w:pStyle w:val="11"/>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kern w:val="2"/>
                <w:sz w:val="24"/>
                <w:szCs w:val="24"/>
              </w:rPr>
            </w:pPr>
            <w:bookmarkStart w:id="131" w:name="_Toc383699912"/>
            <w:bookmarkStart w:id="132" w:name="_Toc295404987"/>
            <w:bookmarkStart w:id="133" w:name="_Toc254970594"/>
            <w:bookmarkStart w:id="134" w:name="_Toc173066407"/>
            <w:bookmarkStart w:id="135" w:name="_Toc373333695"/>
            <w:bookmarkStart w:id="136" w:name="_Toc301781617"/>
            <w:bookmarkStart w:id="137" w:name="_Toc297193191"/>
            <w:bookmarkStart w:id="138" w:name="_Toc254970735"/>
            <w:bookmarkStart w:id="139" w:name="_Toc173211906"/>
            <w:r>
              <w:rPr>
                <w:rFonts w:hint="eastAsia" w:ascii="宋体" w:hAnsi="宋体" w:eastAsia="宋体" w:cs="仿宋_GB2312"/>
                <w:kern w:val="2"/>
                <w:sz w:val="24"/>
                <w:szCs w:val="24"/>
              </w:rPr>
              <w:t>2</w:t>
            </w:r>
            <w:bookmarkEnd w:id="131"/>
            <w:bookmarkEnd w:id="132"/>
            <w:bookmarkEnd w:id="133"/>
            <w:bookmarkEnd w:id="134"/>
            <w:bookmarkEnd w:id="135"/>
            <w:bookmarkEnd w:id="136"/>
            <w:bookmarkEnd w:id="137"/>
            <w:bookmarkEnd w:id="138"/>
            <w:bookmarkEnd w:id="139"/>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503" w:type="pct"/>
            <w:vAlign w:val="center"/>
          </w:tcPr>
          <w:p>
            <w:pPr>
              <w:pStyle w:val="11"/>
              <w:spacing w:line="360" w:lineRule="auto"/>
              <w:ind w:firstLine="0" w:firstLineChars="0"/>
              <w:jc w:val="center"/>
              <w:rPr>
                <w:rFonts w:ascii="宋体" w:hAnsi="宋体" w:eastAsia="宋体" w:cs="仿宋_GB2312"/>
                <w:kern w:val="2"/>
                <w:sz w:val="24"/>
                <w:szCs w:val="24"/>
              </w:rPr>
            </w:pPr>
          </w:p>
        </w:tc>
        <w:tc>
          <w:tcPr>
            <w:tcW w:w="820" w:type="pct"/>
            <w:vAlign w:val="center"/>
          </w:tcPr>
          <w:p>
            <w:pPr>
              <w:pStyle w:val="11"/>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kern w:val="2"/>
                <w:sz w:val="24"/>
                <w:szCs w:val="24"/>
              </w:rPr>
            </w:pPr>
            <w:bookmarkStart w:id="140" w:name="_Toc297193192"/>
            <w:bookmarkStart w:id="141" w:name="_Toc383699913"/>
            <w:bookmarkStart w:id="142" w:name="_Toc301781618"/>
            <w:bookmarkStart w:id="143" w:name="_Toc173211907"/>
            <w:bookmarkStart w:id="144" w:name="_Toc295404988"/>
            <w:bookmarkStart w:id="145" w:name="_Toc254970595"/>
            <w:bookmarkStart w:id="146" w:name="_Toc173066408"/>
            <w:bookmarkStart w:id="147" w:name="_Toc254970736"/>
            <w:bookmarkStart w:id="148" w:name="_Toc373333696"/>
            <w:r>
              <w:rPr>
                <w:rFonts w:hint="eastAsia" w:ascii="宋体" w:hAnsi="宋体" w:eastAsia="宋体" w:cs="仿宋_GB2312"/>
                <w:kern w:val="2"/>
                <w:sz w:val="24"/>
                <w:szCs w:val="24"/>
              </w:rPr>
              <w:t>3</w:t>
            </w:r>
            <w:bookmarkEnd w:id="140"/>
            <w:bookmarkEnd w:id="141"/>
            <w:bookmarkEnd w:id="142"/>
            <w:bookmarkEnd w:id="143"/>
            <w:bookmarkEnd w:id="144"/>
            <w:bookmarkEnd w:id="145"/>
            <w:bookmarkEnd w:id="146"/>
            <w:bookmarkEnd w:id="147"/>
            <w:bookmarkEnd w:id="148"/>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503" w:type="pct"/>
            <w:vAlign w:val="center"/>
          </w:tcPr>
          <w:p>
            <w:pPr>
              <w:pStyle w:val="11"/>
              <w:spacing w:line="360" w:lineRule="auto"/>
              <w:ind w:firstLine="0" w:firstLineChars="0"/>
              <w:jc w:val="center"/>
              <w:rPr>
                <w:rFonts w:ascii="宋体" w:hAnsi="宋体" w:eastAsia="宋体" w:cs="仿宋_GB2312"/>
                <w:kern w:val="2"/>
                <w:sz w:val="24"/>
                <w:szCs w:val="24"/>
              </w:rPr>
            </w:pPr>
          </w:p>
        </w:tc>
        <w:tc>
          <w:tcPr>
            <w:tcW w:w="820" w:type="pct"/>
            <w:vAlign w:val="center"/>
          </w:tcPr>
          <w:p>
            <w:pPr>
              <w:pStyle w:val="11"/>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kern w:val="2"/>
                <w:sz w:val="24"/>
                <w:szCs w:val="24"/>
              </w:rPr>
            </w:pPr>
            <w:bookmarkStart w:id="149" w:name="_Toc383699914"/>
            <w:bookmarkStart w:id="150" w:name="_Toc254970596"/>
            <w:bookmarkStart w:id="151" w:name="_Toc297193193"/>
            <w:bookmarkStart w:id="152" w:name="_Toc254970737"/>
            <w:bookmarkStart w:id="153" w:name="_Toc373333697"/>
            <w:bookmarkStart w:id="154" w:name="_Toc173066409"/>
            <w:bookmarkStart w:id="155" w:name="_Toc295404989"/>
            <w:bookmarkStart w:id="156" w:name="_Toc301781619"/>
            <w:bookmarkStart w:id="157" w:name="_Toc173211908"/>
            <w:r>
              <w:rPr>
                <w:rFonts w:hint="eastAsia" w:ascii="宋体" w:hAnsi="宋体" w:eastAsia="宋体" w:cs="仿宋_GB2312"/>
                <w:kern w:val="2"/>
                <w:sz w:val="24"/>
                <w:szCs w:val="24"/>
              </w:rPr>
              <w:t>4</w:t>
            </w:r>
            <w:bookmarkEnd w:id="149"/>
            <w:bookmarkEnd w:id="150"/>
            <w:bookmarkEnd w:id="151"/>
            <w:bookmarkEnd w:id="152"/>
            <w:bookmarkEnd w:id="153"/>
            <w:bookmarkEnd w:id="154"/>
            <w:bookmarkEnd w:id="155"/>
            <w:bookmarkEnd w:id="156"/>
            <w:bookmarkEnd w:id="157"/>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503" w:type="pct"/>
            <w:vAlign w:val="center"/>
          </w:tcPr>
          <w:p>
            <w:pPr>
              <w:pStyle w:val="11"/>
              <w:spacing w:line="360" w:lineRule="auto"/>
              <w:ind w:firstLine="0" w:firstLineChars="0"/>
              <w:jc w:val="center"/>
              <w:rPr>
                <w:rFonts w:ascii="宋体" w:hAnsi="宋体" w:eastAsia="宋体" w:cs="仿宋_GB2312"/>
                <w:kern w:val="2"/>
                <w:sz w:val="24"/>
                <w:szCs w:val="24"/>
              </w:rPr>
            </w:pPr>
          </w:p>
        </w:tc>
        <w:tc>
          <w:tcPr>
            <w:tcW w:w="820" w:type="pct"/>
            <w:vAlign w:val="center"/>
          </w:tcPr>
          <w:p>
            <w:pPr>
              <w:pStyle w:val="11"/>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kern w:val="2"/>
                <w:sz w:val="24"/>
                <w:szCs w:val="24"/>
              </w:rPr>
            </w:pPr>
            <w:bookmarkStart w:id="158" w:name="_Toc254970738"/>
            <w:bookmarkStart w:id="159" w:name="_Toc373333698"/>
            <w:bookmarkStart w:id="160" w:name="_Toc301781620"/>
            <w:bookmarkStart w:id="161" w:name="_Toc173066410"/>
            <w:bookmarkStart w:id="162" w:name="_Toc254970597"/>
            <w:bookmarkStart w:id="163" w:name="_Toc173211909"/>
            <w:bookmarkStart w:id="164" w:name="_Toc383699915"/>
            <w:bookmarkStart w:id="165" w:name="_Toc297193194"/>
            <w:bookmarkStart w:id="166" w:name="_Toc295404990"/>
            <w:r>
              <w:rPr>
                <w:rFonts w:hint="eastAsia" w:ascii="宋体" w:hAnsi="宋体" w:eastAsia="宋体" w:cs="仿宋_GB2312"/>
                <w:kern w:val="2"/>
                <w:sz w:val="24"/>
                <w:szCs w:val="24"/>
              </w:rPr>
              <w:t>5</w:t>
            </w:r>
            <w:bookmarkEnd w:id="158"/>
            <w:bookmarkEnd w:id="159"/>
            <w:bookmarkEnd w:id="160"/>
            <w:bookmarkEnd w:id="161"/>
            <w:bookmarkEnd w:id="162"/>
            <w:bookmarkEnd w:id="163"/>
            <w:bookmarkEnd w:id="164"/>
            <w:bookmarkEnd w:id="165"/>
            <w:bookmarkEnd w:id="166"/>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503" w:type="pct"/>
            <w:vAlign w:val="center"/>
          </w:tcPr>
          <w:p>
            <w:pPr>
              <w:pStyle w:val="11"/>
              <w:spacing w:line="360" w:lineRule="auto"/>
              <w:ind w:firstLine="0" w:firstLineChars="0"/>
              <w:jc w:val="center"/>
              <w:rPr>
                <w:rFonts w:ascii="宋体" w:hAnsi="宋体" w:eastAsia="宋体" w:cs="仿宋_GB2312"/>
                <w:kern w:val="2"/>
                <w:sz w:val="24"/>
                <w:szCs w:val="24"/>
              </w:rPr>
            </w:pPr>
          </w:p>
        </w:tc>
        <w:tc>
          <w:tcPr>
            <w:tcW w:w="820" w:type="pct"/>
            <w:vAlign w:val="center"/>
          </w:tcPr>
          <w:p>
            <w:pPr>
              <w:pStyle w:val="11"/>
              <w:spacing w:line="360" w:lineRule="auto"/>
              <w:ind w:firstLine="0" w:firstLineChars="0"/>
              <w:jc w:val="center"/>
              <w:rPr>
                <w:rFonts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pPr>
              <w:pStyle w:val="11"/>
              <w:spacing w:line="360" w:lineRule="auto"/>
              <w:ind w:firstLine="0" w:firstLineChars="0"/>
              <w:jc w:val="center"/>
              <w:rPr>
                <w:rFonts w:ascii="宋体" w:hAnsi="宋体" w:eastAsia="宋体" w:cs="仿宋_GB2312"/>
                <w:kern w:val="2"/>
                <w:sz w:val="24"/>
                <w:szCs w:val="24"/>
              </w:rPr>
            </w:pPr>
            <w:bookmarkStart w:id="167" w:name="_Toc383699916"/>
            <w:bookmarkStart w:id="168" w:name="_Toc173066415"/>
            <w:bookmarkStart w:id="169" w:name="_Toc173211914"/>
            <w:bookmarkStart w:id="170" w:name="_Toc295404991"/>
            <w:bookmarkStart w:id="171" w:name="_Toc297193195"/>
            <w:bookmarkStart w:id="172" w:name="_Toc373333699"/>
            <w:bookmarkStart w:id="173" w:name="_Toc301781621"/>
            <w:bookmarkStart w:id="174" w:name="_Toc254970743"/>
            <w:bookmarkStart w:id="175" w:name="_Toc254970602"/>
            <w:r>
              <w:rPr>
                <w:rFonts w:hint="eastAsia" w:ascii="宋体" w:hAnsi="宋体" w:eastAsia="宋体" w:cs="仿宋_GB2312"/>
                <w:kern w:val="2"/>
                <w:sz w:val="24"/>
                <w:szCs w:val="24"/>
              </w:rPr>
              <w:t>…</w:t>
            </w:r>
            <w:bookmarkEnd w:id="167"/>
            <w:bookmarkEnd w:id="168"/>
            <w:bookmarkEnd w:id="169"/>
            <w:bookmarkEnd w:id="170"/>
            <w:bookmarkEnd w:id="171"/>
            <w:bookmarkEnd w:id="172"/>
            <w:bookmarkEnd w:id="173"/>
            <w:bookmarkEnd w:id="174"/>
            <w:bookmarkEnd w:id="175"/>
          </w:p>
        </w:tc>
        <w:tc>
          <w:tcPr>
            <w:tcW w:w="503" w:type="pct"/>
            <w:tcBorders>
              <w:righ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670" w:type="pct"/>
            <w:tcBorders>
              <w:lef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c>
          <w:tcPr>
            <w:tcW w:w="1503" w:type="pct"/>
            <w:vAlign w:val="center"/>
          </w:tcPr>
          <w:p>
            <w:pPr>
              <w:pStyle w:val="11"/>
              <w:spacing w:line="360" w:lineRule="auto"/>
              <w:ind w:firstLine="0" w:firstLineChars="0"/>
              <w:jc w:val="center"/>
              <w:rPr>
                <w:rFonts w:ascii="宋体" w:hAnsi="宋体" w:eastAsia="宋体" w:cs="仿宋_GB2312"/>
                <w:kern w:val="2"/>
                <w:sz w:val="24"/>
                <w:szCs w:val="24"/>
              </w:rPr>
            </w:pPr>
          </w:p>
        </w:tc>
        <w:tc>
          <w:tcPr>
            <w:tcW w:w="820" w:type="pct"/>
            <w:tcBorders>
              <w:right w:val="single" w:color="auto" w:sz="4" w:space="0"/>
            </w:tcBorders>
            <w:vAlign w:val="center"/>
          </w:tcPr>
          <w:p>
            <w:pPr>
              <w:pStyle w:val="11"/>
              <w:spacing w:line="360" w:lineRule="auto"/>
              <w:ind w:firstLine="0" w:firstLineChars="0"/>
              <w:jc w:val="center"/>
              <w:rPr>
                <w:rFonts w:ascii="宋体" w:hAnsi="宋体" w:eastAsia="宋体" w:cs="仿宋_GB2312"/>
                <w:kern w:val="2"/>
                <w:sz w:val="24"/>
                <w:szCs w:val="24"/>
              </w:rPr>
            </w:pPr>
          </w:p>
        </w:tc>
      </w:tr>
    </w:tbl>
    <w:p>
      <w:pPr>
        <w:pStyle w:val="11"/>
        <w:spacing w:line="360" w:lineRule="auto"/>
        <w:ind w:firstLine="0" w:firstLineChars="0"/>
        <w:rPr>
          <w:rFonts w:ascii="宋体" w:hAnsi="宋体" w:eastAsia="宋体" w:cs="仿宋_GB2312"/>
          <w:sz w:val="24"/>
          <w:szCs w:val="24"/>
        </w:rPr>
      </w:pPr>
      <w:bookmarkStart w:id="176" w:name="_Hlk55980577"/>
      <w:r>
        <w:rPr>
          <w:rFonts w:hint="eastAsia" w:ascii="宋体" w:hAnsi="宋体" w:eastAsia="宋体" w:cs="仿宋_GB2312"/>
          <w:sz w:val="24"/>
          <w:szCs w:val="24"/>
        </w:rPr>
        <w:t>注：</w:t>
      </w:r>
    </w:p>
    <w:p>
      <w:pPr>
        <w:pStyle w:val="11"/>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1. 说明：应对照谈判文件“第三章 采购需求”中的技术需求逐条实质性响应，并作出偏离说明。</w:t>
      </w:r>
    </w:p>
    <w:p>
      <w:pPr>
        <w:pStyle w:val="11"/>
        <w:spacing w:line="360" w:lineRule="auto"/>
        <w:ind w:firstLine="0" w:firstLineChars="0"/>
        <w:rPr>
          <w:rFonts w:ascii="宋体" w:hAnsi="宋体" w:eastAsia="宋体" w:cs="仿宋_GB2312"/>
          <w:sz w:val="24"/>
          <w:szCs w:val="24"/>
        </w:rPr>
      </w:pPr>
      <w:r>
        <w:rPr>
          <w:rFonts w:hint="eastAsia" w:ascii="宋体" w:hAnsi="宋体" w:eastAsia="宋体" w:cs="仿宋_GB2312"/>
          <w:sz w:val="24"/>
          <w:szCs w:val="24"/>
        </w:rPr>
        <w:t>2.供应商应根据竞标设备的性能指标，对照谈判文件要求，在“偏离说明”中注明“正偏离”、“负偏离”或者“无偏离”。既不属于“正偏离”也不属于“负偏离”即为“无偏离”。</w:t>
      </w:r>
      <w:bookmarkEnd w:id="176"/>
    </w:p>
    <w:p>
      <w:pPr>
        <w:snapToGrid w:val="0"/>
        <w:spacing w:before="50" w:after="50" w:line="360" w:lineRule="auto"/>
        <w:ind w:right="-817" w:rightChars="-389"/>
        <w:rPr>
          <w:rFonts w:ascii="宋体" w:hAnsi="宋体" w:cs="仿宋_GB2312"/>
          <w:sz w:val="24"/>
        </w:rPr>
      </w:pPr>
    </w:p>
    <w:p>
      <w:pPr>
        <w:snapToGrid w:val="0"/>
        <w:spacing w:before="50" w:after="50" w:line="360" w:lineRule="auto"/>
        <w:ind w:right="-817" w:rightChars="-389"/>
        <w:rPr>
          <w:rFonts w:ascii="宋体" w:hAnsi="宋体" w:cs="仿宋_GB2312"/>
          <w:sz w:val="24"/>
        </w:rPr>
      </w:pPr>
    </w:p>
    <w:p>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供应商（盖公章）：</w:t>
      </w:r>
    </w:p>
    <w:p>
      <w:pPr>
        <w:snapToGrid w:val="0"/>
        <w:spacing w:before="50" w:after="50" w:line="360" w:lineRule="auto"/>
        <w:ind w:right="-817" w:rightChars="-389"/>
        <w:jc w:val="center"/>
        <w:rPr>
          <w:rFonts w:ascii="仿宋_GB2312" w:hAnsi="仿宋_GB2312" w:eastAsia="仿宋_GB2312" w:cs="仿宋_GB2312"/>
          <w:sz w:val="32"/>
          <w:szCs w:val="32"/>
        </w:rPr>
      </w:pPr>
      <w:r>
        <w:rPr>
          <w:rFonts w:hint="eastAsia" w:ascii="宋体" w:hAnsi="宋体" w:cs="仿宋_GB2312"/>
          <w:sz w:val="24"/>
        </w:rPr>
        <w:t>日期：   年   月   日</w:t>
      </w:r>
    </w:p>
    <w:p>
      <w:pPr>
        <w:spacing w:line="300" w:lineRule="auto"/>
        <w:rPr>
          <w:rFonts w:ascii="宋体" w:hAnsi="宋体"/>
          <w:szCs w:val="21"/>
        </w:rPr>
      </w:pPr>
      <w:r>
        <w:rPr>
          <w:rFonts w:ascii="宋体" w:hAnsi="宋体"/>
          <w:b/>
          <w:bCs/>
          <w:sz w:val="24"/>
        </w:rPr>
        <w:br w:type="page"/>
      </w:r>
      <w:r>
        <w:rPr>
          <w:rFonts w:hint="eastAsia" w:ascii="宋体" w:hAnsi="宋体"/>
          <w:b/>
          <w:bCs/>
          <w:sz w:val="24"/>
        </w:rPr>
        <w:t>其他文书、文件格式</w:t>
      </w:r>
    </w:p>
    <w:p>
      <w:pPr>
        <w:spacing w:line="480" w:lineRule="auto"/>
        <w:jc w:val="center"/>
        <w:rPr>
          <w:rStyle w:val="34"/>
        </w:rPr>
      </w:pPr>
      <w:r>
        <w:rPr>
          <w:rFonts w:hint="eastAsia"/>
          <w:b/>
          <w:sz w:val="32"/>
        </w:rPr>
        <w:t>中小企业声明函</w:t>
      </w:r>
    </w:p>
    <w:p>
      <w:pPr>
        <w:spacing w:line="480" w:lineRule="auto"/>
        <w:jc w:val="center"/>
        <w:rPr>
          <w:rStyle w:val="34"/>
        </w:rPr>
      </w:pP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本公司(联合体）郑重声明，根据《政府采购促进中小企业发展管理办法》(财库( 2020 ) 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numPr>
          <w:ilvl w:val="0"/>
          <w:numId w:val="34"/>
        </w:numPr>
        <w:adjustRightInd w:val="0"/>
        <w:snapToGrid w:val="0"/>
        <w:spacing w:line="480" w:lineRule="auto"/>
        <w:ind w:firstLine="480" w:firstLineChars="200"/>
        <w:jc w:val="left"/>
        <w:rPr>
          <w:rFonts w:ascii="宋体" w:hAnsi="宋体" w:cs="宋体"/>
          <w:sz w:val="24"/>
        </w:rPr>
      </w:pP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行业；制造商为(企业名称)，从业人员_____人，营业收入为__万元，资产总额为__万元，属于</w:t>
      </w:r>
      <w:r>
        <w:rPr>
          <w:rFonts w:hint="eastAsia" w:ascii="宋体" w:hAnsi="宋体" w:cs="宋体"/>
          <w:sz w:val="24"/>
          <w:u w:val="single"/>
        </w:rPr>
        <w:t>（中型企业、小型企业、微型企业)</w:t>
      </w:r>
      <w:r>
        <w:rPr>
          <w:rFonts w:hint="eastAsia" w:ascii="宋体" w:hAnsi="宋体" w:cs="宋体"/>
          <w:sz w:val="24"/>
        </w:rPr>
        <w:t>；</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行业；制造商为(企业名称)，从业人员_____人，营业收入为__万元，资产总额为__万元，属于</w:t>
      </w:r>
      <w:r>
        <w:rPr>
          <w:rFonts w:hint="eastAsia" w:ascii="宋体" w:hAnsi="宋体" w:cs="宋体"/>
          <w:sz w:val="24"/>
          <w:u w:val="single"/>
        </w:rPr>
        <w:t>（中型企业、小型企业、微型企业)</w:t>
      </w:r>
      <w:r>
        <w:rPr>
          <w:rFonts w:hint="eastAsia" w:ascii="宋体" w:hAnsi="宋体" w:cs="宋体"/>
          <w:sz w:val="24"/>
        </w:rPr>
        <w:t>；</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adjustRightInd w:val="0"/>
        <w:snapToGrid w:val="0"/>
        <w:spacing w:line="48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rPr>
          <w:rFonts w:ascii="宋体" w:hAnsi="宋体" w:cs="宋体"/>
          <w:sz w:val="24"/>
        </w:rPr>
      </w:pPr>
    </w:p>
    <w:p>
      <w:pPr>
        <w:adjustRightInd w:val="0"/>
        <w:snapToGrid w:val="0"/>
        <w:spacing w:line="480" w:lineRule="auto"/>
        <w:ind w:left="3360" w:leftChars="1600" w:firstLine="480" w:firstLineChars="200"/>
        <w:jc w:val="left"/>
        <w:rPr>
          <w:rFonts w:ascii="宋体" w:hAnsi="宋体" w:cs="宋体"/>
          <w:sz w:val="24"/>
        </w:rPr>
      </w:pPr>
      <w:r>
        <w:rPr>
          <w:rFonts w:hint="eastAsia" w:ascii="宋体" w:hAnsi="宋体" w:cs="宋体"/>
          <w:sz w:val="24"/>
        </w:rPr>
        <w:t>企业名称（盖章）：____________</w:t>
      </w:r>
    </w:p>
    <w:p>
      <w:pPr>
        <w:adjustRightInd w:val="0"/>
        <w:snapToGrid w:val="0"/>
        <w:spacing w:line="480" w:lineRule="auto"/>
        <w:ind w:left="3360" w:leftChars="1600" w:firstLine="480" w:firstLineChars="200"/>
        <w:jc w:val="left"/>
        <w:rPr>
          <w:rFonts w:ascii="宋体" w:hAnsi="宋体" w:cs="宋体"/>
          <w:sz w:val="24"/>
        </w:rPr>
      </w:pPr>
      <w:r>
        <w:rPr>
          <w:rFonts w:hint="eastAsia" w:ascii="宋体" w:hAnsi="宋体" w:cs="宋体"/>
          <w:sz w:val="24"/>
        </w:rPr>
        <w:t>日期：________________________</w:t>
      </w:r>
    </w:p>
    <w:p>
      <w:pPr>
        <w:spacing w:line="480" w:lineRule="auto"/>
      </w:pPr>
    </w:p>
    <w:p>
      <w:pPr>
        <w:snapToGrid w:val="0"/>
        <w:spacing w:line="360" w:lineRule="auto"/>
        <w:rPr>
          <w:rFonts w:ascii="宋体" w:hAnsi="宋体" w:cs="宋体"/>
          <w:szCs w:val="21"/>
        </w:rPr>
      </w:pPr>
      <w:r>
        <w:rPr>
          <w:rFonts w:hint="eastAsia" w:ascii="宋体" w:hAnsi="宋体" w:cs="宋体"/>
          <w:szCs w:val="21"/>
        </w:rPr>
        <w:t>注：1、从业人员、营业收入、资产总额填报上一年度数据，无上一年度数据的新成立企业可不填报。</w:t>
      </w:r>
    </w:p>
    <w:p>
      <w:pPr>
        <w:spacing w:line="360" w:lineRule="auto"/>
        <w:rPr>
          <w:rFonts w:ascii="宋体" w:hAnsi="宋体" w:cs="宋体"/>
          <w:szCs w:val="21"/>
        </w:rPr>
      </w:pPr>
      <w:r>
        <w:rPr>
          <w:rFonts w:hint="eastAsia" w:ascii="宋体" w:hAnsi="宋体" w:cs="宋体"/>
          <w:szCs w:val="21"/>
        </w:rPr>
        <w:t>2、请根据自己的真实情况出具《中小企业声明函》。依法享受中小企业优惠政策的，采购人或者采购代理机构在公告中标结果时，同时公告其《中小企业声明函》，接受社会监督。</w:t>
      </w:r>
    </w:p>
    <w:p>
      <w:pPr>
        <w:spacing w:line="520" w:lineRule="exact"/>
        <w:jc w:val="center"/>
        <w:rPr>
          <w:rFonts w:ascii="仿宋_GB2312" w:hAnsi="仿宋_GB2312" w:eastAsia="仿宋_GB2312" w:cs="仿宋_GB2312"/>
          <w:sz w:val="32"/>
          <w:szCs w:val="32"/>
        </w:rPr>
      </w:pPr>
      <w:r>
        <w:rPr>
          <w:rFonts w:ascii="宋体" w:hAnsi="宋体"/>
          <w:sz w:val="24"/>
        </w:rPr>
        <w:br w:type="page"/>
      </w:r>
      <w:r>
        <w:rPr>
          <w:rFonts w:hint="eastAsia"/>
          <w:b/>
          <w:sz w:val="32"/>
        </w:rPr>
        <w:t>残疾人福利性单位声明函</w:t>
      </w:r>
    </w:p>
    <w:p>
      <w:pPr>
        <w:spacing w:line="480" w:lineRule="auto"/>
        <w:rPr>
          <w:rFonts w:ascii="仿宋_GB2312" w:hAnsi="仿宋_GB2312" w:eastAsia="仿宋_GB2312" w:cs="仿宋_GB2312"/>
          <w:sz w:val="32"/>
          <w:szCs w:val="32"/>
        </w:rPr>
      </w:pPr>
    </w:p>
    <w:p>
      <w:pPr>
        <w:spacing w:line="480" w:lineRule="auto"/>
        <w:ind w:firstLine="480" w:firstLineChars="200"/>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jc w:val="center"/>
        <w:rPr>
          <w:rFonts w:ascii="宋体" w:hAnsi="宋体" w:cs="仿宋_GB2312"/>
          <w:sz w:val="24"/>
        </w:rPr>
      </w:pPr>
      <w:r>
        <w:rPr>
          <w:rFonts w:hint="eastAsia" w:ascii="宋体" w:hAnsi="宋体" w:cs="仿宋_GB2312"/>
          <w:sz w:val="24"/>
        </w:rPr>
        <w:t>单位名称（盖章）：</w:t>
      </w:r>
    </w:p>
    <w:p>
      <w:pPr>
        <w:spacing w:line="360" w:lineRule="auto"/>
        <w:jc w:val="center"/>
        <w:rPr>
          <w:rFonts w:ascii="宋体" w:hAnsi="宋体" w:cs="仿宋_GB2312"/>
          <w:sz w:val="24"/>
        </w:rPr>
      </w:pPr>
      <w:r>
        <w:rPr>
          <w:rFonts w:hint="eastAsia" w:ascii="宋体" w:hAnsi="宋体" w:cs="仿宋_GB2312"/>
          <w:sz w:val="24"/>
        </w:rPr>
        <w:t>日  期：</w:t>
      </w: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napToGrid w:val="0"/>
        <w:spacing w:line="360" w:lineRule="auto"/>
        <w:rPr>
          <w:rFonts w:ascii="宋体" w:hAnsi="宋体" w:cs="宋体"/>
          <w:szCs w:val="21"/>
        </w:rPr>
      </w:pPr>
      <w:r>
        <w:rPr>
          <w:rFonts w:hint="eastAsia" w:ascii="宋体" w:hAnsi="宋体" w:cs="宋体"/>
          <w:szCs w:val="21"/>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ascii="宋体" w:hAnsi="宋体"/>
          <w:b/>
          <w:bCs/>
          <w:sz w:val="32"/>
          <w:szCs w:val="32"/>
        </w:rPr>
      </w:pPr>
      <w:r>
        <w:rPr>
          <w:rFonts w:ascii="宋体" w:hAnsi="宋体" w:cs="仿宋_GB2312"/>
          <w:sz w:val="24"/>
        </w:rPr>
        <w:br w:type="page"/>
      </w:r>
      <w:r>
        <w:rPr>
          <w:rFonts w:hint="eastAsia"/>
          <w:b/>
          <w:sz w:val="32"/>
        </w:rPr>
        <w:t>质疑函（格式）</w:t>
      </w:r>
    </w:p>
    <w:p>
      <w:pPr>
        <w:pStyle w:val="5"/>
      </w:pPr>
      <w:r>
        <w:rPr>
          <w:rFonts w:hint="eastAsia"/>
        </w:rPr>
        <w:t>一、质疑供应商基本信息：</w:t>
      </w:r>
    </w:p>
    <w:p>
      <w:pPr>
        <w:pStyle w:val="13"/>
        <w:snapToGrid w:val="0"/>
        <w:spacing w:line="360" w:lineRule="auto"/>
        <w:ind w:firstLine="480" w:firstLineChars="200"/>
        <w:rPr>
          <w:rFonts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5"/>
      </w:pPr>
      <w:r>
        <w:rPr>
          <w:rFonts w:hint="eastAsia"/>
        </w:rPr>
        <w:t>二、质疑项目基本情况：</w:t>
      </w:r>
    </w:p>
    <w:p>
      <w:pPr>
        <w:pStyle w:val="1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采购人名称：</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质疑事项：</w:t>
      </w:r>
    </w:p>
    <w:p>
      <w:pPr>
        <w:pStyle w:val="13"/>
        <w:spacing w:line="360" w:lineRule="auto"/>
        <w:ind w:left="25" w:leftChars="12" w:firstLine="352" w:firstLineChars="147"/>
        <w:rPr>
          <w:rFonts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13"/>
        <w:spacing w:line="360" w:lineRule="auto"/>
        <w:ind w:left="25" w:leftChars="12" w:firstLine="352" w:firstLineChars="147"/>
        <w:rPr>
          <w:rFonts w:hAnsi="宋体"/>
          <w:sz w:val="24"/>
          <w:szCs w:val="24"/>
        </w:rPr>
      </w:pPr>
      <w:r>
        <w:rPr>
          <w:rFonts w:hint="eastAsia" w:hAnsi="宋体"/>
          <w:sz w:val="24"/>
          <w:szCs w:val="24"/>
        </w:rPr>
        <w:t xml:space="preserve">□采购过程   </w:t>
      </w:r>
    </w:p>
    <w:p>
      <w:pPr>
        <w:pStyle w:val="13"/>
        <w:spacing w:line="360" w:lineRule="auto"/>
        <w:ind w:left="25" w:leftChars="12" w:firstLine="352" w:firstLineChars="147"/>
        <w:rPr>
          <w:rFonts w:hAnsi="宋体"/>
          <w:bCs/>
          <w:sz w:val="24"/>
          <w:szCs w:val="24"/>
          <w:u w:val="single"/>
        </w:rPr>
      </w:pPr>
      <w:r>
        <w:rPr>
          <w:rFonts w:hint="eastAsia" w:hAnsi="宋体"/>
          <w:sz w:val="24"/>
          <w:szCs w:val="24"/>
        </w:rPr>
        <w:t xml:space="preserve">□成交结果   </w:t>
      </w:r>
    </w:p>
    <w:p>
      <w:pPr>
        <w:pStyle w:val="5"/>
      </w:pPr>
      <w:r>
        <w:rPr>
          <w:rFonts w:hint="eastAsia"/>
        </w:rPr>
        <w:t>三、质疑事项具体内容</w:t>
      </w:r>
    </w:p>
    <w:p>
      <w:pPr>
        <w:pStyle w:val="13"/>
        <w:spacing w:line="360" w:lineRule="auto"/>
        <w:ind w:left="25" w:leftChars="12" w:firstLine="472" w:firstLineChars="197"/>
        <w:rPr>
          <w:rFonts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sz w:val="24"/>
          <w:szCs w:val="24"/>
        </w:rPr>
        <w:t>质疑事项2</w:t>
      </w:r>
    </w:p>
    <w:p>
      <w:pPr>
        <w:pStyle w:val="13"/>
        <w:spacing w:line="360" w:lineRule="auto"/>
        <w:ind w:left="25" w:leftChars="12" w:firstLine="472" w:firstLineChars="197"/>
        <w:rPr>
          <w:rFonts w:hAnsi="宋体"/>
          <w:sz w:val="24"/>
          <w:szCs w:val="24"/>
        </w:rPr>
      </w:pPr>
      <w:r>
        <w:rPr>
          <w:rFonts w:hAnsi="宋体"/>
          <w:sz w:val="24"/>
          <w:szCs w:val="24"/>
        </w:rPr>
        <w:t>……</w:t>
      </w:r>
    </w:p>
    <w:p>
      <w:pPr>
        <w:pStyle w:val="13"/>
        <w:spacing w:line="360" w:lineRule="auto"/>
        <w:ind w:left="25" w:leftChars="12" w:firstLine="472" w:firstLineChars="197"/>
        <w:rPr>
          <w:rFonts w:hAnsi="宋体"/>
          <w:sz w:val="24"/>
          <w:szCs w:val="24"/>
        </w:rPr>
      </w:pPr>
      <w:r>
        <w:rPr>
          <w:rFonts w:hint="eastAsia" w:hAnsi="宋体"/>
          <w:sz w:val="24"/>
          <w:szCs w:val="24"/>
        </w:rPr>
        <w:t>四、与质疑事项相关的质疑请求：</w:t>
      </w:r>
    </w:p>
    <w:p>
      <w:pPr>
        <w:pStyle w:val="13"/>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签字（签章）：                                       公章：</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日期：</w:t>
      </w:r>
    </w:p>
    <w:p>
      <w:pPr>
        <w:pStyle w:val="13"/>
        <w:snapToGrid w:val="0"/>
        <w:spacing w:line="360" w:lineRule="auto"/>
        <w:rPr>
          <w:rFonts w:hAnsi="宋体"/>
          <w:b/>
          <w:sz w:val="24"/>
          <w:szCs w:val="24"/>
        </w:rPr>
      </w:pPr>
    </w:p>
    <w:p>
      <w:pPr>
        <w:pStyle w:val="13"/>
        <w:snapToGrid w:val="0"/>
        <w:spacing w:line="360" w:lineRule="auto"/>
        <w:rPr>
          <w:rFonts w:hAnsi="宋体"/>
          <w:b/>
          <w:sz w:val="24"/>
          <w:szCs w:val="24"/>
        </w:rPr>
      </w:pPr>
      <w:r>
        <w:rPr>
          <w:rFonts w:hint="eastAsia" w:hAnsi="宋体"/>
          <w:b/>
          <w:sz w:val="24"/>
          <w:szCs w:val="24"/>
        </w:rPr>
        <w:t>说明：</w:t>
      </w:r>
    </w:p>
    <w:p>
      <w:pPr>
        <w:pStyle w:val="13"/>
        <w:spacing w:line="360" w:lineRule="auto"/>
        <w:rPr>
          <w:rFonts w:hAnsi="宋体"/>
          <w:b/>
          <w:sz w:val="21"/>
        </w:rPr>
      </w:pPr>
      <w:r>
        <w:rPr>
          <w:rFonts w:hint="eastAsia" w:hAnsi="宋体"/>
          <w:b/>
          <w:sz w:val="21"/>
        </w:rPr>
        <w:t>1.供应商提出质疑时，应提交质疑函和必要的证明材料。</w:t>
      </w:r>
    </w:p>
    <w:p>
      <w:pPr>
        <w:pStyle w:val="13"/>
        <w:spacing w:line="360" w:lineRule="auto"/>
        <w:rPr>
          <w:rFonts w:hAnsi="宋体"/>
          <w:b/>
          <w:sz w:val="21"/>
        </w:rPr>
      </w:pPr>
      <w:r>
        <w:rPr>
          <w:rFonts w:hint="eastAsia" w:hAnsi="宋体"/>
          <w:b/>
          <w:sz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rPr>
          <w:rFonts w:hAnsi="宋体"/>
          <w:b/>
          <w:sz w:val="21"/>
        </w:rPr>
      </w:pPr>
      <w:r>
        <w:rPr>
          <w:rFonts w:hint="eastAsia" w:hAnsi="宋体"/>
          <w:b/>
          <w:sz w:val="21"/>
        </w:rPr>
        <w:t>3.质疑函的质疑事项应具体、明确，并有必要的事实依据和法律依据。</w:t>
      </w:r>
    </w:p>
    <w:p>
      <w:pPr>
        <w:pStyle w:val="13"/>
        <w:spacing w:line="360" w:lineRule="auto"/>
        <w:rPr>
          <w:rFonts w:hAnsi="宋体"/>
          <w:b/>
          <w:sz w:val="21"/>
        </w:rPr>
      </w:pPr>
      <w:r>
        <w:rPr>
          <w:rFonts w:hint="eastAsia" w:hAnsi="宋体"/>
          <w:b/>
          <w:sz w:val="21"/>
        </w:rPr>
        <w:t>4.质疑函的质疑请求应与质疑事项相关。</w:t>
      </w:r>
    </w:p>
    <w:p>
      <w:pPr>
        <w:pStyle w:val="13"/>
        <w:spacing w:line="360" w:lineRule="auto"/>
        <w:rPr>
          <w:rFonts w:hAnsi="宋体"/>
          <w:b/>
          <w:sz w:val="21"/>
        </w:rPr>
      </w:pPr>
      <w:r>
        <w:rPr>
          <w:rFonts w:hint="eastAsia" w:hAnsi="宋体"/>
          <w:b/>
          <w:sz w:val="21"/>
        </w:rPr>
        <w:t>5.质疑供应商为法人或者其他组织的，质疑函应由法定代表人、主要负责人，或者其授权代表签字或者盖章，并加盖公章。</w:t>
      </w:r>
    </w:p>
    <w:p>
      <w:pPr>
        <w:pStyle w:val="13"/>
        <w:snapToGrid w:val="0"/>
        <w:rPr>
          <w:b/>
          <w:sz w:val="24"/>
          <w:szCs w:val="24"/>
        </w:rPr>
      </w:pPr>
    </w:p>
    <w:p>
      <w:pPr>
        <w:spacing w:line="720" w:lineRule="auto"/>
        <w:jc w:val="center"/>
        <w:rPr>
          <w:b/>
        </w:rPr>
      </w:pPr>
      <w:r>
        <w:rPr>
          <w:rFonts w:eastAsia="隶书"/>
          <w:sz w:val="44"/>
        </w:rPr>
        <w:br w:type="page"/>
      </w:r>
      <w:r>
        <w:rPr>
          <w:rStyle w:val="33"/>
          <w:rFonts w:hint="eastAsia"/>
        </w:rPr>
        <w:t>投诉书（格式）</w:t>
      </w:r>
    </w:p>
    <w:p>
      <w:pPr>
        <w:pStyle w:val="5"/>
      </w:pPr>
      <w:r>
        <w:rPr>
          <w:rFonts w:hint="eastAsia"/>
        </w:rPr>
        <w:t>一、投诉相关主体基本情况：</w:t>
      </w:r>
    </w:p>
    <w:p>
      <w:pPr>
        <w:pStyle w:val="13"/>
        <w:snapToGrid w:val="0"/>
        <w:spacing w:line="360" w:lineRule="auto"/>
        <w:ind w:firstLine="480" w:firstLineChars="200"/>
        <w:rPr>
          <w:rFonts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rPr>
      </w:pPr>
      <w:r>
        <w:rPr>
          <w:rFonts w:hint="eastAsia" w:hAnsi="宋体"/>
          <w:bCs/>
          <w:sz w:val="24"/>
          <w:szCs w:val="24"/>
        </w:rPr>
        <w:t>被投诉人1：</w:t>
      </w:r>
    </w:p>
    <w:p>
      <w:pPr>
        <w:pStyle w:val="13"/>
        <w:snapToGrid w:val="0"/>
        <w:spacing w:line="360" w:lineRule="auto"/>
        <w:ind w:firstLine="480" w:firstLineChars="200"/>
        <w:rPr>
          <w:rFonts w:hAnsi="宋体"/>
          <w:bCs/>
          <w:sz w:val="24"/>
          <w:szCs w:val="24"/>
        </w:rPr>
      </w:pPr>
      <w:r>
        <w:rPr>
          <w:rFonts w:hint="eastAsia" w:hAnsi="宋体"/>
          <w:bCs/>
          <w:sz w:val="24"/>
          <w:szCs w:val="24"/>
        </w:rPr>
        <w:t>地址：</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pPr>
        <w:pStyle w:val="13"/>
        <w:snapToGrid w:val="0"/>
        <w:spacing w:line="360" w:lineRule="auto"/>
        <w:ind w:firstLine="480" w:firstLineChars="200"/>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int="eastAsia" w:hAnsi="宋体"/>
          <w:bCs/>
          <w:sz w:val="24"/>
          <w:szCs w:val="24"/>
        </w:rPr>
        <w:t>被投诉人2：</w:t>
      </w:r>
    </w:p>
    <w:p>
      <w:pPr>
        <w:pStyle w:val="13"/>
        <w:snapToGrid w:val="0"/>
        <w:spacing w:line="360" w:lineRule="auto"/>
        <w:ind w:firstLine="480" w:firstLineChars="200"/>
        <w:rPr>
          <w:rFonts w:hAnsi="宋体"/>
          <w:bCs/>
          <w:sz w:val="24"/>
          <w:szCs w:val="24"/>
        </w:rPr>
      </w:pPr>
      <w:r>
        <w:rPr>
          <w:rFonts w:hAnsi="宋体"/>
          <w:bCs/>
          <w:sz w:val="24"/>
          <w:szCs w:val="24"/>
        </w:rPr>
        <w:t>……</w:t>
      </w:r>
    </w:p>
    <w:p>
      <w:pPr>
        <w:pStyle w:val="13"/>
        <w:snapToGrid w:val="0"/>
        <w:spacing w:line="360" w:lineRule="auto"/>
        <w:ind w:firstLine="480" w:firstLineChars="200"/>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pPr>
        <w:pStyle w:val="13"/>
        <w:snapToGrid w:val="0"/>
        <w:spacing w:line="360" w:lineRule="auto"/>
        <w:ind w:firstLine="480" w:firstLineChars="200"/>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pPr>
        <w:pStyle w:val="5"/>
      </w:pPr>
      <w:r>
        <w:rPr>
          <w:rFonts w:hint="eastAsia"/>
        </w:rPr>
        <w:t>二、投诉项目基本情况：</w:t>
      </w:r>
    </w:p>
    <w:p>
      <w:pPr>
        <w:pStyle w:val="1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3"/>
        <w:spacing w:line="360" w:lineRule="auto"/>
        <w:ind w:left="25" w:leftChars="12" w:firstLine="472"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5"/>
      </w:pPr>
      <w:r>
        <w:rPr>
          <w:rFonts w:hint="eastAsia"/>
        </w:rPr>
        <w:t>三、质疑基本情况</w:t>
      </w:r>
    </w:p>
    <w:p>
      <w:pPr>
        <w:pStyle w:val="13"/>
        <w:spacing w:line="360" w:lineRule="auto"/>
        <w:ind w:firstLine="480" w:firstLineChars="200"/>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3"/>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firstLine="480" w:firstLineChars="200"/>
        <w:rPr>
          <w:rFonts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5"/>
      </w:pPr>
      <w:r>
        <w:rPr>
          <w:rFonts w:hint="eastAsia"/>
        </w:rPr>
        <w:t>四、投诉事项具体内容</w:t>
      </w:r>
    </w:p>
    <w:p>
      <w:pPr>
        <w:pStyle w:val="13"/>
        <w:spacing w:line="360" w:lineRule="auto"/>
        <w:ind w:left="25" w:leftChars="12" w:firstLine="472"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3"/>
        <w:spacing w:line="360" w:lineRule="auto"/>
        <w:ind w:firstLine="480"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Ansi="宋体"/>
          <w:sz w:val="24"/>
          <w:szCs w:val="24"/>
        </w:rPr>
      </w:pPr>
      <w:r>
        <w:rPr>
          <w:rFonts w:hint="eastAsia" w:hAnsi="宋体"/>
          <w:bCs/>
          <w:sz w:val="24"/>
          <w:szCs w:val="24"/>
          <w:u w:val="single"/>
        </w:rPr>
        <w:t xml:space="preserve">                                                                                        </w:t>
      </w:r>
    </w:p>
    <w:p>
      <w:pPr>
        <w:pStyle w:val="13"/>
        <w:spacing w:line="360" w:lineRule="auto"/>
        <w:ind w:firstLine="480"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352"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3"/>
        <w:spacing w:line="360" w:lineRule="auto"/>
        <w:ind w:left="25" w:leftChars="12" w:firstLine="472" w:firstLineChars="197"/>
        <w:rPr>
          <w:rFonts w:hAnsi="宋体"/>
          <w:bCs/>
          <w:sz w:val="24"/>
          <w:szCs w:val="24"/>
        </w:rPr>
      </w:pPr>
      <w:r>
        <w:rPr>
          <w:rFonts w:hAnsi="宋体"/>
          <w:bCs/>
          <w:sz w:val="24"/>
          <w:szCs w:val="24"/>
        </w:rPr>
        <w:t>……</w:t>
      </w:r>
    </w:p>
    <w:p>
      <w:pPr>
        <w:pStyle w:val="5"/>
      </w:pPr>
      <w:r>
        <w:rPr>
          <w:rFonts w:hint="eastAsia"/>
        </w:rPr>
        <w:t>五、与投诉事项相关的投诉请求：</w:t>
      </w:r>
    </w:p>
    <w:p>
      <w:pPr>
        <w:pStyle w:val="13"/>
        <w:spacing w:line="360" w:lineRule="auto"/>
        <w:ind w:left="25" w:leftChars="12" w:firstLine="472"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签字（签章）：                                       公章：</w:t>
      </w:r>
    </w:p>
    <w:p>
      <w:pPr>
        <w:pStyle w:val="13"/>
        <w:spacing w:line="360" w:lineRule="auto"/>
        <w:ind w:left="25" w:leftChars="12" w:firstLine="352" w:firstLineChars="147"/>
        <w:rPr>
          <w:rFonts w:hAnsi="宋体"/>
          <w:sz w:val="24"/>
          <w:szCs w:val="24"/>
        </w:rPr>
      </w:pPr>
    </w:p>
    <w:p>
      <w:pPr>
        <w:pStyle w:val="13"/>
        <w:spacing w:line="360" w:lineRule="auto"/>
        <w:ind w:left="25" w:leftChars="12" w:firstLine="472" w:firstLineChars="197"/>
        <w:rPr>
          <w:rFonts w:hAnsi="宋体"/>
          <w:sz w:val="24"/>
          <w:szCs w:val="24"/>
        </w:rPr>
      </w:pPr>
      <w:r>
        <w:rPr>
          <w:rFonts w:hint="eastAsia" w:hAnsi="宋体"/>
          <w:sz w:val="24"/>
          <w:szCs w:val="24"/>
        </w:rPr>
        <w:t>日期：</w:t>
      </w:r>
    </w:p>
    <w:p>
      <w:pPr>
        <w:pStyle w:val="13"/>
        <w:spacing w:line="360" w:lineRule="auto"/>
        <w:ind w:left="25" w:leftChars="12" w:firstLine="472" w:firstLineChars="197"/>
        <w:rPr>
          <w:rFonts w:hAnsi="宋体"/>
          <w:sz w:val="24"/>
          <w:szCs w:val="24"/>
        </w:rPr>
      </w:pPr>
      <w:r>
        <w:rPr>
          <w:rFonts w:hint="eastAsia" w:hAnsi="宋体"/>
          <w:bCs/>
          <w:sz w:val="24"/>
          <w:szCs w:val="24"/>
        </w:rPr>
        <w:t xml:space="preserve">                                                                                 </w:t>
      </w:r>
    </w:p>
    <w:p>
      <w:pPr>
        <w:pStyle w:val="13"/>
        <w:snapToGrid w:val="0"/>
        <w:spacing w:line="360" w:lineRule="auto"/>
        <w:rPr>
          <w:rFonts w:hAnsi="宋体"/>
          <w:b/>
          <w:sz w:val="24"/>
          <w:szCs w:val="24"/>
        </w:rPr>
      </w:pPr>
    </w:p>
    <w:p>
      <w:pPr>
        <w:pStyle w:val="13"/>
        <w:snapToGrid w:val="0"/>
        <w:spacing w:line="360" w:lineRule="auto"/>
        <w:rPr>
          <w:rFonts w:hAnsi="宋体"/>
          <w:b/>
          <w:sz w:val="24"/>
          <w:szCs w:val="24"/>
        </w:rPr>
      </w:pPr>
      <w:r>
        <w:rPr>
          <w:rFonts w:hint="eastAsia" w:hAnsi="宋体"/>
          <w:b/>
          <w:sz w:val="24"/>
          <w:szCs w:val="24"/>
        </w:rPr>
        <w:t>说明：</w:t>
      </w:r>
    </w:p>
    <w:p>
      <w:pPr>
        <w:pStyle w:val="13"/>
        <w:spacing w:line="360" w:lineRule="auto"/>
        <w:rPr>
          <w:rFonts w:hAnsi="宋体"/>
          <w:b/>
          <w:bCs/>
          <w:sz w:val="21"/>
        </w:rPr>
      </w:pPr>
      <w:r>
        <w:rPr>
          <w:rFonts w:hint="eastAsia" w:hAnsi="宋体"/>
          <w:b/>
          <w:sz w:val="21"/>
        </w:rPr>
        <w:t>1.投诉人提起投诉时，应当提交投诉书和必要的证明材料，并按照被投诉人和与投诉事项有关的供应商数量提供投诉书副本</w:t>
      </w:r>
      <w:r>
        <w:rPr>
          <w:rFonts w:hint="eastAsia" w:hAnsi="宋体"/>
          <w:b/>
          <w:bCs/>
          <w:sz w:val="21"/>
        </w:rPr>
        <w:t>。</w:t>
      </w:r>
    </w:p>
    <w:p>
      <w:pPr>
        <w:pStyle w:val="13"/>
        <w:spacing w:line="360" w:lineRule="auto"/>
        <w:rPr>
          <w:rFonts w:hAnsi="宋体"/>
          <w:b/>
          <w:sz w:val="21"/>
        </w:rPr>
      </w:pPr>
      <w:r>
        <w:rPr>
          <w:rFonts w:hint="eastAsia" w:hAnsi="宋体"/>
          <w:b/>
          <w:sz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rPr>
          <w:rFonts w:hAnsi="宋体"/>
          <w:b/>
          <w:sz w:val="21"/>
        </w:rPr>
      </w:pPr>
      <w:r>
        <w:rPr>
          <w:rFonts w:hint="eastAsia" w:hAnsi="宋体"/>
          <w:b/>
          <w:sz w:val="21"/>
        </w:rPr>
        <w:t>3.投诉书应简要列明质疑事项，质疑函、质疑答复等作为附件材料提供。</w:t>
      </w:r>
    </w:p>
    <w:p>
      <w:pPr>
        <w:pStyle w:val="13"/>
        <w:spacing w:line="360" w:lineRule="auto"/>
        <w:rPr>
          <w:rFonts w:hAnsi="宋体"/>
          <w:b/>
          <w:sz w:val="21"/>
        </w:rPr>
      </w:pPr>
      <w:r>
        <w:rPr>
          <w:rFonts w:hint="eastAsia" w:hAnsi="宋体"/>
          <w:b/>
          <w:sz w:val="21"/>
        </w:rPr>
        <w:t>4.投诉书的投诉事项应具体、明确，并有必要的事实依据和法律依据。</w:t>
      </w:r>
    </w:p>
    <w:p>
      <w:pPr>
        <w:pStyle w:val="13"/>
        <w:spacing w:line="360" w:lineRule="auto"/>
        <w:rPr>
          <w:rFonts w:hAnsi="宋体"/>
          <w:b/>
          <w:sz w:val="21"/>
        </w:rPr>
      </w:pPr>
      <w:r>
        <w:rPr>
          <w:rFonts w:hint="eastAsia" w:hAnsi="宋体"/>
          <w:b/>
          <w:sz w:val="21"/>
        </w:rPr>
        <w:t>5.投诉书的投诉请求应与投诉事项相关。</w:t>
      </w:r>
    </w:p>
    <w:p>
      <w:pPr>
        <w:pStyle w:val="13"/>
        <w:spacing w:line="360" w:lineRule="auto"/>
        <w:rPr>
          <w:rFonts w:hAnsi="宋体"/>
          <w:b/>
          <w:sz w:val="21"/>
        </w:rPr>
      </w:pPr>
      <w:r>
        <w:rPr>
          <w:rFonts w:hint="eastAsia" w:hAnsi="宋体"/>
          <w:b/>
          <w:sz w:val="21"/>
        </w:rPr>
        <w:t>6.投诉人为法人或者其他组织的，投诉书应由法定代表人、主要负责人，或者其授权代表签字或者盖章，并加盖公章。</w:t>
      </w:r>
    </w:p>
    <w:p>
      <w:pPr>
        <w:pStyle w:val="3"/>
        <w:jc w:val="center"/>
        <w:rPr>
          <w:rStyle w:val="31"/>
          <w:b/>
        </w:rPr>
        <w:sectPr>
          <w:pgSz w:w="11906" w:h="16838"/>
          <w:pgMar w:top="1440" w:right="1080" w:bottom="1440" w:left="1080" w:header="1134" w:footer="992" w:gutter="0"/>
          <w:cols w:space="720" w:num="1"/>
          <w:titlePg/>
          <w:docGrid w:type="lines" w:linePitch="312" w:charSpace="0"/>
        </w:sectPr>
      </w:pPr>
      <w:bookmarkStart w:id="177" w:name="_Toc35611517"/>
    </w:p>
    <w:p>
      <w:pPr>
        <w:pStyle w:val="2"/>
        <w:jc w:val="center"/>
      </w:pPr>
      <w:bookmarkStart w:id="178" w:name="_Toc15117"/>
      <w:bookmarkStart w:id="179" w:name="_Toc28344"/>
      <w:bookmarkStart w:id="180" w:name="_Toc17658"/>
      <w:r>
        <w:t>第六章 合同主要条款</w:t>
      </w:r>
      <w:bookmarkEnd w:id="177"/>
      <w:bookmarkEnd w:id="178"/>
      <w:bookmarkEnd w:id="179"/>
      <w:bookmarkEnd w:id="180"/>
    </w:p>
    <w:p>
      <w:pPr>
        <w:snapToGrid w:val="0"/>
        <w:spacing w:line="400" w:lineRule="exact"/>
        <w:jc w:val="center"/>
        <w:rPr>
          <w:rFonts w:ascii="宋体" w:hAnsi="宋体"/>
          <w:b/>
          <w:bCs/>
          <w:sz w:val="32"/>
          <w:szCs w:val="32"/>
        </w:rPr>
      </w:pPr>
      <w:bookmarkStart w:id="181" w:name="_Hlk48036379"/>
    </w:p>
    <w:p>
      <w:pPr>
        <w:snapToGrid w:val="0"/>
        <w:spacing w:line="400" w:lineRule="exact"/>
        <w:jc w:val="center"/>
        <w:rPr>
          <w:rFonts w:ascii="宋体" w:hAnsi="宋体"/>
          <w:b/>
          <w:bCs/>
          <w:sz w:val="32"/>
          <w:szCs w:val="32"/>
        </w:rPr>
      </w:pPr>
    </w:p>
    <w:p>
      <w:pPr>
        <w:snapToGrid w:val="0"/>
        <w:spacing w:line="400" w:lineRule="exact"/>
        <w:jc w:val="center"/>
        <w:rPr>
          <w:rFonts w:ascii="宋体" w:hAnsi="宋体"/>
          <w:b/>
          <w:bCs/>
          <w:sz w:val="32"/>
          <w:szCs w:val="32"/>
        </w:rPr>
      </w:pPr>
    </w:p>
    <w:p>
      <w:pPr>
        <w:snapToGrid w:val="0"/>
        <w:spacing w:line="400" w:lineRule="exact"/>
        <w:jc w:val="center"/>
        <w:rPr>
          <w:rFonts w:ascii="宋体" w:hAnsi="宋体"/>
          <w:b/>
          <w:bCs/>
          <w:sz w:val="32"/>
          <w:szCs w:val="32"/>
        </w:rPr>
      </w:pPr>
    </w:p>
    <w:p>
      <w:pPr>
        <w:pStyle w:val="3"/>
        <w:jc w:val="center"/>
        <w:rPr>
          <w:rFonts w:ascii="宋体" w:hAnsi="宋体"/>
          <w:b w:val="0"/>
          <w:bCs w:val="0"/>
          <w:sz w:val="36"/>
          <w:szCs w:val="22"/>
        </w:rPr>
        <w:sectPr>
          <w:pgSz w:w="11906" w:h="16838"/>
          <w:pgMar w:top="1440" w:right="1080" w:bottom="1440" w:left="1080" w:header="1134" w:footer="992" w:gutter="0"/>
          <w:cols w:space="720" w:num="1"/>
          <w:titlePg/>
          <w:docGrid w:type="lines" w:linePitch="312" w:charSpace="0"/>
        </w:sectPr>
      </w:pPr>
    </w:p>
    <w:p>
      <w:pPr>
        <w:pStyle w:val="4"/>
        <w:jc w:val="center"/>
      </w:pPr>
      <w:r>
        <w:rPr>
          <w:rFonts w:hint="eastAsia"/>
        </w:rPr>
        <w:t>政府采购合同</w:t>
      </w:r>
    </w:p>
    <w:p>
      <w:pPr>
        <w:snapToGrid w:val="0"/>
        <w:spacing w:line="400" w:lineRule="exact"/>
        <w:rPr>
          <w:rFonts w:ascii="宋体" w:hAnsi="宋体" w:cs="宋体"/>
          <w:szCs w:val="21"/>
        </w:rPr>
      </w:pPr>
    </w:p>
    <w:p>
      <w:pPr>
        <w:snapToGrid w:val="0"/>
        <w:spacing w:line="400" w:lineRule="exact"/>
        <w:rPr>
          <w:rFonts w:ascii="宋体" w:hAnsi="宋体" w:cs="宋体"/>
          <w:szCs w:val="21"/>
        </w:rPr>
      </w:pPr>
    </w:p>
    <w:p>
      <w:pPr>
        <w:wordWrap w:val="0"/>
        <w:topLinePunct/>
        <w:snapToGrid w:val="0"/>
        <w:spacing w:line="360" w:lineRule="auto"/>
        <w:rPr>
          <w:rFonts w:ascii="仿宋" w:hAnsi="仿宋" w:eastAsia="仿宋" w:cs="仿宋"/>
          <w:sz w:val="28"/>
          <w:szCs w:val="28"/>
          <w:u w:val="single"/>
        </w:rPr>
      </w:pPr>
      <w:r>
        <w:rPr>
          <w:rFonts w:hint="eastAsia" w:ascii="仿宋" w:hAnsi="仿宋" w:eastAsia="仿宋" w:cs="仿宋"/>
          <w:sz w:val="28"/>
          <w:szCs w:val="28"/>
        </w:rPr>
        <w:t>采购人（甲方）：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采购计划号：</w:t>
      </w:r>
      <w:r>
        <w:rPr>
          <w:rFonts w:hint="eastAsia" w:ascii="仿宋" w:hAnsi="仿宋" w:eastAsia="仿宋" w:cs="仿宋"/>
          <w:sz w:val="28"/>
          <w:szCs w:val="28"/>
          <w:u w:val="single"/>
        </w:rPr>
        <w:t xml:space="preserve">                    </w:t>
      </w:r>
    </w:p>
    <w:p>
      <w:pPr>
        <w:wordWrap w:val="0"/>
        <w:topLinePunct/>
        <w:snapToGrid w:val="0"/>
        <w:spacing w:line="360" w:lineRule="auto"/>
        <w:rPr>
          <w:rFonts w:ascii="仿宋" w:hAnsi="仿宋" w:eastAsia="仿宋" w:cs="仿宋"/>
          <w:sz w:val="28"/>
          <w:szCs w:val="28"/>
        </w:rPr>
      </w:pPr>
      <w:r>
        <w:rPr>
          <w:rFonts w:hint="eastAsia" w:ascii="仿宋" w:hAnsi="仿宋" w:eastAsia="仿宋" w:cs="仿宋"/>
          <w:sz w:val="28"/>
          <w:szCs w:val="28"/>
        </w:rPr>
        <w:t>供应商（乙方）：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wordWrap w:val="0"/>
        <w:topLinePunct/>
        <w:snapToGrid w:val="0"/>
        <w:spacing w:line="360" w:lineRule="auto"/>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项目编号：</w:t>
      </w:r>
      <w:r>
        <w:rPr>
          <w:rFonts w:hint="eastAsia" w:ascii="仿宋" w:hAnsi="仿宋" w:eastAsia="仿宋" w:cs="仿宋"/>
          <w:sz w:val="28"/>
          <w:szCs w:val="28"/>
          <w:u w:val="single"/>
        </w:rPr>
        <w:t xml:space="preserve">                      </w:t>
      </w:r>
    </w:p>
    <w:p>
      <w:pPr>
        <w:wordWrap w:val="0"/>
        <w:topLinePunct/>
        <w:snapToGrid w:val="0"/>
        <w:spacing w:line="360" w:lineRule="auto"/>
        <w:rPr>
          <w:rFonts w:ascii="仿宋" w:hAnsi="仿宋" w:eastAsia="仿宋" w:cs="仿宋"/>
          <w:sz w:val="28"/>
          <w:szCs w:val="28"/>
          <w:u w:val="single"/>
        </w:rPr>
      </w:pPr>
      <w:r>
        <w:rPr>
          <w:rFonts w:hint="eastAsia" w:ascii="仿宋" w:hAnsi="仿宋" w:eastAsia="仿宋" w:cs="仿宋"/>
          <w:sz w:val="28"/>
          <w:szCs w:val="28"/>
        </w:rPr>
        <w:t>签订地点：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签订时间：</w:t>
      </w:r>
      <w:r>
        <w:rPr>
          <w:rFonts w:hint="eastAsia" w:ascii="仿宋" w:hAnsi="仿宋" w:eastAsia="仿宋" w:cs="仿宋"/>
          <w:sz w:val="28"/>
          <w:szCs w:val="28"/>
          <w:u w:val="single"/>
        </w:rPr>
        <w:t xml:space="preserve">                      </w:t>
      </w:r>
    </w:p>
    <w:p>
      <w:pPr>
        <w:snapToGrid w:val="0"/>
        <w:spacing w:line="360" w:lineRule="auto"/>
        <w:ind w:firstLine="480" w:firstLineChars="200"/>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根据《中华人民共和国政府采购法》、《中华人民共和国民法典》等法律、法规规定，按照竞争性谈判文件规定条款和成交供应商承诺，甲乙双方签订本合同。</w:t>
      </w:r>
    </w:p>
    <w:p>
      <w:pPr>
        <w:pStyle w:val="5"/>
        <w:spacing w:before="0" w:after="0" w:line="360" w:lineRule="auto"/>
        <w:rPr>
          <w:rFonts w:ascii="宋体" w:hAnsi="宋体" w:cs="宋体"/>
          <w:sz w:val="24"/>
          <w:szCs w:val="24"/>
        </w:rPr>
      </w:pPr>
      <w:r>
        <w:rPr>
          <w:rFonts w:hint="eastAsia" w:ascii="宋体" w:hAnsi="宋体" w:cs="宋体"/>
          <w:sz w:val="24"/>
          <w:szCs w:val="24"/>
        </w:rPr>
        <w:t>第一条　合同标的</w:t>
      </w:r>
    </w:p>
    <w:p>
      <w:pPr>
        <w:snapToGrid w:val="0"/>
        <w:spacing w:line="360" w:lineRule="auto"/>
        <w:rPr>
          <w:rFonts w:ascii="宋体" w:hAnsi="宋体" w:cs="宋体"/>
          <w:sz w:val="24"/>
        </w:rPr>
      </w:pPr>
      <w:r>
        <w:rPr>
          <w:rFonts w:hint="eastAsia" w:ascii="宋体" w:hAnsi="宋体" w:cs="宋体"/>
          <w:sz w:val="24"/>
        </w:rPr>
        <w:t>1.供货一览表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340"/>
        <w:gridCol w:w="1151"/>
        <w:gridCol w:w="1340"/>
        <w:gridCol w:w="1314"/>
        <w:gridCol w:w="800"/>
        <w:gridCol w:w="798"/>
        <w:gridCol w:w="1191"/>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87" w:type="pct"/>
            <w:vAlign w:val="center"/>
          </w:tcPr>
          <w:p>
            <w:pPr>
              <w:snapToGrid w:val="0"/>
              <w:spacing w:line="360" w:lineRule="auto"/>
              <w:rPr>
                <w:rFonts w:ascii="宋体" w:hAnsi="宋体" w:cs="宋体"/>
                <w:sz w:val="24"/>
              </w:rPr>
            </w:pPr>
            <w:r>
              <w:rPr>
                <w:rFonts w:hint="eastAsia" w:ascii="宋体" w:hAnsi="宋体" w:cs="宋体"/>
                <w:sz w:val="24"/>
              </w:rPr>
              <w:t>序号</w:t>
            </w:r>
          </w:p>
        </w:tc>
        <w:tc>
          <w:tcPr>
            <w:tcW w:w="673" w:type="pct"/>
            <w:vAlign w:val="center"/>
          </w:tcPr>
          <w:p>
            <w:pPr>
              <w:snapToGrid w:val="0"/>
              <w:spacing w:line="360" w:lineRule="auto"/>
              <w:rPr>
                <w:rFonts w:ascii="宋体" w:hAnsi="宋体" w:cs="宋体"/>
                <w:sz w:val="24"/>
              </w:rPr>
            </w:pPr>
            <w:r>
              <w:rPr>
                <w:rFonts w:hint="eastAsia" w:ascii="宋体" w:hAnsi="宋体" w:cs="宋体"/>
                <w:sz w:val="24"/>
              </w:rPr>
              <w:t>产品名称</w:t>
            </w:r>
          </w:p>
        </w:tc>
        <w:tc>
          <w:tcPr>
            <w:tcW w:w="578" w:type="pct"/>
            <w:vAlign w:val="center"/>
          </w:tcPr>
          <w:p>
            <w:pPr>
              <w:snapToGrid w:val="0"/>
              <w:spacing w:line="360" w:lineRule="auto"/>
              <w:rPr>
                <w:rFonts w:ascii="宋体" w:hAnsi="宋体" w:cs="宋体"/>
                <w:sz w:val="24"/>
              </w:rPr>
            </w:pPr>
            <w:r>
              <w:rPr>
                <w:rFonts w:hint="eastAsia" w:ascii="宋体" w:hAnsi="宋体" w:cs="宋体"/>
                <w:sz w:val="24"/>
              </w:rPr>
              <w:t>商标品牌</w:t>
            </w:r>
          </w:p>
        </w:tc>
        <w:tc>
          <w:tcPr>
            <w:tcW w:w="673" w:type="pct"/>
            <w:vAlign w:val="center"/>
          </w:tcPr>
          <w:p>
            <w:pPr>
              <w:snapToGrid w:val="0"/>
              <w:spacing w:line="360" w:lineRule="auto"/>
              <w:rPr>
                <w:rFonts w:ascii="宋体" w:hAnsi="宋体" w:cs="宋体"/>
                <w:sz w:val="24"/>
              </w:rPr>
            </w:pPr>
            <w:r>
              <w:rPr>
                <w:rFonts w:hint="eastAsia" w:ascii="宋体" w:hAnsi="宋体" w:cs="宋体"/>
                <w:sz w:val="24"/>
              </w:rPr>
              <w:t>规格型号</w:t>
            </w:r>
          </w:p>
        </w:tc>
        <w:tc>
          <w:tcPr>
            <w:tcW w:w="660" w:type="pct"/>
            <w:vAlign w:val="center"/>
          </w:tcPr>
          <w:p>
            <w:pPr>
              <w:snapToGrid w:val="0"/>
              <w:spacing w:line="360" w:lineRule="auto"/>
              <w:rPr>
                <w:rFonts w:ascii="宋体" w:hAnsi="宋体" w:cs="宋体"/>
                <w:sz w:val="24"/>
              </w:rPr>
            </w:pPr>
            <w:r>
              <w:rPr>
                <w:rFonts w:hint="eastAsia" w:ascii="宋体" w:hAnsi="宋体" w:cs="宋体"/>
                <w:sz w:val="24"/>
              </w:rPr>
              <w:t>生产厂家</w:t>
            </w:r>
          </w:p>
        </w:tc>
        <w:tc>
          <w:tcPr>
            <w:tcW w:w="402" w:type="pct"/>
            <w:vAlign w:val="center"/>
          </w:tcPr>
          <w:p>
            <w:pPr>
              <w:snapToGrid w:val="0"/>
              <w:spacing w:line="360" w:lineRule="auto"/>
              <w:rPr>
                <w:rFonts w:ascii="宋体" w:hAnsi="宋体" w:cs="宋体"/>
                <w:sz w:val="24"/>
              </w:rPr>
            </w:pPr>
            <w:r>
              <w:rPr>
                <w:rFonts w:hint="eastAsia" w:ascii="宋体" w:hAnsi="宋体" w:cs="宋体"/>
                <w:sz w:val="24"/>
              </w:rPr>
              <w:t>数量</w:t>
            </w:r>
          </w:p>
        </w:tc>
        <w:tc>
          <w:tcPr>
            <w:tcW w:w="401" w:type="pct"/>
            <w:vAlign w:val="center"/>
          </w:tcPr>
          <w:p>
            <w:pPr>
              <w:snapToGrid w:val="0"/>
              <w:spacing w:line="360" w:lineRule="auto"/>
              <w:rPr>
                <w:rFonts w:ascii="宋体" w:hAnsi="宋体" w:cs="宋体"/>
                <w:sz w:val="24"/>
              </w:rPr>
            </w:pPr>
            <w:r>
              <w:rPr>
                <w:rFonts w:hint="eastAsia" w:ascii="宋体" w:hAnsi="宋体" w:cs="宋体"/>
                <w:sz w:val="24"/>
              </w:rPr>
              <w:t>单位</w:t>
            </w:r>
          </w:p>
        </w:tc>
        <w:tc>
          <w:tcPr>
            <w:tcW w:w="598" w:type="pct"/>
            <w:vAlign w:val="center"/>
          </w:tcPr>
          <w:p>
            <w:pPr>
              <w:snapToGrid w:val="0"/>
              <w:spacing w:line="360" w:lineRule="auto"/>
              <w:rPr>
                <w:rFonts w:ascii="宋体" w:hAnsi="宋体" w:cs="宋体"/>
                <w:sz w:val="24"/>
              </w:rPr>
            </w:pPr>
            <w:r>
              <w:rPr>
                <w:rFonts w:hint="eastAsia" w:ascii="宋体" w:hAnsi="宋体" w:cs="宋体"/>
                <w:sz w:val="24"/>
              </w:rPr>
              <w:t>单价（元）</w:t>
            </w:r>
          </w:p>
        </w:tc>
        <w:tc>
          <w:tcPr>
            <w:tcW w:w="625" w:type="pct"/>
            <w:vAlign w:val="center"/>
          </w:tcPr>
          <w:p>
            <w:pPr>
              <w:snapToGrid w:val="0"/>
              <w:spacing w:line="360" w:lineRule="auto"/>
              <w:rPr>
                <w:rFonts w:ascii="宋体" w:hAnsi="宋体" w:cs="宋体"/>
                <w:sz w:val="24"/>
              </w:rPr>
            </w:pPr>
            <w:r>
              <w:rPr>
                <w:rFonts w:hint="eastAsia" w:ascii="宋体" w:hAnsi="宋体" w:cs="宋体"/>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87" w:type="pct"/>
            <w:vAlign w:val="center"/>
          </w:tcPr>
          <w:p>
            <w:pPr>
              <w:snapToGrid w:val="0"/>
              <w:spacing w:line="360" w:lineRule="auto"/>
              <w:rPr>
                <w:rFonts w:ascii="宋体" w:hAnsi="宋体" w:cs="宋体"/>
                <w:sz w:val="24"/>
              </w:rPr>
            </w:pPr>
            <w:r>
              <w:rPr>
                <w:rFonts w:hint="eastAsia" w:ascii="宋体" w:hAnsi="宋体" w:cs="宋体"/>
                <w:sz w:val="24"/>
              </w:rPr>
              <w:t>1</w:t>
            </w:r>
          </w:p>
        </w:tc>
        <w:tc>
          <w:tcPr>
            <w:tcW w:w="673" w:type="pct"/>
            <w:vAlign w:val="center"/>
          </w:tcPr>
          <w:p>
            <w:pPr>
              <w:snapToGrid w:val="0"/>
              <w:spacing w:line="360" w:lineRule="auto"/>
              <w:rPr>
                <w:rFonts w:ascii="宋体" w:hAnsi="宋体" w:cs="宋体"/>
                <w:sz w:val="24"/>
              </w:rPr>
            </w:pPr>
          </w:p>
        </w:tc>
        <w:tc>
          <w:tcPr>
            <w:tcW w:w="578" w:type="pct"/>
            <w:vAlign w:val="center"/>
          </w:tcPr>
          <w:p>
            <w:pPr>
              <w:snapToGrid w:val="0"/>
              <w:spacing w:line="360" w:lineRule="auto"/>
              <w:rPr>
                <w:rFonts w:ascii="宋体" w:hAnsi="宋体" w:cs="宋体"/>
                <w:sz w:val="24"/>
              </w:rPr>
            </w:pPr>
          </w:p>
        </w:tc>
        <w:tc>
          <w:tcPr>
            <w:tcW w:w="673" w:type="pct"/>
            <w:vAlign w:val="center"/>
          </w:tcPr>
          <w:p>
            <w:pPr>
              <w:snapToGrid w:val="0"/>
              <w:spacing w:line="360" w:lineRule="auto"/>
              <w:rPr>
                <w:rFonts w:ascii="宋体" w:hAnsi="宋体" w:cs="宋体"/>
                <w:sz w:val="24"/>
              </w:rPr>
            </w:pPr>
          </w:p>
        </w:tc>
        <w:tc>
          <w:tcPr>
            <w:tcW w:w="660" w:type="pct"/>
          </w:tcPr>
          <w:p>
            <w:pPr>
              <w:snapToGrid w:val="0"/>
              <w:spacing w:line="360" w:lineRule="auto"/>
              <w:rPr>
                <w:rFonts w:ascii="宋体" w:hAnsi="宋体" w:cs="宋体"/>
                <w:sz w:val="24"/>
              </w:rPr>
            </w:pPr>
          </w:p>
        </w:tc>
        <w:tc>
          <w:tcPr>
            <w:tcW w:w="402" w:type="pct"/>
          </w:tcPr>
          <w:p>
            <w:pPr>
              <w:snapToGrid w:val="0"/>
              <w:spacing w:line="360" w:lineRule="auto"/>
              <w:rPr>
                <w:rFonts w:ascii="宋体" w:hAnsi="宋体" w:cs="宋体"/>
                <w:sz w:val="24"/>
              </w:rPr>
            </w:pPr>
          </w:p>
        </w:tc>
        <w:tc>
          <w:tcPr>
            <w:tcW w:w="401" w:type="pct"/>
          </w:tcPr>
          <w:p>
            <w:pPr>
              <w:snapToGrid w:val="0"/>
              <w:spacing w:line="360" w:lineRule="auto"/>
              <w:rPr>
                <w:rFonts w:ascii="宋体" w:hAnsi="宋体" w:cs="宋体"/>
                <w:sz w:val="24"/>
              </w:rPr>
            </w:pPr>
          </w:p>
        </w:tc>
        <w:tc>
          <w:tcPr>
            <w:tcW w:w="598" w:type="pct"/>
            <w:vAlign w:val="center"/>
          </w:tcPr>
          <w:p>
            <w:pPr>
              <w:snapToGrid w:val="0"/>
              <w:spacing w:line="360" w:lineRule="auto"/>
              <w:rPr>
                <w:rFonts w:ascii="宋体" w:hAnsi="宋体" w:cs="宋体"/>
                <w:sz w:val="24"/>
              </w:rPr>
            </w:pPr>
          </w:p>
        </w:tc>
        <w:tc>
          <w:tcPr>
            <w:tcW w:w="625" w:type="pct"/>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87" w:type="pct"/>
            <w:vAlign w:val="center"/>
          </w:tcPr>
          <w:p>
            <w:pPr>
              <w:snapToGrid w:val="0"/>
              <w:spacing w:line="360" w:lineRule="auto"/>
              <w:rPr>
                <w:rFonts w:ascii="宋体" w:hAnsi="宋体" w:cs="宋体"/>
                <w:sz w:val="24"/>
              </w:rPr>
            </w:pPr>
            <w:r>
              <w:rPr>
                <w:rFonts w:hint="eastAsia" w:ascii="宋体" w:hAnsi="宋体" w:cs="宋体"/>
                <w:sz w:val="24"/>
              </w:rPr>
              <w:t>2</w:t>
            </w:r>
          </w:p>
        </w:tc>
        <w:tc>
          <w:tcPr>
            <w:tcW w:w="673" w:type="pct"/>
            <w:vAlign w:val="center"/>
          </w:tcPr>
          <w:p>
            <w:pPr>
              <w:snapToGrid w:val="0"/>
              <w:spacing w:line="360" w:lineRule="auto"/>
              <w:rPr>
                <w:rFonts w:ascii="宋体" w:hAnsi="宋体" w:cs="宋体"/>
                <w:sz w:val="24"/>
              </w:rPr>
            </w:pPr>
          </w:p>
        </w:tc>
        <w:tc>
          <w:tcPr>
            <w:tcW w:w="578" w:type="pct"/>
            <w:vAlign w:val="center"/>
          </w:tcPr>
          <w:p>
            <w:pPr>
              <w:snapToGrid w:val="0"/>
              <w:spacing w:line="360" w:lineRule="auto"/>
              <w:rPr>
                <w:rFonts w:ascii="宋体" w:hAnsi="宋体" w:cs="宋体"/>
                <w:sz w:val="24"/>
              </w:rPr>
            </w:pPr>
          </w:p>
        </w:tc>
        <w:tc>
          <w:tcPr>
            <w:tcW w:w="673" w:type="pct"/>
            <w:vAlign w:val="center"/>
          </w:tcPr>
          <w:p>
            <w:pPr>
              <w:snapToGrid w:val="0"/>
              <w:spacing w:line="360" w:lineRule="auto"/>
              <w:rPr>
                <w:rFonts w:ascii="宋体" w:hAnsi="宋体" w:cs="宋体"/>
                <w:sz w:val="24"/>
              </w:rPr>
            </w:pPr>
          </w:p>
        </w:tc>
        <w:tc>
          <w:tcPr>
            <w:tcW w:w="660" w:type="pct"/>
          </w:tcPr>
          <w:p>
            <w:pPr>
              <w:snapToGrid w:val="0"/>
              <w:spacing w:line="360" w:lineRule="auto"/>
              <w:rPr>
                <w:rFonts w:ascii="宋体" w:hAnsi="宋体" w:cs="宋体"/>
                <w:sz w:val="24"/>
              </w:rPr>
            </w:pPr>
          </w:p>
        </w:tc>
        <w:tc>
          <w:tcPr>
            <w:tcW w:w="402" w:type="pct"/>
          </w:tcPr>
          <w:p>
            <w:pPr>
              <w:snapToGrid w:val="0"/>
              <w:spacing w:line="360" w:lineRule="auto"/>
              <w:rPr>
                <w:rFonts w:ascii="宋体" w:hAnsi="宋体" w:cs="宋体"/>
                <w:sz w:val="24"/>
              </w:rPr>
            </w:pPr>
          </w:p>
        </w:tc>
        <w:tc>
          <w:tcPr>
            <w:tcW w:w="401" w:type="pct"/>
          </w:tcPr>
          <w:p>
            <w:pPr>
              <w:snapToGrid w:val="0"/>
              <w:spacing w:line="360" w:lineRule="auto"/>
              <w:rPr>
                <w:rFonts w:ascii="宋体" w:hAnsi="宋体" w:cs="宋体"/>
                <w:sz w:val="24"/>
              </w:rPr>
            </w:pPr>
          </w:p>
        </w:tc>
        <w:tc>
          <w:tcPr>
            <w:tcW w:w="598" w:type="pct"/>
            <w:vAlign w:val="center"/>
          </w:tcPr>
          <w:p>
            <w:pPr>
              <w:snapToGrid w:val="0"/>
              <w:spacing w:line="360" w:lineRule="auto"/>
              <w:rPr>
                <w:rFonts w:ascii="宋体" w:hAnsi="宋体" w:cs="宋体"/>
                <w:sz w:val="24"/>
              </w:rPr>
            </w:pPr>
          </w:p>
        </w:tc>
        <w:tc>
          <w:tcPr>
            <w:tcW w:w="625" w:type="pct"/>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87" w:type="pct"/>
            <w:vAlign w:val="center"/>
          </w:tcPr>
          <w:p>
            <w:pPr>
              <w:snapToGrid w:val="0"/>
              <w:spacing w:line="360" w:lineRule="auto"/>
              <w:rPr>
                <w:rFonts w:ascii="宋体" w:hAnsi="宋体" w:cs="宋体"/>
                <w:sz w:val="24"/>
              </w:rPr>
            </w:pPr>
            <w:r>
              <w:rPr>
                <w:rFonts w:hint="eastAsia" w:ascii="宋体" w:hAnsi="宋体" w:cs="宋体"/>
                <w:sz w:val="24"/>
              </w:rPr>
              <w:t>3</w:t>
            </w:r>
          </w:p>
        </w:tc>
        <w:tc>
          <w:tcPr>
            <w:tcW w:w="673" w:type="pct"/>
            <w:vAlign w:val="center"/>
          </w:tcPr>
          <w:p>
            <w:pPr>
              <w:snapToGrid w:val="0"/>
              <w:spacing w:line="360" w:lineRule="auto"/>
              <w:rPr>
                <w:rFonts w:ascii="宋体" w:hAnsi="宋体" w:cs="宋体"/>
                <w:sz w:val="24"/>
              </w:rPr>
            </w:pPr>
          </w:p>
        </w:tc>
        <w:tc>
          <w:tcPr>
            <w:tcW w:w="578" w:type="pct"/>
            <w:vAlign w:val="center"/>
          </w:tcPr>
          <w:p>
            <w:pPr>
              <w:snapToGrid w:val="0"/>
              <w:spacing w:line="360" w:lineRule="auto"/>
              <w:rPr>
                <w:rFonts w:ascii="宋体" w:hAnsi="宋体" w:cs="宋体"/>
                <w:sz w:val="24"/>
              </w:rPr>
            </w:pPr>
          </w:p>
        </w:tc>
        <w:tc>
          <w:tcPr>
            <w:tcW w:w="673" w:type="pct"/>
            <w:vAlign w:val="center"/>
          </w:tcPr>
          <w:p>
            <w:pPr>
              <w:snapToGrid w:val="0"/>
              <w:spacing w:line="360" w:lineRule="auto"/>
              <w:rPr>
                <w:rFonts w:ascii="宋体" w:hAnsi="宋体" w:cs="宋体"/>
                <w:sz w:val="24"/>
              </w:rPr>
            </w:pPr>
          </w:p>
        </w:tc>
        <w:tc>
          <w:tcPr>
            <w:tcW w:w="660" w:type="pct"/>
          </w:tcPr>
          <w:p>
            <w:pPr>
              <w:snapToGrid w:val="0"/>
              <w:spacing w:line="360" w:lineRule="auto"/>
              <w:rPr>
                <w:rFonts w:ascii="宋体" w:hAnsi="宋体" w:cs="宋体"/>
                <w:sz w:val="24"/>
              </w:rPr>
            </w:pPr>
          </w:p>
        </w:tc>
        <w:tc>
          <w:tcPr>
            <w:tcW w:w="402" w:type="pct"/>
          </w:tcPr>
          <w:p>
            <w:pPr>
              <w:snapToGrid w:val="0"/>
              <w:spacing w:line="360" w:lineRule="auto"/>
              <w:rPr>
                <w:rFonts w:ascii="宋体" w:hAnsi="宋体" w:cs="宋体"/>
                <w:sz w:val="24"/>
              </w:rPr>
            </w:pPr>
          </w:p>
        </w:tc>
        <w:tc>
          <w:tcPr>
            <w:tcW w:w="401" w:type="pct"/>
          </w:tcPr>
          <w:p>
            <w:pPr>
              <w:snapToGrid w:val="0"/>
              <w:spacing w:line="360" w:lineRule="auto"/>
              <w:rPr>
                <w:rFonts w:ascii="宋体" w:hAnsi="宋体" w:cs="宋体"/>
                <w:sz w:val="24"/>
              </w:rPr>
            </w:pPr>
          </w:p>
        </w:tc>
        <w:tc>
          <w:tcPr>
            <w:tcW w:w="598" w:type="pct"/>
            <w:vAlign w:val="center"/>
          </w:tcPr>
          <w:p>
            <w:pPr>
              <w:snapToGrid w:val="0"/>
              <w:spacing w:line="360" w:lineRule="auto"/>
              <w:rPr>
                <w:rFonts w:ascii="宋体" w:hAnsi="宋体" w:cs="宋体"/>
                <w:sz w:val="24"/>
              </w:rPr>
            </w:pPr>
          </w:p>
        </w:tc>
        <w:tc>
          <w:tcPr>
            <w:tcW w:w="625" w:type="pct"/>
            <w:vAlign w:val="center"/>
          </w:tcPr>
          <w:p>
            <w:pPr>
              <w:snapToGrid w:val="0"/>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9"/>
            <w:vAlign w:val="center"/>
          </w:tcPr>
          <w:p>
            <w:pPr>
              <w:snapToGrid w:val="0"/>
              <w:spacing w:line="360" w:lineRule="auto"/>
              <w:rPr>
                <w:rFonts w:ascii="宋体" w:hAnsi="宋体" w:cs="宋体"/>
                <w:sz w:val="24"/>
              </w:rPr>
            </w:pPr>
            <w:r>
              <w:rPr>
                <w:rFonts w:hint="eastAsia" w:ascii="宋体" w:hAnsi="宋体" w:cs="宋体"/>
                <w:sz w:val="24"/>
              </w:rPr>
              <w:t xml:space="preserve">人民币合计金额（大写）                          （小写）                 </w:t>
            </w:r>
          </w:p>
        </w:tc>
      </w:tr>
    </w:tbl>
    <w:p>
      <w:pPr>
        <w:snapToGrid w:val="0"/>
        <w:spacing w:line="360" w:lineRule="auto"/>
        <w:rPr>
          <w:rFonts w:ascii="宋体" w:hAnsi="宋体" w:cs="宋体"/>
          <w:b/>
          <w:bCs/>
          <w:sz w:val="24"/>
        </w:rPr>
      </w:pPr>
      <w:r>
        <w:rPr>
          <w:rFonts w:hint="eastAsia" w:ascii="宋体" w:hAnsi="宋体" w:cs="宋体"/>
          <w:sz w:val="24"/>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pPr>
        <w:snapToGrid w:val="0"/>
        <w:spacing w:line="360" w:lineRule="auto"/>
        <w:rPr>
          <w:rFonts w:ascii="宋体" w:hAnsi="宋体" w:cs="宋体"/>
          <w:b/>
          <w:bCs/>
          <w:sz w:val="24"/>
        </w:rPr>
      </w:pPr>
      <w:r>
        <w:rPr>
          <w:rFonts w:hint="eastAsia" w:ascii="宋体" w:hAnsi="宋体" w:cs="宋体"/>
          <w:b/>
          <w:bCs/>
          <w:sz w:val="24"/>
        </w:rPr>
        <w:t>第二条　质量要求</w:t>
      </w:r>
    </w:p>
    <w:p>
      <w:pPr>
        <w:numPr>
          <w:ilvl w:val="0"/>
          <w:numId w:val="35"/>
        </w:numPr>
        <w:snapToGrid w:val="0"/>
        <w:spacing w:line="360" w:lineRule="auto"/>
        <w:ind w:firstLine="0"/>
        <w:rPr>
          <w:rFonts w:ascii="宋体" w:hAnsi="宋体" w:cs="宋体"/>
          <w:sz w:val="24"/>
        </w:rPr>
      </w:pPr>
      <w:r>
        <w:rPr>
          <w:rFonts w:hint="eastAsia" w:ascii="宋体" w:hAnsi="宋体" w:cs="宋体"/>
          <w:sz w:val="24"/>
        </w:rPr>
        <w:t>乙方所提供的产品名称、商标品牌、生产厂家、规格型号、技术参数等质量必须与竞争性谈判文件规定及响应文件承诺相一致。乙方提供的节能和环保产品必须是列入政府采购品目清单的产品。</w:t>
      </w:r>
    </w:p>
    <w:p>
      <w:pPr>
        <w:numPr>
          <w:ilvl w:val="0"/>
          <w:numId w:val="35"/>
        </w:numPr>
        <w:snapToGrid w:val="0"/>
        <w:spacing w:line="360" w:lineRule="auto"/>
        <w:ind w:firstLine="0"/>
        <w:rPr>
          <w:rFonts w:ascii="宋体" w:hAnsi="宋体" w:cs="宋体"/>
          <w:sz w:val="24"/>
        </w:rPr>
      </w:pPr>
      <w:r>
        <w:rPr>
          <w:rFonts w:hint="eastAsia" w:ascii="宋体" w:hAnsi="宋体" w:cs="宋体"/>
          <w:sz w:val="24"/>
        </w:rPr>
        <w:t>乙方所提供的货物必须是全新、未使用的原装产品，且在正常安装、使用和保养条件下，其使用寿命期内各项指标均达到竞争性谈判文件规定或者响应文件承诺的质量要求。</w:t>
      </w:r>
    </w:p>
    <w:p>
      <w:pPr>
        <w:pStyle w:val="5"/>
        <w:spacing w:before="0" w:after="0" w:line="360" w:lineRule="auto"/>
        <w:rPr>
          <w:rFonts w:ascii="宋体" w:hAnsi="宋体" w:cs="宋体"/>
          <w:sz w:val="24"/>
          <w:szCs w:val="24"/>
        </w:rPr>
      </w:pPr>
      <w:r>
        <w:rPr>
          <w:rFonts w:hint="eastAsia" w:ascii="宋体" w:hAnsi="宋体" w:cs="宋体"/>
          <w:sz w:val="24"/>
          <w:szCs w:val="24"/>
        </w:rPr>
        <w:t>第三条　权利保证</w:t>
      </w:r>
    </w:p>
    <w:p>
      <w:pPr>
        <w:numPr>
          <w:ilvl w:val="0"/>
          <w:numId w:val="36"/>
        </w:numPr>
        <w:snapToGrid w:val="0"/>
        <w:spacing w:line="360" w:lineRule="auto"/>
        <w:ind w:firstLine="0"/>
        <w:rPr>
          <w:rFonts w:ascii="宋体" w:hAnsi="宋体" w:cs="宋体"/>
          <w:sz w:val="24"/>
        </w:rPr>
      </w:pPr>
      <w:r>
        <w:rPr>
          <w:rFonts w:hint="eastAsia" w:ascii="宋体" w:hAnsi="宋体" w:cs="宋体"/>
          <w:sz w:val="24"/>
        </w:rPr>
        <w:t>乙方应保证所提供货物在使用时不会侵犯任何第三方的专利权、商标权、工业设计权或者其他权利。</w:t>
      </w:r>
    </w:p>
    <w:p>
      <w:pPr>
        <w:numPr>
          <w:ilvl w:val="0"/>
          <w:numId w:val="36"/>
        </w:numPr>
        <w:snapToGrid w:val="0"/>
        <w:spacing w:line="360" w:lineRule="auto"/>
        <w:ind w:firstLine="0"/>
        <w:rPr>
          <w:rFonts w:ascii="宋体" w:hAnsi="宋体" w:cs="宋体"/>
          <w:sz w:val="24"/>
        </w:rPr>
      </w:pPr>
      <w:r>
        <w:rPr>
          <w:rFonts w:hint="eastAsia" w:ascii="宋体" w:hAnsi="宋体" w:cs="宋体"/>
          <w:sz w:val="24"/>
        </w:rPr>
        <w:t>乙方应按竞争性谈判文件规定或者响应文件承诺的时间向甲方提供使用货物的有关技术资料。</w:t>
      </w:r>
    </w:p>
    <w:p>
      <w:pPr>
        <w:numPr>
          <w:ilvl w:val="0"/>
          <w:numId w:val="36"/>
        </w:numPr>
        <w:snapToGrid w:val="0"/>
        <w:spacing w:line="360" w:lineRule="auto"/>
        <w:ind w:firstLine="0"/>
        <w:rPr>
          <w:rFonts w:ascii="宋体" w:hAnsi="宋体" w:cs="宋体"/>
          <w:sz w:val="24"/>
        </w:rPr>
      </w:pPr>
      <w:r>
        <w:rPr>
          <w:rFonts w:hint="eastAsia" w:ascii="宋体" w:hAnsi="宋体" w:cs="宋体"/>
          <w:sz w:val="24"/>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numPr>
          <w:ilvl w:val="0"/>
          <w:numId w:val="36"/>
        </w:numPr>
        <w:snapToGrid w:val="0"/>
        <w:spacing w:line="360" w:lineRule="auto"/>
        <w:ind w:firstLine="0"/>
        <w:rPr>
          <w:rFonts w:ascii="宋体" w:hAnsi="宋体" w:cs="宋体"/>
          <w:sz w:val="24"/>
        </w:rPr>
      </w:pPr>
      <w:r>
        <w:rPr>
          <w:rFonts w:hint="eastAsia" w:ascii="宋体" w:hAnsi="宋体" w:cs="宋体"/>
          <w:sz w:val="24"/>
        </w:rPr>
        <w:t>乙方保证将要交付的货物的所有权完全属于乙方且无任何抵押、质押、查封等产权瑕疵。</w:t>
      </w:r>
    </w:p>
    <w:p>
      <w:pPr>
        <w:pStyle w:val="5"/>
        <w:spacing w:before="0" w:after="0" w:line="360" w:lineRule="auto"/>
        <w:rPr>
          <w:rFonts w:ascii="宋体" w:hAnsi="宋体" w:cs="宋体"/>
          <w:sz w:val="24"/>
          <w:szCs w:val="24"/>
        </w:rPr>
      </w:pPr>
      <w:r>
        <w:rPr>
          <w:rFonts w:hint="eastAsia" w:ascii="宋体" w:hAnsi="宋体" w:cs="宋体"/>
          <w:sz w:val="24"/>
          <w:szCs w:val="24"/>
        </w:rPr>
        <w:t>第四条　包装和运输</w:t>
      </w:r>
    </w:p>
    <w:p>
      <w:pPr>
        <w:numPr>
          <w:ilvl w:val="0"/>
          <w:numId w:val="37"/>
        </w:numPr>
        <w:snapToGrid w:val="0"/>
        <w:spacing w:line="360" w:lineRule="auto"/>
        <w:ind w:firstLine="0"/>
        <w:rPr>
          <w:rFonts w:ascii="宋体" w:hAnsi="宋体" w:cs="宋体"/>
          <w:sz w:val="24"/>
        </w:rPr>
      </w:pPr>
      <w:r>
        <w:rPr>
          <w:rFonts w:hint="eastAsia" w:ascii="宋体" w:hAnsi="宋体" w:cs="宋体"/>
          <w:sz w:val="24"/>
        </w:rPr>
        <w:t>乙方提供的货物均应按竞争性谈判文件规定或者响应文件承诺的要求的包装材料、包装标准、包装方式进行包装，每一包装单元内应附详细的装箱单和质量合格证。</w:t>
      </w:r>
    </w:p>
    <w:p>
      <w:pPr>
        <w:numPr>
          <w:ilvl w:val="0"/>
          <w:numId w:val="37"/>
        </w:numPr>
        <w:snapToGrid w:val="0"/>
        <w:spacing w:line="360" w:lineRule="auto"/>
        <w:ind w:firstLine="0"/>
        <w:rPr>
          <w:rFonts w:ascii="宋体" w:hAnsi="宋体" w:cs="宋体"/>
          <w:sz w:val="24"/>
        </w:rPr>
      </w:pPr>
      <w:r>
        <w:rPr>
          <w:rFonts w:hint="eastAsia" w:ascii="宋体" w:hAnsi="宋体" w:cs="宋体"/>
          <w:sz w:val="24"/>
        </w:rPr>
        <w:t>货物的运输方式：</w:t>
      </w:r>
      <w:r>
        <w:rPr>
          <w:rFonts w:hint="eastAsia" w:ascii="宋体" w:hAnsi="宋体" w:cs="宋体"/>
          <w:sz w:val="24"/>
          <w:u w:val="single"/>
        </w:rPr>
        <w:t xml:space="preserve">             </w:t>
      </w:r>
      <w:r>
        <w:rPr>
          <w:rFonts w:hint="eastAsia" w:ascii="宋体" w:hAnsi="宋体" w:cs="宋体"/>
          <w:sz w:val="24"/>
        </w:rPr>
        <w:t>。</w:t>
      </w:r>
    </w:p>
    <w:p>
      <w:pPr>
        <w:numPr>
          <w:ilvl w:val="0"/>
          <w:numId w:val="37"/>
        </w:numPr>
        <w:snapToGrid w:val="0"/>
        <w:spacing w:line="360" w:lineRule="auto"/>
        <w:ind w:firstLine="0"/>
        <w:rPr>
          <w:rFonts w:ascii="宋体" w:hAnsi="宋体" w:cs="宋体"/>
          <w:sz w:val="24"/>
          <w:u w:val="single"/>
        </w:rPr>
      </w:pPr>
      <w:r>
        <w:rPr>
          <w:rFonts w:hint="eastAsia" w:ascii="宋体" w:hAnsi="宋体" w:cs="宋体"/>
          <w:sz w:val="24"/>
        </w:rPr>
        <w:t>乙方负责货物运输，货物运输合理损耗及计算方法：</w:t>
      </w:r>
      <w:r>
        <w:rPr>
          <w:rFonts w:hint="eastAsia" w:ascii="宋体" w:hAnsi="宋体" w:cs="宋体"/>
          <w:sz w:val="24"/>
          <w:u w:val="single"/>
        </w:rPr>
        <w:t xml:space="preserve">                 </w:t>
      </w:r>
      <w:r>
        <w:rPr>
          <w:rFonts w:hint="eastAsia" w:ascii="宋体" w:hAnsi="宋体" w:cs="宋体"/>
          <w:sz w:val="24"/>
        </w:rPr>
        <w:t>。</w:t>
      </w:r>
    </w:p>
    <w:p>
      <w:pPr>
        <w:pStyle w:val="5"/>
        <w:spacing w:before="0" w:after="0" w:line="360" w:lineRule="auto"/>
        <w:rPr>
          <w:rFonts w:ascii="宋体" w:hAnsi="宋体" w:cs="宋体"/>
          <w:sz w:val="24"/>
          <w:szCs w:val="24"/>
        </w:rPr>
      </w:pPr>
      <w:r>
        <w:rPr>
          <w:rFonts w:hint="eastAsia" w:ascii="宋体" w:hAnsi="宋体" w:cs="宋体"/>
          <w:sz w:val="24"/>
          <w:szCs w:val="24"/>
        </w:rPr>
        <w:t>第五条　交付和验收</w:t>
      </w:r>
    </w:p>
    <w:p>
      <w:pPr>
        <w:numPr>
          <w:ilvl w:val="0"/>
          <w:numId w:val="38"/>
        </w:numPr>
        <w:snapToGrid w:val="0"/>
        <w:spacing w:line="360" w:lineRule="auto"/>
        <w:ind w:firstLine="0"/>
        <w:rPr>
          <w:rFonts w:ascii="宋体" w:hAnsi="宋体" w:cs="宋体"/>
          <w:sz w:val="24"/>
        </w:rPr>
      </w:pPr>
      <w:r>
        <w:rPr>
          <w:rFonts w:hint="eastAsia" w:ascii="宋体" w:hAnsi="宋体" w:cs="宋体"/>
          <w:sz w:val="24"/>
        </w:rPr>
        <w:t>交付时间：</w:t>
      </w:r>
      <w:r>
        <w:rPr>
          <w:rFonts w:hint="eastAsia" w:ascii="宋体" w:hAnsi="宋体" w:cs="宋体"/>
          <w:sz w:val="24"/>
          <w:u w:val="single"/>
        </w:rPr>
        <w:t xml:space="preserve">                 </w:t>
      </w:r>
      <w:r>
        <w:rPr>
          <w:rFonts w:hint="eastAsia" w:ascii="宋体" w:hAnsi="宋体" w:cs="宋体"/>
          <w:sz w:val="24"/>
        </w:rPr>
        <w:t>。</w:t>
      </w:r>
    </w:p>
    <w:p>
      <w:pPr>
        <w:numPr>
          <w:ilvl w:val="0"/>
          <w:numId w:val="38"/>
        </w:numPr>
        <w:snapToGrid w:val="0"/>
        <w:spacing w:line="360" w:lineRule="auto"/>
        <w:ind w:firstLine="0"/>
        <w:rPr>
          <w:rFonts w:ascii="宋体" w:hAnsi="宋体" w:cs="宋体"/>
          <w:sz w:val="24"/>
        </w:rPr>
      </w:pPr>
      <w:r>
        <w:rPr>
          <w:rFonts w:hint="eastAsia" w:ascii="宋体" w:hAnsi="宋体" w:cs="宋体"/>
          <w:sz w:val="24"/>
        </w:rPr>
        <w:t>交付地点：</w:t>
      </w:r>
      <w:r>
        <w:rPr>
          <w:rFonts w:hint="eastAsia" w:ascii="宋体" w:hAnsi="宋体" w:cs="宋体"/>
          <w:sz w:val="24"/>
          <w:u w:val="single"/>
        </w:rPr>
        <w:t xml:space="preserve">                          </w:t>
      </w:r>
      <w:r>
        <w:rPr>
          <w:rFonts w:hint="eastAsia" w:ascii="宋体" w:hAnsi="宋体" w:cs="宋体"/>
          <w:sz w:val="24"/>
        </w:rPr>
        <w:t>。</w:t>
      </w:r>
    </w:p>
    <w:p>
      <w:pPr>
        <w:numPr>
          <w:ilvl w:val="0"/>
          <w:numId w:val="38"/>
        </w:numPr>
        <w:snapToGrid w:val="0"/>
        <w:spacing w:line="360" w:lineRule="auto"/>
        <w:ind w:firstLine="0"/>
        <w:rPr>
          <w:rFonts w:ascii="宋体" w:hAnsi="宋体" w:cs="宋体"/>
          <w:sz w:val="24"/>
        </w:rPr>
      </w:pPr>
      <w:r>
        <w:rPr>
          <w:rFonts w:hint="eastAsia" w:ascii="宋体" w:hAnsi="宋体" w:cs="宋体"/>
          <w:sz w:val="24"/>
        </w:rPr>
        <w:t>乙方提供不符合竞争性谈判文件规定或者响应文件承诺的和本合同规定的货物，甲方有权拒绝接受。</w:t>
      </w:r>
    </w:p>
    <w:p>
      <w:pPr>
        <w:numPr>
          <w:ilvl w:val="0"/>
          <w:numId w:val="38"/>
        </w:numPr>
        <w:snapToGrid w:val="0"/>
        <w:spacing w:line="360" w:lineRule="auto"/>
        <w:ind w:firstLine="0"/>
        <w:rPr>
          <w:rFonts w:ascii="宋体" w:hAnsi="宋体" w:cs="宋体"/>
          <w:sz w:val="24"/>
        </w:rPr>
      </w:pPr>
      <w:r>
        <w:rPr>
          <w:rFonts w:hint="eastAsia" w:ascii="宋体" w:hAnsi="宋体" w:cs="宋体"/>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numPr>
          <w:ilvl w:val="0"/>
          <w:numId w:val="38"/>
        </w:numPr>
        <w:snapToGrid w:val="0"/>
        <w:spacing w:line="360" w:lineRule="auto"/>
        <w:ind w:firstLine="0"/>
        <w:rPr>
          <w:rFonts w:ascii="宋体" w:hAnsi="宋体" w:cs="宋体"/>
          <w:sz w:val="24"/>
        </w:rPr>
      </w:pPr>
      <w:r>
        <w:rPr>
          <w:rFonts w:hint="eastAsia" w:ascii="宋体" w:hAnsi="宋体" w:cs="宋体"/>
          <w:sz w:val="24"/>
        </w:rPr>
        <w:t>甲方应当在到货（安装、调试完）后七个工作日内进行验收，逾期不验收的，乙方可视同验收合格。验收合格后由甲乙双方签署货物验收单并加盖甲方公章，甲乙双方各执一份。</w:t>
      </w:r>
    </w:p>
    <w:p>
      <w:pPr>
        <w:numPr>
          <w:ilvl w:val="0"/>
          <w:numId w:val="38"/>
        </w:numPr>
        <w:snapToGrid w:val="0"/>
        <w:spacing w:line="360" w:lineRule="auto"/>
        <w:ind w:firstLine="0"/>
        <w:rPr>
          <w:rFonts w:ascii="宋体" w:hAnsi="宋体" w:cs="宋体"/>
          <w:sz w:val="24"/>
        </w:rPr>
      </w:pPr>
      <w:r>
        <w:rPr>
          <w:rFonts w:hint="eastAsia" w:ascii="宋体" w:hAnsi="宋体" w:cs="宋体"/>
          <w:sz w:val="24"/>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numPr>
          <w:ilvl w:val="0"/>
          <w:numId w:val="38"/>
        </w:numPr>
        <w:snapToGrid w:val="0"/>
        <w:spacing w:line="360" w:lineRule="auto"/>
        <w:ind w:firstLine="0"/>
        <w:rPr>
          <w:rFonts w:ascii="宋体" w:hAnsi="宋体" w:cs="宋体"/>
          <w:sz w:val="24"/>
        </w:rPr>
      </w:pPr>
      <w:r>
        <w:rPr>
          <w:rFonts w:hint="eastAsia" w:ascii="宋体" w:hAnsi="宋体" w:cs="宋体"/>
          <w:sz w:val="24"/>
        </w:rPr>
        <w:t>甲方对验收有异议的，在验收后五个工作日内以书面形式向乙方提出，乙方应自收到甲方书面异议后</w:t>
      </w:r>
      <w:r>
        <w:rPr>
          <w:rFonts w:hint="eastAsia" w:ascii="宋体" w:hAnsi="宋体" w:cs="宋体"/>
          <w:sz w:val="24"/>
          <w:u w:val="single"/>
        </w:rPr>
        <w:t xml:space="preserve">    </w:t>
      </w:r>
      <w:r>
        <w:rPr>
          <w:rFonts w:hint="eastAsia" w:ascii="宋体" w:hAnsi="宋体" w:cs="宋体"/>
          <w:sz w:val="24"/>
        </w:rPr>
        <w:t>日内及时予以解决。</w:t>
      </w:r>
    </w:p>
    <w:p>
      <w:pPr>
        <w:pStyle w:val="5"/>
        <w:spacing w:before="0" w:after="0" w:line="360" w:lineRule="auto"/>
        <w:rPr>
          <w:rFonts w:ascii="宋体" w:hAnsi="宋体" w:cs="宋体"/>
          <w:sz w:val="24"/>
          <w:szCs w:val="24"/>
        </w:rPr>
      </w:pPr>
      <w:r>
        <w:rPr>
          <w:rFonts w:hint="eastAsia" w:ascii="宋体" w:hAnsi="宋体" w:cs="宋体"/>
          <w:sz w:val="24"/>
          <w:szCs w:val="24"/>
        </w:rPr>
        <w:t>第六条　安装和培训</w:t>
      </w:r>
    </w:p>
    <w:p>
      <w:pPr>
        <w:numPr>
          <w:ilvl w:val="0"/>
          <w:numId w:val="39"/>
        </w:numPr>
        <w:snapToGrid w:val="0"/>
        <w:spacing w:line="360" w:lineRule="auto"/>
        <w:ind w:firstLine="0"/>
        <w:rPr>
          <w:rFonts w:ascii="宋体" w:hAnsi="宋体" w:cs="宋体"/>
          <w:sz w:val="24"/>
        </w:rPr>
      </w:pPr>
      <w:r>
        <w:rPr>
          <w:rFonts w:hint="eastAsia" w:ascii="宋体" w:hAnsi="宋体" w:cs="宋体"/>
          <w:sz w:val="24"/>
        </w:rPr>
        <w:t>甲方应提供必要安装条件（如场地、电源、水源等）。</w:t>
      </w:r>
    </w:p>
    <w:p>
      <w:pPr>
        <w:numPr>
          <w:ilvl w:val="0"/>
          <w:numId w:val="39"/>
        </w:numPr>
        <w:wordWrap w:val="0"/>
        <w:topLinePunct/>
        <w:snapToGrid w:val="0"/>
        <w:spacing w:line="360" w:lineRule="auto"/>
        <w:ind w:firstLine="0"/>
        <w:rPr>
          <w:rFonts w:ascii="宋体" w:hAnsi="宋体" w:cs="宋体"/>
          <w:sz w:val="24"/>
          <w:u w:val="single"/>
        </w:rPr>
      </w:pPr>
      <w:r>
        <w:rPr>
          <w:rFonts w:hint="eastAsia" w:ascii="宋体" w:hAnsi="宋体" w:cs="宋体"/>
          <w:sz w:val="24"/>
        </w:rPr>
        <w:t>乙方响应文件承诺负责甲方有关人员的培训。培训时间、地点：</w:t>
      </w:r>
      <w:r>
        <w:rPr>
          <w:rFonts w:hint="eastAsia" w:ascii="宋体" w:hAnsi="宋体" w:cs="宋体"/>
          <w:sz w:val="24"/>
          <w:u w:val="single"/>
        </w:rPr>
        <w:t xml:space="preserve">                                          </w:t>
      </w:r>
      <w:r>
        <w:rPr>
          <w:rFonts w:hint="eastAsia" w:ascii="宋体" w:hAnsi="宋体" w:cs="宋体"/>
          <w:sz w:val="24"/>
        </w:rPr>
        <w:t>。</w:t>
      </w:r>
    </w:p>
    <w:p>
      <w:pPr>
        <w:pStyle w:val="5"/>
        <w:spacing w:before="0" w:after="0" w:line="360" w:lineRule="auto"/>
        <w:rPr>
          <w:rFonts w:ascii="宋体" w:hAnsi="宋体" w:cs="宋体"/>
          <w:sz w:val="24"/>
          <w:szCs w:val="24"/>
        </w:rPr>
      </w:pPr>
      <w:r>
        <w:rPr>
          <w:rFonts w:hint="eastAsia" w:ascii="宋体" w:hAnsi="宋体" w:cs="宋体"/>
          <w:sz w:val="24"/>
          <w:szCs w:val="24"/>
        </w:rPr>
        <w:t>第七条  售后服务、质保期</w:t>
      </w:r>
    </w:p>
    <w:p>
      <w:pPr>
        <w:numPr>
          <w:ilvl w:val="0"/>
          <w:numId w:val="40"/>
        </w:numPr>
        <w:snapToGrid w:val="0"/>
        <w:spacing w:line="360" w:lineRule="auto"/>
        <w:ind w:firstLine="0"/>
        <w:rPr>
          <w:rFonts w:ascii="宋体" w:hAnsi="宋体" w:cs="宋体"/>
          <w:sz w:val="24"/>
        </w:rPr>
      </w:pPr>
      <w:r>
        <w:rPr>
          <w:rFonts w:hint="eastAsia" w:ascii="宋体" w:hAnsi="宋体" w:cs="宋体"/>
          <w:sz w:val="24"/>
        </w:rPr>
        <w:t>乙方应按照国家有关法律法规和“三包”规定以及本合同所附的《服务承诺》，为甲方提供售后服务。</w:t>
      </w:r>
    </w:p>
    <w:p>
      <w:pPr>
        <w:numPr>
          <w:ilvl w:val="0"/>
          <w:numId w:val="40"/>
        </w:numPr>
        <w:snapToGrid w:val="0"/>
        <w:spacing w:line="360" w:lineRule="auto"/>
        <w:ind w:firstLine="0"/>
        <w:rPr>
          <w:rFonts w:ascii="宋体" w:hAnsi="宋体" w:cs="宋体"/>
          <w:sz w:val="24"/>
          <w:u w:val="single"/>
        </w:rPr>
      </w:pPr>
      <w:r>
        <w:rPr>
          <w:rFonts w:hint="eastAsia" w:ascii="宋体" w:hAnsi="宋体" w:cs="宋体"/>
          <w:sz w:val="24"/>
        </w:rPr>
        <w:t>货物质保期：</w:t>
      </w:r>
      <w:r>
        <w:rPr>
          <w:rFonts w:hint="eastAsia" w:ascii="宋体" w:hAnsi="宋体" w:cs="宋体"/>
          <w:sz w:val="24"/>
          <w:u w:val="single"/>
        </w:rPr>
        <w:t xml:space="preserve">                                          </w:t>
      </w:r>
      <w:r>
        <w:rPr>
          <w:rFonts w:hint="eastAsia" w:ascii="宋体" w:hAnsi="宋体" w:cs="宋体"/>
          <w:sz w:val="24"/>
        </w:rPr>
        <w:t>。</w:t>
      </w:r>
    </w:p>
    <w:p>
      <w:pPr>
        <w:numPr>
          <w:ilvl w:val="0"/>
          <w:numId w:val="40"/>
        </w:numPr>
        <w:snapToGrid w:val="0"/>
        <w:spacing w:line="360" w:lineRule="auto"/>
        <w:ind w:firstLine="0"/>
        <w:rPr>
          <w:rFonts w:ascii="宋体" w:hAnsi="宋体" w:cs="宋体"/>
          <w:sz w:val="24"/>
          <w:u w:val="single"/>
        </w:rPr>
      </w:pPr>
      <w:r>
        <w:rPr>
          <w:rFonts w:hint="eastAsia" w:ascii="宋体" w:hAnsi="宋体" w:cs="宋体"/>
          <w:sz w:val="24"/>
        </w:rPr>
        <w:t>乙方提供的服务承诺和售后服务及保修期责任等其它具体约定事项。（见合同附件）</w:t>
      </w:r>
    </w:p>
    <w:p>
      <w:pPr>
        <w:pStyle w:val="5"/>
        <w:spacing w:before="0" w:after="0" w:line="360" w:lineRule="auto"/>
        <w:rPr>
          <w:rFonts w:ascii="宋体" w:hAnsi="宋体" w:cs="宋体"/>
          <w:sz w:val="24"/>
          <w:szCs w:val="24"/>
        </w:rPr>
      </w:pPr>
      <w:r>
        <w:rPr>
          <w:rFonts w:hint="eastAsia" w:ascii="宋体" w:hAnsi="宋体" w:cs="宋体"/>
          <w:sz w:val="24"/>
          <w:szCs w:val="24"/>
        </w:rPr>
        <w:t>第八条　付款方式</w:t>
      </w:r>
    </w:p>
    <w:p>
      <w:pPr>
        <w:pStyle w:val="13"/>
        <w:snapToGrid w:val="0"/>
        <w:spacing w:line="360" w:lineRule="auto"/>
        <w:rPr>
          <w:rFonts w:hAnsi="宋体" w:cs="宋体"/>
          <w:sz w:val="24"/>
          <w:szCs w:val="24"/>
        </w:rPr>
      </w:pPr>
      <w:r>
        <w:rPr>
          <w:rFonts w:hAnsi="宋体" w:cs="宋体"/>
          <w:sz w:val="24"/>
          <w:szCs w:val="24"/>
        </w:rPr>
        <w:t>1．</w:t>
      </w:r>
      <w:r>
        <w:rPr>
          <w:rFonts w:hint="eastAsia" w:hAnsi="宋体" w:cs="宋体"/>
          <w:sz w:val="24"/>
          <w:szCs w:val="24"/>
        </w:rPr>
        <w:t>当采购数量与实际使用数量不一致时，乙方应根据实际使用量供货，合同的最终结算金额按实际使用量乘以成交单价进行计算，但不得超出合同价的10%。</w:t>
      </w:r>
    </w:p>
    <w:p>
      <w:pPr>
        <w:pStyle w:val="13"/>
        <w:snapToGrid w:val="0"/>
        <w:spacing w:line="360" w:lineRule="auto"/>
        <w:rPr>
          <w:rFonts w:hAnsi="宋体" w:cs="宋体"/>
          <w:sz w:val="24"/>
          <w:szCs w:val="24"/>
        </w:rPr>
      </w:pPr>
      <w:r>
        <w:rPr>
          <w:rFonts w:hint="eastAsia" w:hAnsi="宋体" w:cs="宋体"/>
          <w:sz w:val="24"/>
          <w:szCs w:val="24"/>
        </w:rPr>
        <w:t>2．付款方式：</w:t>
      </w:r>
      <w:r>
        <w:rPr>
          <w:rFonts w:hint="eastAsia" w:ascii="宋体" w:hAnsi="宋体" w:cs="宋体"/>
          <w:b/>
          <w:bCs/>
          <w:color w:val="auto"/>
          <w:sz w:val="24"/>
        </w:rPr>
        <w:t>合同签订15个工作日内</w:t>
      </w:r>
      <w:r>
        <w:rPr>
          <w:rFonts w:hint="eastAsia" w:ascii="宋体" w:hAnsi="宋体" w:cs="宋体"/>
          <w:b/>
          <w:bCs/>
          <w:color w:val="auto"/>
          <w:sz w:val="24"/>
          <w:u w:val="single"/>
          <w:lang w:val="en-US" w:eastAsia="zh-CN"/>
        </w:rPr>
        <w:t>乙方设备进场</w:t>
      </w:r>
      <w:r>
        <w:rPr>
          <w:rFonts w:hint="eastAsia" w:ascii="宋体" w:hAnsi="宋体" w:cs="宋体"/>
          <w:b/>
          <w:bCs/>
          <w:color w:val="auto"/>
          <w:sz w:val="24"/>
        </w:rPr>
        <w:t>甲方支付合同价款的</w:t>
      </w:r>
      <w:r>
        <w:rPr>
          <w:rFonts w:hint="eastAsia" w:ascii="宋体" w:hAnsi="宋体" w:cs="宋体"/>
          <w:b/>
          <w:bCs/>
          <w:color w:val="auto"/>
          <w:sz w:val="24"/>
          <w:lang w:val="en-US" w:eastAsia="zh-CN"/>
        </w:rPr>
        <w:t>3</w:t>
      </w:r>
      <w:r>
        <w:rPr>
          <w:rFonts w:hint="eastAsia" w:ascii="宋体" w:hAnsi="宋体" w:cs="宋体"/>
          <w:b/>
          <w:bCs/>
          <w:color w:val="auto"/>
          <w:sz w:val="24"/>
        </w:rPr>
        <w:t>0%为预付款；安装完成且通过验收后30个工作日内，支付至合同总额的100%。付款前乙方需开具对应金额的发票给甲方。</w:t>
      </w:r>
    </w:p>
    <w:p>
      <w:pPr>
        <w:pStyle w:val="5"/>
        <w:spacing w:before="0" w:after="0" w:line="360" w:lineRule="auto"/>
        <w:rPr>
          <w:rFonts w:ascii="宋体" w:hAnsi="宋体" w:cs="宋体"/>
          <w:sz w:val="24"/>
          <w:szCs w:val="24"/>
        </w:rPr>
      </w:pPr>
      <w:r>
        <w:rPr>
          <w:rFonts w:hint="eastAsia" w:ascii="宋体" w:hAnsi="宋体" w:cs="宋体"/>
          <w:sz w:val="24"/>
          <w:szCs w:val="24"/>
        </w:rPr>
        <w:t>第九条　履约保证金</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履约保证金金额：每分标按成交金额的</w:t>
      </w:r>
      <w:r>
        <w:rPr>
          <w:rFonts w:hint="eastAsia" w:ascii="宋体" w:hAnsi="宋体" w:cs="宋体"/>
          <w:sz w:val="24"/>
          <w:u w:val="single"/>
        </w:rPr>
        <w:t xml:space="preserve"> 0  </w:t>
      </w:r>
      <w:r>
        <w:rPr>
          <w:rFonts w:hint="eastAsia" w:ascii="宋体" w:hAnsi="宋体" w:cs="宋体"/>
          <w:sz w:val="24"/>
        </w:rPr>
        <w:t>%。</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履约保证金递交方式：支票、汇票、本票或者金融、担保机构出具的保函等非现金方式。</w:t>
      </w:r>
    </w:p>
    <w:p>
      <w:pPr>
        <w:autoSpaceDE w:val="0"/>
        <w:autoSpaceDN w:val="0"/>
        <w:snapToGrid w:val="0"/>
        <w:spacing w:line="360" w:lineRule="auto"/>
        <w:textAlignment w:val="bottom"/>
        <w:rPr>
          <w:rFonts w:ascii="宋体" w:hAnsi="宋体" w:cs="宋体"/>
          <w:sz w:val="24"/>
        </w:rPr>
      </w:pPr>
      <w:r>
        <w:rPr>
          <w:rFonts w:hint="eastAsia" w:ascii="宋体" w:hAnsi="宋体" w:cs="宋体"/>
          <w:sz w:val="24"/>
        </w:rPr>
        <w:t>履约保证金退付方式、时间及条件：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pPr>
        <w:pStyle w:val="5"/>
        <w:spacing w:before="0" w:after="0" w:line="360" w:lineRule="auto"/>
        <w:rPr>
          <w:rFonts w:ascii="宋体" w:hAnsi="宋体" w:cs="宋体"/>
          <w:sz w:val="24"/>
          <w:szCs w:val="24"/>
        </w:rPr>
      </w:pPr>
      <w:r>
        <w:rPr>
          <w:rFonts w:hint="eastAsia" w:ascii="宋体" w:hAnsi="宋体" w:cs="宋体"/>
          <w:sz w:val="24"/>
          <w:szCs w:val="24"/>
        </w:rPr>
        <w:t>第十条  税费</w:t>
      </w:r>
    </w:p>
    <w:p>
      <w:pPr>
        <w:snapToGrid w:val="0"/>
        <w:spacing w:line="360" w:lineRule="auto"/>
        <w:rPr>
          <w:rFonts w:ascii="宋体" w:hAnsi="宋体" w:cs="宋体"/>
          <w:sz w:val="24"/>
        </w:rPr>
      </w:pPr>
      <w:r>
        <w:rPr>
          <w:rFonts w:hint="eastAsia" w:ascii="宋体" w:hAnsi="宋体" w:cs="宋体"/>
          <w:sz w:val="24"/>
        </w:rPr>
        <w:t>本合同执行中相关的一切税费均由乙方负担，合同另有约定的除外。</w:t>
      </w:r>
    </w:p>
    <w:p>
      <w:pPr>
        <w:pStyle w:val="5"/>
        <w:spacing w:before="0" w:after="0" w:line="360" w:lineRule="auto"/>
        <w:rPr>
          <w:rFonts w:ascii="宋体" w:hAnsi="宋体" w:cs="宋体"/>
          <w:sz w:val="24"/>
          <w:szCs w:val="24"/>
        </w:rPr>
      </w:pPr>
      <w:r>
        <w:rPr>
          <w:rFonts w:hint="eastAsia" w:ascii="宋体" w:hAnsi="宋体" w:cs="宋体"/>
          <w:sz w:val="24"/>
          <w:szCs w:val="24"/>
        </w:rPr>
        <w:t>第十一条  质量保证及售后服务</w:t>
      </w:r>
    </w:p>
    <w:p>
      <w:pPr>
        <w:pStyle w:val="13"/>
        <w:numPr>
          <w:ilvl w:val="0"/>
          <w:numId w:val="41"/>
        </w:numPr>
        <w:snapToGrid w:val="0"/>
        <w:spacing w:line="360" w:lineRule="auto"/>
        <w:ind w:firstLine="0"/>
        <w:rPr>
          <w:rFonts w:hAnsi="宋体" w:cs="宋体"/>
          <w:sz w:val="24"/>
          <w:szCs w:val="24"/>
        </w:rPr>
      </w:pPr>
      <w:r>
        <w:rPr>
          <w:rFonts w:hint="eastAsia" w:hAnsi="宋体" w:cs="宋体"/>
          <w:sz w:val="24"/>
          <w:szCs w:val="24"/>
        </w:rPr>
        <w:t>乙方应按竞争性谈判文件规定的产品名称、商标品牌、生产厂家、规格型号、技术参数、质量标准向甲方提供未经使用的全新产品。不符合要求的，根据实际情况，经双方协商，可按以下办法处理：</w:t>
      </w:r>
    </w:p>
    <w:p>
      <w:pPr>
        <w:pStyle w:val="13"/>
        <w:snapToGrid w:val="0"/>
        <w:spacing w:line="360" w:lineRule="auto"/>
        <w:rPr>
          <w:rFonts w:hAnsi="宋体" w:cs="宋体"/>
          <w:sz w:val="24"/>
          <w:szCs w:val="24"/>
        </w:rPr>
      </w:pPr>
      <w:r>
        <w:rPr>
          <w:rFonts w:hint="eastAsia" w:hAnsi="宋体" w:cs="宋体"/>
          <w:sz w:val="24"/>
          <w:szCs w:val="24"/>
        </w:rPr>
        <w:t>⑴更换：由乙方承担所发生的全部费用。</w:t>
      </w:r>
    </w:p>
    <w:p>
      <w:pPr>
        <w:pStyle w:val="13"/>
        <w:snapToGrid w:val="0"/>
        <w:spacing w:line="360" w:lineRule="auto"/>
        <w:rPr>
          <w:rFonts w:hAnsi="宋体" w:cs="宋体"/>
          <w:sz w:val="24"/>
          <w:szCs w:val="24"/>
        </w:rPr>
      </w:pPr>
      <w:r>
        <w:rPr>
          <w:rFonts w:hint="eastAsia" w:hAnsi="宋体" w:cs="宋体"/>
          <w:sz w:val="24"/>
          <w:szCs w:val="24"/>
        </w:rPr>
        <w:t>⑵贬值处理：由甲乙双方合议定价。</w:t>
      </w:r>
    </w:p>
    <w:p>
      <w:pPr>
        <w:pStyle w:val="13"/>
        <w:snapToGrid w:val="0"/>
        <w:spacing w:line="360" w:lineRule="auto"/>
        <w:rPr>
          <w:rFonts w:hAnsi="宋体" w:cs="宋体"/>
          <w:sz w:val="24"/>
          <w:szCs w:val="24"/>
        </w:rPr>
      </w:pPr>
      <w:r>
        <w:rPr>
          <w:rFonts w:hint="eastAsia" w:hAnsi="宋体" w:cs="宋体"/>
          <w:sz w:val="24"/>
          <w:szCs w:val="24"/>
        </w:rPr>
        <w:t>⑶退货处理：乙方应退还甲方支付的合同款，同时应承担该货物的直接费用（运输、保险、检验、货款利息及银行手续费等）。</w:t>
      </w:r>
    </w:p>
    <w:p>
      <w:pPr>
        <w:pStyle w:val="13"/>
        <w:numPr>
          <w:ilvl w:val="0"/>
          <w:numId w:val="41"/>
        </w:numPr>
        <w:snapToGrid w:val="0"/>
        <w:spacing w:line="360" w:lineRule="auto"/>
        <w:ind w:firstLine="0"/>
        <w:rPr>
          <w:rFonts w:hAnsi="宋体" w:cs="宋体"/>
          <w:sz w:val="24"/>
          <w:szCs w:val="24"/>
        </w:rPr>
      </w:pPr>
      <w:r>
        <w:rPr>
          <w:rFonts w:hint="eastAsia" w:hAnsi="宋体" w:cs="宋体"/>
          <w:sz w:val="24"/>
          <w:szCs w:val="24"/>
        </w:rPr>
        <w:t>如在使用过程中发生质量问题，乙方在接到甲方通知后到达甲方现场处理的时间（</w:t>
      </w:r>
      <w:r>
        <w:rPr>
          <w:rFonts w:hint="eastAsia" w:hAnsi="宋体" w:cs="宋体"/>
          <w:sz w:val="24"/>
          <w:szCs w:val="24"/>
          <w:u w:val="single"/>
        </w:rPr>
        <w:t>按响应文件承诺的数据填写</w:t>
      </w:r>
      <w:r>
        <w:rPr>
          <w:rFonts w:hint="eastAsia" w:hAnsi="宋体" w:cs="宋体"/>
          <w:sz w:val="24"/>
          <w:szCs w:val="24"/>
        </w:rPr>
        <w:t>）小时内。</w:t>
      </w:r>
    </w:p>
    <w:p>
      <w:pPr>
        <w:pStyle w:val="13"/>
        <w:numPr>
          <w:ilvl w:val="0"/>
          <w:numId w:val="41"/>
        </w:numPr>
        <w:snapToGrid w:val="0"/>
        <w:spacing w:line="360" w:lineRule="auto"/>
        <w:ind w:firstLine="0"/>
        <w:rPr>
          <w:rFonts w:hAnsi="宋体" w:cs="宋体"/>
          <w:sz w:val="24"/>
          <w:szCs w:val="24"/>
        </w:rPr>
      </w:pPr>
      <w:r>
        <w:rPr>
          <w:rFonts w:hint="eastAsia" w:hAnsi="宋体" w:cs="宋体"/>
          <w:sz w:val="24"/>
          <w:szCs w:val="24"/>
        </w:rPr>
        <w:t>在质保期内，乙方应对货物出现的质量及安全问题负责处理解决并承担一切费用。</w:t>
      </w:r>
    </w:p>
    <w:p>
      <w:pPr>
        <w:pStyle w:val="13"/>
        <w:numPr>
          <w:ilvl w:val="0"/>
          <w:numId w:val="41"/>
        </w:numPr>
        <w:snapToGrid w:val="0"/>
        <w:spacing w:line="360" w:lineRule="auto"/>
        <w:ind w:firstLine="0"/>
        <w:rPr>
          <w:rFonts w:hAnsi="宋体" w:cs="宋体"/>
          <w:sz w:val="24"/>
          <w:szCs w:val="24"/>
        </w:rPr>
      </w:pPr>
      <w:r>
        <w:rPr>
          <w:rFonts w:hint="eastAsia" w:hAnsi="宋体" w:cs="宋体"/>
          <w:sz w:val="24"/>
          <w:szCs w:val="24"/>
        </w:rPr>
        <w:t>上述的货物质保期为</w:t>
      </w:r>
      <w:r>
        <w:rPr>
          <w:rFonts w:hint="eastAsia" w:hAnsi="宋体" w:cs="宋体"/>
          <w:sz w:val="24"/>
          <w:szCs w:val="24"/>
          <w:u w:val="single"/>
        </w:rPr>
        <w:t xml:space="preserve">     </w:t>
      </w:r>
      <w:r>
        <w:rPr>
          <w:rFonts w:hint="eastAsia" w:hAnsi="宋体" w:cs="宋体"/>
          <w:sz w:val="24"/>
          <w:szCs w:val="24"/>
        </w:rPr>
        <w:t>年，因人为因素出现的故障不在免费保修范围内。超过保修期的机器设备，终生维修，维修时只收部件成本费。</w:t>
      </w:r>
    </w:p>
    <w:p>
      <w:pPr>
        <w:pStyle w:val="5"/>
        <w:spacing w:before="0" w:after="0" w:line="360" w:lineRule="auto"/>
        <w:rPr>
          <w:rFonts w:ascii="宋体" w:hAnsi="宋体" w:cs="宋体"/>
          <w:sz w:val="24"/>
          <w:szCs w:val="24"/>
        </w:rPr>
      </w:pPr>
      <w:r>
        <w:rPr>
          <w:rFonts w:hint="eastAsia" w:ascii="宋体" w:hAnsi="宋体" w:cs="宋体"/>
          <w:sz w:val="24"/>
          <w:szCs w:val="24"/>
        </w:rPr>
        <w:t>第十二条  调试和验收</w:t>
      </w:r>
    </w:p>
    <w:p>
      <w:pPr>
        <w:pStyle w:val="13"/>
        <w:numPr>
          <w:ilvl w:val="0"/>
          <w:numId w:val="42"/>
        </w:numPr>
        <w:snapToGrid w:val="0"/>
        <w:spacing w:line="360" w:lineRule="auto"/>
        <w:ind w:firstLine="0"/>
        <w:rPr>
          <w:rFonts w:hAnsi="宋体" w:cs="宋体"/>
          <w:sz w:val="24"/>
          <w:szCs w:val="24"/>
        </w:rPr>
      </w:pPr>
      <w:r>
        <w:rPr>
          <w:rFonts w:hint="eastAsia" w:hAnsi="宋体" w:cs="宋体"/>
          <w:sz w:val="24"/>
          <w:szCs w:val="24"/>
        </w:rPr>
        <w:t>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pStyle w:val="13"/>
        <w:numPr>
          <w:ilvl w:val="0"/>
          <w:numId w:val="42"/>
        </w:numPr>
        <w:snapToGrid w:val="0"/>
        <w:spacing w:line="360" w:lineRule="auto"/>
        <w:ind w:firstLine="0"/>
        <w:rPr>
          <w:rFonts w:hAnsi="宋体" w:cs="宋体"/>
          <w:sz w:val="24"/>
          <w:szCs w:val="24"/>
        </w:rPr>
      </w:pPr>
      <w:r>
        <w:rPr>
          <w:rFonts w:hint="eastAsia" w:hAnsi="宋体" w:cs="宋体"/>
          <w:sz w:val="24"/>
          <w:szCs w:val="24"/>
        </w:rPr>
        <w:t>乙方交货前应对产品作出全面检查和对验收文件进行整理，并列出清单，作为甲方收货验收和使用的技术条件依据，检验的结果应随货物交甲方。</w:t>
      </w:r>
    </w:p>
    <w:p>
      <w:pPr>
        <w:pStyle w:val="13"/>
        <w:numPr>
          <w:ilvl w:val="0"/>
          <w:numId w:val="42"/>
        </w:numPr>
        <w:snapToGrid w:val="0"/>
        <w:spacing w:line="360" w:lineRule="auto"/>
        <w:ind w:firstLine="0"/>
        <w:rPr>
          <w:rFonts w:hAnsi="宋体" w:cs="宋体"/>
          <w:sz w:val="24"/>
          <w:szCs w:val="24"/>
        </w:rPr>
      </w:pPr>
      <w:r>
        <w:rPr>
          <w:rFonts w:hint="eastAsia" w:hAnsi="宋体" w:cs="宋体"/>
          <w:sz w:val="24"/>
          <w:szCs w:val="24"/>
        </w:rPr>
        <w:t>甲方对乙方提供的货物在使用前进行调试时，乙方需负责安装并培训甲方的使用操作人员，并协助甲方一起调试，直到符合技术要求，甲方才做最终验收。</w:t>
      </w:r>
    </w:p>
    <w:p>
      <w:pPr>
        <w:pStyle w:val="13"/>
        <w:numPr>
          <w:ilvl w:val="0"/>
          <w:numId w:val="42"/>
        </w:numPr>
        <w:snapToGrid w:val="0"/>
        <w:spacing w:line="360" w:lineRule="auto"/>
        <w:ind w:firstLine="0"/>
        <w:rPr>
          <w:rFonts w:hAnsi="宋体" w:cs="宋体"/>
          <w:sz w:val="24"/>
          <w:szCs w:val="24"/>
        </w:rPr>
      </w:pPr>
      <w:r>
        <w:rPr>
          <w:rFonts w:hint="eastAsia" w:hAnsi="宋体" w:cs="宋体"/>
          <w:sz w:val="24"/>
          <w:szCs w:val="24"/>
        </w:rPr>
        <w:t>对技术复杂的货物，甲方应请国家认可的专业检测机构参与初步验收及最终验收，并由其出具质量检测报告。</w:t>
      </w:r>
    </w:p>
    <w:p>
      <w:pPr>
        <w:numPr>
          <w:ilvl w:val="0"/>
          <w:numId w:val="42"/>
        </w:numPr>
        <w:snapToGrid w:val="0"/>
        <w:spacing w:line="360" w:lineRule="auto"/>
        <w:ind w:firstLine="0"/>
        <w:rPr>
          <w:rFonts w:ascii="宋体" w:hAnsi="宋体" w:cs="宋体"/>
          <w:sz w:val="24"/>
        </w:rPr>
      </w:pPr>
      <w:r>
        <w:rPr>
          <w:rFonts w:hint="eastAsia" w:ascii="宋体" w:hAnsi="宋体" w:cs="宋体"/>
          <w:sz w:val="24"/>
        </w:rPr>
        <w:t>验收时乙方必须在现场，验收完毕后作出验收结果报告；验收费用按竞争性谈判文件约定承担方负责。</w:t>
      </w:r>
    </w:p>
    <w:p>
      <w:pPr>
        <w:pStyle w:val="5"/>
        <w:spacing w:before="0" w:after="0" w:line="360" w:lineRule="auto"/>
        <w:rPr>
          <w:rFonts w:ascii="宋体" w:hAnsi="宋体" w:cs="宋体"/>
          <w:sz w:val="24"/>
          <w:szCs w:val="24"/>
        </w:rPr>
      </w:pPr>
      <w:r>
        <w:rPr>
          <w:rFonts w:hint="eastAsia" w:ascii="宋体" w:hAnsi="宋体" w:cs="宋体"/>
          <w:sz w:val="24"/>
          <w:szCs w:val="24"/>
        </w:rPr>
        <w:t>第十三条  货物包装、发运及运输</w:t>
      </w:r>
    </w:p>
    <w:p>
      <w:pPr>
        <w:pStyle w:val="13"/>
        <w:numPr>
          <w:ilvl w:val="0"/>
          <w:numId w:val="43"/>
        </w:numPr>
        <w:snapToGrid w:val="0"/>
        <w:spacing w:line="360" w:lineRule="auto"/>
        <w:ind w:firstLine="0"/>
        <w:rPr>
          <w:rFonts w:hAnsi="宋体" w:cs="宋体"/>
          <w:sz w:val="24"/>
          <w:szCs w:val="24"/>
        </w:rPr>
      </w:pPr>
      <w:r>
        <w:rPr>
          <w:rFonts w:hint="eastAsia" w:hAnsi="宋体" w:cs="宋体"/>
          <w:sz w:val="24"/>
          <w:szCs w:val="24"/>
        </w:rPr>
        <w:t>乙方应在货物发运前对其进行满足运输距离、防潮、防震、防锈和防破损装卸等要求包装，以保证货物安全运达甲方指定地点。</w:t>
      </w:r>
    </w:p>
    <w:p>
      <w:pPr>
        <w:pStyle w:val="13"/>
        <w:numPr>
          <w:ilvl w:val="0"/>
          <w:numId w:val="43"/>
        </w:numPr>
        <w:snapToGrid w:val="0"/>
        <w:spacing w:line="360" w:lineRule="auto"/>
        <w:ind w:firstLine="0"/>
        <w:rPr>
          <w:rFonts w:hAnsi="宋体" w:cs="宋体"/>
          <w:sz w:val="24"/>
          <w:szCs w:val="24"/>
        </w:rPr>
      </w:pPr>
      <w:r>
        <w:rPr>
          <w:rFonts w:hint="eastAsia" w:hAnsi="宋体" w:cs="宋体"/>
          <w:sz w:val="24"/>
          <w:szCs w:val="24"/>
        </w:rPr>
        <w:t>使用说明书（货物属于进口产品的，供货时应同时附上中文使用说明书）、质量检验证明书、随配附件和工具以及清单一并附于货物内。</w:t>
      </w:r>
    </w:p>
    <w:p>
      <w:pPr>
        <w:pStyle w:val="13"/>
        <w:numPr>
          <w:ilvl w:val="0"/>
          <w:numId w:val="43"/>
        </w:numPr>
        <w:snapToGrid w:val="0"/>
        <w:spacing w:line="360" w:lineRule="auto"/>
        <w:ind w:firstLine="0"/>
        <w:rPr>
          <w:rFonts w:hAnsi="宋体" w:cs="宋体"/>
          <w:sz w:val="24"/>
          <w:szCs w:val="24"/>
        </w:rPr>
      </w:pPr>
      <w:r>
        <w:rPr>
          <w:rFonts w:hint="eastAsia" w:hAnsi="宋体" w:cs="宋体"/>
          <w:sz w:val="24"/>
          <w:szCs w:val="24"/>
        </w:rPr>
        <w:t>乙方在货物发运手续办理完毕后二十四小时内或者货到甲方四十八小时前通知甲方，以准备接货。</w:t>
      </w:r>
    </w:p>
    <w:p>
      <w:pPr>
        <w:pStyle w:val="13"/>
        <w:numPr>
          <w:ilvl w:val="0"/>
          <w:numId w:val="43"/>
        </w:numPr>
        <w:snapToGrid w:val="0"/>
        <w:spacing w:line="360" w:lineRule="auto"/>
        <w:ind w:firstLine="0"/>
        <w:rPr>
          <w:rFonts w:hAnsi="宋体" w:cs="宋体"/>
          <w:sz w:val="24"/>
          <w:szCs w:val="24"/>
        </w:rPr>
      </w:pPr>
      <w:r>
        <w:rPr>
          <w:rFonts w:hint="eastAsia" w:hAnsi="宋体" w:cs="宋体"/>
          <w:sz w:val="24"/>
          <w:szCs w:val="24"/>
        </w:rPr>
        <w:t>货物在交付甲方前发生的风险均由乙方负责。</w:t>
      </w:r>
    </w:p>
    <w:p>
      <w:pPr>
        <w:pStyle w:val="13"/>
        <w:numPr>
          <w:ilvl w:val="0"/>
          <w:numId w:val="43"/>
        </w:numPr>
        <w:snapToGrid w:val="0"/>
        <w:spacing w:line="360" w:lineRule="auto"/>
        <w:ind w:firstLine="0"/>
        <w:rPr>
          <w:rFonts w:hAnsi="宋体" w:cs="宋体"/>
          <w:sz w:val="24"/>
          <w:szCs w:val="24"/>
        </w:rPr>
      </w:pPr>
      <w:r>
        <w:rPr>
          <w:rFonts w:hint="eastAsia" w:hAnsi="宋体" w:cs="宋体"/>
          <w:sz w:val="24"/>
          <w:szCs w:val="24"/>
        </w:rPr>
        <w:t>货物在规定的交付期限内由乙方送达甲方指定的地点视为交付，乙方同时需通知甲方货物已送达。</w:t>
      </w:r>
    </w:p>
    <w:p>
      <w:pPr>
        <w:pStyle w:val="5"/>
        <w:spacing w:before="0" w:after="0" w:line="360" w:lineRule="auto"/>
        <w:rPr>
          <w:rFonts w:ascii="宋体" w:hAnsi="宋体" w:cs="宋体"/>
          <w:sz w:val="24"/>
          <w:szCs w:val="24"/>
        </w:rPr>
      </w:pPr>
      <w:r>
        <w:rPr>
          <w:rFonts w:hint="eastAsia" w:ascii="宋体" w:hAnsi="宋体" w:cs="宋体"/>
          <w:sz w:val="24"/>
          <w:szCs w:val="24"/>
        </w:rPr>
        <w:t>第十四条　违约责任</w:t>
      </w:r>
    </w:p>
    <w:p>
      <w:pPr>
        <w:pStyle w:val="13"/>
        <w:numPr>
          <w:ilvl w:val="0"/>
          <w:numId w:val="44"/>
        </w:numPr>
        <w:snapToGrid w:val="0"/>
        <w:spacing w:line="360" w:lineRule="auto"/>
        <w:ind w:firstLine="0"/>
        <w:rPr>
          <w:rFonts w:hAnsi="宋体" w:cs="宋体"/>
          <w:sz w:val="24"/>
          <w:szCs w:val="24"/>
        </w:rPr>
      </w:pPr>
      <w:r>
        <w:rPr>
          <w:rFonts w:hint="eastAsia" w:hAnsi="宋体" w:cs="宋体"/>
          <w:sz w:val="24"/>
          <w:szCs w:val="24"/>
        </w:rPr>
        <w:t>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w:t>
      </w:r>
    </w:p>
    <w:p>
      <w:pPr>
        <w:pStyle w:val="13"/>
        <w:numPr>
          <w:ilvl w:val="0"/>
          <w:numId w:val="44"/>
        </w:numPr>
        <w:snapToGrid w:val="0"/>
        <w:spacing w:line="360" w:lineRule="auto"/>
        <w:ind w:firstLine="0"/>
        <w:rPr>
          <w:rFonts w:hAnsi="宋体" w:cs="宋体"/>
          <w:sz w:val="24"/>
          <w:szCs w:val="24"/>
        </w:rPr>
      </w:pPr>
      <w:r>
        <w:rPr>
          <w:rFonts w:hint="eastAsia" w:hAnsi="宋体" w:cs="宋体"/>
          <w:sz w:val="24"/>
          <w:szCs w:val="24"/>
        </w:rPr>
        <w:t>乙方提供的货物如侵犯了第三方合法权益而引发的任何纠纷或者诉讼，均由乙方负责交涉并承担全部责任。</w:t>
      </w:r>
    </w:p>
    <w:p>
      <w:pPr>
        <w:pStyle w:val="13"/>
        <w:numPr>
          <w:ilvl w:val="0"/>
          <w:numId w:val="44"/>
        </w:numPr>
        <w:snapToGrid w:val="0"/>
        <w:spacing w:line="360" w:lineRule="auto"/>
        <w:ind w:firstLine="0"/>
        <w:rPr>
          <w:rFonts w:hAnsi="宋体" w:cs="宋体"/>
          <w:sz w:val="24"/>
          <w:szCs w:val="24"/>
        </w:rPr>
      </w:pPr>
      <w:r>
        <w:rPr>
          <w:rFonts w:hint="eastAsia" w:hAnsi="宋体" w:cs="宋体"/>
          <w:sz w:val="24"/>
          <w:szCs w:val="24"/>
        </w:rPr>
        <w:t>因包装、运输引起的货物损坏，按质量不合格处罚。</w:t>
      </w:r>
    </w:p>
    <w:p>
      <w:pPr>
        <w:pStyle w:val="13"/>
        <w:numPr>
          <w:ilvl w:val="0"/>
          <w:numId w:val="44"/>
        </w:numPr>
        <w:snapToGrid w:val="0"/>
        <w:spacing w:line="360" w:lineRule="auto"/>
        <w:ind w:firstLine="0"/>
        <w:rPr>
          <w:rFonts w:hAnsi="宋体" w:cs="宋体"/>
          <w:sz w:val="24"/>
          <w:szCs w:val="24"/>
        </w:rPr>
      </w:pPr>
      <w:r>
        <w:rPr>
          <w:rFonts w:hint="eastAsia" w:hAnsi="宋体" w:cs="宋体"/>
          <w:sz w:val="24"/>
          <w:szCs w:val="24"/>
        </w:rPr>
        <w:t>甲方无故延期接收货物、乙方逾期交货的，每天向对方偿付违约货款额3‰违约金，但违约金累计不得超过违约货款额5%，超过</w:t>
      </w:r>
      <w:r>
        <w:rPr>
          <w:rFonts w:hint="eastAsia" w:hAnsi="宋体" w:cs="宋体"/>
          <w:sz w:val="24"/>
          <w:szCs w:val="24"/>
          <w:u w:val="single"/>
        </w:rPr>
        <w:t xml:space="preserve">   </w:t>
      </w:r>
      <w:r>
        <w:rPr>
          <w:rFonts w:hint="eastAsia" w:hAnsi="宋体" w:cs="宋体"/>
          <w:sz w:val="24"/>
          <w:szCs w:val="24"/>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13"/>
        <w:numPr>
          <w:ilvl w:val="0"/>
          <w:numId w:val="44"/>
        </w:numPr>
        <w:snapToGrid w:val="0"/>
        <w:spacing w:line="360" w:lineRule="auto"/>
        <w:ind w:firstLine="0"/>
        <w:rPr>
          <w:rFonts w:hAnsi="宋体" w:cs="宋体"/>
          <w:sz w:val="24"/>
          <w:szCs w:val="24"/>
        </w:rPr>
      </w:pPr>
      <w:r>
        <w:rPr>
          <w:rFonts w:hint="eastAsia" w:hAnsi="宋体" w:cs="宋体"/>
          <w:sz w:val="24"/>
          <w:szCs w:val="24"/>
        </w:rPr>
        <w:t>乙方未按本合同和响应文件中规定的服务承诺提供售后服务的，乙方应按本合同合计金额 5%向甲方支付违约金。</w:t>
      </w:r>
    </w:p>
    <w:p>
      <w:pPr>
        <w:pStyle w:val="13"/>
        <w:numPr>
          <w:ilvl w:val="0"/>
          <w:numId w:val="44"/>
        </w:numPr>
        <w:snapToGrid w:val="0"/>
        <w:spacing w:line="360" w:lineRule="auto"/>
        <w:ind w:firstLine="0"/>
        <w:rPr>
          <w:rFonts w:hAnsi="宋体" w:cs="宋体"/>
          <w:sz w:val="24"/>
          <w:szCs w:val="24"/>
        </w:rPr>
      </w:pPr>
      <w:r>
        <w:rPr>
          <w:rFonts w:hint="eastAsia" w:hAnsi="宋体" w:cs="宋体"/>
          <w:sz w:val="24"/>
          <w:szCs w:val="24"/>
        </w:rPr>
        <w:t>乙方提供的货物在质量保证期内，因设计、工艺或者材料的缺陷和其它质量原因造成的问题，由乙方负责，费用从余款或者履约保证金中扣除，不足另补。</w:t>
      </w:r>
    </w:p>
    <w:p>
      <w:pPr>
        <w:pStyle w:val="13"/>
        <w:numPr>
          <w:ilvl w:val="0"/>
          <w:numId w:val="44"/>
        </w:numPr>
        <w:snapToGrid w:val="0"/>
        <w:spacing w:line="360" w:lineRule="auto"/>
        <w:ind w:firstLine="0"/>
        <w:rPr>
          <w:rFonts w:hAnsi="宋体" w:cs="宋体"/>
          <w:sz w:val="24"/>
          <w:szCs w:val="24"/>
        </w:rPr>
      </w:pPr>
      <w:r>
        <w:rPr>
          <w:rFonts w:hint="eastAsia" w:hAnsi="宋体" w:cs="宋体"/>
          <w:sz w:val="24"/>
          <w:szCs w:val="24"/>
        </w:rPr>
        <w:t>甲乙双方有其它违约行为的，由违约方向对方支付违约内容涉及货款额的5%，违约内容涉及货款额的5%不足以赔偿经济损失的按实际赔偿。</w:t>
      </w:r>
    </w:p>
    <w:p>
      <w:pPr>
        <w:pStyle w:val="5"/>
        <w:spacing w:before="0" w:after="0" w:line="360" w:lineRule="auto"/>
        <w:rPr>
          <w:rFonts w:ascii="宋体" w:hAnsi="宋体" w:cs="宋体"/>
          <w:sz w:val="24"/>
          <w:szCs w:val="24"/>
        </w:rPr>
      </w:pPr>
      <w:r>
        <w:rPr>
          <w:rFonts w:hint="eastAsia" w:ascii="宋体" w:hAnsi="宋体" w:cs="宋体"/>
          <w:sz w:val="24"/>
          <w:szCs w:val="24"/>
        </w:rPr>
        <w:t>第十五条  不可抗力事件处理</w:t>
      </w:r>
    </w:p>
    <w:p>
      <w:pPr>
        <w:pStyle w:val="13"/>
        <w:numPr>
          <w:ilvl w:val="0"/>
          <w:numId w:val="45"/>
        </w:numPr>
        <w:snapToGrid w:val="0"/>
        <w:spacing w:line="360" w:lineRule="auto"/>
        <w:ind w:firstLine="0"/>
        <w:rPr>
          <w:rFonts w:hAnsi="宋体" w:cs="宋体"/>
          <w:sz w:val="24"/>
          <w:szCs w:val="24"/>
        </w:rPr>
      </w:pPr>
      <w:r>
        <w:rPr>
          <w:rFonts w:hint="eastAsia" w:hAnsi="宋体" w:cs="宋体"/>
          <w:sz w:val="24"/>
          <w:szCs w:val="24"/>
        </w:rPr>
        <w:t>在合同有效期内，任何一方因不可抗力事件导致不能履行合同，则合同履行期可延长，其延长期与不可抗力影响期相同。</w:t>
      </w:r>
    </w:p>
    <w:p>
      <w:pPr>
        <w:pStyle w:val="13"/>
        <w:numPr>
          <w:ilvl w:val="0"/>
          <w:numId w:val="45"/>
        </w:numPr>
        <w:snapToGrid w:val="0"/>
        <w:spacing w:line="360" w:lineRule="auto"/>
        <w:ind w:firstLine="0"/>
        <w:rPr>
          <w:rFonts w:hAnsi="宋体" w:cs="宋体"/>
          <w:sz w:val="24"/>
          <w:szCs w:val="24"/>
        </w:rPr>
      </w:pPr>
      <w:r>
        <w:rPr>
          <w:rFonts w:hint="eastAsia" w:hAnsi="宋体" w:cs="宋体"/>
          <w:sz w:val="24"/>
          <w:szCs w:val="24"/>
        </w:rPr>
        <w:t>不可抗力事件发生后，应立即通知对方，并寄送有关权威机构出具的证明。</w:t>
      </w:r>
    </w:p>
    <w:p>
      <w:pPr>
        <w:numPr>
          <w:ilvl w:val="0"/>
          <w:numId w:val="45"/>
        </w:numPr>
        <w:snapToGrid w:val="0"/>
        <w:spacing w:line="360" w:lineRule="auto"/>
        <w:ind w:firstLine="0"/>
        <w:rPr>
          <w:rFonts w:ascii="宋体" w:hAnsi="宋体" w:cs="宋体"/>
          <w:sz w:val="24"/>
        </w:rPr>
      </w:pPr>
      <w:r>
        <w:rPr>
          <w:rFonts w:hint="eastAsia" w:ascii="宋体" w:hAnsi="宋体" w:cs="宋体"/>
          <w:sz w:val="24"/>
        </w:rPr>
        <w:t>不可抗力事件延续一百二十天以上，双方应通过友好协商，确定是否继续履行合同。</w:t>
      </w:r>
    </w:p>
    <w:p>
      <w:pPr>
        <w:pStyle w:val="5"/>
        <w:spacing w:before="0" w:after="0" w:line="360" w:lineRule="auto"/>
        <w:rPr>
          <w:rFonts w:ascii="宋体" w:hAnsi="宋体" w:cs="宋体"/>
          <w:sz w:val="24"/>
          <w:szCs w:val="24"/>
        </w:rPr>
      </w:pPr>
      <w:r>
        <w:rPr>
          <w:rFonts w:hint="eastAsia" w:ascii="宋体" w:hAnsi="宋体" w:cs="宋体"/>
          <w:sz w:val="24"/>
          <w:szCs w:val="24"/>
        </w:rPr>
        <w:t>第十六条  合同争议解决</w:t>
      </w:r>
    </w:p>
    <w:p>
      <w:pPr>
        <w:numPr>
          <w:ilvl w:val="0"/>
          <w:numId w:val="46"/>
        </w:numPr>
        <w:snapToGrid w:val="0"/>
        <w:spacing w:line="360" w:lineRule="auto"/>
        <w:ind w:firstLine="0"/>
        <w:rPr>
          <w:rFonts w:ascii="宋体" w:hAnsi="宋体" w:cs="宋体"/>
          <w:sz w:val="24"/>
        </w:rPr>
      </w:pPr>
      <w:r>
        <w:rPr>
          <w:rFonts w:hint="eastAsia" w:ascii="宋体" w:hAnsi="宋体" w:cs="宋体"/>
          <w:sz w:val="24"/>
        </w:rPr>
        <w:t>因货物质量问题发生争议的，应邀请国家认可的质量检测机构对货物质量进行鉴定。货物符合标准的，鉴定费由甲方承担；货物不符合标准的，鉴定费由乙方承担。</w:t>
      </w:r>
    </w:p>
    <w:p>
      <w:pPr>
        <w:numPr>
          <w:ilvl w:val="0"/>
          <w:numId w:val="46"/>
        </w:numPr>
        <w:snapToGrid w:val="0"/>
        <w:spacing w:line="360" w:lineRule="auto"/>
        <w:ind w:firstLine="0"/>
        <w:rPr>
          <w:rFonts w:ascii="宋体" w:hAnsi="宋体" w:cs="宋体"/>
          <w:sz w:val="24"/>
        </w:rPr>
      </w:pPr>
      <w:r>
        <w:rPr>
          <w:rFonts w:hint="eastAsia" w:ascii="宋体" w:hAnsi="宋体" w:cs="宋体"/>
          <w:sz w:val="24"/>
        </w:rPr>
        <w:t>因履行本合同引起的或者与本合同有关的争议，甲乙双方应首先通过友好协商解决，如果协商不能解决，可向甲方所在地人民法院提起诉讼。</w:t>
      </w:r>
    </w:p>
    <w:p>
      <w:pPr>
        <w:numPr>
          <w:ilvl w:val="0"/>
          <w:numId w:val="46"/>
        </w:numPr>
        <w:snapToGrid w:val="0"/>
        <w:spacing w:line="360" w:lineRule="auto"/>
        <w:ind w:firstLine="0"/>
        <w:rPr>
          <w:rFonts w:ascii="宋体" w:hAnsi="宋体" w:cs="宋体"/>
          <w:sz w:val="24"/>
        </w:rPr>
      </w:pPr>
      <w:r>
        <w:rPr>
          <w:rFonts w:hint="eastAsia" w:ascii="宋体" w:hAnsi="宋体" w:cs="宋体"/>
          <w:sz w:val="24"/>
        </w:rPr>
        <w:t>诉讼期间，本合同继续履行。</w:t>
      </w:r>
    </w:p>
    <w:p>
      <w:pPr>
        <w:pStyle w:val="5"/>
        <w:spacing w:before="0" w:after="0" w:line="360" w:lineRule="auto"/>
        <w:rPr>
          <w:rFonts w:ascii="宋体" w:hAnsi="宋体" w:cs="宋体"/>
          <w:sz w:val="24"/>
          <w:szCs w:val="24"/>
        </w:rPr>
      </w:pPr>
      <w:r>
        <w:rPr>
          <w:rFonts w:hint="eastAsia" w:ascii="宋体" w:hAnsi="宋体" w:cs="宋体"/>
          <w:sz w:val="24"/>
          <w:szCs w:val="24"/>
        </w:rPr>
        <w:t>第十七条  合同生效及其它</w:t>
      </w:r>
    </w:p>
    <w:p>
      <w:pPr>
        <w:pStyle w:val="13"/>
        <w:numPr>
          <w:ilvl w:val="0"/>
          <w:numId w:val="47"/>
        </w:numPr>
        <w:snapToGrid w:val="0"/>
        <w:spacing w:line="360" w:lineRule="auto"/>
        <w:ind w:firstLine="0"/>
        <w:rPr>
          <w:rFonts w:hAnsi="宋体" w:cs="宋体"/>
          <w:b/>
          <w:sz w:val="24"/>
          <w:szCs w:val="24"/>
        </w:rPr>
      </w:pPr>
      <w:r>
        <w:rPr>
          <w:rFonts w:hint="eastAsia" w:hAnsi="宋体" w:cs="宋体"/>
          <w:b/>
          <w:sz w:val="24"/>
          <w:szCs w:val="24"/>
        </w:rPr>
        <w:t>合同经双方法定代表人或者委托代理人签字并加盖单位公章后生效（委托代理人签字的需后附法定代表人授权委托书，格式自拟）。</w:t>
      </w:r>
    </w:p>
    <w:p>
      <w:pPr>
        <w:pStyle w:val="13"/>
        <w:numPr>
          <w:ilvl w:val="0"/>
          <w:numId w:val="47"/>
        </w:numPr>
        <w:snapToGrid w:val="0"/>
        <w:spacing w:line="360" w:lineRule="auto"/>
        <w:ind w:firstLine="0"/>
        <w:rPr>
          <w:rFonts w:hAnsi="宋体" w:cs="宋体"/>
          <w:b/>
          <w:sz w:val="24"/>
          <w:szCs w:val="24"/>
        </w:rPr>
      </w:pPr>
      <w:r>
        <w:rPr>
          <w:rFonts w:hint="eastAsia" w:hAnsi="宋体" w:cs="宋体"/>
          <w:b/>
          <w:sz w:val="24"/>
          <w:szCs w:val="24"/>
        </w:rPr>
        <w:t>合同执行中涉及采购资金和采购内容修改或者补充的，须经财政部门审批，并签书面补充协议报财政部门备案，方可作为主合同不可分割的一部分。</w:t>
      </w:r>
    </w:p>
    <w:p>
      <w:pPr>
        <w:pStyle w:val="13"/>
        <w:numPr>
          <w:ilvl w:val="0"/>
          <w:numId w:val="47"/>
        </w:numPr>
        <w:snapToGrid w:val="0"/>
        <w:spacing w:line="360" w:lineRule="auto"/>
        <w:ind w:firstLine="0"/>
        <w:rPr>
          <w:rFonts w:hAnsi="宋体" w:cs="宋体"/>
          <w:b/>
          <w:sz w:val="24"/>
          <w:szCs w:val="24"/>
        </w:rPr>
      </w:pPr>
      <w:r>
        <w:rPr>
          <w:rFonts w:hint="eastAsia" w:hAnsi="宋体" w:cs="宋体"/>
          <w:b/>
          <w:sz w:val="24"/>
          <w:szCs w:val="24"/>
        </w:rPr>
        <w:t>本合同未尽事宜，遵照《民法典》有关条文执行。</w:t>
      </w:r>
    </w:p>
    <w:p>
      <w:pPr>
        <w:pStyle w:val="5"/>
        <w:spacing w:before="0" w:after="0" w:line="360" w:lineRule="auto"/>
        <w:rPr>
          <w:rFonts w:ascii="宋体" w:hAnsi="宋体" w:cs="宋体"/>
          <w:sz w:val="24"/>
          <w:szCs w:val="24"/>
        </w:rPr>
      </w:pPr>
      <w:r>
        <w:rPr>
          <w:rFonts w:hint="eastAsia" w:ascii="宋体" w:hAnsi="宋体" w:cs="宋体"/>
          <w:sz w:val="24"/>
          <w:szCs w:val="24"/>
        </w:rPr>
        <w:t>第十八条　合同的变更、终止与转让</w:t>
      </w:r>
    </w:p>
    <w:p>
      <w:pPr>
        <w:numPr>
          <w:ilvl w:val="0"/>
          <w:numId w:val="48"/>
        </w:numPr>
        <w:snapToGrid w:val="0"/>
        <w:spacing w:line="360" w:lineRule="auto"/>
        <w:ind w:firstLine="0"/>
        <w:rPr>
          <w:rFonts w:ascii="宋体" w:hAnsi="宋体" w:cs="宋体"/>
          <w:sz w:val="24"/>
        </w:rPr>
      </w:pPr>
      <w:r>
        <w:rPr>
          <w:rFonts w:hint="eastAsia" w:ascii="宋体" w:hAnsi="宋体" w:cs="宋体"/>
          <w:sz w:val="24"/>
        </w:rPr>
        <w:t>除《中华人民共和国政府采购法》第五十条规定的情形外，本合同一经签订，甲乙双方不得擅自变更、中止或者终止。</w:t>
      </w:r>
    </w:p>
    <w:p>
      <w:pPr>
        <w:numPr>
          <w:ilvl w:val="0"/>
          <w:numId w:val="48"/>
        </w:numPr>
        <w:snapToGrid w:val="0"/>
        <w:spacing w:line="360" w:lineRule="auto"/>
        <w:ind w:firstLine="0"/>
        <w:rPr>
          <w:rFonts w:ascii="宋体" w:hAnsi="宋体" w:cs="宋体"/>
          <w:sz w:val="24"/>
        </w:rPr>
      </w:pPr>
      <w:r>
        <w:rPr>
          <w:rFonts w:hint="eastAsia" w:ascii="宋体" w:hAnsi="宋体" w:cs="宋体"/>
          <w:sz w:val="24"/>
        </w:rPr>
        <w:t>乙方不得擅自转让（无进口资格的供应商委托进口货物除外）其应履行的合同义务。</w:t>
      </w:r>
    </w:p>
    <w:p>
      <w:pPr>
        <w:pStyle w:val="5"/>
        <w:spacing w:before="0" w:after="0" w:line="360" w:lineRule="auto"/>
        <w:rPr>
          <w:rFonts w:ascii="宋体" w:hAnsi="宋体" w:cs="宋体"/>
          <w:sz w:val="24"/>
          <w:szCs w:val="24"/>
        </w:rPr>
      </w:pPr>
      <w:r>
        <w:rPr>
          <w:rFonts w:hint="eastAsia" w:ascii="宋体" w:hAnsi="宋体" w:cs="宋体"/>
          <w:sz w:val="24"/>
          <w:szCs w:val="24"/>
        </w:rPr>
        <w:t>第十九条　本合同书与下列文件一起构成合同文件</w:t>
      </w:r>
    </w:p>
    <w:p>
      <w:pPr>
        <w:pStyle w:val="13"/>
        <w:numPr>
          <w:ilvl w:val="0"/>
          <w:numId w:val="49"/>
        </w:numPr>
        <w:snapToGrid w:val="0"/>
        <w:spacing w:line="360" w:lineRule="auto"/>
        <w:ind w:firstLine="0"/>
        <w:rPr>
          <w:rFonts w:hAnsi="宋体" w:cs="宋体"/>
          <w:sz w:val="24"/>
          <w:szCs w:val="24"/>
        </w:rPr>
      </w:pPr>
      <w:r>
        <w:rPr>
          <w:rFonts w:hint="eastAsia" w:hAnsi="宋体" w:cs="宋体"/>
          <w:sz w:val="24"/>
          <w:szCs w:val="24"/>
        </w:rPr>
        <w:t>成交通知书；</w:t>
      </w:r>
    </w:p>
    <w:p>
      <w:pPr>
        <w:pStyle w:val="13"/>
        <w:numPr>
          <w:ilvl w:val="0"/>
          <w:numId w:val="49"/>
        </w:numPr>
        <w:snapToGrid w:val="0"/>
        <w:spacing w:line="360" w:lineRule="auto"/>
        <w:ind w:firstLine="0"/>
        <w:rPr>
          <w:rFonts w:hAnsi="宋体" w:cs="宋体"/>
          <w:sz w:val="24"/>
          <w:szCs w:val="24"/>
        </w:rPr>
      </w:pPr>
      <w:r>
        <w:rPr>
          <w:rFonts w:hint="eastAsia" w:hAnsi="宋体" w:cs="宋体"/>
          <w:sz w:val="24"/>
          <w:szCs w:val="24"/>
        </w:rPr>
        <w:t>竞标声明书；</w:t>
      </w:r>
    </w:p>
    <w:p>
      <w:pPr>
        <w:pStyle w:val="13"/>
        <w:numPr>
          <w:ilvl w:val="0"/>
          <w:numId w:val="49"/>
        </w:numPr>
        <w:snapToGrid w:val="0"/>
        <w:spacing w:line="360" w:lineRule="auto"/>
        <w:ind w:firstLine="0"/>
        <w:rPr>
          <w:rFonts w:hAnsi="宋体" w:cs="宋体"/>
          <w:sz w:val="24"/>
          <w:szCs w:val="24"/>
        </w:rPr>
      </w:pPr>
      <w:r>
        <w:rPr>
          <w:rFonts w:hint="eastAsia" w:hAnsi="宋体" w:cs="宋体"/>
          <w:sz w:val="24"/>
          <w:szCs w:val="24"/>
        </w:rPr>
        <w:t>商务条款偏离表和技术需求偏离表；</w:t>
      </w:r>
    </w:p>
    <w:p>
      <w:pPr>
        <w:pStyle w:val="13"/>
        <w:numPr>
          <w:ilvl w:val="0"/>
          <w:numId w:val="49"/>
        </w:numPr>
        <w:snapToGrid w:val="0"/>
        <w:spacing w:line="360" w:lineRule="auto"/>
        <w:ind w:firstLine="0"/>
        <w:rPr>
          <w:rFonts w:hAnsi="宋体" w:cs="宋体"/>
          <w:sz w:val="24"/>
          <w:szCs w:val="24"/>
        </w:rPr>
      </w:pPr>
      <w:r>
        <w:rPr>
          <w:rFonts w:hint="eastAsia" w:hAnsi="宋体" w:cs="宋体"/>
          <w:sz w:val="24"/>
          <w:szCs w:val="24"/>
        </w:rPr>
        <w:t>采购需求；</w:t>
      </w:r>
    </w:p>
    <w:p>
      <w:pPr>
        <w:pStyle w:val="13"/>
        <w:numPr>
          <w:ilvl w:val="0"/>
          <w:numId w:val="49"/>
        </w:numPr>
        <w:snapToGrid w:val="0"/>
        <w:spacing w:line="360" w:lineRule="auto"/>
        <w:ind w:firstLine="0"/>
        <w:rPr>
          <w:rFonts w:hAnsi="宋体" w:cs="宋体"/>
          <w:sz w:val="24"/>
          <w:szCs w:val="24"/>
        </w:rPr>
      </w:pPr>
      <w:r>
        <w:rPr>
          <w:rFonts w:hint="eastAsia" w:hAnsi="宋体" w:cs="宋体"/>
          <w:sz w:val="24"/>
          <w:szCs w:val="24"/>
        </w:rPr>
        <w:t>竞标报价表；</w:t>
      </w:r>
    </w:p>
    <w:p>
      <w:pPr>
        <w:pStyle w:val="13"/>
        <w:numPr>
          <w:ilvl w:val="0"/>
          <w:numId w:val="49"/>
        </w:numPr>
        <w:snapToGrid w:val="0"/>
        <w:spacing w:line="360" w:lineRule="auto"/>
        <w:ind w:firstLine="0"/>
        <w:rPr>
          <w:rFonts w:hAnsi="宋体" w:cs="宋体"/>
          <w:sz w:val="24"/>
          <w:szCs w:val="24"/>
        </w:rPr>
      </w:pPr>
      <w:r>
        <w:rPr>
          <w:rFonts w:hint="eastAsia" w:hAnsi="宋体" w:cs="宋体"/>
          <w:sz w:val="24"/>
          <w:szCs w:val="24"/>
        </w:rPr>
        <w:t>其他合同文件。</w:t>
      </w:r>
    </w:p>
    <w:p>
      <w:pPr>
        <w:pStyle w:val="13"/>
        <w:numPr>
          <w:ilvl w:val="0"/>
          <w:numId w:val="49"/>
        </w:numPr>
        <w:snapToGrid w:val="0"/>
        <w:spacing w:line="360" w:lineRule="auto"/>
        <w:ind w:firstLine="0"/>
        <w:rPr>
          <w:rFonts w:hAnsi="宋体" w:cs="宋体"/>
          <w:b/>
          <w:sz w:val="24"/>
          <w:szCs w:val="24"/>
        </w:rPr>
      </w:pPr>
      <w:r>
        <w:rPr>
          <w:rFonts w:hint="eastAsia" w:hAnsi="宋体" w:cs="宋体"/>
          <w:sz w:val="24"/>
          <w:szCs w:val="24"/>
        </w:rPr>
        <w:t>上述合同文件互相补充和解释。如果合同文件之间存在矛盾或者不一致之处，以上述文件的排列顺序在先者为准。</w:t>
      </w:r>
    </w:p>
    <w:p>
      <w:pPr>
        <w:snapToGrid w:val="0"/>
        <w:spacing w:line="360" w:lineRule="auto"/>
        <w:rPr>
          <w:rFonts w:ascii="宋体" w:hAnsi="宋体" w:cs="宋体"/>
          <w:sz w:val="24"/>
        </w:rPr>
      </w:pPr>
      <w:r>
        <w:rPr>
          <w:rFonts w:hint="eastAsia" w:ascii="宋体" w:hAnsi="宋体" w:cs="宋体"/>
          <w:b/>
          <w:sz w:val="24"/>
        </w:rPr>
        <w:t>第二十条　</w:t>
      </w:r>
      <w:r>
        <w:rPr>
          <w:rFonts w:hint="eastAsia" w:ascii="宋体" w:hAnsi="宋体" w:cs="宋体"/>
          <w:sz w:val="24"/>
        </w:rPr>
        <w:t>本合同一式四份，具有同等法律效力，财政部门（政府采购监管部门）、采购代理机构各一份，甲乙双方各一份（可根据需要另增加）。</w:t>
      </w:r>
    </w:p>
    <w:p>
      <w:pPr>
        <w:wordWrap w:val="0"/>
        <w:topLinePunct/>
        <w:snapToGrid w:val="0"/>
        <w:spacing w:line="360" w:lineRule="auto"/>
        <w:rPr>
          <w:rFonts w:ascii="宋体" w:hAnsi="宋体" w:cs="宋体"/>
          <w:sz w:val="24"/>
        </w:rPr>
      </w:pPr>
      <w:r>
        <w:rPr>
          <w:rFonts w:hint="eastAsia" w:ascii="宋体" w:hAnsi="宋体" w:cs="宋体"/>
          <w:sz w:val="24"/>
        </w:rPr>
        <w:t>本合同甲乙双方签字盖章后生效，自签订之日起七个工作日内，甲方应当将合同副本报同级财政部门备案。</w:t>
      </w:r>
    </w:p>
    <w:p>
      <w:pPr>
        <w:wordWrap w:val="0"/>
        <w:topLinePunct/>
        <w:snapToGrid w:val="0"/>
        <w:spacing w:line="360" w:lineRule="auto"/>
        <w:rPr>
          <w:rFonts w:ascii="宋体" w:hAnsi="宋体" w:cs="宋体"/>
          <w:sz w:val="24"/>
        </w:rPr>
      </w:pPr>
      <w:r>
        <w:rPr>
          <w:rFonts w:hint="eastAsia" w:ascii="宋体" w:hAnsi="宋体" w:cs="宋体"/>
          <w:sz w:val="24"/>
        </w:rPr>
        <w:t>本合同自签订之日起2个工作日内，甲方应当将采购合同在广西壮族自治区财政厅指定的媒体上公告。</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9"/>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2499" w:type="pct"/>
          </w:tcPr>
          <w:p>
            <w:pPr>
              <w:wordWrap w:val="0"/>
              <w:topLinePunct/>
              <w:snapToGrid w:val="0"/>
              <w:spacing w:line="360" w:lineRule="auto"/>
              <w:rPr>
                <w:rFonts w:ascii="宋体" w:hAnsi="宋体" w:cs="宋体"/>
                <w:sz w:val="24"/>
              </w:rPr>
            </w:pPr>
            <w:r>
              <w:rPr>
                <w:rFonts w:hint="eastAsia" w:ascii="宋体" w:hAnsi="宋体" w:cs="宋体"/>
                <w:sz w:val="24"/>
              </w:rPr>
              <w:t xml:space="preserve">甲方（章）           </w:t>
            </w:r>
          </w:p>
          <w:p>
            <w:pPr>
              <w:wordWrap w:val="0"/>
              <w:topLinePunct/>
              <w:snapToGrid w:val="0"/>
              <w:spacing w:line="360" w:lineRule="auto"/>
              <w:rPr>
                <w:rFonts w:ascii="宋体" w:hAnsi="宋体" w:cs="宋体"/>
                <w:sz w:val="24"/>
              </w:rPr>
            </w:pPr>
          </w:p>
          <w:p>
            <w:pPr>
              <w:wordWrap w:val="0"/>
              <w:topLinePunct/>
              <w:snapToGrid w:val="0"/>
              <w:spacing w:line="360" w:lineRule="auto"/>
              <w:ind w:firstLine="3240" w:firstLineChars="1350"/>
              <w:rPr>
                <w:rFonts w:ascii="宋体" w:hAnsi="宋体" w:cs="宋体"/>
                <w:sz w:val="24"/>
              </w:rPr>
            </w:pPr>
          </w:p>
          <w:p>
            <w:pPr>
              <w:wordWrap w:val="0"/>
              <w:topLinePunct/>
              <w:snapToGrid w:val="0"/>
              <w:spacing w:line="360" w:lineRule="auto"/>
              <w:jc w:val="right"/>
              <w:rPr>
                <w:rFonts w:ascii="宋体" w:hAnsi="宋体" w:cs="宋体"/>
                <w:sz w:val="24"/>
              </w:rPr>
            </w:pPr>
            <w:r>
              <w:rPr>
                <w:rFonts w:hint="eastAsia" w:ascii="宋体" w:hAnsi="宋体" w:cs="宋体"/>
                <w:sz w:val="24"/>
              </w:rPr>
              <w:t>年   月   日</w:t>
            </w:r>
          </w:p>
        </w:tc>
        <w:tc>
          <w:tcPr>
            <w:tcW w:w="2500" w:type="pct"/>
          </w:tcPr>
          <w:p>
            <w:pPr>
              <w:wordWrap w:val="0"/>
              <w:topLinePunct/>
              <w:snapToGrid w:val="0"/>
              <w:spacing w:line="360" w:lineRule="auto"/>
              <w:rPr>
                <w:rFonts w:ascii="宋体" w:hAnsi="宋体" w:cs="宋体"/>
                <w:sz w:val="24"/>
              </w:rPr>
            </w:pPr>
            <w:r>
              <w:rPr>
                <w:rFonts w:hint="eastAsia" w:ascii="宋体" w:hAnsi="宋体" w:cs="宋体"/>
                <w:sz w:val="24"/>
              </w:rPr>
              <w:t xml:space="preserve">乙方（章）              </w:t>
            </w:r>
          </w:p>
          <w:p>
            <w:pPr>
              <w:wordWrap w:val="0"/>
              <w:topLinePunct/>
              <w:snapToGrid w:val="0"/>
              <w:spacing w:line="360" w:lineRule="auto"/>
              <w:rPr>
                <w:rFonts w:ascii="宋体" w:hAnsi="宋体" w:cs="宋体"/>
                <w:sz w:val="24"/>
              </w:rPr>
            </w:pPr>
          </w:p>
          <w:p>
            <w:pPr>
              <w:wordWrap w:val="0"/>
              <w:topLinePunct/>
              <w:snapToGrid w:val="0"/>
              <w:spacing w:line="360" w:lineRule="auto"/>
              <w:rPr>
                <w:rFonts w:ascii="宋体" w:hAnsi="宋体" w:cs="宋体"/>
                <w:sz w:val="24"/>
              </w:rPr>
            </w:pPr>
            <w:r>
              <w:rPr>
                <w:rFonts w:hint="eastAsia" w:ascii="宋体" w:hAnsi="宋体" w:cs="宋体"/>
                <w:sz w:val="24"/>
              </w:rPr>
              <w:t xml:space="preserve"> </w:t>
            </w:r>
          </w:p>
          <w:p>
            <w:pPr>
              <w:wordWrap w:val="0"/>
              <w:topLinePunct/>
              <w:snapToGrid w:val="0"/>
              <w:spacing w:line="360" w:lineRule="auto"/>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499" w:type="pct"/>
            <w:vAlign w:val="center"/>
          </w:tcPr>
          <w:p>
            <w:pPr>
              <w:wordWrap w:val="0"/>
              <w:topLinePunct/>
              <w:snapToGrid w:val="0"/>
              <w:spacing w:line="360" w:lineRule="auto"/>
              <w:rPr>
                <w:rFonts w:ascii="宋体" w:hAnsi="宋体" w:cs="宋体"/>
                <w:sz w:val="24"/>
              </w:rPr>
            </w:pPr>
            <w:r>
              <w:rPr>
                <w:rFonts w:hint="eastAsia" w:ascii="宋体" w:hAnsi="宋体" w:cs="宋体"/>
                <w:sz w:val="24"/>
              </w:rPr>
              <w:t>单位地址：</w:t>
            </w:r>
          </w:p>
        </w:tc>
        <w:tc>
          <w:tcPr>
            <w:tcW w:w="2500" w:type="pct"/>
            <w:vAlign w:val="center"/>
          </w:tcPr>
          <w:p>
            <w:pPr>
              <w:wordWrap w:val="0"/>
              <w:topLinePunct/>
              <w:snapToGrid w:val="0"/>
              <w:spacing w:line="360" w:lineRule="auto"/>
              <w:rPr>
                <w:rFonts w:ascii="宋体" w:hAnsi="宋体" w:cs="宋体"/>
                <w:sz w:val="24"/>
              </w:rPr>
            </w:pPr>
            <w:r>
              <w:rPr>
                <w:rFonts w:hint="eastAsia" w:ascii="宋体" w:hAnsi="宋体" w:cs="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2499" w:type="pct"/>
          </w:tcPr>
          <w:p>
            <w:pPr>
              <w:wordWrap w:val="0"/>
              <w:topLinePunct/>
              <w:snapToGrid w:val="0"/>
              <w:spacing w:line="360" w:lineRule="auto"/>
              <w:rPr>
                <w:rFonts w:ascii="宋体" w:hAnsi="宋体" w:cs="宋体"/>
                <w:sz w:val="24"/>
              </w:rPr>
            </w:pPr>
            <w:r>
              <w:rPr>
                <w:rFonts w:hint="eastAsia" w:ascii="宋体" w:hAnsi="宋体" w:cs="宋体"/>
                <w:sz w:val="24"/>
              </w:rPr>
              <w:t>法定代表人或者委托代理人：</w:t>
            </w:r>
          </w:p>
        </w:tc>
        <w:tc>
          <w:tcPr>
            <w:tcW w:w="2500" w:type="pct"/>
          </w:tcPr>
          <w:p>
            <w:pPr>
              <w:wordWrap w:val="0"/>
              <w:topLinePunct/>
              <w:snapToGrid w:val="0"/>
              <w:spacing w:line="360" w:lineRule="auto"/>
              <w:rPr>
                <w:rFonts w:ascii="宋体" w:hAnsi="宋体" w:cs="宋体"/>
                <w:sz w:val="24"/>
              </w:rPr>
            </w:pPr>
            <w:r>
              <w:rPr>
                <w:rFonts w:hint="eastAsia" w:ascii="宋体" w:hAnsi="宋体" w:cs="宋体"/>
                <w:sz w:val="24"/>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499" w:type="pct"/>
            <w:vAlign w:val="center"/>
          </w:tcPr>
          <w:p>
            <w:pPr>
              <w:wordWrap w:val="0"/>
              <w:topLinePunct/>
              <w:snapToGrid w:val="0"/>
              <w:spacing w:line="360" w:lineRule="auto"/>
              <w:rPr>
                <w:rFonts w:ascii="宋体" w:hAnsi="宋体" w:cs="宋体"/>
                <w:sz w:val="24"/>
              </w:rPr>
            </w:pPr>
            <w:r>
              <w:rPr>
                <w:rFonts w:hint="eastAsia" w:ascii="宋体" w:hAnsi="宋体" w:cs="宋体"/>
                <w:sz w:val="24"/>
              </w:rPr>
              <w:t>电话：</w:t>
            </w:r>
          </w:p>
        </w:tc>
        <w:tc>
          <w:tcPr>
            <w:tcW w:w="2500" w:type="pct"/>
            <w:vAlign w:val="center"/>
          </w:tcPr>
          <w:p>
            <w:pPr>
              <w:wordWrap w:val="0"/>
              <w:topLinePunct/>
              <w:snapToGrid w:val="0"/>
              <w:spacing w:line="360" w:lineRule="auto"/>
              <w:rPr>
                <w:rFonts w:ascii="宋体" w:hAnsi="宋体" w:cs="宋体"/>
                <w:sz w:val="24"/>
              </w:rPr>
            </w:pPr>
            <w:r>
              <w:rPr>
                <w:rFonts w:hint="eastAsia" w:ascii="宋体" w:hAnsi="宋体" w:cs="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499" w:type="pct"/>
            <w:vAlign w:val="center"/>
          </w:tcPr>
          <w:p>
            <w:pPr>
              <w:wordWrap w:val="0"/>
              <w:topLinePunct/>
              <w:snapToGrid w:val="0"/>
              <w:spacing w:line="360" w:lineRule="auto"/>
              <w:rPr>
                <w:rFonts w:ascii="宋体" w:hAnsi="宋体" w:cs="宋体"/>
                <w:sz w:val="24"/>
              </w:rPr>
            </w:pPr>
            <w:r>
              <w:rPr>
                <w:rFonts w:hint="eastAsia" w:ascii="宋体" w:hAnsi="宋体" w:cs="宋体"/>
                <w:sz w:val="24"/>
              </w:rPr>
              <w:t>电子邮箱：</w:t>
            </w:r>
          </w:p>
        </w:tc>
        <w:tc>
          <w:tcPr>
            <w:tcW w:w="2500" w:type="pct"/>
            <w:vAlign w:val="center"/>
          </w:tcPr>
          <w:p>
            <w:pPr>
              <w:wordWrap w:val="0"/>
              <w:topLinePunct/>
              <w:snapToGrid w:val="0"/>
              <w:spacing w:line="360" w:lineRule="auto"/>
              <w:rPr>
                <w:rFonts w:ascii="宋体" w:hAnsi="宋体" w:cs="宋体"/>
                <w:sz w:val="24"/>
              </w:rPr>
            </w:pPr>
            <w:r>
              <w:rPr>
                <w:rFonts w:hint="eastAsia" w:ascii="宋体" w:hAnsi="宋体" w:cs="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99" w:type="pct"/>
            <w:vAlign w:val="center"/>
          </w:tcPr>
          <w:p>
            <w:pPr>
              <w:wordWrap w:val="0"/>
              <w:topLinePunct/>
              <w:snapToGrid w:val="0"/>
              <w:spacing w:line="360" w:lineRule="auto"/>
              <w:rPr>
                <w:rFonts w:ascii="宋体" w:hAnsi="宋体" w:cs="宋体"/>
                <w:sz w:val="24"/>
              </w:rPr>
            </w:pPr>
            <w:r>
              <w:rPr>
                <w:rFonts w:hint="eastAsia" w:ascii="宋体" w:hAnsi="宋体" w:cs="宋体"/>
                <w:sz w:val="24"/>
              </w:rPr>
              <w:t>开户银行：</w:t>
            </w:r>
          </w:p>
        </w:tc>
        <w:tc>
          <w:tcPr>
            <w:tcW w:w="2500" w:type="pct"/>
            <w:vAlign w:val="center"/>
          </w:tcPr>
          <w:p>
            <w:pPr>
              <w:wordWrap w:val="0"/>
              <w:topLinePunct/>
              <w:snapToGrid w:val="0"/>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499" w:type="pct"/>
            <w:vAlign w:val="center"/>
          </w:tcPr>
          <w:p>
            <w:pPr>
              <w:wordWrap w:val="0"/>
              <w:topLinePunct/>
              <w:snapToGrid w:val="0"/>
              <w:spacing w:line="360" w:lineRule="auto"/>
              <w:rPr>
                <w:rFonts w:ascii="宋体" w:hAnsi="宋体" w:cs="宋体"/>
                <w:sz w:val="24"/>
              </w:rPr>
            </w:pPr>
            <w:r>
              <w:rPr>
                <w:rFonts w:hint="eastAsia" w:ascii="宋体" w:hAnsi="宋体" w:cs="宋体"/>
                <w:sz w:val="24"/>
              </w:rPr>
              <w:t>账号：</w:t>
            </w:r>
          </w:p>
        </w:tc>
        <w:tc>
          <w:tcPr>
            <w:tcW w:w="2500" w:type="pct"/>
            <w:vAlign w:val="center"/>
          </w:tcPr>
          <w:p>
            <w:pPr>
              <w:wordWrap w:val="0"/>
              <w:topLinePunct/>
              <w:snapToGrid w:val="0"/>
              <w:spacing w:line="360" w:lineRule="auto"/>
              <w:rPr>
                <w:rFonts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499" w:type="pct"/>
            <w:vAlign w:val="center"/>
          </w:tcPr>
          <w:p>
            <w:pPr>
              <w:wordWrap w:val="0"/>
              <w:topLinePunct/>
              <w:snapToGrid w:val="0"/>
              <w:spacing w:line="360" w:lineRule="auto"/>
              <w:rPr>
                <w:rFonts w:ascii="宋体" w:hAnsi="宋体" w:cs="宋体"/>
                <w:sz w:val="24"/>
              </w:rPr>
            </w:pPr>
            <w:r>
              <w:rPr>
                <w:rFonts w:hint="eastAsia" w:ascii="宋体" w:hAnsi="宋体" w:cs="宋体"/>
                <w:sz w:val="24"/>
              </w:rPr>
              <w:t>邮政编码：</w:t>
            </w:r>
          </w:p>
        </w:tc>
        <w:tc>
          <w:tcPr>
            <w:tcW w:w="2500" w:type="pct"/>
            <w:vAlign w:val="center"/>
          </w:tcPr>
          <w:p>
            <w:pPr>
              <w:wordWrap w:val="0"/>
              <w:topLinePunct/>
              <w:snapToGrid w:val="0"/>
              <w:spacing w:line="360" w:lineRule="auto"/>
              <w:rPr>
                <w:rFonts w:ascii="宋体" w:hAnsi="宋体" w:cs="宋体"/>
                <w:sz w:val="24"/>
              </w:rPr>
            </w:pPr>
            <w:r>
              <w:rPr>
                <w:rFonts w:hint="eastAsia" w:ascii="宋体" w:hAnsi="宋体" w:cs="宋体"/>
                <w:sz w:val="24"/>
              </w:rPr>
              <w:t>邮政编码：</w:t>
            </w:r>
          </w:p>
        </w:tc>
      </w:tr>
    </w:tbl>
    <w:p>
      <w:pPr>
        <w:snapToGrid w:val="0"/>
        <w:spacing w:line="360" w:lineRule="auto"/>
        <w:ind w:left="480" w:hanging="480" w:hangingChars="200"/>
        <w:rPr>
          <w:rFonts w:ascii="宋体" w:hAnsi="宋体"/>
          <w:sz w:val="24"/>
        </w:rPr>
      </w:pPr>
    </w:p>
    <w:p>
      <w:pPr>
        <w:snapToGrid w:val="0"/>
        <w:spacing w:line="360" w:lineRule="auto"/>
        <w:jc w:val="center"/>
        <w:outlineLvl w:val="0"/>
        <w:rPr>
          <w:rFonts w:hint="eastAsia" w:ascii="宋体" w:hAnsi="宋体"/>
          <w:b/>
          <w:sz w:val="24"/>
        </w:rPr>
        <w:sectPr>
          <w:pgSz w:w="11906" w:h="16838"/>
          <w:pgMar w:top="1440" w:right="1080" w:bottom="1440" w:left="1080" w:header="1134" w:footer="1134" w:gutter="0"/>
          <w:cols w:space="720" w:num="1"/>
          <w:titlePg/>
          <w:docGrid w:type="lines" w:linePitch="312" w:charSpace="0"/>
        </w:sectPr>
      </w:pPr>
      <w:bookmarkStart w:id="182" w:name="_Toc23170"/>
      <w:bookmarkStart w:id="183" w:name="_Toc4728"/>
      <w:bookmarkStart w:id="184" w:name="_Toc24312"/>
    </w:p>
    <w:p>
      <w:pPr>
        <w:snapToGrid w:val="0"/>
        <w:spacing w:line="360" w:lineRule="auto"/>
        <w:jc w:val="center"/>
        <w:outlineLvl w:val="0"/>
        <w:rPr>
          <w:rFonts w:ascii="宋体" w:hAnsi="宋体"/>
          <w:b/>
          <w:sz w:val="24"/>
        </w:rPr>
      </w:pPr>
      <w:r>
        <w:rPr>
          <w:rFonts w:hint="eastAsia" w:ascii="宋体" w:hAnsi="宋体"/>
          <w:b/>
          <w:sz w:val="24"/>
        </w:rPr>
        <w:t>合 同 附 件</w:t>
      </w:r>
      <w:bookmarkEnd w:id="182"/>
      <w:bookmarkEnd w:id="183"/>
      <w:bookmarkEnd w:id="184"/>
    </w:p>
    <w:p>
      <w:pPr>
        <w:snapToGrid w:val="0"/>
        <w:spacing w:line="360" w:lineRule="auto"/>
        <w:outlineLvl w:val="0"/>
        <w:rPr>
          <w:rFonts w:ascii="宋体" w:hAnsi="宋体"/>
          <w:sz w:val="24"/>
        </w:rPr>
      </w:pPr>
      <w:bookmarkStart w:id="185" w:name="_Toc5838"/>
      <w:bookmarkStart w:id="186" w:name="_Toc17473"/>
      <w:bookmarkStart w:id="187" w:name="_Toc25968"/>
      <w:r>
        <w:rPr>
          <w:rFonts w:hint="eastAsia" w:ascii="宋体" w:hAnsi="宋体"/>
          <w:sz w:val="24"/>
        </w:rPr>
        <w:t>一般货物类</w:t>
      </w:r>
      <w:bookmarkEnd w:id="185"/>
      <w:bookmarkEnd w:id="186"/>
      <w:bookmarkEnd w:id="187"/>
    </w:p>
    <w:tbl>
      <w:tblPr>
        <w:tblStyle w:val="24"/>
        <w:tblW w:w="5000" w:type="pct"/>
        <w:jc w:val="center"/>
        <w:tblLayout w:type="autofit"/>
        <w:tblCellMar>
          <w:top w:w="0" w:type="dxa"/>
          <w:left w:w="108" w:type="dxa"/>
          <w:bottom w:w="0" w:type="dxa"/>
          <w:right w:w="108" w:type="dxa"/>
        </w:tblCellMar>
      </w:tblPr>
      <w:tblGrid>
        <w:gridCol w:w="4983"/>
        <w:gridCol w:w="4979"/>
      </w:tblGrid>
      <w:tr>
        <w:tblPrEx>
          <w:tblCellMar>
            <w:top w:w="0" w:type="dxa"/>
            <w:left w:w="108" w:type="dxa"/>
            <w:bottom w:w="0" w:type="dxa"/>
            <w:right w:w="108" w:type="dxa"/>
          </w:tblCellMar>
        </w:tblPrEx>
        <w:trPr>
          <w:trHeight w:val="1226" w:hRule="atLeast"/>
          <w:jc w:val="center"/>
        </w:trPr>
        <w:tc>
          <w:tcPr>
            <w:tcW w:w="5000" w:type="pct"/>
            <w:gridSpan w:val="2"/>
            <w:tcBorders>
              <w:top w:val="single" w:color="auto" w:sz="4" w:space="0"/>
              <w:left w:val="single" w:color="auto" w:sz="4" w:space="0"/>
              <w:right w:val="single" w:color="auto" w:sz="4" w:space="0"/>
            </w:tcBorders>
          </w:tcPr>
          <w:p>
            <w:pPr>
              <w:snapToGrid w:val="0"/>
              <w:spacing w:line="360" w:lineRule="auto"/>
              <w:rPr>
                <w:rFonts w:ascii="宋体" w:hAnsi="宋体"/>
                <w:b/>
                <w:sz w:val="24"/>
              </w:rPr>
            </w:pPr>
            <w:r>
              <w:rPr>
                <w:rFonts w:hint="eastAsia" w:ascii="宋体" w:hAnsi="宋体"/>
                <w:b/>
                <w:sz w:val="24"/>
              </w:rPr>
              <w:t>1. 供应商承诺具体事项：</w:t>
            </w:r>
          </w:p>
        </w:tc>
      </w:tr>
      <w:tr>
        <w:tblPrEx>
          <w:tblCellMar>
            <w:top w:w="0" w:type="dxa"/>
            <w:left w:w="108" w:type="dxa"/>
            <w:bottom w:w="0" w:type="dxa"/>
            <w:right w:w="108" w:type="dxa"/>
          </w:tblCellMar>
        </w:tblPrEx>
        <w:trPr>
          <w:trHeight w:val="1228" w:hRule="atLeast"/>
          <w:jc w:val="center"/>
        </w:trPr>
        <w:tc>
          <w:tcPr>
            <w:tcW w:w="5000" w:type="pct"/>
            <w:gridSpan w:val="2"/>
            <w:tcBorders>
              <w:top w:val="single" w:color="auto" w:sz="4" w:space="0"/>
              <w:left w:val="single" w:color="auto" w:sz="4" w:space="0"/>
              <w:right w:val="single" w:color="auto" w:sz="4" w:space="0"/>
            </w:tcBorders>
          </w:tcPr>
          <w:p>
            <w:pPr>
              <w:snapToGrid w:val="0"/>
              <w:spacing w:line="360" w:lineRule="auto"/>
              <w:rPr>
                <w:rFonts w:ascii="宋体" w:hAnsi="宋体"/>
                <w:b/>
                <w:sz w:val="24"/>
              </w:rPr>
            </w:pPr>
            <w:r>
              <w:rPr>
                <w:rFonts w:hint="eastAsia" w:ascii="宋体" w:hAnsi="宋体"/>
                <w:b/>
                <w:sz w:val="24"/>
              </w:rPr>
              <w:t>2. 售后服务具体事项：</w:t>
            </w:r>
          </w:p>
        </w:tc>
      </w:tr>
      <w:tr>
        <w:tblPrEx>
          <w:tblCellMar>
            <w:top w:w="0" w:type="dxa"/>
            <w:left w:w="108" w:type="dxa"/>
            <w:bottom w:w="0" w:type="dxa"/>
            <w:right w:w="108" w:type="dxa"/>
          </w:tblCellMar>
        </w:tblPrEx>
        <w:trPr>
          <w:trHeight w:val="1088" w:hRule="atLeast"/>
          <w:jc w:val="center"/>
        </w:trPr>
        <w:tc>
          <w:tcPr>
            <w:tcW w:w="5000" w:type="pct"/>
            <w:gridSpan w:val="2"/>
            <w:tcBorders>
              <w:top w:val="single" w:color="auto" w:sz="4" w:space="0"/>
              <w:left w:val="single" w:color="auto" w:sz="4" w:space="0"/>
              <w:right w:val="single" w:color="auto" w:sz="4" w:space="0"/>
            </w:tcBorders>
          </w:tcPr>
          <w:p>
            <w:pPr>
              <w:snapToGrid w:val="0"/>
              <w:spacing w:line="360" w:lineRule="auto"/>
              <w:rPr>
                <w:rFonts w:ascii="宋体" w:hAnsi="宋体"/>
                <w:b/>
                <w:sz w:val="24"/>
              </w:rPr>
            </w:pPr>
            <w:r>
              <w:rPr>
                <w:rFonts w:hint="eastAsia" w:ascii="宋体" w:hAnsi="宋体"/>
                <w:b/>
                <w:sz w:val="24"/>
              </w:rPr>
              <w:t>3. 保修期责任：</w:t>
            </w:r>
          </w:p>
        </w:tc>
      </w:tr>
      <w:tr>
        <w:tblPrEx>
          <w:tblCellMar>
            <w:top w:w="0" w:type="dxa"/>
            <w:left w:w="108" w:type="dxa"/>
            <w:bottom w:w="0" w:type="dxa"/>
            <w:right w:w="108" w:type="dxa"/>
          </w:tblCellMar>
        </w:tblPrEx>
        <w:trPr>
          <w:trHeight w:val="1360" w:hRule="atLeast"/>
          <w:jc w:val="center"/>
        </w:trPr>
        <w:tc>
          <w:tcPr>
            <w:tcW w:w="5000" w:type="pct"/>
            <w:gridSpan w:val="2"/>
            <w:tcBorders>
              <w:top w:val="single" w:color="auto" w:sz="4" w:space="0"/>
              <w:left w:val="single" w:color="auto" w:sz="4" w:space="0"/>
              <w:right w:val="single" w:color="auto" w:sz="4" w:space="0"/>
            </w:tcBorders>
          </w:tcPr>
          <w:p>
            <w:pPr>
              <w:snapToGrid w:val="0"/>
              <w:spacing w:line="360" w:lineRule="auto"/>
              <w:rPr>
                <w:rFonts w:ascii="宋体" w:hAnsi="宋体"/>
                <w:b/>
                <w:sz w:val="24"/>
              </w:rPr>
            </w:pPr>
            <w:r>
              <w:rPr>
                <w:rFonts w:hint="eastAsia" w:ascii="宋体" w:hAnsi="宋体"/>
                <w:b/>
                <w:sz w:val="24"/>
              </w:rPr>
              <w:t>4. 其他具体事项：</w:t>
            </w:r>
          </w:p>
        </w:tc>
      </w:tr>
      <w:tr>
        <w:tblPrEx>
          <w:tblCellMar>
            <w:top w:w="0" w:type="dxa"/>
            <w:left w:w="108" w:type="dxa"/>
            <w:bottom w:w="0" w:type="dxa"/>
            <w:right w:w="108" w:type="dxa"/>
          </w:tblCellMar>
        </w:tblPrEx>
        <w:trPr>
          <w:trHeight w:val="1703" w:hRule="atLeast"/>
          <w:jc w:val="center"/>
        </w:trPr>
        <w:tc>
          <w:tcPr>
            <w:tcW w:w="2501"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b/>
                <w:sz w:val="24"/>
              </w:rPr>
              <w:t>甲方（章）</w:t>
            </w:r>
          </w:p>
          <w:p>
            <w:pPr>
              <w:snapToGrid w:val="0"/>
              <w:spacing w:line="360" w:lineRule="auto"/>
              <w:ind w:firstLine="482" w:firstLineChars="200"/>
              <w:rPr>
                <w:rFonts w:ascii="宋体" w:hAnsi="宋体"/>
                <w:b/>
                <w:sz w:val="24"/>
              </w:rPr>
            </w:pPr>
          </w:p>
          <w:p>
            <w:pPr>
              <w:snapToGrid w:val="0"/>
              <w:spacing w:line="360" w:lineRule="auto"/>
              <w:rPr>
                <w:rFonts w:ascii="宋体" w:hAnsi="宋体"/>
                <w:b/>
                <w:sz w:val="24"/>
              </w:rPr>
            </w:pPr>
          </w:p>
          <w:p>
            <w:pPr>
              <w:snapToGrid w:val="0"/>
              <w:spacing w:line="360" w:lineRule="auto"/>
              <w:ind w:firstLine="482" w:firstLineChars="200"/>
              <w:rPr>
                <w:rFonts w:ascii="宋体" w:hAnsi="宋体"/>
                <w:b/>
                <w:sz w:val="24"/>
              </w:rPr>
            </w:pPr>
            <w:r>
              <w:rPr>
                <w:rFonts w:hint="eastAsia" w:ascii="宋体" w:hAnsi="宋体"/>
                <w:b/>
                <w:sz w:val="24"/>
              </w:rPr>
              <w:t xml:space="preserve">                      年   月   日 </w:t>
            </w:r>
          </w:p>
        </w:tc>
        <w:tc>
          <w:tcPr>
            <w:tcW w:w="249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sz w:val="24"/>
              </w:rPr>
            </w:pPr>
            <w:r>
              <w:rPr>
                <w:rFonts w:hint="eastAsia" w:ascii="宋体" w:hAnsi="宋体"/>
                <w:b/>
                <w:sz w:val="24"/>
              </w:rPr>
              <w:t>乙方（章）</w:t>
            </w:r>
          </w:p>
          <w:p>
            <w:pPr>
              <w:snapToGrid w:val="0"/>
              <w:spacing w:line="360" w:lineRule="auto"/>
              <w:ind w:firstLine="482" w:firstLineChars="200"/>
              <w:rPr>
                <w:rFonts w:ascii="宋体" w:hAnsi="宋体"/>
                <w:b/>
                <w:sz w:val="24"/>
              </w:rPr>
            </w:pPr>
          </w:p>
          <w:p>
            <w:pPr>
              <w:snapToGrid w:val="0"/>
              <w:spacing w:line="360" w:lineRule="auto"/>
              <w:rPr>
                <w:rFonts w:ascii="宋体" w:hAnsi="宋体"/>
                <w:b/>
                <w:sz w:val="24"/>
              </w:rPr>
            </w:pPr>
          </w:p>
          <w:p>
            <w:pPr>
              <w:snapToGrid w:val="0"/>
              <w:spacing w:line="360" w:lineRule="auto"/>
              <w:ind w:firstLine="482" w:firstLineChars="200"/>
              <w:rPr>
                <w:rFonts w:ascii="宋体" w:hAnsi="宋体"/>
                <w:b/>
                <w:sz w:val="24"/>
              </w:rPr>
            </w:pPr>
            <w:r>
              <w:rPr>
                <w:rFonts w:hint="eastAsia" w:ascii="宋体" w:hAnsi="宋体"/>
                <w:b/>
                <w:sz w:val="24"/>
              </w:rPr>
              <w:t xml:space="preserve">                      年   月   日</w:t>
            </w:r>
          </w:p>
        </w:tc>
      </w:tr>
    </w:tbl>
    <w:p>
      <w:pPr>
        <w:snapToGrid w:val="0"/>
        <w:spacing w:line="360" w:lineRule="auto"/>
        <w:jc w:val="left"/>
        <w:outlineLvl w:val="0"/>
        <w:rPr>
          <w:rFonts w:ascii="宋体" w:hAnsi="宋体"/>
          <w:sz w:val="24"/>
        </w:rPr>
      </w:pPr>
      <w:r>
        <w:rPr>
          <w:rFonts w:hint="eastAsia" w:ascii="宋体" w:hAnsi="宋体"/>
          <w:sz w:val="24"/>
        </w:rPr>
        <w:t xml:space="preserve">   </w:t>
      </w:r>
      <w:bookmarkStart w:id="188" w:name="_Toc16760"/>
      <w:bookmarkStart w:id="189" w:name="_Toc30026"/>
      <w:bookmarkStart w:id="190" w:name="_Toc18160"/>
      <w:r>
        <w:rPr>
          <w:rFonts w:hint="eastAsia" w:ascii="宋体" w:hAnsi="宋体"/>
          <w:sz w:val="24"/>
        </w:rPr>
        <w:t>注：售后服务事项填不下时可另加附页</w:t>
      </w:r>
      <w:bookmarkEnd w:id="188"/>
      <w:bookmarkEnd w:id="189"/>
      <w:bookmarkEnd w:id="190"/>
    </w:p>
    <w:p>
      <w:pPr>
        <w:snapToGrid w:val="0"/>
        <w:spacing w:line="360" w:lineRule="auto"/>
        <w:jc w:val="left"/>
        <w:rPr>
          <w:rFonts w:ascii="宋体" w:hAnsi="宋体"/>
          <w:sz w:val="24"/>
        </w:rPr>
      </w:pPr>
    </w:p>
    <w:bookmarkEnd w:id="181"/>
    <w:p>
      <w:pPr>
        <w:snapToGrid w:val="0"/>
        <w:spacing w:line="360" w:lineRule="auto"/>
        <w:rPr>
          <w:rFonts w:ascii="宋体" w:hAnsi="宋体"/>
          <w:sz w:val="24"/>
        </w:rPr>
      </w:pPr>
    </w:p>
    <w:p/>
    <w:p/>
    <w:sectPr>
      <w:pgSz w:w="11906" w:h="16838"/>
      <w:pgMar w:top="1440" w:right="1080" w:bottom="1440" w:left="1080" w:header="1134" w:footer="113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fN8cU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W5TAr1HipMfPKYGoc7N+DezH5AZyI+tMGkL1IiGEd9Txd95RCJSI9W5WpVYEhgbL4gPnt+7gPE&#10;99IZkoyaBhxg1pUfHyGOqXNKqmbdvdI6D1HbvxyImTws9T72mKw47IaJ0M41J+TT4+xranHVKdEP&#10;FqVNazIbYTZ2k5FqgL89RCyc+0moI9RUDAeVGU1LlTbhz3vOev6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oHzfHFAQAAkAMAAA4AAAAAAAAAAQAgAAAAHgEAAGRycy9lMm9Eb2MueG1s&#10;UEsFBgAAAAAGAAYAWQEAAFUFAAAAAA==&#10;">
              <v:fill on="f" focussize="0,0"/>
              <v:stroke on="f"/>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4xfsUBAACQAwAADgAAAGRycy9lMm9Eb2MueG1srVPNjtMwEL4j7TtY&#10;vm+dZgW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7uMX7FAQAAkAMAAA4AAAAAAAAAAQAgAAAAHgEAAGRycy9lMm9Eb2MueG1s&#10;UEsFBgAAAAAGAAYAWQEAAFUFAAAAAA==&#10;">
              <v:fill on="f" focussize="0,0"/>
              <v:stroke on="f"/>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p>
    <w:pPr>
      <w:pStyle w:val="18"/>
      <w:jc w:val="both"/>
    </w:pPr>
    <w:r>
      <w:rPr>
        <w:rFonts w:hint="eastAsia"/>
      </w:rPr>
      <w:t>项目名称：建设数据中心机房                                      项目编号：CZZC2024-J1-00001-GXLT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p>
    <w:pPr>
      <w:pStyle w:val="18"/>
      <w:pBdr>
        <w:bottom w:val="single" w:color="auto" w:sz="4" w:space="0"/>
      </w:pBdr>
      <w:jc w:val="both"/>
    </w:pPr>
    <w:r>
      <w:rPr>
        <w:rFonts w:hint="eastAsia"/>
      </w:rPr>
      <w:t>项目名称：建设数据中心机房                                      项目编号：CZZC2024-J1-00001-GXLT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217D0"/>
    <w:multiLevelType w:val="singleLevel"/>
    <w:tmpl w:val="853217D0"/>
    <w:lvl w:ilvl="0" w:tentative="0">
      <w:start w:val="1"/>
      <w:numFmt w:val="decimal"/>
      <w:suff w:val="nothing"/>
      <w:lvlText w:val="%1．"/>
      <w:lvlJc w:val="left"/>
      <w:pPr>
        <w:ind w:left="0" w:firstLine="400"/>
      </w:pPr>
      <w:rPr>
        <w:rFonts w:hint="default"/>
      </w:rPr>
    </w:lvl>
  </w:abstractNum>
  <w:abstractNum w:abstractNumId="1">
    <w:nsid w:val="8A218646"/>
    <w:multiLevelType w:val="singleLevel"/>
    <w:tmpl w:val="8A218646"/>
    <w:lvl w:ilvl="0" w:tentative="0">
      <w:start w:val="1"/>
      <w:numFmt w:val="decimal"/>
      <w:suff w:val="nothing"/>
      <w:lvlText w:val="%1."/>
      <w:lvlJc w:val="left"/>
      <w:pPr>
        <w:ind w:left="0" w:firstLine="0"/>
      </w:pPr>
      <w:rPr>
        <w:rFonts w:hint="default"/>
      </w:rPr>
    </w:lvl>
  </w:abstractNum>
  <w:abstractNum w:abstractNumId="2">
    <w:nsid w:val="8CFD6950"/>
    <w:multiLevelType w:val="singleLevel"/>
    <w:tmpl w:val="8CFD6950"/>
    <w:lvl w:ilvl="0" w:tentative="0">
      <w:start w:val="1"/>
      <w:numFmt w:val="decimal"/>
      <w:suff w:val="nothing"/>
      <w:lvlText w:val="%1．"/>
      <w:lvlJc w:val="left"/>
      <w:pPr>
        <w:ind w:left="0" w:firstLine="400"/>
      </w:pPr>
      <w:rPr>
        <w:rFonts w:hint="default"/>
      </w:rPr>
    </w:lvl>
  </w:abstractNum>
  <w:abstractNum w:abstractNumId="3">
    <w:nsid w:val="942426B4"/>
    <w:multiLevelType w:val="singleLevel"/>
    <w:tmpl w:val="942426B4"/>
    <w:lvl w:ilvl="0" w:tentative="0">
      <w:start w:val="1"/>
      <w:numFmt w:val="decimal"/>
      <w:suff w:val="nothing"/>
      <w:lvlText w:val="%1．"/>
      <w:lvlJc w:val="left"/>
      <w:pPr>
        <w:ind w:left="0" w:firstLine="400"/>
      </w:pPr>
      <w:rPr>
        <w:rFonts w:hint="default"/>
      </w:rPr>
    </w:lvl>
  </w:abstractNum>
  <w:abstractNum w:abstractNumId="4">
    <w:nsid w:val="9B3D42D4"/>
    <w:multiLevelType w:val="singleLevel"/>
    <w:tmpl w:val="9B3D42D4"/>
    <w:lvl w:ilvl="0" w:tentative="0">
      <w:start w:val="1"/>
      <w:numFmt w:val="decimal"/>
      <w:suff w:val="space"/>
      <w:lvlText w:val="4.%1"/>
      <w:lvlJc w:val="left"/>
      <w:pPr>
        <w:ind w:left="0" w:firstLine="0"/>
      </w:pPr>
      <w:rPr>
        <w:rFonts w:hint="default"/>
        <w:b/>
        <w:bCs/>
      </w:rPr>
    </w:lvl>
  </w:abstractNum>
  <w:abstractNum w:abstractNumId="5">
    <w:nsid w:val="9D925370"/>
    <w:multiLevelType w:val="singleLevel"/>
    <w:tmpl w:val="9D925370"/>
    <w:lvl w:ilvl="0" w:tentative="0">
      <w:start w:val="1"/>
      <w:numFmt w:val="chineseCounting"/>
      <w:suff w:val="nothing"/>
      <w:lvlText w:val="%1、"/>
      <w:lvlJc w:val="left"/>
      <w:pPr>
        <w:ind w:left="0" w:firstLine="0"/>
      </w:pPr>
      <w:rPr>
        <w:rFonts w:hint="eastAsia"/>
      </w:rPr>
    </w:lvl>
  </w:abstractNum>
  <w:abstractNum w:abstractNumId="6">
    <w:nsid w:val="A08C78FD"/>
    <w:multiLevelType w:val="singleLevel"/>
    <w:tmpl w:val="A08C78FD"/>
    <w:lvl w:ilvl="0" w:tentative="0">
      <w:start w:val="1"/>
      <w:numFmt w:val="decimal"/>
      <w:suff w:val="nothing"/>
      <w:lvlText w:val="%1．"/>
      <w:lvlJc w:val="left"/>
      <w:pPr>
        <w:ind w:left="0" w:firstLine="400"/>
      </w:pPr>
      <w:rPr>
        <w:rFonts w:hint="default"/>
      </w:rPr>
    </w:lvl>
  </w:abstractNum>
  <w:abstractNum w:abstractNumId="7">
    <w:nsid w:val="A6AE28B9"/>
    <w:multiLevelType w:val="singleLevel"/>
    <w:tmpl w:val="A6AE28B9"/>
    <w:lvl w:ilvl="0" w:tentative="0">
      <w:start w:val="1"/>
      <w:numFmt w:val="decimal"/>
      <w:suff w:val="nothing"/>
      <w:lvlText w:val="%1．"/>
      <w:lvlJc w:val="left"/>
      <w:pPr>
        <w:ind w:left="0" w:firstLine="0"/>
      </w:pPr>
      <w:rPr>
        <w:rFonts w:hint="default"/>
      </w:rPr>
    </w:lvl>
  </w:abstractNum>
  <w:abstractNum w:abstractNumId="8">
    <w:nsid w:val="A88BB0C6"/>
    <w:multiLevelType w:val="singleLevel"/>
    <w:tmpl w:val="A88BB0C6"/>
    <w:lvl w:ilvl="0" w:tentative="0">
      <w:start w:val="1"/>
      <w:numFmt w:val="decimal"/>
      <w:suff w:val="nothing"/>
      <w:lvlText w:val="%1．"/>
      <w:lvlJc w:val="left"/>
      <w:pPr>
        <w:ind w:left="0" w:firstLine="400"/>
      </w:pPr>
      <w:rPr>
        <w:rFonts w:hint="default"/>
      </w:rPr>
    </w:lvl>
  </w:abstractNum>
  <w:abstractNum w:abstractNumId="9">
    <w:nsid w:val="AE2FC9A8"/>
    <w:multiLevelType w:val="singleLevel"/>
    <w:tmpl w:val="AE2FC9A8"/>
    <w:lvl w:ilvl="0" w:tentative="0">
      <w:start w:val="1"/>
      <w:numFmt w:val="decimal"/>
      <w:suff w:val="nothing"/>
      <w:lvlText w:val="%1"/>
      <w:lvlJc w:val="left"/>
      <w:pPr>
        <w:ind w:left="0" w:firstLine="0"/>
      </w:pPr>
      <w:rPr>
        <w:rFonts w:hint="default"/>
      </w:rPr>
    </w:lvl>
  </w:abstractNum>
  <w:abstractNum w:abstractNumId="10">
    <w:nsid w:val="AE5EE61A"/>
    <w:multiLevelType w:val="singleLevel"/>
    <w:tmpl w:val="AE5EE61A"/>
    <w:lvl w:ilvl="0" w:tentative="0">
      <w:start w:val="1"/>
      <w:numFmt w:val="decimal"/>
      <w:suff w:val="space"/>
      <w:lvlText w:val="(%1)"/>
      <w:lvlJc w:val="left"/>
      <w:pPr>
        <w:ind w:left="0" w:firstLine="0"/>
      </w:pPr>
      <w:rPr>
        <w:rFonts w:hint="default"/>
      </w:rPr>
    </w:lvl>
  </w:abstractNum>
  <w:abstractNum w:abstractNumId="11">
    <w:nsid w:val="C0A2B56A"/>
    <w:multiLevelType w:val="singleLevel"/>
    <w:tmpl w:val="C0A2B56A"/>
    <w:lvl w:ilvl="0" w:tentative="0">
      <w:start w:val="1"/>
      <w:numFmt w:val="decimal"/>
      <w:suff w:val="nothing"/>
      <w:lvlText w:val="%1．"/>
      <w:lvlJc w:val="left"/>
      <w:pPr>
        <w:ind w:left="0" w:firstLine="400"/>
      </w:pPr>
      <w:rPr>
        <w:rFonts w:hint="default"/>
      </w:rPr>
    </w:lvl>
  </w:abstractNum>
  <w:abstractNum w:abstractNumId="12">
    <w:nsid w:val="C53A9F6D"/>
    <w:multiLevelType w:val="singleLevel"/>
    <w:tmpl w:val="C53A9F6D"/>
    <w:lvl w:ilvl="0" w:tentative="0">
      <w:start w:val="1"/>
      <w:numFmt w:val="decimal"/>
      <w:suff w:val="nothing"/>
      <w:lvlText w:val="%1．"/>
      <w:lvlJc w:val="left"/>
      <w:pPr>
        <w:ind w:left="0" w:firstLine="400"/>
      </w:pPr>
      <w:rPr>
        <w:rFonts w:hint="default"/>
        <w:b w:val="0"/>
        <w:bCs w:val="0"/>
      </w:rPr>
    </w:lvl>
  </w:abstractNum>
  <w:abstractNum w:abstractNumId="13">
    <w:nsid w:val="C6A78386"/>
    <w:multiLevelType w:val="singleLevel"/>
    <w:tmpl w:val="C6A78386"/>
    <w:lvl w:ilvl="0" w:tentative="0">
      <w:start w:val="1"/>
      <w:numFmt w:val="decimal"/>
      <w:suff w:val="nothing"/>
      <w:lvlText w:val="6.%1  "/>
      <w:lvlJc w:val="left"/>
      <w:pPr>
        <w:ind w:left="0" w:firstLine="397"/>
      </w:pPr>
      <w:rPr>
        <w:rFonts w:hint="default"/>
        <w:b/>
        <w:bCs/>
      </w:rPr>
    </w:lvl>
  </w:abstractNum>
  <w:abstractNum w:abstractNumId="14">
    <w:nsid w:val="CB763FDB"/>
    <w:multiLevelType w:val="singleLevel"/>
    <w:tmpl w:val="CB763FDB"/>
    <w:lvl w:ilvl="0" w:tentative="0">
      <w:start w:val="1"/>
      <w:numFmt w:val="decimal"/>
      <w:suff w:val="space"/>
      <w:lvlText w:val="2.%1"/>
      <w:lvlJc w:val="left"/>
      <w:pPr>
        <w:ind w:left="0" w:firstLine="0"/>
      </w:pPr>
      <w:rPr>
        <w:rFonts w:hint="default"/>
        <w:b/>
        <w:bCs/>
      </w:rPr>
    </w:lvl>
  </w:abstractNum>
  <w:abstractNum w:abstractNumId="15">
    <w:nsid w:val="CD2079CA"/>
    <w:multiLevelType w:val="singleLevel"/>
    <w:tmpl w:val="CD2079CA"/>
    <w:lvl w:ilvl="0" w:tentative="0">
      <w:start w:val="1"/>
      <w:numFmt w:val="decimal"/>
      <w:suff w:val="nothing"/>
      <w:lvlText w:val="%1．"/>
      <w:lvlJc w:val="left"/>
      <w:pPr>
        <w:ind w:left="0" w:firstLine="0"/>
      </w:pPr>
      <w:rPr>
        <w:rFonts w:hint="default"/>
      </w:rPr>
    </w:lvl>
  </w:abstractNum>
  <w:abstractNum w:abstractNumId="16">
    <w:nsid w:val="D05D0D80"/>
    <w:multiLevelType w:val="singleLevel"/>
    <w:tmpl w:val="D05D0D80"/>
    <w:lvl w:ilvl="0" w:tentative="0">
      <w:start w:val="1"/>
      <w:numFmt w:val="decimal"/>
      <w:suff w:val="space"/>
      <w:lvlText w:val="(%1)"/>
      <w:lvlJc w:val="left"/>
      <w:pPr>
        <w:ind w:left="0" w:firstLine="0"/>
      </w:pPr>
      <w:rPr>
        <w:rFonts w:hint="default"/>
      </w:rPr>
    </w:lvl>
  </w:abstractNum>
  <w:abstractNum w:abstractNumId="17">
    <w:nsid w:val="DA248CDD"/>
    <w:multiLevelType w:val="singleLevel"/>
    <w:tmpl w:val="DA248CDD"/>
    <w:lvl w:ilvl="0" w:tentative="0">
      <w:start w:val="1"/>
      <w:numFmt w:val="decimal"/>
      <w:suff w:val="nothing"/>
      <w:lvlText w:val="%1．"/>
      <w:lvlJc w:val="left"/>
      <w:pPr>
        <w:ind w:left="-482" w:firstLine="400"/>
      </w:pPr>
      <w:rPr>
        <w:rFonts w:hint="default"/>
        <w:b/>
        <w:bCs/>
      </w:rPr>
    </w:lvl>
  </w:abstractNum>
  <w:abstractNum w:abstractNumId="18">
    <w:nsid w:val="DB9B736C"/>
    <w:multiLevelType w:val="singleLevel"/>
    <w:tmpl w:val="DB9B736C"/>
    <w:lvl w:ilvl="0" w:tentative="0">
      <w:start w:val="1"/>
      <w:numFmt w:val="decimal"/>
      <w:suff w:val="nothing"/>
      <w:lvlText w:val="%1．"/>
      <w:lvlJc w:val="left"/>
      <w:pPr>
        <w:ind w:left="0" w:firstLine="400"/>
      </w:pPr>
      <w:rPr>
        <w:rFonts w:hint="default"/>
        <w:b/>
        <w:bCs/>
      </w:rPr>
    </w:lvl>
  </w:abstractNum>
  <w:abstractNum w:abstractNumId="19">
    <w:nsid w:val="DE1C436D"/>
    <w:multiLevelType w:val="singleLevel"/>
    <w:tmpl w:val="DE1C436D"/>
    <w:lvl w:ilvl="0" w:tentative="0">
      <w:start w:val="1"/>
      <w:numFmt w:val="decimal"/>
      <w:suff w:val="nothing"/>
      <w:lvlText w:val="%1．"/>
      <w:lvlJc w:val="left"/>
      <w:pPr>
        <w:ind w:left="0" w:firstLine="400"/>
      </w:pPr>
      <w:rPr>
        <w:rFonts w:hint="default"/>
      </w:rPr>
    </w:lvl>
  </w:abstractNum>
  <w:abstractNum w:abstractNumId="20">
    <w:nsid w:val="DE23E47C"/>
    <w:multiLevelType w:val="singleLevel"/>
    <w:tmpl w:val="DE23E47C"/>
    <w:lvl w:ilvl="0" w:tentative="0">
      <w:start w:val="1"/>
      <w:numFmt w:val="decimal"/>
      <w:suff w:val="nothing"/>
      <w:lvlText w:val="%1．"/>
      <w:lvlJc w:val="left"/>
      <w:pPr>
        <w:ind w:left="0" w:firstLine="400"/>
      </w:pPr>
      <w:rPr>
        <w:rFonts w:hint="default"/>
      </w:rPr>
    </w:lvl>
  </w:abstractNum>
  <w:abstractNum w:abstractNumId="21">
    <w:nsid w:val="DF35EEDA"/>
    <w:multiLevelType w:val="singleLevel"/>
    <w:tmpl w:val="DF35EEDA"/>
    <w:lvl w:ilvl="0" w:tentative="0">
      <w:start w:val="1"/>
      <w:numFmt w:val="decimal"/>
      <w:suff w:val="nothing"/>
      <w:lvlText w:val="%1．"/>
      <w:lvlJc w:val="left"/>
      <w:pPr>
        <w:ind w:left="0" w:firstLine="400"/>
      </w:pPr>
      <w:rPr>
        <w:rFonts w:hint="default"/>
      </w:rPr>
    </w:lvl>
  </w:abstractNum>
  <w:abstractNum w:abstractNumId="22">
    <w:nsid w:val="E5855841"/>
    <w:multiLevelType w:val="singleLevel"/>
    <w:tmpl w:val="E5855841"/>
    <w:lvl w:ilvl="0" w:tentative="0">
      <w:start w:val="1"/>
      <w:numFmt w:val="decimal"/>
      <w:suff w:val="nothing"/>
      <w:lvlText w:val="%1．"/>
      <w:lvlJc w:val="left"/>
      <w:pPr>
        <w:ind w:left="0" w:firstLine="400"/>
      </w:pPr>
      <w:rPr>
        <w:rFonts w:hint="default"/>
      </w:rPr>
    </w:lvl>
  </w:abstractNum>
  <w:abstractNum w:abstractNumId="23">
    <w:nsid w:val="EB4991DB"/>
    <w:multiLevelType w:val="singleLevel"/>
    <w:tmpl w:val="EB4991DB"/>
    <w:lvl w:ilvl="0" w:tentative="0">
      <w:start w:val="1"/>
      <w:numFmt w:val="decimal"/>
      <w:suff w:val="nothing"/>
      <w:lvlText w:val="%1．"/>
      <w:lvlJc w:val="left"/>
      <w:pPr>
        <w:ind w:left="-482" w:firstLine="400"/>
      </w:pPr>
      <w:rPr>
        <w:rFonts w:hint="default"/>
        <w:b/>
        <w:bCs/>
      </w:rPr>
    </w:lvl>
  </w:abstractNum>
  <w:abstractNum w:abstractNumId="24">
    <w:nsid w:val="EE6F4ECF"/>
    <w:multiLevelType w:val="singleLevel"/>
    <w:tmpl w:val="EE6F4ECF"/>
    <w:lvl w:ilvl="0" w:tentative="0">
      <w:start w:val="1"/>
      <w:numFmt w:val="decimal"/>
      <w:suff w:val="nothing"/>
      <w:lvlText w:val="%1．"/>
      <w:lvlJc w:val="left"/>
      <w:pPr>
        <w:ind w:left="0" w:firstLine="400"/>
      </w:pPr>
      <w:rPr>
        <w:rFonts w:hint="default"/>
      </w:rPr>
    </w:lvl>
  </w:abstractNum>
  <w:abstractNum w:abstractNumId="25">
    <w:nsid w:val="FA927A94"/>
    <w:multiLevelType w:val="singleLevel"/>
    <w:tmpl w:val="FA927A94"/>
    <w:lvl w:ilvl="0" w:tentative="0">
      <w:start w:val="1"/>
      <w:numFmt w:val="decimal"/>
      <w:suff w:val="nothing"/>
      <w:lvlText w:val="1.%1 "/>
      <w:lvlJc w:val="left"/>
      <w:pPr>
        <w:ind w:left="0" w:firstLine="0"/>
      </w:pPr>
      <w:rPr>
        <w:rFonts w:hint="default"/>
      </w:rPr>
    </w:lvl>
  </w:abstractNum>
  <w:abstractNum w:abstractNumId="26">
    <w:nsid w:val="062703DA"/>
    <w:multiLevelType w:val="singleLevel"/>
    <w:tmpl w:val="062703DA"/>
    <w:lvl w:ilvl="0" w:tentative="0">
      <w:start w:val="1"/>
      <w:numFmt w:val="decimal"/>
      <w:suff w:val="nothing"/>
      <w:lvlText w:val="%1．"/>
      <w:lvlJc w:val="left"/>
      <w:pPr>
        <w:ind w:left="0" w:firstLine="400"/>
      </w:pPr>
      <w:rPr>
        <w:rFonts w:hint="default"/>
        <w:b/>
        <w:bCs/>
      </w:rPr>
    </w:lvl>
  </w:abstractNum>
  <w:abstractNum w:abstractNumId="27">
    <w:nsid w:val="0D5FC7C1"/>
    <w:multiLevelType w:val="singleLevel"/>
    <w:tmpl w:val="0D5FC7C1"/>
    <w:lvl w:ilvl="0" w:tentative="0">
      <w:start w:val="1"/>
      <w:numFmt w:val="decimal"/>
      <w:suff w:val="nothing"/>
      <w:lvlText w:val="%1．"/>
      <w:lvlJc w:val="left"/>
      <w:pPr>
        <w:ind w:left="0" w:firstLine="400"/>
      </w:pPr>
      <w:rPr>
        <w:rFonts w:hint="default"/>
      </w:rPr>
    </w:lvl>
  </w:abstractNum>
  <w:abstractNum w:abstractNumId="28">
    <w:nsid w:val="11297BCB"/>
    <w:multiLevelType w:val="singleLevel"/>
    <w:tmpl w:val="11297BCB"/>
    <w:lvl w:ilvl="0" w:tentative="0">
      <w:start w:val="1"/>
      <w:numFmt w:val="decimal"/>
      <w:suff w:val="nothing"/>
      <w:lvlText w:val="%1．"/>
      <w:lvlJc w:val="left"/>
      <w:pPr>
        <w:ind w:left="0" w:firstLine="400"/>
      </w:pPr>
      <w:rPr>
        <w:rFonts w:hint="default"/>
        <w:b/>
        <w:bCs/>
      </w:rPr>
    </w:lvl>
  </w:abstractNum>
  <w:abstractNum w:abstractNumId="29">
    <w:nsid w:val="13480125"/>
    <w:multiLevelType w:val="singleLevel"/>
    <w:tmpl w:val="13480125"/>
    <w:lvl w:ilvl="0" w:tentative="0">
      <w:start w:val="1"/>
      <w:numFmt w:val="decimal"/>
      <w:suff w:val="nothing"/>
      <w:lvlText w:val="%1．"/>
      <w:lvlJc w:val="left"/>
      <w:pPr>
        <w:ind w:left="0" w:firstLine="0"/>
      </w:pPr>
      <w:rPr>
        <w:rFonts w:hint="default"/>
      </w:rPr>
    </w:lvl>
  </w:abstractNum>
  <w:abstractNum w:abstractNumId="30">
    <w:nsid w:val="1EEBCF45"/>
    <w:multiLevelType w:val="singleLevel"/>
    <w:tmpl w:val="1EEBCF45"/>
    <w:lvl w:ilvl="0" w:tentative="0">
      <w:start w:val="1"/>
      <w:numFmt w:val="decimal"/>
      <w:suff w:val="nothing"/>
      <w:lvlText w:val="%1．"/>
      <w:lvlJc w:val="left"/>
      <w:pPr>
        <w:ind w:left="0" w:firstLine="400"/>
      </w:pPr>
      <w:rPr>
        <w:rFonts w:hint="default"/>
        <w:b/>
        <w:bCs/>
      </w:rPr>
    </w:lvl>
  </w:abstractNum>
  <w:abstractNum w:abstractNumId="31">
    <w:nsid w:val="22BB575C"/>
    <w:multiLevelType w:val="singleLevel"/>
    <w:tmpl w:val="22BB575C"/>
    <w:lvl w:ilvl="0" w:tentative="0">
      <w:start w:val="1"/>
      <w:numFmt w:val="decimal"/>
      <w:suff w:val="nothing"/>
      <w:lvlText w:val="%1．"/>
      <w:lvlJc w:val="left"/>
      <w:pPr>
        <w:ind w:left="0" w:firstLine="400"/>
      </w:pPr>
      <w:rPr>
        <w:rFonts w:hint="default"/>
      </w:rPr>
    </w:lvl>
  </w:abstractNum>
  <w:abstractNum w:abstractNumId="32">
    <w:nsid w:val="266C1A6F"/>
    <w:multiLevelType w:val="singleLevel"/>
    <w:tmpl w:val="266C1A6F"/>
    <w:lvl w:ilvl="0" w:tentative="0">
      <w:start w:val="1"/>
      <w:numFmt w:val="decimal"/>
      <w:lvlText w:val="%1)"/>
      <w:lvlJc w:val="left"/>
      <w:pPr>
        <w:tabs>
          <w:tab w:val="left" w:pos="0"/>
        </w:tabs>
        <w:ind w:left="0" w:firstLine="0"/>
      </w:pPr>
      <w:rPr>
        <w:rFonts w:hint="default"/>
        <w:b/>
        <w:bCs/>
      </w:rPr>
    </w:lvl>
  </w:abstractNum>
  <w:abstractNum w:abstractNumId="33">
    <w:nsid w:val="2D1916DD"/>
    <w:multiLevelType w:val="singleLevel"/>
    <w:tmpl w:val="2D1916DD"/>
    <w:lvl w:ilvl="0" w:tentative="0">
      <w:start w:val="1"/>
      <w:numFmt w:val="decimal"/>
      <w:suff w:val="nothing"/>
      <w:lvlText w:val="%1．"/>
      <w:lvlJc w:val="left"/>
      <w:pPr>
        <w:ind w:left="0" w:firstLine="400"/>
      </w:pPr>
      <w:rPr>
        <w:rFonts w:hint="default"/>
        <w:b/>
        <w:bCs/>
      </w:rPr>
    </w:lvl>
  </w:abstractNum>
  <w:abstractNum w:abstractNumId="34">
    <w:nsid w:val="2F43247B"/>
    <w:multiLevelType w:val="singleLevel"/>
    <w:tmpl w:val="2F43247B"/>
    <w:lvl w:ilvl="0" w:tentative="0">
      <w:start w:val="1"/>
      <w:numFmt w:val="decimal"/>
      <w:suff w:val="nothing"/>
      <w:lvlText w:val="%1．"/>
      <w:lvlJc w:val="left"/>
      <w:pPr>
        <w:ind w:left="0" w:firstLine="400"/>
      </w:pPr>
      <w:rPr>
        <w:rFonts w:hint="default"/>
        <w:b/>
        <w:bCs/>
      </w:rPr>
    </w:lvl>
  </w:abstractNum>
  <w:abstractNum w:abstractNumId="35">
    <w:nsid w:val="35E2770C"/>
    <w:multiLevelType w:val="singleLevel"/>
    <w:tmpl w:val="35E2770C"/>
    <w:lvl w:ilvl="0" w:tentative="0">
      <w:start w:val="1"/>
      <w:numFmt w:val="decimal"/>
      <w:lvlText w:val="%1."/>
      <w:lvlJc w:val="left"/>
      <w:pPr>
        <w:ind w:left="425" w:hanging="425"/>
      </w:pPr>
      <w:rPr>
        <w:rFonts w:hint="default"/>
        <w:b/>
        <w:bCs/>
      </w:rPr>
    </w:lvl>
  </w:abstractNum>
  <w:abstractNum w:abstractNumId="36">
    <w:nsid w:val="3B529197"/>
    <w:multiLevelType w:val="singleLevel"/>
    <w:tmpl w:val="3B529197"/>
    <w:lvl w:ilvl="0" w:tentative="0">
      <w:start w:val="1"/>
      <w:numFmt w:val="decimal"/>
      <w:lvlText w:val="%1."/>
      <w:lvlJc w:val="left"/>
      <w:pPr>
        <w:ind w:left="425" w:hanging="425"/>
      </w:pPr>
      <w:rPr>
        <w:rFonts w:hint="default"/>
      </w:rPr>
    </w:lvl>
  </w:abstractNum>
  <w:abstractNum w:abstractNumId="37">
    <w:nsid w:val="44165EA4"/>
    <w:multiLevelType w:val="singleLevel"/>
    <w:tmpl w:val="44165EA4"/>
    <w:lvl w:ilvl="0" w:tentative="0">
      <w:start w:val="1"/>
      <w:numFmt w:val="decimal"/>
      <w:suff w:val="space"/>
      <w:lvlText w:val="3.%1 "/>
      <w:lvlJc w:val="left"/>
      <w:pPr>
        <w:ind w:left="0" w:firstLine="0"/>
      </w:pPr>
      <w:rPr>
        <w:rFonts w:hint="default"/>
        <w:b/>
        <w:bCs/>
      </w:rPr>
    </w:lvl>
  </w:abstractNum>
  <w:abstractNum w:abstractNumId="38">
    <w:nsid w:val="462BE53C"/>
    <w:multiLevelType w:val="singleLevel"/>
    <w:tmpl w:val="462BE53C"/>
    <w:lvl w:ilvl="0" w:tentative="0">
      <w:start w:val="1"/>
      <w:numFmt w:val="decimal"/>
      <w:suff w:val="nothing"/>
      <w:lvlText w:val="%1．"/>
      <w:lvlJc w:val="left"/>
      <w:pPr>
        <w:ind w:left="0" w:firstLine="400"/>
      </w:pPr>
      <w:rPr>
        <w:rFonts w:hint="default"/>
        <w:b/>
        <w:bCs/>
      </w:rPr>
    </w:lvl>
  </w:abstractNum>
  <w:abstractNum w:abstractNumId="39">
    <w:nsid w:val="4D484BCF"/>
    <w:multiLevelType w:val="singleLevel"/>
    <w:tmpl w:val="4D484BCF"/>
    <w:lvl w:ilvl="0" w:tentative="0">
      <w:start w:val="1"/>
      <w:numFmt w:val="decimal"/>
      <w:suff w:val="nothing"/>
      <w:lvlText w:val="%1．"/>
      <w:lvlJc w:val="left"/>
      <w:pPr>
        <w:ind w:left="0" w:firstLine="0"/>
      </w:pPr>
      <w:rPr>
        <w:rFonts w:hint="default"/>
        <w:b/>
        <w:bCs/>
      </w:rPr>
    </w:lvl>
  </w:abstractNum>
  <w:abstractNum w:abstractNumId="40">
    <w:nsid w:val="518CC747"/>
    <w:multiLevelType w:val="singleLevel"/>
    <w:tmpl w:val="518CC747"/>
    <w:lvl w:ilvl="0" w:tentative="0">
      <w:start w:val="1"/>
      <w:numFmt w:val="decimal"/>
      <w:suff w:val="nothing"/>
      <w:lvlText w:val="%1．"/>
      <w:lvlJc w:val="left"/>
      <w:pPr>
        <w:ind w:left="0" w:firstLine="400"/>
      </w:pPr>
      <w:rPr>
        <w:rFonts w:hint="default"/>
      </w:rPr>
    </w:lvl>
  </w:abstractNum>
  <w:abstractNum w:abstractNumId="41">
    <w:nsid w:val="5196ECFF"/>
    <w:multiLevelType w:val="singleLevel"/>
    <w:tmpl w:val="5196ECFF"/>
    <w:lvl w:ilvl="0" w:tentative="0">
      <w:start w:val="1"/>
      <w:numFmt w:val="decimal"/>
      <w:suff w:val="nothing"/>
      <w:lvlText w:val="%1．"/>
      <w:lvlJc w:val="left"/>
      <w:pPr>
        <w:ind w:left="0" w:firstLine="0"/>
      </w:pPr>
      <w:rPr>
        <w:rFonts w:hint="default"/>
        <w:b/>
        <w:bCs/>
      </w:rPr>
    </w:lvl>
  </w:abstractNum>
  <w:abstractNum w:abstractNumId="42">
    <w:nsid w:val="582C4229"/>
    <w:multiLevelType w:val="singleLevel"/>
    <w:tmpl w:val="582C4229"/>
    <w:lvl w:ilvl="0" w:tentative="0">
      <w:start w:val="1"/>
      <w:numFmt w:val="decimal"/>
      <w:suff w:val="nothing"/>
      <w:lvlText w:val="5.%1  "/>
      <w:lvlJc w:val="left"/>
      <w:pPr>
        <w:ind w:left="0" w:firstLine="0"/>
      </w:pPr>
      <w:rPr>
        <w:rFonts w:hint="default"/>
        <w:b/>
        <w:bCs/>
      </w:rPr>
    </w:lvl>
  </w:abstractNum>
  <w:abstractNum w:abstractNumId="43">
    <w:nsid w:val="5851F49A"/>
    <w:multiLevelType w:val="singleLevel"/>
    <w:tmpl w:val="5851F49A"/>
    <w:lvl w:ilvl="0" w:tentative="0">
      <w:start w:val="1"/>
      <w:numFmt w:val="decimal"/>
      <w:suff w:val="space"/>
      <w:lvlText w:val="%1)"/>
      <w:lvlJc w:val="left"/>
      <w:pPr>
        <w:ind w:left="0" w:firstLine="0"/>
      </w:pPr>
      <w:rPr>
        <w:rFonts w:hint="default"/>
        <w:b/>
        <w:bCs/>
      </w:rPr>
    </w:lvl>
  </w:abstractNum>
  <w:abstractNum w:abstractNumId="44">
    <w:nsid w:val="61140432"/>
    <w:multiLevelType w:val="singleLevel"/>
    <w:tmpl w:val="61140432"/>
    <w:lvl w:ilvl="0" w:tentative="0">
      <w:start w:val="1"/>
      <w:numFmt w:val="decimal"/>
      <w:suff w:val="nothing"/>
      <w:lvlText w:val="%1．"/>
      <w:lvlJc w:val="left"/>
      <w:pPr>
        <w:ind w:left="0" w:firstLine="400"/>
      </w:pPr>
      <w:rPr>
        <w:rFonts w:hint="default"/>
        <w:b/>
        <w:bCs/>
      </w:rPr>
    </w:lvl>
  </w:abstractNum>
  <w:abstractNum w:abstractNumId="45">
    <w:nsid w:val="627B6D56"/>
    <w:multiLevelType w:val="singleLevel"/>
    <w:tmpl w:val="627B6D56"/>
    <w:lvl w:ilvl="0" w:tentative="0">
      <w:start w:val="1"/>
      <w:numFmt w:val="decimal"/>
      <w:suff w:val="nothing"/>
      <w:lvlText w:val="%1．"/>
      <w:lvlJc w:val="left"/>
      <w:pPr>
        <w:ind w:left="0" w:firstLine="400"/>
      </w:pPr>
      <w:rPr>
        <w:rFonts w:hint="default"/>
      </w:rPr>
    </w:lvl>
  </w:abstractNum>
  <w:abstractNum w:abstractNumId="46">
    <w:nsid w:val="658E3CD4"/>
    <w:multiLevelType w:val="singleLevel"/>
    <w:tmpl w:val="658E3CD4"/>
    <w:lvl w:ilvl="0" w:tentative="0">
      <w:start w:val="1"/>
      <w:numFmt w:val="decimal"/>
      <w:lvlText w:val="%1."/>
      <w:lvlJc w:val="left"/>
      <w:pPr>
        <w:tabs>
          <w:tab w:val="left" w:pos="312"/>
        </w:tabs>
      </w:pPr>
    </w:lvl>
  </w:abstractNum>
  <w:abstractNum w:abstractNumId="47">
    <w:nsid w:val="719CDB52"/>
    <w:multiLevelType w:val="singleLevel"/>
    <w:tmpl w:val="719CDB52"/>
    <w:lvl w:ilvl="0" w:tentative="0">
      <w:start w:val="1"/>
      <w:numFmt w:val="decimal"/>
      <w:suff w:val="nothing"/>
      <w:lvlText w:val="%1．"/>
      <w:lvlJc w:val="left"/>
      <w:pPr>
        <w:ind w:left="0" w:firstLine="400"/>
      </w:pPr>
      <w:rPr>
        <w:rFonts w:hint="default"/>
      </w:rPr>
    </w:lvl>
  </w:abstractNum>
  <w:abstractNum w:abstractNumId="48">
    <w:nsid w:val="7BE47D59"/>
    <w:multiLevelType w:val="singleLevel"/>
    <w:tmpl w:val="7BE47D59"/>
    <w:lvl w:ilvl="0" w:tentative="0">
      <w:start w:val="1"/>
      <w:numFmt w:val="decimal"/>
      <w:suff w:val="nothing"/>
      <w:lvlText w:val="%1．"/>
      <w:lvlJc w:val="left"/>
      <w:pPr>
        <w:ind w:left="0" w:firstLine="0"/>
      </w:pPr>
      <w:rPr>
        <w:rFonts w:hint="default"/>
        <w:b/>
        <w:bCs/>
      </w:rPr>
    </w:lvl>
  </w:abstractNum>
  <w:num w:numId="1">
    <w:abstractNumId w:val="5"/>
  </w:num>
  <w:num w:numId="2">
    <w:abstractNumId w:val="1"/>
  </w:num>
  <w:num w:numId="3">
    <w:abstractNumId w:val="17"/>
  </w:num>
  <w:num w:numId="4">
    <w:abstractNumId w:val="10"/>
  </w:num>
  <w:num w:numId="5">
    <w:abstractNumId w:val="23"/>
  </w:num>
  <w:num w:numId="6">
    <w:abstractNumId w:val="44"/>
  </w:num>
  <w:num w:numId="7">
    <w:abstractNumId w:val="7"/>
  </w:num>
  <w:num w:numId="8">
    <w:abstractNumId w:val="28"/>
  </w:num>
  <w:num w:numId="9">
    <w:abstractNumId w:val="41"/>
  </w:num>
  <w:num w:numId="10">
    <w:abstractNumId w:val="30"/>
  </w:num>
  <w:num w:numId="11">
    <w:abstractNumId w:val="39"/>
  </w:num>
  <w:num w:numId="12">
    <w:abstractNumId w:val="38"/>
  </w:num>
  <w:num w:numId="13">
    <w:abstractNumId w:val="29"/>
  </w:num>
  <w:num w:numId="14">
    <w:abstractNumId w:val="48"/>
  </w:num>
  <w:num w:numId="15">
    <w:abstractNumId w:val="35"/>
  </w:num>
  <w:num w:numId="16">
    <w:abstractNumId w:val="16"/>
  </w:num>
  <w:num w:numId="17">
    <w:abstractNumId w:val="34"/>
  </w:num>
  <w:num w:numId="18">
    <w:abstractNumId w:val="9"/>
  </w:num>
  <w:num w:numId="19">
    <w:abstractNumId w:val="25"/>
  </w:num>
  <w:num w:numId="20">
    <w:abstractNumId w:val="15"/>
  </w:num>
  <w:num w:numId="21">
    <w:abstractNumId w:val="36"/>
  </w:num>
  <w:num w:numId="22">
    <w:abstractNumId w:val="14"/>
  </w:num>
  <w:num w:numId="23">
    <w:abstractNumId w:val="37"/>
  </w:num>
  <w:num w:numId="24">
    <w:abstractNumId w:val="43"/>
  </w:num>
  <w:num w:numId="25">
    <w:abstractNumId w:val="32"/>
  </w:num>
  <w:num w:numId="26">
    <w:abstractNumId w:val="4"/>
  </w:num>
  <w:num w:numId="27">
    <w:abstractNumId w:val="42"/>
  </w:num>
  <w:num w:numId="28">
    <w:abstractNumId w:val="13"/>
  </w:num>
  <w:num w:numId="29">
    <w:abstractNumId w:val="26"/>
  </w:num>
  <w:num w:numId="30">
    <w:abstractNumId w:val="33"/>
  </w:num>
  <w:num w:numId="31">
    <w:abstractNumId w:val="18"/>
  </w:num>
  <w:num w:numId="32">
    <w:abstractNumId w:val="8"/>
  </w:num>
  <w:num w:numId="33">
    <w:abstractNumId w:val="24"/>
  </w:num>
  <w:num w:numId="34">
    <w:abstractNumId w:val="46"/>
  </w:num>
  <w:num w:numId="35">
    <w:abstractNumId w:val="2"/>
  </w:num>
  <w:num w:numId="36">
    <w:abstractNumId w:val="27"/>
  </w:num>
  <w:num w:numId="37">
    <w:abstractNumId w:val="20"/>
  </w:num>
  <w:num w:numId="38">
    <w:abstractNumId w:val="11"/>
  </w:num>
  <w:num w:numId="39">
    <w:abstractNumId w:val="40"/>
  </w:num>
  <w:num w:numId="40">
    <w:abstractNumId w:val="22"/>
  </w:num>
  <w:num w:numId="41">
    <w:abstractNumId w:val="0"/>
  </w:num>
  <w:num w:numId="42">
    <w:abstractNumId w:val="6"/>
  </w:num>
  <w:num w:numId="43">
    <w:abstractNumId w:val="3"/>
  </w:num>
  <w:num w:numId="44">
    <w:abstractNumId w:val="45"/>
  </w:num>
  <w:num w:numId="45">
    <w:abstractNumId w:val="19"/>
  </w:num>
  <w:num w:numId="46">
    <w:abstractNumId w:val="31"/>
  </w:num>
  <w:num w:numId="47">
    <w:abstractNumId w:val="21"/>
  </w:num>
  <w:num w:numId="48">
    <w:abstractNumId w:val="4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forms" w:enforcement="1" w:cryptProviderType="rsaFull" w:cryptAlgorithmClass="hash" w:cryptAlgorithmType="typeAny" w:cryptAlgorithmSid="4" w:cryptSpinCount="0" w:hash="z2Avi2du/kyZf+rmubByQpkw7UA=" w:salt="paInGqF58MuQnjEpZ1YnoA=="/>
  <w:defaultTabStop w:val="420"/>
  <w:drawingGridHorizontalSpacing w:val="105"/>
  <w:drawingGridVerticalSpacing w:val="156"/>
  <w:displayHorizontalDrawingGridEvery w:val="1"/>
  <w:displayVerticalDrawingGridEvery w:val="1"/>
  <w:noPunctuationKerning w:val="1"/>
  <w:characterSpacingControl w:val="compressPunctuation"/>
  <w:endnotePr>
    <w:pos w:val="sectEnd"/>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jkzNmEwOTIzYjA1MmFlNzkyOTJhMjRlZmI2MDAifQ=="/>
  </w:docVars>
  <w:rsids>
    <w:rsidRoot w:val="439B00CF"/>
    <w:rsid w:val="00000672"/>
    <w:rsid w:val="00001799"/>
    <w:rsid w:val="00002D29"/>
    <w:rsid w:val="000040C5"/>
    <w:rsid w:val="00005E55"/>
    <w:rsid w:val="00005FDF"/>
    <w:rsid w:val="00006586"/>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107"/>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3918"/>
    <w:rsid w:val="00104897"/>
    <w:rsid w:val="00104EDE"/>
    <w:rsid w:val="00106BEE"/>
    <w:rsid w:val="00113134"/>
    <w:rsid w:val="00113AC0"/>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540E"/>
    <w:rsid w:val="001D58A1"/>
    <w:rsid w:val="001D5A8A"/>
    <w:rsid w:val="001D735E"/>
    <w:rsid w:val="001D73C8"/>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6DEF"/>
    <w:rsid w:val="002A7411"/>
    <w:rsid w:val="002A7C24"/>
    <w:rsid w:val="002B013E"/>
    <w:rsid w:val="002B058D"/>
    <w:rsid w:val="002B0C16"/>
    <w:rsid w:val="002B169E"/>
    <w:rsid w:val="002B2621"/>
    <w:rsid w:val="002B2AC5"/>
    <w:rsid w:val="002B3528"/>
    <w:rsid w:val="002B3539"/>
    <w:rsid w:val="002C0C1C"/>
    <w:rsid w:val="002C184E"/>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3105"/>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31A48"/>
    <w:rsid w:val="003330C9"/>
    <w:rsid w:val="0033364C"/>
    <w:rsid w:val="00334415"/>
    <w:rsid w:val="0033691E"/>
    <w:rsid w:val="00336CCB"/>
    <w:rsid w:val="00337F44"/>
    <w:rsid w:val="003400F3"/>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2332"/>
    <w:rsid w:val="004025C2"/>
    <w:rsid w:val="00403E55"/>
    <w:rsid w:val="00404681"/>
    <w:rsid w:val="0040496D"/>
    <w:rsid w:val="00405010"/>
    <w:rsid w:val="0040595A"/>
    <w:rsid w:val="00406923"/>
    <w:rsid w:val="0040713A"/>
    <w:rsid w:val="0040763D"/>
    <w:rsid w:val="004105B0"/>
    <w:rsid w:val="004133A8"/>
    <w:rsid w:val="00413821"/>
    <w:rsid w:val="00413D43"/>
    <w:rsid w:val="004141A3"/>
    <w:rsid w:val="00414909"/>
    <w:rsid w:val="00416112"/>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65A8"/>
    <w:rsid w:val="004C786C"/>
    <w:rsid w:val="004C7963"/>
    <w:rsid w:val="004D2F63"/>
    <w:rsid w:val="004D35BA"/>
    <w:rsid w:val="004D4701"/>
    <w:rsid w:val="004D47C7"/>
    <w:rsid w:val="004D618D"/>
    <w:rsid w:val="004D62A9"/>
    <w:rsid w:val="004D6FC3"/>
    <w:rsid w:val="004D7476"/>
    <w:rsid w:val="004E0306"/>
    <w:rsid w:val="004E0572"/>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3FFD"/>
    <w:rsid w:val="005677CE"/>
    <w:rsid w:val="00567B5D"/>
    <w:rsid w:val="00573733"/>
    <w:rsid w:val="00574554"/>
    <w:rsid w:val="00576089"/>
    <w:rsid w:val="005764B1"/>
    <w:rsid w:val="00576A56"/>
    <w:rsid w:val="00576D06"/>
    <w:rsid w:val="005779E4"/>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DE0"/>
    <w:rsid w:val="006B7D5F"/>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2574"/>
    <w:rsid w:val="006F3231"/>
    <w:rsid w:val="006F3DE3"/>
    <w:rsid w:val="006F511F"/>
    <w:rsid w:val="006F61D8"/>
    <w:rsid w:val="006F62B7"/>
    <w:rsid w:val="006F70BC"/>
    <w:rsid w:val="006F713A"/>
    <w:rsid w:val="006F76BF"/>
    <w:rsid w:val="007066A4"/>
    <w:rsid w:val="00706F37"/>
    <w:rsid w:val="0071209F"/>
    <w:rsid w:val="007125A2"/>
    <w:rsid w:val="00713F79"/>
    <w:rsid w:val="007148A8"/>
    <w:rsid w:val="0071706F"/>
    <w:rsid w:val="007171E0"/>
    <w:rsid w:val="0072033C"/>
    <w:rsid w:val="00720B1B"/>
    <w:rsid w:val="00721062"/>
    <w:rsid w:val="00721E5D"/>
    <w:rsid w:val="007229D4"/>
    <w:rsid w:val="007230F8"/>
    <w:rsid w:val="007233F4"/>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D19"/>
    <w:rsid w:val="007D5FDC"/>
    <w:rsid w:val="007D6D68"/>
    <w:rsid w:val="007E1603"/>
    <w:rsid w:val="007E32DA"/>
    <w:rsid w:val="007E3A4D"/>
    <w:rsid w:val="007E4998"/>
    <w:rsid w:val="007E4A9C"/>
    <w:rsid w:val="007E6914"/>
    <w:rsid w:val="007E7F78"/>
    <w:rsid w:val="007F1D44"/>
    <w:rsid w:val="007F2C13"/>
    <w:rsid w:val="007F2CEC"/>
    <w:rsid w:val="007F55DE"/>
    <w:rsid w:val="007F5605"/>
    <w:rsid w:val="007F6147"/>
    <w:rsid w:val="007F78FF"/>
    <w:rsid w:val="00800F6C"/>
    <w:rsid w:val="008025BE"/>
    <w:rsid w:val="00802DB0"/>
    <w:rsid w:val="008051FC"/>
    <w:rsid w:val="008055A9"/>
    <w:rsid w:val="008070EB"/>
    <w:rsid w:val="00810E8E"/>
    <w:rsid w:val="00812462"/>
    <w:rsid w:val="0081481D"/>
    <w:rsid w:val="00814BE8"/>
    <w:rsid w:val="00814F6E"/>
    <w:rsid w:val="00815B84"/>
    <w:rsid w:val="00821A3D"/>
    <w:rsid w:val="00822037"/>
    <w:rsid w:val="008228AE"/>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2118"/>
    <w:rsid w:val="00872827"/>
    <w:rsid w:val="00872A32"/>
    <w:rsid w:val="0087537A"/>
    <w:rsid w:val="00876EAE"/>
    <w:rsid w:val="00880F95"/>
    <w:rsid w:val="00882B44"/>
    <w:rsid w:val="00882FE5"/>
    <w:rsid w:val="00886138"/>
    <w:rsid w:val="00886E66"/>
    <w:rsid w:val="008871B0"/>
    <w:rsid w:val="0089217C"/>
    <w:rsid w:val="00893671"/>
    <w:rsid w:val="00894A4F"/>
    <w:rsid w:val="00895838"/>
    <w:rsid w:val="00895A72"/>
    <w:rsid w:val="00895CDF"/>
    <w:rsid w:val="00897A55"/>
    <w:rsid w:val="008A0FC9"/>
    <w:rsid w:val="008A1956"/>
    <w:rsid w:val="008A40D3"/>
    <w:rsid w:val="008A469C"/>
    <w:rsid w:val="008A484A"/>
    <w:rsid w:val="008A5877"/>
    <w:rsid w:val="008A6539"/>
    <w:rsid w:val="008B05DD"/>
    <w:rsid w:val="008B17E8"/>
    <w:rsid w:val="008B2D03"/>
    <w:rsid w:val="008B2E7C"/>
    <w:rsid w:val="008B45A7"/>
    <w:rsid w:val="008B4A70"/>
    <w:rsid w:val="008B502F"/>
    <w:rsid w:val="008B7034"/>
    <w:rsid w:val="008B7227"/>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59A3"/>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33A6"/>
    <w:rsid w:val="00AE3715"/>
    <w:rsid w:val="00AE3729"/>
    <w:rsid w:val="00AE55B2"/>
    <w:rsid w:val="00AE5C6A"/>
    <w:rsid w:val="00AE65F7"/>
    <w:rsid w:val="00AE7280"/>
    <w:rsid w:val="00AF033A"/>
    <w:rsid w:val="00AF1699"/>
    <w:rsid w:val="00AF3896"/>
    <w:rsid w:val="00AF61A4"/>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F18"/>
    <w:rsid w:val="00B21516"/>
    <w:rsid w:val="00B22CE0"/>
    <w:rsid w:val="00B23738"/>
    <w:rsid w:val="00B23BEF"/>
    <w:rsid w:val="00B247BB"/>
    <w:rsid w:val="00B25C11"/>
    <w:rsid w:val="00B25EDF"/>
    <w:rsid w:val="00B25EE6"/>
    <w:rsid w:val="00B3115A"/>
    <w:rsid w:val="00B31A5C"/>
    <w:rsid w:val="00B33C19"/>
    <w:rsid w:val="00B34861"/>
    <w:rsid w:val="00B369F7"/>
    <w:rsid w:val="00B36A99"/>
    <w:rsid w:val="00B42980"/>
    <w:rsid w:val="00B434B2"/>
    <w:rsid w:val="00B434C7"/>
    <w:rsid w:val="00B439A7"/>
    <w:rsid w:val="00B43D45"/>
    <w:rsid w:val="00B468F2"/>
    <w:rsid w:val="00B46B45"/>
    <w:rsid w:val="00B47286"/>
    <w:rsid w:val="00B47894"/>
    <w:rsid w:val="00B50234"/>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7E3B"/>
    <w:rsid w:val="00BB079C"/>
    <w:rsid w:val="00BB39C1"/>
    <w:rsid w:val="00BB5D16"/>
    <w:rsid w:val="00BB6180"/>
    <w:rsid w:val="00BB69E6"/>
    <w:rsid w:val="00BC1B7A"/>
    <w:rsid w:val="00BC2BC7"/>
    <w:rsid w:val="00BC2C17"/>
    <w:rsid w:val="00BC3ACD"/>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58AF"/>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3ADA"/>
    <w:rsid w:val="00C44F9C"/>
    <w:rsid w:val="00C4730E"/>
    <w:rsid w:val="00C5019C"/>
    <w:rsid w:val="00C5034F"/>
    <w:rsid w:val="00C52479"/>
    <w:rsid w:val="00C52C59"/>
    <w:rsid w:val="00C5349E"/>
    <w:rsid w:val="00C54467"/>
    <w:rsid w:val="00C54D3D"/>
    <w:rsid w:val="00C55A30"/>
    <w:rsid w:val="00C56E4C"/>
    <w:rsid w:val="00C6028F"/>
    <w:rsid w:val="00C608F1"/>
    <w:rsid w:val="00C631E1"/>
    <w:rsid w:val="00C638D8"/>
    <w:rsid w:val="00C63D26"/>
    <w:rsid w:val="00C641EB"/>
    <w:rsid w:val="00C65053"/>
    <w:rsid w:val="00C66F69"/>
    <w:rsid w:val="00C67223"/>
    <w:rsid w:val="00C67CFF"/>
    <w:rsid w:val="00C707B8"/>
    <w:rsid w:val="00C71C15"/>
    <w:rsid w:val="00C71F3D"/>
    <w:rsid w:val="00C72F53"/>
    <w:rsid w:val="00C74035"/>
    <w:rsid w:val="00C76870"/>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A5C53"/>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03F2"/>
    <w:rsid w:val="00DD132B"/>
    <w:rsid w:val="00DD1725"/>
    <w:rsid w:val="00DD2A18"/>
    <w:rsid w:val="00DD5B1A"/>
    <w:rsid w:val="00DD61E8"/>
    <w:rsid w:val="00DD62C0"/>
    <w:rsid w:val="00DD7859"/>
    <w:rsid w:val="00DE03AC"/>
    <w:rsid w:val="00DE0A1D"/>
    <w:rsid w:val="00DE15B2"/>
    <w:rsid w:val="00DE1A9A"/>
    <w:rsid w:val="00DE3D2C"/>
    <w:rsid w:val="00DE5E82"/>
    <w:rsid w:val="00DE5FA6"/>
    <w:rsid w:val="00DE637B"/>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10B87"/>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7577"/>
    <w:rsid w:val="00E62043"/>
    <w:rsid w:val="00E626B9"/>
    <w:rsid w:val="00E627C9"/>
    <w:rsid w:val="00E630F3"/>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18F6"/>
    <w:rsid w:val="00FB2A52"/>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3A41"/>
    <w:rsid w:val="00FF3E5B"/>
    <w:rsid w:val="00FF544F"/>
    <w:rsid w:val="00FF57E4"/>
    <w:rsid w:val="00FF78E5"/>
    <w:rsid w:val="02196466"/>
    <w:rsid w:val="023130A1"/>
    <w:rsid w:val="02511F9D"/>
    <w:rsid w:val="0279355C"/>
    <w:rsid w:val="02992F24"/>
    <w:rsid w:val="02BD78CB"/>
    <w:rsid w:val="03A314B8"/>
    <w:rsid w:val="03D82B98"/>
    <w:rsid w:val="03F83E8B"/>
    <w:rsid w:val="040F104D"/>
    <w:rsid w:val="042B14F5"/>
    <w:rsid w:val="056A7B0A"/>
    <w:rsid w:val="06085010"/>
    <w:rsid w:val="064E336B"/>
    <w:rsid w:val="067A5BC3"/>
    <w:rsid w:val="07B72767"/>
    <w:rsid w:val="08077E72"/>
    <w:rsid w:val="087E4E62"/>
    <w:rsid w:val="088F5575"/>
    <w:rsid w:val="09C8345A"/>
    <w:rsid w:val="09CC2AAC"/>
    <w:rsid w:val="09F75AC8"/>
    <w:rsid w:val="0A652D3E"/>
    <w:rsid w:val="0B952F4D"/>
    <w:rsid w:val="0BB84DE3"/>
    <w:rsid w:val="0C4B1266"/>
    <w:rsid w:val="0C5B757D"/>
    <w:rsid w:val="0C92213C"/>
    <w:rsid w:val="0CB87790"/>
    <w:rsid w:val="0D84032B"/>
    <w:rsid w:val="0DA6775A"/>
    <w:rsid w:val="0DCF3BED"/>
    <w:rsid w:val="0E362232"/>
    <w:rsid w:val="0E6D2010"/>
    <w:rsid w:val="0E8F4A99"/>
    <w:rsid w:val="0FBD51C1"/>
    <w:rsid w:val="10A27F31"/>
    <w:rsid w:val="11600DF3"/>
    <w:rsid w:val="11927058"/>
    <w:rsid w:val="11C55126"/>
    <w:rsid w:val="1393060F"/>
    <w:rsid w:val="13AF4F03"/>
    <w:rsid w:val="13E34F3C"/>
    <w:rsid w:val="14730710"/>
    <w:rsid w:val="14732997"/>
    <w:rsid w:val="14736E66"/>
    <w:rsid w:val="1534169A"/>
    <w:rsid w:val="154420C7"/>
    <w:rsid w:val="1549430F"/>
    <w:rsid w:val="154B7C22"/>
    <w:rsid w:val="15AC59B8"/>
    <w:rsid w:val="15BD329C"/>
    <w:rsid w:val="15C03E03"/>
    <w:rsid w:val="160C351A"/>
    <w:rsid w:val="162A25EB"/>
    <w:rsid w:val="16FD2A55"/>
    <w:rsid w:val="172F74F9"/>
    <w:rsid w:val="17366761"/>
    <w:rsid w:val="1740122F"/>
    <w:rsid w:val="177C01F0"/>
    <w:rsid w:val="17895B0B"/>
    <w:rsid w:val="17CE6630"/>
    <w:rsid w:val="17F92A0B"/>
    <w:rsid w:val="18562EDA"/>
    <w:rsid w:val="185F72FE"/>
    <w:rsid w:val="18B42041"/>
    <w:rsid w:val="18CC7416"/>
    <w:rsid w:val="18E04375"/>
    <w:rsid w:val="1AD80FFE"/>
    <w:rsid w:val="1AFA16D5"/>
    <w:rsid w:val="1B4F19F8"/>
    <w:rsid w:val="1BE43703"/>
    <w:rsid w:val="1BEE6D2B"/>
    <w:rsid w:val="1C5170A2"/>
    <w:rsid w:val="1C584C30"/>
    <w:rsid w:val="1CE85C6D"/>
    <w:rsid w:val="1D1671E6"/>
    <w:rsid w:val="1DFE6FCD"/>
    <w:rsid w:val="1E120287"/>
    <w:rsid w:val="1F063325"/>
    <w:rsid w:val="1F2B7751"/>
    <w:rsid w:val="1FBC5DF5"/>
    <w:rsid w:val="204A5866"/>
    <w:rsid w:val="20FC3C98"/>
    <w:rsid w:val="210A4D65"/>
    <w:rsid w:val="21380A48"/>
    <w:rsid w:val="216C7802"/>
    <w:rsid w:val="21B83F86"/>
    <w:rsid w:val="221178A8"/>
    <w:rsid w:val="221213CF"/>
    <w:rsid w:val="22327A92"/>
    <w:rsid w:val="22AB7FB1"/>
    <w:rsid w:val="231D53A2"/>
    <w:rsid w:val="2331282E"/>
    <w:rsid w:val="234731C4"/>
    <w:rsid w:val="23735E7A"/>
    <w:rsid w:val="23826D49"/>
    <w:rsid w:val="23B7504C"/>
    <w:rsid w:val="245560D5"/>
    <w:rsid w:val="24571307"/>
    <w:rsid w:val="249A05B0"/>
    <w:rsid w:val="24B6412C"/>
    <w:rsid w:val="2536704D"/>
    <w:rsid w:val="26446DE3"/>
    <w:rsid w:val="26D7699F"/>
    <w:rsid w:val="27230897"/>
    <w:rsid w:val="27376525"/>
    <w:rsid w:val="277327DA"/>
    <w:rsid w:val="2783343B"/>
    <w:rsid w:val="27F356C9"/>
    <w:rsid w:val="28940C5A"/>
    <w:rsid w:val="28D2370F"/>
    <w:rsid w:val="29874D52"/>
    <w:rsid w:val="29A30A29"/>
    <w:rsid w:val="29BA649E"/>
    <w:rsid w:val="29DB7BCB"/>
    <w:rsid w:val="2ADE0092"/>
    <w:rsid w:val="2B774624"/>
    <w:rsid w:val="2BB46F1D"/>
    <w:rsid w:val="2BC76C50"/>
    <w:rsid w:val="2C543180"/>
    <w:rsid w:val="2C7A72BE"/>
    <w:rsid w:val="2C8E5424"/>
    <w:rsid w:val="2D522E91"/>
    <w:rsid w:val="2DC41D6C"/>
    <w:rsid w:val="2E88379F"/>
    <w:rsid w:val="2F394BB0"/>
    <w:rsid w:val="2F401D3C"/>
    <w:rsid w:val="2FA95C88"/>
    <w:rsid w:val="30321B4C"/>
    <w:rsid w:val="3041370F"/>
    <w:rsid w:val="30905AF8"/>
    <w:rsid w:val="312176A6"/>
    <w:rsid w:val="32453A27"/>
    <w:rsid w:val="3263064A"/>
    <w:rsid w:val="32675E48"/>
    <w:rsid w:val="32737DF0"/>
    <w:rsid w:val="32AC0C06"/>
    <w:rsid w:val="32F01183"/>
    <w:rsid w:val="33E10ACB"/>
    <w:rsid w:val="3537750C"/>
    <w:rsid w:val="3537798C"/>
    <w:rsid w:val="35441312"/>
    <w:rsid w:val="35A80F9F"/>
    <w:rsid w:val="35C13FC9"/>
    <w:rsid w:val="364257B6"/>
    <w:rsid w:val="36BC44FE"/>
    <w:rsid w:val="36F8354A"/>
    <w:rsid w:val="374264D3"/>
    <w:rsid w:val="37515F68"/>
    <w:rsid w:val="37CD3E53"/>
    <w:rsid w:val="37DB7874"/>
    <w:rsid w:val="37E03EF1"/>
    <w:rsid w:val="37E162FD"/>
    <w:rsid w:val="37EA5922"/>
    <w:rsid w:val="38276B93"/>
    <w:rsid w:val="3846200D"/>
    <w:rsid w:val="38485512"/>
    <w:rsid w:val="39224083"/>
    <w:rsid w:val="3A0B64A7"/>
    <w:rsid w:val="3A405D74"/>
    <w:rsid w:val="3A574B51"/>
    <w:rsid w:val="3ADB7E48"/>
    <w:rsid w:val="3AF74C02"/>
    <w:rsid w:val="3B920265"/>
    <w:rsid w:val="3C0059A5"/>
    <w:rsid w:val="3C134E78"/>
    <w:rsid w:val="3C2F30FE"/>
    <w:rsid w:val="3C794420"/>
    <w:rsid w:val="3C8B4FD4"/>
    <w:rsid w:val="3CA71399"/>
    <w:rsid w:val="3D1E069A"/>
    <w:rsid w:val="3DF6345D"/>
    <w:rsid w:val="3DFE556D"/>
    <w:rsid w:val="3E275757"/>
    <w:rsid w:val="3E2938F6"/>
    <w:rsid w:val="3E391C63"/>
    <w:rsid w:val="3E9522AF"/>
    <w:rsid w:val="3EE13701"/>
    <w:rsid w:val="3EE25B4D"/>
    <w:rsid w:val="3F1A4BB3"/>
    <w:rsid w:val="3F4A00E7"/>
    <w:rsid w:val="3F662BA7"/>
    <w:rsid w:val="3F980BD8"/>
    <w:rsid w:val="40192BA6"/>
    <w:rsid w:val="403B2319"/>
    <w:rsid w:val="4101356D"/>
    <w:rsid w:val="414A7B75"/>
    <w:rsid w:val="416E27E2"/>
    <w:rsid w:val="41E50A9E"/>
    <w:rsid w:val="42550A18"/>
    <w:rsid w:val="42F473A1"/>
    <w:rsid w:val="430A2910"/>
    <w:rsid w:val="432A5FEB"/>
    <w:rsid w:val="435D2547"/>
    <w:rsid w:val="439B00CF"/>
    <w:rsid w:val="440F51E1"/>
    <w:rsid w:val="441E62C0"/>
    <w:rsid w:val="44E646CD"/>
    <w:rsid w:val="45811C7C"/>
    <w:rsid w:val="4585575A"/>
    <w:rsid w:val="458D2909"/>
    <w:rsid w:val="45B6553D"/>
    <w:rsid w:val="468B3EFB"/>
    <w:rsid w:val="470222C6"/>
    <w:rsid w:val="470A6193"/>
    <w:rsid w:val="47DC4F5C"/>
    <w:rsid w:val="48B40671"/>
    <w:rsid w:val="48C7227B"/>
    <w:rsid w:val="498A525B"/>
    <w:rsid w:val="499B5738"/>
    <w:rsid w:val="499F244D"/>
    <w:rsid w:val="49F90166"/>
    <w:rsid w:val="4A8F58C2"/>
    <w:rsid w:val="4ACE4B26"/>
    <w:rsid w:val="4AF96BC7"/>
    <w:rsid w:val="4C0863F8"/>
    <w:rsid w:val="4C5D7066"/>
    <w:rsid w:val="4C8D60F8"/>
    <w:rsid w:val="4C9B362A"/>
    <w:rsid w:val="4CAA4AD7"/>
    <w:rsid w:val="4CEF36E2"/>
    <w:rsid w:val="4F372FFB"/>
    <w:rsid w:val="4F5F6DCE"/>
    <w:rsid w:val="4FBA6948"/>
    <w:rsid w:val="4FDA42FE"/>
    <w:rsid w:val="511413E7"/>
    <w:rsid w:val="516D2BB3"/>
    <w:rsid w:val="52755CCA"/>
    <w:rsid w:val="52C10D75"/>
    <w:rsid w:val="53025C2A"/>
    <w:rsid w:val="53C9715A"/>
    <w:rsid w:val="53E748B1"/>
    <w:rsid w:val="54373652"/>
    <w:rsid w:val="54D73AF9"/>
    <w:rsid w:val="54E82062"/>
    <w:rsid w:val="54F249CF"/>
    <w:rsid w:val="54FD410E"/>
    <w:rsid w:val="550C4BD7"/>
    <w:rsid w:val="55374027"/>
    <w:rsid w:val="55572986"/>
    <w:rsid w:val="556B7437"/>
    <w:rsid w:val="55FB15FA"/>
    <w:rsid w:val="563D5BDD"/>
    <w:rsid w:val="565C2507"/>
    <w:rsid w:val="57062473"/>
    <w:rsid w:val="57095BEF"/>
    <w:rsid w:val="570D7FA7"/>
    <w:rsid w:val="57E37595"/>
    <w:rsid w:val="59194579"/>
    <w:rsid w:val="59254E33"/>
    <w:rsid w:val="5941175E"/>
    <w:rsid w:val="597136B9"/>
    <w:rsid w:val="59EF20E2"/>
    <w:rsid w:val="5CF51716"/>
    <w:rsid w:val="5DA75754"/>
    <w:rsid w:val="5E7238A6"/>
    <w:rsid w:val="5ED82947"/>
    <w:rsid w:val="5F374F04"/>
    <w:rsid w:val="60514A9F"/>
    <w:rsid w:val="606007BB"/>
    <w:rsid w:val="60AC7F66"/>
    <w:rsid w:val="615C160D"/>
    <w:rsid w:val="618835DC"/>
    <w:rsid w:val="61BF10D9"/>
    <w:rsid w:val="61C34C22"/>
    <w:rsid w:val="62482834"/>
    <w:rsid w:val="63212B0F"/>
    <w:rsid w:val="63D46A4D"/>
    <w:rsid w:val="64BB5C75"/>
    <w:rsid w:val="64E45EF7"/>
    <w:rsid w:val="651647CC"/>
    <w:rsid w:val="677435B2"/>
    <w:rsid w:val="67C97CBC"/>
    <w:rsid w:val="67EF75F1"/>
    <w:rsid w:val="69044171"/>
    <w:rsid w:val="69124F16"/>
    <w:rsid w:val="692F7608"/>
    <w:rsid w:val="694F2F00"/>
    <w:rsid w:val="69CD5C14"/>
    <w:rsid w:val="69CF0D33"/>
    <w:rsid w:val="6B782A95"/>
    <w:rsid w:val="6B9946B3"/>
    <w:rsid w:val="6BFA3EFD"/>
    <w:rsid w:val="6C562512"/>
    <w:rsid w:val="6CF216B5"/>
    <w:rsid w:val="6D6D71F1"/>
    <w:rsid w:val="6D790FE7"/>
    <w:rsid w:val="6DE76850"/>
    <w:rsid w:val="6DFC690B"/>
    <w:rsid w:val="6EA36F64"/>
    <w:rsid w:val="6FAD1286"/>
    <w:rsid w:val="6FB20BD4"/>
    <w:rsid w:val="6FBA4D81"/>
    <w:rsid w:val="6FBA59BE"/>
    <w:rsid w:val="70296B3E"/>
    <w:rsid w:val="70611204"/>
    <w:rsid w:val="70A63D48"/>
    <w:rsid w:val="70C64CF5"/>
    <w:rsid w:val="718A76FC"/>
    <w:rsid w:val="72FE667A"/>
    <w:rsid w:val="735B7F50"/>
    <w:rsid w:val="748C0004"/>
    <w:rsid w:val="74FA2C30"/>
    <w:rsid w:val="75D125F3"/>
    <w:rsid w:val="75D93CF1"/>
    <w:rsid w:val="775C1F10"/>
    <w:rsid w:val="781E69D1"/>
    <w:rsid w:val="78A13DC1"/>
    <w:rsid w:val="78A7541C"/>
    <w:rsid w:val="78A779BD"/>
    <w:rsid w:val="78C2488F"/>
    <w:rsid w:val="799314ED"/>
    <w:rsid w:val="7A060759"/>
    <w:rsid w:val="7A19445A"/>
    <w:rsid w:val="7A5173D7"/>
    <w:rsid w:val="7AF46346"/>
    <w:rsid w:val="7B0F5EBF"/>
    <w:rsid w:val="7B130FB9"/>
    <w:rsid w:val="7BF64EDE"/>
    <w:rsid w:val="7C08335C"/>
    <w:rsid w:val="7C400C1E"/>
    <w:rsid w:val="7DCD3331"/>
    <w:rsid w:val="7DCE5B9D"/>
    <w:rsid w:val="7DD11708"/>
    <w:rsid w:val="7E9E4BBC"/>
    <w:rsid w:val="7EBC46EA"/>
    <w:rsid w:val="7EC167BD"/>
    <w:rsid w:val="7F0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6" w:lineRule="auto"/>
      <w:outlineLvl w:val="0"/>
    </w:pPr>
    <w:rPr>
      <w:b/>
      <w:kern w:val="44"/>
      <w:sz w:val="44"/>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3"/>
    <w:unhideWhenUsed/>
    <w:qFormat/>
    <w:uiPriority w:val="9"/>
    <w:pPr>
      <w:keepNext/>
      <w:keepLines/>
      <w:spacing w:before="260" w:after="260" w:line="413" w:lineRule="auto"/>
      <w:outlineLvl w:val="2"/>
    </w:pPr>
    <w:rPr>
      <w:b/>
      <w:sz w:val="32"/>
    </w:rPr>
  </w:style>
  <w:style w:type="paragraph" w:styleId="5">
    <w:name w:val="heading 5"/>
    <w:basedOn w:val="1"/>
    <w:next w:val="6"/>
    <w:link w:val="34"/>
    <w:qFormat/>
    <w:uiPriority w:val="9"/>
    <w:pPr>
      <w:keepNext/>
      <w:keepLines/>
      <w:spacing w:before="280" w:after="290" w:line="376" w:lineRule="auto"/>
      <w:outlineLvl w:val="4"/>
    </w:pPr>
    <w:rPr>
      <w:b/>
      <w:bCs/>
      <w:sz w:val="28"/>
      <w:szCs w:val="28"/>
    </w:rPr>
  </w:style>
  <w:style w:type="character" w:default="1" w:styleId="26">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8">
    <w:name w:val="annotation text"/>
    <w:basedOn w:val="1"/>
    <w:link w:val="35"/>
    <w:qFormat/>
    <w:uiPriority w:val="0"/>
    <w:pPr>
      <w:jc w:val="left"/>
    </w:pPr>
  </w:style>
  <w:style w:type="paragraph" w:styleId="9">
    <w:name w:val="Body Text 3"/>
    <w:basedOn w:val="1"/>
    <w:link w:val="36"/>
    <w:unhideWhenUsed/>
    <w:qFormat/>
    <w:uiPriority w:val="99"/>
    <w:pPr>
      <w:spacing w:after="120"/>
    </w:pPr>
    <w:rPr>
      <w:sz w:val="16"/>
      <w:szCs w:val="16"/>
    </w:rPr>
  </w:style>
  <w:style w:type="paragraph" w:styleId="10">
    <w:name w:val="Body Text"/>
    <w:basedOn w:val="1"/>
    <w:link w:val="37"/>
    <w:autoRedefine/>
    <w:unhideWhenUsed/>
    <w:qFormat/>
    <w:uiPriority w:val="0"/>
    <w:pPr>
      <w:spacing w:after="120"/>
    </w:pPr>
  </w:style>
  <w:style w:type="paragraph" w:styleId="11">
    <w:name w:val="Body Text Indent"/>
    <w:basedOn w:val="1"/>
    <w:link w:val="38"/>
    <w:autoRedefine/>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link w:val="39"/>
    <w:autoRedefine/>
    <w:qFormat/>
    <w:uiPriority w:val="0"/>
    <w:rPr>
      <w:rFonts w:ascii="宋体" w:hAnsi="Courier New"/>
      <w:kern w:val="0"/>
      <w:sz w:val="20"/>
      <w:szCs w:val="21"/>
    </w:rPr>
  </w:style>
  <w:style w:type="paragraph" w:styleId="14">
    <w:name w:val="Date"/>
    <w:basedOn w:val="1"/>
    <w:next w:val="1"/>
    <w:link w:val="40"/>
    <w:autoRedefine/>
    <w:unhideWhenUsed/>
    <w:qFormat/>
    <w:uiPriority w:val="99"/>
    <w:pPr>
      <w:ind w:left="100" w:leftChars="2500"/>
    </w:pPr>
  </w:style>
  <w:style w:type="paragraph" w:styleId="15">
    <w:name w:val="endnote text"/>
    <w:basedOn w:val="1"/>
    <w:unhideWhenUsed/>
    <w:qFormat/>
    <w:uiPriority w:val="99"/>
    <w:pPr>
      <w:snapToGrid w:val="0"/>
      <w:jc w:val="left"/>
    </w:pPr>
  </w:style>
  <w:style w:type="paragraph" w:styleId="16">
    <w:name w:val="Balloon Text"/>
    <w:basedOn w:val="1"/>
    <w:autoRedefine/>
    <w:semiHidden/>
    <w:qFormat/>
    <w:uiPriority w:val="0"/>
    <w:rPr>
      <w:sz w:val="18"/>
      <w:szCs w:val="18"/>
    </w:rPr>
  </w:style>
  <w:style w:type="paragraph" w:styleId="17">
    <w:name w:val="footer"/>
    <w:basedOn w:val="1"/>
    <w:link w:val="41"/>
    <w:autoRedefine/>
    <w:unhideWhenUsed/>
    <w:qFormat/>
    <w:uiPriority w:val="99"/>
    <w:pPr>
      <w:tabs>
        <w:tab w:val="center" w:pos="4153"/>
        <w:tab w:val="right" w:pos="8306"/>
      </w:tabs>
      <w:snapToGrid w:val="0"/>
      <w:jc w:val="left"/>
    </w:pPr>
    <w:rPr>
      <w:kern w:val="0"/>
      <w:sz w:val="18"/>
      <w:szCs w:val="18"/>
    </w:rPr>
  </w:style>
  <w:style w:type="paragraph" w:styleId="18">
    <w:name w:val="header"/>
    <w:basedOn w:val="1"/>
    <w:link w:val="4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autoRedefine/>
    <w:unhideWhenUsed/>
    <w:qFormat/>
    <w:uiPriority w:val="99"/>
    <w:rPr>
      <w:rFonts w:ascii="Calibri" w:hAnsi="Calibri"/>
      <w:kern w:val="0"/>
      <w:sz w:val="24"/>
    </w:rPr>
  </w:style>
  <w:style w:type="paragraph" w:styleId="22">
    <w:name w:val="Title"/>
    <w:basedOn w:val="1"/>
    <w:next w:val="1"/>
    <w:link w:val="43"/>
    <w:autoRedefine/>
    <w:qFormat/>
    <w:uiPriority w:val="0"/>
    <w:pPr>
      <w:spacing w:before="60" w:after="120" w:line="560" w:lineRule="exact"/>
      <w:jc w:val="center"/>
      <w:outlineLvl w:val="0"/>
    </w:pPr>
    <w:rPr>
      <w:rFonts w:eastAsia="方正小标宋简体"/>
      <w:bCs/>
      <w:sz w:val="44"/>
      <w:szCs w:val="32"/>
    </w:rPr>
  </w:style>
  <w:style w:type="paragraph" w:styleId="23">
    <w:name w:val="annotation subject"/>
    <w:basedOn w:val="8"/>
    <w:next w:val="8"/>
    <w:link w:val="44"/>
    <w:autoRedefine/>
    <w:qFormat/>
    <w:uiPriority w:val="99"/>
    <w:rPr>
      <w:b/>
      <w:bCs/>
    </w:rPr>
  </w:style>
  <w:style w:type="table" w:styleId="25">
    <w:name w:val="Table Grid"/>
    <w:basedOn w:val="2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basedOn w:val="26"/>
    <w:autoRedefine/>
    <w:qFormat/>
    <w:uiPriority w:val="22"/>
    <w:rPr>
      <w:b/>
    </w:rPr>
  </w:style>
  <w:style w:type="character" w:styleId="28">
    <w:name w:val="endnote reference"/>
    <w:basedOn w:val="26"/>
    <w:autoRedefine/>
    <w:unhideWhenUsed/>
    <w:qFormat/>
    <w:uiPriority w:val="99"/>
    <w:rPr>
      <w:vertAlign w:val="superscript"/>
    </w:rPr>
  </w:style>
  <w:style w:type="character" w:styleId="29">
    <w:name w:val="Hyperlink"/>
    <w:unhideWhenUsed/>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link w:val="2"/>
    <w:autoRedefine/>
    <w:qFormat/>
    <w:uiPriority w:val="0"/>
    <w:rPr>
      <w:b/>
      <w:kern w:val="44"/>
      <w:sz w:val="44"/>
    </w:rPr>
  </w:style>
  <w:style w:type="character" w:customStyle="1" w:styleId="32">
    <w:name w:val="标题 2 Char"/>
    <w:link w:val="3"/>
    <w:qFormat/>
    <w:uiPriority w:val="9"/>
    <w:rPr>
      <w:rFonts w:ascii="Cambria" w:hAnsi="Cambria" w:eastAsia="宋体" w:cs="Times New Roman"/>
      <w:b/>
      <w:bCs/>
      <w:kern w:val="2"/>
      <w:sz w:val="32"/>
      <w:szCs w:val="32"/>
    </w:rPr>
  </w:style>
  <w:style w:type="character" w:customStyle="1" w:styleId="33">
    <w:name w:val="标题 3 Char"/>
    <w:link w:val="4"/>
    <w:qFormat/>
    <w:uiPriority w:val="0"/>
    <w:rPr>
      <w:b/>
      <w:sz w:val="32"/>
    </w:rPr>
  </w:style>
  <w:style w:type="character" w:customStyle="1" w:styleId="34">
    <w:name w:val="标题 5 Char"/>
    <w:link w:val="5"/>
    <w:autoRedefine/>
    <w:semiHidden/>
    <w:qFormat/>
    <w:uiPriority w:val="9"/>
    <w:rPr>
      <w:rFonts w:ascii="Times New Roman" w:hAnsi="Times New Roman"/>
      <w:b/>
      <w:bCs/>
      <w:kern w:val="2"/>
      <w:sz w:val="28"/>
      <w:szCs w:val="28"/>
    </w:rPr>
  </w:style>
  <w:style w:type="character" w:customStyle="1" w:styleId="35">
    <w:name w:val="批注文字 Char"/>
    <w:link w:val="8"/>
    <w:autoRedefine/>
    <w:qFormat/>
    <w:uiPriority w:val="0"/>
    <w:rPr>
      <w:rFonts w:ascii="Times New Roman" w:hAnsi="Times New Roman"/>
      <w:kern w:val="2"/>
      <w:sz w:val="21"/>
      <w:szCs w:val="24"/>
    </w:rPr>
  </w:style>
  <w:style w:type="character" w:customStyle="1" w:styleId="36">
    <w:name w:val="正文文本 3 Char"/>
    <w:link w:val="9"/>
    <w:autoRedefine/>
    <w:semiHidden/>
    <w:qFormat/>
    <w:uiPriority w:val="99"/>
    <w:rPr>
      <w:rFonts w:ascii="Times New Roman" w:hAnsi="Times New Roman"/>
      <w:kern w:val="2"/>
      <w:sz w:val="16"/>
      <w:szCs w:val="16"/>
    </w:rPr>
  </w:style>
  <w:style w:type="character" w:customStyle="1" w:styleId="37">
    <w:name w:val="正文文本 Char"/>
    <w:link w:val="10"/>
    <w:autoRedefine/>
    <w:qFormat/>
    <w:uiPriority w:val="0"/>
    <w:rPr>
      <w:rFonts w:ascii="Times New Roman" w:hAnsi="Times New Roman"/>
      <w:kern w:val="2"/>
      <w:sz w:val="21"/>
      <w:szCs w:val="24"/>
    </w:rPr>
  </w:style>
  <w:style w:type="character" w:customStyle="1" w:styleId="38">
    <w:name w:val="正文文本缩进 Char"/>
    <w:link w:val="11"/>
    <w:autoRedefine/>
    <w:qFormat/>
    <w:uiPriority w:val="0"/>
    <w:rPr>
      <w:rFonts w:ascii="仿宋_GB2312" w:hAnsi="Times New Roman" w:eastAsia="仿宋_GB2312" w:cs="Times New Roman"/>
      <w:sz w:val="32"/>
      <w:szCs w:val="20"/>
    </w:rPr>
  </w:style>
  <w:style w:type="character" w:customStyle="1" w:styleId="39">
    <w:name w:val="纯文本 Char"/>
    <w:link w:val="13"/>
    <w:autoRedefine/>
    <w:qFormat/>
    <w:uiPriority w:val="0"/>
    <w:rPr>
      <w:rFonts w:ascii="宋体" w:hAnsi="Courier New" w:eastAsia="宋体" w:cs="Courier New"/>
      <w:szCs w:val="21"/>
    </w:rPr>
  </w:style>
  <w:style w:type="character" w:customStyle="1" w:styleId="40">
    <w:name w:val="日期 Char"/>
    <w:link w:val="14"/>
    <w:autoRedefine/>
    <w:semiHidden/>
    <w:qFormat/>
    <w:uiPriority w:val="99"/>
    <w:rPr>
      <w:rFonts w:ascii="Times New Roman" w:hAnsi="Times New Roman"/>
      <w:kern w:val="2"/>
      <w:sz w:val="21"/>
      <w:szCs w:val="24"/>
    </w:rPr>
  </w:style>
  <w:style w:type="character" w:customStyle="1" w:styleId="41">
    <w:name w:val="页脚 Char"/>
    <w:link w:val="17"/>
    <w:autoRedefine/>
    <w:qFormat/>
    <w:uiPriority w:val="99"/>
    <w:rPr>
      <w:sz w:val="18"/>
      <w:szCs w:val="18"/>
    </w:rPr>
  </w:style>
  <w:style w:type="character" w:customStyle="1" w:styleId="42">
    <w:name w:val="页眉 Char"/>
    <w:link w:val="18"/>
    <w:autoRedefine/>
    <w:qFormat/>
    <w:uiPriority w:val="99"/>
    <w:rPr>
      <w:sz w:val="18"/>
      <w:szCs w:val="18"/>
    </w:rPr>
  </w:style>
  <w:style w:type="character" w:customStyle="1" w:styleId="43">
    <w:name w:val="标题 Char"/>
    <w:link w:val="22"/>
    <w:autoRedefine/>
    <w:qFormat/>
    <w:uiPriority w:val="0"/>
    <w:rPr>
      <w:rFonts w:eastAsia="方正小标宋简体"/>
      <w:bCs/>
      <w:sz w:val="44"/>
      <w:szCs w:val="32"/>
    </w:rPr>
  </w:style>
  <w:style w:type="character" w:customStyle="1" w:styleId="44">
    <w:name w:val="批注主题 Char"/>
    <w:link w:val="23"/>
    <w:autoRedefine/>
    <w:qFormat/>
    <w:uiPriority w:val="99"/>
    <w:rPr>
      <w:rFonts w:ascii="Times New Roman" w:hAnsi="Times New Roman"/>
      <w:b/>
      <w:bCs/>
      <w:kern w:val="2"/>
      <w:sz w:val="21"/>
      <w:szCs w:val="24"/>
    </w:rPr>
  </w:style>
  <w:style w:type="character" w:customStyle="1" w:styleId="45">
    <w:name w:val="textcontents"/>
    <w:basedOn w:val="26"/>
    <w:autoRedefine/>
    <w:qFormat/>
    <w:uiPriority w:val="0"/>
  </w:style>
  <w:style w:type="character" w:customStyle="1" w:styleId="46">
    <w:name w:val="纯文本 字符1"/>
    <w:autoRedefine/>
    <w:qFormat/>
    <w:uiPriority w:val="0"/>
    <w:rPr>
      <w:rFonts w:ascii="宋体" w:hAnsi="Courier New"/>
    </w:rPr>
  </w:style>
  <w:style w:type="character" w:customStyle="1" w:styleId="47">
    <w:name w:val="纯文本 字符2"/>
    <w:autoRedefine/>
    <w:qFormat/>
    <w:uiPriority w:val="0"/>
    <w:rPr>
      <w:rFonts w:ascii="宋体" w:hAnsi="Courier New" w:eastAsia="宋体" w:cs="Courier New"/>
      <w:szCs w:val="21"/>
    </w:rPr>
  </w:style>
  <w:style w:type="character" w:customStyle="1" w:styleId="48">
    <w:name w:val="apple-style-span"/>
    <w:basedOn w:val="26"/>
    <w:autoRedefine/>
    <w:qFormat/>
    <w:uiPriority w:val="0"/>
  </w:style>
  <w:style w:type="character" w:customStyle="1" w:styleId="49">
    <w:name w:val="批注文字 字符1"/>
    <w:autoRedefine/>
    <w:qFormat/>
    <w:uiPriority w:val="0"/>
    <w:rPr>
      <w:kern w:val="2"/>
      <w:sz w:val="21"/>
      <w:szCs w:val="24"/>
    </w:rPr>
  </w:style>
  <w:style w:type="paragraph" w:customStyle="1" w:styleId="50">
    <w:name w:val="表内文字"/>
    <w:basedOn w:val="1"/>
    <w:link w:val="51"/>
    <w:autoRedefine/>
    <w:qFormat/>
    <w:uiPriority w:val="0"/>
    <w:pPr>
      <w:snapToGrid w:val="0"/>
      <w:spacing w:before="50" w:after="50"/>
      <w:jc w:val="center"/>
    </w:pPr>
    <w:rPr>
      <w:rFonts w:ascii="仿宋_GB2312" w:hAnsi="宋体" w:eastAsia="仿宋_GB2312"/>
      <w:b/>
      <w:color w:val="000000"/>
      <w:sz w:val="32"/>
      <w:szCs w:val="32"/>
    </w:rPr>
  </w:style>
  <w:style w:type="character" w:customStyle="1" w:styleId="51">
    <w:name w:val="表内文字 Char"/>
    <w:link w:val="50"/>
    <w:autoRedefine/>
    <w:qFormat/>
    <w:uiPriority w:val="0"/>
    <w:rPr>
      <w:rFonts w:ascii="仿宋_GB2312" w:hAnsi="宋体" w:eastAsia="仿宋_GB2312"/>
      <w:b/>
      <w:color w:val="000000"/>
      <w:sz w:val="32"/>
      <w:szCs w:val="32"/>
    </w:rPr>
  </w:style>
  <w:style w:type="paragraph" w:styleId="52">
    <w:name w:val="List Paragraph"/>
    <w:basedOn w:val="1"/>
    <w:autoRedefine/>
    <w:qFormat/>
    <w:uiPriority w:val="34"/>
    <w:pPr>
      <w:ind w:firstLine="420" w:firstLineChars="200"/>
    </w:pPr>
  </w:style>
  <w:style w:type="paragraph" w:customStyle="1" w:styleId="53">
    <w:name w:val="默认段落字体 Para Char Char Char Char Char Char Char Char Char1 Char Char Char Char"/>
    <w:basedOn w:val="1"/>
    <w:autoRedefine/>
    <w:qFormat/>
    <w:uiPriority w:val="0"/>
    <w:rPr>
      <w:rFonts w:ascii="Tahoma" w:hAnsi="Tahoma"/>
      <w:sz w:val="24"/>
      <w:szCs w:val="20"/>
    </w:rPr>
  </w:style>
  <w:style w:type="paragraph" w:customStyle="1" w:styleId="54">
    <w:name w:val="正文2"/>
    <w:basedOn w:val="1"/>
    <w:next w:val="1"/>
    <w:autoRedefine/>
    <w:qFormat/>
    <w:uiPriority w:val="0"/>
    <w:pPr>
      <w:adjustRightInd w:val="0"/>
      <w:spacing w:before="156" w:line="360" w:lineRule="auto"/>
      <w:ind w:firstLine="510" w:firstLineChars="200"/>
    </w:pPr>
    <w:rPr>
      <w:kern w:val="0"/>
      <w:sz w:val="24"/>
      <w:szCs w:val="20"/>
    </w:rPr>
  </w:style>
  <w:style w:type="paragraph" w:customStyle="1" w:styleId="55">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56">
    <w:name w:val="WPSOffice手动目录 1"/>
    <w:autoRedefine/>
    <w:qFormat/>
    <w:uiPriority w:val="0"/>
    <w:rPr>
      <w:rFonts w:ascii="Times New Roman" w:hAnsi="Times New Roman" w:eastAsia="宋体" w:cs="Times New Roman"/>
      <w:lang w:val="en-US" w:eastAsia="zh-CN" w:bidi="ar-SA"/>
    </w:rPr>
  </w:style>
  <w:style w:type="character" w:customStyle="1" w:styleId="57">
    <w:name w:val="font11"/>
    <w:basedOn w:val="2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4&#24180;&#39033;&#30446;\007+&#24314;&#35774;&#25968;&#25454;&#20013;&#24515;&#26426;&#25151;\3&#12289;&#31454;&#35848;&#33539;&#26412;+&#33539;&#26412;&#65288;&#38750;&#32852;&#21512;&#20307;&#65289;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3、竞谈范本+范本（非联合体）3.wpt</Template>
  <Company>Microsoft</Company>
  <Pages>93</Pages>
  <Words>8174</Words>
  <Characters>46592</Characters>
  <Lines>388</Lines>
  <Paragraphs>109</Paragraphs>
  <TotalTime>28</TotalTime>
  <ScaleCrop>false</ScaleCrop>
  <LinksUpToDate>false</LinksUpToDate>
  <CharactersWithSpaces>54657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2024-04-01T00:56:00Z</dcterms:created>
  <dc:creator>Lenovo</dc:creator>
  <cp:lastModifiedBy>Administrator</cp:lastModifiedBy>
  <dcterms:modified xsi:type="dcterms:W3CDTF">2024-04-10T04:09:20Z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8E4F71DC35AC42BDB6A32B18A931C749_11</vt:lpwstr>
  </property>
</Properties>
</file>