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ind w:left="2871" w:hanging="5342" w:hangingChars="1000"/>
        <w:jc w:val="center"/>
        <w:rPr>
          <w:rFonts w:hint="eastAsia" w:ascii="宋体" w:hAnsi="宋体" w:cs="宋体"/>
          <w:b/>
          <w:bCs/>
          <w:w w:val="95"/>
          <w:sz w:val="56"/>
          <w:szCs w:val="56"/>
          <w:highlight w:val="none"/>
          <w:lang w:eastAsia="zh-CN"/>
        </w:rPr>
      </w:pPr>
      <w:r>
        <w:rPr>
          <w:rFonts w:hint="eastAsia" w:ascii="宋体" w:hAnsi="宋体" w:cs="宋体"/>
          <w:b/>
          <w:bCs/>
          <w:w w:val="95"/>
          <w:sz w:val="56"/>
          <w:szCs w:val="56"/>
          <w:highlight w:val="none"/>
          <w:lang w:eastAsia="zh-CN"/>
        </w:rPr>
        <w:t>广西华利得项目管理有限公司</w:t>
      </w:r>
    </w:p>
    <w:p>
      <w:pPr>
        <w:spacing w:before="165" w:beforeLines="50" w:line="360" w:lineRule="auto"/>
        <w:jc w:val="center"/>
        <w:rPr>
          <w:rFonts w:hint="eastAsia" w:ascii="仿宋_GB2312" w:hAnsi="宋体" w:eastAsia="仿宋_GB2312"/>
          <w:b/>
          <w:sz w:val="48"/>
          <w:szCs w:val="48"/>
          <w:highlight w:val="none"/>
        </w:rPr>
      </w:pPr>
    </w:p>
    <w:p>
      <w:pPr>
        <w:snapToGrid w:val="0"/>
        <w:spacing w:before="165" w:beforeLines="50" w:line="360" w:lineRule="auto"/>
        <w:jc w:val="center"/>
        <w:rPr>
          <w:rFonts w:hint="eastAsia" w:ascii="华文新魏" w:hAnsi="宋体" w:eastAsia="华文新魏"/>
          <w:b/>
          <w:sz w:val="72"/>
          <w:szCs w:val="72"/>
          <w:highlight w:val="none"/>
        </w:rPr>
      </w:pPr>
    </w:p>
    <w:p>
      <w:pPr>
        <w:snapToGrid w:val="0"/>
        <w:spacing w:before="165" w:beforeLines="50" w:line="360" w:lineRule="auto"/>
        <w:jc w:val="center"/>
        <w:rPr>
          <w:rFonts w:hint="eastAsia" w:ascii="华文新魏" w:hAnsi="宋体" w:eastAsia="华文新魏"/>
          <w:b/>
          <w:sz w:val="72"/>
          <w:szCs w:val="72"/>
          <w:highlight w:val="none"/>
        </w:rPr>
      </w:pPr>
      <w:r>
        <w:rPr>
          <w:rFonts w:hint="eastAsia" w:ascii="华文新魏" w:hAnsi="宋体" w:eastAsia="华文新魏"/>
          <w:b/>
          <w:sz w:val="72"/>
          <w:szCs w:val="72"/>
          <w:highlight w:val="none"/>
        </w:rPr>
        <w:t>公开招标文件</w:t>
      </w:r>
    </w:p>
    <w:p>
      <w:pPr>
        <w:snapToGrid w:val="0"/>
        <w:spacing w:before="165" w:beforeLines="50" w:line="360" w:lineRule="auto"/>
        <w:jc w:val="center"/>
        <w:rPr>
          <w:rFonts w:hint="eastAsia" w:ascii="华文新魏" w:hAnsi="宋体" w:eastAsia="华文新魏"/>
          <w:b/>
          <w:sz w:val="72"/>
          <w:szCs w:val="72"/>
          <w:highlight w:val="none"/>
        </w:rPr>
      </w:pPr>
      <w:r>
        <w:rPr>
          <w:rFonts w:hint="eastAsia" w:ascii="华文新魏" w:hAnsi="宋体" w:eastAsia="华文新魏"/>
          <w:b/>
          <w:sz w:val="72"/>
          <w:szCs w:val="72"/>
          <w:highlight w:val="none"/>
        </w:rPr>
        <w:t>（服务类）</w:t>
      </w:r>
    </w:p>
    <w:p>
      <w:pPr>
        <w:spacing w:before="165" w:beforeLines="50" w:line="360" w:lineRule="auto"/>
        <w:ind w:left="2871" w:hanging="2862" w:hangingChars="1000"/>
        <w:jc w:val="center"/>
        <w:rPr>
          <w:rFonts w:hint="eastAsia" w:ascii="宋体" w:hAnsi="宋体" w:cs="宋体"/>
          <w:b/>
          <w:w w:val="95"/>
          <w:sz w:val="30"/>
          <w:szCs w:val="30"/>
          <w:highlight w:val="none"/>
        </w:rPr>
      </w:pPr>
      <w:r>
        <w:rPr>
          <w:rFonts w:hint="eastAsia" w:ascii="宋体" w:hAnsi="宋体" w:cs="宋体"/>
          <w:b/>
          <w:w w:val="95"/>
          <w:sz w:val="30"/>
          <w:szCs w:val="30"/>
          <w:highlight w:val="none"/>
        </w:rPr>
        <w:t>（全流程电子化评标）</w:t>
      </w:r>
    </w:p>
    <w:p>
      <w:pPr>
        <w:spacing w:before="165" w:beforeLines="50" w:line="360" w:lineRule="auto"/>
        <w:jc w:val="center"/>
        <w:rPr>
          <w:rFonts w:hint="eastAsia" w:ascii="宋体" w:hAnsi="宋体" w:cs="宋体"/>
          <w:b/>
          <w:sz w:val="52"/>
          <w:szCs w:val="52"/>
          <w:highlight w:val="none"/>
        </w:rPr>
      </w:pPr>
    </w:p>
    <w:p>
      <w:pPr>
        <w:spacing w:before="165" w:beforeLines="50" w:line="360" w:lineRule="auto"/>
        <w:jc w:val="center"/>
        <w:rPr>
          <w:rFonts w:hint="eastAsia" w:ascii="宋体" w:hAnsi="宋体" w:cs="宋体"/>
          <w:b/>
          <w:sz w:val="52"/>
          <w:szCs w:val="52"/>
          <w:highlight w:val="none"/>
        </w:rPr>
      </w:pPr>
    </w:p>
    <w:p>
      <w:pPr>
        <w:keepNext w:val="0"/>
        <w:keepLines w:val="0"/>
        <w:pageBreakBefore w:val="0"/>
        <w:widowControl w:val="0"/>
        <w:kinsoku/>
        <w:wordWrap/>
        <w:overflowPunct/>
        <w:topLinePunct w:val="0"/>
        <w:autoSpaceDE/>
        <w:autoSpaceDN/>
        <w:bidi w:val="0"/>
        <w:adjustRightInd/>
        <w:spacing w:before="165" w:beforeLines="50" w:line="360" w:lineRule="auto"/>
        <w:ind w:firstLine="1145" w:firstLineChars="400"/>
        <w:jc w:val="both"/>
        <w:textAlignment w:val="auto"/>
        <w:rPr>
          <w:rFonts w:hint="eastAsia" w:ascii="宋体" w:hAnsi="宋体" w:eastAsia="宋体" w:cs="宋体"/>
          <w:b/>
          <w:bCs/>
          <w:w w:val="95"/>
          <w:sz w:val="30"/>
          <w:szCs w:val="30"/>
          <w:highlight w:val="none"/>
          <w:lang w:eastAsia="zh-CN"/>
        </w:rPr>
      </w:pPr>
      <w:r>
        <w:rPr>
          <w:rFonts w:hint="eastAsia" w:ascii="宋体" w:hAnsi="宋体" w:cs="宋体"/>
          <w:b/>
          <w:bCs/>
          <w:w w:val="95"/>
          <w:sz w:val="30"/>
          <w:szCs w:val="30"/>
          <w:highlight w:val="none"/>
        </w:rPr>
        <w:t>项目名称：</w:t>
      </w:r>
      <w:r>
        <w:rPr>
          <w:rFonts w:hint="eastAsia" w:ascii="宋体" w:hAnsi="宋体" w:cs="宋体"/>
          <w:b/>
          <w:bCs/>
          <w:w w:val="95"/>
          <w:sz w:val="30"/>
          <w:szCs w:val="30"/>
          <w:highlight w:val="none"/>
          <w:lang w:eastAsia="zh-CN"/>
        </w:rPr>
        <w:t>崇左市第二人民医院关于2024年物业服务采购项目</w:t>
      </w:r>
    </w:p>
    <w:p>
      <w:pPr>
        <w:pStyle w:val="15"/>
        <w:keepNext w:val="0"/>
        <w:keepLines w:val="0"/>
        <w:pageBreakBefore w:val="0"/>
        <w:widowControl w:val="0"/>
        <w:kinsoku/>
        <w:wordWrap/>
        <w:overflowPunct/>
        <w:topLinePunct w:val="0"/>
        <w:autoSpaceDE/>
        <w:autoSpaceDN/>
        <w:bidi w:val="0"/>
        <w:adjustRightInd/>
        <w:snapToGrid w:val="0"/>
        <w:spacing w:before="50" w:after="120" w:line="360" w:lineRule="auto"/>
        <w:ind w:firstLine="1145" w:firstLineChars="400"/>
        <w:jc w:val="both"/>
        <w:textAlignment w:val="auto"/>
        <w:rPr>
          <w:rFonts w:hint="eastAsia" w:hAnsi="宋体" w:cs="宋体"/>
          <w:b/>
          <w:bCs/>
          <w:w w:val="95"/>
          <w:sz w:val="30"/>
          <w:szCs w:val="30"/>
          <w:highlight w:val="none"/>
          <w:lang w:eastAsia="zh-CN"/>
        </w:rPr>
      </w:pPr>
      <w:r>
        <w:rPr>
          <w:rFonts w:hint="eastAsia" w:hAnsi="宋体" w:cs="宋体"/>
          <w:b/>
          <w:bCs/>
          <w:w w:val="95"/>
          <w:sz w:val="30"/>
          <w:szCs w:val="30"/>
          <w:highlight w:val="none"/>
        </w:rPr>
        <w:t>项目编号：</w:t>
      </w:r>
      <w:r>
        <w:rPr>
          <w:rFonts w:hint="eastAsia" w:hAnsi="宋体" w:cs="宋体"/>
          <w:b/>
          <w:bCs/>
          <w:w w:val="95"/>
          <w:sz w:val="30"/>
          <w:szCs w:val="30"/>
          <w:highlight w:val="none"/>
          <w:lang w:eastAsia="zh-CN"/>
        </w:rPr>
        <w:t>CZZC2024-G3-990012-GXHL</w:t>
      </w:r>
    </w:p>
    <w:p>
      <w:pPr>
        <w:pStyle w:val="15"/>
        <w:keepNext w:val="0"/>
        <w:keepLines w:val="0"/>
        <w:pageBreakBefore w:val="0"/>
        <w:widowControl w:val="0"/>
        <w:kinsoku/>
        <w:wordWrap/>
        <w:overflowPunct/>
        <w:topLinePunct w:val="0"/>
        <w:autoSpaceDE/>
        <w:autoSpaceDN/>
        <w:bidi w:val="0"/>
        <w:adjustRightInd/>
        <w:snapToGrid w:val="0"/>
        <w:spacing w:before="50" w:after="120" w:line="360" w:lineRule="auto"/>
        <w:ind w:firstLine="1145" w:firstLineChars="400"/>
        <w:jc w:val="both"/>
        <w:textAlignment w:val="auto"/>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采 购 人：</w:t>
      </w:r>
      <w:r>
        <w:rPr>
          <w:rFonts w:hint="eastAsia" w:hAnsi="宋体" w:cs="宋体"/>
          <w:b/>
          <w:bCs/>
          <w:w w:val="95"/>
          <w:sz w:val="30"/>
          <w:szCs w:val="30"/>
          <w:highlight w:val="none"/>
          <w:lang w:eastAsia="zh-CN"/>
        </w:rPr>
        <w:t>崇左市第二人民医院</w:t>
      </w:r>
    </w:p>
    <w:p>
      <w:pPr>
        <w:pStyle w:val="15"/>
        <w:keepNext w:val="0"/>
        <w:keepLines w:val="0"/>
        <w:pageBreakBefore w:val="0"/>
        <w:widowControl w:val="0"/>
        <w:kinsoku/>
        <w:wordWrap/>
        <w:overflowPunct/>
        <w:topLinePunct w:val="0"/>
        <w:autoSpaceDE/>
        <w:autoSpaceDN/>
        <w:bidi w:val="0"/>
        <w:adjustRightInd/>
        <w:snapToGrid w:val="0"/>
        <w:spacing w:before="50" w:after="120" w:line="360" w:lineRule="auto"/>
        <w:ind w:firstLine="1145" w:firstLineChars="400"/>
        <w:textAlignment w:val="auto"/>
        <w:rPr>
          <w:rFonts w:hint="eastAsia" w:hAnsi="宋体" w:cs="宋体"/>
          <w:b/>
          <w:bCs/>
          <w:w w:val="95"/>
          <w:sz w:val="30"/>
          <w:szCs w:val="30"/>
          <w:highlight w:val="none"/>
        </w:rPr>
      </w:pPr>
      <w:r>
        <w:rPr>
          <w:rFonts w:hint="eastAsia" w:hAnsi="宋体" w:cs="宋体"/>
          <w:b/>
          <w:bCs/>
          <w:w w:val="95"/>
          <w:sz w:val="30"/>
          <w:szCs w:val="30"/>
          <w:highlight w:val="none"/>
        </w:rPr>
        <w:t>代理机构：</w:t>
      </w:r>
      <w:r>
        <w:rPr>
          <w:rFonts w:hint="eastAsia" w:hAnsi="宋体" w:cs="宋体"/>
          <w:b/>
          <w:bCs/>
          <w:w w:val="95"/>
          <w:sz w:val="30"/>
          <w:szCs w:val="30"/>
          <w:highlight w:val="none"/>
          <w:lang w:eastAsia="zh-CN"/>
        </w:rPr>
        <w:t>广西华利得项目管理有限公司</w:t>
      </w:r>
      <w:r>
        <w:rPr>
          <w:rFonts w:hint="eastAsia" w:hAnsi="宋体" w:cs="宋体"/>
          <w:b/>
          <w:bCs/>
          <w:w w:val="95"/>
          <w:sz w:val="30"/>
          <w:szCs w:val="30"/>
          <w:highlight w:val="none"/>
        </w:rPr>
        <w:t xml:space="preserve">                </w:t>
      </w:r>
    </w:p>
    <w:p>
      <w:pPr>
        <w:pStyle w:val="15"/>
        <w:snapToGrid w:val="0"/>
        <w:spacing w:before="50" w:after="120" w:line="360" w:lineRule="auto"/>
        <w:ind w:firstLine="3414" w:firstLineChars="1193"/>
        <w:rPr>
          <w:rFonts w:hint="eastAsia" w:hAnsi="宋体" w:cs="宋体"/>
          <w:b/>
          <w:bCs/>
          <w:w w:val="95"/>
          <w:sz w:val="30"/>
          <w:szCs w:val="30"/>
          <w:highlight w:val="none"/>
          <w:lang w:eastAsia="zh-CN"/>
        </w:rPr>
      </w:pPr>
    </w:p>
    <w:p>
      <w:pPr>
        <w:pStyle w:val="15"/>
        <w:snapToGrid w:val="0"/>
        <w:spacing w:before="50" w:after="120" w:line="360" w:lineRule="auto"/>
        <w:ind w:firstLine="3700" w:firstLineChars="1293"/>
        <w:rPr>
          <w:rFonts w:hint="eastAsia" w:hAnsi="宋体" w:cs="宋体"/>
          <w:b/>
          <w:bCs/>
          <w:w w:val="95"/>
          <w:sz w:val="30"/>
          <w:szCs w:val="30"/>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720" w:footer="720" w:gutter="0"/>
          <w:pgNumType w:start="1"/>
          <w:cols w:space="720" w:num="1"/>
          <w:docGrid w:type="lines" w:linePitch="331" w:charSpace="0"/>
        </w:sectPr>
      </w:pPr>
      <w:r>
        <w:rPr>
          <w:rFonts w:hint="eastAsia" w:hAnsi="宋体" w:cs="宋体"/>
          <w:b/>
          <w:bCs/>
          <w:w w:val="95"/>
          <w:sz w:val="30"/>
          <w:szCs w:val="30"/>
          <w:highlight w:val="none"/>
          <w:lang w:eastAsia="zh-CN"/>
        </w:rPr>
        <w:t>2024</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03</w:t>
      </w:r>
      <w:r>
        <w:rPr>
          <w:rFonts w:hint="eastAsia" w:hAnsi="宋体" w:cs="宋体"/>
          <w:b/>
          <w:bCs/>
          <w:w w:val="95"/>
          <w:sz w:val="30"/>
          <w:szCs w:val="30"/>
          <w:highlight w:val="none"/>
        </w:rPr>
        <w:t>月</w:t>
      </w:r>
    </w:p>
    <w:p>
      <w:pPr>
        <w:pStyle w:val="15"/>
        <w:jc w:val="center"/>
        <w:rPr>
          <w:rFonts w:ascii="Times New Roman" w:hAnsi="Times New Roman"/>
          <w:b/>
          <w:sz w:val="48"/>
          <w:szCs w:val="48"/>
          <w:highlight w:val="none"/>
        </w:rPr>
      </w:pPr>
      <w:r>
        <w:rPr>
          <w:rFonts w:hint="eastAsia" w:ascii="Times New Roman" w:hAnsi="Times New Roman"/>
          <w:b/>
          <w:sz w:val="48"/>
          <w:szCs w:val="48"/>
          <w:highlight w:val="none"/>
        </w:rPr>
        <w:t>目</w:t>
      </w:r>
      <w:r>
        <w:rPr>
          <w:rFonts w:ascii="Times New Roman" w:hAnsi="Times New Roman"/>
          <w:b/>
          <w:sz w:val="48"/>
          <w:szCs w:val="48"/>
          <w:highlight w:val="none"/>
        </w:rPr>
        <w:t xml:space="preserve">     </w:t>
      </w:r>
      <w:r>
        <w:rPr>
          <w:rFonts w:hint="eastAsia" w:ascii="Times New Roman" w:hAnsi="Times New Roman"/>
          <w:b/>
          <w:sz w:val="48"/>
          <w:szCs w:val="48"/>
          <w:highlight w:val="none"/>
        </w:rPr>
        <w:t>录</w:t>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360" w:lineRule="auto"/>
        <w:textAlignment w:val="auto"/>
        <w:rPr>
          <w:rFonts w:hAnsi="宋体"/>
          <w:b w:val="0"/>
          <w:bCs w:val="0"/>
          <w:caps w:val="0"/>
          <w:sz w:val="28"/>
          <w:szCs w:val="28"/>
          <w:highlight w:val="none"/>
          <w:u w:val="none"/>
        </w:rPr>
      </w:pPr>
    </w:p>
    <w:p>
      <w:pPr>
        <w:pStyle w:val="18"/>
        <w:tabs>
          <w:tab w:val="right" w:leader="dot" w:pos="9638"/>
        </w:tabs>
        <w:rPr>
          <w:sz w:val="24"/>
          <w:szCs w:val="24"/>
          <w:highlight w:val="none"/>
          <w:u w:val="none"/>
        </w:rPr>
      </w:pPr>
      <w:r>
        <w:rPr>
          <w:rFonts w:hAnsi="宋体"/>
          <w:b w:val="0"/>
          <w:bCs w:val="0"/>
          <w:caps w:val="0"/>
          <w:sz w:val="24"/>
          <w:szCs w:val="24"/>
          <w:highlight w:val="none"/>
          <w:u w:val="none"/>
        </w:rPr>
        <w:fldChar w:fldCharType="begin"/>
      </w:r>
      <w:r>
        <w:rPr>
          <w:rFonts w:hAnsi="宋体"/>
          <w:b w:val="0"/>
          <w:bCs w:val="0"/>
          <w:caps w:val="0"/>
          <w:sz w:val="24"/>
          <w:szCs w:val="24"/>
          <w:highlight w:val="none"/>
          <w:u w:val="none"/>
        </w:rPr>
        <w:instrText xml:space="preserve"> TOC \o "1-3" \h \z \u </w:instrText>
      </w:r>
      <w:r>
        <w:rPr>
          <w:rFonts w:hAnsi="宋体"/>
          <w:b w:val="0"/>
          <w:bCs w:val="0"/>
          <w:caps w:val="0"/>
          <w:sz w:val="24"/>
          <w:szCs w:val="24"/>
          <w:highlight w:val="none"/>
          <w:u w:val="none"/>
        </w:rPr>
        <w:fldChar w:fldCharType="separate"/>
      </w:r>
      <w:r>
        <w:rPr>
          <w:rFonts w:hAnsi="宋体"/>
          <w:bCs w:val="0"/>
          <w:caps w:val="0"/>
          <w:sz w:val="24"/>
          <w:szCs w:val="24"/>
          <w:highlight w:val="none"/>
          <w:u w:val="none"/>
        </w:rPr>
        <w:fldChar w:fldCharType="begin"/>
      </w:r>
      <w:r>
        <w:rPr>
          <w:rFonts w:hAnsi="宋体"/>
          <w:bCs w:val="0"/>
          <w:caps w:val="0"/>
          <w:sz w:val="24"/>
          <w:szCs w:val="24"/>
          <w:highlight w:val="none"/>
          <w:u w:val="none"/>
        </w:rPr>
        <w:instrText xml:space="preserve"> HYPERLINK \l _Toc9853 </w:instrText>
      </w:r>
      <w:r>
        <w:rPr>
          <w:rFonts w:hAnsi="宋体"/>
          <w:bCs w:val="0"/>
          <w:caps w:val="0"/>
          <w:sz w:val="24"/>
          <w:szCs w:val="24"/>
          <w:highlight w:val="none"/>
          <w:u w:val="none"/>
        </w:rPr>
        <w:fldChar w:fldCharType="separate"/>
      </w:r>
      <w:r>
        <w:rPr>
          <w:rFonts w:hint="eastAsia" w:ascii="Times New Roman" w:hAnsi="Times New Roman" w:eastAsia="宋体" w:cs="Times New Roman"/>
          <w:sz w:val="24"/>
          <w:szCs w:val="24"/>
          <w:highlight w:val="none"/>
          <w:u w:val="none"/>
        </w:rPr>
        <w:t>第一章  招标公告</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_Toc9853 \h </w:instrText>
      </w:r>
      <w:r>
        <w:rPr>
          <w:sz w:val="24"/>
          <w:szCs w:val="24"/>
          <w:highlight w:val="none"/>
          <w:u w:val="none"/>
        </w:rPr>
        <w:fldChar w:fldCharType="separate"/>
      </w:r>
      <w:r>
        <w:rPr>
          <w:sz w:val="24"/>
          <w:szCs w:val="24"/>
          <w:highlight w:val="none"/>
          <w:u w:val="none"/>
        </w:rPr>
        <w:t>2</w:t>
      </w:r>
      <w:r>
        <w:rPr>
          <w:sz w:val="24"/>
          <w:szCs w:val="24"/>
          <w:highlight w:val="none"/>
          <w:u w:val="none"/>
        </w:rPr>
        <w:fldChar w:fldCharType="end"/>
      </w:r>
      <w:r>
        <w:rPr>
          <w:rFonts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_Toc22159 </w:instrText>
      </w:r>
      <w:r>
        <w:rPr>
          <w:rFonts w:ascii="Calibri" w:hAnsi="宋体"/>
          <w:bCs w:val="0"/>
          <w:caps w:val="0"/>
          <w:sz w:val="24"/>
          <w:szCs w:val="24"/>
          <w:highlight w:val="none"/>
          <w:u w:val="none"/>
        </w:rPr>
        <w:fldChar w:fldCharType="separate"/>
      </w:r>
      <w:r>
        <w:rPr>
          <w:rFonts w:hint="eastAsia" w:ascii="Times New Roman" w:hAnsi="Times New Roman"/>
          <w:sz w:val="24"/>
          <w:szCs w:val="24"/>
          <w:highlight w:val="none"/>
          <w:u w:val="none"/>
        </w:rPr>
        <w:t>第二章</w:t>
      </w:r>
      <w:r>
        <w:rPr>
          <w:rFonts w:ascii="Times New Roman" w:hAnsi="Times New Roman"/>
          <w:sz w:val="24"/>
          <w:szCs w:val="24"/>
          <w:highlight w:val="none"/>
          <w:u w:val="none"/>
        </w:rPr>
        <w:t xml:space="preserve">  </w:t>
      </w:r>
      <w:r>
        <w:rPr>
          <w:rFonts w:hint="eastAsia" w:ascii="Times New Roman" w:hAnsi="Times New Roman"/>
          <w:sz w:val="24"/>
          <w:szCs w:val="24"/>
          <w:highlight w:val="none"/>
          <w:u w:val="none"/>
        </w:rPr>
        <w:t>采购需求</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_Toc22159 \h </w:instrText>
      </w:r>
      <w:r>
        <w:rPr>
          <w:sz w:val="24"/>
          <w:szCs w:val="24"/>
          <w:highlight w:val="none"/>
          <w:u w:val="none"/>
        </w:rPr>
        <w:fldChar w:fldCharType="separate"/>
      </w:r>
      <w:r>
        <w:rPr>
          <w:sz w:val="24"/>
          <w:szCs w:val="24"/>
          <w:highlight w:val="none"/>
          <w:u w:val="none"/>
        </w:rPr>
        <w:t>6</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_Toc9702 </w:instrText>
      </w:r>
      <w:r>
        <w:rPr>
          <w:rFonts w:ascii="Calibri" w:hAnsi="宋体"/>
          <w:bCs w:val="0"/>
          <w:caps w:val="0"/>
          <w:sz w:val="24"/>
          <w:szCs w:val="24"/>
          <w:highlight w:val="none"/>
          <w:u w:val="none"/>
        </w:rPr>
        <w:fldChar w:fldCharType="separate"/>
      </w:r>
      <w:r>
        <w:rPr>
          <w:rFonts w:hint="eastAsia" w:ascii="Times New Roman" w:hAnsi="Times New Roman"/>
          <w:sz w:val="24"/>
          <w:szCs w:val="24"/>
          <w:highlight w:val="none"/>
          <w:u w:val="none"/>
        </w:rPr>
        <w:t>第三章</w:t>
      </w:r>
      <w:r>
        <w:rPr>
          <w:rFonts w:ascii="Times New Roman" w:hAnsi="Times New Roman"/>
          <w:sz w:val="24"/>
          <w:szCs w:val="24"/>
          <w:highlight w:val="none"/>
          <w:u w:val="none"/>
        </w:rPr>
        <w:t xml:space="preserve">  </w:t>
      </w:r>
      <w:r>
        <w:rPr>
          <w:rFonts w:hint="eastAsia" w:ascii="Times New Roman" w:hAnsi="Times New Roman"/>
          <w:sz w:val="24"/>
          <w:szCs w:val="24"/>
          <w:highlight w:val="none"/>
          <w:u w:val="none"/>
        </w:rPr>
        <w:t>投标人须知</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_Toc9702 \h </w:instrText>
      </w:r>
      <w:r>
        <w:rPr>
          <w:sz w:val="24"/>
          <w:szCs w:val="24"/>
          <w:highlight w:val="none"/>
          <w:u w:val="none"/>
        </w:rPr>
        <w:fldChar w:fldCharType="separate"/>
      </w:r>
      <w:r>
        <w:rPr>
          <w:sz w:val="24"/>
          <w:szCs w:val="24"/>
          <w:highlight w:val="none"/>
          <w:u w:val="none"/>
        </w:rPr>
        <w:t>13</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_Toc27382 </w:instrText>
      </w:r>
      <w:r>
        <w:rPr>
          <w:rFonts w:ascii="Calibri" w:hAnsi="宋体"/>
          <w:bCs w:val="0"/>
          <w:caps w:val="0"/>
          <w:sz w:val="24"/>
          <w:szCs w:val="24"/>
          <w:highlight w:val="none"/>
          <w:u w:val="none"/>
        </w:rPr>
        <w:fldChar w:fldCharType="separate"/>
      </w:r>
      <w:r>
        <w:rPr>
          <w:rFonts w:hint="eastAsia"/>
          <w:sz w:val="24"/>
          <w:szCs w:val="24"/>
          <w:highlight w:val="none"/>
          <w:u w:val="none"/>
        </w:rPr>
        <w:t>第四章</w:t>
      </w:r>
      <w:r>
        <w:rPr>
          <w:sz w:val="24"/>
          <w:szCs w:val="24"/>
          <w:highlight w:val="none"/>
          <w:u w:val="none"/>
        </w:rPr>
        <w:t xml:space="preserve">  </w:t>
      </w:r>
      <w:r>
        <w:rPr>
          <w:rFonts w:hint="eastAsia"/>
          <w:sz w:val="24"/>
          <w:szCs w:val="24"/>
          <w:highlight w:val="none"/>
          <w:u w:val="none"/>
        </w:rPr>
        <w:t>评标方法及评分标准</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_Toc27382 \h </w:instrText>
      </w:r>
      <w:r>
        <w:rPr>
          <w:sz w:val="24"/>
          <w:szCs w:val="24"/>
          <w:highlight w:val="none"/>
          <w:u w:val="none"/>
        </w:rPr>
        <w:fldChar w:fldCharType="separate"/>
      </w:r>
      <w:r>
        <w:rPr>
          <w:sz w:val="24"/>
          <w:szCs w:val="24"/>
          <w:highlight w:val="none"/>
          <w:u w:val="none"/>
        </w:rPr>
        <w:t>31</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_Toc30204 </w:instrText>
      </w:r>
      <w:r>
        <w:rPr>
          <w:rFonts w:ascii="Calibri" w:hAnsi="宋体"/>
          <w:bCs w:val="0"/>
          <w:caps w:val="0"/>
          <w:sz w:val="24"/>
          <w:szCs w:val="24"/>
          <w:highlight w:val="none"/>
          <w:u w:val="none"/>
        </w:rPr>
        <w:fldChar w:fldCharType="separate"/>
      </w:r>
      <w:r>
        <w:rPr>
          <w:rFonts w:hint="eastAsia" w:ascii="Times New Roman" w:hAnsi="Times New Roman"/>
          <w:sz w:val="24"/>
          <w:szCs w:val="24"/>
          <w:highlight w:val="none"/>
          <w:u w:val="none"/>
        </w:rPr>
        <w:t xml:space="preserve">第五章 </w:t>
      </w:r>
      <w:r>
        <w:rPr>
          <w:rFonts w:hint="eastAsia" w:ascii="Times New Roman" w:hAnsi="Times New Roman"/>
          <w:sz w:val="24"/>
          <w:szCs w:val="24"/>
          <w:highlight w:val="none"/>
          <w:u w:val="none"/>
          <w:lang w:val="en-US" w:eastAsia="zh-CN"/>
        </w:rPr>
        <w:t xml:space="preserve"> </w:t>
      </w:r>
      <w:r>
        <w:rPr>
          <w:rFonts w:hint="eastAsia" w:ascii="Times New Roman" w:hAnsi="Times New Roman"/>
          <w:sz w:val="24"/>
          <w:szCs w:val="24"/>
          <w:highlight w:val="none"/>
          <w:u w:val="none"/>
        </w:rPr>
        <w:t>拟签订的合同文本</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_Toc30204 \h </w:instrText>
      </w:r>
      <w:r>
        <w:rPr>
          <w:sz w:val="24"/>
          <w:szCs w:val="24"/>
          <w:highlight w:val="none"/>
          <w:u w:val="none"/>
        </w:rPr>
        <w:fldChar w:fldCharType="separate"/>
      </w:r>
      <w:r>
        <w:rPr>
          <w:sz w:val="24"/>
          <w:szCs w:val="24"/>
          <w:highlight w:val="none"/>
          <w:u w:val="none"/>
        </w:rPr>
        <w:t>38</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_Toc17961 </w:instrText>
      </w:r>
      <w:r>
        <w:rPr>
          <w:rFonts w:ascii="Calibri" w:hAnsi="宋体"/>
          <w:bCs w:val="0"/>
          <w:caps w:val="0"/>
          <w:sz w:val="24"/>
          <w:szCs w:val="24"/>
          <w:highlight w:val="none"/>
          <w:u w:val="none"/>
        </w:rPr>
        <w:fldChar w:fldCharType="separate"/>
      </w:r>
      <w:r>
        <w:rPr>
          <w:rFonts w:hint="eastAsia" w:ascii="Times New Roman" w:hAnsi="Times New Roman"/>
          <w:sz w:val="24"/>
          <w:szCs w:val="24"/>
          <w:highlight w:val="none"/>
          <w:u w:val="none"/>
        </w:rPr>
        <w:t>第六章</w:t>
      </w:r>
      <w:r>
        <w:rPr>
          <w:rFonts w:hint="eastAsia" w:ascii="Times New Roman" w:hAnsi="Times New Roman"/>
          <w:sz w:val="24"/>
          <w:szCs w:val="24"/>
          <w:highlight w:val="none"/>
          <w:u w:val="none"/>
          <w:lang w:val="en-US" w:eastAsia="zh-CN"/>
        </w:rPr>
        <w:t xml:space="preserve"> </w:t>
      </w:r>
      <w:r>
        <w:rPr>
          <w:rFonts w:hint="eastAsia" w:ascii="Times New Roman" w:hAnsi="Times New Roman"/>
          <w:sz w:val="24"/>
          <w:szCs w:val="24"/>
          <w:highlight w:val="none"/>
          <w:u w:val="none"/>
        </w:rPr>
        <w:t xml:space="preserve"> 投标文件格式</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_Toc17961 \h </w:instrText>
      </w:r>
      <w:r>
        <w:rPr>
          <w:sz w:val="24"/>
          <w:szCs w:val="24"/>
          <w:highlight w:val="none"/>
          <w:u w:val="none"/>
        </w:rPr>
        <w:fldChar w:fldCharType="separate"/>
      </w:r>
      <w:r>
        <w:rPr>
          <w:sz w:val="24"/>
          <w:szCs w:val="24"/>
          <w:highlight w:val="none"/>
          <w:u w:val="none"/>
        </w:rPr>
        <w:t>42</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8"/>
        <w:tabs>
          <w:tab w:val="right" w:leader="dot" w:pos="9638"/>
        </w:tabs>
        <w:rPr>
          <w:sz w:val="24"/>
          <w:szCs w:val="24"/>
          <w:highlight w:val="none"/>
          <w:u w:val="none"/>
        </w:rPr>
      </w:pPr>
      <w:r>
        <w:rPr>
          <w:rFonts w:ascii="Calibri" w:hAnsi="宋体"/>
          <w:bCs w:val="0"/>
          <w:caps w:val="0"/>
          <w:sz w:val="24"/>
          <w:szCs w:val="24"/>
          <w:highlight w:val="none"/>
          <w:u w:val="none"/>
        </w:rPr>
        <w:fldChar w:fldCharType="begin"/>
      </w:r>
      <w:r>
        <w:rPr>
          <w:rFonts w:ascii="Calibri" w:hAnsi="宋体"/>
          <w:bCs w:val="0"/>
          <w:caps w:val="0"/>
          <w:sz w:val="24"/>
          <w:szCs w:val="24"/>
          <w:highlight w:val="none"/>
          <w:u w:val="none"/>
        </w:rPr>
        <w:instrText xml:space="preserve"> HYPERLINK \l _Toc10486 </w:instrText>
      </w:r>
      <w:r>
        <w:rPr>
          <w:rFonts w:ascii="Calibri" w:hAnsi="宋体"/>
          <w:bCs w:val="0"/>
          <w:caps w:val="0"/>
          <w:sz w:val="24"/>
          <w:szCs w:val="24"/>
          <w:highlight w:val="none"/>
          <w:u w:val="none"/>
        </w:rPr>
        <w:fldChar w:fldCharType="separate"/>
      </w:r>
      <w:r>
        <w:rPr>
          <w:rFonts w:hint="eastAsia" w:ascii="Times New Roman" w:hAnsi="Times New Roman" w:eastAsia="宋体" w:cs="Times New Roman"/>
          <w:sz w:val="24"/>
          <w:szCs w:val="24"/>
          <w:highlight w:val="none"/>
          <w:u w:val="none"/>
        </w:rPr>
        <w:t>第</w:t>
      </w:r>
      <w:r>
        <w:rPr>
          <w:rFonts w:hint="eastAsia" w:ascii="Times New Roman" w:hAnsi="Times New Roman" w:eastAsia="宋体" w:cs="Times New Roman"/>
          <w:sz w:val="24"/>
          <w:szCs w:val="24"/>
          <w:highlight w:val="none"/>
          <w:u w:val="none"/>
          <w:lang w:val="en-US" w:eastAsia="zh-CN"/>
        </w:rPr>
        <w:t>七</w:t>
      </w:r>
      <w:r>
        <w:rPr>
          <w:rFonts w:hint="eastAsia" w:ascii="Times New Roman" w:hAnsi="Times New Roman" w:eastAsia="宋体" w:cs="Times New Roman"/>
          <w:sz w:val="24"/>
          <w:szCs w:val="24"/>
          <w:highlight w:val="none"/>
          <w:u w:val="none"/>
        </w:rPr>
        <w:t xml:space="preserve">章 </w:t>
      </w:r>
      <w:r>
        <w:rPr>
          <w:rFonts w:hint="eastAsia" w:ascii="Times New Roman" w:hAnsi="Times New Roman" w:cs="Times New Roman"/>
          <w:sz w:val="24"/>
          <w:szCs w:val="24"/>
          <w:highlight w:val="none"/>
          <w:u w:val="none"/>
          <w:lang w:val="en-US" w:eastAsia="zh-CN"/>
        </w:rPr>
        <w:t xml:space="preserve"> </w:t>
      </w:r>
      <w:r>
        <w:rPr>
          <w:rFonts w:hint="eastAsia" w:ascii="Times New Roman" w:hAnsi="Times New Roman" w:eastAsia="宋体" w:cs="Times New Roman"/>
          <w:sz w:val="24"/>
          <w:szCs w:val="24"/>
          <w:highlight w:val="none"/>
          <w:u w:val="none"/>
          <w:lang w:eastAsia="zh-CN"/>
        </w:rPr>
        <w:t>相关政策附件</w:t>
      </w:r>
      <w:r>
        <w:rPr>
          <w:sz w:val="24"/>
          <w:szCs w:val="24"/>
          <w:highlight w:val="none"/>
          <w:u w:val="none"/>
        </w:rPr>
        <w:tab/>
      </w:r>
      <w:r>
        <w:rPr>
          <w:sz w:val="24"/>
          <w:szCs w:val="24"/>
          <w:highlight w:val="none"/>
          <w:u w:val="none"/>
        </w:rPr>
        <w:fldChar w:fldCharType="begin"/>
      </w:r>
      <w:r>
        <w:rPr>
          <w:sz w:val="24"/>
          <w:szCs w:val="24"/>
          <w:highlight w:val="none"/>
          <w:u w:val="none"/>
        </w:rPr>
        <w:instrText xml:space="preserve"> PAGEREF _Toc10486 \h </w:instrText>
      </w:r>
      <w:r>
        <w:rPr>
          <w:sz w:val="24"/>
          <w:szCs w:val="24"/>
          <w:highlight w:val="none"/>
          <w:u w:val="none"/>
        </w:rPr>
        <w:fldChar w:fldCharType="separate"/>
      </w:r>
      <w:r>
        <w:rPr>
          <w:sz w:val="24"/>
          <w:szCs w:val="24"/>
          <w:highlight w:val="none"/>
          <w:u w:val="none"/>
        </w:rPr>
        <w:t>71</w:t>
      </w:r>
      <w:r>
        <w:rPr>
          <w:sz w:val="24"/>
          <w:szCs w:val="24"/>
          <w:highlight w:val="none"/>
          <w:u w:val="none"/>
        </w:rPr>
        <w:fldChar w:fldCharType="end"/>
      </w:r>
      <w:r>
        <w:rPr>
          <w:rFonts w:ascii="Calibri" w:hAnsi="宋体"/>
          <w:bCs w:val="0"/>
          <w:caps w:val="0"/>
          <w:sz w:val="24"/>
          <w:szCs w:val="24"/>
          <w:highlight w:val="none"/>
          <w:u w:val="none"/>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Calibri" w:hAnsi="宋体"/>
          <w:b/>
          <w:bCs/>
          <w:caps/>
          <w:sz w:val="28"/>
          <w:szCs w:val="28"/>
          <w:highlight w:val="none"/>
          <w:u w:val="single"/>
        </w:rPr>
      </w:pPr>
      <w:r>
        <w:rPr>
          <w:rFonts w:ascii="Calibri" w:hAnsi="宋体"/>
          <w:bCs/>
          <w:caps/>
          <w:sz w:val="24"/>
          <w:szCs w:val="24"/>
          <w:highlight w:val="none"/>
          <w:u w:val="none"/>
        </w:rPr>
        <w:fldChar w:fldCharType="end"/>
      </w: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ascii="Calibri" w:hAnsi="宋体"/>
          <w:b/>
          <w:bCs/>
          <w:caps/>
          <w:sz w:val="28"/>
          <w:szCs w:val="28"/>
          <w:highlight w:val="none"/>
          <w:u w:val="single"/>
        </w:rPr>
      </w:pPr>
    </w:p>
    <w:p>
      <w:pPr>
        <w:pStyle w:val="15"/>
        <w:jc w:val="center"/>
        <w:rPr>
          <w:rFonts w:hint="eastAsia" w:ascii="Calibri" w:hAnsi="宋体"/>
          <w:b/>
          <w:bCs/>
          <w:caps/>
          <w:sz w:val="28"/>
          <w:szCs w:val="28"/>
          <w:highlight w:val="none"/>
          <w:u w:val="single"/>
        </w:rPr>
      </w:pPr>
    </w:p>
    <w:p>
      <w:pPr>
        <w:pStyle w:val="8"/>
        <w:ind w:left="0" w:leftChars="0" w:firstLine="0" w:firstLineChars="0"/>
        <w:rPr>
          <w:highlight w:val="none"/>
        </w:rPr>
      </w:pPr>
    </w:p>
    <w:p>
      <w:pPr>
        <w:pStyle w:val="15"/>
        <w:jc w:val="center"/>
        <w:outlineLvl w:val="0"/>
        <w:rPr>
          <w:rFonts w:hint="eastAsia" w:ascii="Times New Roman" w:hAnsi="Times New Roman" w:eastAsia="宋体" w:cs="Times New Roman"/>
          <w:b/>
          <w:color w:val="auto"/>
          <w:sz w:val="36"/>
          <w:highlight w:val="none"/>
        </w:rPr>
      </w:pPr>
      <w:r>
        <w:rPr>
          <w:rFonts w:hint="eastAsia" w:ascii="Times New Roman" w:hAnsi="Times New Roman" w:eastAsia="宋体" w:cs="Times New Roman"/>
          <w:b/>
          <w:sz w:val="36"/>
          <w:highlight w:val="none"/>
        </w:rPr>
        <w:tab/>
      </w:r>
      <w:bookmarkStart w:id="0" w:name="_Toc9853"/>
      <w:bookmarkStart w:id="1" w:name="_Toc532545041"/>
      <w:r>
        <w:rPr>
          <w:rFonts w:hint="eastAsia" w:ascii="Times New Roman" w:hAnsi="Times New Roman" w:eastAsia="宋体" w:cs="Times New Roman"/>
          <w:b/>
          <w:color w:val="auto"/>
          <w:sz w:val="36"/>
          <w:highlight w:val="none"/>
        </w:rPr>
        <w:t>第一章  招标公告</w:t>
      </w:r>
      <w:bookmarkEnd w:id="0"/>
      <w:bookmarkEnd w:id="1"/>
    </w:p>
    <w:p>
      <w:pPr>
        <w:pStyle w:val="15"/>
        <w:jc w:val="center"/>
        <w:rPr>
          <w:rFonts w:hint="eastAsia" w:hAnsi="宋体" w:cs="宋体"/>
          <w:b/>
          <w:color w:val="auto"/>
          <w:sz w:val="30"/>
          <w:szCs w:val="30"/>
          <w:highlight w:val="none"/>
        </w:rPr>
      </w:pPr>
      <w:r>
        <w:rPr>
          <w:rFonts w:hint="eastAsia" w:hAnsi="宋体" w:cs="宋体"/>
          <w:b/>
          <w:color w:val="auto"/>
          <w:sz w:val="30"/>
          <w:szCs w:val="30"/>
          <w:highlight w:val="none"/>
          <w:lang w:eastAsia="zh-CN"/>
        </w:rPr>
        <w:t>广西华利得项目管理有限公司</w:t>
      </w:r>
      <w:r>
        <w:rPr>
          <w:rFonts w:hint="eastAsia" w:hAnsi="宋体" w:cs="宋体"/>
          <w:b/>
          <w:color w:val="auto"/>
          <w:sz w:val="30"/>
          <w:szCs w:val="30"/>
          <w:highlight w:val="none"/>
        </w:rPr>
        <w:t>关于</w:t>
      </w:r>
      <w:r>
        <w:rPr>
          <w:rFonts w:hint="eastAsia" w:hAnsi="宋体" w:cs="宋体"/>
          <w:b/>
          <w:color w:val="auto"/>
          <w:sz w:val="30"/>
          <w:szCs w:val="30"/>
          <w:highlight w:val="none"/>
          <w:lang w:eastAsia="zh-CN"/>
        </w:rPr>
        <w:t>崇左市第二人民医院关于2024年物业服务采购项目</w:t>
      </w:r>
      <w:r>
        <w:rPr>
          <w:rFonts w:hint="eastAsia" w:hAnsi="宋体" w:cs="宋体"/>
          <w:b/>
          <w:color w:val="auto"/>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lang w:eastAsia="zh-CN"/>
        </w:rPr>
        <w:t>崇左市第二人民医院关于2024年物业服务采购项目</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lang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26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09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 xml:space="preserve">30 </w:t>
      </w:r>
      <w:r>
        <w:rPr>
          <w:rFonts w:hint="eastAsia" w:ascii="宋体" w:hAnsi="宋体" w:cs="宋体"/>
          <w:color w:val="auto"/>
          <w:szCs w:val="21"/>
          <w:highlight w:val="none"/>
          <w:u w:val="single"/>
        </w:rPr>
        <w:t xml:space="preserve">分 </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黑体" w:hAnsi="黑体" w:eastAsia="黑体"/>
          <w:b/>
          <w:bCs/>
          <w:color w:val="auto"/>
          <w:sz w:val="24"/>
          <w:highlight w:val="none"/>
        </w:rPr>
      </w:pPr>
      <w:bookmarkStart w:id="2" w:name="_Toc28359002"/>
      <w:bookmarkStart w:id="3" w:name="_Toc35393621"/>
      <w:bookmarkStart w:id="4" w:name="_Toc35393790"/>
      <w:bookmarkStart w:id="5" w:name="_Toc28359079"/>
      <w:bookmarkStart w:id="6" w:name="_Hlk24379207"/>
      <w:r>
        <w:rPr>
          <w:rFonts w:hint="eastAsia" w:ascii="黑体" w:hAnsi="黑体" w:eastAsia="黑体"/>
          <w:b/>
          <w:bCs/>
          <w:color w:val="auto"/>
          <w:sz w:val="24"/>
          <w:highlight w:val="none"/>
        </w:rPr>
        <w:t>一、项目基本情况</w:t>
      </w:r>
      <w:bookmarkEnd w:id="2"/>
      <w:bookmarkEnd w:id="3"/>
      <w:bookmarkEnd w:id="4"/>
      <w:bookmarkEnd w:id="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CZZC2024-G3-990012-GXHL</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崇左市第二人民医院关于2024年物业服务采购项目</w:t>
      </w:r>
      <w:r>
        <w:rPr>
          <w:rFonts w:hint="eastAsia" w:ascii="宋体" w:hAnsi="宋体"/>
          <w:color w:val="auto"/>
          <w:szCs w:val="21"/>
          <w:highlight w:val="none"/>
        </w:rPr>
        <w:t>；</w:t>
      </w:r>
    </w:p>
    <w:bookmarkEnd w:id="6"/>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预算金额：人民币</w:t>
      </w:r>
      <w:r>
        <w:rPr>
          <w:rFonts w:hint="eastAsia" w:ascii="宋体" w:hAnsi="宋体"/>
          <w:color w:val="auto"/>
          <w:szCs w:val="21"/>
          <w:highlight w:val="none"/>
          <w:lang w:val="en-US" w:eastAsia="zh-CN"/>
        </w:rPr>
        <w:t>陆佰玖拾肆万零柒佰叁拾肆元壹角玖分（￥6,940,734.19）；</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96"/>
        <w:gridCol w:w="860"/>
        <w:gridCol w:w="941"/>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5"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396"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860" w:type="dxa"/>
            <w:noWrap w:val="0"/>
            <w:vAlign w:val="center"/>
          </w:tcPr>
          <w:p>
            <w:pPr>
              <w:snapToGrid w:val="0"/>
              <w:spacing w:line="400" w:lineRule="exact"/>
              <w:jc w:val="center"/>
              <w:rPr>
                <w:rFonts w:hint="eastAsia" w:ascii="宋体" w:hAnsi="宋体"/>
                <w:color w:val="auto"/>
                <w:szCs w:val="21"/>
                <w:highlight w:val="none"/>
              </w:rPr>
            </w:pPr>
            <w:r>
              <w:rPr>
                <w:rFonts w:ascii="宋体" w:hAnsi="宋体"/>
                <w:color w:val="auto"/>
                <w:szCs w:val="21"/>
                <w:highlight w:val="none"/>
              </w:rPr>
              <w:t>数量</w:t>
            </w:r>
          </w:p>
        </w:tc>
        <w:tc>
          <w:tcPr>
            <w:tcW w:w="941" w:type="dxa"/>
            <w:noWrap w:val="0"/>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单位</w:t>
            </w:r>
          </w:p>
        </w:tc>
        <w:tc>
          <w:tcPr>
            <w:tcW w:w="5005" w:type="dxa"/>
            <w:noWrap w:val="0"/>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简要技术</w:t>
            </w:r>
            <w:r>
              <w:rPr>
                <w:rFonts w:hint="eastAsia" w:ascii="宋体" w:hAnsi="宋体"/>
                <w:color w:val="auto"/>
                <w:szCs w:val="21"/>
                <w:highlight w:val="none"/>
              </w:rPr>
              <w:t>参数性能</w:t>
            </w:r>
            <w:r>
              <w:rPr>
                <w:rFonts w:ascii="宋体" w:hAnsi="宋体"/>
                <w:color w:val="auto"/>
                <w:szCs w:val="21"/>
                <w:highlight w:val="none"/>
              </w:rPr>
              <w:t>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5" w:type="dxa"/>
            <w:noWrap w:val="0"/>
            <w:vAlign w:val="center"/>
          </w:tcPr>
          <w:p>
            <w:pPr>
              <w:spacing w:line="380" w:lineRule="exact"/>
              <w:jc w:val="center"/>
              <w:textAlignment w:val="center"/>
              <w:rPr>
                <w:rFonts w:ascii="宋体" w:hAnsi="宋体"/>
                <w:color w:val="auto"/>
                <w:szCs w:val="21"/>
                <w:highlight w:val="none"/>
              </w:rPr>
            </w:pPr>
            <w:r>
              <w:rPr>
                <w:rFonts w:hint="eastAsia" w:ascii="宋体" w:hAnsi="宋体" w:cs="宋体"/>
                <w:color w:val="auto"/>
                <w:kern w:val="0"/>
                <w:szCs w:val="21"/>
                <w:highlight w:val="none"/>
                <w:lang w:bidi="ar"/>
              </w:rPr>
              <w:t>1</w:t>
            </w:r>
          </w:p>
        </w:tc>
        <w:tc>
          <w:tcPr>
            <w:tcW w:w="1396" w:type="dxa"/>
            <w:noWrap w:val="0"/>
            <w:vAlign w:val="center"/>
          </w:tcPr>
          <w:p>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崇左市第二人民医院关于2024年物业服务采购项目</w:t>
            </w:r>
          </w:p>
        </w:tc>
        <w:tc>
          <w:tcPr>
            <w:tcW w:w="860" w:type="dxa"/>
            <w:noWrap w:val="0"/>
            <w:vAlign w:val="center"/>
          </w:tcPr>
          <w:p>
            <w:pPr>
              <w:spacing w:line="380" w:lineRule="exact"/>
              <w:jc w:val="center"/>
              <w:textAlignment w:val="center"/>
              <w:rPr>
                <w:rFonts w:ascii="宋体" w:hAnsi="宋体"/>
                <w:color w:val="auto"/>
                <w:szCs w:val="21"/>
                <w:highlight w:val="none"/>
              </w:rPr>
            </w:pPr>
            <w:r>
              <w:rPr>
                <w:rFonts w:hint="eastAsia" w:ascii="宋体" w:hAnsi="宋体" w:cs="宋体"/>
                <w:color w:val="auto"/>
                <w:szCs w:val="21"/>
                <w:highlight w:val="none"/>
              </w:rPr>
              <w:t>1</w:t>
            </w:r>
          </w:p>
        </w:tc>
        <w:tc>
          <w:tcPr>
            <w:tcW w:w="941" w:type="dxa"/>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s="宋体"/>
                <w:color w:val="auto"/>
                <w:szCs w:val="21"/>
                <w:highlight w:val="none"/>
              </w:rPr>
              <w:t>项</w:t>
            </w:r>
          </w:p>
        </w:tc>
        <w:tc>
          <w:tcPr>
            <w:tcW w:w="5005"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eastAsia="zh-CN"/>
              </w:rPr>
              <w:t>采购2024年-2027年度的物业服务项目，服务内容包括保洁员、护工、安保人员、洗涤人员等50名后勤岗位人员，主要工作内容为：整个院区、病区的所有保洁工作；安保人员秩序维护安全管理等；护工在病房护士的指导下，对患者进行生活护理和安全护理、送检等；洗涤人员负责全院被服洗涤、保管、消毒、缝补、折叠、收送工作；配备相应的保洁设备、材料、洗涤用品、生活垃圾袋等，</w:t>
            </w:r>
            <w:r>
              <w:rPr>
                <w:rFonts w:ascii="宋体" w:hAnsi="宋体"/>
                <w:color w:val="auto"/>
                <w:szCs w:val="21"/>
                <w:highlight w:val="none"/>
              </w:rPr>
              <w:t>具体内容详见</w:t>
            </w:r>
            <w:r>
              <w:rPr>
                <w:rFonts w:hint="eastAsia" w:ascii="宋体" w:hAnsi="宋体"/>
                <w:color w:val="auto"/>
                <w:szCs w:val="21"/>
                <w:highlight w:val="none"/>
              </w:rPr>
              <w:t>《项目采购需求》</w:t>
            </w:r>
          </w:p>
        </w:tc>
      </w:tr>
    </w:tbl>
    <w:p>
      <w:pPr>
        <w:spacing w:line="360" w:lineRule="auto"/>
        <w:ind w:firstLine="420" w:firstLineChars="200"/>
        <w:rPr>
          <w:color w:val="auto"/>
          <w:szCs w:val="21"/>
          <w:highlight w:val="none"/>
        </w:rPr>
      </w:pPr>
      <w:r>
        <w:rPr>
          <w:rFonts w:hAnsi="宋体"/>
          <w:color w:val="auto"/>
          <w:szCs w:val="21"/>
          <w:highlight w:val="none"/>
        </w:rPr>
        <w:t>合同履行期限：</w:t>
      </w:r>
      <w:r>
        <w:rPr>
          <w:rFonts w:hint="eastAsia" w:ascii="宋体" w:hAnsi="宋体" w:cs="宋体"/>
          <w:iCs/>
          <w:color w:val="auto"/>
          <w:szCs w:val="21"/>
          <w:highlight w:val="none"/>
        </w:rPr>
        <w:t>自签订合同之日起</w:t>
      </w:r>
      <w:r>
        <w:rPr>
          <w:rFonts w:hint="eastAsia" w:ascii="宋体" w:hAnsi="宋体" w:cs="宋体"/>
          <w:iCs/>
          <w:color w:val="auto"/>
          <w:szCs w:val="21"/>
          <w:highlight w:val="none"/>
          <w:lang w:val="en-US" w:eastAsia="zh-CN"/>
        </w:rPr>
        <w:t>叁</w:t>
      </w:r>
      <w:r>
        <w:rPr>
          <w:rFonts w:hint="eastAsia" w:ascii="宋体" w:hAnsi="宋体" w:cs="宋体"/>
          <w:iCs/>
          <w:color w:val="auto"/>
          <w:szCs w:val="21"/>
          <w:highlight w:val="none"/>
        </w:rPr>
        <w:t>年</w:t>
      </w:r>
      <w:r>
        <w:rPr>
          <w:rFonts w:hAnsi="宋体"/>
          <w:color w:val="auto"/>
          <w:szCs w:val="21"/>
          <w:highlight w:val="none"/>
        </w:rPr>
        <w:t>。</w:t>
      </w:r>
    </w:p>
    <w:p>
      <w:pPr>
        <w:spacing w:line="340" w:lineRule="exact"/>
        <w:ind w:firstLine="420" w:firstLineChars="200"/>
        <w:rPr>
          <w:rFonts w:hint="eastAsia" w:hAnsi="宋体"/>
          <w:color w:val="auto"/>
          <w:szCs w:val="21"/>
          <w:highlight w:val="none"/>
        </w:rPr>
      </w:pPr>
      <w:r>
        <w:rPr>
          <w:rFonts w:hint="eastAsia" w:hAnsi="宋体"/>
          <w:color w:val="auto"/>
          <w:szCs w:val="21"/>
          <w:highlight w:val="none"/>
        </w:rPr>
        <w:t>本标项（否）接受联合体投标。</w:t>
      </w:r>
    </w:p>
    <w:p>
      <w:pPr>
        <w:spacing w:line="360" w:lineRule="auto"/>
        <w:rPr>
          <w:rFonts w:ascii="黑体" w:hAnsi="黑体" w:eastAsia="黑体"/>
          <w:b/>
          <w:bCs/>
          <w:color w:val="auto"/>
          <w:sz w:val="24"/>
          <w:highlight w:val="none"/>
        </w:rPr>
      </w:pPr>
      <w:bookmarkStart w:id="7" w:name="_Toc28359003"/>
      <w:bookmarkStart w:id="8" w:name="_Toc28359080"/>
      <w:bookmarkStart w:id="9" w:name="_Toc35393791"/>
      <w:bookmarkStart w:id="10" w:name="_Toc35393622"/>
      <w:r>
        <w:rPr>
          <w:rFonts w:hint="eastAsia" w:ascii="黑体" w:hAnsi="黑体" w:eastAsia="黑体"/>
          <w:b/>
          <w:bCs/>
          <w:color w:val="auto"/>
          <w:sz w:val="24"/>
          <w:highlight w:val="none"/>
        </w:rPr>
        <w:t>二、申请人的资格要求：</w:t>
      </w:r>
      <w:bookmarkEnd w:id="7"/>
      <w:bookmarkEnd w:id="8"/>
      <w:bookmarkEnd w:id="9"/>
      <w:bookmarkEnd w:id="1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autoSpaceDE w:val="0"/>
        <w:spacing w:line="440" w:lineRule="exact"/>
        <w:ind w:firstLine="420" w:firstLineChars="200"/>
        <w:rPr>
          <w:rFonts w:hint="eastAsia" w:ascii="宋体" w:hAnsi="宋体"/>
          <w:color w:val="auto"/>
          <w:szCs w:val="21"/>
          <w:highlight w:val="none"/>
        </w:rPr>
      </w:pPr>
      <w:bookmarkStart w:id="11" w:name="_Toc28359004"/>
      <w:bookmarkStart w:id="12"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p>
    <w:p>
      <w:pPr>
        <w:autoSpaceDE w:val="0"/>
        <w:spacing w:line="440" w:lineRule="exact"/>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rPr>
        <w:t>专门面向中小企业采购的项目（供应商应为中小微企业、监狱企业、残疾人福利性单位)</w:t>
      </w:r>
    </w:p>
    <w:p>
      <w:pPr>
        <w:autoSpaceDE w:val="0"/>
        <w:spacing w:line="440" w:lineRule="exact"/>
        <w:ind w:firstLine="420" w:firstLineChars="200"/>
        <w:rPr>
          <w:rFonts w:hint="eastAsia" w:ascii="宋体" w:hAnsi="宋体" w:eastAsia="宋体" w:cs="宋体"/>
          <w:color w:val="auto"/>
          <w:sz w:val="24"/>
          <w:szCs w:val="24"/>
          <w:highlight w:val="none"/>
          <w:u w:val="single"/>
          <w:lang w:eastAsia="zh-CN" w:bidi="ar"/>
        </w:rPr>
      </w:pPr>
      <w:r>
        <w:rPr>
          <w:rFonts w:hint="eastAsia" w:ascii="宋体" w:hAnsi="宋体"/>
          <w:color w:val="auto"/>
          <w:highlight w:val="none"/>
          <w:lang w:eastAsia="zh-CN"/>
        </w:rPr>
        <w:t>□</w:t>
      </w:r>
      <w:r>
        <w:rPr>
          <w:rFonts w:hint="eastAsia" w:ascii="宋体" w:hAnsi="宋体"/>
          <w:color w:val="auto"/>
          <w:highlight w:val="none"/>
        </w:rPr>
        <w:t>非专门面向中小企业采购的项目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r>
        <w:rPr>
          <w:rFonts w:hint="eastAsia" w:ascii="宋体" w:hAnsi="宋体"/>
          <w:color w:val="auto"/>
          <w:szCs w:val="21"/>
          <w:highlight w:val="none"/>
        </w:rPr>
        <w:t>。</w:t>
      </w:r>
    </w:p>
    <w:p>
      <w:pPr>
        <w:spacing w:line="360" w:lineRule="auto"/>
        <w:rPr>
          <w:rFonts w:ascii="黑体" w:hAnsi="黑体" w:eastAsia="黑体"/>
          <w:b/>
          <w:bCs/>
          <w:color w:val="auto"/>
          <w:sz w:val="24"/>
          <w:highlight w:val="none"/>
        </w:rPr>
      </w:pPr>
      <w:bookmarkStart w:id="13" w:name="_Toc35393792"/>
      <w:bookmarkStart w:id="14" w:name="_Toc35393623"/>
      <w:r>
        <w:rPr>
          <w:rFonts w:hint="eastAsia" w:ascii="黑体" w:hAnsi="黑体" w:eastAsia="黑体"/>
          <w:b/>
          <w:bCs/>
          <w:color w:val="auto"/>
          <w:sz w:val="24"/>
          <w:highlight w:val="none"/>
        </w:rPr>
        <w:t>三、获取招标文件</w:t>
      </w:r>
      <w:bookmarkEnd w:id="11"/>
      <w:bookmarkEnd w:id="12"/>
      <w:bookmarkEnd w:id="13"/>
      <w:bookmarkEnd w:id="14"/>
    </w:p>
    <w:p>
      <w:pPr>
        <w:spacing w:line="360" w:lineRule="auto"/>
        <w:ind w:firstLine="420" w:firstLineChars="200"/>
        <w:rPr>
          <w:rFonts w:hint="eastAsia" w:ascii="宋体" w:hAnsi="宋体"/>
          <w:color w:val="auto"/>
          <w:szCs w:val="21"/>
          <w:highlight w:val="none"/>
        </w:rPr>
      </w:pPr>
      <w:bookmarkStart w:id="15" w:name="_Toc35393624"/>
      <w:bookmarkStart w:id="16" w:name="_Toc35393793"/>
      <w:bookmarkStart w:id="17" w:name="_Toc28359082"/>
      <w:bookmarkStart w:id="18" w:name="_Toc28359005"/>
      <w:r>
        <w:rPr>
          <w:rFonts w:hint="eastAsia" w:ascii="宋体" w:hAnsi="宋体"/>
          <w:color w:val="auto"/>
          <w:szCs w:val="21"/>
          <w:highlight w:val="none"/>
        </w:rPr>
        <w:t>时间：</w:t>
      </w:r>
      <w:r>
        <w:rPr>
          <w:rFonts w:hint="eastAsia" w:ascii="宋体" w:hAnsi="宋体"/>
          <w:color w:val="auto"/>
          <w:szCs w:val="21"/>
          <w:highlight w:val="none"/>
          <w:lang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06 </w:t>
      </w:r>
      <w:r>
        <w:rPr>
          <w:rFonts w:hint="eastAsia" w:ascii="宋体" w:hAnsi="宋体"/>
          <w:color w:val="auto"/>
          <w:szCs w:val="21"/>
          <w:highlight w:val="none"/>
        </w:rPr>
        <w:t>日至</w:t>
      </w:r>
      <w:r>
        <w:rPr>
          <w:rFonts w:hint="eastAsia" w:ascii="宋体" w:hAnsi="宋体"/>
          <w:color w:val="auto"/>
          <w:szCs w:val="21"/>
          <w:highlight w:val="none"/>
          <w:lang w:eastAsia="zh-CN"/>
        </w:rPr>
        <w:t>2024</w:t>
      </w:r>
      <w:r>
        <w:rPr>
          <w:rFonts w:hint="eastAsia" w:ascii="宋体" w:hAnsi="宋体"/>
          <w:color w:val="auto"/>
          <w:szCs w:val="21"/>
          <w:highlight w:val="none"/>
        </w:rPr>
        <w:t xml:space="preserve"> 年</w:t>
      </w:r>
      <w:r>
        <w:rPr>
          <w:rFonts w:hint="eastAsia" w:ascii="宋体" w:hAnsi="宋体"/>
          <w:color w:val="auto"/>
          <w:szCs w:val="21"/>
          <w:highlight w:val="none"/>
          <w:lang w:val="en-US" w:eastAsia="zh-CN"/>
        </w:rPr>
        <w:t xml:space="preserve"> 03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13 </w:t>
      </w:r>
      <w:r>
        <w:rPr>
          <w:rFonts w:hint="eastAsia" w:ascii="宋体" w:hAnsi="宋体"/>
          <w:color w:val="auto"/>
          <w:szCs w:val="21"/>
          <w:highlight w:val="none"/>
        </w:rPr>
        <w:t>日，每天上午00:00至12:00 ，下午12:00至23:59（北京时间，法定节假日除外）。</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方式：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bookmarkEnd w:id="15"/>
    <w:bookmarkEnd w:id="16"/>
    <w:bookmarkEnd w:id="17"/>
    <w:bookmarkEnd w:id="18"/>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 xml:space="preserve">四、响应文件提交 </w:t>
      </w:r>
    </w:p>
    <w:p>
      <w:pPr>
        <w:spacing w:line="360" w:lineRule="auto"/>
        <w:ind w:firstLine="420" w:firstLineChars="200"/>
        <w:rPr>
          <w:rFonts w:hint="eastAsia" w:ascii="宋体" w:hAnsi="宋体"/>
          <w:color w:val="auto"/>
          <w:szCs w:val="21"/>
          <w:highlight w:val="none"/>
        </w:rPr>
      </w:pPr>
      <w:bookmarkStart w:id="19" w:name="_Toc28359084"/>
      <w:bookmarkStart w:id="20" w:name="_Toc35393794"/>
      <w:bookmarkStart w:id="21" w:name="_Toc35393625"/>
      <w:bookmarkStart w:id="22" w:name="_Toc28359007"/>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截止时间：</w:t>
      </w:r>
      <w:r>
        <w:rPr>
          <w:rFonts w:hint="eastAsia" w:ascii="宋体" w:hAnsi="宋体"/>
          <w:color w:val="auto"/>
          <w:szCs w:val="21"/>
          <w:highlight w:val="none"/>
          <w:lang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26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09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 （北京时间）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地点：请登录广西政府采购云平台投标客户端投标。</w:t>
      </w:r>
    </w:p>
    <w:p>
      <w:pPr>
        <w:spacing w:line="360" w:lineRule="auto"/>
        <w:rPr>
          <w:rFonts w:hint="eastAsia"/>
          <w:highlight w:val="none"/>
        </w:rPr>
      </w:pPr>
      <w:r>
        <w:rPr>
          <w:rFonts w:hint="eastAsia" w:ascii="黑体" w:hAnsi="黑体" w:eastAsia="黑体"/>
          <w:b/>
          <w:bCs/>
          <w:color w:val="auto"/>
          <w:sz w:val="24"/>
          <w:highlight w:val="none"/>
        </w:rPr>
        <w:t xml:space="preserve">五、响应文件开启 </w:t>
      </w:r>
    </w:p>
    <w:p>
      <w:pPr>
        <w:pStyle w:val="3"/>
        <w:rPr>
          <w:rFonts w:hint="eastAsia" w:ascii="宋体" w:hAnsi="宋体" w:eastAsia="宋体" w:cs="Times New Roman"/>
          <w:color w:val="auto"/>
          <w:kern w:val="2"/>
          <w:sz w:val="21"/>
          <w:szCs w:val="21"/>
          <w:highlight w:val="none"/>
          <w:lang w:val="en-US" w:eastAsia="zh-CN" w:bidi="ar-SA"/>
        </w:rPr>
      </w:pPr>
      <w:r>
        <w:rPr>
          <w:rFonts w:hint="eastAsia"/>
          <w:highlight w:val="none"/>
        </w:rPr>
        <w:t xml:space="preserve"> </w:t>
      </w:r>
      <w:r>
        <w:rPr>
          <w:rFonts w:hint="eastAsia" w:ascii="宋体" w:hAnsi="宋体" w:eastAsia="宋体" w:cs="Times New Roman"/>
          <w:color w:val="auto"/>
          <w:kern w:val="2"/>
          <w:sz w:val="21"/>
          <w:szCs w:val="21"/>
          <w:highlight w:val="none"/>
          <w:lang w:val="en-US" w:eastAsia="zh-CN" w:bidi="ar-SA"/>
        </w:rPr>
        <w:t xml:space="preserve">  1.开启时间：2024年03月</w:t>
      </w:r>
      <w:r>
        <w:rPr>
          <w:rFonts w:hint="eastAsia" w:ascii="宋体" w:hAnsi="宋体" w:cs="Times New Roman"/>
          <w:color w:val="auto"/>
          <w:kern w:val="2"/>
          <w:sz w:val="21"/>
          <w:szCs w:val="21"/>
          <w:highlight w:val="none"/>
          <w:lang w:val="en-US" w:eastAsia="zh-CN" w:bidi="ar-SA"/>
        </w:rPr>
        <w:t xml:space="preserve"> 26 </w:t>
      </w:r>
      <w:r>
        <w:rPr>
          <w:rFonts w:hint="eastAsia" w:ascii="宋体" w:hAnsi="宋体" w:eastAsia="宋体" w:cs="Times New Roman"/>
          <w:color w:val="auto"/>
          <w:kern w:val="2"/>
          <w:sz w:val="21"/>
          <w:szCs w:val="21"/>
          <w:highlight w:val="none"/>
          <w:lang w:val="en-US" w:eastAsia="zh-CN" w:bidi="ar-SA"/>
        </w:rPr>
        <w:t>日 09时30分 （北京时间）</w:t>
      </w:r>
    </w:p>
    <w:p>
      <w:pPr>
        <w:pStyle w:val="3"/>
        <w:rPr>
          <w:rFonts w:hint="eastAsia"/>
          <w:highlight w:val="none"/>
        </w:rPr>
      </w:pPr>
      <w:r>
        <w:rPr>
          <w:rFonts w:hint="eastAsia" w:ascii="宋体" w:hAnsi="宋体" w:eastAsia="宋体" w:cs="Times New Roman"/>
          <w:color w:val="auto"/>
          <w:kern w:val="2"/>
          <w:sz w:val="21"/>
          <w:szCs w:val="21"/>
          <w:highlight w:val="none"/>
          <w:lang w:val="en-US" w:eastAsia="zh-CN" w:bidi="ar-SA"/>
        </w:rPr>
        <w:t xml:space="preserve">   2.地点：通过广西政府采购云平台在线解密开启</w:t>
      </w:r>
      <w:r>
        <w:rPr>
          <w:rFonts w:hint="eastAsia"/>
          <w:highlight w:val="none"/>
        </w:rPr>
        <w:t>。</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lang w:val="en-US" w:eastAsia="zh-CN"/>
        </w:rPr>
        <w:t>六</w:t>
      </w:r>
      <w:r>
        <w:rPr>
          <w:rFonts w:hint="eastAsia" w:ascii="黑体" w:hAnsi="黑体" w:eastAsia="黑体"/>
          <w:b/>
          <w:bCs/>
          <w:color w:val="auto"/>
          <w:sz w:val="24"/>
          <w:highlight w:val="none"/>
        </w:rPr>
        <w:t>、公告期限</w:t>
      </w:r>
      <w:bookmarkEnd w:id="19"/>
      <w:bookmarkEnd w:id="20"/>
      <w:bookmarkEnd w:id="21"/>
      <w:bookmarkEnd w:id="2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23" w:name="_Toc35393626"/>
      <w:bookmarkStart w:id="24" w:name="_Toc35393795"/>
      <w:r>
        <w:rPr>
          <w:rFonts w:hint="eastAsia" w:ascii="黑体" w:hAnsi="黑体" w:eastAsia="黑体"/>
          <w:b/>
          <w:bCs/>
          <w:color w:val="auto"/>
          <w:sz w:val="24"/>
          <w:highlight w:val="none"/>
          <w:lang w:val="en-US" w:eastAsia="zh-CN"/>
        </w:rPr>
        <w:t>七</w:t>
      </w:r>
      <w:r>
        <w:rPr>
          <w:rFonts w:hint="eastAsia" w:ascii="黑体" w:hAnsi="黑体" w:eastAsia="黑体"/>
          <w:b/>
          <w:bCs/>
          <w:color w:val="auto"/>
          <w:sz w:val="24"/>
          <w:highlight w:val="none"/>
        </w:rPr>
        <w:t>、其他补充事宜</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bookmarkStart w:id="25" w:name="_Toc28359008"/>
      <w:bookmarkStart w:id="26" w:name="_Toc28359085"/>
      <w:bookmarkStart w:id="27" w:name="_Toc35393627"/>
      <w:bookmarkStart w:id="28" w:name="_Toc35393796"/>
      <w:r>
        <w:rPr>
          <w:rFonts w:hint="eastAsia" w:ascii="宋体" w:hAnsi="宋体" w:cs="宋体"/>
          <w:color w:val="auto"/>
          <w:kern w:val="0"/>
          <w:szCs w:val="21"/>
          <w:highlight w:val="none"/>
          <w:lang w:val="en-US" w:eastAsia="zh-CN"/>
        </w:rPr>
        <w:t>1.投标保证金：本项目不收取投标保证金；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5.在线投标响应（电子投标）说明：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p>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6.http://www.ccgp.gov.cn（中国政府采购网）、http://zfcg.gxzf.gov.cn（广西壮族自治区政府采购网）、ggzy.jgswj.gxzf.gov.cn/czggzy【全国公共资源交易平台】(广西.崇左）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5"/>
      <w:bookmarkEnd w:id="26"/>
      <w:bookmarkEnd w:id="27"/>
      <w:bookmarkEnd w:id="28"/>
    </w:p>
    <w:p>
      <w:pPr>
        <w:spacing w:line="360" w:lineRule="auto"/>
        <w:jc w:val="left"/>
        <w:rPr>
          <w:rFonts w:ascii="宋体" w:hAnsi="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1.采购人信息</w:t>
      </w:r>
    </w:p>
    <w:p>
      <w:pPr>
        <w:spacing w:line="360" w:lineRule="auto"/>
        <w:ind w:left="1041" w:leftChars="371" w:hanging="262" w:hangingChars="125"/>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名 称：崇左市第二人民医院 </w:t>
      </w:r>
    </w:p>
    <w:p>
      <w:pPr>
        <w:spacing w:line="360" w:lineRule="auto"/>
        <w:ind w:left="1041" w:leftChars="371" w:hanging="262" w:hangingChars="125"/>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地址：广西崇左市江州区江州镇江州东街359号 </w:t>
      </w:r>
    </w:p>
    <w:p>
      <w:pPr>
        <w:spacing w:line="360" w:lineRule="auto"/>
        <w:ind w:left="1041" w:leftChars="371" w:hanging="262" w:hangingChars="1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联系人：黄工</w:t>
      </w:r>
    </w:p>
    <w:p>
      <w:pPr>
        <w:spacing w:line="360" w:lineRule="auto"/>
        <w:ind w:left="1041" w:leftChars="371" w:hanging="262" w:hangingChars="12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联系电话：0771-7835983</w:t>
      </w:r>
    </w:p>
    <w:p>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360" w:lineRule="auto"/>
        <w:ind w:firstLine="735" w:firstLineChars="350"/>
        <w:rPr>
          <w:rFonts w:hint="eastAsia" w:ascii="宋体" w:hAnsi="宋体"/>
          <w:color w:val="auto"/>
          <w:szCs w:val="21"/>
          <w:highlight w:val="none"/>
          <w:u w:val="none"/>
          <w:lang w:eastAsia="zh-CN"/>
        </w:rPr>
      </w:pPr>
      <w:r>
        <w:rPr>
          <w:rFonts w:hint="eastAsia" w:ascii="宋体" w:hAnsi="宋体"/>
          <w:color w:val="auto"/>
          <w:szCs w:val="21"/>
          <w:highlight w:val="none"/>
          <w:u w:val="none"/>
        </w:rPr>
        <w:t>名 称：</w:t>
      </w:r>
      <w:r>
        <w:rPr>
          <w:rFonts w:hint="eastAsia" w:ascii="宋体" w:hAnsi="宋体"/>
          <w:color w:val="auto"/>
          <w:szCs w:val="21"/>
          <w:highlight w:val="none"/>
          <w:u w:val="none"/>
          <w:lang w:eastAsia="zh-CN"/>
        </w:rPr>
        <w:t>广西华利得项目管理有限公司</w:t>
      </w:r>
    </w:p>
    <w:p>
      <w:pPr>
        <w:spacing w:line="360" w:lineRule="auto"/>
        <w:ind w:firstLine="735" w:firstLineChars="350"/>
        <w:rPr>
          <w:rFonts w:hint="eastAsia" w:ascii="宋体" w:hAnsi="宋体"/>
          <w:color w:val="auto"/>
          <w:szCs w:val="21"/>
          <w:highlight w:val="none"/>
          <w:u w:val="none"/>
        </w:rPr>
      </w:pPr>
      <w:r>
        <w:rPr>
          <w:rFonts w:hint="eastAsia" w:ascii="宋体" w:hAnsi="宋体"/>
          <w:color w:val="auto"/>
          <w:szCs w:val="21"/>
          <w:highlight w:val="none"/>
          <w:u w:val="none"/>
        </w:rPr>
        <w:t>地址：广西崇左市花山路嘉苑小区F组团F-25号</w:t>
      </w:r>
    </w:p>
    <w:p>
      <w:pPr>
        <w:spacing w:line="360" w:lineRule="auto"/>
        <w:ind w:firstLine="735" w:firstLineChars="350"/>
        <w:rPr>
          <w:rFonts w:hint="eastAsia" w:ascii="宋体" w:hAnsi="宋体"/>
          <w:color w:val="auto"/>
          <w:szCs w:val="21"/>
          <w:highlight w:val="none"/>
          <w:u w:val="none"/>
        </w:rPr>
      </w:pPr>
      <w:r>
        <w:rPr>
          <w:rFonts w:hint="eastAsia" w:ascii="宋体" w:hAnsi="宋体"/>
          <w:color w:val="auto"/>
          <w:szCs w:val="21"/>
          <w:highlight w:val="none"/>
          <w:u w:val="none"/>
        </w:rPr>
        <w:t>联系方式：0771-7911616</w:t>
      </w:r>
    </w:p>
    <w:p>
      <w:pPr>
        <w:spacing w:line="360" w:lineRule="auto"/>
        <w:ind w:firstLine="735" w:firstLineChars="350"/>
        <w:rPr>
          <w:rFonts w:ascii="宋体" w:hAnsi="宋体"/>
          <w:color w:val="auto"/>
          <w:szCs w:val="21"/>
          <w:highlight w:val="none"/>
          <w:u w:val="none"/>
        </w:rPr>
      </w:pPr>
      <w:r>
        <w:rPr>
          <w:rFonts w:hint="eastAsia" w:ascii="宋体" w:hAnsi="宋体"/>
          <w:color w:val="auto"/>
          <w:szCs w:val="21"/>
          <w:highlight w:val="none"/>
          <w:u w:val="none"/>
        </w:rPr>
        <w:t>3</w:t>
      </w:r>
      <w:r>
        <w:rPr>
          <w:rFonts w:ascii="宋体" w:hAnsi="宋体"/>
          <w:color w:val="auto"/>
          <w:szCs w:val="21"/>
          <w:highlight w:val="none"/>
          <w:u w:val="none"/>
        </w:rPr>
        <w:t>.</w:t>
      </w:r>
      <w:r>
        <w:rPr>
          <w:rFonts w:hint="eastAsia" w:ascii="宋体" w:hAnsi="宋体"/>
          <w:color w:val="auto"/>
          <w:szCs w:val="21"/>
          <w:highlight w:val="none"/>
          <w:u w:val="none"/>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color w:val="auto"/>
          <w:szCs w:val="21"/>
          <w:highlight w:val="none"/>
          <w:u w:val="none"/>
        </w:rPr>
      </w:pPr>
      <w:bookmarkStart w:id="29" w:name="PO_3000001867_PM031_2"/>
      <w:r>
        <w:rPr>
          <w:rFonts w:hint="eastAsia" w:ascii="宋体" w:hAnsi="宋体"/>
          <w:color w:val="auto"/>
          <w:szCs w:val="21"/>
          <w:highlight w:val="none"/>
          <w:u w:val="none"/>
        </w:rPr>
        <w:t xml:space="preserve">项目联系人：黄璐璐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color w:val="auto"/>
          <w:szCs w:val="21"/>
          <w:highlight w:val="none"/>
          <w:u w:val="single"/>
        </w:rPr>
      </w:pPr>
      <w:r>
        <w:rPr>
          <w:rFonts w:hint="eastAsia" w:ascii="宋体" w:hAnsi="宋体"/>
          <w:color w:val="auto"/>
          <w:szCs w:val="21"/>
          <w:highlight w:val="none"/>
          <w:u w:val="none"/>
        </w:rPr>
        <w:t>电 话：0771-7911616</w:t>
      </w:r>
    </w:p>
    <w:bookmarkEnd w:id="29"/>
    <w:p>
      <w:pPr>
        <w:spacing w:line="360" w:lineRule="auto"/>
        <w:ind w:firstLine="210" w:firstLineChars="100"/>
        <w:jc w:val="center"/>
        <w:rPr>
          <w:rFonts w:hint="eastAsia" w:ascii="宋体" w:hAnsi="宋体"/>
          <w:color w:val="auto"/>
          <w:highlight w:val="none"/>
        </w:rPr>
      </w:pPr>
      <w:r>
        <w:rPr>
          <w:rFonts w:hint="eastAsia" w:ascii="宋体" w:hAnsi="宋体"/>
          <w:color w:val="auto"/>
          <w:szCs w:val="21"/>
          <w:highlight w:val="none"/>
        </w:rPr>
        <w:t xml:space="preserve">                                           </w:t>
      </w:r>
    </w:p>
    <w:p>
      <w:pPr>
        <w:snapToGrid w:val="0"/>
        <w:spacing w:line="360" w:lineRule="auto"/>
        <w:ind w:firstLine="420"/>
        <w:rPr>
          <w:rFonts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pPr>
        <w:pStyle w:val="15"/>
        <w:jc w:val="center"/>
        <w:outlineLvl w:val="0"/>
        <w:rPr>
          <w:rFonts w:hint="eastAsia" w:ascii="Times New Roman" w:hAnsi="Times New Roman"/>
          <w:b/>
          <w:color w:val="auto"/>
          <w:sz w:val="36"/>
          <w:highlight w:val="none"/>
        </w:rPr>
      </w:pPr>
      <w:bookmarkStart w:id="30" w:name="_Toc532545042"/>
      <w:bookmarkStart w:id="31" w:name="_Toc22159"/>
    </w:p>
    <w:p>
      <w:pPr>
        <w:pStyle w:val="15"/>
        <w:jc w:val="center"/>
        <w:outlineLvl w:val="0"/>
        <w:rPr>
          <w:rFonts w:hint="eastAsia" w:ascii="Times New Roman" w:hAnsi="Times New Roman"/>
          <w:b/>
          <w:color w:val="auto"/>
          <w:sz w:val="36"/>
          <w:highlight w:val="none"/>
        </w:rPr>
      </w:pPr>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30"/>
      <w:r>
        <w:rPr>
          <w:rFonts w:hint="eastAsia" w:ascii="Times New Roman" w:hAnsi="Times New Roman"/>
          <w:b/>
          <w:color w:val="auto"/>
          <w:sz w:val="36"/>
          <w:highlight w:val="none"/>
        </w:rPr>
        <w:t>采购需求</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2"/>
        <w:jc w:val="left"/>
        <w:textAlignment w:val="auto"/>
        <w:rPr>
          <w:rFonts w:hint="eastAsia" w:ascii="宋体" w:hAnsi="宋体" w:cs="宋体"/>
          <w:color w:val="auto"/>
          <w:szCs w:val="21"/>
          <w:highlight w:val="none"/>
        </w:rPr>
      </w:pP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bidi="ar"/>
        </w:rPr>
        <w:t>中小企业划分标准所属行业</w:t>
      </w:r>
      <w:r>
        <w:rPr>
          <w:rFonts w:hint="eastAsia" w:ascii="宋体" w:hAnsi="宋体" w:eastAsia="宋体" w:cs="宋体"/>
          <w:color w:val="auto"/>
          <w:szCs w:val="21"/>
          <w:highlight w:val="none"/>
          <w:lang w:eastAsia="zh-CN" w:bidi="ar"/>
        </w:rPr>
        <w:t>：</w:t>
      </w:r>
      <w:r>
        <w:rPr>
          <w:rFonts w:hint="eastAsia" w:ascii="宋体" w:hAnsi="宋体" w:eastAsia="宋体" w:cs="宋体"/>
          <w:b/>
          <w:bCs/>
          <w:color w:val="auto"/>
          <w:szCs w:val="21"/>
          <w:highlight w:val="none"/>
          <w:lang w:val="en-US" w:eastAsia="zh-CN" w:bidi="ar"/>
        </w:rPr>
        <w:t>物业管理</w:t>
      </w:r>
    </w:p>
    <w:p>
      <w:pPr>
        <w:adjustRightInd w:val="0"/>
        <w:spacing w:line="340" w:lineRule="exact"/>
        <w:rPr>
          <w:rFonts w:hAnsi="宋体"/>
          <w:b/>
          <w:color w:val="auto"/>
          <w:szCs w:val="21"/>
          <w:highlight w:val="none"/>
        </w:rPr>
      </w:pPr>
    </w:p>
    <w:tbl>
      <w:tblPr>
        <w:tblStyle w:val="22"/>
        <w:tblW w:w="10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2"/>
        <w:gridCol w:w="863"/>
        <w:gridCol w:w="7036"/>
        <w:gridCol w:w="1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435"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一、项目要求及技术服务要求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数量/单位</w:t>
            </w:r>
          </w:p>
        </w:tc>
        <w:tc>
          <w:tcPr>
            <w:tcW w:w="7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服务内容及要求</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划分标准</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所属行业</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w:t>
            </w:r>
            <w:r>
              <w:rPr>
                <w:rFonts w:hint="eastAsia" w:ascii="宋体" w:hAnsi="宋体" w:cs="宋体"/>
                <w:b/>
                <w:color w:val="auto"/>
                <w:szCs w:val="21"/>
                <w:highlight w:val="none"/>
                <w:lang w:val="en-US" w:eastAsia="zh-CN"/>
              </w:rPr>
              <w:t>行</w:t>
            </w:r>
            <w:r>
              <w:rPr>
                <w:rFonts w:hint="eastAsia" w:ascii="宋体" w:hAnsi="宋体" w:cs="宋体"/>
                <w:b/>
                <w:color w:val="auto"/>
                <w:szCs w:val="21"/>
                <w:highlight w:val="none"/>
              </w:rPr>
              <w:t>业</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名称及划</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分见本章</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附件 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textAlignment w:val="center"/>
              <w:rPr>
                <w:rFonts w:hint="eastAsia" w:ascii="宋体" w:hAnsi="宋体" w:cs="宋体"/>
                <w:color w:val="auto"/>
                <w:szCs w:val="21"/>
                <w:highlight w:val="none"/>
              </w:rPr>
            </w:pPr>
          </w:p>
          <w:p>
            <w:pPr>
              <w:spacing w:line="264"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崇左市第二人民医院关于2024年物业服务采购项目</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一、</w:t>
            </w:r>
            <w:r>
              <w:rPr>
                <w:rFonts w:hint="eastAsia" w:ascii="宋体" w:hAnsi="宋体" w:eastAsia="宋体" w:cs="宋体"/>
                <w:b/>
                <w:color w:val="auto"/>
                <w:sz w:val="21"/>
                <w:szCs w:val="21"/>
                <w:highlight w:val="none"/>
              </w:rPr>
              <w:t>项目</w:t>
            </w:r>
            <w:r>
              <w:rPr>
                <w:rFonts w:hint="eastAsia" w:ascii="宋体" w:hAnsi="宋体" w:eastAsia="宋体" w:cs="宋体"/>
                <w:b/>
                <w:bCs/>
                <w:color w:val="auto"/>
                <w:sz w:val="21"/>
                <w:szCs w:val="21"/>
                <w:highlight w:val="none"/>
              </w:rPr>
              <w:t>概况</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rPr>
              <w:t>采购2024年-2027年度的物业服务项目，服务内容包括保洁员、护工、安保人员、洗涤人员等50名后勤岗位人员，主要工作内容为：整个院区、病区的所有保洁工作；安保人员秩序维护安全管理等；护工在病房护士的指导下，对患者进行生活护理和安全护理、送检等；洗涤人员负责全院被服洗涤、保管、消毒、缝补、折叠、收送工作；配备相应的保洁设备、材料、洗涤用品、生活垃圾袋等</w:t>
            </w:r>
            <w:r>
              <w:rPr>
                <w:rFonts w:hint="eastAsia" w:ascii="宋体" w:hAnsi="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二、崇左市第二人民医院关于2024年物业服务采购项目采用费用总包干制</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实行总包制，包括但不限于服务人员费用（含工资、社保费、劳保、意外伤害保险、福利、 加班费、奖金等）、服务材料消耗品与补充、更换、维修维护、服装等费用、办公费用（含对讲机、通讯费、办公用品、培训费、维修费等）、人工费、清洁费用（含工具、材料等）、管理费、 利润、税费等完成合同所需的一切本身和不可或缺的所有开支、政策性文件规定的合同包含的所有风险、责任等各项全部费用的总和。</w:t>
            </w:r>
          </w:p>
          <w:p>
            <w:pPr>
              <w:pStyle w:val="3"/>
              <w:numPr>
                <w:ilvl w:val="0"/>
                <w:numId w:val="0"/>
              </w:numPr>
              <w:ind w:left="0" w:leftChars="0" w:firstLine="422" w:firstLineChars="200"/>
              <w:rPr>
                <w:rFonts w:hint="eastAsia"/>
                <w:highlight w:val="none"/>
                <w:lang w:val="en-US" w:eastAsia="zh-CN"/>
              </w:rPr>
            </w:pPr>
            <w:r>
              <w:rPr>
                <w:rFonts w:hint="eastAsia" w:ascii="宋体" w:hAnsi="宋体" w:cs="宋体"/>
                <w:b/>
                <w:bCs/>
                <w:color w:val="auto"/>
                <w:szCs w:val="21"/>
                <w:highlight w:val="none"/>
              </w:rPr>
              <w:t>▲</w:t>
            </w:r>
            <w:r>
              <w:rPr>
                <w:rFonts w:hint="eastAsia" w:cs="Times New Roman"/>
                <w:kern w:val="2"/>
                <w:sz w:val="21"/>
                <w:szCs w:val="24"/>
                <w:highlight w:val="none"/>
                <w:lang w:val="en-US" w:eastAsia="zh-CN" w:bidi="ar-SA"/>
              </w:rPr>
              <w:t>三</w:t>
            </w:r>
            <w:r>
              <w:rPr>
                <w:rFonts w:hint="eastAsia" w:ascii="Times New Roman" w:hAnsi="Times New Roman" w:eastAsia="宋体" w:cs="Times New Roman"/>
                <w:kern w:val="2"/>
                <w:sz w:val="21"/>
                <w:szCs w:val="24"/>
                <w:highlight w:val="none"/>
                <w:lang w:val="en-US" w:eastAsia="zh-CN" w:bidi="ar-SA"/>
              </w:rPr>
              <w:t>、</w:t>
            </w:r>
            <w:r>
              <w:rPr>
                <w:rFonts w:hint="eastAsia"/>
                <w:b/>
                <w:bCs/>
                <w:highlight w:val="none"/>
                <w:lang w:val="en-US" w:eastAsia="zh-CN"/>
              </w:rPr>
              <w:t>护工服务内容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40" w:firstLineChars="200"/>
              <w:textAlignment w:val="auto"/>
              <w:rPr>
                <w:rFonts w:hint="default"/>
                <w:sz w:val="22"/>
                <w:szCs w:val="28"/>
                <w:highlight w:val="none"/>
                <w:lang w:val="en-US" w:eastAsia="zh-CN"/>
              </w:rPr>
            </w:pPr>
            <w:r>
              <w:rPr>
                <w:rFonts w:hint="eastAsia"/>
                <w:sz w:val="22"/>
                <w:szCs w:val="28"/>
                <w:highlight w:val="none"/>
                <w:lang w:val="en-US" w:eastAsia="zh-CN"/>
              </w:rPr>
              <w:t>1.</w:t>
            </w:r>
            <w:r>
              <w:rPr>
                <w:rFonts w:hint="eastAsia"/>
                <w:sz w:val="22"/>
                <w:szCs w:val="28"/>
                <w:highlight w:val="none"/>
                <w:lang w:eastAsia="zh-CN"/>
              </w:rPr>
              <w:t>根据采购人工作需要，根据采购人主要岗位配置需求，提供护工</w:t>
            </w:r>
            <w:r>
              <w:rPr>
                <w:rFonts w:hint="eastAsia"/>
                <w:sz w:val="22"/>
                <w:szCs w:val="28"/>
                <w:highlight w:val="none"/>
                <w:lang w:val="en-US" w:eastAsia="zh-CN"/>
              </w:rPr>
              <w:t>24</w:t>
            </w:r>
            <w:r>
              <w:rPr>
                <w:rFonts w:hint="eastAsia"/>
                <w:sz w:val="22"/>
                <w:szCs w:val="28"/>
                <w:highlight w:val="none"/>
                <w:lang w:eastAsia="zh-CN"/>
              </w:rPr>
              <w:t>名。具体岗位配置由采购人根据管理需要进行调配，精神科病区1、2、3、4楼病人生活护理</w:t>
            </w:r>
            <w:r>
              <w:rPr>
                <w:rFonts w:hint="eastAsia"/>
                <w:sz w:val="22"/>
                <w:szCs w:val="28"/>
                <w:highlight w:val="none"/>
                <w:lang w:val="en-US" w:eastAsia="zh-CN"/>
              </w:rPr>
              <w:t>16名</w:t>
            </w:r>
            <w:r>
              <w:rPr>
                <w:rFonts w:hint="eastAsia"/>
                <w:sz w:val="22"/>
                <w:szCs w:val="28"/>
                <w:highlight w:val="none"/>
                <w:lang w:eastAsia="zh-CN"/>
              </w:rPr>
              <w:t>；精神科6、7病区护理员</w:t>
            </w:r>
            <w:r>
              <w:rPr>
                <w:rFonts w:hint="eastAsia"/>
                <w:sz w:val="22"/>
                <w:szCs w:val="28"/>
                <w:highlight w:val="none"/>
                <w:lang w:val="en-US" w:eastAsia="zh-CN"/>
              </w:rPr>
              <w:t>各</w:t>
            </w:r>
            <w:r>
              <w:rPr>
                <w:rFonts w:hint="eastAsia"/>
                <w:sz w:val="22"/>
                <w:szCs w:val="28"/>
                <w:highlight w:val="none"/>
                <w:lang w:eastAsia="zh-CN"/>
              </w:rPr>
              <w:t>4名：服从工作安排，主要负责病人的生活、饮食、服药护理及协助护士做好病人的安全护理。</w:t>
            </w:r>
          </w:p>
          <w:p>
            <w:pPr>
              <w:pStyle w:val="3"/>
              <w:ind w:firstLine="422" w:firstLineChars="200"/>
              <w:rPr>
                <w:rFonts w:hint="default"/>
                <w:b/>
                <w:bCs/>
                <w:highlight w:val="none"/>
                <w:lang w:val="en-US" w:eastAsia="zh-CN"/>
              </w:rPr>
            </w:pPr>
            <w:r>
              <w:rPr>
                <w:rFonts w:hint="eastAsia" w:ascii="宋体" w:hAnsi="宋体" w:cs="宋体"/>
                <w:b/>
                <w:bCs/>
                <w:color w:val="auto"/>
                <w:szCs w:val="21"/>
                <w:highlight w:val="none"/>
              </w:rPr>
              <w:t>▲</w:t>
            </w:r>
            <w:r>
              <w:rPr>
                <w:rFonts w:hint="eastAsia"/>
                <w:b/>
                <w:bCs/>
                <w:highlight w:val="none"/>
                <w:lang w:val="en-US" w:eastAsia="zh-CN"/>
              </w:rPr>
              <w:t>四、保洁、洗涤服务内容</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highlight w:val="none"/>
                <w:lang w:val="en-US" w:eastAsia="zh-CN"/>
              </w:rPr>
            </w:pPr>
            <w:r>
              <w:rPr>
                <w:rFonts w:hint="eastAsia"/>
                <w:highlight w:val="none"/>
                <w:lang w:val="en-US" w:eastAsia="zh-CN"/>
              </w:rPr>
              <w:t>1.采购人单位所属范围内应急传染楼病区、综合大楼、精神科病区、特殊病区、康复科等环境及所有日常相关设施（包含但不限于门、窗、桌、椅、床、柜、便池、垃圾桶等）的物表及整个院区、病区的所有保洁工作工作。保洁工作的服务质量标准必须符合相关内容的要求。负责分拣、打包、收集各科室输液空瓶并运送至暂存点，并配合回收公司来收运。保洁员15名，专项保洁员2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highlight w:val="none"/>
                <w:lang w:val="en-US" w:eastAsia="zh-CN"/>
              </w:rPr>
            </w:pPr>
            <w:r>
              <w:rPr>
                <w:rFonts w:hint="eastAsia"/>
                <w:highlight w:val="none"/>
                <w:lang w:val="en-US" w:eastAsia="zh-CN"/>
              </w:rPr>
              <w:t>2.根据采购人实际工作需要，对病房及各部门的各类布草按照《医院医用织物洗涤消毒技术规范》要求，洗涤人员每日进行负责全院被服洗涤、保管、消毒、缝补、折叠、收送工作满足采购人使用需求。洗涤员3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val="en-US" w:eastAsia="zh-CN"/>
              </w:rPr>
            </w:pPr>
            <w:r>
              <w:rPr>
                <w:rFonts w:hint="eastAsia"/>
                <w:highlight w:val="none"/>
                <w:lang w:val="en-US" w:eastAsia="zh-CN"/>
              </w:rPr>
              <w:t>3.根据实际工作需要，对每日布草按规定时间上收下送。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val="en-US" w:eastAsia="zh-CN"/>
              </w:rPr>
            </w:pPr>
            <w:r>
              <w:rPr>
                <w:rFonts w:hint="eastAsia"/>
                <w:highlight w:val="none"/>
                <w:lang w:val="en-US" w:eastAsia="zh-CN"/>
              </w:rPr>
              <w:t>4.每日对库存的和处理的布草进行统计，根据采购人实际工作需要，及时做好补充计划和工作安排，满足采购人使用需求。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val="en-US" w:eastAsia="zh-CN"/>
              </w:rPr>
            </w:pPr>
            <w:r>
              <w:rPr>
                <w:rFonts w:hint="eastAsia"/>
                <w:highlight w:val="none"/>
                <w:lang w:val="en-US" w:eastAsia="zh-CN"/>
              </w:rPr>
              <w:t>5.每月被服清洗由甲乙双方签字交接，每年对应合同日期汇总统计上年度被服清洗数量。</w:t>
            </w:r>
          </w:p>
          <w:p>
            <w:pPr>
              <w:pStyle w:val="3"/>
              <w:ind w:firstLine="422" w:firstLineChars="200"/>
              <w:rPr>
                <w:rFonts w:hint="default"/>
                <w:b/>
                <w:bCs/>
                <w:highlight w:val="none"/>
                <w:lang w:val="en-US" w:eastAsia="zh-CN"/>
              </w:rPr>
            </w:pPr>
            <w:r>
              <w:rPr>
                <w:rFonts w:hint="eastAsia" w:ascii="宋体" w:hAnsi="宋体" w:cs="宋体"/>
                <w:b/>
                <w:bCs/>
                <w:color w:val="auto"/>
                <w:szCs w:val="21"/>
                <w:highlight w:val="none"/>
              </w:rPr>
              <w:t>▲</w:t>
            </w:r>
            <w:r>
              <w:rPr>
                <w:rFonts w:hint="eastAsia"/>
                <w:b/>
                <w:bCs/>
                <w:highlight w:val="none"/>
                <w:lang w:val="en-US" w:eastAsia="zh-CN"/>
              </w:rPr>
              <w:t>五、保安服务内容，</w:t>
            </w:r>
            <w:r>
              <w:rPr>
                <w:rFonts w:hint="default"/>
                <w:b/>
                <w:bCs/>
                <w:highlight w:val="none"/>
                <w:lang w:val="en-US" w:eastAsia="zh-CN"/>
              </w:rPr>
              <w:t>安保员</w:t>
            </w:r>
            <w:r>
              <w:rPr>
                <w:rFonts w:hint="eastAsia"/>
                <w:b/>
                <w:bCs/>
                <w:highlight w:val="none"/>
                <w:lang w:val="en-US" w:eastAsia="zh-CN"/>
              </w:rPr>
              <w:t>5名。</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1.医院大门口：主要负责医院院区的车辆、人员管理，以及物品的出入管理，严格按医院院区管理规定执行。</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2.病区门岗：落实探视制度，打击违纪违法行为。</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3.监控室、巡逻岗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val="0"/>
                <w:bCs w:val="0"/>
                <w:highlight w:val="none"/>
                <w:lang w:val="en-US" w:eastAsia="zh-CN"/>
              </w:rPr>
            </w:pPr>
            <w:r>
              <w:rPr>
                <w:rFonts w:hint="eastAsia" w:ascii="宋体" w:hAnsi="宋体" w:cs="宋体"/>
                <w:b/>
                <w:bCs/>
                <w:color w:val="auto"/>
                <w:szCs w:val="21"/>
                <w:highlight w:val="none"/>
              </w:rPr>
              <w:t>▲</w:t>
            </w:r>
            <w:r>
              <w:rPr>
                <w:rFonts w:hint="eastAsia"/>
                <w:b/>
                <w:bCs/>
                <w:highlight w:val="none"/>
                <w:lang w:val="en-US" w:eastAsia="zh-CN"/>
              </w:rPr>
              <w:t>六：管理人员一名：</w:t>
            </w:r>
            <w:r>
              <w:rPr>
                <w:rFonts w:hint="eastAsia"/>
                <w:b w:val="0"/>
                <w:bCs w:val="0"/>
                <w:highlight w:val="none"/>
                <w:lang w:val="en-US" w:eastAsia="zh-CN"/>
              </w:rPr>
              <w:t>负责物业服务中心日常管理工作。具有大专及以上学历，具有物业服务项目管理经验，无不良记录。有较高政治思想素质，良好的服务意识、较强的责任心、原则性、工作协调和沟通能力，能根据采购人的要求独立全面负责后勤物业管理工作。</w:t>
            </w:r>
          </w:p>
          <w:p>
            <w:pPr>
              <w:pStyle w:val="27"/>
              <w:keepNext w:val="0"/>
              <w:keepLines w:val="0"/>
              <w:pageBreakBefore w:val="0"/>
              <w:widowControl w:val="0"/>
              <w:kinsoku/>
              <w:wordWrap/>
              <w:overflowPunct/>
              <w:topLinePunct w:val="0"/>
              <w:autoSpaceDE w:val="0"/>
              <w:autoSpaceDN w:val="0"/>
              <w:bidi w:val="0"/>
              <w:adjustRightInd w:val="0"/>
              <w:snapToGrid/>
              <w:spacing w:line="400" w:lineRule="atLeast"/>
              <w:ind w:firstLine="482" w:firstLineChars="200"/>
              <w:textAlignment w:val="auto"/>
              <w:rPr>
                <w:rFonts w:hint="eastAsia"/>
                <w:lang w:val="en-US" w:eastAsia="zh-CN"/>
              </w:rPr>
            </w:pPr>
            <w:r>
              <w:rPr>
                <w:rFonts w:hint="eastAsia" w:ascii="宋体" w:hAnsi="宋体" w:cs="宋体"/>
                <w:b/>
                <w:bCs/>
                <w:color w:val="auto"/>
                <w:szCs w:val="21"/>
                <w:highlight w:val="none"/>
              </w:rPr>
              <w:t>▲</w:t>
            </w:r>
            <w:r>
              <w:rPr>
                <w:rFonts w:hint="eastAsia" w:ascii="Times New Roman" w:hAnsi="Times New Roman" w:eastAsia="宋体" w:cs="Times New Roman"/>
                <w:b/>
                <w:bCs/>
                <w:color w:val="auto"/>
                <w:kern w:val="2"/>
                <w:sz w:val="21"/>
                <w:szCs w:val="24"/>
                <w:highlight w:val="none"/>
                <w:lang w:val="en-US" w:eastAsia="zh-CN" w:bidi="ar-SA"/>
              </w:rPr>
              <w:t>七、应急任务工作要求</w:t>
            </w:r>
            <w:r>
              <w:rPr>
                <w:rFonts w:hint="eastAsia" w:hAnsi="宋体" w:cs="宋体"/>
                <w:color w:val="auto"/>
                <w:szCs w:val="21"/>
                <w:highlight w:val="none"/>
                <w:lang w:eastAsia="zh-CN"/>
              </w:rPr>
              <w:t>：</w:t>
            </w:r>
            <w:r>
              <w:rPr>
                <w:rFonts w:hint="eastAsia" w:ascii="Times New Roman" w:hAnsi="Times New Roman" w:eastAsia="宋体" w:cs="Times New Roman"/>
                <w:color w:val="auto"/>
                <w:kern w:val="2"/>
                <w:sz w:val="21"/>
                <w:szCs w:val="24"/>
                <w:highlight w:val="none"/>
                <w:lang w:val="en-US" w:eastAsia="zh-CN" w:bidi="ar-SA"/>
              </w:rPr>
              <w:t>逢重大活动和法定节假日(如元旦、春节、元宵、三月三、清明、端午、劳动节、儿童节、国庆节、中秋节等)，各级各系列检查考评（如“两会一节”等）、极端天气（大风、强降雨、洪涝等）、突发事件的机动和应急任务时，中标供应商应专门成立工作小组，确定值班人员，将联系方式报采购人备案，加强巡查保障，节日活动或事件结束后一周内，将期间投入的人工、物料、工作量等相关数据和材料报采购人审查备案。中标供应商必须无条件服从统一调配管理，成立相应具有符合作业标准的应急队伍且应急人员不少于总人数的10%</w:t>
            </w:r>
          </w:p>
          <w:p>
            <w:pPr>
              <w:pStyle w:val="3"/>
              <w:ind w:firstLine="422" w:firstLineChars="200"/>
              <w:rPr>
                <w:rFonts w:hint="eastAsia"/>
                <w:b/>
                <w:bCs/>
                <w:highlight w:val="none"/>
                <w:lang w:val="en-US" w:eastAsia="zh-CN"/>
              </w:rPr>
            </w:pPr>
            <w:r>
              <w:rPr>
                <w:rFonts w:hint="eastAsia"/>
                <w:b/>
                <w:bCs/>
                <w:highlight w:val="none"/>
                <w:lang w:val="en-US" w:eastAsia="zh-CN"/>
              </w:rPr>
              <w:t>八：考核</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每月进行考核，科室护士长对科室保洁服务情况等进行考核，总务科对保洁管理、保安等进行考核，具体考核内容以签订的合同为准。</w:t>
            </w:r>
          </w:p>
          <w:p>
            <w:pPr>
              <w:pStyle w:val="3"/>
              <w:ind w:firstLine="422" w:firstLineChars="200"/>
              <w:rPr>
                <w:rFonts w:hint="eastAsia"/>
                <w:b/>
                <w:bCs/>
                <w:highlight w:val="none"/>
                <w:lang w:val="en-US" w:eastAsia="zh-CN"/>
              </w:rPr>
            </w:pPr>
            <w:r>
              <w:rPr>
                <w:rFonts w:hint="eastAsia" w:ascii="宋体" w:hAnsi="宋体" w:cs="宋体"/>
                <w:b/>
                <w:bCs/>
                <w:color w:val="auto"/>
                <w:szCs w:val="21"/>
                <w:highlight w:val="none"/>
              </w:rPr>
              <w:t>▲</w:t>
            </w:r>
            <w:r>
              <w:rPr>
                <w:rFonts w:hint="eastAsia"/>
                <w:b/>
                <w:bCs/>
                <w:highlight w:val="none"/>
                <w:lang w:val="en-US" w:eastAsia="zh-CN"/>
              </w:rPr>
              <w:t>九、服务质量要求</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保洁服务</w:t>
            </w:r>
          </w:p>
          <w:p>
            <w:pPr>
              <w:pStyle w:val="3"/>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（1）普通病房、被血液、体液污染或传染病人病房的地、床、桌、操作台、病人 用物、室内、外环境保洁的消毒标准及要求：达到国家及医疗卫生行业医院感控质量标准要求。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（2）卫生消毒内容及标准。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①根据季节和保洁区域情况制定室、病房区域、公共卫生间、电梯及电梯厅、垃圾、医疗废物中转站或垃圾桶等日常消毒。</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②全院拖把施行集中消毒、清洗配送制，使用后的拖把在没集中消毒、清洗时不得重复使用。</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Arial"/>
                <w:sz w:val="21"/>
              </w:rPr>
            </w:pPr>
            <w:r>
              <w:rPr>
                <w:rFonts w:hint="eastAsia" w:ascii="Times New Roman" w:hAnsi="Times New Roman" w:eastAsia="宋体" w:cs="Times New Roman"/>
                <w:color w:val="auto"/>
                <w:kern w:val="2"/>
                <w:sz w:val="21"/>
                <w:szCs w:val="24"/>
                <w:highlight w:val="none"/>
                <w:lang w:val="en-US" w:eastAsia="zh-CN" w:bidi="ar-SA"/>
              </w:rPr>
              <w:t>③编制《卫生消毒消杀标准》，对清洁人员进行培训考核，合格方允许上岗。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（3）生活垃圾、医疗废物垃圾管理标准要求。</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根据国家及医疗卫生行业的规定，医疗废弃物的管理实行科主任、护士长负责制， 监督检查本科室的垃圾分类放置情况，清洁员对各科室的医疗垃圾的回收情况进行登记，确保垃圾的分类收集并密闭运送至医疗垃圾停放处。总务科、护理部、院感科共同检查监督垃圾的处理情况。生活垃圾、医疗废弃垃圾日产日清，由投标人自行编制：</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①垃圾清运收集、运送、交接、分类、归档管理方案。</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②对集运车使用等级及消毒作业管理方案。</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③对医疗废物发生流失/泄漏/扩散等意外事故时，应急措施处理方案。</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（4）垃圾收集方法</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①垃圾应分类收集，无机垃圾要集中在指定地点，并做到随收随清除，及时外运，有机垃圾亦应做到医疗垃圾与生活垃圾分别由专人定时收集；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②收集垃圾的容器必须结构严密、坚固、防蝇、防流、并防止液体渗漏，而且轻便内壁光滑，便于搬运；</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③一般要求在病房应设纸篓、垃圾袋，同时要分类收集。一袋收集剩余食物，果皮果核、废纸等垃圾；一袋收集饮料、罐头瓶等不易燃性废物，垃圾袋应以颜色加以区分；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④医院治疗、换药室等应设置污物桶。</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工作要求：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①垃圾的分类、收集在医院内部进行；</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②将生活垃圾进行分类、收集并分别存放（暂存），每天巡回进行；</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③医院内部垃圾存放区域每天清洗、消毒 1 次，每周全面清洗消毒1 次；</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④每天对垃圾的收集情况进行及时登记，以备检索。</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⑤完成上级交代的检查任务。</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质量要求：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①垃圾分类准确，不错分；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②垃圾包装完整，不漏、不穿；</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③运送垃圾过程中，不漏、不丢、不碰撞他人；</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④员工不得擅自拿取、窃用、倒卖垃圾；</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⑤记录及时、完整、不遗漏、不出错，资料保存完好。</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（5）医疗垃圾的处理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12"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spacing w:val="-2"/>
              </w:rPr>
              <w:t>医疗垃圾袋由甲方负责提供；</w:t>
            </w:r>
            <w:r>
              <w:rPr>
                <w:spacing w:val="-1"/>
              </w:rPr>
              <w:t>每日由专人按各科室的要求将医疗垃圾运送至指定存放地点；</w:t>
            </w:r>
            <w:r>
              <w:rPr>
                <w:rFonts w:hint="eastAsia" w:ascii="Times New Roman" w:hAnsi="Times New Roman" w:eastAsia="宋体" w:cs="Times New Roman"/>
                <w:color w:val="auto"/>
                <w:kern w:val="2"/>
                <w:sz w:val="21"/>
                <w:szCs w:val="24"/>
                <w:highlight w:val="none"/>
                <w:lang w:val="en-US" w:eastAsia="zh-CN" w:bidi="ar-SA"/>
              </w:rPr>
              <w:t>医疗垃圾的清运及消毁均按国家规定由有相应资质的企业负责，费用由甲方支付。</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（6）四害消除</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灭蚊、蝇每月一次，每季一次。男女厕所每天点一次檀香，便池放置樟脑丸除臭。按时消杀，无苍蝇、蚊子等（灭四害物品由甲方提供）。</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完成上级交代的检查任务。</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（二）安保服务</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 安保各岗位工作内容。</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（1）医院大门口：主要负责医院院区的车辆、人员管理，以及物品的出入管理，严格按医院院区管理规定执行。</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（2）对来访人员、车辆要认真记录登记，严防事故，固定岗位巡逻岗相结合，坚持二十四小时执勤，以确保设施、人员、 目标的安全。</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（3）巡逻岗。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①室外要求每1小时巡逻一次，夜间每 2 小时巡逻一次。</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②要求不间断对管辖区域巡视，及时纠正违规违纪行为。</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③住院大楼内治安巡逻每2 小时巡逻一次，消防巡查每天巡查 3 次以上。</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（4）对外来人员要热情，注意文明礼貌，不准超权和滥用职权侵犯群众利益，遇到突发事件、歹徒或犯罪分子、要坚决制止，奋不顾身迅速报警。</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（5）熟悉大楼各部位的消防设备，灭火器材的使用和管理，熟知火警，火灾的处 理程序，严禁易燃易爆和其它危险品进入办公楼，接受公安、消防的检查、指导，提高业务水平。</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（6）熟悉岗位任务及要求、对楼面、通道、电梯、防火设施进行监督、巡察，保证其安全。</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（7）对重点部位要多次巡查、每次都要有记录，遇到问题要果断处理、发现可疑人员要严格查问，已发生的事故要采取措施保护好现场。</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（8）值班人员每时每刻都要保持高度的警惕性，不得擅离职守做到“有 警必报 ”。对异常情况要及时向上级汇报。</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（9）完成上级交办的其它工作任务。</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安保人员的要求。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1）身体条件：身体健康，身高原则在 160cm 以上，视力正常，五官端正，仪表大方，无传染性、肝、肾、心脏、心血管等严重疾病，无不良社会记录等。</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2）政治素质：尊重领导和服务对象，服从安排，听从指挥，无违法犯罪记录，爱岗敬业，恪尽职守，遵纪守法，文明执勤，礼貌待人，敢于同违法犯罪现象作斗争。</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3）文化条件：具备初中及以上文化，具备良好的语言表达及沟通协调能力。</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各岗位具体安保服务要求。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1）门诊、急诊巡逻岗工作职责和标准：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①严禁车辆乱停乱放在门诊前广场，严禁车辆占用消防通道和急救通道停车，确保 医院大门整洁、畅通；对医院救护车位（应急车位）进行管理，严禁任何无关车辆占用救护车位停车。</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②对就诊患者（家属）进行必要的引导和帮助。</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③日常秩序维护、巡逻，处理紧急医疗纠纷、威胁医护人员安全等情况，搞好控烟工作， 确保急救通道畅通。</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④另防止散发医疗广告和推销药品人员出入。</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2）消防监控室岗工作职责：</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熟悉监控系统的操作，对监控设备进行日常维护保养，确保设备的正常运行，实时 对监控区域进行监视，发现异常情况和重大事件及时报告，并采取有效措施妥善处理。 认真填写值班记录，做到内容详实，数据客观准确，不得涂改。严格遵守保密规定，确保医院秘密和病人隐私，不得擅自拆卸、挪用或停用监控设备。</w:t>
            </w:r>
          </w:p>
          <w:p>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default" w:ascii="Times New Roman" w:hAnsi="Times New Roman" w:eastAsia="宋体" w:cs="Times New Roman"/>
                <w:color w:val="auto"/>
                <w:kern w:val="2"/>
                <w:sz w:val="21"/>
                <w:szCs w:val="24"/>
                <w:highlight w:val="none"/>
                <w:lang w:val="en-US" w:eastAsia="zh-CN" w:bidi="ar-SA"/>
              </w:rPr>
              <w:t>服务监管</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①医院保卫科是安保服务工作监管第一责任部门。</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②安保服务公司制订的管理方案及人员情况报医院保卫科备案。</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③医院有权对安保人员的工作进行检查、督促、并按医院安保管理规定对安保人员 进行管理，对不称职的安保提出批评、教育及经济处罚，屡教不改者，医院有权要求更换安保人员。</w:t>
            </w:r>
          </w:p>
          <w:p>
            <w:pPr>
              <w:pStyle w:val="3"/>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（三）护工服务内容</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1.在主任护长领导，护士指导下进行工作，服从工作安排，主要负责病人的生活、饮食、服药护理及协助护士做好病人的安全护理。</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 做好每天的晨间护理及安全检查工作。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 与护士做好病人突发紧急事件处理工作，如：约束、暴力、外逃、 自伤等等。</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 做好病人衣物、个人卫生、洗漱工作，保持病房及病人身上整齐、整洁，无异味。</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 做好维护病人服药秩序工作，确保每个病人服药到肚子。</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 做好维护病人进食秩序工作，确保每个病人都进食。注意查看重点病人进食情况。</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 做好病人外出检查工作。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 做好病人在室外活动看护工作。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 做好在院及出院病人消毒隔离工作。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10.完成护长交待的其他事情。</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default"/>
                <w:b/>
                <w:bCs/>
                <w:highlight w:val="none"/>
                <w:lang w:val="en-US" w:eastAsia="zh-CN"/>
              </w:rPr>
            </w:pPr>
            <w:r>
              <w:rPr>
                <w:rFonts w:hint="default"/>
                <w:b/>
                <w:bCs/>
                <w:highlight w:val="none"/>
                <w:lang w:val="en-US" w:eastAsia="zh-CN"/>
              </w:rPr>
              <w:t>（四）洗涤服务要求。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1.执行分类洗涤消毒制度，防止病菌交叉污染，如有破损、掉钮扣，要及时缝补和钉上，布草寿命：一年内无破损。成立医院洗涤工作组，由专人负责，所有人员经过专业培训合格后上岗。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2.根据本项目洗涤服务工作的需求，拟配置</w:t>
            </w:r>
            <w:r>
              <w:rPr>
                <w:rFonts w:hint="eastAsia"/>
                <w:highlight w:val="none"/>
                <w:lang w:val="en-US" w:eastAsia="zh-CN"/>
              </w:rPr>
              <w:t>3</w:t>
            </w:r>
            <w:r>
              <w:rPr>
                <w:rFonts w:hint="default"/>
                <w:highlight w:val="none"/>
                <w:lang w:val="en-US" w:eastAsia="zh-CN"/>
              </w:rPr>
              <w:t>名洗涤工作人员，专门负责洗涤工作。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eastAsia"/>
                <w:highlight w:val="none"/>
                <w:lang w:val="en-US" w:eastAsia="zh-CN"/>
              </w:rPr>
              <w:t>3.</w:t>
            </w:r>
            <w:r>
              <w:rPr>
                <w:rFonts w:hint="default"/>
                <w:highlight w:val="none"/>
                <w:lang w:val="en-US" w:eastAsia="zh-CN"/>
              </w:rPr>
              <w:t>根据医院洗涤服务的需求，合理调配本项目其他员工，保证本院洗涤服务工作正常有序开展。按时按量完成工作指标。</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4.洗涤工作人员根据每日需要洗涤的材料的数量合理调配使用设备，力求工作高效、经济、富有成效。</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5. 洗衣服务工作规程。</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（1）禁止在洗衣房内会客。</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（2）禁止将私人物品带入洗涤。</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（3）禁止将洗条物品私自带出洗衣房。</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（4）必须保持场内卫生,每天做好灭菌、消毒、清洁工作(污染区、清洁区、洗衣池、机械推车内外、晾干设备、缝补区、场内的的地面）。</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（5）有权禁止无关本区业务的人员进入,下班前按《消毒技术规范》要求做好相关工作。</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（6）合理使用水电物料,禁止浪费,不断完善操作流程,提出合理化建议。</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（7）详细作出收、发放记录,备查。</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6. 质量控制。</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（1）对织物进行严格的收、捡、洗、发、查制度,按照《消毒技术规范》清楚的划 分出灭菌衣物和一般消毒衣物,并按灭菌、消毒、清洗、晾(烘)干、缝补等程序,洗涤、</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检验合格后方能发放。</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（2）清洁后的织物要符合消毒、清洁的卫生要求。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（3）清洁后的织物,要求无异味、变形、缩小、脱线、污渍、湿润感。</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（4）洗好的织物必须分类叠放整齐存在指定地点,严禁垫座、乱丢乱放。</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（5）对有脱线现象的织物,须由缝补人员进行缝补后方能发放。</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（6）清洗后的织物,出现局部不洁的,都必须进行重洗。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r>
              <w:rPr>
                <w:rFonts w:hint="default"/>
                <w:highlight w:val="none"/>
                <w:lang w:val="en-US" w:eastAsia="zh-CN"/>
              </w:rPr>
              <w:t>（7）严格执行质量把关制度,发出的织物必须达到相关的洗洁标准要求。</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ighlight w:val="none"/>
                <w:lang w:val="en-US" w:eastAsia="zh-CN"/>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Cs w:val="21"/>
                <w:highlight w:val="none"/>
                <w:lang w:eastAsia="zh-CN"/>
              </w:rPr>
            </w:pPr>
            <w:r>
              <w:rPr>
                <w:rFonts w:hint="eastAsia" w:ascii="宋体" w:hAnsi="宋体" w:cs="宋体"/>
                <w:color w:val="auto"/>
                <w:kern w:val="0"/>
                <w:szCs w:val="21"/>
                <w:highlight w:val="none"/>
                <w:lang w:eastAsia="zh-CN" w:bidi="ar"/>
              </w:rPr>
              <w:t>物业管理</w:t>
            </w:r>
          </w:p>
          <w:p>
            <w:pPr>
              <w:spacing w:line="264" w:lineRule="auto"/>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0435" w:type="dxa"/>
            <w:gridSpan w:val="4"/>
            <w:tcBorders>
              <w:top w:val="single" w:color="auto" w:sz="4" w:space="0"/>
              <w:left w:val="single" w:color="auto" w:sz="4" w:space="0"/>
              <w:bottom w:val="single" w:color="auto" w:sz="4" w:space="0"/>
              <w:right w:val="single" w:color="auto" w:sz="4" w:space="0"/>
            </w:tcBorders>
            <w:noWrap w:val="0"/>
            <w:vAlign w:val="center"/>
          </w:tcPr>
          <w:p>
            <w:pPr>
              <w:pStyle w:val="28"/>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验收标准 </w:t>
            </w:r>
          </w:p>
          <w:p>
            <w:pPr>
              <w:snapToGrid w:val="0"/>
              <w:spacing w:line="360" w:lineRule="exact"/>
              <w:jc w:val="center"/>
              <w:rPr>
                <w:rFonts w:hint="eastAsia" w:ascii="宋体" w:hAnsi="宋体" w:cs="宋体"/>
                <w:color w:val="auto"/>
                <w:szCs w:val="21"/>
                <w:highlight w:val="none"/>
              </w:rPr>
            </w:pP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1．采购人组织验收。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2．所有服务均严格按招标文件上采购需求服务内容的实质要求、中标供应商响应和承诺的服务内容等有关标准进行验收，达不到要求的不予验收。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.验收不通过的，根据采购人意见进行整改，直到验收通过为止，期间产生相关费用由中标人承担。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售后服务要求</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1.服务质量保证期：自提供服务始至合同期满之日止。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Hans"/>
              </w:rPr>
              <w:t>投标人须提供可行的管理实施方案，包括质量考核办法、工作细则、操作流程，服务固定人员数及人员主要简历情况、奖罚措施、生产用具等方面内容的质量保证措施。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3.处理问题响应时间：接到甲方处理问题通知后15 分钟内到达甲方指定场地（若是突发应急事件，须10分钟内到达现场）。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4.服务培训：关于安全保护、突发事件处理、公共秩序、消防、秩序管理条例</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相关培训</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合同履行期限</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自签订合同之日起</w:t>
            </w:r>
            <w:r>
              <w:rPr>
                <w:rFonts w:hint="eastAsia" w:ascii="宋体" w:hAnsi="宋体" w:cs="宋体"/>
                <w:color w:val="auto"/>
                <w:szCs w:val="21"/>
                <w:highlight w:val="none"/>
                <w:lang w:eastAsia="zh-CN"/>
              </w:rPr>
              <w:t>叁</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b/>
                <w:color w:val="auto"/>
                <w:kern w:val="0"/>
                <w:szCs w:val="21"/>
                <w:highlight w:val="none"/>
              </w:rPr>
              <w:t>服务地点</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崇左市第二人民医院（采购人指定地点）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自中标通知书发出之日起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b/>
                <w:color w:val="auto"/>
                <w:kern w:val="0"/>
                <w:szCs w:val="21"/>
                <w:highlight w:val="none"/>
              </w:rPr>
              <w:t>付款条件</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乙方在正常开展服务业务后，甲方按月支付服务费（费用按实际投入人员配置结算），服务费以每月月底前5个工作日内，乙方向甲方提交当月投入人员配备情况表和物业费支付申请，由甲方审核后再开具相应金额发票，甲方收到发票后的30日内以银行转账方式支付当月物业服务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9"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b/>
                <w:color w:val="auto"/>
                <w:kern w:val="0"/>
                <w:szCs w:val="21"/>
                <w:highlight w:val="none"/>
              </w:rPr>
              <w:t>报价要求</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color w:val="auto"/>
                <w:highlight w:val="none"/>
              </w:rPr>
            </w:pPr>
            <w:r>
              <w:rPr>
                <w:rFonts w:hint="eastAsia"/>
                <w:color w:val="auto"/>
                <w:highlight w:val="none"/>
              </w:rPr>
              <w:t>1、本次报价须为人民币报价，报价应包含了（但不限于工资、保险费、加班费、夜班费、福利费、</w:t>
            </w:r>
            <w:r>
              <w:rPr>
                <w:rFonts w:hint="eastAsia"/>
                <w:color w:val="auto"/>
                <w:highlight w:val="none"/>
                <w:lang w:eastAsia="zh-CN"/>
              </w:rPr>
              <w:t>秩序</w:t>
            </w:r>
            <w:r>
              <w:rPr>
                <w:rFonts w:hint="eastAsia"/>
                <w:color w:val="auto"/>
                <w:highlight w:val="none"/>
              </w:rPr>
              <w:t>制服费、</w:t>
            </w:r>
            <w:r>
              <w:rPr>
                <w:rFonts w:hint="eastAsia"/>
                <w:color w:val="auto"/>
                <w:highlight w:val="none"/>
                <w:lang w:eastAsia="zh-CN"/>
              </w:rPr>
              <w:t>秩序</w:t>
            </w:r>
            <w:r>
              <w:rPr>
                <w:rFonts w:hint="eastAsia"/>
                <w:color w:val="auto"/>
                <w:highlight w:val="none"/>
              </w:rPr>
              <w:t>值勤设备费、劳保用品费、管理费等全部成本费用）本项目服务所需的所有费用和所需缴纳的保险、税、费等一切费用。对于本文件中未列明，而供应商认为必需的费用也需列入总报价。在合同实施时，采购人将不予支付中标供应商没有列入的项目费用，并认为此项目的费用已包括在总报价中。</w:t>
            </w:r>
          </w:p>
          <w:p>
            <w:pPr>
              <w:pStyle w:val="27"/>
              <w:spacing w:line="360" w:lineRule="auto"/>
              <w:ind w:firstLine="420" w:firstLineChars="200"/>
              <w:rPr>
                <w:rFonts w:hint="eastAsia"/>
                <w:color w:val="auto"/>
                <w:highlight w:val="none"/>
              </w:rPr>
            </w:pPr>
            <w:r>
              <w:rPr>
                <w:rFonts w:hint="eastAsia" w:ascii="Times New Roman" w:cs="Times New Roman"/>
                <w:color w:val="auto"/>
                <w:kern w:val="2"/>
                <w:sz w:val="21"/>
                <w:highlight w:val="none"/>
              </w:rPr>
              <w:t>2、投标人项目经费中人员工资待遇标准应当符合自治区人民政府下发的《关于调整全区职工最低工资标准的通知》规定的劳动力市场最低工资标准，社会保险应当符合《中华人民共和国社会保险法》及</w:t>
            </w:r>
            <w:r>
              <w:rPr>
                <w:rFonts w:hint="eastAsia" w:ascii="Times New Roman" w:cs="Times New Roman"/>
                <w:color w:val="auto"/>
                <w:kern w:val="2"/>
                <w:sz w:val="21"/>
                <w:highlight w:val="none"/>
                <w:lang w:val="en-US" w:eastAsia="zh-CN"/>
              </w:rPr>
              <w:t>崇左</w:t>
            </w:r>
            <w:r>
              <w:rPr>
                <w:rFonts w:hint="eastAsia" w:ascii="Times New Roman" w:cs="Times New Roman"/>
                <w:color w:val="auto"/>
                <w:kern w:val="2"/>
                <w:sz w:val="21"/>
                <w:highlight w:val="none"/>
              </w:rPr>
              <w:t xml:space="preserve">市的现行标准，且承诺将来可根据变化趋势进行调整，该费用包括在采购人支付给中标人的服务费中，但中标价不因工资浮动而改变。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其他要求</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1.采购人根据现场实际情况向中标人提供相应的管理办公室工作用房、住宿用房、水电等条件，期间产生的费用按相关规定确定，由中标人人员自行承担，按时向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缴纳。中标人对采购人所提供的房屋、场地、设备设施 等按有关规定自行负责保养和维护，确</w:t>
            </w:r>
            <w:r>
              <w:rPr>
                <w:rFonts w:hint="eastAsia" w:ascii="宋体" w:hAnsi="宋体" w:cs="宋体"/>
                <w:color w:val="auto"/>
                <w:szCs w:val="21"/>
                <w:highlight w:val="none"/>
                <w:lang w:eastAsia="zh-CN"/>
              </w:rPr>
              <w:t>秩序</w:t>
            </w:r>
            <w:r>
              <w:rPr>
                <w:rFonts w:hint="eastAsia" w:ascii="宋体" w:hAnsi="宋体" w:cs="宋体"/>
                <w:color w:val="auto"/>
                <w:szCs w:val="21"/>
                <w:highlight w:val="none"/>
              </w:rPr>
              <w:t xml:space="preserve">全使用，费用自理；不得破坏原有结构和用途，如有损坏、破坏则须恢复原样。如不恢复原样，由中标人进行赔偿。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 xml:space="preserve">中标人在管理服务中发现公共场所的桌椅、门窗、灯具、水龙头、窗帘、风扇、开水器、门禁系统、空调等设施损坏的，应及时报修。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中标人在提供服务时必须做好各项安全防范措施，所有人员在合约期间发生任何人身意外（包括患病、伤亡事故）、触犯法律法规（包括劳动用工制度、劳资纠纷、采购人的规章制度等）或损坏设施设备，均由中标人负完全责任，采购人不承担任何责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4.采购人支付给中标人的</w:t>
            </w:r>
            <w:r>
              <w:rPr>
                <w:rFonts w:hint="eastAsia" w:ascii="宋体" w:hAnsi="宋体" w:cs="宋体"/>
                <w:color w:val="auto"/>
                <w:szCs w:val="21"/>
                <w:highlight w:val="none"/>
                <w:lang w:val="en-US" w:eastAsia="zh-CN"/>
              </w:rPr>
              <w:t>物业</w:t>
            </w:r>
            <w:r>
              <w:rPr>
                <w:rFonts w:hint="eastAsia" w:ascii="宋体" w:hAnsi="宋体" w:cs="宋体"/>
                <w:color w:val="auto"/>
                <w:szCs w:val="21"/>
                <w:highlight w:val="none"/>
              </w:rPr>
              <w:t xml:space="preserve">服务费已包含人员社会保险费（包括养老保险、医疗保险、工伤保险、失业保险和生育保险）和意外伤害保险，保险费由中标人为人员缴纳，如中标人违反国家相关劳动法规，与人员发生劳动纠纷，均由中标人承担责任，采购人不承担任何责任。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5.人员在安全管理服务中违反国家相关法规或行业规范，因过失造成他人人身伤亡的，均由中标人承担责任，采购人不承担任何责任。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6.日常服务工作中如因中标供应商员工出现违规导致严重安全事故或财物被盗事故，采购人有权终止本合同且不承担任何赔偿或补偿责任，并依法追究相应责任。 </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7.中标人的人员用工与采购人无劳动合同关系。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若采购人对服务有新的文件、规定、要求等时，中标人按采购人最新要求执行。</w:t>
            </w:r>
          </w:p>
          <w:p>
            <w:pPr>
              <w:snapToGrid w:val="0"/>
              <w:spacing w:line="360" w:lineRule="auto"/>
              <w:ind w:firstLine="420" w:firstLineChars="200"/>
              <w:jc w:val="left"/>
              <w:rPr>
                <w:rFonts w:hint="eastAsia"/>
                <w:color w:val="auto"/>
                <w:highlight w:val="none"/>
              </w:rPr>
            </w:pP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43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hAnsi="宋体"/>
                <w:color w:val="auto"/>
                <w:szCs w:val="21"/>
                <w:highlight w:val="none"/>
              </w:rPr>
            </w:pPr>
            <w:r>
              <w:rPr>
                <w:rFonts w:hint="eastAsia" w:ascii="宋体" w:hAnsi="宋体" w:cs="宋体"/>
                <w:b/>
                <w:bCs/>
                <w:color w:val="auto"/>
                <w:szCs w:val="21"/>
                <w:highlight w:val="none"/>
              </w:rPr>
              <w:t>三、其他要求及说明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pStyle w:val="27"/>
              <w:ind w:firstLine="422" w:firstLineChars="200"/>
              <w:jc w:val="both"/>
              <w:rPr>
                <w:rFonts w:hint="eastAsia" w:hAnsi="宋体"/>
                <w:color w:val="auto"/>
                <w:kern w:val="2"/>
                <w:sz w:val="21"/>
                <w:szCs w:val="21"/>
                <w:highlight w:val="none"/>
              </w:rPr>
            </w:pPr>
            <w:r>
              <w:rPr>
                <w:rFonts w:hint="eastAsia" w:hAnsi="宋体"/>
                <w:b/>
                <w:bCs/>
                <w:color w:val="auto"/>
                <w:kern w:val="2"/>
                <w:sz w:val="21"/>
                <w:szCs w:val="21"/>
                <w:highlight w:val="none"/>
              </w:rPr>
              <w:t>其他</w:t>
            </w:r>
          </w:p>
        </w:tc>
        <w:tc>
          <w:tcPr>
            <w:tcW w:w="922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pPr>
              <w:snapToGrid w:val="0"/>
              <w:spacing w:line="360" w:lineRule="auto"/>
              <w:ind w:firstLine="420" w:firstLineChars="200"/>
              <w:jc w:val="left"/>
              <w:rPr>
                <w:rFonts w:hint="eastAsia" w:hAnsi="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（2）标注“▲”的条款或要求系指实质性条款或实质性要求，必须满足，如存在负偏离将导致投标无效。</w:t>
            </w:r>
          </w:p>
        </w:tc>
      </w:tr>
    </w:tbl>
    <w:p>
      <w:pPr>
        <w:rPr>
          <w:rFonts w:ascii="宋体" w:hAnsi="宋体"/>
          <w:color w:val="auto"/>
          <w:highlight w:val="none"/>
        </w:rPr>
      </w:pPr>
    </w:p>
    <w:p>
      <w:pPr>
        <w:jc w:val="both"/>
        <w:rPr>
          <w:rFonts w:hint="eastAsia"/>
          <w:highlight w:val="none"/>
        </w:rPr>
      </w:pPr>
    </w:p>
    <w:p>
      <w:pPr>
        <w:jc w:val="both"/>
        <w:rPr>
          <w:rFonts w:hint="default" w:eastAsia="宋体"/>
          <w:b/>
          <w:bCs/>
          <w:color w:val="auto"/>
          <w:sz w:val="28"/>
          <w:szCs w:val="36"/>
          <w:highlight w:val="none"/>
          <w:lang w:val="en-US" w:eastAsia="zh-CN"/>
        </w:rPr>
      </w:pPr>
      <w:r>
        <w:rPr>
          <w:rFonts w:hint="eastAsia"/>
          <w:b/>
          <w:bCs/>
          <w:color w:val="auto"/>
          <w:sz w:val="28"/>
          <w:szCs w:val="36"/>
          <w:highlight w:val="none"/>
          <w:lang w:val="en-US" w:eastAsia="zh-CN"/>
        </w:rPr>
        <w:t>附件一：</w:t>
      </w:r>
    </w:p>
    <w:p>
      <w:pPr>
        <w:rPr>
          <w:rFonts w:hint="eastAsia"/>
          <w:highlight w:val="none"/>
        </w:rPr>
      </w:pPr>
    </w:p>
    <w:p>
      <w:pPr>
        <w:jc w:val="center"/>
        <w:rPr>
          <w:rFonts w:hint="eastAsia"/>
          <w:highlight w:val="none"/>
        </w:rPr>
      </w:pPr>
    </w:p>
    <w:p>
      <w:pPr>
        <w:jc w:val="center"/>
        <w:rPr>
          <w:rFonts w:hint="eastAsia"/>
          <w:sz w:val="28"/>
          <w:szCs w:val="36"/>
          <w:highlight w:val="none"/>
        </w:rPr>
      </w:pPr>
      <w:r>
        <w:rPr>
          <w:rFonts w:hint="eastAsia"/>
          <w:sz w:val="28"/>
          <w:szCs w:val="36"/>
          <w:highlight w:val="none"/>
        </w:rPr>
        <w:t>物业服务员人员需求清单</w:t>
      </w:r>
    </w:p>
    <w:tbl>
      <w:tblPr>
        <w:tblStyle w:val="22"/>
        <w:tblpPr w:leftFromText="180" w:rightFromText="180" w:vertAnchor="text" w:horzAnchor="page" w:tblpX="990" w:tblpY="539"/>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064"/>
        <w:gridCol w:w="1794"/>
        <w:gridCol w:w="4239"/>
        <w:gridCol w:w="1191"/>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楼层</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负责区域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配置人数/名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应急传染楼病区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应急传染楼病区（关爱、结核门诊）1楼</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保洁兼顾应急楼外围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3楼、6楼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应急传染楼感染科病区3楼、6楼保洁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综合大楼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综合楼门诊1-2楼保洁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综合楼行政科室、检验科3-4楼保洁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精神科病区1楼保洁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精神科病区2楼保洁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精神科病区3楼保洁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精神科病区4楼保洁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特殊病区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特殊病区5楼保洁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1-2楼</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康复科1-2保洁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外围/垃圾配送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外围保洁及院内各科室垃圾专人转运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按感控标准垃圾运送要专人负责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顶班排休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安保人员</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门岗24小时值班及白天巡逻岗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护工</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精神科病区1、2、3、4楼病人生活护理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洗涤人员</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院内各科室被服、窗帘、毛巾包被等清洗，包括精神科患者个人衣物、毛巾等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主任</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负责物业服务中心日常管理工作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拟聘人员</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护工</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精神科6、7病区护理员各4名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计划2024年新增科室，具体新增人员根据新开科室时间配置人员，人员到位后再按月计算相关费用。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清洁人员</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精神科6、7病区保洁各1名、精神卫生心理门诊康复保洁1名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备注：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如合同期间医院有新增岗位需求，需根据实际需求签订增加合同。</w:t>
            </w:r>
          </w:p>
        </w:tc>
      </w:tr>
    </w:tbl>
    <w:p>
      <w:pPr>
        <w:pStyle w:val="3"/>
        <w:rPr>
          <w:rFonts w:hint="eastAsia" w:ascii="Arial Unicode MS" w:hAnsi="Arial Unicode MS" w:eastAsia="Arial Unicode MS" w:cs="Arial Unicode MS"/>
          <w:color w:val="auto"/>
          <w:sz w:val="32"/>
          <w:szCs w:val="32"/>
          <w:highlight w:val="none"/>
        </w:rPr>
      </w:pPr>
    </w:p>
    <w:p>
      <w:pPr>
        <w:rPr>
          <w:rFonts w:hint="eastAsia"/>
          <w:highlight w:val="none"/>
        </w:rPr>
      </w:pPr>
    </w:p>
    <w:p>
      <w:pPr>
        <w:spacing w:line="428" w:lineRule="exact"/>
        <w:ind w:left="119"/>
        <w:rPr>
          <w:rFonts w:hint="eastAsia" w:ascii="Arial Unicode MS" w:hAnsi="Arial Unicode MS" w:eastAsia="Arial Unicode MS" w:cs="Arial Unicode MS"/>
          <w:color w:val="auto"/>
          <w:sz w:val="32"/>
          <w:szCs w:val="32"/>
          <w:highlight w:val="none"/>
        </w:rPr>
      </w:pPr>
    </w:p>
    <w:p>
      <w:pPr>
        <w:rPr>
          <w:rFonts w:hint="eastAsia" w:ascii="Arial Unicode MS" w:hAnsi="Arial Unicode MS" w:eastAsia="Arial Unicode MS" w:cs="Arial Unicode MS"/>
          <w:color w:val="auto"/>
          <w:sz w:val="32"/>
          <w:szCs w:val="32"/>
          <w:highlight w:val="none"/>
        </w:rPr>
      </w:pPr>
    </w:p>
    <w:p>
      <w:pPr>
        <w:pStyle w:val="7"/>
        <w:rPr>
          <w:rFonts w:hint="eastAsia"/>
          <w:highlight w:val="none"/>
        </w:rPr>
      </w:pPr>
    </w:p>
    <w:p>
      <w:pPr>
        <w:rPr>
          <w:rFonts w:hint="eastAsia"/>
          <w:highlight w:val="none"/>
        </w:rPr>
      </w:pPr>
    </w:p>
    <w:p>
      <w:pPr>
        <w:pStyle w:val="7"/>
        <w:rPr>
          <w:rFonts w:hint="eastAsia"/>
          <w:highlight w:val="none"/>
        </w:rPr>
      </w:pPr>
    </w:p>
    <w:p>
      <w:pPr>
        <w:rPr>
          <w:rFonts w:hint="eastAsia"/>
          <w:highlight w:val="none"/>
        </w:rPr>
      </w:pPr>
    </w:p>
    <w:p>
      <w:pPr>
        <w:pStyle w:val="7"/>
        <w:ind w:left="0" w:leftChars="0" w:firstLine="0" w:firstLineChars="0"/>
        <w:rPr>
          <w:rFonts w:hint="eastAsia"/>
          <w:highlight w:val="none"/>
        </w:rPr>
      </w:pPr>
    </w:p>
    <w:p>
      <w:pPr>
        <w:rPr>
          <w:rFonts w:hint="eastAsia"/>
          <w:highlight w:val="none"/>
        </w:rPr>
      </w:pPr>
    </w:p>
    <w:p>
      <w:pPr>
        <w:rPr>
          <w:rFonts w:hint="eastAsia"/>
        </w:rPr>
      </w:pPr>
    </w:p>
    <w:p>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2</w:t>
      </w:r>
      <w:r>
        <w:rPr>
          <w:rFonts w:hint="eastAsia" w:ascii="Arial Unicode MS" w:hAnsi="Arial Unicode MS" w:eastAsia="Arial Unicode MS" w:cs="Arial Unicode MS"/>
          <w:color w:val="auto"/>
          <w:sz w:val="32"/>
          <w:szCs w:val="32"/>
          <w:highlight w:val="none"/>
        </w:rPr>
        <w:t>：</w:t>
      </w:r>
    </w:p>
    <w:p>
      <w:pPr>
        <w:spacing w:before="7"/>
        <w:rPr>
          <w:rFonts w:hint="eastAsia" w:ascii="Arial Unicode MS" w:hAnsi="Arial Unicode MS" w:eastAsia="Arial Unicode MS" w:cs="Arial Unicode MS"/>
          <w:color w:val="auto"/>
          <w:sz w:val="17"/>
          <w:szCs w:val="17"/>
          <w:highlight w:val="none"/>
        </w:rPr>
      </w:pPr>
    </w:p>
    <w:p>
      <w:pPr>
        <w:spacing w:line="5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2"/>
        <w:tblW w:w="0" w:type="auto"/>
        <w:jc w:val="center"/>
        <w:tblLayout w:type="fixed"/>
        <w:tblCellMar>
          <w:top w:w="0" w:type="dxa"/>
          <w:left w:w="108" w:type="dxa"/>
          <w:bottom w:w="0" w:type="dxa"/>
          <w:right w:w="108" w:type="dxa"/>
        </w:tblCellMar>
      </w:tblPr>
      <w:tblGrid>
        <w:gridCol w:w="1701"/>
        <w:gridCol w:w="2222"/>
        <w:gridCol w:w="1200"/>
        <w:gridCol w:w="1894"/>
        <w:gridCol w:w="1305"/>
        <w:gridCol w:w="97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22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89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90"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Cs w:val="21"/>
                <w:highlight w:val="none"/>
              </w:rPr>
            </w:pP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747"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222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20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15"/>
        <w:jc w:val="center"/>
        <w:outlineLvl w:val="0"/>
        <w:rPr>
          <w:rFonts w:hAnsi="宋体"/>
          <w:color w:val="auto"/>
          <w:highlight w:val="none"/>
        </w:rPr>
      </w:pPr>
    </w:p>
    <w:p>
      <w:pPr>
        <w:pStyle w:val="15"/>
        <w:jc w:val="left"/>
        <w:rPr>
          <w:rFonts w:hint="eastAsia" w:ascii="Arial Unicode MS" w:hAnsi="Arial Unicode MS" w:eastAsia="Arial Unicode MS" w:cs="Arial Unicode MS"/>
          <w:color w:val="auto"/>
          <w:sz w:val="32"/>
          <w:szCs w:val="32"/>
          <w:highlight w:val="none"/>
        </w:rPr>
      </w:pPr>
    </w:p>
    <w:p>
      <w:pPr>
        <w:pStyle w:val="15"/>
        <w:jc w:val="left"/>
        <w:rPr>
          <w:rFonts w:hint="eastAsia" w:ascii="Arial Unicode MS" w:hAnsi="Arial Unicode MS" w:eastAsia="Arial Unicode MS" w:cs="Arial Unicode MS"/>
          <w:color w:val="auto"/>
          <w:sz w:val="32"/>
          <w:szCs w:val="32"/>
          <w:highlight w:val="none"/>
        </w:rPr>
      </w:pPr>
    </w:p>
    <w:p>
      <w:pPr>
        <w:pStyle w:val="15"/>
        <w:jc w:val="center"/>
        <w:outlineLvl w:val="0"/>
        <w:rPr>
          <w:rFonts w:hint="eastAsia" w:hAnsi="宋体"/>
          <w:b/>
          <w:color w:val="auto"/>
          <w:sz w:val="36"/>
          <w:szCs w:val="36"/>
          <w:highlight w:val="none"/>
        </w:rPr>
      </w:pPr>
      <w:r>
        <w:rPr>
          <w:rFonts w:hAnsi="宋体"/>
          <w:color w:val="auto"/>
          <w:highlight w:val="none"/>
        </w:rPr>
        <w:br w:type="page"/>
      </w:r>
      <w:r>
        <w:rPr>
          <w:rFonts w:hAnsi="宋体"/>
          <w:color w:val="auto"/>
          <w:highlight w:val="none"/>
        </w:rPr>
        <w:t xml:space="preserve"> </w:t>
      </w:r>
      <w:bookmarkStart w:id="32" w:name="_Toc9702"/>
      <w:bookmarkStart w:id="33" w:name="_Toc532545044"/>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32"/>
      <w:bookmarkEnd w:id="33"/>
    </w:p>
    <w:p>
      <w:pPr>
        <w:jc w:val="center"/>
        <w:rPr>
          <w:rFonts w:hint="eastAsia"/>
          <w:color w:val="auto"/>
          <w:sz w:val="36"/>
          <w:szCs w:val="36"/>
          <w:highlight w:val="none"/>
        </w:rPr>
      </w:pPr>
      <w:bookmarkStart w:id="34" w:name="_Toc254970667"/>
      <w:bookmarkStart w:id="35" w:name="_Toc254970526"/>
      <w:bookmarkStart w:id="36" w:name="_Toc80092993"/>
      <w:r>
        <w:rPr>
          <w:rFonts w:hint="eastAsia"/>
          <w:color w:val="auto"/>
          <w:sz w:val="36"/>
          <w:szCs w:val="36"/>
          <w:highlight w:val="none"/>
        </w:rPr>
        <w:t>投标人须知前附表</w:t>
      </w:r>
      <w:bookmarkEnd w:id="34"/>
      <w:bookmarkEnd w:id="35"/>
    </w:p>
    <w:tbl>
      <w:tblPr>
        <w:tblStyle w:val="22"/>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rPr>
                <w:rFonts w:hint="eastAsia" w:ascii="宋体" w:hAnsi="宋体"/>
                <w:color w:val="auto"/>
                <w:szCs w:val="21"/>
                <w:highlight w:val="none"/>
              </w:rPr>
            </w:pPr>
            <w:r>
              <w:rPr>
                <w:rFonts w:hint="eastAsia" w:ascii="宋体" w:hAnsi="宋体"/>
                <w:color w:val="auto"/>
                <w:szCs w:val="21"/>
                <w:highlight w:val="none"/>
              </w:rPr>
              <w:t>☑本项目不允许分包。</w:t>
            </w:r>
          </w:p>
          <w:p>
            <w:pPr>
              <w:pStyle w:val="12"/>
              <w:spacing w:line="400" w:lineRule="exact"/>
              <w:rPr>
                <w:rFonts w:hint="eastAsia" w:ascii="宋体" w:hAnsi="宋体"/>
                <w:color w:val="auto"/>
                <w:szCs w:val="21"/>
                <w:highlight w:val="none"/>
              </w:rPr>
            </w:pPr>
            <w:r>
              <w:rPr>
                <w:rFonts w:hint="eastAsia" w:ascii="宋体" w:hAnsi="宋体"/>
                <w:color w:val="auto"/>
                <w:szCs w:val="21"/>
                <w:highlight w:val="none"/>
              </w:rPr>
              <w:t>□本项目允许分包：</w:t>
            </w:r>
          </w:p>
          <w:p>
            <w:pPr>
              <w:pStyle w:val="12"/>
              <w:spacing w:line="400" w:lineRule="exact"/>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2"/>
              <w:spacing w:line="400" w:lineRule="exact"/>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☑本项目不组织现场考察。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□本项目组织现场考察：</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（集合并签到）</w:t>
            </w:r>
            <w:r>
              <w:rPr>
                <w:rFonts w:ascii="宋体" w:hAnsi="宋体"/>
                <w:color w:val="auto"/>
                <w:szCs w:val="21"/>
                <w:highlight w:val="none"/>
                <w:u w:val="single"/>
              </w:rPr>
              <w:t xml:space="preserve"> </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bookmarkStart w:id="37" w:name="_13.1"/>
            <w:bookmarkEnd w:id="37"/>
            <w:r>
              <w:rPr>
                <w:rFonts w:hint="eastAsia" w:ascii="宋体" w:hAnsi="宋体"/>
                <w:color w:val="auto"/>
                <w:szCs w:val="21"/>
                <w:highlight w:val="none"/>
              </w:rPr>
              <w:t>13.</w:t>
            </w:r>
            <w:bookmarkStart w:id="38" w:name="_Hlt19632543"/>
            <w:r>
              <w:rPr>
                <w:rFonts w:hint="eastAsia" w:ascii="宋体" w:hAnsi="宋体"/>
                <w:color w:val="auto"/>
                <w:szCs w:val="21"/>
                <w:highlight w:val="none"/>
              </w:rPr>
              <w:t>1</w:t>
            </w:r>
            <w:bookmarkEnd w:id="38"/>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投标函（格式后附）；</w:t>
            </w:r>
            <w:r>
              <w:rPr>
                <w:rFonts w:hint="eastAsia" w:ascii="宋体" w:hAnsi="宋体"/>
                <w:b/>
                <w:color w:val="auto"/>
                <w:szCs w:val="21"/>
                <w:highlight w:val="none"/>
              </w:rPr>
              <w:t>（必须提供，否则按无效投标处理）</w:t>
            </w:r>
          </w:p>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bookmarkStart w:id="39" w:name="_Hlk71299233"/>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开标一览表</w:t>
            </w:r>
            <w:bookmarkEnd w:id="39"/>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keepNext w:val="0"/>
              <w:keepLines w:val="0"/>
              <w:pageBreakBefore w:val="0"/>
              <w:widowControl w:val="0"/>
              <w:tabs>
                <w:tab w:val="left" w:pos="459"/>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投标人针对报价需要说明的其他文件和说明（格式自拟）。</w:t>
            </w:r>
          </w:p>
          <w:p>
            <w:pPr>
              <w:snapToGrid w:val="0"/>
              <w:spacing w:line="400" w:lineRule="exact"/>
              <w:ind w:firstLine="420"/>
              <w:jc w:val="left"/>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noWrap w:val="0"/>
            <w:vAlign w:val="center"/>
          </w:tcPr>
          <w:p>
            <w:pPr>
              <w:spacing w:line="400" w:lineRule="exact"/>
              <w:rPr>
                <w:rFonts w:hint="eastAsia"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snapToGrid w:val="0"/>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1.崇左市政府采购供应商信用承诺函（格式见第六章）；（</w:t>
            </w:r>
            <w:r>
              <w:rPr>
                <w:rFonts w:hint="eastAsia" w:ascii="宋体" w:hAnsi="宋体" w:cs="宋体"/>
                <w:b/>
                <w:bCs/>
                <w:color w:val="auto"/>
                <w:szCs w:val="21"/>
                <w:highlight w:val="none"/>
              </w:rPr>
              <w:t>必须提供，否则作无效投标处理）</w:t>
            </w:r>
          </w:p>
          <w:p>
            <w:pPr>
              <w:snapToGrid w:val="0"/>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2.投标人直接控股、管理关系信息表（格式见第六章）；</w:t>
            </w:r>
            <w:r>
              <w:rPr>
                <w:rFonts w:hint="eastAsia" w:ascii="宋体" w:hAnsi="宋体" w:cs="宋体"/>
                <w:b/>
                <w:bCs/>
                <w:color w:val="auto"/>
                <w:szCs w:val="21"/>
                <w:highlight w:val="none"/>
              </w:rPr>
              <w:t>（必须提供，否则按无效投标处理）</w:t>
            </w:r>
          </w:p>
          <w:p>
            <w:pPr>
              <w:snapToGrid w:val="0"/>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3.投标声明（格式见第六章）；</w:t>
            </w:r>
            <w:r>
              <w:rPr>
                <w:rFonts w:hint="eastAsia" w:ascii="宋体" w:hAnsi="宋体" w:cs="宋体"/>
                <w:b/>
                <w:bCs/>
                <w:color w:val="auto"/>
                <w:szCs w:val="21"/>
                <w:highlight w:val="none"/>
              </w:rPr>
              <w:t>（必须提供，否则按无效投标处理）</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落实政府采购政策需满足的资格要求：投标人为中小企业的证明材料【①如属于中小企业在参加政府采购活动时，应当出具《中小企业声明函》（按第六章要求格式填写），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按第六章要求格式填写），并对声明的真实性负责】；</w:t>
            </w:r>
            <w:r>
              <w:rPr>
                <w:rFonts w:hint="eastAsia" w:ascii="宋体" w:hAnsi="宋体" w:cs="宋体"/>
                <w:b/>
                <w:bCs/>
                <w:color w:val="auto"/>
                <w:szCs w:val="21"/>
                <w:highlight w:val="none"/>
              </w:rPr>
              <w:t>（必须提供，否则按无效投标处理）</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5.除招标文件规定必须提供以外，投标人认为需要提供的其他证明材料。（如有，请提供）</w:t>
            </w:r>
          </w:p>
          <w:p>
            <w:pPr>
              <w:snapToGrid w:val="0"/>
              <w:spacing w:line="400" w:lineRule="exact"/>
              <w:ind w:firstLine="420" w:firstLineChars="200"/>
              <w:jc w:val="left"/>
              <w:rPr>
                <w:rFonts w:hint="eastAsia" w:ascii="宋体" w:hAnsi="宋体"/>
                <w:b/>
                <w:bCs/>
                <w:color w:val="auto"/>
                <w:szCs w:val="21"/>
                <w:highlight w:val="none"/>
              </w:rPr>
            </w:pPr>
            <w:r>
              <w:rPr>
                <w:rFonts w:hint="eastAsia" w:ascii="宋体" w:hAnsi="宋体" w:cs="宋体"/>
                <w:color w:val="auto"/>
                <w:szCs w:val="21"/>
                <w:highlight w:val="none"/>
              </w:rPr>
              <w:t>注：以上标明“必须提供”的材料属于复印件的，必须加盖投标人电子签章，否则按无效投标处理。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noWrap w:val="0"/>
            <w:vAlign w:val="center"/>
          </w:tcPr>
          <w:p>
            <w:pPr>
              <w:spacing w:line="400" w:lineRule="exact"/>
              <w:rPr>
                <w:rFonts w:hint="eastAsia"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投标人情况介绍（格式自拟）；</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投标人类似成功案例的业绩证明［以中标（成交）通知书或合同复印件为准］；（格式见附件）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i/>
                <w:color w:val="auto"/>
                <w:szCs w:val="21"/>
                <w:highlight w:val="none"/>
              </w:rPr>
            </w:pPr>
            <w:r>
              <w:rPr>
                <w:rFonts w:hint="eastAsia" w:ascii="宋体" w:hAnsi="宋体" w:cs="Courier New"/>
                <w:b/>
                <w:color w:val="auto"/>
                <w:szCs w:val="21"/>
                <w:highlight w:val="none"/>
              </w:rPr>
              <w:t>技术文件：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技术服务要求偏离表（格式后附）；</w:t>
            </w:r>
            <w:r>
              <w:rPr>
                <w:rFonts w:hint="eastAsia" w:ascii="宋体" w:hAnsi="宋体"/>
                <w:b/>
                <w:bCs/>
                <w:color w:val="auto"/>
                <w:szCs w:val="21"/>
                <w:highlight w:val="none"/>
              </w:rPr>
              <w:t>（必须提供，否则按无效投标处理）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项目服务实施方案（格式自拟）【</w:t>
            </w:r>
            <w:r>
              <w:rPr>
                <w:rFonts w:hint="eastAsia" w:ascii="宋体" w:hAnsi="宋体" w:eastAsia="宋体" w:cs="Times New Roman"/>
                <w:color w:val="auto"/>
                <w:szCs w:val="21"/>
                <w:highlight w:val="none"/>
              </w:rPr>
              <w:t>根据项目需求及评标办法编制</w:t>
            </w:r>
            <w:r>
              <w:rPr>
                <w:rFonts w:hint="eastAsia" w:ascii="宋体" w:hAnsi="宋体"/>
                <w:color w:val="auto"/>
                <w:szCs w:val="21"/>
                <w:highlight w:val="none"/>
              </w:rPr>
              <w:t>】；</w:t>
            </w:r>
            <w:r>
              <w:rPr>
                <w:rFonts w:hint="eastAsia" w:ascii="宋体" w:hAnsi="宋体"/>
                <w:b/>
                <w:bCs/>
                <w:color w:val="auto"/>
                <w:szCs w:val="21"/>
                <w:highlight w:val="none"/>
              </w:rPr>
              <w:t>（必须提供，否则按无效投标处理）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项目实施人员一览表（格式后附）；</w:t>
            </w:r>
            <w:r>
              <w:rPr>
                <w:rFonts w:hint="eastAsia" w:ascii="宋体" w:hAnsi="宋体"/>
                <w:b/>
                <w:bCs/>
                <w:color w:val="auto"/>
                <w:szCs w:val="21"/>
                <w:highlight w:val="none"/>
              </w:rPr>
              <w:t>（必须提供，否则按无效投标处理）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除招标文件规定必须提供以外，投标人需要说明的其他文件和说明（格式自拟）。</w:t>
            </w:r>
          </w:p>
          <w:p>
            <w:pPr>
              <w:snapToGrid w:val="0"/>
              <w:spacing w:line="400" w:lineRule="exact"/>
              <w:ind w:firstLine="316" w:firstLineChars="150"/>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bookmarkStart w:id="40" w:name="_13.5"/>
            <w:bookmarkEnd w:id="40"/>
            <w:r>
              <w:rPr>
                <w:rFonts w:hint="eastAsia" w:ascii="宋体" w:hAnsi="宋体"/>
                <w:color w:val="auto"/>
                <w:szCs w:val="21"/>
                <w:highlight w:val="none"/>
              </w:rPr>
              <w:t>16</w:t>
            </w:r>
            <w:bookmarkStart w:id="41" w:name="_Hlt19693758"/>
            <w:bookmarkStart w:id="42" w:name="_Hlt19693759"/>
            <w:bookmarkStart w:id="43" w:name="_Hlt19194066"/>
            <w:bookmarkStart w:id="44" w:name="_Hlt19194067"/>
            <w:r>
              <w:rPr>
                <w:rFonts w:hint="eastAsia" w:ascii="宋体" w:hAnsi="宋体"/>
                <w:color w:val="auto"/>
                <w:szCs w:val="21"/>
                <w:highlight w:val="none"/>
              </w:rPr>
              <w:t>.</w:t>
            </w:r>
            <w:bookmarkEnd w:id="41"/>
            <w:bookmarkEnd w:id="42"/>
            <w:bookmarkEnd w:id="43"/>
            <w:bookmarkEnd w:id="44"/>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cs="宋体"/>
                <w:color w:val="auto"/>
                <w:szCs w:val="21"/>
                <w:highlight w:val="none"/>
              </w:rPr>
              <w:t>投标报价是履行合同的最终价格，即满足全部采购需求所应提供的服务的价格；包括投标服务的成本、运输（含保险）（如有）、技术服务、培训、税费等所有费用。</w:t>
            </w:r>
            <w:r>
              <w:rPr>
                <w:rFonts w:hint="eastAsia" w:ascii="宋体" w:hAnsi="宋体" w:cs="宋体"/>
                <w:b/>
                <w:color w:val="auto"/>
                <w:szCs w:val="21"/>
                <w:highlight w:val="none"/>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b/>
                <w:color w:val="auto"/>
                <w:szCs w:val="21"/>
                <w:highlight w:val="none"/>
              </w:rPr>
            </w:pP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bookmarkStart w:id="45" w:name="_19.2"/>
            <w:bookmarkEnd w:id="45"/>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hAnsi="宋体"/>
                <w:color w:val="auto"/>
                <w:szCs w:val="21"/>
                <w:highlight w:val="none"/>
              </w:rPr>
            </w:pPr>
            <w:r>
              <w:rPr>
                <w:rFonts w:hint="eastAsia" w:ascii="宋体" w:hAnsi="宋体"/>
                <w:color w:val="auto"/>
                <w:szCs w:val="21"/>
                <w:highlight w:val="none"/>
              </w:rPr>
              <w:t>电子投标文件应在制作完成后，投标人应按广西政府采购云平台的要求进行加密，并在规定时间内解密，否则，由此产生的后果由投标人自行负责。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投标截止时间：详见招标公告</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开标时间：详见招标公告</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bCs/>
                <w:color w:val="auto"/>
                <w:szCs w:val="21"/>
                <w:highlight w:val="none"/>
              </w:rPr>
              <w:t>广西政府采购云平台https://www.gcy.zfcg.gxzf.gov.cn按开标时间自动提取所有投标文件。采购代理机构依托广西政府采购云平台https://www.gcy.zfcg.gxzf.gov.cn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投标人的法定代表人或其委托代理人须携带加密时所用的CA锁准时登录到广西政府采购云平台https://www.gcy.zfcg.gxzf.gov.cn电子开标大厅签到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rFonts w:ascii="宋体" w:hAnsi="宋体"/>
                <w:color w:val="auto"/>
                <w:szCs w:val="21"/>
                <w:highlight w:val="none"/>
              </w:rPr>
              <w:fldChar w:fldCharType="begin"/>
            </w:r>
            <w:r>
              <w:rPr>
                <w:rFonts w:ascii="宋体" w:hAnsi="宋体"/>
                <w:color w:val="auto"/>
                <w:szCs w:val="21"/>
                <w:highlight w:val="none"/>
              </w:rPr>
              <w:instrText xml:space="preserve"> HYPERLINK "http://www.ccgp.gov.cn" </w:instrText>
            </w:r>
            <w:r>
              <w:rPr>
                <w:rFonts w:ascii="宋体" w:hAnsi="宋体"/>
                <w:color w:val="auto"/>
                <w:szCs w:val="21"/>
                <w:highlight w:val="none"/>
              </w:rPr>
              <w:fldChar w:fldCharType="separate"/>
            </w:r>
            <w:r>
              <w:rPr>
                <w:rStyle w:val="26"/>
                <w:rFonts w:ascii="宋体" w:hAnsi="宋体"/>
                <w:color w:val="auto"/>
                <w:szCs w:val="21"/>
                <w:highlight w:val="none"/>
              </w:rPr>
              <w:t>www.ccgp.gov.cn</w:t>
            </w:r>
            <w:r>
              <w:rPr>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pPr>
              <w:snapToGrid w:val="0"/>
              <w:spacing w:line="400" w:lineRule="exact"/>
              <w:rPr>
                <w:rFonts w:hint="eastAsia"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w:t>
            </w:r>
            <w:r>
              <w:rPr>
                <w:rFonts w:hint="eastAsia" w:ascii="宋体" w:hAnsi="宋体" w:cs="宋体"/>
                <w:color w:val="auto"/>
                <w:szCs w:val="21"/>
                <w:highlight w:val="none"/>
              </w:rPr>
              <w:t>带“▲”的实质性要求条款除外）</w:t>
            </w:r>
            <w:r>
              <w:rPr>
                <w:rFonts w:hint="eastAsia" w:ascii="宋体" w:hAnsi="宋体"/>
                <w:color w:val="auto"/>
                <w:szCs w:val="21"/>
                <w:highlight w:val="none"/>
              </w:rPr>
              <w:t>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pPr>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w:t>
            </w:r>
            <w:r>
              <w:rPr>
                <w:rFonts w:hint="eastAsia" w:ascii="宋体" w:hAnsi="宋体" w:cs="宋体"/>
                <w:color w:val="auto"/>
                <w:szCs w:val="21"/>
                <w:highlight w:val="none"/>
              </w:rPr>
              <w:t>带“▲”的实质性要求条款除外）</w:t>
            </w:r>
            <w:r>
              <w:rPr>
                <w:rFonts w:hint="eastAsia" w:ascii="宋体" w:hAnsi="宋体"/>
                <w:color w:val="auto"/>
                <w:szCs w:val="21"/>
                <w:highlight w:val="none"/>
              </w:rPr>
              <w:t>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p>
        </w:tc>
        <w:tc>
          <w:tcPr>
            <w:tcW w:w="8708"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采用综合评分法的采购项目，采购人确定中标人时，出现中标候选人并列的情形，采购人按以下的方式确定中标人：按综合评分中价格、技术服务、信誉资质业绩得分高低依次确定。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olor w:val="auto"/>
                <w:szCs w:val="21"/>
                <w:highlight w:val="none"/>
                <w:lang w:eastAsia="zh-CN"/>
              </w:rPr>
            </w:pPr>
            <w:r>
              <w:rPr>
                <w:rFonts w:hint="eastAsia" w:ascii="宋体" w:hAnsi="宋体"/>
                <w:color w:val="auto"/>
                <w:szCs w:val="21"/>
                <w:highlight w:val="none"/>
              </w:rPr>
              <w:t>签订合同携带的证明材料： 电子采购合同需要投标人通过有效CA证书进行电子签名与签章</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接收质疑函方式：以纸质书面形式</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广西华利得项目管理有限公司</w:t>
            </w:r>
            <w:r>
              <w:rPr>
                <w:rFonts w:hint="eastAsia" w:ascii="宋体" w:hAnsi="宋体"/>
                <w:color w:val="auto"/>
                <w:szCs w:val="21"/>
                <w:highlight w:val="none"/>
              </w:rPr>
              <w:t>；</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eastAsia="zh-CN"/>
              </w:rPr>
              <w:t>0771-</w:t>
            </w:r>
            <w:r>
              <w:rPr>
                <w:rFonts w:hint="eastAsia" w:ascii="宋体" w:hAnsi="宋体"/>
                <w:color w:val="auto"/>
                <w:szCs w:val="21"/>
                <w:highlight w:val="none"/>
                <w:lang w:val="en-US" w:eastAsia="zh-CN"/>
              </w:rPr>
              <w:t>7911616</w:t>
            </w:r>
            <w:r>
              <w:rPr>
                <w:rFonts w:hint="eastAsia" w:ascii="宋体" w:hAnsi="宋体"/>
                <w:color w:val="auto"/>
                <w:szCs w:val="21"/>
                <w:highlight w:val="none"/>
              </w:rPr>
              <w:t>；</w:t>
            </w:r>
          </w:p>
          <w:p>
            <w:pPr>
              <w:snapToGrid w:val="0"/>
              <w:spacing w:line="400" w:lineRule="exact"/>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：广西崇左市花山路嘉苑小区F组团F-25号。</w:t>
            </w:r>
          </w:p>
          <w:p>
            <w:pPr>
              <w:autoSpaceDE w:val="0"/>
              <w:autoSpaceDN w:val="0"/>
              <w:snapToGrid w:val="0"/>
              <w:spacing w:line="400" w:lineRule="exact"/>
              <w:textAlignment w:val="bottom"/>
              <w:rPr>
                <w:rFonts w:hint="eastAsia" w:ascii="宋体" w:hAnsi="宋体"/>
                <w:color w:val="auto"/>
                <w:szCs w:val="21"/>
                <w:highlight w:val="none"/>
              </w:rPr>
            </w:pPr>
            <w:r>
              <w:rPr>
                <w:rFonts w:hint="eastAsia" w:hAnsi="宋体"/>
                <w:color w:val="auto"/>
                <w:highlight w:val="none"/>
              </w:rPr>
              <w:t>现场提交质疑办理业务时间：工作日，</w:t>
            </w:r>
            <w:r>
              <w:rPr>
                <w:rFonts w:hint="eastAsia" w:ascii="宋体" w:hAnsi="宋体" w:cs="Arial"/>
                <w:color w:val="auto"/>
                <w:szCs w:val="21"/>
                <w:highlight w:val="none"/>
              </w:rPr>
              <w:t>上午</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highlight w:val="none"/>
              </w:rPr>
            </w:pPr>
            <w:bookmarkStart w:id="46" w:name="_Hlt17709148"/>
            <w:r>
              <w:rPr>
                <w:rFonts w:hint="eastAsia" w:ascii="宋体" w:hAnsi="宋体"/>
                <w:color w:val="auto"/>
                <w:szCs w:val="21"/>
                <w:highlight w:val="none"/>
              </w:rPr>
              <w:t>3</w:t>
            </w:r>
            <w:bookmarkEnd w:id="46"/>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5"/>
              <w:snapToGrid w:val="0"/>
              <w:spacing w:line="400" w:lineRule="exact"/>
              <w:rPr>
                <w:rFonts w:hint="eastAsia" w:hAnsi="宋体" w:cs="宋体"/>
                <w:color w:val="auto"/>
                <w:highlight w:val="none"/>
              </w:rPr>
            </w:pPr>
            <w:r>
              <w:rPr>
                <w:rFonts w:hint="eastAsia" w:hAnsi="宋体" w:cs="宋体"/>
                <w:color w:val="auto"/>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pPr>
              <w:pStyle w:val="15"/>
              <w:snapToGrid w:val="0"/>
              <w:spacing w:line="400" w:lineRule="exact"/>
              <w:rPr>
                <w:rFonts w:hint="eastAsia" w:hAnsi="宋体" w:cs="宋体"/>
                <w:color w:val="auto"/>
                <w:highlight w:val="none"/>
              </w:rPr>
            </w:pPr>
            <w:r>
              <w:rPr>
                <w:rFonts w:hint="eastAsia" w:hAnsi="宋体" w:cs="宋体"/>
                <w:color w:val="auto"/>
                <w:highlight w:val="none"/>
              </w:rPr>
              <w:t>☑采购代理服务费收取标准：</w:t>
            </w:r>
          </w:p>
          <w:p>
            <w:pPr>
              <w:pStyle w:val="15"/>
              <w:snapToGrid w:val="0"/>
              <w:spacing w:line="400" w:lineRule="exact"/>
              <w:rPr>
                <w:rFonts w:hint="eastAsia" w:hAnsi="宋体" w:cs="宋体"/>
                <w:color w:val="auto"/>
                <w:highlight w:val="none"/>
              </w:rPr>
            </w:pPr>
            <w:r>
              <w:rPr>
                <w:rFonts w:hint="eastAsia" w:hAnsi="宋体" w:cs="宋体"/>
                <w:color w:val="auto"/>
                <w:highlight w:val="none"/>
              </w:rPr>
              <w:t>以中标金额为计费额，按本须知正文第</w:t>
            </w:r>
            <w:r>
              <w:rPr>
                <w:rFonts w:hAnsi="宋体" w:cs="宋体"/>
                <w:color w:val="auto"/>
                <w:highlight w:val="none"/>
              </w:rPr>
              <w:t>39</w:t>
            </w: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条规定的收费计算标准（服务招标）采用差额定率累进法计算出收费基准价格，采购代理服务费收费以（收费基准价格）收取。</w:t>
            </w:r>
          </w:p>
          <w:p>
            <w:pPr>
              <w:pStyle w:val="15"/>
              <w:snapToGrid w:val="0"/>
              <w:spacing w:line="400" w:lineRule="exact"/>
              <w:rPr>
                <w:rFonts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p>
            <w:pPr>
              <w:pStyle w:val="15"/>
              <w:numPr>
                <w:ilvl w:val="0"/>
                <w:numId w:val="0"/>
              </w:numPr>
              <w:snapToGrid w:val="0"/>
              <w:spacing w:line="400" w:lineRule="exact"/>
              <w:rPr>
                <w:rFonts w:hint="eastAsia" w:hAnsi="宋体" w:cs="宋体"/>
                <w:color w:val="auto"/>
                <w:highlight w:val="none"/>
                <w:lang w:eastAsia="zh-CN"/>
              </w:rPr>
            </w:pPr>
            <w:r>
              <w:rPr>
                <w:rFonts w:hint="eastAsia" w:hAnsi="宋体" w:cs="宋体"/>
                <w:color w:val="auto"/>
                <w:highlight w:val="none"/>
              </w:rPr>
              <w:t>账户名称：</w:t>
            </w:r>
            <w:r>
              <w:rPr>
                <w:rFonts w:hint="eastAsia" w:hAnsi="宋体" w:cs="宋体"/>
                <w:color w:val="auto"/>
                <w:highlight w:val="none"/>
                <w:lang w:eastAsia="zh-CN"/>
              </w:rPr>
              <w:t>广西华利得项目管理有限公司</w:t>
            </w:r>
          </w:p>
          <w:p>
            <w:pPr>
              <w:pStyle w:val="15"/>
              <w:snapToGrid w:val="0"/>
              <w:spacing w:line="400" w:lineRule="exact"/>
              <w:rPr>
                <w:rFonts w:hint="eastAsia" w:hAnsi="宋体" w:cs="宋体"/>
                <w:color w:val="auto"/>
                <w:highlight w:val="none"/>
              </w:rPr>
            </w:pPr>
            <w:r>
              <w:rPr>
                <w:rFonts w:hint="eastAsia" w:hAnsi="宋体" w:cs="宋体"/>
                <w:color w:val="auto"/>
                <w:highlight w:val="none"/>
              </w:rPr>
              <w:t>开户银行：广西北部湾银行股份有限公司崇左分行</w:t>
            </w:r>
          </w:p>
          <w:p>
            <w:pPr>
              <w:pStyle w:val="15"/>
              <w:snapToGrid w:val="0"/>
              <w:spacing w:line="400" w:lineRule="exact"/>
              <w:rPr>
                <w:rFonts w:hint="eastAsia" w:hAnsi="宋体" w:cs="宋体"/>
                <w:color w:val="auto"/>
                <w:highlight w:val="none"/>
              </w:rPr>
            </w:pPr>
            <w:r>
              <w:rPr>
                <w:rFonts w:hint="eastAsia" w:hAnsi="宋体" w:cs="宋体"/>
                <w:color w:val="auto"/>
                <w:highlight w:val="none"/>
              </w:rPr>
              <w:t>银行账号：8050 0899 2400 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5"/>
              <w:snapToGrid w:val="0"/>
              <w:spacing w:line="400" w:lineRule="exact"/>
              <w:rPr>
                <w:rFonts w:hint="eastAsia"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pPr>
              <w:pStyle w:val="15"/>
              <w:snapToGrid w:val="0"/>
              <w:spacing w:line="400" w:lineRule="exact"/>
              <w:rPr>
                <w:rFonts w:hint="eastAsia"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snapToGrid w:val="0"/>
              <w:spacing w:line="400" w:lineRule="exact"/>
              <w:rPr>
                <w:rFonts w:hint="eastAsia"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pPr>
              <w:pStyle w:val="15"/>
              <w:snapToGrid w:val="0"/>
              <w:spacing w:line="400" w:lineRule="exact"/>
              <w:rPr>
                <w:rFonts w:hint="eastAsia" w:hAnsi="宋体" w:cs="宋体"/>
                <w:bCs/>
                <w:color w:val="auto"/>
                <w:highlight w:val="none"/>
              </w:rPr>
            </w:pPr>
            <w:r>
              <w:rPr>
                <w:rFonts w:hint="eastAsia" w:hAnsi="宋体" w:cs="宋体"/>
                <w:bCs/>
                <w:color w:val="auto"/>
                <w:highlight w:val="none"/>
              </w:rPr>
              <w:t>4、自然人投标的，招标文件规定盖公章处由自然人摁手指指印。</w:t>
            </w:r>
          </w:p>
          <w:p>
            <w:pPr>
              <w:spacing w:line="400" w:lineRule="exact"/>
              <w:jc w:val="left"/>
              <w:rPr>
                <w:rFonts w:hint="eastAsia"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补充</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6" w:firstLineChars="20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落实崇左市财政局文件崇财采〔</w:t>
            </w:r>
            <w:r>
              <w:rPr>
                <w:rFonts w:hint="eastAsia" w:ascii="宋体" w:hAnsi="宋体" w:cs="宋体"/>
                <w:color w:val="auto"/>
                <w:szCs w:val="21"/>
                <w:highlight w:val="none"/>
                <w:lang w:eastAsia="zh-CN"/>
              </w:rPr>
              <w:t>2024</w:t>
            </w:r>
            <w:r>
              <w:rPr>
                <w:rFonts w:hint="eastAsia" w:ascii="宋体" w:hAnsi="宋体" w:eastAsia="宋体" w:cs="宋体"/>
                <w:color w:val="auto"/>
                <w:szCs w:val="21"/>
                <w:highlight w:val="none"/>
              </w:rPr>
              <w:t>〕10号《崇左市财政局关于进一步做好线上“政采贷”融资业务工作的通知》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将《崇左市线上“政采贷”政策告知函》、《崇左市线上“政采贷”业务流程图》、《崇左市金融机构线上“政采贷”业务办理联络表》作为政策宣传材料排入招标文件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附件详见招标文件第七章。</w:t>
            </w:r>
          </w:p>
        </w:tc>
      </w:tr>
    </w:tbl>
    <w:p>
      <w:pPr>
        <w:pStyle w:val="7"/>
        <w:keepNext w:val="0"/>
        <w:keepLines w:val="0"/>
        <w:jc w:val="center"/>
        <w:rPr>
          <w:rFonts w:hint="eastAsia"/>
          <w:color w:val="auto"/>
          <w:highlight w:val="none"/>
        </w:rPr>
      </w:pPr>
      <w:r>
        <w:rPr>
          <w:color w:val="auto"/>
          <w:highlight w:val="none"/>
        </w:rPr>
        <w:br w:type="page"/>
      </w:r>
      <w:bookmarkEnd w:id="36"/>
      <w:bookmarkStart w:id="47" w:name="_Toc24806"/>
      <w:bookmarkStart w:id="48" w:name="_Toc7604"/>
      <w:bookmarkStart w:id="49" w:name="_Toc24808"/>
      <w:r>
        <w:rPr>
          <w:rFonts w:hint="eastAsia"/>
          <w:color w:val="auto"/>
          <w:highlight w:val="none"/>
        </w:rPr>
        <w:t>投标人须知正文</w:t>
      </w:r>
      <w:bookmarkEnd w:id="47"/>
      <w:bookmarkEnd w:id="48"/>
      <w:bookmarkEnd w:id="49"/>
    </w:p>
    <w:p>
      <w:pPr>
        <w:pStyle w:val="7"/>
        <w:keepNext w:val="0"/>
        <w:keepLines w:val="0"/>
        <w:jc w:val="center"/>
        <w:rPr>
          <w:rFonts w:hint="eastAsia"/>
          <w:color w:val="auto"/>
          <w:highlight w:val="none"/>
        </w:rPr>
      </w:pPr>
      <w:bookmarkStart w:id="50" w:name="_Toc22653"/>
      <w:bookmarkStart w:id="51" w:name="_Toc7622"/>
      <w:bookmarkStart w:id="52" w:name="_Toc27825"/>
      <w:r>
        <w:rPr>
          <w:rFonts w:hint="eastAsia"/>
          <w:color w:val="auto"/>
          <w:highlight w:val="none"/>
        </w:rPr>
        <w:t>一、总  则</w:t>
      </w:r>
      <w:bookmarkEnd w:id="50"/>
      <w:bookmarkEnd w:id="51"/>
      <w:bookmarkEnd w:id="52"/>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1.适用范围</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2.定义</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10"/>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9"/>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4.投标委托</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5.投标费用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9"/>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color w:val="auto"/>
          <w:sz w:val="21"/>
          <w:szCs w:val="21"/>
          <w:highlight w:val="none"/>
        </w:rPr>
        <w:t>6.3</w:t>
      </w:r>
      <w:r>
        <w:rPr>
          <w:rFonts w:ascii="宋体" w:hAnsi="宋体"/>
          <w:b w:val="0"/>
          <w:color w:val="auto"/>
          <w:sz w:val="21"/>
          <w:szCs w:val="21"/>
          <w:highlight w:val="none"/>
        </w:rPr>
        <w:t xml:space="preserve"> </w:t>
      </w:r>
      <w:bookmarkStart w:id="53" w:name="_Hlk65857072"/>
      <w:r>
        <w:rPr>
          <w:rFonts w:hint="eastAsia" w:ascii="宋体" w:hAnsi="宋体"/>
          <w:b w:val="0"/>
          <w:color w:val="auto"/>
          <w:sz w:val="21"/>
          <w:szCs w:val="21"/>
          <w:highlight w:val="none"/>
        </w:rPr>
        <w:t>根据《政府采购促进中小企业发展管理办法》（财库〔2020〕46号）第九条第二款及《财政部关于进一步加大政府采购支持中小企业力度的通知》财库〔2022〕19号规定</w:t>
      </w:r>
      <w:r>
        <w:rPr>
          <w:rFonts w:hint="eastAsia" w:ascii="宋体" w:hAnsi="宋体"/>
          <w:b w:val="0"/>
          <w:bCs w:val="0"/>
          <w:color w:val="auto"/>
          <w:sz w:val="21"/>
          <w:szCs w:val="21"/>
          <w:highlight w:val="none"/>
        </w:rPr>
        <w:t>，</w:t>
      </w:r>
      <w:r>
        <w:rPr>
          <w:rFonts w:hint="eastAsia" w:ascii="宋体" w:hAnsi="宋体"/>
          <w:b w:val="0"/>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3"/>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p>
    <w:p>
      <w:pPr>
        <w:pStyle w:val="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8.1如果本招标文件要求提供投标人或制造商的资格、信誉、荣誉、业绩与企业认证等材料的，资格、信誉、荣誉、业绩与企业认证等必须为投标人或者制造商所拥有或自身获得 。</w:t>
      </w:r>
    </w:p>
    <w:p>
      <w:pPr>
        <w:pStyle w:val="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8.2投标人应仔细阅读招标文件的所有内容，按照招标文件的要求提交投标文件，并对所提供的全部资料的真实性承担法律责任。</w:t>
      </w:r>
    </w:p>
    <w:p>
      <w:pPr>
        <w:pStyle w:val="9"/>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8.3投标人在投标活动中提供任何虚假材料，将报监管部门查处；中标后发现的，中标人须依法赔偿采购人，且民事赔偿并不免除违法投标人的行政与刑事责任。</w:t>
      </w:r>
    </w:p>
    <w:p>
      <w:pPr>
        <w:pStyle w:val="9"/>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9"/>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5"/>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pStyle w:val="15"/>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pStyle w:val="15"/>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pStyle w:val="15"/>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pStyle w:val="15"/>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pStyle w:val="9"/>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 xml:space="preserve">（1）不同投标人的投标文件由同一单位或者个人编制； </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（2）不同投标人委托同一单位或者个人办理投标事宜；</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（3）不同的投标人的投标文件载明的项目管理员为同一个人；</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（4）不同投标人的投标文件异常一致或者投标报价呈规律性差异；</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（5）不同投标人的投标文件相互混装；</w:t>
      </w:r>
    </w:p>
    <w:p>
      <w:pPr>
        <w:pStyle w:val="15"/>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（6）不同投标人的投标保证金从同一单位或者个人账户转出。</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（2）供应商按照采购人或者采购代理机构的授意撤换、修改投标文件或者响应文件；</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（3）供应商之间协商报价、技术方案等投标文件或者响应文件的实质性内容；</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（4）属于同一集团、协会、商会等组织成员的供应商按照该组织要求协同参加政府采购活动；</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（6）供应商之间商定部分供应商放弃参加政府采购活动或者放弃中标；</w:t>
      </w:r>
    </w:p>
    <w:p>
      <w:pPr>
        <w:pStyle w:val="15"/>
        <w:snapToGrid w:val="0"/>
        <w:spacing w:line="360" w:lineRule="auto"/>
        <w:ind w:left="2" w:leftChars="1"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int="eastAsia" w:hAnsi="宋体"/>
          <w:b/>
          <w:color w:val="auto"/>
          <w:highlight w:val="none"/>
        </w:rPr>
      </w:pPr>
    </w:p>
    <w:p>
      <w:pPr>
        <w:pStyle w:val="7"/>
        <w:keepNext w:val="0"/>
        <w:keepLines w:val="0"/>
        <w:jc w:val="center"/>
        <w:rPr>
          <w:rFonts w:hint="eastAsia"/>
          <w:color w:val="auto"/>
          <w:highlight w:val="none"/>
        </w:rPr>
      </w:pPr>
      <w:bookmarkStart w:id="54" w:name="_Toc15349"/>
      <w:bookmarkStart w:id="55" w:name="_Toc16352"/>
      <w:bookmarkStart w:id="56" w:name="_Toc8889"/>
      <w:r>
        <w:rPr>
          <w:rFonts w:hint="eastAsia"/>
          <w:color w:val="auto"/>
          <w:highlight w:val="none"/>
        </w:rPr>
        <w:t>二、招标文件</w:t>
      </w:r>
      <w:bookmarkEnd w:id="54"/>
      <w:bookmarkEnd w:id="55"/>
      <w:bookmarkEnd w:id="56"/>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9"/>
        <w:keepNext w:val="0"/>
        <w:keepLines w:val="0"/>
        <w:spacing w:before="0" w:after="0" w:line="360" w:lineRule="auto"/>
        <w:ind w:firstLine="420" w:firstLineChars="200"/>
        <w:rPr>
          <w:rFonts w:hint="eastAsia"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pPr>
        <w:spacing w:line="360" w:lineRule="auto"/>
        <w:ind w:firstLine="420" w:firstLineChars="200"/>
        <w:rPr>
          <w:rFonts w:hint="eastAsia"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pStyle w:val="15"/>
        <w:snapToGrid w:val="0"/>
        <w:spacing w:line="360" w:lineRule="auto"/>
        <w:ind w:firstLine="420" w:firstLineChars="200"/>
        <w:rPr>
          <w:rFonts w:hint="eastAsia" w:hAnsi="宋体"/>
          <w:color w:val="auto"/>
          <w:highlight w:val="none"/>
        </w:rPr>
      </w:pPr>
    </w:p>
    <w:p>
      <w:pPr>
        <w:pStyle w:val="7"/>
        <w:keepNext w:val="0"/>
        <w:keepLines w:val="0"/>
        <w:jc w:val="center"/>
        <w:rPr>
          <w:rFonts w:hint="eastAsia"/>
          <w:color w:val="auto"/>
          <w:highlight w:val="none"/>
        </w:rPr>
      </w:pPr>
      <w:bookmarkStart w:id="57" w:name="_Toc4509"/>
      <w:bookmarkStart w:id="58" w:name="_Toc30821"/>
      <w:bookmarkStart w:id="59" w:name="_Toc5002"/>
      <w:r>
        <w:rPr>
          <w:rFonts w:hint="eastAsia"/>
          <w:color w:val="auto"/>
          <w:highlight w:val="none"/>
        </w:rPr>
        <w:t>三、投标文件的编制</w:t>
      </w:r>
      <w:bookmarkEnd w:id="57"/>
      <w:bookmarkEnd w:id="58"/>
      <w:bookmarkEnd w:id="59"/>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14.投标文件的语言及计量</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9"/>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5"/>
        <w:snapToGrid w:val="0"/>
        <w:spacing w:line="360" w:lineRule="auto"/>
        <w:ind w:firstLine="420" w:firstLineChars="200"/>
        <w:jc w:val="left"/>
        <w:rPr>
          <w:rFonts w:hint="eastAsia" w:hAnsi="宋体"/>
          <w:color w:val="auto"/>
          <w:highlight w:val="none"/>
        </w:rPr>
      </w:pPr>
      <w:r>
        <w:rPr>
          <w:rFonts w:hint="eastAsia" w:hAnsi="宋体"/>
          <w:color w:val="auto"/>
          <w:highlight w:val="none"/>
        </w:rPr>
        <w:t>投标人没有按照招标文件要求提供全部资料，或者投标人没有对招标文件作出实质性响应是投标人的风险，并可能导致其投标被拒绝。</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16.投标报价</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16.2投标报价具体包括内容详见“投标人须知前附表”。</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 投标有效期应按规定的期限作出承诺，具体详见“投标人须知前附表”。</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18.投标保证金</w:t>
      </w:r>
    </w:p>
    <w:p>
      <w:pPr>
        <w:pStyle w:val="9"/>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19.2投标文件应按报价文件、资格证明文件、商务文件、技术文件分别编制电子文件，并按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的要求编制、加密、上传。</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w:t>
      </w:r>
      <w:bookmarkStart w:id="60" w:name="_Hlk65832616"/>
      <w:r>
        <w:rPr>
          <w:rFonts w:hint="eastAsia" w:ascii="宋体" w:hAnsi="宋体"/>
          <w:b w:val="0"/>
          <w:color w:val="auto"/>
          <w:sz w:val="21"/>
          <w:szCs w:val="21"/>
          <w:highlight w:val="none"/>
        </w:rPr>
        <w:t>3投标文件须由投标人在规定位置盖公章并签字</w:t>
      </w:r>
      <w:bookmarkStart w:id="61" w:name="_Hlk65832569"/>
      <w:r>
        <w:rPr>
          <w:rFonts w:hint="eastAsia" w:ascii="宋体" w:hAnsi="宋体"/>
          <w:b w:val="0"/>
          <w:color w:val="auto"/>
          <w:sz w:val="21"/>
          <w:szCs w:val="21"/>
          <w:highlight w:val="none"/>
        </w:rPr>
        <w:t>（具体以投标人须知前附表或投标文件格式规定为准）</w:t>
      </w:r>
      <w:bookmarkEnd w:id="60"/>
      <w:bookmarkEnd w:id="61"/>
      <w:r>
        <w:rPr>
          <w:rFonts w:hint="eastAsia" w:ascii="宋体" w:hAnsi="宋体"/>
          <w:b w:val="0"/>
          <w:color w:val="auto"/>
          <w:sz w:val="21"/>
          <w:szCs w:val="21"/>
          <w:highlight w:val="none"/>
        </w:rPr>
        <w:t>，</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20.投标文件的加密、解密</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的要求进行加密，并在规定时间内解密，否则，由此产生的后果由投标人自行负责。</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21.1投标人必须在“投标人须知前附表”规定的投标文件接收时间和投标地点提交投标文件。</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实行在线电子投标。投标人必须在“投标人须知前附表”规定的投标文件接收时间内通过网络将电子投标文件上传至</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，供应商在</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提交电子版投标文件时，请填写参加远程开标活动经办人联系方式。</w:t>
      </w:r>
    </w:p>
    <w:p>
      <w:pPr>
        <w:pStyle w:val="9"/>
        <w:keepNext w:val="0"/>
        <w:keepLines w:val="0"/>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的要求编制、加密的电子投标文件，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pPr>
        <w:pStyle w:val="10"/>
        <w:rPr>
          <w:rFonts w:hint="eastAsia"/>
          <w:color w:val="auto"/>
          <w:highlight w:val="none"/>
        </w:rPr>
      </w:pPr>
      <w:r>
        <w:rPr>
          <w:rFonts w:hint="eastAsia" w:ascii="宋体" w:hAnsi="宋体"/>
          <w:color w:val="auto"/>
          <w:szCs w:val="21"/>
          <w:highlight w:val="none"/>
        </w:rPr>
        <w:t>21.4电子投标文件提交方式见“招标公告”中“四、提交投标文件截止时间、开标时间和地点”</w:t>
      </w:r>
    </w:p>
    <w:p>
      <w:pPr>
        <w:pStyle w:val="10"/>
        <w:rPr>
          <w:rFonts w:hint="eastAsia"/>
          <w:color w:val="auto"/>
          <w:highlight w:val="none"/>
        </w:rPr>
      </w:pP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的操作将电子版投标文件退回，除此之外采购人和采购代理机构对已提交的投标文件概不退回。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29"/>
        <w:rPr>
          <w:rFonts w:hint="eastAsia"/>
          <w:color w:val="auto"/>
          <w:highlight w:val="none"/>
        </w:rPr>
      </w:pPr>
    </w:p>
    <w:p>
      <w:pPr>
        <w:pStyle w:val="7"/>
        <w:keepNext w:val="0"/>
        <w:keepLines w:val="0"/>
        <w:jc w:val="center"/>
        <w:rPr>
          <w:rFonts w:hint="eastAsia"/>
          <w:color w:val="auto"/>
          <w:highlight w:val="none"/>
        </w:rPr>
      </w:pPr>
      <w:bookmarkStart w:id="62" w:name="_Toc14219"/>
      <w:bookmarkStart w:id="63" w:name="_Toc3711"/>
      <w:bookmarkStart w:id="64" w:name="_Toc31340"/>
      <w:r>
        <w:rPr>
          <w:rFonts w:hint="eastAsia"/>
          <w:color w:val="auto"/>
          <w:highlight w:val="none"/>
        </w:rPr>
        <w:t>四、开    标</w:t>
      </w:r>
      <w:bookmarkEnd w:id="62"/>
      <w:bookmarkEnd w:id="63"/>
      <w:bookmarkEnd w:id="64"/>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23.开标时间和地点</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23.1开标时间及地点详见“投标人须知前附表”</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9"/>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（1）解密电子投标文件。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按开标时间自动提取所有投标文件。采购代理机构依托</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p>
    <w:p>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（2）电子唱标。投标文件解密结束，各投标供应商报价均在</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远程不见面开标大厅展示；</w:t>
      </w:r>
    </w:p>
    <w:p>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电子化开标或评审程序调整的，按调整后执行。</w:t>
      </w:r>
    </w:p>
    <w:p>
      <w:pPr>
        <w:pStyle w:val="15"/>
        <w:snapToGrid w:val="0"/>
        <w:spacing w:line="360" w:lineRule="auto"/>
        <w:ind w:left="689" w:leftChars="228" w:hanging="210" w:hangingChars="100"/>
        <w:rPr>
          <w:rFonts w:hint="eastAsia" w:hAnsi="宋体"/>
          <w:color w:val="auto"/>
          <w:highlight w:val="none"/>
        </w:rPr>
      </w:pPr>
    </w:p>
    <w:p>
      <w:pPr>
        <w:pStyle w:val="7"/>
        <w:keepNext w:val="0"/>
        <w:keepLines w:val="0"/>
        <w:jc w:val="center"/>
        <w:rPr>
          <w:rFonts w:hint="eastAsia"/>
          <w:color w:val="auto"/>
          <w:highlight w:val="none"/>
        </w:rPr>
      </w:pPr>
    </w:p>
    <w:p>
      <w:pPr>
        <w:pStyle w:val="7"/>
        <w:keepNext w:val="0"/>
        <w:keepLines w:val="0"/>
        <w:jc w:val="center"/>
        <w:rPr>
          <w:rFonts w:hint="eastAsia"/>
          <w:color w:val="auto"/>
          <w:highlight w:val="none"/>
        </w:rPr>
      </w:pPr>
      <w:bookmarkStart w:id="65" w:name="_Toc16752"/>
      <w:bookmarkStart w:id="66" w:name="_Toc21370"/>
      <w:bookmarkStart w:id="67" w:name="_Toc805"/>
      <w:r>
        <w:rPr>
          <w:rFonts w:hint="eastAsia"/>
          <w:color w:val="auto"/>
          <w:highlight w:val="none"/>
        </w:rPr>
        <w:t>五、资格审查</w:t>
      </w:r>
      <w:bookmarkEnd w:id="65"/>
      <w:bookmarkEnd w:id="66"/>
      <w:bookmarkEnd w:id="67"/>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9"/>
        <w:keepNext w:val="0"/>
        <w:keepLines w:val="0"/>
        <w:spacing w:before="0" w:after="0" w:line="360" w:lineRule="auto"/>
        <w:ind w:firstLine="422" w:firstLineChars="200"/>
        <w:rPr>
          <w:rFonts w:hint="eastAsia" w:ascii="宋体" w:hAnsi="宋体"/>
          <w:color w:val="auto"/>
          <w:sz w:val="21"/>
          <w:szCs w:val="21"/>
          <w:highlight w:val="none"/>
        </w:rPr>
      </w:pPr>
      <w:r>
        <w:rPr>
          <w:rFonts w:hint="eastAsia" w:ascii="宋体" w:hAnsi="宋体"/>
          <w:color w:val="auto"/>
          <w:sz w:val="21"/>
          <w:szCs w:val="21"/>
          <w:highlight w:val="none"/>
        </w:rPr>
        <w:t>25.3 投标人有下列情形之一的，资格审查不通过，作无效投标处理：</w:t>
      </w:r>
    </w:p>
    <w:p>
      <w:pPr>
        <w:pStyle w:val="15"/>
        <w:snapToGrid w:val="0"/>
        <w:spacing w:line="360" w:lineRule="auto"/>
        <w:ind w:firstLine="422" w:firstLineChars="200"/>
        <w:rPr>
          <w:rFonts w:hint="eastAsia" w:hAnsi="宋体"/>
          <w:b/>
          <w:color w:val="auto"/>
          <w:highlight w:val="none"/>
        </w:rPr>
      </w:pPr>
      <w:r>
        <w:rPr>
          <w:rFonts w:hint="eastAsia" w:hAnsi="宋体"/>
          <w:b/>
          <w:color w:val="auto"/>
          <w:highlight w:val="none"/>
        </w:rPr>
        <w:t>（1）未按招标文件规定的方式获取本招标文件的投标人；</w:t>
      </w:r>
    </w:p>
    <w:p>
      <w:pPr>
        <w:pStyle w:val="15"/>
        <w:snapToGrid w:val="0"/>
        <w:spacing w:line="360" w:lineRule="auto"/>
        <w:ind w:firstLine="422" w:firstLineChars="200"/>
        <w:rPr>
          <w:rFonts w:hAnsi="宋体"/>
          <w:b/>
          <w:color w:val="auto"/>
          <w:highlight w:val="none"/>
        </w:rPr>
      </w:pPr>
      <w:r>
        <w:rPr>
          <w:rFonts w:hint="eastAsia" w:hAnsi="宋体"/>
          <w:b/>
          <w:color w:val="auto"/>
          <w:highlight w:val="none"/>
        </w:rPr>
        <w:t>（2）不具备招标文件中规定的资格要求的；</w:t>
      </w:r>
    </w:p>
    <w:p>
      <w:pPr>
        <w:pStyle w:val="15"/>
        <w:snapToGrid w:val="0"/>
        <w:spacing w:line="360" w:lineRule="auto"/>
        <w:ind w:firstLine="422" w:firstLineChars="200"/>
        <w:rPr>
          <w:rFonts w:hAnsi="宋体"/>
          <w:b/>
          <w:color w:val="auto"/>
          <w:highlight w:val="none"/>
        </w:rPr>
      </w:pPr>
      <w:r>
        <w:rPr>
          <w:rFonts w:hint="eastAsia" w:hAnsi="宋体"/>
          <w:b/>
          <w:color w:val="auto"/>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15"/>
        <w:snapToGrid w:val="0"/>
        <w:spacing w:line="360" w:lineRule="auto"/>
        <w:ind w:firstLine="422" w:firstLineChars="200"/>
        <w:rPr>
          <w:rFonts w:hint="eastAsia" w:hAnsi="宋体"/>
          <w:b/>
          <w:color w:val="auto"/>
          <w:highlight w:val="none"/>
        </w:rPr>
      </w:pPr>
      <w:r>
        <w:rPr>
          <w:rFonts w:hint="eastAsia" w:hAnsi="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5"/>
        <w:snapToGrid w:val="0"/>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）投标文件中的资格证明文件缺少任一项“投标人须知前附表”资格证明文件规定“必须提供”的文件资料的；</w:t>
      </w:r>
    </w:p>
    <w:p>
      <w:pPr>
        <w:pStyle w:val="15"/>
        <w:snapToGrid w:val="0"/>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6</w:t>
      </w:r>
      <w:r>
        <w:rPr>
          <w:rFonts w:hint="eastAsia" w:hAnsi="宋体"/>
          <w:b/>
          <w:color w:val="auto"/>
          <w:highlight w:val="none"/>
        </w:rPr>
        <w:t>）投标文件中的资格证明文件出现任一项不符合“投标人须知前附表”资格证明文件规定“必须提供”的文件资料要求或者无效的。</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15"/>
        <w:snapToGrid w:val="0"/>
        <w:spacing w:line="360" w:lineRule="auto"/>
        <w:ind w:left="689" w:leftChars="228" w:hanging="210" w:hangingChars="100"/>
        <w:rPr>
          <w:rFonts w:hint="eastAsia" w:hAnsi="宋体"/>
          <w:color w:val="auto"/>
          <w:highlight w:val="none"/>
        </w:rPr>
      </w:pPr>
    </w:p>
    <w:p>
      <w:pPr>
        <w:pStyle w:val="7"/>
        <w:keepNext w:val="0"/>
        <w:keepLines w:val="0"/>
        <w:jc w:val="center"/>
        <w:rPr>
          <w:rFonts w:hint="eastAsia"/>
          <w:color w:val="auto"/>
          <w:highlight w:val="none"/>
        </w:rPr>
      </w:pPr>
      <w:bookmarkStart w:id="68" w:name="_Toc31655"/>
      <w:bookmarkStart w:id="69" w:name="_Toc606"/>
      <w:bookmarkStart w:id="70" w:name="_Toc12815"/>
      <w:r>
        <w:rPr>
          <w:rFonts w:hint="eastAsia"/>
          <w:color w:val="auto"/>
          <w:highlight w:val="none"/>
        </w:rPr>
        <w:t>六、评   标</w:t>
      </w:r>
      <w:bookmarkEnd w:id="68"/>
      <w:bookmarkEnd w:id="69"/>
      <w:bookmarkEnd w:id="70"/>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26.组建评标委员会</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评标委员会由采购人代表和评审专家组成，具体人数详见“投标人须知前附表”，其中评审专家不得少于成员总数的三分之二。</w:t>
      </w:r>
    </w:p>
    <w:p>
      <w:pPr>
        <w:pStyle w:val="15"/>
        <w:snapToGrid w:val="0"/>
        <w:spacing w:line="360" w:lineRule="auto"/>
        <w:ind w:left="2" w:leftChars="1" w:firstLine="420" w:firstLineChars="200"/>
        <w:rPr>
          <w:rFonts w:hint="eastAsia" w:hAnsi="宋体"/>
          <w:color w:val="auto"/>
          <w:highlight w:val="none"/>
        </w:rPr>
      </w:pPr>
      <w:r>
        <w:rPr>
          <w:rFonts w:hint="eastAsia" w:hAnsi="宋体"/>
          <w:color w:val="auto"/>
          <w:highlight w:val="none"/>
        </w:rPr>
        <w:t>参加过采购项目前期咨询论证的专家，不得参加该采购项目的评审活动。</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评标委员会以</w:t>
      </w:r>
      <w:r>
        <w:rPr>
          <w:rFonts w:hint="eastAsia" w:hAnsi="宋体" w:cs="宋体"/>
          <w:color w:val="auto"/>
          <w:highlight w:val="none"/>
        </w:rPr>
        <w:t>“第四章 评标方法和评标标准”</w:t>
      </w:r>
      <w:r>
        <w:rPr>
          <w:rFonts w:hint="eastAsia" w:hAnsi="宋体"/>
          <w:color w:val="auto"/>
          <w:highlight w:val="none"/>
        </w:rPr>
        <w:t>为依据对投标文件进行评审，</w:t>
      </w:r>
      <w:r>
        <w:rPr>
          <w:rFonts w:hAnsi="宋体"/>
          <w:color w:val="auto"/>
          <w:highlight w:val="none"/>
        </w:rPr>
        <w:t>没有规定的方法、评审因素和标准，不作为评标依据。</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28.2评委表决。评标委员会成员对需要共同认定的事项存在争议的，应当按照少数服从多数的原则作出结论。</w:t>
      </w:r>
    </w:p>
    <w:p>
      <w:pPr>
        <w:pStyle w:val="15"/>
        <w:snapToGrid w:val="0"/>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评标过程的监控。本项目评标过程实行全程录音、录像监控，</w:t>
      </w:r>
      <w:r>
        <w:rPr>
          <w:rFonts w:hint="eastAsia" w:hAnsi="宋体"/>
          <w:b/>
          <w:bCs/>
          <w:color w:val="auto"/>
          <w:highlight w:val="none"/>
        </w:rPr>
        <w:t>投标人在评标过程中所进行的试图影响评标结果的不公正活动，可能导致其投标无效</w:t>
      </w:r>
      <w:r>
        <w:rPr>
          <w:rFonts w:hint="eastAsia" w:hAnsi="宋体"/>
          <w:color w:val="auto"/>
          <w:highlight w:val="none"/>
        </w:rPr>
        <w:t>。</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15"/>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中标候选人推荐数量详见</w:t>
      </w:r>
      <w:r>
        <w:rPr>
          <w:rFonts w:hint="eastAsia" w:hAnsi="宋体"/>
          <w:color w:val="auto"/>
          <w:highlight w:val="none"/>
        </w:rPr>
        <w:t>“投标人须知前附表”。</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9.</w:t>
      </w:r>
      <w:r>
        <w:rPr>
          <w:rFonts w:hint="eastAsia" w:hAnsi="宋体"/>
          <w:color w:val="auto"/>
          <w:highlight w:val="none"/>
        </w:rPr>
        <w:t>3</w:t>
      </w:r>
      <w:r>
        <w:rPr>
          <w:rFonts w:hAnsi="宋体"/>
          <w:color w:val="auto"/>
          <w:highlight w:val="none"/>
        </w:rPr>
        <w:t>评标委员会</w:t>
      </w:r>
      <w:r>
        <w:rPr>
          <w:rFonts w:hint="eastAsia" w:hAnsi="宋体"/>
          <w:color w:val="auto"/>
          <w:highlight w:val="none"/>
        </w:rPr>
        <w:t>将</w:t>
      </w:r>
      <w:r>
        <w:rPr>
          <w:rFonts w:hAnsi="宋体"/>
          <w:color w:val="auto"/>
          <w:highlight w:val="none"/>
        </w:rPr>
        <w:t>按照</w:t>
      </w:r>
      <w:r>
        <w:rPr>
          <w:rFonts w:hint="eastAsia" w:hAnsi="宋体"/>
          <w:color w:val="auto"/>
          <w:highlight w:val="none"/>
        </w:rPr>
        <w:t>“第四章 评标方法和评标标准”</w:t>
      </w:r>
      <w:r>
        <w:rPr>
          <w:rFonts w:hAnsi="宋体"/>
          <w:color w:val="auto"/>
          <w:highlight w:val="none"/>
        </w:rPr>
        <w:t>规定的方法、评审因素、标准和程序对投标文件进行评审。</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29.4电子交易活动的中止。采购过程中出现以下情形，导致电子交易平台无法正常运行，或者无法保证电子交易的公平、公正和安全时，采购代理机构可中止电子交易活动：</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（4）其他无法保证电子交易的公平、公正和安全的情况。</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15"/>
        <w:snapToGrid w:val="0"/>
        <w:spacing w:line="360" w:lineRule="auto"/>
        <w:rPr>
          <w:rFonts w:hint="eastAsia" w:hAnsi="宋体"/>
          <w:color w:val="auto"/>
          <w:highlight w:val="none"/>
        </w:rPr>
      </w:pPr>
    </w:p>
    <w:p>
      <w:pPr>
        <w:pStyle w:val="7"/>
        <w:keepNext w:val="0"/>
        <w:keepLines w:val="0"/>
        <w:jc w:val="center"/>
        <w:rPr>
          <w:rFonts w:hint="eastAsia"/>
          <w:color w:val="auto"/>
          <w:highlight w:val="none"/>
        </w:rPr>
      </w:pPr>
      <w:bookmarkStart w:id="71" w:name="_Toc11398"/>
      <w:bookmarkStart w:id="72" w:name="_Toc23779"/>
      <w:bookmarkStart w:id="73" w:name="_Toc8898"/>
      <w:r>
        <w:rPr>
          <w:rFonts w:hint="eastAsia"/>
          <w:color w:val="auto"/>
          <w:highlight w:val="none"/>
        </w:rPr>
        <w:t>七、中标和合同</w:t>
      </w:r>
      <w:bookmarkEnd w:id="71"/>
      <w:bookmarkEnd w:id="72"/>
      <w:bookmarkEnd w:id="73"/>
    </w:p>
    <w:p>
      <w:pPr>
        <w:pStyle w:val="9"/>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pPr>
        <w:pStyle w:val="9"/>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及《财政部关于进一步加大政府采购支持中小企业力度的通知》财库〔2022〕19号规定的中小企业扶持政策的，采购人、采购代理机构应当随中标结果公开中标供应商的《中小企业声明函》。</w:t>
      </w:r>
    </w:p>
    <w:p>
      <w:pPr>
        <w:pStyle w:val="9"/>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9"/>
        <w:keepNext w:val="0"/>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采购代理机构无义务向未中标的投标人解释未中标原因。</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9"/>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color w:val="auto"/>
          <w:sz w:val="21"/>
          <w:szCs w:val="21"/>
          <w:highlight w:val="none"/>
        </w:rPr>
        <w:t>联合体各方应当共同与采购人签订采购合同，就采购合同约定的事项对采购人承担连带责任。</w:t>
      </w:r>
    </w:p>
    <w:p>
      <w:pPr>
        <w:pStyle w:val="9"/>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w:t>
      </w:r>
      <w:r>
        <w:rPr>
          <w:rFonts w:hint="eastAsia" w:ascii="宋体" w:hAnsi="宋体"/>
          <w:b w:val="0"/>
          <w:color w:val="auto"/>
          <w:sz w:val="21"/>
          <w:szCs w:val="21"/>
          <w:highlight w:val="none"/>
          <w:lang w:val="en-US" w:eastAsia="zh-CN"/>
        </w:rPr>
        <w:t>15</w:t>
      </w:r>
      <w:r>
        <w:rPr>
          <w:rFonts w:hint="eastAsia" w:ascii="宋体" w:hAnsi="宋体"/>
          <w:b w:val="0"/>
          <w:color w:val="auto"/>
          <w:sz w:val="21"/>
          <w:szCs w:val="21"/>
          <w:highlight w:val="none"/>
        </w:rPr>
        <w:t>日）。</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37.政府采购合同公告</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采购人或者受托采购代理机构应当自政府采购合同签订之日起2个工作日内，将政府采购合同在省级以上人民政府财政部门指定的媒体上公告，</w:t>
      </w:r>
      <w:r>
        <w:rPr>
          <w:rFonts w:hAnsi="宋体"/>
          <w:color w:val="auto"/>
          <w:highlight w:val="none"/>
        </w:rPr>
        <w:t>但政府采购合同中涉及国家秘密、商业秘密的内容除外。</w:t>
      </w:r>
    </w:p>
    <w:p>
      <w:pPr>
        <w:pStyle w:val="9"/>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10"/>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9"/>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）对可以质疑的</w:t>
      </w:r>
      <w:r>
        <w:rPr>
          <w:rFonts w:hint="eastAsia" w:hAnsi="宋体"/>
          <w:color w:val="auto"/>
          <w:highlight w:val="none"/>
        </w:rPr>
        <w:t>招标</w:t>
      </w:r>
      <w:r>
        <w:rPr>
          <w:rFonts w:hAnsi="宋体"/>
          <w:color w:val="auto"/>
          <w:highlight w:val="none"/>
        </w:rPr>
        <w:t>文件提出质疑的，为收到</w:t>
      </w:r>
      <w:r>
        <w:rPr>
          <w:rFonts w:hint="eastAsia" w:hAnsi="宋体"/>
          <w:color w:val="auto"/>
          <w:highlight w:val="none"/>
        </w:rPr>
        <w:t>招标</w:t>
      </w:r>
      <w:r>
        <w:rPr>
          <w:rFonts w:hAnsi="宋体"/>
          <w:color w:val="auto"/>
          <w:highlight w:val="none"/>
        </w:rPr>
        <w:t>文件之日</w:t>
      </w:r>
      <w:r>
        <w:rPr>
          <w:rFonts w:hint="eastAsia" w:hAnsi="宋体"/>
          <w:color w:val="auto"/>
          <w:highlight w:val="none"/>
        </w:rPr>
        <w:t>或者招标文件公告期限届满之日</w:t>
      </w:r>
      <w:r>
        <w:rPr>
          <w:rFonts w:hAnsi="宋体"/>
          <w:color w:val="auto"/>
          <w:highlight w:val="none"/>
        </w:rPr>
        <w:t>；</w:t>
      </w:r>
    </w:p>
    <w:p>
      <w:pPr>
        <w:pStyle w:val="15"/>
        <w:snapToGrid w:val="0"/>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）对</w:t>
      </w:r>
      <w:r>
        <w:rPr>
          <w:rFonts w:hint="eastAsia" w:hAnsi="宋体"/>
          <w:color w:val="auto"/>
          <w:highlight w:val="none"/>
        </w:rPr>
        <w:t>采购</w:t>
      </w:r>
      <w:r>
        <w:rPr>
          <w:rFonts w:hAnsi="宋体"/>
          <w:color w:val="auto"/>
          <w:highlight w:val="none"/>
        </w:rPr>
        <w:t>过程提出质疑的，为各采购程序环节结束之日；</w:t>
      </w:r>
    </w:p>
    <w:p>
      <w:pPr>
        <w:pStyle w:val="15"/>
        <w:snapToGrid w:val="0"/>
        <w:spacing w:line="360" w:lineRule="auto"/>
        <w:ind w:firstLine="420" w:firstLineChars="200"/>
        <w:rPr>
          <w:rFonts w:hint="eastAsia" w:hAnsi="宋体"/>
          <w:bCs/>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）对中标结果提出质疑的，为中标结果公告期限届满之日。</w:t>
      </w:r>
    </w:p>
    <w:p>
      <w:pPr>
        <w:pStyle w:val="9"/>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color w:val="auto"/>
          <w:sz w:val="21"/>
          <w:highlight w:val="none"/>
        </w:rPr>
        <w:t>供应商提出质疑应当提交质疑函和必要的证明材料</w:t>
      </w:r>
      <w:r>
        <w:rPr>
          <w:rFonts w:hint="eastAsia" w:hAnsi="宋体"/>
          <w:color w:val="auto"/>
          <w:sz w:val="21"/>
          <w:highlight w:val="none"/>
        </w:rPr>
        <w:t>，</w:t>
      </w:r>
      <w:r>
        <w:rPr>
          <w:rFonts w:hAnsi="宋体"/>
          <w:color w:val="auto"/>
          <w:sz w:val="21"/>
          <w:highlight w:val="none"/>
        </w:rPr>
        <w:t>针对同一采购程序环节的质疑</w:t>
      </w:r>
      <w:r>
        <w:rPr>
          <w:rFonts w:hint="eastAsia" w:hAnsi="宋体"/>
          <w:color w:val="auto"/>
          <w:sz w:val="21"/>
          <w:highlight w:val="none"/>
        </w:rPr>
        <w:t>必须</w:t>
      </w:r>
      <w:r>
        <w:rPr>
          <w:rFonts w:hAnsi="宋体"/>
          <w:color w:val="auto"/>
          <w:sz w:val="21"/>
          <w:highlight w:val="none"/>
        </w:rPr>
        <w:t>在法定质疑期内一次性提出。质疑函应当包括下列内容</w:t>
      </w:r>
      <w:r>
        <w:rPr>
          <w:rFonts w:hint="eastAsia" w:hAnsi="宋体"/>
          <w:color w:val="auto"/>
          <w:sz w:val="21"/>
          <w:highlight w:val="none"/>
        </w:rPr>
        <w:t>（质疑函格式后附）</w:t>
      </w:r>
      <w:r>
        <w:rPr>
          <w:rFonts w:hAnsi="宋体"/>
          <w:color w:val="auto"/>
          <w:sz w:val="21"/>
          <w:highlight w:val="none"/>
        </w:rPr>
        <w:t>：</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pStyle w:val="15"/>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pStyle w:val="15"/>
        <w:snapToGrid w:val="0"/>
        <w:spacing w:line="360" w:lineRule="auto"/>
        <w:ind w:firstLine="420" w:firstLineChars="200"/>
        <w:rPr>
          <w:rFonts w:hint="eastAsia"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pStyle w:val="9"/>
        <w:keepNext w:val="0"/>
        <w:keepLines w:val="0"/>
        <w:snapToGrid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hint="eastAsia" w:hAnsi="宋体"/>
          <w:bCs/>
          <w:color w:val="auto"/>
          <w:highlight w:val="none"/>
        </w:rPr>
      </w:pPr>
      <w:r>
        <w:rPr>
          <w:rFonts w:hint="eastAsia" w:hAnsi="宋体"/>
          <w:bCs/>
          <w:color w:val="auto"/>
          <w:highlight w:val="none"/>
        </w:rPr>
        <w:t>　　（1）对招标文件提出的质疑，依法通过澄清或者修改可以继续开展采购活动的，澄清或者修改招标文件后继续开展采购活动；否则应当修改招标文件后重新开展采购活动。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hint="eastAsia" w:hAnsi="宋体"/>
          <w:bCs/>
          <w:color w:val="auto"/>
          <w:highlight w:val="none"/>
        </w:rPr>
      </w:pPr>
      <w:r>
        <w:rPr>
          <w:rFonts w:hint="eastAsia" w:hAnsi="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pStyle w:val="15"/>
        <w:snapToGrid w:val="0"/>
        <w:spacing w:line="360" w:lineRule="auto"/>
        <w:ind w:firstLine="420" w:firstLineChars="200"/>
        <w:rPr>
          <w:rFonts w:hint="eastAsia" w:hAnsi="宋体"/>
          <w:color w:val="auto"/>
          <w:highlight w:val="none"/>
        </w:rPr>
      </w:pPr>
      <w:r>
        <w:rPr>
          <w:rFonts w:hAnsi="宋体"/>
          <w:color w:val="auto"/>
          <w:highlight w:val="none"/>
        </w:rPr>
        <w:t>38</w:t>
      </w:r>
      <w:r>
        <w:rPr>
          <w:rFonts w:hint="eastAsia" w:hAnsi="宋体"/>
          <w:color w:val="auto"/>
          <w:highlight w:val="none"/>
        </w:rPr>
        <w:t>.</w:t>
      </w:r>
      <w:r>
        <w:rPr>
          <w:rFonts w:hAnsi="宋体"/>
          <w:color w:val="auto"/>
          <w:highlight w:val="none"/>
        </w:rPr>
        <w:t>5</w:t>
      </w:r>
      <w:r>
        <w:rPr>
          <w:rFonts w:hint="eastAsia" w:hAnsi="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w:t>
      </w:r>
      <w:r>
        <w:rPr>
          <w:rFonts w:hint="eastAsia" w:hAnsi="宋体"/>
          <w:color w:val="auto"/>
          <w:highlight w:val="none"/>
          <w:lang w:val="en-US" w:eastAsia="zh-CN"/>
        </w:rPr>
        <w:t>崇左</w:t>
      </w:r>
      <w:r>
        <w:rPr>
          <w:rFonts w:hint="eastAsia" w:hAnsi="宋体"/>
          <w:color w:val="auto"/>
          <w:highlight w:val="none"/>
          <w:lang w:eastAsia="zh-CN"/>
        </w:rPr>
        <w:t>市财政局</w:t>
      </w:r>
      <w:r>
        <w:rPr>
          <w:rFonts w:hint="eastAsia" w:hAnsi="宋体" w:cs="宋体"/>
          <w:color w:val="auto"/>
          <w:szCs w:val="21"/>
          <w:highlight w:val="none"/>
        </w:rPr>
        <w:t>政府采购监督管理</w:t>
      </w:r>
      <w:r>
        <w:rPr>
          <w:rFonts w:hint="eastAsia" w:hAnsi="宋体" w:cs="宋体"/>
          <w:color w:val="auto"/>
          <w:szCs w:val="21"/>
          <w:highlight w:val="none"/>
          <w:lang w:eastAsia="zh-CN"/>
        </w:rPr>
        <w:t>股</w:t>
      </w:r>
      <w:r>
        <w:rPr>
          <w:rFonts w:hint="eastAsia" w:hAnsi="宋体"/>
          <w:color w:val="auto"/>
          <w:highlight w:val="none"/>
        </w:rPr>
        <w:t>）提起投诉（投诉书格式后附）。</w:t>
      </w:r>
    </w:p>
    <w:p>
      <w:pPr>
        <w:pStyle w:val="7"/>
        <w:keepNext w:val="0"/>
        <w:keepLines w:val="0"/>
        <w:jc w:val="center"/>
        <w:rPr>
          <w:rFonts w:hint="eastAsia"/>
          <w:color w:val="auto"/>
          <w:highlight w:val="none"/>
        </w:rPr>
      </w:pPr>
      <w:bookmarkStart w:id="74" w:name="_Toc1729"/>
      <w:bookmarkStart w:id="75" w:name="_Toc16431"/>
      <w:bookmarkStart w:id="76" w:name="_Toc730"/>
      <w:r>
        <w:rPr>
          <w:rFonts w:hint="eastAsia"/>
          <w:color w:val="auto"/>
          <w:highlight w:val="none"/>
        </w:rPr>
        <w:t>八、其他事项</w:t>
      </w:r>
      <w:bookmarkEnd w:id="74"/>
      <w:bookmarkEnd w:id="75"/>
      <w:bookmarkEnd w:id="76"/>
    </w:p>
    <w:p>
      <w:pPr>
        <w:pStyle w:val="9"/>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.1代理服务收取标准及缴费账户详见“投标人须知前附表”，投标人为联合体的，可以由联合体中的一方或者多方共同交纳代理服务费。</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.2代理服务收费标准：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1714"/>
        <w:gridCol w:w="174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587" w:type="dxa"/>
            <w:tcBorders>
              <w:tl2br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714" w:type="dxa"/>
            <w:noWrap w:val="0"/>
            <w:vAlign w:val="center"/>
          </w:tcPr>
          <w:p>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74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714"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714"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743"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714"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714"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743"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714"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714"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743"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714"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714"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743"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714"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714"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743"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714"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714" w:type="dxa"/>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743"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714"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714"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743"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714"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714"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743"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714"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714"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743"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714"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714"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743"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714"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15"/>
        <w:snapToGrid w:val="0"/>
        <w:spacing w:line="360" w:lineRule="auto"/>
        <w:ind w:firstLine="420" w:firstLineChars="200"/>
        <w:rPr>
          <w:rFonts w:hAnsi="宋体" w:cs="宋体"/>
          <w:color w:val="auto"/>
          <w:highlight w:val="none"/>
        </w:rPr>
      </w:pPr>
      <w:r>
        <w:rPr>
          <w:rFonts w:hAnsi="宋体" w:cs="宋体"/>
          <w:color w:val="auto"/>
          <w:highlight w:val="none"/>
        </w:rPr>
        <w:t>合计收费＝ 1.5</w:t>
      </w:r>
      <w:r>
        <w:rPr>
          <w:rFonts w:hint="eastAsia" w:hAnsi="宋体" w:cs="宋体"/>
          <w:color w:val="auto"/>
          <w:highlight w:val="none"/>
        </w:rPr>
        <w:t>+</w:t>
      </w:r>
      <w:r>
        <w:rPr>
          <w:rFonts w:hAnsi="宋体" w:cs="宋体"/>
          <w:color w:val="auto"/>
          <w:highlight w:val="none"/>
        </w:rPr>
        <w:t>0.8＝ 2.3（万元）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开户名称：</w:t>
      </w:r>
      <w:r>
        <w:rPr>
          <w:rFonts w:hint="eastAsia" w:ascii="宋体" w:hAnsi="宋体" w:cs="宋体"/>
          <w:color w:val="auto"/>
          <w:szCs w:val="21"/>
          <w:highlight w:val="none"/>
          <w:lang w:eastAsia="zh-CN"/>
        </w:rPr>
        <w:t>广西华利得项目管理有限公司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开户银行：广西北部湾银行股份有限公司崇左分行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银行账号：8050 0899 2400 001</w:t>
      </w:r>
    </w:p>
    <w:p>
      <w:pPr>
        <w:pStyle w:val="9"/>
        <w:keepNext w:val="0"/>
        <w:keepLines w:val="0"/>
        <w:spacing w:before="0" w:after="0" w:line="360" w:lineRule="auto"/>
        <w:ind w:left="420" w:leftChars="200"/>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40. 需要补充的其他内容</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40.1本招标文件解释规则详见“投标人须知前附表”。</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40.2 其他事项详见“投标人须知前附表”。</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依据本招标文件规定享受扶持政策获得政府采购合同的，小微企业不得将合同分包给大中型企业，中型企业不得将合同分包给大型企业。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0"/>
        <w:rPr>
          <w:b/>
          <w:color w:val="auto"/>
          <w:sz w:val="36"/>
          <w:highlight w:val="none"/>
        </w:rPr>
      </w:pPr>
      <w:r>
        <w:rPr>
          <w:rFonts w:hAnsi="宋体"/>
          <w:color w:val="auto"/>
          <w:highlight w:val="none"/>
        </w:rPr>
        <w:br w:type="page"/>
      </w:r>
      <w:bookmarkStart w:id="77" w:name="_Toc532545043"/>
      <w:bookmarkStart w:id="78" w:name="_Toc27382"/>
      <w:r>
        <w:rPr>
          <w:rFonts w:hint="eastAsia"/>
          <w:b/>
          <w:color w:val="auto"/>
          <w:sz w:val="36"/>
          <w:highlight w:val="none"/>
        </w:rPr>
        <w:t>第四章</w:t>
      </w:r>
      <w:r>
        <w:rPr>
          <w:b/>
          <w:color w:val="auto"/>
          <w:sz w:val="36"/>
          <w:highlight w:val="none"/>
        </w:rPr>
        <w:t xml:space="preserve">  </w:t>
      </w:r>
      <w:r>
        <w:rPr>
          <w:rFonts w:hint="eastAsia"/>
          <w:b/>
          <w:color w:val="auto"/>
          <w:sz w:val="36"/>
          <w:highlight w:val="none"/>
        </w:rPr>
        <w:t>评标方法</w:t>
      </w:r>
      <w:bookmarkEnd w:id="77"/>
      <w:r>
        <w:rPr>
          <w:rFonts w:hint="eastAsia"/>
          <w:b/>
          <w:color w:val="auto"/>
          <w:sz w:val="36"/>
          <w:highlight w:val="none"/>
        </w:rPr>
        <w:t>及评分标准</w:t>
      </w:r>
      <w:bookmarkEnd w:id="78"/>
    </w:p>
    <w:p>
      <w:pPr>
        <w:pStyle w:val="7"/>
        <w:keepNext w:val="0"/>
        <w:keepLines w:val="0"/>
        <w:ind w:firstLine="602"/>
        <w:jc w:val="center"/>
        <w:rPr>
          <w:color w:val="auto"/>
          <w:sz w:val="30"/>
          <w:szCs w:val="30"/>
          <w:highlight w:val="none"/>
        </w:rPr>
      </w:pPr>
      <w:bookmarkStart w:id="79" w:name="_Toc30244"/>
      <w:bookmarkStart w:id="80" w:name="_Toc11402"/>
      <w:bookmarkStart w:id="81" w:name="_Toc32560"/>
      <w:bookmarkStart w:id="82" w:name="_Toc80093006"/>
      <w:r>
        <w:rPr>
          <w:rFonts w:hint="eastAsia"/>
          <w:color w:val="auto"/>
          <w:sz w:val="30"/>
          <w:szCs w:val="30"/>
          <w:highlight w:val="none"/>
        </w:rPr>
        <w:t>一、评标方法</w:t>
      </w:r>
      <w:bookmarkEnd w:id="79"/>
      <w:bookmarkEnd w:id="80"/>
      <w:bookmarkEnd w:id="81"/>
    </w:p>
    <w:p>
      <w:pPr>
        <w:pStyle w:val="15"/>
        <w:spacing w:line="360" w:lineRule="auto"/>
        <w:ind w:firstLine="420"/>
        <w:rPr>
          <w:rFonts w:hAnsi="宋体"/>
          <w:color w:val="auto"/>
          <w:highlight w:val="none"/>
        </w:rPr>
      </w:pPr>
      <w:r>
        <w:rPr>
          <w:rFonts w:hint="eastAsia" w:hAnsi="宋体"/>
          <w:color w:val="auto"/>
          <w:highlight w:val="none"/>
        </w:rPr>
        <w:t>综合评分法，是指投标文件满足招标文件全部实质性要求，且按照评审因素的量化指标评审得分最高的投标人为中标候选人的评标方法。</w:t>
      </w:r>
    </w:p>
    <w:p>
      <w:pPr>
        <w:pStyle w:val="7"/>
        <w:keepNext w:val="0"/>
        <w:keepLines w:val="0"/>
        <w:ind w:firstLine="602"/>
        <w:jc w:val="center"/>
        <w:rPr>
          <w:rFonts w:hint="eastAsia"/>
          <w:color w:val="auto"/>
          <w:sz w:val="30"/>
          <w:szCs w:val="30"/>
          <w:highlight w:val="none"/>
        </w:rPr>
      </w:pPr>
      <w:bookmarkStart w:id="83" w:name="_Toc3280"/>
      <w:bookmarkStart w:id="84" w:name="_Toc26149"/>
      <w:bookmarkStart w:id="85" w:name="_Toc2185"/>
      <w:r>
        <w:rPr>
          <w:rFonts w:hint="eastAsia"/>
          <w:color w:val="auto"/>
          <w:sz w:val="30"/>
          <w:szCs w:val="30"/>
          <w:highlight w:val="none"/>
        </w:rPr>
        <w:t>二、评标程序</w:t>
      </w:r>
      <w:bookmarkEnd w:id="83"/>
      <w:bookmarkEnd w:id="84"/>
      <w:bookmarkEnd w:id="85"/>
    </w:p>
    <w:p>
      <w:pPr>
        <w:pStyle w:val="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5"/>
        <w:snapToGrid w:val="0"/>
        <w:spacing w:line="360" w:lineRule="auto"/>
        <w:ind w:left="1" w:firstLine="420"/>
        <w:rPr>
          <w:rFonts w:hint="eastAsia" w:hAnsi="宋体"/>
          <w:b w:val="0"/>
          <w:bCs/>
          <w:color w:val="auto"/>
          <w:highlight w:val="none"/>
        </w:rPr>
      </w:pPr>
      <w:r>
        <w:rPr>
          <w:rFonts w:hint="eastAsia" w:hAnsi="宋体"/>
          <w:b w:val="0"/>
          <w:bCs/>
          <w:color w:val="auto"/>
          <w:highlight w:val="none"/>
        </w:rPr>
        <w:t>评标委员会应当对符合资格的投标人的投标文件进行投标报价、商务、技术等实质性内容符合性审查，以确定其是否满足招标文件的实质性要求。</w:t>
      </w:r>
    </w:p>
    <w:p>
      <w:pPr>
        <w:pStyle w:val="9"/>
        <w:keepNext w:val="0"/>
        <w:keepLines w:val="0"/>
        <w:spacing w:before="0" w:after="0" w:line="360" w:lineRule="auto"/>
        <w:ind w:left="420" w:leftChars="200"/>
        <w:rPr>
          <w:rFonts w:hint="eastAsia" w:ascii="宋体" w:hAnsi="宋体"/>
          <w:b/>
          <w:bCs w:val="0"/>
          <w:color w:val="auto"/>
          <w:sz w:val="21"/>
          <w:szCs w:val="21"/>
          <w:highlight w:val="none"/>
        </w:rPr>
      </w:pPr>
      <w:r>
        <w:rPr>
          <w:rFonts w:hint="eastAsia" w:ascii="宋体" w:hAnsi="宋体"/>
          <w:b/>
          <w:bCs w:val="0"/>
          <w:color w:val="auto"/>
          <w:sz w:val="21"/>
          <w:szCs w:val="21"/>
          <w:highlight w:val="none"/>
        </w:rPr>
        <w:t>2</w:t>
      </w:r>
      <w:r>
        <w:rPr>
          <w:rFonts w:ascii="宋体" w:hAnsi="宋体"/>
          <w:b/>
          <w:bCs w:val="0"/>
          <w:color w:val="auto"/>
          <w:sz w:val="21"/>
          <w:szCs w:val="21"/>
          <w:highlight w:val="none"/>
        </w:rPr>
        <w:t>.</w:t>
      </w:r>
      <w:r>
        <w:rPr>
          <w:rFonts w:hint="eastAsia" w:ascii="宋体" w:hAnsi="宋体"/>
          <w:b/>
          <w:bCs w:val="0"/>
          <w:color w:val="auto"/>
          <w:sz w:val="21"/>
          <w:szCs w:val="21"/>
          <w:highlight w:val="none"/>
        </w:rPr>
        <w:t>符合性审查不通过而导致投标无效的情形</w:t>
      </w:r>
    </w:p>
    <w:p>
      <w:p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投标人的投标文件中存在对招标文件的任何实质性要求和条件的负偏离，将被视为投标无效。</w:t>
      </w:r>
    </w:p>
    <w:p>
      <w:pPr>
        <w:pStyle w:val="9"/>
        <w:keepNext w:val="0"/>
        <w:keepLines w:val="0"/>
        <w:spacing w:before="0" w:after="0" w:line="360" w:lineRule="auto"/>
        <w:ind w:left="420" w:left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2.1在报价评审时，如发现下列情形之一的，将被视为投标无效：</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pacing w:val="-6"/>
          <w:szCs w:val="21"/>
          <w:highlight w:val="none"/>
        </w:rPr>
        <w:t>报价文件</w:t>
      </w:r>
      <w:r>
        <w:rPr>
          <w:rFonts w:hint="eastAsia" w:ascii="宋体" w:hAnsi="宋体"/>
          <w:b w:val="0"/>
          <w:bCs/>
          <w:color w:val="auto"/>
          <w:szCs w:val="21"/>
          <w:highlight w:val="none"/>
        </w:rPr>
        <w:t>未提供“投标人须知前附表”第13.1条规定中“必须提供”的文件资料的；</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zCs w:val="21"/>
          <w:highlight w:val="none"/>
        </w:rPr>
        <w:t>未采用人民币报价或者未按照招标文件标明的币种报价的；</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zCs w:val="21"/>
          <w:highlight w:val="none"/>
        </w:rPr>
        <w:t>各分标报价超出招标文件相应分标规定最高限价，或者超出相应分标采购预算金额的；</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zCs w:val="21"/>
          <w:highlight w:val="none"/>
        </w:rPr>
        <w:t>修正后的报价，投标人不确认的；</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zCs w:val="21"/>
          <w:highlight w:val="none"/>
        </w:rPr>
        <w:t>投标人属于本章第</w:t>
      </w:r>
      <w:r>
        <w:rPr>
          <w:rFonts w:ascii="宋体" w:hAnsi="宋体"/>
          <w:b w:val="0"/>
          <w:bCs/>
          <w:color w:val="auto"/>
          <w:szCs w:val="21"/>
          <w:highlight w:val="none"/>
        </w:rPr>
        <w:t>5.1</w:t>
      </w:r>
      <w:r>
        <w:rPr>
          <w:rFonts w:hint="eastAsia" w:ascii="宋体" w:hAnsi="宋体"/>
          <w:b w:val="0"/>
          <w:bCs/>
          <w:color w:val="auto"/>
          <w:szCs w:val="21"/>
          <w:highlight w:val="none"/>
        </w:rPr>
        <w:t>条（2）或者第5</w:t>
      </w:r>
      <w:r>
        <w:rPr>
          <w:rFonts w:ascii="宋体" w:hAnsi="宋体"/>
          <w:b w:val="0"/>
          <w:bCs/>
          <w:color w:val="auto"/>
          <w:szCs w:val="21"/>
          <w:highlight w:val="none"/>
        </w:rPr>
        <w:t>.2条</w:t>
      </w:r>
      <w:r>
        <w:rPr>
          <w:rFonts w:hint="eastAsia" w:ascii="宋体" w:hAnsi="宋体"/>
          <w:b w:val="0"/>
          <w:bCs/>
          <w:color w:val="auto"/>
          <w:szCs w:val="21"/>
          <w:highlight w:val="none"/>
        </w:rPr>
        <w:t>（2）项情形的；</w:t>
      </w:r>
    </w:p>
    <w:p>
      <w:pPr>
        <w:pStyle w:val="10"/>
        <w:numPr>
          <w:ilvl w:val="0"/>
          <w:numId w:val="2"/>
        </w:numPr>
        <w:spacing w:line="360" w:lineRule="auto"/>
        <w:ind w:firstLine="422"/>
        <w:rPr>
          <w:rFonts w:hint="eastAsia" w:ascii="宋体" w:hAnsi="宋体"/>
          <w:b w:val="0"/>
          <w:bCs/>
          <w:color w:val="auto"/>
          <w:szCs w:val="21"/>
          <w:highlight w:val="none"/>
        </w:rPr>
      </w:pPr>
      <w:r>
        <w:rPr>
          <w:rFonts w:hint="eastAsia" w:ascii="宋体" w:hAnsi="宋体"/>
          <w:b w:val="0"/>
          <w:bCs/>
          <w:color w:val="auto"/>
          <w:spacing w:val="-6"/>
          <w:szCs w:val="21"/>
          <w:highlight w:val="none"/>
        </w:rPr>
        <w:t>报价文件</w:t>
      </w:r>
      <w:r>
        <w:rPr>
          <w:rFonts w:hint="eastAsia" w:ascii="宋体" w:hAnsi="宋体"/>
          <w:b w:val="0"/>
          <w:bCs/>
          <w:color w:val="auto"/>
          <w:szCs w:val="21"/>
          <w:highlight w:val="none"/>
        </w:rPr>
        <w:t>响应的标的数量及单位与招标文件要求实质性不一致的。</w:t>
      </w:r>
    </w:p>
    <w:p>
      <w:pPr>
        <w:pStyle w:val="9"/>
        <w:keepNext w:val="0"/>
        <w:keepLines w:val="0"/>
        <w:spacing w:before="0" w:after="0" w:line="360" w:lineRule="auto"/>
        <w:ind w:left="420" w:left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2.2在商务评审时，如发现下列情形之一的，将被视为投标无效：</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投标文件未按招标文件要求签署、盖章的；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委托代理人未能出具有效身份证或者出具的身份证与授权委托书中的信息不符的；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为无效投标保证金的或者未按照招标文件的规定提交投标保证金的；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投标文件未提供“投标人须知前附表”第13.</w:t>
      </w:r>
      <w:r>
        <w:rPr>
          <w:rFonts w:ascii="宋体" w:hAnsi="宋体"/>
          <w:b w:val="0"/>
          <w:bCs/>
          <w:color w:val="auto"/>
          <w:szCs w:val="21"/>
          <w:highlight w:val="none"/>
        </w:rPr>
        <w:t>1</w:t>
      </w:r>
      <w:r>
        <w:rPr>
          <w:rFonts w:hint="eastAsia" w:ascii="宋体" w:hAnsi="宋体"/>
          <w:b w:val="0"/>
          <w:bCs/>
          <w:color w:val="auto"/>
          <w:szCs w:val="21"/>
          <w:highlight w:val="none"/>
        </w:rPr>
        <w:t>条规定中“必须提供”或者“委托时必须提供”的文件资料的；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商务要求评审允许负偏离的条款数超过“投标人须知前附表”规定项数的；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投标文件的实质性内容未使用中文表述、使用计量单位不符合招标文件要求的；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投标文件中的文件资料因填写不齐全或者内容虚假或者出现其他情形而导致被评标委员会认定无效的；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投标文件含有采购人不能接受的附加条件的；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属于投标人须知正文第</w:t>
      </w:r>
      <w:r>
        <w:rPr>
          <w:rFonts w:ascii="宋体" w:hAnsi="宋体"/>
          <w:b w:val="0"/>
          <w:bCs/>
          <w:color w:val="auto"/>
          <w:szCs w:val="21"/>
          <w:highlight w:val="none"/>
        </w:rPr>
        <w:t>9.2</w:t>
      </w:r>
      <w:r>
        <w:rPr>
          <w:rFonts w:hint="eastAsia" w:ascii="宋体" w:hAnsi="宋体"/>
          <w:b w:val="0"/>
          <w:bCs/>
          <w:color w:val="auto"/>
          <w:szCs w:val="21"/>
          <w:highlight w:val="none"/>
        </w:rPr>
        <w:t>条情形的；</w:t>
      </w:r>
    </w:p>
    <w:p>
      <w:pPr>
        <w:numPr>
          <w:ilvl w:val="0"/>
          <w:numId w:val="3"/>
        </w:numPr>
        <w:snapToGrid w:val="0"/>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rPr>
        <w:t>投标文件标注的项目名称或者项目编号与招标文件标注的项目名称或者项目编号不一致的；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招标文件明确不允许分包，投标文件拟分包的；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未响应招标文件实质性要求的；</w:t>
      </w:r>
    </w:p>
    <w:p>
      <w:pPr>
        <w:numPr>
          <w:ilvl w:val="0"/>
          <w:numId w:val="3"/>
        </w:numPr>
        <w:snapToGrid w:val="0"/>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法律、法规和招标文件规定的其他无效情形。</w:t>
      </w:r>
    </w:p>
    <w:p>
      <w:pPr>
        <w:pStyle w:val="9"/>
        <w:keepNext w:val="0"/>
        <w:keepLines w:val="0"/>
        <w:spacing w:before="0" w:after="0" w:line="360" w:lineRule="auto"/>
        <w:ind w:left="420" w:leftChars="200"/>
        <w:rPr>
          <w:rFonts w:hint="eastAsia" w:ascii="宋体" w:hAnsi="宋体"/>
          <w:b w:val="0"/>
          <w:bCs/>
          <w:color w:val="auto"/>
          <w:sz w:val="21"/>
          <w:szCs w:val="21"/>
          <w:highlight w:val="none"/>
        </w:rPr>
      </w:pPr>
      <w:r>
        <w:rPr>
          <w:rFonts w:hint="eastAsia" w:ascii="宋体" w:hAnsi="宋体"/>
          <w:b w:val="0"/>
          <w:bCs/>
          <w:color w:val="auto"/>
          <w:sz w:val="21"/>
          <w:szCs w:val="21"/>
          <w:highlight w:val="none"/>
        </w:rPr>
        <w:t>2.3在技术评审时，如发现下列情形之一的，将被视为投标无效：</w:t>
      </w:r>
    </w:p>
    <w:p>
      <w:pPr>
        <w:pStyle w:val="14"/>
        <w:snapToGrid w:val="0"/>
        <w:spacing w:line="360" w:lineRule="auto"/>
        <w:ind w:firstLine="395" w:firstLineChars="196"/>
        <w:rPr>
          <w:rFonts w:hint="eastAsia" w:hAnsi="宋体"/>
          <w:b w:val="0"/>
          <w:bCs/>
          <w:color w:val="auto"/>
          <w:sz w:val="21"/>
          <w:szCs w:val="21"/>
          <w:highlight w:val="none"/>
        </w:rPr>
      </w:pPr>
      <w:r>
        <w:rPr>
          <w:rFonts w:hint="eastAsia" w:hAnsi="宋体"/>
          <w:b w:val="0"/>
          <w:bCs/>
          <w:color w:val="auto"/>
          <w:sz w:val="21"/>
          <w:szCs w:val="21"/>
          <w:highlight w:val="none"/>
        </w:rPr>
        <w:t>（1）技术要求评审允许负偏离的条款数超过“投标人须知前附表”规定项数的；</w:t>
      </w:r>
    </w:p>
    <w:p>
      <w:pPr>
        <w:pStyle w:val="14"/>
        <w:snapToGrid w:val="0"/>
        <w:spacing w:line="360" w:lineRule="auto"/>
        <w:ind w:firstLine="395" w:firstLineChars="196"/>
        <w:rPr>
          <w:rFonts w:hint="eastAsia" w:hAnsi="宋体"/>
          <w:b w:val="0"/>
          <w:bCs/>
          <w:color w:val="auto"/>
          <w:sz w:val="21"/>
          <w:szCs w:val="21"/>
          <w:highlight w:val="none"/>
        </w:rPr>
      </w:pPr>
      <w:r>
        <w:rPr>
          <w:rFonts w:hint="eastAsia" w:hAnsi="宋体"/>
          <w:b w:val="0"/>
          <w:bCs/>
          <w:color w:val="auto"/>
          <w:sz w:val="21"/>
          <w:szCs w:val="21"/>
          <w:highlight w:val="none"/>
        </w:rPr>
        <w:t>（2）投标文件未提供“投标人须知前附表”第13.</w:t>
      </w:r>
      <w:r>
        <w:rPr>
          <w:rFonts w:hAnsi="宋体"/>
          <w:b w:val="0"/>
          <w:bCs/>
          <w:color w:val="auto"/>
          <w:sz w:val="21"/>
          <w:szCs w:val="21"/>
          <w:highlight w:val="none"/>
        </w:rPr>
        <w:t>1</w:t>
      </w:r>
      <w:r>
        <w:rPr>
          <w:rFonts w:hint="eastAsia" w:hAnsi="宋体"/>
          <w:b w:val="0"/>
          <w:bCs/>
          <w:color w:val="auto"/>
          <w:sz w:val="21"/>
          <w:szCs w:val="21"/>
          <w:highlight w:val="none"/>
        </w:rPr>
        <w:t>条规定中“必须提供”的文件资料的；</w:t>
      </w:r>
    </w:p>
    <w:p>
      <w:pPr>
        <w:pStyle w:val="14"/>
        <w:snapToGrid w:val="0"/>
        <w:spacing w:line="360" w:lineRule="auto"/>
        <w:ind w:firstLine="395" w:firstLineChars="196"/>
        <w:rPr>
          <w:rFonts w:hint="eastAsia" w:hAnsi="宋体"/>
          <w:b w:val="0"/>
          <w:bCs/>
          <w:color w:val="auto"/>
          <w:sz w:val="21"/>
          <w:szCs w:val="21"/>
          <w:highlight w:val="none"/>
        </w:rPr>
      </w:pPr>
      <w:r>
        <w:rPr>
          <w:rFonts w:hint="eastAsia" w:hAnsi="宋体"/>
          <w:b w:val="0"/>
          <w:bCs/>
          <w:color w:val="auto"/>
          <w:sz w:val="21"/>
          <w:szCs w:val="21"/>
          <w:highlight w:val="none"/>
        </w:rPr>
        <w:t>（3）虚假投标，或者出现其他情形而导致被评标委员会认定无效的；</w:t>
      </w:r>
    </w:p>
    <w:p>
      <w:pPr>
        <w:pStyle w:val="14"/>
        <w:snapToGrid w:val="0"/>
        <w:spacing w:line="360" w:lineRule="auto"/>
        <w:ind w:firstLine="395" w:firstLineChars="196"/>
        <w:rPr>
          <w:rFonts w:hAnsi="宋体"/>
          <w:b w:val="0"/>
          <w:bCs/>
          <w:color w:val="auto"/>
          <w:sz w:val="21"/>
          <w:szCs w:val="21"/>
          <w:highlight w:val="none"/>
        </w:rPr>
      </w:pPr>
      <w:r>
        <w:rPr>
          <w:rFonts w:hint="eastAsia" w:hAnsi="宋体"/>
          <w:b w:val="0"/>
          <w:bCs/>
          <w:color w:val="auto"/>
          <w:sz w:val="21"/>
          <w:szCs w:val="21"/>
          <w:highlight w:val="none"/>
        </w:rPr>
        <w:t>（4）</w:t>
      </w:r>
      <w:bookmarkStart w:id="86" w:name="_Hlk71706244"/>
      <w:r>
        <w:rPr>
          <w:rFonts w:hint="eastAsia" w:hAnsi="宋体"/>
          <w:b w:val="0"/>
          <w:bCs/>
          <w:color w:val="auto"/>
          <w:sz w:val="21"/>
          <w:szCs w:val="21"/>
          <w:highlight w:val="none"/>
        </w:rPr>
        <w:t>招标文件未载明允许提供备选（替代）投标方案或明确不允许提供备选（替代）投标方案时，投标人提供了备选（替代）投标方案的；</w:t>
      </w:r>
      <w:bookmarkEnd w:id="86"/>
    </w:p>
    <w:p>
      <w:pPr>
        <w:pStyle w:val="14"/>
        <w:snapToGrid w:val="0"/>
        <w:spacing w:line="360" w:lineRule="auto"/>
        <w:ind w:firstLine="395" w:firstLineChars="196"/>
        <w:rPr>
          <w:rFonts w:hint="eastAsia" w:hAnsi="宋体"/>
          <w:b w:val="0"/>
          <w:bCs/>
          <w:color w:val="auto"/>
          <w:sz w:val="21"/>
          <w:szCs w:val="21"/>
          <w:highlight w:val="none"/>
        </w:rPr>
      </w:pPr>
      <w:r>
        <w:rPr>
          <w:rFonts w:hint="eastAsia" w:hAnsi="宋体"/>
          <w:b w:val="0"/>
          <w:bCs/>
          <w:color w:val="auto"/>
          <w:sz w:val="21"/>
          <w:szCs w:val="21"/>
          <w:highlight w:val="none"/>
        </w:rPr>
        <w:t>（5）未响应招标文件实质性要求的。</w:t>
      </w:r>
    </w:p>
    <w:p>
      <w:pPr>
        <w:pStyle w:val="14"/>
        <w:snapToGrid w:val="0"/>
        <w:spacing w:line="360" w:lineRule="auto"/>
        <w:ind w:firstLine="395" w:firstLineChars="196"/>
        <w:rPr>
          <w:rFonts w:hAnsi="宋体"/>
          <w:b w:val="0"/>
          <w:bCs/>
          <w:color w:val="auto"/>
          <w:sz w:val="21"/>
          <w:szCs w:val="21"/>
          <w:highlight w:val="none"/>
        </w:rPr>
      </w:pPr>
      <w:r>
        <w:rPr>
          <w:rFonts w:hint="eastAsia" w:hAnsi="宋体"/>
          <w:b w:val="0"/>
          <w:bCs/>
          <w:color w:val="auto"/>
          <w:sz w:val="21"/>
          <w:szCs w:val="21"/>
          <w:highlight w:val="none"/>
        </w:rPr>
        <w:t>2.4通过符合性审查的投标人不足3家，评标委员会不得继续评标，并出具评标报告。</w:t>
      </w:r>
    </w:p>
    <w:p>
      <w:pPr>
        <w:pStyle w:val="9"/>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pPr>
        <w:pStyle w:val="9"/>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9"/>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5"/>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5"/>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15"/>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15"/>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15"/>
        <w:snapToGrid w:val="0"/>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pPr>
        <w:pStyle w:val="9"/>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9"/>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6"/>
        <w:rPr>
          <w:color w:val="auto"/>
          <w:highlight w:val="none"/>
        </w:rPr>
      </w:pPr>
    </w:p>
    <w:p>
      <w:pPr>
        <w:pStyle w:val="6"/>
        <w:rPr>
          <w:color w:val="auto"/>
          <w:highlight w:val="none"/>
        </w:rPr>
      </w:pPr>
    </w:p>
    <w:bookmarkEnd w:id="82"/>
    <w:p>
      <w:pPr>
        <w:pStyle w:val="15"/>
        <w:keepLines/>
        <w:ind w:firstLine="602" w:firstLineChars="200"/>
        <w:jc w:val="center"/>
        <w:rPr>
          <w:rFonts w:hint="eastAsia" w:ascii="Times New Roman" w:hAnsi="Times New Roman"/>
          <w:b/>
          <w:color w:val="auto"/>
          <w:sz w:val="30"/>
          <w:szCs w:val="30"/>
          <w:highlight w:val="none"/>
        </w:rPr>
      </w:pPr>
    </w:p>
    <w:p>
      <w:pPr>
        <w:pStyle w:val="15"/>
        <w:keepLines/>
        <w:jc w:val="both"/>
        <w:rPr>
          <w:rFonts w:hint="eastAsia" w:ascii="Times New Roman" w:hAnsi="Times New Roman"/>
          <w:b/>
          <w:color w:val="auto"/>
          <w:sz w:val="30"/>
          <w:szCs w:val="30"/>
          <w:highlight w:val="none"/>
        </w:rPr>
      </w:pPr>
    </w:p>
    <w:p>
      <w:pPr>
        <w:pStyle w:val="15"/>
        <w:keepLines/>
        <w:ind w:firstLine="602" w:firstLineChars="200"/>
        <w:jc w:val="center"/>
        <w:rPr>
          <w:rFonts w:hint="eastAsia" w:ascii="Times New Roman" w:hAnsi="Times New Roman"/>
          <w:b/>
          <w:color w:val="auto"/>
          <w:sz w:val="30"/>
          <w:szCs w:val="30"/>
          <w:highlight w:val="none"/>
        </w:rPr>
      </w:pPr>
    </w:p>
    <w:p>
      <w:pPr>
        <w:pStyle w:val="5"/>
        <w:rPr>
          <w:rFonts w:hint="eastAsia"/>
          <w:highlight w:val="none"/>
        </w:rPr>
      </w:pPr>
    </w:p>
    <w:p>
      <w:pPr>
        <w:pStyle w:val="15"/>
        <w:keepLines/>
        <w:ind w:firstLine="602" w:firstLineChars="200"/>
        <w:jc w:val="center"/>
        <w:rPr>
          <w:rFonts w:hint="eastAsia" w:ascii="Times New Roman" w:hAnsi="Times New Roman"/>
          <w:b/>
          <w:color w:val="auto"/>
          <w:sz w:val="30"/>
          <w:szCs w:val="30"/>
          <w:highlight w:val="none"/>
        </w:rPr>
      </w:pPr>
    </w:p>
    <w:p>
      <w:pPr>
        <w:pStyle w:val="15"/>
        <w:keepLines/>
        <w:ind w:firstLine="602" w:firstLineChars="200"/>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三</w:t>
      </w:r>
      <w:r>
        <w:rPr>
          <w:rFonts w:hint="eastAsia" w:ascii="Times New Roman" w:hAnsi="Times New Roman"/>
          <w:b/>
          <w:color w:val="auto"/>
          <w:sz w:val="30"/>
          <w:szCs w:val="30"/>
          <w:highlight w:val="none"/>
          <w:lang w:eastAsia="zh-CN"/>
        </w:rPr>
        <w:t>、</w:t>
      </w:r>
      <w:r>
        <w:rPr>
          <w:rFonts w:hint="eastAsia" w:ascii="Times New Roman" w:hAnsi="Times New Roman"/>
          <w:b/>
          <w:color w:val="auto"/>
          <w:sz w:val="30"/>
          <w:szCs w:val="30"/>
          <w:highlight w:val="none"/>
        </w:rPr>
        <w:t xml:space="preserve"> 评分标准</w:t>
      </w:r>
    </w:p>
    <w:p>
      <w:pPr>
        <w:pStyle w:val="15"/>
        <w:keepLines/>
        <w:ind w:firstLine="602" w:firstLineChars="200"/>
        <w:jc w:val="center"/>
        <w:rPr>
          <w:rFonts w:hint="eastAsia" w:ascii="Times New Roman" w:hAnsi="Times New Roman"/>
          <w:b/>
          <w:color w:val="auto"/>
          <w:sz w:val="30"/>
          <w:szCs w:val="30"/>
          <w:highlight w:val="none"/>
        </w:rPr>
      </w:pPr>
    </w:p>
    <w:p>
      <w:pPr>
        <w:pStyle w:val="15"/>
        <w:keepLines/>
        <w:ind w:firstLine="602" w:firstLineChars="200"/>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综合评分法</w:t>
      </w:r>
    </w:p>
    <w:tbl>
      <w:tblPr>
        <w:tblStyle w:val="2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07"/>
        <w:gridCol w:w="1124"/>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2" w:type="dxa"/>
            <w:gridSpan w:val="2"/>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color w:val="auto"/>
                <w:sz w:val="21"/>
                <w:szCs w:val="21"/>
                <w:highlight w:val="none"/>
              </w:rPr>
            </w:pPr>
            <w:r>
              <w:rPr>
                <w:rFonts w:hint="eastAsia" w:ascii="宋体" w:hAnsi="宋体"/>
                <w:b/>
                <w:color w:val="auto"/>
                <w:sz w:val="21"/>
                <w:szCs w:val="21"/>
                <w:highlight w:val="none"/>
              </w:rPr>
              <w:t>序号</w:t>
            </w:r>
          </w:p>
        </w:tc>
        <w:tc>
          <w:tcPr>
            <w:tcW w:w="1124" w:type="dxa"/>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color w:val="auto"/>
                <w:sz w:val="21"/>
                <w:szCs w:val="21"/>
                <w:highlight w:val="none"/>
              </w:rPr>
            </w:pPr>
            <w:r>
              <w:rPr>
                <w:rFonts w:hint="eastAsia" w:ascii="宋体" w:hAnsi="宋体"/>
                <w:b/>
                <w:color w:val="auto"/>
                <w:sz w:val="21"/>
                <w:szCs w:val="21"/>
                <w:highlight w:val="none"/>
              </w:rPr>
              <w:t>评审因素</w:t>
            </w:r>
          </w:p>
        </w:tc>
        <w:tc>
          <w:tcPr>
            <w:tcW w:w="7078" w:type="dxa"/>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color w:val="auto"/>
                <w:sz w:val="21"/>
                <w:szCs w:val="21"/>
                <w:highlight w:val="none"/>
              </w:rPr>
            </w:pPr>
            <w:r>
              <w:rPr>
                <w:rFonts w:hint="eastAsia" w:ascii="宋体" w:hAnsi="宋体"/>
                <w:b/>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75" w:type="dxa"/>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b/>
                <w:color w:val="auto"/>
                <w:sz w:val="21"/>
                <w:szCs w:val="21"/>
                <w:highlight w:val="none"/>
              </w:rPr>
            </w:pPr>
            <w:r>
              <w:rPr>
                <w:rFonts w:hint="eastAsia" w:ascii="宋体" w:hAnsi="宋体"/>
                <w:b/>
                <w:color w:val="auto"/>
                <w:sz w:val="21"/>
                <w:szCs w:val="21"/>
                <w:highlight w:val="none"/>
              </w:rPr>
              <w:t>1</w:t>
            </w:r>
          </w:p>
        </w:tc>
        <w:tc>
          <w:tcPr>
            <w:tcW w:w="907" w:type="dxa"/>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b/>
                <w:color w:val="auto"/>
                <w:sz w:val="21"/>
                <w:szCs w:val="21"/>
                <w:highlight w:val="none"/>
              </w:rPr>
            </w:pPr>
            <w:r>
              <w:rPr>
                <w:rFonts w:hint="eastAsia" w:ascii="宋体" w:hAnsi="宋体"/>
                <w:b/>
                <w:color w:val="auto"/>
                <w:sz w:val="21"/>
                <w:szCs w:val="21"/>
                <w:highlight w:val="none"/>
              </w:rPr>
              <w:t>价格分</w:t>
            </w:r>
          </w:p>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strike/>
                <w:color w:val="auto"/>
                <w:sz w:val="21"/>
                <w:szCs w:val="21"/>
                <w:highlight w:val="none"/>
              </w:rPr>
            </w:pPr>
            <w:r>
              <w:rPr>
                <w:rFonts w:hint="eastAsia" w:ascii="宋体" w:hAnsi="宋体"/>
                <w:b/>
                <w:bCs/>
                <w:color w:val="auto"/>
                <w:sz w:val="21"/>
                <w:szCs w:val="21"/>
                <w:highlight w:val="none"/>
              </w:rPr>
              <w:t>（满分</w:t>
            </w:r>
            <w:r>
              <w:rPr>
                <w:rFonts w:hint="eastAsia" w:ascii="宋体" w:hAnsi="宋体"/>
                <w:b/>
                <w:bCs/>
                <w:i w:val="0"/>
                <w:iCs w:val="0"/>
                <w:color w:val="auto"/>
                <w:sz w:val="21"/>
                <w:szCs w:val="21"/>
                <w:highlight w:val="none"/>
                <w:u w:val="none"/>
                <w:lang w:val="en-US" w:eastAsia="zh-CN"/>
              </w:rPr>
              <w:t>10</w:t>
            </w:r>
            <w:r>
              <w:rPr>
                <w:rFonts w:hint="eastAsia" w:ascii="宋体" w:hAnsi="宋体"/>
                <w:b/>
                <w:bCs/>
                <w:color w:val="auto"/>
                <w:sz w:val="21"/>
                <w:szCs w:val="21"/>
                <w:highlight w:val="none"/>
              </w:rPr>
              <w:t>分）</w:t>
            </w:r>
          </w:p>
        </w:tc>
        <w:tc>
          <w:tcPr>
            <w:tcW w:w="1124" w:type="dxa"/>
            <w:noWrap w:val="0"/>
            <w:vAlign w:val="center"/>
          </w:tcPr>
          <w:p>
            <w:pPr>
              <w:keepNext w:val="0"/>
              <w:keepLines w:val="0"/>
              <w:pageBreakBefore w:val="0"/>
              <w:kinsoku/>
              <w:wordWrap/>
              <w:overflowPunct/>
              <w:topLinePunct w:val="0"/>
              <w:autoSpaceDE/>
              <w:autoSpaceDN/>
              <w:bidi w:val="0"/>
              <w:snapToGrid/>
              <w:spacing w:line="312" w:lineRule="auto"/>
              <w:jc w:val="center"/>
              <w:rPr>
                <w:rFonts w:ascii="宋体" w:hAnsi="宋体"/>
                <w:b/>
                <w:color w:val="auto"/>
                <w:sz w:val="21"/>
                <w:szCs w:val="21"/>
                <w:highlight w:val="none"/>
              </w:rPr>
            </w:pPr>
            <w:r>
              <w:rPr>
                <w:rFonts w:hint="eastAsia" w:ascii="宋体" w:hAnsi="宋体"/>
                <w:b/>
                <w:color w:val="auto"/>
                <w:sz w:val="21"/>
                <w:szCs w:val="21"/>
                <w:highlight w:val="none"/>
              </w:rPr>
              <w:t>投标报价（满分</w:t>
            </w:r>
            <w:r>
              <w:rPr>
                <w:rFonts w:hint="eastAsia" w:ascii="宋体" w:hAnsi="宋体"/>
                <w:b/>
                <w:color w:val="auto"/>
                <w:sz w:val="21"/>
                <w:szCs w:val="21"/>
                <w:highlight w:val="none"/>
                <w:lang w:val="en-US" w:eastAsia="zh-CN"/>
              </w:rPr>
              <w:t>10</w:t>
            </w:r>
            <w:r>
              <w:rPr>
                <w:rFonts w:hint="eastAsia" w:ascii="宋体" w:hAnsi="宋体"/>
                <w:b/>
                <w:color w:val="auto"/>
                <w:sz w:val="21"/>
                <w:szCs w:val="21"/>
                <w:highlight w:val="none"/>
              </w:rPr>
              <w:t>分）</w:t>
            </w:r>
          </w:p>
        </w:tc>
        <w:tc>
          <w:tcPr>
            <w:tcW w:w="7078" w:type="dxa"/>
            <w:noWrap w:val="0"/>
            <w:vAlign w:val="center"/>
          </w:tcPr>
          <w:p>
            <w:pPr>
              <w:keepNext w:val="0"/>
              <w:keepLines w:val="0"/>
              <w:pageBreakBefore w:val="0"/>
              <w:kinsoku/>
              <w:wordWrap/>
              <w:overflowPunct/>
              <w:topLinePunct w:val="0"/>
              <w:autoSpaceDE/>
              <w:autoSpaceDN/>
              <w:bidi w:val="0"/>
              <w:snapToGrid/>
              <w:spacing w:line="312" w:lineRule="auto"/>
              <w:ind w:firstLine="422" w:firstLineChars="200"/>
              <w:rPr>
                <w:rFonts w:hint="eastAsia" w:ascii="宋体" w:hAnsi="宋体" w:cs="宋体"/>
                <w:b/>
                <w:bCs w:val="0"/>
                <w:color w:val="auto"/>
                <w:kern w:val="0"/>
                <w:sz w:val="21"/>
                <w:szCs w:val="21"/>
                <w:highlight w:val="none"/>
              </w:rPr>
            </w:pPr>
            <w:r>
              <w:rPr>
                <w:rFonts w:hint="eastAsia" w:ascii="宋体" w:hAnsi="宋体" w:cs="宋体"/>
                <w:b/>
                <w:bCs w:val="0"/>
                <w:color w:val="auto"/>
                <w:kern w:val="0"/>
                <w:sz w:val="21"/>
                <w:szCs w:val="21"/>
                <w:highlight w:val="none"/>
              </w:rPr>
              <w:t>（</w:t>
            </w:r>
            <w:r>
              <w:rPr>
                <w:rFonts w:hint="eastAsia" w:ascii="宋体" w:hAnsi="宋体" w:cs="宋体"/>
                <w:b/>
                <w:bCs w:val="0"/>
                <w:color w:val="auto"/>
                <w:kern w:val="0"/>
                <w:sz w:val="21"/>
                <w:szCs w:val="21"/>
                <w:highlight w:val="none"/>
                <w:lang w:val="en-US" w:eastAsia="zh-CN"/>
              </w:rPr>
              <w:t>1</w:t>
            </w:r>
            <w:r>
              <w:rPr>
                <w:rFonts w:hint="eastAsia" w:ascii="宋体" w:hAnsi="宋体" w:cs="宋体"/>
                <w:b/>
                <w:bCs w:val="0"/>
                <w:color w:val="auto"/>
                <w:kern w:val="0"/>
                <w:sz w:val="21"/>
                <w:szCs w:val="21"/>
                <w:highlight w:val="none"/>
              </w:rPr>
              <w:t>）本项目专门面向中小企业采购（供应商应为中小微企业或监狱企业或残疾人福利性单位)，不再执行价格评审优惠的扶持政策。</w:t>
            </w:r>
          </w:p>
          <w:p>
            <w:pPr>
              <w:keepNext w:val="0"/>
              <w:keepLines w:val="0"/>
              <w:pageBreakBefore w:val="0"/>
              <w:kinsoku/>
              <w:wordWrap/>
              <w:overflowPunct/>
              <w:topLinePunct w:val="0"/>
              <w:autoSpaceDE/>
              <w:autoSpaceDN/>
              <w:bidi w:val="0"/>
              <w:snapToGrid/>
              <w:spacing w:line="312" w:lineRule="auto"/>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w:t>
            </w:r>
            <w:r>
              <w:rPr>
                <w:rFonts w:hint="eastAsia" w:ascii="宋体" w:hAnsi="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rPr>
              <w:t>）以满足招标文件要求且投标价格最低的投标报价为评标基准价，其价格分为满分。</w:t>
            </w:r>
          </w:p>
          <w:p>
            <w:pPr>
              <w:keepNext w:val="0"/>
              <w:keepLines w:val="0"/>
              <w:pageBreakBefore w:val="0"/>
              <w:widowControl/>
              <w:kinsoku/>
              <w:wordWrap/>
              <w:overflowPunct/>
              <w:topLinePunct w:val="0"/>
              <w:autoSpaceDE/>
              <w:autoSpaceDN/>
              <w:bidi w:val="0"/>
              <w:snapToGrid/>
              <w:spacing w:line="312" w:lineRule="auto"/>
              <w:ind w:firstLine="420" w:firstLineChars="200"/>
              <w:rPr>
                <w:rFonts w:hAnsi="宋体" w:cs="Courier New"/>
                <w:bCs/>
                <w:color w:val="auto"/>
                <w:sz w:val="21"/>
                <w:szCs w:val="21"/>
                <w:highlight w:val="none"/>
              </w:rPr>
            </w:pP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）价格分计算公式：</w:t>
            </w:r>
            <w:r>
              <w:rPr>
                <w:rFonts w:hint="eastAsia" w:ascii="宋体" w:hAnsi="宋体"/>
                <w:bCs/>
                <w:color w:val="auto"/>
                <w:kern w:val="0"/>
                <w:sz w:val="21"/>
                <w:szCs w:val="21"/>
                <w:highlight w:val="none"/>
              </w:rPr>
              <w:t>投标报价得分</w:t>
            </w:r>
            <w:r>
              <w:rPr>
                <w:rFonts w:ascii="宋体" w:hAnsi="宋体"/>
                <w:bCs/>
                <w:color w:val="auto"/>
                <w:kern w:val="0"/>
                <w:sz w:val="21"/>
                <w:szCs w:val="21"/>
                <w:highlight w:val="none"/>
              </w:rPr>
              <w:t>=</w:t>
            </w:r>
            <w:r>
              <w:rPr>
                <w:rFonts w:hint="eastAsia" w:ascii="宋体" w:hAnsi="宋体"/>
                <w:bCs/>
                <w:color w:val="auto"/>
                <w:kern w:val="0"/>
                <w:sz w:val="21"/>
                <w:szCs w:val="21"/>
                <w:highlight w:val="none"/>
              </w:rPr>
              <w:t>（评标基准价</w:t>
            </w:r>
            <w:r>
              <w:rPr>
                <w:rFonts w:ascii="宋体" w:hAnsi="宋体"/>
                <w:bCs/>
                <w:color w:val="auto"/>
                <w:kern w:val="0"/>
                <w:sz w:val="21"/>
                <w:szCs w:val="21"/>
                <w:highlight w:val="none"/>
              </w:rPr>
              <w:t>/</w:t>
            </w:r>
            <w:r>
              <w:rPr>
                <w:rFonts w:hint="eastAsia" w:ascii="宋体" w:hAnsi="宋体"/>
                <w:bCs/>
                <w:color w:val="auto"/>
                <w:kern w:val="0"/>
                <w:sz w:val="21"/>
                <w:szCs w:val="21"/>
                <w:highlight w:val="none"/>
              </w:rPr>
              <w:t>投标报价）×</w:t>
            </w:r>
            <w:r>
              <w:rPr>
                <w:rFonts w:hint="eastAsia" w:ascii="宋体" w:hAnsi="宋体"/>
                <w:bCs/>
                <w:color w:val="auto"/>
                <w:kern w:val="0"/>
                <w:sz w:val="21"/>
                <w:szCs w:val="21"/>
                <w:highlight w:val="none"/>
                <w:lang w:val="en-US" w:eastAsia="zh-CN"/>
              </w:rPr>
              <w:t>10</w:t>
            </w:r>
            <w:r>
              <w:rPr>
                <w:rFonts w:hint="eastAsia" w:ascii="宋体" w:hAnsi="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2</w:t>
            </w:r>
          </w:p>
        </w:tc>
        <w:tc>
          <w:tcPr>
            <w:tcW w:w="907" w:type="dxa"/>
            <w:vMerge w:val="restart"/>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b/>
                <w:color w:val="auto"/>
                <w:sz w:val="21"/>
                <w:szCs w:val="21"/>
                <w:highlight w:val="none"/>
              </w:rPr>
            </w:pPr>
            <w:r>
              <w:rPr>
                <w:rFonts w:hint="eastAsia" w:ascii="宋体" w:hAnsi="宋体"/>
                <w:b/>
                <w:color w:val="auto"/>
                <w:sz w:val="21"/>
                <w:szCs w:val="21"/>
                <w:highlight w:val="none"/>
                <w:lang w:eastAsia="zh-CN"/>
              </w:rPr>
              <w:t>技术</w:t>
            </w:r>
            <w:r>
              <w:rPr>
                <w:rFonts w:hint="eastAsia" w:ascii="宋体" w:hAnsi="宋体"/>
                <w:b/>
                <w:color w:val="auto"/>
                <w:sz w:val="21"/>
                <w:szCs w:val="21"/>
                <w:highlight w:val="none"/>
              </w:rPr>
              <w:t>分</w:t>
            </w:r>
          </w:p>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b/>
                <w:bCs/>
                <w:color w:val="auto"/>
                <w:sz w:val="21"/>
                <w:szCs w:val="21"/>
                <w:highlight w:val="none"/>
              </w:rPr>
            </w:pPr>
            <w:r>
              <w:rPr>
                <w:rFonts w:hint="eastAsia" w:ascii="宋体" w:hAnsi="宋体"/>
                <w:b/>
                <w:bCs/>
                <w:color w:val="auto"/>
                <w:sz w:val="21"/>
                <w:szCs w:val="21"/>
                <w:highlight w:val="none"/>
              </w:rPr>
              <w:t>（满分</w:t>
            </w:r>
            <w:r>
              <w:rPr>
                <w:rFonts w:hint="eastAsia" w:ascii="宋体" w:hAnsi="宋体"/>
                <w:b/>
                <w:bCs/>
                <w:color w:val="auto"/>
                <w:sz w:val="21"/>
                <w:szCs w:val="21"/>
                <w:highlight w:val="none"/>
                <w:lang w:val="en-US" w:eastAsia="zh-CN"/>
              </w:rPr>
              <w:t>82</w:t>
            </w:r>
            <w:r>
              <w:rPr>
                <w:rFonts w:hint="eastAsia" w:ascii="宋体" w:hAnsi="宋体"/>
                <w:b/>
                <w:bCs/>
                <w:color w:val="auto"/>
                <w:sz w:val="21"/>
                <w:szCs w:val="21"/>
                <w:highlight w:val="none"/>
              </w:rPr>
              <w:t>分）</w:t>
            </w:r>
          </w:p>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rPr>
                <w:rFonts w:hint="eastAsia"/>
                <w:b w:val="0"/>
                <w:bCs w:val="0"/>
                <w:color w:val="auto"/>
                <w:highlight w:val="none"/>
                <w:lang w:eastAsia="zh-CN"/>
              </w:rPr>
            </w:pPr>
            <w:r>
              <w:rPr>
                <w:rFonts w:hint="eastAsia" w:ascii="宋体" w:hAnsi="宋体" w:cs="Courier New"/>
                <w:b w:val="0"/>
                <w:bCs w:val="0"/>
                <w:color w:val="auto"/>
                <w:sz w:val="21"/>
                <w:szCs w:val="21"/>
                <w:highlight w:val="none"/>
                <w:lang w:val="en-US" w:eastAsia="zh-CN"/>
              </w:rPr>
              <w:t>物业服务实施方案</w:t>
            </w:r>
            <w:r>
              <w:rPr>
                <w:rFonts w:hint="eastAsia"/>
                <w:b w:val="0"/>
                <w:bCs w:val="0"/>
                <w:color w:val="auto"/>
                <w:highlight w:val="none"/>
              </w:rPr>
              <w:t>（满分</w:t>
            </w:r>
            <w:r>
              <w:rPr>
                <w:rFonts w:hint="eastAsia"/>
                <w:b w:val="0"/>
                <w:bCs w:val="0"/>
                <w:color w:val="auto"/>
                <w:highlight w:val="none"/>
                <w:lang w:val="en-US" w:eastAsia="zh-CN"/>
              </w:rPr>
              <w:t>13</w:t>
            </w:r>
            <w:r>
              <w:rPr>
                <w:rFonts w:hint="eastAsia"/>
                <w:b w:val="0"/>
                <w:bCs w:val="0"/>
                <w:color w:val="auto"/>
                <w:highlight w:val="none"/>
              </w:rPr>
              <w:t>分）</w:t>
            </w:r>
          </w:p>
          <w:p>
            <w:pPr>
              <w:keepNext w:val="0"/>
              <w:keepLines w:val="0"/>
              <w:pageBreakBefore w:val="0"/>
              <w:kinsoku/>
              <w:wordWrap/>
              <w:overflowPunct/>
              <w:topLinePunct w:val="0"/>
              <w:autoSpaceDE/>
              <w:autoSpaceDN/>
              <w:bidi w:val="0"/>
              <w:snapToGrid/>
              <w:spacing w:line="312" w:lineRule="auto"/>
              <w:jc w:val="center"/>
              <w:rPr>
                <w:rFonts w:hint="eastAsia" w:ascii="宋体" w:hAnsi="宋体" w:cs="Courier New"/>
                <w:b/>
                <w:bCs/>
                <w:color w:val="auto"/>
                <w:sz w:val="21"/>
                <w:szCs w:val="21"/>
                <w:highlight w:val="none"/>
                <w:lang w:val="en-US" w:eastAsia="zh-CN"/>
              </w:rPr>
            </w:pP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eastAsia"/>
                <w:color w:val="auto"/>
                <w:highlight w:val="none"/>
                <w:lang w:val="en-US" w:eastAsia="zh-CN"/>
              </w:rPr>
            </w:pPr>
            <w:r>
              <w:rPr>
                <w:rFonts w:hint="eastAsia"/>
                <w:color w:val="auto"/>
                <w:highlight w:val="none"/>
                <w:lang w:val="en-US" w:eastAsia="zh-CN"/>
              </w:rPr>
              <w:t>物业服务实施方案（满分13分）</w:t>
            </w:r>
          </w:p>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eastAsia"/>
                <w:color w:val="auto"/>
                <w:highlight w:val="none"/>
                <w:lang w:val="en-US" w:eastAsia="zh-CN"/>
              </w:rPr>
            </w:pPr>
            <w:r>
              <w:rPr>
                <w:rFonts w:hint="eastAsia"/>
                <w:color w:val="auto"/>
                <w:highlight w:val="none"/>
                <w:lang w:val="en-US" w:eastAsia="zh-CN"/>
              </w:rPr>
              <w:t>根据投标人针对本项目的服务实施方案：包括但不限于项目管理组织机构图、管理措施及实施流程、岗位时间及工作规划、风险防范措施及突发事件应急预案、质量保证措施等方面进行评分。</w:t>
            </w:r>
            <w:r>
              <w:rPr>
                <w:rFonts w:hint="eastAsia" w:ascii="宋体" w:hAnsi="宋体" w:eastAsia="宋体" w:cs="Times New Roman"/>
                <w:color w:val="auto"/>
                <w:highlight w:val="none"/>
                <w:lang w:val="en-US" w:eastAsia="zh-CN"/>
              </w:rPr>
              <w:t>不入档：</w:t>
            </w:r>
            <w:r>
              <w:rPr>
                <w:rFonts w:hint="eastAsia"/>
                <w:color w:val="auto"/>
                <w:highlight w:val="none"/>
                <w:lang w:eastAsia="zh-CN"/>
              </w:rPr>
              <w:t>未提供整体服务方案或方案未达到</w:t>
            </w:r>
            <w:r>
              <w:rPr>
                <w:rFonts w:hint="eastAsia"/>
                <w:color w:val="auto"/>
                <w:highlight w:val="none"/>
                <w:lang w:val="en-US" w:eastAsia="zh-CN"/>
              </w:rPr>
              <w:t>一档</w:t>
            </w:r>
            <w:r>
              <w:rPr>
                <w:rFonts w:hint="eastAsia"/>
                <w:color w:val="auto"/>
                <w:highlight w:val="none"/>
                <w:lang w:eastAsia="zh-CN"/>
              </w:rPr>
              <w:t>标准要求的，得0分。</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200"/>
              <w:rPr>
                <w:rFonts w:hint="eastAsia"/>
                <w:color w:val="auto"/>
                <w:highlight w:val="none"/>
                <w:lang w:val="en-US" w:eastAsia="zh-CN"/>
              </w:rPr>
            </w:pPr>
            <w:r>
              <w:rPr>
                <w:rFonts w:hint="eastAsia"/>
                <w:color w:val="auto"/>
                <w:highlight w:val="none"/>
                <w:lang w:val="en-US" w:eastAsia="zh-CN"/>
              </w:rPr>
              <w:t>一档（3分）：本项目需求针对性不强、有欠缺，方案操作性尚可。</w:t>
            </w:r>
          </w:p>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eastAsia"/>
                <w:color w:val="auto"/>
                <w:highlight w:val="none"/>
                <w:lang w:val="en-US" w:eastAsia="zh-CN"/>
              </w:rPr>
            </w:pPr>
            <w:r>
              <w:rPr>
                <w:rFonts w:hint="eastAsia"/>
                <w:color w:val="auto"/>
                <w:highlight w:val="none"/>
                <w:lang w:val="en-US" w:eastAsia="zh-CN"/>
              </w:rPr>
              <w:t>二档（6分）：基本适用本项目需求，方案架构基本完整，机构设置较为合理，方案内容较详细合理。</w:t>
            </w:r>
          </w:p>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eastAsia"/>
                <w:color w:val="auto"/>
                <w:highlight w:val="none"/>
                <w:lang w:val="en-US" w:eastAsia="zh-CN"/>
              </w:rPr>
            </w:pPr>
            <w:r>
              <w:rPr>
                <w:rFonts w:hint="eastAsia"/>
                <w:color w:val="auto"/>
                <w:highlight w:val="none"/>
                <w:lang w:val="en-US" w:eastAsia="zh-CN"/>
              </w:rPr>
              <w:t xml:space="preserve">三档（9分）：提供的服务设想符合项目实际，管理制度基本完整，适用，有针对性，具有一定的可操作性。    </w:t>
            </w:r>
          </w:p>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eastAsia"/>
                <w:color w:val="auto"/>
                <w:highlight w:val="none"/>
                <w:lang w:val="en-US" w:eastAsia="zh-CN"/>
              </w:rPr>
            </w:pPr>
            <w:r>
              <w:rPr>
                <w:rFonts w:hint="eastAsia"/>
                <w:color w:val="auto"/>
                <w:highlight w:val="none"/>
                <w:lang w:val="en-US" w:eastAsia="zh-CN"/>
              </w:rPr>
              <w:t>四档（11分）：在三档的基础上，提供的服务设想符合项目实际，管理制度及档案建立完整，有较强针对性，可操作性较强。</w:t>
            </w:r>
          </w:p>
          <w:p>
            <w:pPr>
              <w:pStyle w:val="30"/>
              <w:keepNext w:val="0"/>
              <w:keepLines w:val="0"/>
              <w:pageBreakBefore w:val="0"/>
              <w:kinsoku/>
              <w:wordWrap/>
              <w:overflowPunct/>
              <w:topLinePunct w:val="0"/>
              <w:autoSpaceDE/>
              <w:autoSpaceDN/>
              <w:bidi w:val="0"/>
              <w:adjustRightInd w:val="0"/>
              <w:snapToGrid/>
              <w:spacing w:line="312" w:lineRule="auto"/>
              <w:ind w:firstLine="378" w:firstLineChars="180"/>
              <w:rPr>
                <w:rFonts w:hint="default" w:eastAsia="宋体"/>
                <w:color w:val="auto"/>
                <w:highlight w:val="none"/>
                <w:lang w:val="en-US" w:eastAsia="zh-CN"/>
              </w:rPr>
            </w:pPr>
            <w:r>
              <w:rPr>
                <w:rFonts w:hint="eastAsia"/>
                <w:color w:val="auto"/>
                <w:highlight w:val="none"/>
                <w:lang w:val="en-US" w:eastAsia="zh-CN"/>
              </w:rPr>
              <w:t>五</w:t>
            </w:r>
            <w:r>
              <w:rPr>
                <w:rFonts w:hint="default"/>
                <w:color w:val="auto"/>
                <w:highlight w:val="none"/>
                <w:lang w:val="en-US" w:eastAsia="zh-CN"/>
              </w:rPr>
              <w:t>档（</w:t>
            </w:r>
            <w:r>
              <w:rPr>
                <w:rFonts w:hint="eastAsia"/>
                <w:color w:val="auto"/>
                <w:highlight w:val="none"/>
                <w:lang w:val="en-US" w:eastAsia="zh-CN"/>
              </w:rPr>
              <w:t>13</w:t>
            </w:r>
            <w:r>
              <w:rPr>
                <w:rFonts w:hint="default"/>
                <w:color w:val="auto"/>
                <w:highlight w:val="none"/>
                <w:lang w:val="en-US" w:eastAsia="zh-CN"/>
              </w:rPr>
              <w:t>分）：在</w:t>
            </w:r>
            <w:r>
              <w:rPr>
                <w:rFonts w:hint="eastAsia"/>
                <w:color w:val="auto"/>
                <w:highlight w:val="none"/>
                <w:lang w:val="en-US" w:eastAsia="zh-CN"/>
              </w:rPr>
              <w:t>四</w:t>
            </w:r>
            <w:r>
              <w:rPr>
                <w:rFonts w:hint="default"/>
                <w:color w:val="auto"/>
                <w:highlight w:val="none"/>
                <w:lang w:val="en-US" w:eastAsia="zh-CN"/>
              </w:rPr>
              <w:t>档的基础上，</w:t>
            </w:r>
            <w:r>
              <w:rPr>
                <w:rFonts w:hint="eastAsia" w:ascii="宋体" w:hAnsi="宋体" w:eastAsia="宋体" w:cs="宋体"/>
                <w:highlight w:val="none"/>
              </w:rPr>
              <w:t>完全适用本项目用户需求，明确企业内部管理架构、岗位责任、管理维护运作制度及标准，能针对采购项目的情况，</w:t>
            </w:r>
            <w:r>
              <w:rPr>
                <w:rFonts w:hint="eastAsia" w:ascii="宋体" w:hAnsi="宋体" w:eastAsia="宋体" w:cs="宋体"/>
                <w:highlight w:val="none"/>
                <w:lang w:eastAsia="zh-CN"/>
              </w:rPr>
              <w:t>能提供完整、详细的后续服务方案等</w:t>
            </w:r>
            <w:r>
              <w:rPr>
                <w:rFonts w:hint="eastAsia" w:cs="宋体"/>
                <w:highlight w:val="none"/>
                <w:lang w:eastAsia="zh-CN"/>
              </w:rPr>
              <w:t>，</w:t>
            </w:r>
            <w:r>
              <w:rPr>
                <w:rFonts w:hint="eastAsia" w:ascii="宋体" w:hAnsi="宋体" w:eastAsia="宋体" w:cs="宋体"/>
                <w:highlight w:val="none"/>
              </w:rPr>
              <w:t>科学合理，亮点多，实施方案</w:t>
            </w:r>
            <w:r>
              <w:rPr>
                <w:rFonts w:hint="eastAsia" w:ascii="宋体" w:hAnsi="宋体" w:eastAsia="宋体" w:cs="宋体"/>
                <w:highlight w:val="none"/>
                <w:lang w:val="en-US" w:eastAsia="zh-CN"/>
              </w:rPr>
              <w:t>考虑周全，安排到位，可操作性很强。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cs="宋体"/>
                <w:b/>
                <w:color w:val="auto"/>
                <w:kern w:val="0"/>
                <w:sz w:val="21"/>
                <w:szCs w:val="21"/>
                <w:highlight w:val="none"/>
              </w:rPr>
            </w:pPr>
            <w:r>
              <w:rPr>
                <w:rFonts w:hint="eastAsia"/>
                <w:b w:val="0"/>
                <w:bCs w:val="0"/>
                <w:color w:val="auto"/>
                <w:highlight w:val="none"/>
              </w:rPr>
              <w:t>管理规章制度分（满分1</w:t>
            </w:r>
            <w:r>
              <w:rPr>
                <w:rFonts w:hint="eastAsia"/>
                <w:b w:val="0"/>
                <w:bCs w:val="0"/>
                <w:color w:val="auto"/>
                <w:highlight w:val="none"/>
                <w:lang w:val="en-US" w:eastAsia="zh-CN"/>
              </w:rPr>
              <w:t>3</w:t>
            </w:r>
            <w:r>
              <w:rPr>
                <w:rFonts w:hint="eastAsia"/>
                <w:b w:val="0"/>
                <w:bCs w:val="0"/>
                <w:color w:val="auto"/>
                <w:highlight w:val="none"/>
              </w:rPr>
              <w:t>分）</w:t>
            </w: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管理规章制度分（满分</w:t>
            </w:r>
            <w:r>
              <w:rPr>
                <w:rFonts w:hint="eastAsia" w:cs="Times New Roman"/>
                <w:bCs/>
                <w:color w:val="auto"/>
                <w:highlight w:val="none"/>
                <w:lang w:val="en-US" w:eastAsia="zh-CN"/>
              </w:rPr>
              <w:t>13</w:t>
            </w:r>
            <w:r>
              <w:rPr>
                <w:rFonts w:hint="eastAsia" w:ascii="宋体" w:hAnsi="宋体" w:eastAsia="宋体" w:cs="Times New Roman"/>
                <w:bCs/>
                <w:color w:val="auto"/>
                <w:highlight w:val="none"/>
              </w:rPr>
              <w:t>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lang w:eastAsia="zh-CN"/>
              </w:rPr>
            </w:pPr>
            <w:r>
              <w:rPr>
                <w:rFonts w:hint="eastAsia" w:ascii="宋体" w:hAnsi="宋体" w:eastAsia="宋体" w:cs="Times New Roman"/>
                <w:bCs/>
                <w:color w:val="auto"/>
                <w:highlight w:val="none"/>
              </w:rPr>
              <w:t>根据投标人针对本项目</w:t>
            </w:r>
            <w:r>
              <w:rPr>
                <w:rFonts w:hint="eastAsia" w:cs="Times New Roman"/>
                <w:bCs/>
                <w:color w:val="auto"/>
                <w:highlight w:val="none"/>
                <w:lang w:val="en-US" w:eastAsia="zh-CN"/>
              </w:rPr>
              <w:t>的管理规章制度：包括但不限于</w:t>
            </w:r>
            <w:r>
              <w:rPr>
                <w:rFonts w:hint="eastAsia" w:ascii="宋体" w:hAnsi="宋体" w:eastAsia="宋体" w:cs="Times New Roman"/>
                <w:bCs/>
                <w:color w:val="auto"/>
                <w:highlight w:val="none"/>
              </w:rPr>
              <w:t>岗位职责、岗位责任制、人员考勤和录用制度、员工培训学习制度、管理员巡视监督制度</w:t>
            </w:r>
            <w:r>
              <w:rPr>
                <w:rFonts w:hint="eastAsia" w:cs="Times New Roman"/>
                <w:bCs/>
                <w:color w:val="auto"/>
                <w:highlight w:val="none"/>
                <w:lang w:eastAsia="zh-CN"/>
              </w:rPr>
              <w:t>、</w:t>
            </w:r>
            <w:r>
              <w:rPr>
                <w:rFonts w:hint="eastAsia" w:cs="Times New Roman"/>
                <w:bCs/>
                <w:color w:val="auto"/>
                <w:highlight w:val="none"/>
                <w:lang w:val="en-US" w:eastAsia="zh-CN"/>
              </w:rPr>
              <w:t>档案管理制度</w:t>
            </w:r>
            <w:r>
              <w:rPr>
                <w:rFonts w:hint="eastAsia" w:ascii="宋体" w:hAnsi="宋体" w:eastAsia="宋体" w:cs="Times New Roman"/>
                <w:bCs/>
                <w:color w:val="auto"/>
                <w:highlight w:val="none"/>
              </w:rPr>
              <w:t>等方面进行评分</w:t>
            </w:r>
            <w:r>
              <w:rPr>
                <w:rFonts w:hint="eastAsia" w:cs="Times New Roman"/>
                <w:bCs/>
                <w:color w:val="auto"/>
                <w:highlight w:val="none"/>
                <w:lang w:eastAsia="zh-CN"/>
              </w:rPr>
              <w:t>。不入档：未提供管理规章制度方案或方案未达到一档标准要求的，得0分。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default" w:ascii="宋体" w:hAnsi="宋体" w:eastAsia="宋体" w:cs="Times New Roman"/>
                <w:bCs/>
                <w:color w:val="auto"/>
                <w:highlight w:val="none"/>
                <w:lang w:val="en-US" w:eastAsia="zh-CN"/>
              </w:rPr>
            </w:pPr>
            <w:r>
              <w:rPr>
                <w:rFonts w:hint="eastAsia" w:ascii="宋体" w:hAnsi="宋体" w:eastAsia="宋体" w:cs="Times New Roman"/>
                <w:bCs/>
                <w:color w:val="auto"/>
                <w:highlight w:val="none"/>
              </w:rPr>
              <w:t>一档（</w:t>
            </w:r>
            <w:r>
              <w:rPr>
                <w:rFonts w:hint="eastAsia" w:cs="Times New Roman"/>
                <w:bCs/>
                <w:color w:val="auto"/>
                <w:highlight w:val="none"/>
                <w:lang w:val="en-US" w:eastAsia="zh-CN"/>
              </w:rPr>
              <w:t>3</w:t>
            </w:r>
            <w:r>
              <w:rPr>
                <w:rFonts w:hint="eastAsia" w:ascii="宋体" w:hAnsi="宋体" w:eastAsia="宋体" w:cs="Times New Roman"/>
                <w:bCs/>
                <w:color w:val="auto"/>
                <w:highlight w:val="none"/>
              </w:rPr>
              <w:t>分）：有管理规章制度，但内容简单</w:t>
            </w:r>
            <w:r>
              <w:rPr>
                <w:rFonts w:hint="eastAsia" w:cs="Times New Roman"/>
                <w:bCs/>
                <w:color w:val="auto"/>
                <w:highlight w:val="none"/>
                <w:lang w:eastAsia="zh-CN"/>
              </w:rPr>
              <w:t>，缺少适应于本项目需求特点的</w:t>
            </w:r>
            <w:r>
              <w:rPr>
                <w:rFonts w:hint="eastAsia" w:cs="Times New Roman"/>
                <w:bCs/>
                <w:color w:val="auto"/>
                <w:highlight w:val="none"/>
                <w:lang w:val="en-US" w:eastAsia="zh-CN"/>
              </w:rPr>
              <w:t>管理制度，管理方式单一。</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二档（</w:t>
            </w:r>
            <w:r>
              <w:rPr>
                <w:rFonts w:hint="eastAsia" w:cs="Times New Roman"/>
                <w:bCs/>
                <w:color w:val="auto"/>
                <w:highlight w:val="none"/>
                <w:lang w:val="en-US" w:eastAsia="zh-CN"/>
              </w:rPr>
              <w:t>6</w:t>
            </w:r>
            <w:r>
              <w:rPr>
                <w:rFonts w:hint="eastAsia" w:ascii="宋体" w:hAnsi="宋体" w:eastAsia="宋体" w:cs="Times New Roman"/>
                <w:bCs/>
                <w:color w:val="auto"/>
                <w:highlight w:val="none"/>
              </w:rPr>
              <w:t>分）：</w:t>
            </w:r>
            <w:r>
              <w:rPr>
                <w:rFonts w:hint="eastAsia" w:cs="Times New Roman"/>
                <w:bCs/>
                <w:color w:val="auto"/>
                <w:highlight w:val="none"/>
                <w:lang w:val="en-US" w:eastAsia="zh-CN"/>
              </w:rPr>
              <w:t>在一档的基础上，</w:t>
            </w:r>
            <w:r>
              <w:rPr>
                <w:rFonts w:hint="eastAsia" w:ascii="宋体" w:hAnsi="宋体" w:eastAsia="宋体" w:cs="Times New Roman"/>
                <w:bCs/>
                <w:color w:val="auto"/>
                <w:highlight w:val="none"/>
              </w:rPr>
              <w:t>管理规章制度各项目内容齐全，内容较详细，操作性</w:t>
            </w:r>
            <w:r>
              <w:rPr>
                <w:rFonts w:hint="eastAsia" w:cs="Times New Roman"/>
                <w:bCs/>
                <w:color w:val="auto"/>
                <w:highlight w:val="none"/>
                <w:lang w:val="en-US" w:eastAsia="zh-CN"/>
              </w:rPr>
              <w:t>一般。</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lang w:eastAsia="zh-CN"/>
              </w:rPr>
            </w:pPr>
            <w:r>
              <w:rPr>
                <w:rFonts w:hint="eastAsia" w:ascii="宋体" w:hAnsi="宋体" w:eastAsia="宋体" w:cs="Times New Roman"/>
                <w:bCs/>
                <w:color w:val="auto"/>
                <w:highlight w:val="none"/>
              </w:rPr>
              <w:t>三档（</w:t>
            </w:r>
            <w:r>
              <w:rPr>
                <w:rFonts w:hint="eastAsia" w:cs="Times New Roman"/>
                <w:bCs/>
                <w:color w:val="auto"/>
                <w:highlight w:val="none"/>
                <w:lang w:val="en-US" w:eastAsia="zh-CN"/>
              </w:rPr>
              <w:t>9</w:t>
            </w:r>
            <w:r>
              <w:rPr>
                <w:rFonts w:hint="eastAsia" w:ascii="宋体" w:hAnsi="宋体" w:eastAsia="宋体" w:cs="Times New Roman"/>
                <w:bCs/>
                <w:color w:val="auto"/>
                <w:highlight w:val="none"/>
              </w:rPr>
              <w:t>分）</w:t>
            </w:r>
            <w:r>
              <w:rPr>
                <w:rFonts w:hint="eastAsia" w:cs="Times New Roman"/>
                <w:bCs/>
                <w:color w:val="auto"/>
                <w:highlight w:val="none"/>
                <w:lang w:val="en-US" w:eastAsia="zh-CN"/>
              </w:rPr>
              <w:t>在二档的基础上，</w:t>
            </w:r>
            <w:r>
              <w:rPr>
                <w:rFonts w:hint="eastAsia" w:ascii="宋体" w:hAnsi="宋体" w:eastAsia="宋体" w:cs="Times New Roman"/>
                <w:bCs/>
                <w:color w:val="auto"/>
                <w:highlight w:val="none"/>
              </w:rPr>
              <w:t>管理规章制度各项目内容齐全，陈述详细，操作性</w:t>
            </w:r>
            <w:r>
              <w:rPr>
                <w:rFonts w:hint="eastAsia" w:cs="Times New Roman"/>
                <w:bCs/>
                <w:color w:val="auto"/>
                <w:highlight w:val="none"/>
                <w:lang w:val="en-US" w:eastAsia="zh-CN"/>
              </w:rPr>
              <w:t>较强</w:t>
            </w:r>
            <w:r>
              <w:rPr>
                <w:rFonts w:hint="eastAsia" w:cs="Times New Roman"/>
                <w:bCs/>
                <w:color w:val="auto"/>
                <w:highlight w:val="none"/>
                <w:lang w:eastAsia="zh-CN"/>
              </w:rPr>
              <w:t>，</w:t>
            </w:r>
            <w:r>
              <w:rPr>
                <w:rFonts w:hint="eastAsia" w:ascii="宋体" w:hAnsi="宋体" w:eastAsia="宋体" w:cs="Times New Roman"/>
                <w:bCs/>
                <w:color w:val="auto"/>
                <w:highlight w:val="none"/>
              </w:rPr>
              <w:t>有</w:t>
            </w:r>
            <w:r>
              <w:rPr>
                <w:rFonts w:hint="eastAsia" w:cs="Times New Roman"/>
                <w:bCs/>
                <w:color w:val="auto"/>
                <w:highlight w:val="none"/>
                <w:lang w:val="en-US" w:eastAsia="zh-CN"/>
              </w:rPr>
              <w:t>一定的</w:t>
            </w:r>
            <w:r>
              <w:rPr>
                <w:rFonts w:hint="eastAsia" w:ascii="宋体" w:hAnsi="宋体" w:eastAsia="宋体" w:cs="Times New Roman"/>
                <w:bCs/>
                <w:color w:val="auto"/>
                <w:highlight w:val="none"/>
              </w:rPr>
              <w:t>针对性</w:t>
            </w:r>
            <w:r>
              <w:rPr>
                <w:rFonts w:hint="eastAsia" w:cs="Times New Roman"/>
                <w:bCs/>
                <w:color w:val="auto"/>
                <w:highlight w:val="none"/>
                <w:lang w:eastAsia="zh-CN"/>
              </w:rPr>
              <w:t>，</w:t>
            </w:r>
            <w:r>
              <w:rPr>
                <w:rFonts w:hint="eastAsia" w:cs="Times New Roman"/>
                <w:bCs/>
                <w:color w:val="auto"/>
                <w:highlight w:val="none"/>
                <w:lang w:val="en-US" w:eastAsia="zh-CN"/>
              </w:rPr>
              <w:t>基本</w:t>
            </w:r>
            <w:r>
              <w:rPr>
                <w:rFonts w:hint="eastAsia" w:ascii="宋体" w:hAnsi="宋体" w:eastAsia="宋体" w:cs="Times New Roman"/>
                <w:bCs/>
                <w:color w:val="auto"/>
                <w:highlight w:val="none"/>
              </w:rPr>
              <w:t>适用本项目用户需求</w:t>
            </w:r>
            <w:r>
              <w:rPr>
                <w:rFonts w:hint="eastAsia" w:cs="Times New Roman"/>
                <w:bCs/>
                <w:color w:val="auto"/>
                <w:highlight w:val="none"/>
                <w:lang w:eastAsia="zh-CN"/>
              </w:rPr>
              <w:t>。</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四档（11分）：在三档的基础上，提供的服务设想符合项目实际，管理制度及档案建立完整，有较强针对性，可操作性较强。</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ascii="宋体" w:hAnsi="宋体" w:eastAsia="宋体" w:cs="Times New Roman"/>
                <w:bCs/>
                <w:color w:val="auto"/>
                <w:highlight w:val="none"/>
                <w:lang w:val="en-US" w:eastAsia="zh-CN"/>
              </w:rPr>
            </w:pPr>
            <w:r>
              <w:rPr>
                <w:rFonts w:hint="eastAsia" w:ascii="宋体" w:hAnsi="宋体" w:eastAsia="宋体" w:cs="Times New Roman"/>
                <w:bCs/>
                <w:color w:val="auto"/>
                <w:highlight w:val="none"/>
              </w:rPr>
              <w:t>五档（13分）：在四档的基础上，完全适用本项目用户需求，明确企业内部管理架构、岗位责任、管理维护运作制度及标准，能针对采购项目的情况，制作专门利于提高服务质量的相关制度，完整详细</w:t>
            </w:r>
            <w:r>
              <w:rPr>
                <w:rFonts w:hint="eastAsia" w:cs="Times New Roman"/>
                <w:bCs/>
                <w:color w:val="auto"/>
                <w:highlight w:val="none"/>
                <w:lang w:eastAsia="zh-CN"/>
              </w:rPr>
              <w:t>，</w:t>
            </w:r>
            <w:r>
              <w:rPr>
                <w:rFonts w:hint="eastAsia" w:ascii="宋体" w:hAnsi="宋体" w:eastAsia="宋体" w:cs="Times New Roman"/>
                <w:bCs/>
                <w:color w:val="auto"/>
                <w:highlight w:val="none"/>
              </w:rPr>
              <w:t>针对性</w:t>
            </w:r>
            <w:r>
              <w:rPr>
                <w:rFonts w:hint="eastAsia" w:cs="Times New Roman"/>
                <w:bCs/>
                <w:color w:val="auto"/>
                <w:highlight w:val="none"/>
                <w:lang w:val="en-US" w:eastAsia="zh-CN"/>
              </w:rPr>
              <w:t>强且</w:t>
            </w:r>
            <w:r>
              <w:rPr>
                <w:rFonts w:hint="eastAsia" w:ascii="宋体" w:hAnsi="宋体" w:eastAsia="宋体" w:cs="Times New Roman"/>
                <w:bCs/>
                <w:color w:val="auto"/>
                <w:highlight w:val="none"/>
              </w:rPr>
              <w:t>科学合理，亮点多，可行性强。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b w:val="0"/>
                <w:bCs w:val="0"/>
                <w:color w:val="auto"/>
                <w:highlight w:val="none"/>
                <w:lang w:val="en-US" w:eastAsia="zh-CN"/>
              </w:rPr>
            </w:pPr>
            <w:r>
              <w:rPr>
                <w:rFonts w:hint="eastAsia"/>
                <w:b w:val="0"/>
                <w:bCs w:val="0"/>
                <w:color w:val="auto"/>
                <w:highlight w:val="none"/>
                <w:lang w:val="en-US" w:eastAsia="zh-CN"/>
              </w:rPr>
              <w:t>人员培训分（满分10分）</w:t>
            </w: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人员培训分（满分</w:t>
            </w:r>
            <w:r>
              <w:rPr>
                <w:rFonts w:hint="eastAsia"/>
                <w:color w:val="auto"/>
                <w:highlight w:val="none"/>
                <w:lang w:val="en-US" w:eastAsia="zh-CN"/>
              </w:rPr>
              <w:t>10</w:t>
            </w:r>
            <w:r>
              <w:rPr>
                <w:rFonts w:hint="eastAsia"/>
                <w:color w:val="auto"/>
                <w:highlight w:val="none"/>
                <w:lang w:eastAsia="zh-CN"/>
              </w:rPr>
              <w:t>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根据投标人针对本项目的人员招聘、考核、培训方案等方面进行评分。</w:t>
            </w:r>
            <w:r>
              <w:rPr>
                <w:rFonts w:hint="eastAsia" w:ascii="宋体" w:hAnsi="宋体" w:eastAsia="宋体" w:cs="Times New Roman"/>
                <w:color w:val="auto"/>
                <w:highlight w:val="none"/>
                <w:lang w:val="en-US" w:eastAsia="zh-CN"/>
              </w:rPr>
              <w:t>不入档：</w:t>
            </w:r>
            <w:r>
              <w:rPr>
                <w:rFonts w:hint="eastAsia"/>
                <w:color w:val="auto"/>
                <w:highlight w:val="none"/>
                <w:lang w:eastAsia="zh-CN"/>
              </w:rPr>
              <w:t>未提供人员培训方案或方案未达到一档标准要求的，得0分。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一档（</w:t>
            </w:r>
            <w:r>
              <w:rPr>
                <w:rFonts w:hint="eastAsia"/>
                <w:color w:val="auto"/>
                <w:highlight w:val="none"/>
                <w:lang w:val="en-US" w:eastAsia="zh-CN"/>
              </w:rPr>
              <w:t>2</w:t>
            </w:r>
            <w:r>
              <w:rPr>
                <w:rFonts w:hint="eastAsia"/>
                <w:color w:val="auto"/>
                <w:highlight w:val="none"/>
                <w:lang w:eastAsia="zh-CN"/>
              </w:rPr>
              <w:t>分）：对投入人员有培训方案，不具</w:t>
            </w:r>
            <w:r>
              <w:rPr>
                <w:rFonts w:hint="eastAsia"/>
                <w:color w:val="auto"/>
                <w:highlight w:val="none"/>
                <w:lang w:val="en-US" w:eastAsia="zh-CN"/>
              </w:rPr>
              <w:t>有</w:t>
            </w:r>
            <w:r>
              <w:rPr>
                <w:rFonts w:hint="eastAsia"/>
                <w:color w:val="auto"/>
                <w:highlight w:val="none"/>
                <w:lang w:eastAsia="zh-CN"/>
              </w:rPr>
              <w:t>针对性针。</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二档（</w:t>
            </w:r>
            <w:r>
              <w:rPr>
                <w:rFonts w:hint="eastAsia"/>
                <w:color w:val="auto"/>
                <w:highlight w:val="none"/>
                <w:lang w:val="en-US" w:eastAsia="zh-CN"/>
              </w:rPr>
              <w:t>4</w:t>
            </w:r>
            <w:r>
              <w:rPr>
                <w:rFonts w:hint="eastAsia"/>
                <w:color w:val="auto"/>
                <w:highlight w:val="none"/>
                <w:lang w:eastAsia="zh-CN"/>
              </w:rPr>
              <w:t>分）：对投入人员有培训方案，有针对性，方案能够体现出投入人员有一定的专业技能素养。</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三档（</w:t>
            </w:r>
            <w:r>
              <w:rPr>
                <w:rFonts w:hint="eastAsia"/>
                <w:color w:val="auto"/>
                <w:highlight w:val="none"/>
                <w:lang w:val="en-US" w:eastAsia="zh-CN"/>
              </w:rPr>
              <w:t>6</w:t>
            </w:r>
            <w:r>
              <w:rPr>
                <w:rFonts w:hint="eastAsia"/>
                <w:color w:val="auto"/>
                <w:highlight w:val="none"/>
                <w:lang w:eastAsia="zh-CN"/>
              </w:rPr>
              <w:t>分）：在二档基础上，对投入人员有区分岗位、区分培训的细化培训方案，有保洁培训手册或相关培训制度（提供相关证明），并制定员工考核制度，方案完善，可行性强。</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四档（</w:t>
            </w:r>
            <w:r>
              <w:rPr>
                <w:rFonts w:hint="eastAsia"/>
                <w:color w:val="auto"/>
                <w:highlight w:val="none"/>
                <w:lang w:val="en-US" w:eastAsia="zh-CN"/>
              </w:rPr>
              <w:t>8</w:t>
            </w:r>
            <w:r>
              <w:rPr>
                <w:rFonts w:hint="eastAsia"/>
                <w:color w:val="auto"/>
                <w:highlight w:val="none"/>
                <w:lang w:eastAsia="zh-CN"/>
              </w:rPr>
              <w:t>分）：在三档基础上，对投入人员有区分岗位、区分培训的细化培训方案，有保洁培训手册或相关培训制度（提供相关证明），能体现投标人的培训实力，并制定员工考核制度，方案完善，可行性强。</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五档（1</w:t>
            </w:r>
            <w:r>
              <w:rPr>
                <w:rFonts w:hint="eastAsia"/>
                <w:color w:val="auto"/>
                <w:highlight w:val="none"/>
                <w:lang w:val="en-US" w:eastAsia="zh-CN"/>
              </w:rPr>
              <w:t>0</w:t>
            </w:r>
            <w:r>
              <w:rPr>
                <w:rFonts w:hint="eastAsia"/>
                <w:color w:val="auto"/>
                <w:highlight w:val="none"/>
                <w:lang w:eastAsia="zh-CN"/>
              </w:rPr>
              <w:t>分）：在四档的基础上，完全适用本项目用户需求，针对物业项目服务，根据服务需求一览表要求作出培训方案，包括：①对各类人员的培训计划（包含但不限于详细的培训流程），②考核方式，③言行规范，仪表仪容，④公众形象，基本技能 ⑤切实可行的培训方案（包含但不限于针对本项目每个岗位的培训手册），内容详细完善，考虑情况全面，处理措施符合实际情况。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b w:val="0"/>
                <w:bCs w:val="0"/>
                <w:color w:val="auto"/>
                <w:highlight w:val="none"/>
                <w:lang w:val="en-US" w:eastAsia="zh-CN"/>
              </w:rPr>
            </w:pPr>
            <w:r>
              <w:rPr>
                <w:rFonts w:hint="eastAsia"/>
                <w:b w:val="0"/>
                <w:bCs w:val="0"/>
                <w:color w:val="auto"/>
                <w:highlight w:val="none"/>
                <w:lang w:val="en-US" w:eastAsia="zh-CN"/>
              </w:rPr>
              <w:t>物资（应含设备、材料、</w:t>
            </w:r>
          </w:p>
          <w:p>
            <w:pPr>
              <w:keepNext w:val="0"/>
              <w:keepLines w:val="0"/>
              <w:pageBreakBefore w:val="0"/>
              <w:kinsoku/>
              <w:wordWrap/>
              <w:overflowPunct/>
              <w:topLinePunct w:val="0"/>
              <w:autoSpaceDE/>
              <w:autoSpaceDN/>
              <w:bidi w:val="0"/>
              <w:snapToGrid/>
              <w:spacing w:line="312" w:lineRule="auto"/>
              <w:jc w:val="center"/>
              <w:rPr>
                <w:rFonts w:hint="eastAsia"/>
                <w:b w:val="0"/>
                <w:bCs w:val="0"/>
                <w:color w:val="auto"/>
                <w:highlight w:val="none"/>
              </w:rPr>
            </w:pPr>
            <w:r>
              <w:rPr>
                <w:rFonts w:hint="eastAsia"/>
                <w:b w:val="0"/>
                <w:bCs w:val="0"/>
                <w:color w:val="auto"/>
                <w:highlight w:val="none"/>
                <w:lang w:val="en-US" w:eastAsia="zh-CN"/>
              </w:rPr>
              <w:t>耗材等）配置方案分（满分 8分）</w:t>
            </w: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物资（应含设备、材料、耗材等）配置方案分（满分8分）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物资（应含设备、材料（</w:t>
            </w:r>
            <w:r>
              <w:rPr>
                <w:rFonts w:hint="eastAsia"/>
                <w:color w:val="auto"/>
                <w:highlight w:val="none"/>
                <w:lang w:val="en-US" w:eastAsia="zh-CN"/>
              </w:rPr>
              <w:t>清洁用具</w:t>
            </w:r>
            <w:r>
              <w:rPr>
                <w:rFonts w:hint="eastAsia"/>
                <w:color w:val="auto"/>
                <w:highlight w:val="none"/>
                <w:lang w:eastAsia="zh-CN"/>
              </w:rPr>
              <w:t>）、耗材（</w:t>
            </w:r>
            <w:r>
              <w:rPr>
                <w:rFonts w:hint="eastAsia"/>
                <w:color w:val="auto"/>
                <w:highlight w:val="none"/>
                <w:lang w:val="en-US" w:eastAsia="zh-CN"/>
              </w:rPr>
              <w:t>维修工具</w:t>
            </w:r>
            <w:r>
              <w:rPr>
                <w:rFonts w:hint="eastAsia"/>
                <w:color w:val="auto"/>
                <w:highlight w:val="none"/>
                <w:lang w:eastAsia="zh-CN"/>
              </w:rPr>
              <w:t>）</w:t>
            </w:r>
            <w:r>
              <w:rPr>
                <w:rFonts w:hint="eastAsia"/>
                <w:color w:val="auto"/>
                <w:highlight w:val="none"/>
                <w:lang w:val="en-US" w:eastAsia="zh-CN"/>
              </w:rPr>
              <w:t>等方面进行评分。</w:t>
            </w:r>
            <w:r>
              <w:rPr>
                <w:rFonts w:hint="eastAsia" w:ascii="宋体" w:hAnsi="宋体" w:eastAsia="宋体" w:cs="Times New Roman"/>
                <w:color w:val="auto"/>
                <w:highlight w:val="none"/>
                <w:lang w:val="en-US" w:eastAsia="zh-CN"/>
              </w:rPr>
              <w:t>不入档：</w:t>
            </w:r>
            <w:r>
              <w:rPr>
                <w:rFonts w:hint="eastAsia"/>
                <w:color w:val="auto"/>
                <w:highlight w:val="none"/>
                <w:lang w:eastAsia="zh-CN"/>
              </w:rPr>
              <w:t>未提供物资配置方案或方案未达到一档标准要求的，得0分。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default"/>
                <w:color w:val="auto"/>
                <w:highlight w:val="none"/>
                <w:lang w:val="en-US" w:eastAsia="zh-CN"/>
              </w:rPr>
            </w:pPr>
            <w:r>
              <w:rPr>
                <w:rFonts w:hint="eastAsia"/>
                <w:color w:val="auto"/>
                <w:highlight w:val="none"/>
                <w:lang w:eastAsia="zh-CN"/>
              </w:rPr>
              <w:t>一档(</w:t>
            </w:r>
            <w:r>
              <w:rPr>
                <w:rFonts w:hint="eastAsia"/>
                <w:color w:val="auto"/>
                <w:highlight w:val="none"/>
                <w:lang w:val="en-US" w:eastAsia="zh-CN"/>
              </w:rPr>
              <w:t>2</w:t>
            </w:r>
            <w:r>
              <w:rPr>
                <w:rFonts w:hint="eastAsia"/>
                <w:color w:val="auto"/>
                <w:highlight w:val="none"/>
                <w:lang w:eastAsia="zh-CN"/>
              </w:rPr>
              <w:t xml:space="preserve"> 分）：拟投入本项目的设备实施品类较少，材料少、耗材少， 设备性能一般，材料、耗材较陈旧，</w:t>
            </w:r>
            <w:r>
              <w:rPr>
                <w:rFonts w:hint="eastAsia"/>
                <w:color w:val="auto"/>
                <w:highlight w:val="none"/>
                <w:lang w:val="en-US" w:eastAsia="zh-CN"/>
              </w:rPr>
              <w:t>无法满足采购需求。</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二档(</w:t>
            </w:r>
            <w:r>
              <w:rPr>
                <w:rFonts w:hint="eastAsia"/>
                <w:color w:val="auto"/>
                <w:highlight w:val="none"/>
                <w:lang w:val="en-US" w:eastAsia="zh-CN"/>
              </w:rPr>
              <w:t>4</w:t>
            </w:r>
            <w:r>
              <w:rPr>
                <w:rFonts w:hint="eastAsia"/>
                <w:color w:val="auto"/>
                <w:highlight w:val="none"/>
                <w:lang w:eastAsia="zh-CN"/>
              </w:rPr>
              <w:t>分）：拟投入本项目的设备实施品类</w:t>
            </w:r>
            <w:r>
              <w:rPr>
                <w:rFonts w:hint="eastAsia"/>
                <w:color w:val="auto"/>
                <w:highlight w:val="none"/>
                <w:lang w:val="en-US" w:eastAsia="zh-CN"/>
              </w:rPr>
              <w:t>较</w:t>
            </w:r>
            <w:r>
              <w:rPr>
                <w:rFonts w:hint="eastAsia"/>
                <w:color w:val="auto"/>
                <w:highlight w:val="none"/>
                <w:lang w:eastAsia="zh-CN"/>
              </w:rPr>
              <w:t>齐全、</w:t>
            </w:r>
            <w:r>
              <w:rPr>
                <w:rFonts w:hint="eastAsia"/>
                <w:color w:val="auto"/>
                <w:highlight w:val="none"/>
                <w:lang w:val="en-US" w:eastAsia="zh-CN"/>
              </w:rPr>
              <w:t>但</w:t>
            </w:r>
            <w:r>
              <w:rPr>
                <w:rFonts w:hint="eastAsia"/>
                <w:color w:val="auto"/>
                <w:highlight w:val="none"/>
                <w:lang w:eastAsia="zh-CN"/>
              </w:rPr>
              <w:t>性能材料及耗材一般，针对性一般，基本</w:t>
            </w:r>
            <w:r>
              <w:rPr>
                <w:rFonts w:hint="eastAsia"/>
                <w:color w:val="auto"/>
                <w:highlight w:val="none"/>
                <w:lang w:val="en-US" w:eastAsia="zh-CN"/>
              </w:rPr>
              <w:t>满足</w:t>
            </w:r>
            <w:r>
              <w:rPr>
                <w:rFonts w:hint="eastAsia"/>
                <w:color w:val="auto"/>
                <w:highlight w:val="none"/>
                <w:lang w:eastAsia="zh-CN"/>
              </w:rPr>
              <w:t>采购需求。</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eastAsia="zh-CN"/>
              </w:rPr>
            </w:pPr>
            <w:r>
              <w:rPr>
                <w:rFonts w:hint="eastAsia"/>
                <w:color w:val="auto"/>
                <w:highlight w:val="none"/>
                <w:lang w:eastAsia="zh-CN"/>
              </w:rPr>
              <w:t>三档(</w:t>
            </w:r>
            <w:r>
              <w:rPr>
                <w:rFonts w:hint="eastAsia"/>
                <w:color w:val="auto"/>
                <w:highlight w:val="none"/>
                <w:lang w:val="en-US" w:eastAsia="zh-CN"/>
              </w:rPr>
              <w:t>6</w:t>
            </w:r>
            <w:r>
              <w:rPr>
                <w:rFonts w:hint="eastAsia"/>
                <w:color w:val="auto"/>
                <w:highlight w:val="none"/>
                <w:lang w:eastAsia="zh-CN"/>
              </w:rPr>
              <w:t>分）：拟投入本项目的设备设施品类齐全、配置用品完善、性能</w:t>
            </w:r>
            <w:r>
              <w:rPr>
                <w:rFonts w:hint="eastAsia"/>
                <w:color w:val="auto"/>
                <w:highlight w:val="none"/>
                <w:lang w:val="en-US" w:eastAsia="zh-CN"/>
              </w:rPr>
              <w:t>好</w:t>
            </w:r>
            <w:r>
              <w:rPr>
                <w:rFonts w:hint="eastAsia"/>
                <w:color w:val="auto"/>
                <w:highlight w:val="none"/>
                <w:lang w:eastAsia="zh-CN"/>
              </w:rPr>
              <w:t>、设备较新、材料及耗材良好，针对性</w:t>
            </w:r>
            <w:r>
              <w:rPr>
                <w:rFonts w:hint="eastAsia"/>
                <w:color w:val="auto"/>
                <w:highlight w:val="none"/>
                <w:lang w:val="en-US" w:eastAsia="zh-CN"/>
              </w:rPr>
              <w:t>较</w:t>
            </w:r>
            <w:r>
              <w:rPr>
                <w:rFonts w:hint="eastAsia"/>
                <w:color w:val="auto"/>
                <w:highlight w:val="none"/>
                <w:lang w:eastAsia="zh-CN"/>
              </w:rPr>
              <w:t>强，</w:t>
            </w:r>
            <w:r>
              <w:rPr>
                <w:rFonts w:hint="eastAsia"/>
                <w:color w:val="auto"/>
                <w:highlight w:val="none"/>
                <w:lang w:val="en-US" w:eastAsia="zh-CN"/>
              </w:rPr>
              <w:t>能较好的</w:t>
            </w:r>
            <w:r>
              <w:rPr>
                <w:rFonts w:hint="eastAsia"/>
                <w:color w:val="auto"/>
                <w:highlight w:val="none"/>
                <w:lang w:eastAsia="zh-CN"/>
              </w:rPr>
              <w:t>满足采购需求。</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bCs/>
                <w:color w:val="auto"/>
                <w:highlight w:val="none"/>
                <w:lang w:eastAsia="zh-CN"/>
              </w:rPr>
            </w:pPr>
            <w:r>
              <w:rPr>
                <w:rFonts w:hint="eastAsia"/>
                <w:color w:val="auto"/>
                <w:highlight w:val="none"/>
                <w:lang w:eastAsia="zh-CN"/>
              </w:rPr>
              <w:t>四档（8分）：拟投入本项目的设备设施品类</w:t>
            </w:r>
            <w:r>
              <w:rPr>
                <w:rFonts w:hint="eastAsia"/>
                <w:color w:val="auto"/>
                <w:highlight w:val="none"/>
                <w:lang w:val="en-US" w:eastAsia="zh-CN"/>
              </w:rPr>
              <w:t>很</w:t>
            </w:r>
            <w:r>
              <w:rPr>
                <w:rFonts w:hint="eastAsia"/>
                <w:color w:val="auto"/>
                <w:highlight w:val="none"/>
                <w:lang w:eastAsia="zh-CN"/>
              </w:rPr>
              <w:t>齐全、配置用品完善、性能优越、设备</w:t>
            </w:r>
            <w:r>
              <w:rPr>
                <w:rFonts w:hint="eastAsia"/>
                <w:color w:val="auto"/>
                <w:highlight w:val="none"/>
                <w:lang w:val="en-US" w:eastAsia="zh-CN"/>
              </w:rPr>
              <w:t>先进</w:t>
            </w:r>
            <w:r>
              <w:rPr>
                <w:rFonts w:hint="eastAsia"/>
                <w:color w:val="auto"/>
                <w:highlight w:val="none"/>
                <w:lang w:eastAsia="zh-CN"/>
              </w:rPr>
              <w:t>，针对性强，利于本项目服务，且配有现代化的服务质量管理信息化手段。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b w:val="0"/>
                <w:bCs w:val="0"/>
                <w:color w:val="auto"/>
                <w:highlight w:val="none"/>
                <w:lang w:val="en-US" w:eastAsia="zh-CN"/>
              </w:rPr>
            </w:pPr>
            <w:r>
              <w:rPr>
                <w:rFonts w:hint="eastAsia"/>
                <w:b w:val="0"/>
                <w:bCs w:val="0"/>
                <w:color w:val="auto"/>
                <w:highlight w:val="none"/>
                <w:lang w:val="en-US" w:eastAsia="zh-CN"/>
              </w:rPr>
              <w:t>服务承诺分（满分15分）</w:t>
            </w: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服务承诺分（满分</w:t>
            </w:r>
            <w:r>
              <w:rPr>
                <w:rFonts w:hint="eastAsia" w:cs="Times New Roman"/>
                <w:color w:val="auto"/>
                <w:highlight w:val="none"/>
                <w:lang w:val="en-US" w:eastAsia="zh-CN"/>
              </w:rPr>
              <w:t>15</w:t>
            </w:r>
            <w:r>
              <w:rPr>
                <w:rFonts w:hint="eastAsia" w:ascii="宋体" w:hAnsi="宋体" w:eastAsia="宋体" w:cs="Times New Roman"/>
                <w:color w:val="auto"/>
                <w:highlight w:val="none"/>
                <w:lang w:val="en-US" w:eastAsia="zh-CN"/>
              </w:rPr>
              <w:t>分）</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200"/>
              <w:rPr>
                <w:rFonts w:hint="eastAsia" w:ascii="宋体" w:hAnsi="宋体" w:eastAsia="宋体" w:cs="Times New Roman"/>
                <w:color w:val="auto"/>
                <w:highlight w:val="none"/>
                <w:lang w:val="en-US" w:eastAsia="zh-CN"/>
              </w:rPr>
            </w:pPr>
            <w:r>
              <w:rPr>
                <w:rFonts w:hint="eastAsia" w:cs="Times New Roman"/>
                <w:color w:val="auto"/>
                <w:highlight w:val="none"/>
                <w:lang w:val="en-US" w:eastAsia="zh-CN"/>
              </w:rPr>
              <w:t>服务承诺包括但不限于服务态度，服务质量、服务效率、服务内容等方面进行评分。</w:t>
            </w:r>
            <w:r>
              <w:rPr>
                <w:rFonts w:hint="eastAsia" w:ascii="宋体" w:hAnsi="宋体" w:eastAsia="宋体" w:cs="Times New Roman"/>
                <w:color w:val="auto"/>
                <w:highlight w:val="none"/>
                <w:lang w:val="en-US" w:eastAsia="zh-CN"/>
              </w:rPr>
              <w:t>不入档：未提供服务承诺方案或方案未达到一档标准要求的，得0分。</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一档（</w:t>
            </w:r>
            <w:r>
              <w:rPr>
                <w:rFonts w:hint="eastAsia" w:cs="Times New Roman"/>
                <w:color w:val="auto"/>
                <w:highlight w:val="none"/>
                <w:lang w:val="en-US" w:eastAsia="zh-CN"/>
              </w:rPr>
              <w:t>3</w:t>
            </w:r>
            <w:r>
              <w:rPr>
                <w:rFonts w:hint="eastAsia" w:ascii="宋体" w:hAnsi="宋体" w:eastAsia="宋体" w:cs="Times New Roman"/>
                <w:color w:val="auto"/>
                <w:highlight w:val="none"/>
                <w:lang w:val="en-US" w:eastAsia="zh-CN"/>
              </w:rPr>
              <w:t>分）：针对本项目提供的服务承诺</w:t>
            </w:r>
            <w:r>
              <w:rPr>
                <w:rFonts w:hint="eastAsia" w:cs="Times New Roman"/>
                <w:color w:val="auto"/>
                <w:highlight w:val="none"/>
                <w:lang w:val="en-US" w:eastAsia="zh-CN"/>
              </w:rPr>
              <w:t>内容少且差</w:t>
            </w:r>
            <w:r>
              <w:rPr>
                <w:rFonts w:hint="eastAsia" w:ascii="宋体" w:hAnsi="宋体" w:eastAsia="宋体" w:cs="Times New Roman"/>
                <w:color w:val="auto"/>
                <w:highlight w:val="none"/>
                <w:lang w:val="en-US" w:eastAsia="zh-CN"/>
              </w:rPr>
              <w:t>，作业流程简单，可行性差，针对性</w:t>
            </w:r>
            <w:r>
              <w:rPr>
                <w:rFonts w:hint="eastAsia" w:cs="Times New Roman"/>
                <w:color w:val="auto"/>
                <w:highlight w:val="none"/>
                <w:lang w:val="en-US" w:eastAsia="zh-CN"/>
              </w:rPr>
              <w:t>差</w:t>
            </w:r>
            <w:r>
              <w:rPr>
                <w:rFonts w:hint="eastAsia" w:ascii="宋体" w:hAnsi="宋体" w:eastAsia="宋体" w:cs="Times New Roman"/>
                <w:color w:val="auto"/>
                <w:highlight w:val="none"/>
                <w:lang w:val="en-US" w:eastAsia="zh-CN"/>
              </w:rPr>
              <w:t>；对任务要求反应差，没有制定有针对性的服务方案。</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二档（</w:t>
            </w:r>
            <w:r>
              <w:rPr>
                <w:rFonts w:hint="eastAsia" w:cs="Times New Roman"/>
                <w:color w:val="auto"/>
                <w:highlight w:val="none"/>
                <w:lang w:val="en-US" w:eastAsia="zh-CN"/>
              </w:rPr>
              <w:t>6</w:t>
            </w:r>
            <w:r>
              <w:rPr>
                <w:rFonts w:hint="eastAsia" w:ascii="宋体" w:hAnsi="宋体" w:eastAsia="宋体" w:cs="Times New Roman"/>
                <w:color w:val="auto"/>
                <w:highlight w:val="none"/>
                <w:lang w:val="en-US" w:eastAsia="zh-CN"/>
              </w:rPr>
              <w:t>分）：针对本项目提供的服务承诺</w:t>
            </w:r>
            <w:r>
              <w:rPr>
                <w:rFonts w:hint="eastAsia" w:cs="Times New Roman"/>
                <w:color w:val="auto"/>
                <w:highlight w:val="none"/>
                <w:lang w:val="en-US" w:eastAsia="zh-CN"/>
              </w:rPr>
              <w:t>内容较少，</w:t>
            </w:r>
            <w:r>
              <w:rPr>
                <w:rFonts w:hint="eastAsia" w:ascii="宋体" w:hAnsi="宋体" w:eastAsia="宋体" w:cs="Times New Roman"/>
                <w:color w:val="auto"/>
                <w:highlight w:val="none"/>
                <w:lang w:val="en-US" w:eastAsia="zh-CN"/>
              </w:rPr>
              <w:t>作业流程较详细，对任务要求反应一般，制定有一套实施方案但方案针对</w:t>
            </w:r>
            <w:r>
              <w:rPr>
                <w:rFonts w:hint="eastAsia" w:cs="Times New Roman"/>
                <w:color w:val="auto"/>
                <w:highlight w:val="none"/>
                <w:lang w:val="en-US" w:eastAsia="zh-CN"/>
              </w:rPr>
              <w:t>性一般。</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三档（</w:t>
            </w:r>
            <w:r>
              <w:rPr>
                <w:rFonts w:hint="eastAsia" w:cs="Times New Roman"/>
                <w:color w:val="auto"/>
                <w:highlight w:val="none"/>
                <w:lang w:val="en-US" w:eastAsia="zh-CN"/>
              </w:rPr>
              <w:t>9</w:t>
            </w:r>
            <w:r>
              <w:rPr>
                <w:rFonts w:hint="eastAsia" w:ascii="宋体" w:hAnsi="宋体" w:eastAsia="宋体" w:cs="Times New Roman"/>
                <w:color w:val="auto"/>
                <w:highlight w:val="none"/>
                <w:lang w:val="en-US" w:eastAsia="zh-CN"/>
              </w:rPr>
              <w:t>分）：</w:t>
            </w:r>
            <w:r>
              <w:rPr>
                <w:rFonts w:hint="eastAsia" w:cs="Times New Roman"/>
                <w:color w:val="auto"/>
                <w:highlight w:val="none"/>
                <w:lang w:val="en-US" w:eastAsia="zh-CN"/>
              </w:rPr>
              <w:t>在二档的基础上，针对本项目提供的服务承诺内容基本完善，方案较详细，</w:t>
            </w:r>
            <w:r>
              <w:rPr>
                <w:rFonts w:hint="eastAsia" w:ascii="宋体" w:hAnsi="宋体" w:eastAsia="宋体" w:cs="Times New Roman"/>
                <w:color w:val="auto"/>
                <w:highlight w:val="none"/>
                <w:lang w:val="en-US" w:eastAsia="zh-CN"/>
              </w:rPr>
              <w:t>服务及措施明显有利于项目的实施，</w:t>
            </w:r>
            <w:r>
              <w:rPr>
                <w:rFonts w:hint="eastAsia" w:cs="Times New Roman"/>
                <w:color w:val="auto"/>
                <w:highlight w:val="none"/>
                <w:lang w:val="en-US" w:eastAsia="zh-CN"/>
              </w:rPr>
              <w:t>有一定的</w:t>
            </w:r>
            <w:r>
              <w:rPr>
                <w:rFonts w:hint="eastAsia" w:ascii="宋体" w:hAnsi="宋体" w:eastAsia="宋体" w:cs="Times New Roman"/>
                <w:color w:val="auto"/>
                <w:highlight w:val="none"/>
                <w:lang w:val="en-US" w:eastAsia="zh-CN"/>
              </w:rPr>
              <w:t>针对性</w:t>
            </w:r>
            <w:r>
              <w:rPr>
                <w:rFonts w:hint="eastAsia" w:cs="Times New Roman"/>
                <w:color w:val="auto"/>
                <w:highlight w:val="none"/>
                <w:lang w:val="en-US" w:eastAsia="zh-CN"/>
              </w:rPr>
              <w:t>。</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四档（</w:t>
            </w:r>
            <w:r>
              <w:rPr>
                <w:rFonts w:hint="eastAsia" w:cs="Times New Roman"/>
                <w:color w:val="auto"/>
                <w:highlight w:val="none"/>
                <w:lang w:val="en-US" w:eastAsia="zh-CN"/>
              </w:rPr>
              <w:t>12</w:t>
            </w:r>
            <w:r>
              <w:rPr>
                <w:rFonts w:hint="eastAsia" w:ascii="宋体" w:hAnsi="宋体" w:eastAsia="宋体" w:cs="Times New Roman"/>
                <w:color w:val="auto"/>
                <w:highlight w:val="none"/>
                <w:lang w:val="en-US" w:eastAsia="zh-CN"/>
              </w:rPr>
              <w:t>分）：在三档基础上，</w:t>
            </w:r>
            <w:r>
              <w:rPr>
                <w:rFonts w:hint="eastAsia" w:cs="Times New Roman"/>
                <w:color w:val="auto"/>
                <w:highlight w:val="none"/>
                <w:lang w:val="en-US" w:eastAsia="zh-CN"/>
              </w:rPr>
              <w:t>提出</w:t>
            </w:r>
            <w:r>
              <w:rPr>
                <w:rFonts w:hint="eastAsia" w:ascii="宋体" w:hAnsi="宋体" w:eastAsia="宋体" w:cs="Times New Roman"/>
                <w:color w:val="auto"/>
                <w:highlight w:val="none"/>
                <w:lang w:val="en-US" w:eastAsia="zh-CN"/>
              </w:rPr>
              <w:t>针对本项目提供的服务承诺</w:t>
            </w:r>
            <w:r>
              <w:rPr>
                <w:rFonts w:hint="eastAsia" w:cs="Times New Roman"/>
                <w:color w:val="auto"/>
                <w:highlight w:val="none"/>
                <w:lang w:val="en-US" w:eastAsia="zh-CN"/>
              </w:rPr>
              <w:t>方案完善详细</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服务质量较高，服务效率较高，有利于项目的实施，针对性较强。</w:t>
            </w:r>
          </w:p>
          <w:p>
            <w:pPr>
              <w:pStyle w:val="30"/>
              <w:keepNext w:val="0"/>
              <w:keepLines w:val="0"/>
              <w:pageBreakBefore w:val="0"/>
              <w:kinsoku/>
              <w:wordWrap/>
              <w:overflowPunct/>
              <w:topLinePunct w:val="0"/>
              <w:autoSpaceDE/>
              <w:autoSpaceDN/>
              <w:bidi w:val="0"/>
              <w:adjustRightInd w:val="0"/>
              <w:snapToGrid/>
              <w:spacing w:line="312" w:lineRule="auto"/>
              <w:ind w:firstLine="420" w:firstLineChars="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五档（1</w:t>
            </w:r>
            <w:r>
              <w:rPr>
                <w:rFonts w:hint="eastAsia" w:cs="Times New Roman"/>
                <w:color w:val="auto"/>
                <w:highlight w:val="none"/>
                <w:lang w:val="en-US" w:eastAsia="zh-CN"/>
              </w:rPr>
              <w:t>5</w:t>
            </w:r>
            <w:r>
              <w:rPr>
                <w:rFonts w:hint="eastAsia" w:ascii="宋体" w:hAnsi="宋体" w:eastAsia="宋体" w:cs="Times New Roman"/>
                <w:color w:val="auto"/>
                <w:highlight w:val="none"/>
                <w:lang w:val="en-US" w:eastAsia="zh-CN"/>
              </w:rPr>
              <w:t>分）：在</w:t>
            </w:r>
            <w:r>
              <w:rPr>
                <w:rFonts w:hint="eastAsia" w:cs="Times New Roman"/>
                <w:color w:val="auto"/>
                <w:highlight w:val="none"/>
                <w:lang w:val="en-US" w:eastAsia="zh-CN"/>
              </w:rPr>
              <w:t>四</w:t>
            </w:r>
            <w:r>
              <w:rPr>
                <w:rFonts w:hint="eastAsia" w:ascii="宋体" w:hAnsi="宋体" w:eastAsia="宋体" w:cs="Times New Roman"/>
                <w:color w:val="auto"/>
                <w:highlight w:val="none"/>
                <w:lang w:val="en-US" w:eastAsia="zh-CN"/>
              </w:rPr>
              <w:t>档基础上针对本项目提供的服务承诺，包括</w:t>
            </w:r>
            <w:r>
              <w:rPr>
                <w:rFonts w:hint="eastAsia" w:cs="Times New Roman"/>
                <w:color w:val="auto"/>
                <w:highlight w:val="none"/>
                <w:lang w:val="en-US" w:eastAsia="zh-CN"/>
              </w:rPr>
              <w:t>但不限于</w:t>
            </w:r>
            <w:r>
              <w:rPr>
                <w:rFonts w:hint="eastAsia" w:ascii="宋体" w:hAnsi="宋体" w:eastAsia="宋体" w:cs="Times New Roman"/>
                <w:color w:val="auto"/>
                <w:highlight w:val="none"/>
                <w:lang w:val="en-US" w:eastAsia="zh-CN"/>
              </w:rPr>
              <w:t>按时足额发放员工工资的承诺、对责任事故处理的承诺、服务质量及标准的承诺、针对应急突发事件响应服务承诺（包含但不限于响应时间、响应措施）、人力资源保障及人员配置承诺等，内容详细，操作性强及针对性且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keepNext w:val="0"/>
              <w:keepLines w:val="0"/>
              <w:pageBreakBefore w:val="0"/>
              <w:widowControl/>
              <w:kinsoku/>
              <w:wordWrap/>
              <w:overflowPunct/>
              <w:topLinePunct w:val="0"/>
              <w:autoSpaceDE/>
              <w:autoSpaceDN/>
              <w:bidi w:val="0"/>
              <w:snapToGrid/>
              <w:spacing w:line="312" w:lineRule="auto"/>
              <w:rPr>
                <w:rFonts w:hint="eastAsia" w:ascii="宋体" w:hAnsi="宋体" w:cs="Courier New"/>
                <w:b/>
                <w:bCs/>
                <w:color w:val="auto"/>
                <w:kern w:val="2"/>
                <w:sz w:val="21"/>
                <w:szCs w:val="21"/>
                <w:highlight w:val="none"/>
                <w:lang w:val="en-US" w:eastAsia="zh-CN" w:bidi="ar-SA"/>
              </w:rPr>
            </w:pPr>
            <w:r>
              <w:rPr>
                <w:rFonts w:hint="eastAsia" w:ascii="宋体" w:hAnsi="宋体"/>
                <w:b w:val="0"/>
                <w:bCs/>
                <w:color w:val="auto"/>
                <w:sz w:val="21"/>
                <w:szCs w:val="21"/>
                <w:highlight w:val="none"/>
                <w:lang w:val="en-US" w:eastAsia="zh-CN"/>
              </w:rPr>
              <w:t>应急处置预案方案分</w:t>
            </w: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13</w:t>
            </w:r>
            <w:r>
              <w:rPr>
                <w:rFonts w:hint="eastAsia" w:ascii="宋体" w:hAnsi="宋体"/>
                <w:b w:val="0"/>
                <w:bCs/>
                <w:color w:val="auto"/>
                <w:sz w:val="21"/>
                <w:szCs w:val="21"/>
                <w:highlight w:val="none"/>
              </w:rPr>
              <w:t>分）</w:t>
            </w:r>
          </w:p>
        </w:tc>
        <w:tc>
          <w:tcPr>
            <w:tcW w:w="7078" w:type="dxa"/>
            <w:noWrap w:val="0"/>
            <w:vAlign w:val="center"/>
          </w:tcPr>
          <w:p>
            <w:pPr>
              <w:pStyle w:val="30"/>
              <w:keepNext w:val="0"/>
              <w:keepLines w:val="0"/>
              <w:pageBreakBefore w:val="0"/>
              <w:kinsoku/>
              <w:wordWrap/>
              <w:overflowPunct/>
              <w:topLinePunct w:val="0"/>
              <w:autoSpaceDE/>
              <w:autoSpaceDN/>
              <w:bidi w:val="0"/>
              <w:adjustRightInd w:val="0"/>
              <w:snapToGrid/>
              <w:spacing w:line="312" w:lineRule="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应急处置预案方案分</w:t>
            </w: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1</w:t>
            </w:r>
            <w:r>
              <w:rPr>
                <w:rFonts w:hint="eastAsia"/>
                <w:b w:val="0"/>
                <w:bCs/>
                <w:color w:val="auto"/>
                <w:sz w:val="21"/>
                <w:szCs w:val="21"/>
                <w:highlight w:val="none"/>
                <w:lang w:val="en-US" w:eastAsia="zh-CN"/>
              </w:rPr>
              <w:t>3</w:t>
            </w:r>
            <w:r>
              <w:rPr>
                <w:rFonts w:hint="eastAsia" w:ascii="宋体" w:hAnsi="宋体"/>
                <w:b w:val="0"/>
                <w:bCs/>
                <w:color w:val="auto"/>
                <w:sz w:val="21"/>
                <w:szCs w:val="21"/>
                <w:highlight w:val="none"/>
              </w:rPr>
              <w:t>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s="Times New Roman"/>
                <w:color w:val="auto"/>
                <w:highlight w:val="none"/>
                <w:lang w:val="en-US" w:eastAsia="zh-CN"/>
              </w:rPr>
            </w:pPr>
            <w:r>
              <w:rPr>
                <w:rFonts w:hint="eastAsia" w:cs="Times New Roman"/>
                <w:color w:val="auto"/>
                <w:highlight w:val="none"/>
                <w:lang w:val="en-US" w:eastAsia="zh-CN"/>
              </w:rPr>
              <w:t>应急处置预案方案包括但不限于人员调配、调动设备、应急措施等</w:t>
            </w:r>
            <w:r>
              <w:rPr>
                <w:rFonts w:hint="eastAsia"/>
                <w:color w:val="auto"/>
                <w:highlight w:val="none"/>
                <w:lang w:eastAsia="zh-CN"/>
              </w:rPr>
              <w:t>方面进行评分。不入档：未提供应急处置预案方案分或方案未达到一档标准要求的，得 0 分。</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一</w:t>
            </w:r>
            <w:r>
              <w:rPr>
                <w:rFonts w:hint="eastAsia" w:ascii="宋体" w:hAnsi="宋体" w:eastAsia="宋体" w:cs="Times New Roman"/>
                <w:color w:val="auto"/>
                <w:highlight w:val="none"/>
                <w:lang w:val="en-US" w:eastAsia="zh-CN"/>
              </w:rPr>
              <w:t>档（</w:t>
            </w:r>
            <w:r>
              <w:rPr>
                <w:rFonts w:hint="eastAsia" w:cs="Times New Roman"/>
                <w:color w:val="auto"/>
                <w:highlight w:val="none"/>
                <w:lang w:val="en-US" w:eastAsia="zh-CN"/>
              </w:rPr>
              <w:t>3</w:t>
            </w:r>
            <w:r>
              <w:rPr>
                <w:rFonts w:hint="eastAsia" w:ascii="宋体" w:hAnsi="宋体" w:eastAsia="宋体" w:cs="Times New Roman"/>
                <w:color w:val="auto"/>
                <w:highlight w:val="none"/>
                <w:lang w:val="en-US" w:eastAsia="zh-CN"/>
              </w:rPr>
              <w:t>分）： 提供应急处置预案方案</w:t>
            </w:r>
            <w:r>
              <w:rPr>
                <w:rFonts w:hint="eastAsia" w:cs="Times New Roman"/>
                <w:color w:val="auto"/>
                <w:highlight w:val="none"/>
                <w:lang w:val="en-US" w:eastAsia="zh-CN"/>
              </w:rPr>
              <w:t>，但不符合本项目需求的。</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default" w:cs="Times New Roman"/>
                <w:color w:val="auto"/>
                <w:highlight w:val="none"/>
                <w:lang w:val="en-US" w:eastAsia="zh-CN"/>
              </w:rPr>
            </w:pPr>
            <w:r>
              <w:rPr>
                <w:rFonts w:hint="eastAsia" w:cs="Times New Roman"/>
                <w:color w:val="auto"/>
                <w:highlight w:val="none"/>
                <w:lang w:val="en-US" w:eastAsia="zh-CN"/>
              </w:rPr>
              <w:t>二档（6分）： 提供应急处置预案方案较简单，基本可行，但针对处理问题无具体响应时间。</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s="Times New Roman"/>
                <w:color w:val="auto"/>
                <w:highlight w:val="none"/>
                <w:lang w:val="en-US" w:eastAsia="zh-CN"/>
              </w:rPr>
            </w:pPr>
            <w:r>
              <w:rPr>
                <w:rFonts w:hint="eastAsia" w:cs="Times New Roman"/>
                <w:color w:val="auto"/>
                <w:highlight w:val="none"/>
                <w:lang w:val="en-US" w:eastAsia="zh-CN"/>
              </w:rPr>
              <w:t>三档（9分）：具有项目突发事件应急处置预案、组织措施和保障措施，能及时排除简易故障，基本能够确保服务工作的正常运转，提供了详细的项目执行组织措施和保障措施，有故障排除和应急方案，保障日常工作开展。</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s="Times New Roman"/>
                <w:color w:val="auto"/>
                <w:highlight w:val="none"/>
                <w:lang w:val="en-US" w:eastAsia="zh-CN"/>
              </w:rPr>
            </w:pPr>
            <w:r>
              <w:rPr>
                <w:rFonts w:hint="eastAsia" w:cs="Times New Roman"/>
                <w:color w:val="auto"/>
                <w:highlight w:val="none"/>
                <w:lang w:val="en-US" w:eastAsia="zh-CN"/>
              </w:rPr>
              <w:t>四</w:t>
            </w:r>
            <w:r>
              <w:rPr>
                <w:rFonts w:hint="eastAsia" w:ascii="宋体" w:hAnsi="宋体" w:eastAsia="宋体" w:cs="Times New Roman"/>
                <w:color w:val="auto"/>
                <w:highlight w:val="none"/>
                <w:lang w:val="en-US" w:eastAsia="zh-CN"/>
              </w:rPr>
              <w:t>档（</w:t>
            </w:r>
            <w:r>
              <w:rPr>
                <w:rFonts w:hint="eastAsia" w:cs="Times New Roman"/>
                <w:color w:val="auto"/>
                <w:highlight w:val="none"/>
                <w:lang w:val="en-US" w:eastAsia="zh-CN"/>
              </w:rPr>
              <w:t>11</w:t>
            </w:r>
            <w:r>
              <w:rPr>
                <w:rFonts w:hint="eastAsia" w:ascii="宋体" w:hAnsi="宋体" w:eastAsia="宋体" w:cs="Times New Roman"/>
                <w:color w:val="auto"/>
                <w:highlight w:val="none"/>
                <w:lang w:val="en-US" w:eastAsia="zh-CN"/>
              </w:rPr>
              <w:t>分）：在</w:t>
            </w:r>
            <w:r>
              <w:rPr>
                <w:rFonts w:hint="eastAsia" w:cs="Times New Roman"/>
                <w:color w:val="auto"/>
                <w:highlight w:val="none"/>
                <w:lang w:val="en-US" w:eastAsia="zh-CN"/>
              </w:rPr>
              <w:t>三</w:t>
            </w:r>
            <w:r>
              <w:rPr>
                <w:rFonts w:hint="eastAsia" w:ascii="宋体" w:hAnsi="宋体" w:eastAsia="宋体" w:cs="Times New Roman"/>
                <w:color w:val="auto"/>
                <w:highlight w:val="none"/>
                <w:lang w:val="en-US" w:eastAsia="zh-CN"/>
              </w:rPr>
              <w:t>档基础上，项目执行组织措施和保障措施内容较详细，有针对服务工作提出的故障排除和应急方案，实施安全保证体系、安全事故控制、应急预案等内容较健全、得力和科学合理，日常工作开展得到有效保障</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 xml:space="preserve"> </w:t>
            </w:r>
          </w:p>
          <w:p>
            <w:pPr>
              <w:pStyle w:val="30"/>
              <w:keepNext w:val="0"/>
              <w:keepLines w:val="0"/>
              <w:pageBreakBefore w:val="0"/>
              <w:kinsoku/>
              <w:wordWrap/>
              <w:overflowPunct/>
              <w:topLinePunct w:val="0"/>
              <w:autoSpaceDE/>
              <w:autoSpaceDN/>
              <w:bidi w:val="0"/>
              <w:adjustRightInd w:val="0"/>
              <w:snapToGrid/>
              <w:spacing w:line="312" w:lineRule="auto"/>
              <w:ind w:firstLine="420"/>
              <w:rPr>
                <w:rFonts w:hint="eastAsia"/>
                <w:color w:val="auto"/>
                <w:highlight w:val="none"/>
                <w:lang w:val="en-US" w:eastAsia="zh-CN"/>
              </w:rPr>
            </w:pPr>
            <w:r>
              <w:rPr>
                <w:rFonts w:hint="eastAsia" w:cs="Times New Roman"/>
                <w:color w:val="auto"/>
                <w:highlight w:val="none"/>
                <w:lang w:val="en-US" w:eastAsia="zh-CN"/>
              </w:rPr>
              <w:t>五</w:t>
            </w:r>
            <w:r>
              <w:rPr>
                <w:rFonts w:hint="eastAsia" w:ascii="宋体" w:hAnsi="宋体" w:eastAsia="宋体" w:cs="Times New Roman"/>
                <w:color w:val="auto"/>
                <w:highlight w:val="none"/>
                <w:lang w:val="en-US" w:eastAsia="zh-CN"/>
              </w:rPr>
              <w:t>档（1</w:t>
            </w:r>
            <w:r>
              <w:rPr>
                <w:rFonts w:hint="eastAsia" w:cs="Times New Roman"/>
                <w:color w:val="auto"/>
                <w:highlight w:val="none"/>
                <w:lang w:val="en-US" w:eastAsia="zh-CN"/>
              </w:rPr>
              <w:t>3</w:t>
            </w:r>
            <w:r>
              <w:rPr>
                <w:rFonts w:hint="eastAsia" w:ascii="宋体" w:hAnsi="宋体" w:eastAsia="宋体" w:cs="Times New Roman"/>
                <w:color w:val="auto"/>
                <w:highlight w:val="none"/>
                <w:lang w:val="en-US" w:eastAsia="zh-CN"/>
              </w:rPr>
              <w:t>分）：在</w:t>
            </w:r>
            <w:r>
              <w:rPr>
                <w:rFonts w:hint="eastAsia" w:cs="Times New Roman"/>
                <w:color w:val="auto"/>
                <w:highlight w:val="none"/>
                <w:lang w:val="en-US" w:eastAsia="zh-CN"/>
              </w:rPr>
              <w:t>四</w:t>
            </w:r>
            <w:r>
              <w:rPr>
                <w:rFonts w:hint="eastAsia" w:ascii="宋体" w:hAnsi="宋体" w:eastAsia="宋体" w:cs="Times New Roman"/>
                <w:color w:val="auto"/>
                <w:highlight w:val="none"/>
                <w:lang w:val="en-US" w:eastAsia="zh-CN"/>
              </w:rPr>
              <w:t>档基础上，项目执行组织措施和保障措施内容</w:t>
            </w:r>
            <w:r>
              <w:rPr>
                <w:rFonts w:hint="eastAsia" w:cs="Times New Roman"/>
                <w:color w:val="auto"/>
                <w:highlight w:val="none"/>
                <w:lang w:val="en-US" w:eastAsia="zh-CN"/>
              </w:rPr>
              <w:t>群面细致</w:t>
            </w:r>
            <w:r>
              <w:rPr>
                <w:rFonts w:hint="eastAsia" w:ascii="宋体" w:hAnsi="宋体" w:eastAsia="宋体" w:cs="Times New Roman"/>
                <w:color w:val="auto"/>
                <w:highlight w:val="none"/>
                <w:lang w:val="en-US" w:eastAsia="zh-CN"/>
              </w:rPr>
              <w:t>、切实可行，针对服务工作提出详细的故障排除和应急方案，实施安全保证体系健全、安全事故控制得力、应急预案科学合理，实施安全保证体系健全</w:t>
            </w:r>
            <w:r>
              <w:rPr>
                <w:rFonts w:hint="eastAsia" w:cs="Times New Roman"/>
                <w:color w:val="auto"/>
                <w:highlight w:val="none"/>
                <w:lang w:val="en-US" w:eastAsia="zh-CN"/>
              </w:rPr>
              <w:t>，</w:t>
            </w:r>
            <w:r>
              <w:rPr>
                <w:rFonts w:hint="eastAsia"/>
                <w:color w:val="auto"/>
                <w:highlight w:val="none"/>
                <w:lang w:val="en-US" w:eastAsia="zh-CN"/>
              </w:rPr>
              <w:t>且能在2小时内安排人员、设备</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hint="eastAsia" w:ascii="宋体" w:hAnsi="宋体"/>
                <w:b/>
                <w:color w:val="auto"/>
                <w:sz w:val="21"/>
                <w:szCs w:val="21"/>
                <w:highlight w:val="none"/>
              </w:rPr>
            </w:pPr>
          </w:p>
        </w:tc>
        <w:tc>
          <w:tcPr>
            <w:tcW w:w="907" w:type="dxa"/>
            <w:vMerge w:val="continue"/>
            <w:noWrap w:val="0"/>
            <w:vAlign w:val="center"/>
          </w:tcPr>
          <w:p>
            <w:pPr>
              <w:keepNext w:val="0"/>
              <w:keepLines w:val="0"/>
              <w:pageBreakBefore w:val="0"/>
              <w:kinsoku/>
              <w:wordWrap/>
              <w:overflowPunct/>
              <w:topLinePunct w:val="0"/>
              <w:autoSpaceDE/>
              <w:autoSpaceDN/>
              <w:bidi w:val="0"/>
              <w:adjustRightInd w:val="0"/>
              <w:snapToGrid/>
              <w:spacing w:line="312" w:lineRule="auto"/>
              <w:ind w:left="-105" w:leftChars="-50" w:right="-105" w:rightChars="-50"/>
              <w:jc w:val="center"/>
              <w:textAlignment w:val="baseline"/>
              <w:rPr>
                <w:rFonts w:hint="eastAsia" w:ascii="宋体" w:hAnsi="宋体"/>
                <w:bCs/>
                <w:color w:val="auto"/>
                <w:sz w:val="21"/>
                <w:szCs w:val="21"/>
                <w:highlight w:val="none"/>
              </w:rPr>
            </w:pPr>
          </w:p>
        </w:tc>
        <w:tc>
          <w:tcPr>
            <w:tcW w:w="1124" w:type="dxa"/>
            <w:noWrap w:val="0"/>
            <w:vAlign w:val="center"/>
          </w:tcPr>
          <w:p>
            <w:pPr>
              <w:pStyle w:val="15"/>
              <w:keepNext w:val="0"/>
              <w:keepLines w:val="0"/>
              <w:pageBreakBefore w:val="0"/>
              <w:kinsoku/>
              <w:wordWrap/>
              <w:overflowPunct/>
              <w:topLinePunct w:val="0"/>
              <w:autoSpaceDE/>
              <w:autoSpaceDN/>
              <w:bidi w:val="0"/>
              <w:snapToGrid/>
              <w:spacing w:line="312" w:lineRule="auto"/>
              <w:rPr>
                <w:rFonts w:hint="eastAsia" w:hAnsi="宋体" w:cs="宋体"/>
                <w:bCs/>
                <w:color w:val="auto"/>
                <w:sz w:val="21"/>
                <w:szCs w:val="21"/>
                <w:highlight w:val="none"/>
              </w:rPr>
            </w:pPr>
            <w:r>
              <w:rPr>
                <w:rFonts w:hint="eastAsia" w:hAnsi="宋体"/>
                <w:b w:val="0"/>
                <w:bCs/>
                <w:color w:val="auto"/>
                <w:sz w:val="21"/>
                <w:szCs w:val="21"/>
                <w:highlight w:val="none"/>
                <w:lang w:val="en-US" w:eastAsia="zh-CN"/>
              </w:rPr>
              <w:t>拟投入本项目的人员</w:t>
            </w:r>
            <w:r>
              <w:rPr>
                <w:rFonts w:hint="eastAsia" w:hAnsi="宋体"/>
                <w:b w:val="0"/>
                <w:bCs/>
                <w:color w:val="auto"/>
                <w:sz w:val="21"/>
                <w:szCs w:val="21"/>
                <w:highlight w:val="none"/>
              </w:rPr>
              <w:t>分（满分</w:t>
            </w:r>
            <w:r>
              <w:rPr>
                <w:rFonts w:hint="eastAsia" w:hAnsi="宋体"/>
                <w:b w:val="0"/>
                <w:bCs/>
                <w:color w:val="auto"/>
                <w:sz w:val="21"/>
                <w:szCs w:val="21"/>
                <w:highlight w:val="none"/>
                <w:lang w:val="en-US" w:eastAsia="zh-CN"/>
              </w:rPr>
              <w:t>10</w:t>
            </w:r>
            <w:r>
              <w:rPr>
                <w:rFonts w:hint="eastAsia" w:hAnsi="宋体"/>
                <w:b w:val="0"/>
                <w:bCs/>
                <w:color w:val="auto"/>
                <w:sz w:val="21"/>
                <w:szCs w:val="21"/>
                <w:highlight w:val="none"/>
              </w:rPr>
              <w:t>分）</w:t>
            </w:r>
          </w:p>
        </w:tc>
        <w:tc>
          <w:tcPr>
            <w:tcW w:w="7078" w:type="dxa"/>
            <w:noWrap w:val="0"/>
            <w:vAlign w:val="center"/>
          </w:tcPr>
          <w:p>
            <w:pPr>
              <w:pStyle w:val="15"/>
              <w:keepNext w:val="0"/>
              <w:keepLines w:val="0"/>
              <w:pageBreakBefore w:val="0"/>
              <w:kinsoku/>
              <w:wordWrap/>
              <w:overflowPunct/>
              <w:topLinePunct w:val="0"/>
              <w:autoSpaceDE/>
              <w:autoSpaceDN/>
              <w:bidi w:val="0"/>
              <w:snapToGrid/>
              <w:spacing w:line="312"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管理人员分（满分2分）</w:t>
            </w:r>
          </w:p>
          <w:p>
            <w:pPr>
              <w:pStyle w:val="15"/>
              <w:keepNext w:val="0"/>
              <w:keepLines w:val="0"/>
              <w:pageBreakBefore w:val="0"/>
              <w:kinsoku/>
              <w:wordWrap/>
              <w:overflowPunct/>
              <w:topLinePunct w:val="0"/>
              <w:autoSpaceDE/>
              <w:autoSpaceDN/>
              <w:bidi w:val="0"/>
              <w:snapToGrid/>
              <w:spacing w:line="312"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投标人拟派驻本项目的管理人员中同时持有全国物业管理企业经理上岗证和初级职称证书的得</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分（需提供相应的证书复印件，并加盖单位公章）。</w:t>
            </w:r>
          </w:p>
          <w:p>
            <w:pPr>
              <w:spacing w:line="360" w:lineRule="atLeast"/>
              <w:ind w:firstLine="403" w:firstLineChars="192"/>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其他人员分（满分8分）</w:t>
            </w:r>
          </w:p>
          <w:p>
            <w:pPr>
              <w:spacing w:line="360" w:lineRule="atLeast"/>
              <w:ind w:firstLine="403" w:firstLineChars="192"/>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一档（</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分）：拟投入本项目的人员未满足招标文件要求，不能提供基本的人员调配服务流程</w:t>
            </w:r>
            <w:r>
              <w:rPr>
                <w:rFonts w:hint="eastAsia" w:ascii="Times New Roman" w:hAnsi="Times New Roman" w:cs="Times New Roman"/>
                <w:color w:val="auto"/>
                <w:highlight w:val="none"/>
                <w:lang w:eastAsia="zh-CN"/>
              </w:rPr>
              <w:t>。</w:t>
            </w:r>
          </w:p>
          <w:p>
            <w:pPr>
              <w:spacing w:line="360" w:lineRule="atLeast"/>
              <w:ind w:firstLine="403" w:firstLineChars="192"/>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二档(</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分)：拟投入本项目的人员满足招标文件要求，技术人员经验</w:t>
            </w:r>
            <w:r>
              <w:rPr>
                <w:rFonts w:hint="eastAsia" w:cs="Times New Roman"/>
                <w:color w:val="auto"/>
                <w:highlight w:val="none"/>
                <w:lang w:val="en-US" w:eastAsia="zh-CN"/>
              </w:rPr>
              <w:t>较少</w:t>
            </w:r>
            <w:r>
              <w:rPr>
                <w:rFonts w:hint="eastAsia" w:ascii="Times New Roman" w:hAnsi="Times New Roman" w:cs="Times New Roman"/>
                <w:color w:val="auto"/>
                <w:highlight w:val="none"/>
              </w:rPr>
              <w:t>，</w:t>
            </w:r>
            <w:r>
              <w:rPr>
                <w:rFonts w:hint="eastAsia" w:cs="Times New Roman"/>
                <w:color w:val="auto"/>
                <w:highlight w:val="none"/>
                <w:lang w:val="en-US" w:eastAsia="zh-CN"/>
              </w:rPr>
              <w:t>但</w:t>
            </w:r>
            <w:r>
              <w:rPr>
                <w:rFonts w:hint="eastAsia" w:ascii="Times New Roman" w:hAnsi="Times New Roman" w:cs="Times New Roman"/>
                <w:color w:val="auto"/>
                <w:highlight w:val="none"/>
              </w:rPr>
              <w:t>能提供人员调配服务流程</w:t>
            </w:r>
            <w:r>
              <w:rPr>
                <w:rFonts w:hint="eastAsia" w:ascii="Times New Roman" w:hAnsi="Times New Roman" w:cs="Times New Roman"/>
                <w:color w:val="auto"/>
                <w:highlight w:val="none"/>
                <w:lang w:eastAsia="zh-CN"/>
              </w:rPr>
              <w:t>。</w:t>
            </w:r>
          </w:p>
          <w:p>
            <w:pPr>
              <w:spacing w:line="360" w:lineRule="atLeast"/>
              <w:ind w:firstLine="403" w:firstLineChars="192"/>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三档(</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分)：拟投入本项目的人员满足招标文件要求，技术人员经验</w:t>
            </w:r>
            <w:r>
              <w:rPr>
                <w:rFonts w:hint="eastAsia" w:cs="Times New Roman"/>
                <w:color w:val="auto"/>
                <w:highlight w:val="none"/>
                <w:lang w:val="en-US" w:eastAsia="zh-CN"/>
              </w:rPr>
              <w:t>较</w:t>
            </w:r>
            <w:r>
              <w:rPr>
                <w:rFonts w:hint="eastAsia" w:ascii="Times New Roman" w:hAnsi="Times New Roman" w:cs="Times New Roman"/>
                <w:color w:val="auto"/>
                <w:highlight w:val="none"/>
              </w:rPr>
              <w:t>丰富，能提供详细的人员调配服务流程，流程合理</w:t>
            </w:r>
            <w:r>
              <w:rPr>
                <w:rFonts w:hint="eastAsia" w:ascii="Times New Roman" w:hAnsi="Times New Roman" w:cs="Times New Roman"/>
                <w:color w:val="auto"/>
                <w:highlight w:val="none"/>
                <w:lang w:eastAsia="zh-CN"/>
              </w:rPr>
              <w:t>。</w:t>
            </w:r>
          </w:p>
          <w:p>
            <w:pPr>
              <w:spacing w:line="360" w:lineRule="atLeast"/>
              <w:ind w:firstLine="403" w:firstLineChars="192"/>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四档(</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分)：拟投入本项目的人员</w:t>
            </w:r>
            <w:r>
              <w:rPr>
                <w:rFonts w:hint="eastAsia" w:ascii="Times New Roman" w:hAnsi="Times New Roman" w:cs="Times New Roman"/>
                <w:color w:val="auto"/>
                <w:highlight w:val="none"/>
                <w:lang w:val="en-US" w:eastAsia="zh-CN"/>
              </w:rPr>
              <w:t>满足</w:t>
            </w:r>
            <w:r>
              <w:rPr>
                <w:rFonts w:hint="eastAsia" w:ascii="Times New Roman" w:hAnsi="Times New Roman" w:cs="Times New Roman"/>
                <w:color w:val="auto"/>
                <w:highlight w:val="none"/>
              </w:rPr>
              <w:t>招标文件要求</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技术人员经验丰富、</w:t>
            </w:r>
            <w:r>
              <w:rPr>
                <w:rFonts w:hint="eastAsia" w:cs="Times New Roman"/>
                <w:color w:val="auto"/>
                <w:highlight w:val="none"/>
                <w:lang w:val="en-US" w:eastAsia="zh-CN"/>
              </w:rPr>
              <w:t>人员</w:t>
            </w:r>
            <w:r>
              <w:rPr>
                <w:rFonts w:hint="eastAsia" w:ascii="Times New Roman" w:hAnsi="Times New Roman" w:cs="Times New Roman"/>
                <w:color w:val="auto"/>
                <w:highlight w:val="none"/>
              </w:rPr>
              <w:t>储备充沛，能提供详细的人员调配服务流程，人员配合紧密</w:t>
            </w:r>
            <w:r>
              <w:rPr>
                <w:rFonts w:hint="eastAsia" w:cs="Times New Roman"/>
                <w:color w:val="auto"/>
                <w:highlight w:val="none"/>
                <w:lang w:eastAsia="zh-CN"/>
              </w:rPr>
              <w:t>，</w:t>
            </w:r>
            <w:r>
              <w:rPr>
                <w:rFonts w:hint="eastAsia" w:cs="Times New Roman"/>
                <w:color w:val="auto"/>
                <w:highlight w:val="none"/>
                <w:lang w:val="en-US" w:eastAsia="zh-CN"/>
              </w:rPr>
              <w:t>人员整体综合素质较高。</w:t>
            </w:r>
          </w:p>
          <w:p>
            <w:pPr>
              <w:spacing w:line="360" w:lineRule="atLeast"/>
              <w:ind w:firstLine="403" w:firstLineChars="192"/>
              <w:rPr>
                <w:rFonts w:hint="eastAsia"/>
                <w:highlight w:val="none"/>
              </w:rPr>
            </w:pPr>
            <w:r>
              <w:rPr>
                <w:rFonts w:hint="eastAsia" w:ascii="Times New Roman" w:hAnsi="Times New Roman" w:cs="Times New Roman"/>
                <w:color w:val="auto"/>
                <w:highlight w:val="none"/>
                <w:lang w:val="en-US" w:eastAsia="zh-CN"/>
              </w:rPr>
              <w:t>注：以上符合加分项的人员需要提供相关证件材料及投标人为其缴纳的投标截止之日前半年内的投标人任意三个月社保缴纳证明原件扫描件并且加盖投标人公章，否则不予计分。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noWrap w:val="0"/>
            <w:vAlign w:val="center"/>
          </w:tcPr>
          <w:p>
            <w:pPr>
              <w:keepNext w:val="0"/>
              <w:keepLines w:val="0"/>
              <w:pageBreakBefore w:val="0"/>
              <w:kinsoku/>
              <w:wordWrap/>
              <w:overflowPunct/>
              <w:topLinePunct w:val="0"/>
              <w:autoSpaceDE/>
              <w:autoSpaceDN/>
              <w:bidi w:val="0"/>
              <w:adjustRightInd w:val="0"/>
              <w:snapToGrid/>
              <w:spacing w:line="312" w:lineRule="auto"/>
              <w:jc w:val="both"/>
              <w:textAlignment w:val="baseline"/>
              <w:rPr>
                <w:rFonts w:ascii="宋体" w:hAnsi="宋体"/>
                <w:b/>
                <w:color w:val="auto"/>
                <w:sz w:val="21"/>
                <w:szCs w:val="21"/>
                <w:highlight w:val="none"/>
              </w:rPr>
            </w:pPr>
            <w:r>
              <w:rPr>
                <w:rFonts w:hint="eastAsia" w:ascii="宋体" w:hAnsi="宋体"/>
                <w:b/>
                <w:color w:val="auto"/>
                <w:sz w:val="21"/>
                <w:szCs w:val="21"/>
                <w:highlight w:val="none"/>
              </w:rPr>
              <w:t>3</w:t>
            </w:r>
          </w:p>
        </w:tc>
        <w:tc>
          <w:tcPr>
            <w:tcW w:w="907" w:type="dxa"/>
            <w:noWrap w:val="0"/>
            <w:vAlign w:val="center"/>
          </w:tcPr>
          <w:p>
            <w:pPr>
              <w:keepNext w:val="0"/>
              <w:keepLines w:val="0"/>
              <w:pageBreakBefore w:val="0"/>
              <w:kinsoku/>
              <w:wordWrap/>
              <w:overflowPunct/>
              <w:topLinePunct w:val="0"/>
              <w:autoSpaceDE/>
              <w:autoSpaceDN/>
              <w:bidi w:val="0"/>
              <w:adjustRightInd w:val="0"/>
              <w:snapToGrid/>
              <w:spacing w:line="312" w:lineRule="auto"/>
              <w:jc w:val="center"/>
              <w:textAlignment w:val="baseline"/>
              <w:rPr>
                <w:rFonts w:ascii="宋体" w:hAnsi="宋体"/>
                <w:b/>
                <w:color w:val="auto"/>
                <w:sz w:val="21"/>
                <w:szCs w:val="21"/>
                <w:highlight w:val="none"/>
              </w:rPr>
            </w:pPr>
            <w:r>
              <w:rPr>
                <w:rFonts w:hint="eastAsia" w:ascii="宋体" w:hAnsi="宋体"/>
                <w:b/>
                <w:color w:val="auto"/>
                <w:sz w:val="21"/>
                <w:szCs w:val="21"/>
                <w:highlight w:val="none"/>
              </w:rPr>
              <w:t>商务分</w:t>
            </w:r>
          </w:p>
          <w:p>
            <w:pPr>
              <w:pStyle w:val="16"/>
              <w:keepNext w:val="0"/>
              <w:keepLines w:val="0"/>
              <w:pageBreakBefore w:val="0"/>
              <w:kinsoku/>
              <w:wordWrap/>
              <w:overflowPunct/>
              <w:topLinePunct w:val="0"/>
              <w:autoSpaceDE/>
              <w:autoSpaceDN/>
              <w:bidi w:val="0"/>
              <w:snapToGrid/>
              <w:spacing w:line="312" w:lineRule="auto"/>
              <w:rPr>
                <w:b/>
                <w:color w:val="auto"/>
                <w:sz w:val="21"/>
                <w:szCs w:val="21"/>
                <w:highlight w:val="none"/>
              </w:rPr>
            </w:pPr>
            <w:r>
              <w:rPr>
                <w:rFonts w:hint="eastAsia" w:ascii="宋体" w:hAnsi="宋体"/>
                <w:b/>
                <w:color w:val="auto"/>
                <w:sz w:val="21"/>
                <w:szCs w:val="21"/>
                <w:highlight w:val="none"/>
              </w:rPr>
              <w:t>（满分</w:t>
            </w: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分）</w:t>
            </w:r>
          </w:p>
        </w:tc>
        <w:tc>
          <w:tcPr>
            <w:tcW w:w="1124" w:type="dxa"/>
            <w:noWrap w:val="0"/>
            <w:tcMar>
              <w:left w:w="57" w:type="dxa"/>
              <w:right w:w="57" w:type="dxa"/>
            </w:tcMar>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信誉业绩分（满分</w:t>
            </w: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分）</w:t>
            </w:r>
          </w:p>
        </w:tc>
        <w:tc>
          <w:tcPr>
            <w:tcW w:w="7078" w:type="dxa"/>
            <w:noWrap w:val="0"/>
            <w:vAlign w:val="center"/>
          </w:tcPr>
          <w:p>
            <w:pPr>
              <w:pStyle w:val="15"/>
              <w:keepNext w:val="0"/>
              <w:keepLines w:val="0"/>
              <w:pageBreakBefore w:val="0"/>
              <w:kinsoku/>
              <w:wordWrap/>
              <w:overflowPunct/>
              <w:topLinePunct w:val="0"/>
              <w:autoSpaceDE/>
              <w:autoSpaceDN/>
              <w:bidi w:val="0"/>
              <w:snapToGrid/>
              <w:spacing w:line="312"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（1）投标人提供在有效期内的质量管理体系认证、环境管理体系认证、职业健康安全管理体系认证，</w:t>
            </w:r>
            <w:r>
              <w:rPr>
                <w:rFonts w:hint="eastAsia" w:hAnsi="宋体" w:cs="宋体"/>
                <w:bCs/>
                <w:color w:val="auto"/>
                <w:sz w:val="21"/>
                <w:szCs w:val="21"/>
                <w:highlight w:val="none"/>
                <w:lang w:val="en-US" w:eastAsia="zh-CN"/>
              </w:rPr>
              <w:t>且在有效期内的</w:t>
            </w:r>
            <w:r>
              <w:rPr>
                <w:rFonts w:hint="eastAsia" w:ascii="宋体" w:hAnsi="宋体" w:eastAsia="宋体" w:cs="宋体"/>
                <w:bCs/>
                <w:color w:val="auto"/>
                <w:sz w:val="21"/>
                <w:szCs w:val="21"/>
                <w:highlight w:val="none"/>
                <w:lang w:val="en-US" w:eastAsia="zh-CN"/>
              </w:rPr>
              <w:t>每有一个得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分，满分</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分（提供证明材料复印件，并加盖单位公章）。</w:t>
            </w:r>
          </w:p>
          <w:p>
            <w:pPr>
              <w:pStyle w:val="15"/>
              <w:keepNext w:val="0"/>
              <w:keepLines w:val="0"/>
              <w:pageBreakBefore w:val="0"/>
              <w:kinsoku/>
              <w:wordWrap/>
              <w:overflowPunct/>
              <w:topLinePunct w:val="0"/>
              <w:autoSpaceDE/>
              <w:autoSpaceDN/>
              <w:bidi w:val="0"/>
              <w:snapToGrid/>
              <w:spacing w:line="312" w:lineRule="auto"/>
              <w:ind w:firstLine="420" w:firstLineChars="200"/>
              <w:rPr>
                <w:rFonts w:hint="eastAsia" w:hAnsi="宋体" w:cs="宋体"/>
                <w:bCs/>
                <w:color w:val="auto"/>
                <w:sz w:val="21"/>
                <w:szCs w:val="21"/>
                <w:highlight w:val="none"/>
              </w:rPr>
            </w:pP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）自2020年1月1日以来投标人承接的同类项目业绩（同类项目业绩至少包含保洁、绿化、秩序维护</w:t>
            </w:r>
            <w:r>
              <w:rPr>
                <w:rFonts w:hint="eastAsia" w:hAnsi="宋体" w:cs="宋体"/>
                <w:bCs/>
                <w:color w:val="auto"/>
                <w:sz w:val="21"/>
                <w:szCs w:val="21"/>
                <w:highlight w:val="none"/>
                <w:lang w:val="en-US" w:eastAsia="zh-CN"/>
              </w:rPr>
              <w:t>等其中一项服务内容</w:t>
            </w:r>
            <w:r>
              <w:rPr>
                <w:rFonts w:hint="eastAsia"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每</w:t>
            </w:r>
            <w:r>
              <w:rPr>
                <w:rFonts w:hint="eastAsia" w:hAnsi="宋体" w:cs="宋体"/>
                <w:bCs/>
                <w:color w:val="auto"/>
                <w:sz w:val="21"/>
                <w:szCs w:val="21"/>
                <w:highlight w:val="none"/>
                <w:lang w:val="en-US" w:eastAsia="zh-CN"/>
              </w:rPr>
              <w:t>个</w:t>
            </w:r>
            <w:r>
              <w:rPr>
                <w:rFonts w:hint="eastAsia" w:ascii="宋体" w:hAnsi="宋体" w:eastAsia="宋体" w:cs="宋体"/>
                <w:bCs/>
                <w:color w:val="auto"/>
                <w:sz w:val="21"/>
                <w:szCs w:val="21"/>
                <w:highlight w:val="none"/>
                <w:lang w:val="en-US" w:eastAsia="zh-CN"/>
              </w:rPr>
              <w:t>得1分，满分</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分；（业绩以中标（成交）通知书或合同复印件为准，请提供</w:t>
            </w:r>
            <w:r>
              <w:rPr>
                <w:rFonts w:hint="eastAsia" w:hAnsi="宋体" w:cs="宋体"/>
                <w:bCs/>
                <w:color w:val="auto"/>
                <w:sz w:val="21"/>
                <w:szCs w:val="21"/>
                <w:highlight w:val="none"/>
                <w:lang w:val="en-US" w:eastAsia="zh-CN"/>
              </w:rPr>
              <w:t>项目</w:t>
            </w:r>
            <w:r>
              <w:rPr>
                <w:rFonts w:hint="eastAsia" w:ascii="宋体" w:hAnsi="宋体" w:eastAsia="宋体" w:cs="宋体"/>
                <w:bCs/>
                <w:color w:val="auto"/>
                <w:sz w:val="21"/>
                <w:szCs w:val="21"/>
                <w:highlight w:val="none"/>
                <w:lang w:val="en-US" w:eastAsia="zh-CN"/>
              </w:rPr>
              <w:t>名称、联系电话、联系人、服务内容等，并加盖单位公章，同一项目多次中标不重复计分）。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84" w:type="dxa"/>
            <w:gridSpan w:val="4"/>
            <w:noWrap w:val="0"/>
            <w:vAlign w:val="center"/>
          </w:tcPr>
          <w:p>
            <w:pPr>
              <w:pStyle w:val="15"/>
              <w:spacing w:line="360" w:lineRule="auto"/>
              <w:ind w:firstLine="420"/>
              <w:rPr>
                <w:rFonts w:hAnsi="宋体" w:cs="Courier New"/>
                <w:bCs/>
                <w:color w:val="auto"/>
                <w:sz w:val="21"/>
                <w:szCs w:val="21"/>
                <w:highlight w:val="none"/>
              </w:rPr>
            </w:pPr>
            <w:r>
              <w:rPr>
                <w:rFonts w:hint="eastAsia" w:hAnsi="宋体" w:cs="Courier New"/>
                <w:b/>
                <w:bCs/>
                <w:color w:val="auto"/>
                <w:sz w:val="21"/>
                <w:szCs w:val="21"/>
                <w:highlight w:val="none"/>
              </w:rPr>
              <w:t>总得分=1+2+3。</w:t>
            </w:r>
          </w:p>
        </w:tc>
      </w:tr>
    </w:tbl>
    <w:p>
      <w:pPr>
        <w:pStyle w:val="15"/>
        <w:keepLines/>
        <w:spacing w:line="360" w:lineRule="auto"/>
        <w:ind w:firstLine="420"/>
        <w:rPr>
          <w:rFonts w:hint="eastAsia" w:hAnsi="宋体"/>
          <w:bCs/>
          <w:color w:val="auto"/>
          <w:highlight w:val="none"/>
        </w:rPr>
      </w:pPr>
      <w:r>
        <w:rPr>
          <w:rFonts w:hint="eastAsia" w:hAnsi="宋体"/>
          <w:bCs/>
          <w:color w:val="auto"/>
          <w:highlight w:val="none"/>
        </w:rPr>
        <w:t>注：1.计分方法按四舍五入取至百分位；</w:t>
      </w:r>
    </w:p>
    <w:p>
      <w:pPr>
        <w:pStyle w:val="15"/>
        <w:keepLines/>
        <w:spacing w:line="360" w:lineRule="auto"/>
        <w:ind w:firstLine="420"/>
        <w:rPr>
          <w:rFonts w:hint="eastAsia"/>
          <w:b/>
          <w:color w:val="auto"/>
          <w:sz w:val="30"/>
          <w:szCs w:val="30"/>
          <w:highlight w:val="none"/>
        </w:rPr>
      </w:pPr>
      <w:r>
        <w:rPr>
          <w:rFonts w:hint="eastAsia" w:hAnsi="宋体"/>
          <w:bCs/>
          <w:color w:val="auto"/>
          <w:highlight w:val="none"/>
        </w:rPr>
        <w:t xml:space="preserve">    2.因落实政府采购政策进行价格调整的，以调整后的价格计算评标基准价和投标报价。</w:t>
      </w:r>
    </w:p>
    <w:p>
      <w:pPr>
        <w:pStyle w:val="7"/>
        <w:ind w:left="0" w:leftChars="0" w:firstLine="0" w:firstLineChars="0"/>
        <w:rPr>
          <w:rFonts w:hint="eastAsia"/>
          <w:highlight w:val="none"/>
        </w:rPr>
      </w:pPr>
      <w:bookmarkStart w:id="87" w:name="_Toc7946"/>
      <w:bookmarkStart w:id="88" w:name="_Toc3119"/>
    </w:p>
    <w:p>
      <w:pPr>
        <w:pStyle w:val="6"/>
        <w:jc w:val="center"/>
        <w:rPr>
          <w:color w:val="auto"/>
          <w:sz w:val="30"/>
          <w:szCs w:val="30"/>
          <w:highlight w:val="none"/>
        </w:rPr>
      </w:pPr>
      <w:r>
        <w:rPr>
          <w:rFonts w:hint="eastAsia"/>
          <w:color w:val="auto"/>
          <w:sz w:val="30"/>
          <w:szCs w:val="30"/>
          <w:highlight w:val="none"/>
        </w:rPr>
        <w:t>四、中标候选人推荐原则</w:t>
      </w:r>
      <w:bookmarkEnd w:id="87"/>
      <w:bookmarkEnd w:id="88"/>
    </w:p>
    <w:p>
      <w:pPr>
        <w:pStyle w:val="15"/>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5"/>
        <w:spacing w:line="360" w:lineRule="auto"/>
        <w:ind w:firstLine="420" w:firstLineChars="200"/>
        <w:contextualSpacing/>
        <w:rPr>
          <w:rFonts w:hint="eastAsia" w:hAnsi="宋体"/>
          <w:color w:val="auto"/>
          <w:highlight w:val="none"/>
        </w:rPr>
      </w:pPr>
      <w:r>
        <w:rPr>
          <w:rFonts w:hint="eastAsia" w:hAnsi="宋体"/>
          <w:color w:val="auto"/>
          <w:highlight w:val="none"/>
        </w:rPr>
        <w:t>评标委员会将根据总得分由高到低排列次序并推荐中标候选人。</w:t>
      </w:r>
      <w:r>
        <w:rPr>
          <w:rFonts w:hAnsi="宋体"/>
          <w:color w:val="auto"/>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pStyle w:val="15"/>
        <w:tabs>
          <w:tab w:val="left" w:pos="2472"/>
        </w:tabs>
        <w:spacing w:line="460" w:lineRule="exact"/>
        <w:jc w:val="both"/>
        <w:outlineLvl w:val="0"/>
        <w:rPr>
          <w:rFonts w:hint="eastAsia" w:ascii="Times New Roman" w:hAnsi="Times New Roman"/>
          <w:b/>
          <w:color w:val="auto"/>
          <w:sz w:val="36"/>
          <w:highlight w:val="none"/>
        </w:rPr>
      </w:pPr>
    </w:p>
    <w:p>
      <w:pPr>
        <w:pStyle w:val="15"/>
        <w:tabs>
          <w:tab w:val="left" w:pos="2472"/>
        </w:tabs>
        <w:spacing w:line="460" w:lineRule="exact"/>
        <w:jc w:val="center"/>
        <w:outlineLvl w:val="0"/>
        <w:rPr>
          <w:rFonts w:hint="eastAsia" w:ascii="Times New Roman" w:hAnsi="Times New Roman"/>
          <w:b/>
          <w:color w:val="auto"/>
          <w:sz w:val="36"/>
          <w:highlight w:val="none"/>
        </w:rPr>
      </w:pPr>
    </w:p>
    <w:p>
      <w:pPr>
        <w:pStyle w:val="15"/>
        <w:tabs>
          <w:tab w:val="left" w:pos="2472"/>
        </w:tabs>
        <w:spacing w:line="460" w:lineRule="exact"/>
        <w:jc w:val="center"/>
        <w:outlineLvl w:val="0"/>
        <w:rPr>
          <w:rFonts w:hint="eastAsia" w:ascii="Times New Roman" w:hAnsi="Times New Roman"/>
          <w:b/>
          <w:color w:val="auto"/>
          <w:sz w:val="36"/>
          <w:highlight w:val="none"/>
        </w:rPr>
      </w:pPr>
    </w:p>
    <w:p>
      <w:pPr>
        <w:rPr>
          <w:rFonts w:hint="eastAsia" w:ascii="Times New Roman" w:hAnsi="Times New Roman"/>
          <w:b/>
          <w:color w:val="auto"/>
          <w:sz w:val="36"/>
          <w:highlight w:val="none"/>
        </w:rPr>
      </w:pPr>
    </w:p>
    <w:p>
      <w:pPr>
        <w:pStyle w:val="7"/>
        <w:rPr>
          <w:rFonts w:hint="eastAsia"/>
          <w:highlight w:val="none"/>
        </w:rPr>
      </w:pPr>
    </w:p>
    <w:p>
      <w:pPr>
        <w:pStyle w:val="15"/>
        <w:numPr>
          <w:ilvl w:val="0"/>
          <w:numId w:val="4"/>
        </w:numPr>
        <w:tabs>
          <w:tab w:val="left" w:pos="2472"/>
        </w:tabs>
        <w:spacing w:line="460" w:lineRule="exact"/>
        <w:jc w:val="center"/>
        <w:outlineLvl w:val="0"/>
        <w:rPr>
          <w:rFonts w:hint="eastAsia" w:ascii="Times New Roman" w:hAnsi="Times New Roman"/>
          <w:b/>
          <w:color w:val="auto"/>
          <w:sz w:val="36"/>
          <w:highlight w:val="none"/>
        </w:rPr>
      </w:pPr>
      <w:bookmarkStart w:id="89" w:name="_Toc30204"/>
      <w:r>
        <w:rPr>
          <w:rFonts w:hint="eastAsia" w:ascii="Times New Roman" w:hAnsi="Times New Roman" w:eastAsia="宋体" w:cs="Times New Roman"/>
          <w:b/>
          <w:color w:val="auto"/>
          <w:kern w:val="2"/>
          <w:sz w:val="36"/>
          <w:szCs w:val="24"/>
          <w:highlight w:val="none"/>
          <w:lang w:val="en-US" w:eastAsia="zh-CN" w:bidi="ar-SA"/>
        </w:rPr>
        <w:t>拟签订的合同文本</w:t>
      </w:r>
      <w:bookmarkEnd w:id="89"/>
    </w:p>
    <w:p>
      <w:pPr>
        <w:pStyle w:val="8"/>
        <w:ind w:left="0" w:firstLine="560" w:firstLineChars="200"/>
        <w:rPr>
          <w:color w:val="auto"/>
          <w:highlight w:val="none"/>
        </w:rPr>
      </w:pPr>
    </w:p>
    <w:p>
      <w:pPr>
        <w:spacing w:before="185" w:line="180" w:lineRule="auto"/>
        <w:ind w:left="3317"/>
        <w:rPr>
          <w:rFonts w:hint="eastAsia" w:ascii="宋体" w:hAnsi="宋体" w:eastAsia="宋体" w:cs="宋体"/>
          <w:b/>
          <w:bCs/>
          <w:color w:val="auto"/>
          <w:sz w:val="43"/>
          <w:szCs w:val="43"/>
          <w:highlight w:val="none"/>
        </w:rPr>
      </w:pPr>
      <w:r>
        <w:rPr>
          <w:rFonts w:hint="eastAsia" w:ascii="宋体" w:hAnsi="宋体" w:eastAsia="宋体" w:cs="宋体"/>
          <w:b/>
          <w:bCs/>
          <w:color w:val="auto"/>
          <w:spacing w:val="4"/>
          <w:sz w:val="43"/>
          <w:szCs w:val="43"/>
          <w:highlight w:val="none"/>
        </w:rPr>
        <w:t>物业服务合同</w:t>
      </w:r>
    </w:p>
    <w:p>
      <w:pPr>
        <w:pStyle w:val="3"/>
        <w:spacing w:line="302" w:lineRule="auto"/>
        <w:rPr>
          <w:rFonts w:hint="eastAsia" w:ascii="宋体" w:hAnsi="宋体" w:eastAsia="宋体" w:cs="宋体"/>
          <w:color w:val="auto"/>
          <w:highlight w:val="none"/>
        </w:rPr>
      </w:pPr>
    </w:p>
    <w:p>
      <w:pPr>
        <w:pStyle w:val="3"/>
        <w:spacing w:line="302" w:lineRule="auto"/>
        <w:rPr>
          <w:rFonts w:hint="eastAsia" w:ascii="宋体" w:hAnsi="宋体" w:eastAsia="宋体" w:cs="宋体"/>
          <w:color w:val="auto"/>
          <w:highlight w:val="none"/>
        </w:rPr>
      </w:pPr>
    </w:p>
    <w:p>
      <w:pPr>
        <w:spacing w:before="101" w:line="225" w:lineRule="auto"/>
        <w:ind w:left="668"/>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rPr>
        <w:t>合同编号：</w:t>
      </w: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7" w:lineRule="auto"/>
        <w:rPr>
          <w:rFonts w:hint="eastAsia" w:ascii="宋体" w:hAnsi="宋体" w:eastAsia="宋体" w:cs="宋体"/>
          <w:color w:val="auto"/>
          <w:highlight w:val="none"/>
        </w:rPr>
      </w:pPr>
    </w:p>
    <w:p>
      <w:pPr>
        <w:pStyle w:val="3"/>
        <w:spacing w:line="248" w:lineRule="auto"/>
        <w:rPr>
          <w:rFonts w:hint="eastAsia" w:ascii="宋体" w:hAnsi="宋体" w:eastAsia="宋体" w:cs="宋体"/>
          <w:color w:val="auto"/>
          <w:highlight w:val="none"/>
        </w:rPr>
      </w:pPr>
    </w:p>
    <w:p>
      <w:pPr>
        <w:pStyle w:val="3"/>
        <w:spacing w:line="248" w:lineRule="auto"/>
        <w:rPr>
          <w:rFonts w:hint="eastAsia" w:ascii="宋体" w:hAnsi="宋体" w:eastAsia="宋体" w:cs="宋体"/>
          <w:color w:val="auto"/>
          <w:highlight w:val="none"/>
        </w:rPr>
      </w:pPr>
    </w:p>
    <w:p>
      <w:pPr>
        <w:pStyle w:val="3"/>
        <w:spacing w:line="248" w:lineRule="auto"/>
        <w:rPr>
          <w:rFonts w:hint="eastAsia" w:ascii="宋体" w:hAnsi="宋体" w:eastAsia="宋体" w:cs="宋体"/>
          <w:color w:val="auto"/>
          <w:highlight w:val="none"/>
        </w:rPr>
      </w:pPr>
    </w:p>
    <w:p>
      <w:pPr>
        <w:pStyle w:val="3"/>
        <w:spacing w:line="248" w:lineRule="auto"/>
        <w:rPr>
          <w:rFonts w:hint="eastAsia" w:ascii="宋体" w:hAnsi="宋体" w:eastAsia="宋体" w:cs="宋体"/>
          <w:color w:val="auto"/>
          <w:highlight w:val="none"/>
        </w:rPr>
      </w:pPr>
    </w:p>
    <w:p>
      <w:pPr>
        <w:spacing w:before="101" w:line="225" w:lineRule="auto"/>
        <w:ind w:left="666"/>
        <w:outlineLvl w:val="1"/>
        <w:rPr>
          <w:rFonts w:hint="eastAsia" w:ascii="宋体" w:hAnsi="宋体" w:eastAsia="宋体" w:cs="宋体"/>
          <w:color w:val="auto"/>
          <w:sz w:val="31"/>
          <w:szCs w:val="31"/>
          <w:highlight w:val="none"/>
          <w:lang w:eastAsia="zh-CN"/>
        </w:rPr>
      </w:pPr>
      <w:bookmarkStart w:id="90" w:name="_Toc29608"/>
      <w:bookmarkStart w:id="91" w:name="_Toc873"/>
      <w:bookmarkStart w:id="92" w:name="_Toc5107"/>
      <w:r>
        <w:rPr>
          <w:rFonts w:hint="eastAsia" w:ascii="宋体" w:hAnsi="宋体" w:eastAsia="宋体" w:cs="宋体"/>
          <w:color w:val="auto"/>
          <w:spacing w:val="9"/>
          <w:sz w:val="31"/>
          <w:szCs w:val="31"/>
          <w:highlight w:val="none"/>
        </w:rPr>
        <w:t>采购单位（甲方</w:t>
      </w:r>
      <w:r>
        <w:rPr>
          <w:rFonts w:hint="eastAsia" w:ascii="宋体" w:hAnsi="宋体" w:eastAsia="宋体" w:cs="宋体"/>
          <w:color w:val="auto"/>
          <w:spacing w:val="23"/>
          <w:sz w:val="31"/>
          <w:szCs w:val="31"/>
          <w:highlight w:val="none"/>
        </w:rPr>
        <w:t>）：</w:t>
      </w:r>
      <w:bookmarkEnd w:id="90"/>
      <w:bookmarkEnd w:id="91"/>
      <w:bookmarkEnd w:id="92"/>
      <w:r>
        <w:rPr>
          <w:rFonts w:hint="eastAsia" w:ascii="宋体" w:hAnsi="宋体" w:cs="宋体"/>
          <w:color w:val="auto"/>
          <w:spacing w:val="9"/>
          <w:sz w:val="31"/>
          <w:szCs w:val="31"/>
          <w:highlight w:val="none"/>
          <w:u w:val="single" w:color="000000"/>
          <w:lang w:eastAsia="zh-CN"/>
        </w:rPr>
        <w:t>崇左市第二人民医院</w:t>
      </w:r>
    </w:p>
    <w:p>
      <w:pPr>
        <w:spacing w:before="247" w:line="225" w:lineRule="auto"/>
        <w:ind w:left="667"/>
        <w:rPr>
          <w:rFonts w:hint="eastAsia"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rPr>
        <w:t>服务企业（乙方</w:t>
      </w:r>
      <w:r>
        <w:rPr>
          <w:rFonts w:hint="eastAsia" w:ascii="宋体" w:hAnsi="宋体" w:eastAsia="宋体" w:cs="宋体"/>
          <w:color w:val="auto"/>
          <w:spacing w:val="11"/>
          <w:sz w:val="31"/>
          <w:szCs w:val="31"/>
          <w:highlight w:val="none"/>
        </w:rPr>
        <w:t>）：</w:t>
      </w:r>
      <w:r>
        <w:rPr>
          <w:rFonts w:hint="eastAsia" w:ascii="宋体" w:hAnsi="宋体" w:eastAsia="宋体" w:cs="宋体"/>
          <w:color w:val="auto"/>
          <w:sz w:val="31"/>
          <w:szCs w:val="31"/>
          <w:highlight w:val="none"/>
          <w:u w:val="single" w:color="auto"/>
        </w:rPr>
        <w:t xml:space="preserve">                       </w:t>
      </w:r>
    </w:p>
    <w:p>
      <w:pPr>
        <w:pStyle w:val="3"/>
        <w:spacing w:line="252" w:lineRule="auto"/>
        <w:rPr>
          <w:rFonts w:hint="eastAsia" w:ascii="宋体" w:hAnsi="宋体" w:eastAsia="宋体" w:cs="宋体"/>
          <w:color w:val="auto"/>
          <w:highlight w:val="none"/>
        </w:rPr>
      </w:pPr>
    </w:p>
    <w:p>
      <w:pPr>
        <w:pStyle w:val="3"/>
        <w:spacing w:line="253" w:lineRule="auto"/>
        <w:rPr>
          <w:rFonts w:hint="eastAsia" w:ascii="宋体" w:hAnsi="宋体" w:eastAsia="宋体" w:cs="宋体"/>
          <w:color w:val="auto"/>
          <w:highlight w:val="none"/>
        </w:rPr>
      </w:pPr>
    </w:p>
    <w:p>
      <w:pPr>
        <w:pStyle w:val="3"/>
        <w:spacing w:line="253" w:lineRule="auto"/>
        <w:rPr>
          <w:rFonts w:hint="eastAsia" w:ascii="宋体" w:hAnsi="宋体" w:eastAsia="宋体" w:cs="宋体"/>
          <w:color w:val="auto"/>
          <w:highlight w:val="none"/>
        </w:rPr>
      </w:pPr>
    </w:p>
    <w:p>
      <w:pPr>
        <w:spacing w:before="101" w:line="228" w:lineRule="auto"/>
        <w:ind w:left="667"/>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rPr>
        <w:t>签订合同地点：</w:t>
      </w:r>
    </w:p>
    <w:p>
      <w:pPr>
        <w:spacing w:before="240" w:line="225" w:lineRule="auto"/>
        <w:ind w:left="667"/>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rPr>
        <w:t>签订合同时间：</w:t>
      </w:r>
      <w:r>
        <w:rPr>
          <w:rFonts w:hint="eastAsia" w:ascii="宋体" w:hAnsi="宋体" w:cs="宋体"/>
          <w:color w:val="auto"/>
          <w:spacing w:val="7"/>
          <w:sz w:val="31"/>
          <w:szCs w:val="31"/>
          <w:highlight w:val="none"/>
          <w:lang w:eastAsia="zh-CN"/>
        </w:rPr>
        <w:t>2024</w:t>
      </w:r>
      <w:r>
        <w:rPr>
          <w:rFonts w:hint="eastAsia" w:ascii="宋体" w:hAnsi="宋体" w:eastAsia="宋体" w:cs="宋体"/>
          <w:color w:val="auto"/>
          <w:spacing w:val="7"/>
          <w:sz w:val="31"/>
          <w:szCs w:val="31"/>
          <w:highlight w:val="none"/>
        </w:rPr>
        <w:t>年   月</w:t>
      </w:r>
      <w:r>
        <w:rPr>
          <w:rFonts w:hint="eastAsia" w:ascii="宋体" w:hAnsi="宋体" w:eastAsia="宋体" w:cs="宋体"/>
          <w:color w:val="auto"/>
          <w:spacing w:val="31"/>
          <w:sz w:val="31"/>
          <w:szCs w:val="31"/>
          <w:highlight w:val="none"/>
        </w:rPr>
        <w:t xml:space="preserve">   </w:t>
      </w:r>
      <w:r>
        <w:rPr>
          <w:rFonts w:hint="eastAsia" w:ascii="宋体" w:hAnsi="宋体" w:eastAsia="宋体" w:cs="宋体"/>
          <w:color w:val="auto"/>
          <w:spacing w:val="7"/>
          <w:sz w:val="31"/>
          <w:szCs w:val="31"/>
          <w:highlight w:val="none"/>
        </w:rPr>
        <w:t>日</w:t>
      </w:r>
    </w:p>
    <w:p>
      <w:pPr>
        <w:spacing w:line="225" w:lineRule="auto"/>
        <w:rPr>
          <w:rFonts w:hint="eastAsia" w:ascii="宋体" w:hAnsi="宋体" w:eastAsia="宋体" w:cs="宋体"/>
          <w:color w:val="auto"/>
          <w:sz w:val="31"/>
          <w:szCs w:val="31"/>
          <w:highlight w:val="none"/>
        </w:rPr>
      </w:pPr>
    </w:p>
    <w:p>
      <w:pPr>
        <w:pStyle w:val="3"/>
        <w:rPr>
          <w:rFonts w:hint="eastAsia" w:ascii="宋体" w:hAnsi="宋体" w:eastAsia="宋体" w:cs="宋体"/>
          <w:color w:val="auto"/>
          <w:sz w:val="31"/>
          <w:szCs w:val="31"/>
          <w:highlight w:val="none"/>
        </w:rPr>
        <w:sectPr>
          <w:footerReference r:id="rId11" w:type="first"/>
          <w:headerReference r:id="rId8" w:type="default"/>
          <w:footerReference r:id="rId9" w:type="default"/>
          <w:footerReference r:id="rId10" w:type="even"/>
          <w:pgSz w:w="11906" w:h="16838"/>
          <w:pgMar w:top="1440" w:right="1080" w:bottom="1440" w:left="1080" w:header="851" w:footer="567" w:gutter="0"/>
          <w:cols w:space="720" w:num="1"/>
          <w:titlePg/>
          <w:docGrid w:linePitch="312" w:charSpace="0"/>
        </w:sectPr>
      </w:pPr>
    </w:p>
    <w:p>
      <w:pPr>
        <w:widowControl/>
        <w:spacing w:line="480" w:lineRule="auto"/>
        <w:ind w:firstLine="422" w:firstLineChars="200"/>
        <w:jc w:val="left"/>
        <w:rPr>
          <w:rFonts w:hint="eastAsia" w:ascii="宋体" w:hAnsi="宋体" w:eastAsia="宋体" w:cs="宋体"/>
          <w:color w:val="000000"/>
          <w:kern w:val="0"/>
          <w:szCs w:val="21"/>
          <w:highlight w:val="none"/>
          <w:lang w:val="en-US" w:eastAsia="zh-CN"/>
        </w:rPr>
      </w:pPr>
      <w:r>
        <w:rPr>
          <w:rFonts w:hint="eastAsia" w:ascii="宋体" w:hAnsi="宋体" w:cs="宋体"/>
          <w:b/>
          <w:bCs/>
          <w:color w:val="000000"/>
          <w:kern w:val="0"/>
          <w:szCs w:val="21"/>
          <w:highlight w:val="none"/>
        </w:rPr>
        <w:t>甲方：</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p>
    <w:p>
      <w:pPr>
        <w:widowControl/>
        <w:spacing w:line="480" w:lineRule="auto"/>
        <w:jc w:val="left"/>
        <w:rPr>
          <w:rFonts w:hint="eastAsia" w:ascii="宋体" w:hAnsi="宋体" w:cs="宋体"/>
          <w:color w:val="000000"/>
          <w:kern w:val="0"/>
          <w:szCs w:val="21"/>
          <w:highlight w:val="none"/>
          <w:u w:val="single"/>
        </w:rPr>
      </w:pPr>
      <w:r>
        <w:rPr>
          <w:rFonts w:hint="eastAsia" w:ascii="宋体" w:hAnsi="宋体" w:cs="宋体"/>
          <w:b/>
          <w:bCs/>
          <w:color w:val="000000"/>
          <w:kern w:val="0"/>
          <w:szCs w:val="21"/>
          <w:highlight w:val="none"/>
          <w:lang w:val="en-US" w:eastAsia="zh-CN"/>
        </w:rPr>
        <w:t xml:space="preserve">    </w:t>
      </w:r>
      <w:r>
        <w:rPr>
          <w:rFonts w:hint="eastAsia" w:ascii="宋体" w:hAnsi="宋体" w:cs="宋体"/>
          <w:b/>
          <w:bCs/>
          <w:color w:val="000000"/>
          <w:kern w:val="0"/>
          <w:szCs w:val="21"/>
          <w:highlight w:val="none"/>
        </w:rPr>
        <w:t>乙方：</w:t>
      </w:r>
      <w:r>
        <w:rPr>
          <w:rFonts w:hint="eastAsia" w:ascii="宋体" w:hAnsi="宋体" w:cs="宋体"/>
          <w:b/>
          <w:bCs/>
          <w:color w:val="000000"/>
          <w:kern w:val="0"/>
          <w:szCs w:val="21"/>
          <w:highlight w:val="none"/>
          <w:u w:val="single"/>
        </w:rPr>
        <w:t xml:space="preserve">                           </w:t>
      </w:r>
    </w:p>
    <w:p>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根据国家和地方政府有关物业管理的法律、法规和政策规定，甲、乙双方本着自愿、平等原则，</w:t>
      </w:r>
    </w:p>
    <w:p>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就</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服务事宜充分协商一致，特签订本合同，以资信守履行。</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第一条</w:t>
      </w:r>
      <w:r>
        <w:rPr>
          <w:rFonts w:hint="eastAsia" w:ascii="宋体" w:hAnsi="宋体" w:cs="宋体"/>
          <w:color w:val="000000"/>
          <w:kern w:val="0"/>
          <w:szCs w:val="21"/>
          <w:highlight w:val="none"/>
        </w:rPr>
        <w:t xml:space="preserve"> 甲方聘请乙方为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使用人提供管理服务。</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第二条 </w:t>
      </w:r>
      <w:r>
        <w:rPr>
          <w:rFonts w:hint="eastAsia" w:ascii="宋体" w:hAnsi="宋体" w:cs="宋体"/>
          <w:color w:val="000000"/>
          <w:kern w:val="0"/>
          <w:szCs w:val="21"/>
          <w:highlight w:val="none"/>
        </w:rPr>
        <w:t>服务区域基本情况如下：</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建筑面积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，占地面积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；具体物业范围及构成细目见本项目招标文件中第二章《招标项目采购需求》的相关内容。</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第三条</w:t>
      </w:r>
      <w:r>
        <w:rPr>
          <w:rFonts w:hint="eastAsia" w:ascii="宋体" w:hAnsi="宋体" w:cs="宋体"/>
          <w:color w:val="000000"/>
          <w:kern w:val="0"/>
          <w:szCs w:val="21"/>
          <w:highlight w:val="none"/>
        </w:rPr>
        <w:t xml:space="preserve"> 乙方提供的物业管理服务包括以下内容： </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u w:val="single"/>
        </w:rPr>
        <w:t xml:space="preserve">   </w:t>
      </w:r>
      <w:r>
        <w:rPr>
          <w:rFonts w:hint="eastAsia" w:ascii="宋体" w:hAnsi="宋体" w:cs="宋体"/>
          <w:b/>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olor w:val="000000"/>
          <w:szCs w:val="21"/>
          <w:highlight w:val="none"/>
          <w:u w:val="single"/>
        </w:rPr>
        <w:t xml:space="preserve">   </w:t>
      </w:r>
      <w:r>
        <w:rPr>
          <w:rFonts w:hint="eastAsia" w:ascii="宋体" w:hAnsi="宋体" w:cs="宋体"/>
          <w:b/>
          <w:color w:val="000000"/>
          <w:kern w:val="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（三）具体服务内容包含招标文件的《招标项目采购需求》、投标文件的《服务方案》和乙方的所有承诺服务内容；</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第四条 </w:t>
      </w:r>
      <w:r>
        <w:rPr>
          <w:rFonts w:hint="eastAsia" w:ascii="宋体" w:hAnsi="宋体" w:cs="宋体"/>
          <w:color w:val="000000"/>
          <w:kern w:val="0"/>
          <w:szCs w:val="21"/>
          <w:highlight w:val="none"/>
        </w:rPr>
        <w:t>乙方提供的服务质量标准按国家和地方政府的规定和本合同约定的物业服务质量要求及乙方在投标文件中的承诺执行。</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本合同约定的服务质量要求见本项目招标文件中《招标项目采购需求》。</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u w:val="single"/>
        </w:rPr>
      </w:pPr>
      <w:r>
        <w:rPr>
          <w:rFonts w:hint="eastAsia" w:ascii="宋体" w:hAnsi="宋体" w:cs="宋体"/>
          <w:b/>
          <w:bCs/>
          <w:color w:val="000000"/>
          <w:kern w:val="0"/>
          <w:szCs w:val="21"/>
          <w:highlight w:val="none"/>
        </w:rPr>
        <w:t xml:space="preserve">第五条  </w:t>
      </w:r>
      <w:r>
        <w:rPr>
          <w:rFonts w:hint="eastAsia" w:ascii="宋体" w:hAnsi="宋体" w:cs="宋体"/>
          <w:color w:val="000000"/>
          <w:kern w:val="0"/>
          <w:szCs w:val="21"/>
          <w:highlight w:val="none"/>
        </w:rPr>
        <w:t>合同金额：</w:t>
      </w:r>
      <w:r>
        <w:rPr>
          <w:rFonts w:hint="eastAsia" w:ascii="宋体" w:hAnsi="宋体" w:cs="宋体"/>
          <w:color w:val="000000"/>
          <w:kern w:val="0"/>
          <w:szCs w:val="21"/>
          <w:highlight w:val="none"/>
          <w:u w:val="single"/>
        </w:rPr>
        <w:t xml:space="preserve">                        （￥               ）；</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b/>
          <w:color w:val="000000"/>
          <w:kern w:val="0"/>
          <w:szCs w:val="21"/>
          <w:highlight w:val="none"/>
        </w:rPr>
      </w:pPr>
      <w:r>
        <w:rPr>
          <w:rFonts w:hint="eastAsia" w:ascii="宋体" w:hAnsi="宋体" w:cs="宋体"/>
          <w:color w:val="000000"/>
          <w:kern w:val="0"/>
          <w:szCs w:val="21"/>
          <w:highlight w:val="none"/>
        </w:rPr>
        <w:t>服务期：</w:t>
      </w:r>
      <w:r>
        <w:rPr>
          <w:rFonts w:hint="eastAsia" w:ascii="宋体" w:hAnsi="宋体" w:cs="宋体"/>
          <w:color w:val="000000"/>
          <w:kern w:val="0"/>
          <w:szCs w:val="21"/>
          <w:highlight w:val="none"/>
          <w:u w:val="single"/>
        </w:rPr>
        <w:t xml:space="preserve">       年  月    日</w:t>
      </w:r>
      <w:r>
        <w:rPr>
          <w:rFonts w:hint="eastAsia" w:ascii="宋体" w:hAnsi="宋体" w:cs="宋体"/>
          <w:color w:val="000000"/>
          <w:kern w:val="0"/>
          <w:szCs w:val="21"/>
          <w:highlight w:val="none"/>
        </w:rPr>
        <w:t>至</w:t>
      </w:r>
      <w:r>
        <w:rPr>
          <w:rFonts w:hint="eastAsia" w:ascii="宋体" w:hAnsi="宋体" w:cs="宋体"/>
          <w:color w:val="000000"/>
          <w:kern w:val="0"/>
          <w:szCs w:val="21"/>
          <w:highlight w:val="none"/>
          <w:u w:val="single"/>
        </w:rPr>
        <w:t xml:space="preserve">      年   月    日      </w:t>
      </w:r>
      <w:r>
        <w:rPr>
          <w:rFonts w:hint="eastAsia" w:ascii="宋体" w:hAnsi="宋体" w:cs="宋体"/>
          <w:color w:val="000000"/>
          <w:kern w:val="0"/>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24" w:firstLineChars="202"/>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付款方式为：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rPr>
        <w:t xml:space="preserve"> 。</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第六条 </w:t>
      </w:r>
      <w:r>
        <w:rPr>
          <w:rFonts w:hint="eastAsia" w:ascii="宋体" w:hAnsi="宋体" w:cs="宋体"/>
          <w:color w:val="000000"/>
          <w:kern w:val="0"/>
          <w:szCs w:val="21"/>
          <w:highlight w:val="none"/>
        </w:rPr>
        <w:t>甲方权利义务</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（一）审定乙方管理服务方案和工作计划，听取乙方管理情况报告，监督检查乙方各项方案和计划的实施；</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（二）协调、处理本合同生效前发生的遗留问题；</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（三）法律、法规、政策规定的其他权利、义务。</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第七条 </w:t>
      </w:r>
      <w:r>
        <w:rPr>
          <w:rFonts w:hint="eastAsia" w:ascii="宋体" w:hAnsi="宋体" w:cs="宋体"/>
          <w:color w:val="000000"/>
          <w:kern w:val="0"/>
          <w:szCs w:val="21"/>
          <w:highlight w:val="none"/>
        </w:rPr>
        <w:t>乙方权利义务</w:t>
      </w:r>
    </w:p>
    <w:p>
      <w:pPr>
        <w:keepNext w:val="0"/>
        <w:keepLines w:val="0"/>
        <w:pageBreakBefore w:val="0"/>
        <w:widowControl/>
        <w:kinsoku/>
        <w:wordWrap/>
        <w:overflowPunct/>
        <w:topLinePunct w:val="0"/>
        <w:autoSpaceDE/>
        <w:autoSpaceDN/>
        <w:bidi w:val="0"/>
        <w:spacing w:line="360" w:lineRule="auto"/>
        <w:ind w:firstLine="424" w:firstLineChars="202"/>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keepNext w:val="0"/>
        <w:keepLines w:val="0"/>
        <w:pageBreakBefore w:val="0"/>
        <w:widowControl/>
        <w:kinsoku/>
        <w:wordWrap/>
        <w:overflowPunct/>
        <w:topLinePunct w:val="0"/>
        <w:autoSpaceDE/>
        <w:autoSpaceDN/>
        <w:bidi w:val="0"/>
        <w:spacing w:line="360" w:lineRule="auto"/>
        <w:ind w:firstLine="424" w:firstLineChars="202"/>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（二）法律、法规、政策规定的其他权利、义务。</w:t>
      </w:r>
    </w:p>
    <w:p>
      <w:pPr>
        <w:keepNext w:val="0"/>
        <w:keepLines w:val="0"/>
        <w:pageBreakBefore w:val="0"/>
        <w:widowControl/>
        <w:kinsoku/>
        <w:wordWrap/>
        <w:overflowPunct/>
        <w:topLinePunct w:val="0"/>
        <w:autoSpaceDE/>
        <w:autoSpaceDN/>
        <w:bidi w:val="0"/>
        <w:spacing w:line="360" w:lineRule="auto"/>
        <w:ind w:firstLine="424" w:firstLineChars="201"/>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第八条</w:t>
      </w:r>
      <w:r>
        <w:rPr>
          <w:rFonts w:hint="eastAsia" w:ascii="宋体" w:hAnsi="宋体" w:cs="宋体"/>
          <w:color w:val="000000"/>
          <w:kern w:val="0"/>
          <w:szCs w:val="21"/>
          <w:highlight w:val="none"/>
        </w:rPr>
        <w:t xml:space="preserve"> 违约责任</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  </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keepNext w:val="0"/>
        <w:keepLines w:val="0"/>
        <w:pageBreakBefore w:val="0"/>
        <w:widowControl/>
        <w:kinsoku/>
        <w:wordWrap/>
        <w:overflowPunct/>
        <w:topLinePunct w:val="0"/>
        <w:autoSpaceDE/>
        <w:autoSpaceDN/>
        <w:bidi w:val="0"/>
        <w:spacing w:line="360" w:lineRule="auto"/>
        <w:ind w:firstLine="283" w:firstLineChars="135"/>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三）除合同约定外，乙方不得将本合同项目转包或分包给第三方，否则甲方有权单方终止本合同，乙方应承担因此给甲方造成的经济损失，包括但不限于依法应重新招标产生的各项费用、甲方向乙方追偿而支出的律师费、诉讼费等。</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第九条 </w:t>
      </w:r>
      <w:r>
        <w:rPr>
          <w:rFonts w:hint="eastAsia" w:hAnsi="宋体"/>
          <w:color w:val="000000"/>
          <w:highlight w:val="none"/>
        </w:rPr>
        <w:t>双方在履行合同中所发生的一切争议，应通过协商解决。如协商不成，向</w:t>
      </w:r>
      <w:r>
        <w:rPr>
          <w:rFonts w:hint="eastAsia" w:ascii="宋体" w:hAnsi="宋体"/>
          <w:color w:val="000000"/>
          <w:szCs w:val="21"/>
          <w:highlight w:val="none"/>
        </w:rPr>
        <w:t>甲方所在地人民法院提起诉讼</w:t>
      </w:r>
      <w:r>
        <w:rPr>
          <w:rFonts w:hint="eastAsia" w:hAnsi="宋体"/>
          <w:color w:val="000000"/>
          <w:highlight w:val="none"/>
        </w:rPr>
        <w:t>。</w:t>
      </w:r>
    </w:p>
    <w:p>
      <w:pPr>
        <w:pStyle w:val="15"/>
        <w:keepNext w:val="0"/>
        <w:keepLines w:val="0"/>
        <w:pageBreakBefore w:val="0"/>
        <w:kinsoku/>
        <w:wordWrap/>
        <w:overflowPunct/>
        <w:topLinePunct w:val="0"/>
        <w:autoSpaceDE/>
        <w:autoSpaceDN/>
        <w:bidi w:val="0"/>
        <w:spacing w:line="360" w:lineRule="auto"/>
        <w:ind w:firstLine="358" w:firstLineChars="170"/>
        <w:textAlignment w:val="auto"/>
        <w:rPr>
          <w:rFonts w:hint="eastAsia" w:hAnsi="宋体" w:cs="Times New Roman"/>
          <w:color w:val="000000"/>
          <w:szCs w:val="20"/>
          <w:highlight w:val="none"/>
        </w:rPr>
      </w:pPr>
      <w:r>
        <w:rPr>
          <w:rFonts w:hint="eastAsia" w:hAnsi="宋体" w:cs="宋体"/>
          <w:b/>
          <w:bCs/>
          <w:color w:val="000000"/>
          <w:kern w:val="0"/>
          <w:highlight w:val="none"/>
        </w:rPr>
        <w:t xml:space="preserve">第十条 </w:t>
      </w:r>
      <w:r>
        <w:rPr>
          <w:rFonts w:hint="eastAsia" w:hAnsi="宋体"/>
          <w:color w:val="000000"/>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15"/>
        <w:keepNext w:val="0"/>
        <w:keepLines w:val="0"/>
        <w:pageBreakBefore w:val="0"/>
        <w:kinsoku/>
        <w:wordWrap/>
        <w:overflowPunct/>
        <w:topLinePunct w:val="0"/>
        <w:autoSpaceDE/>
        <w:autoSpaceDN/>
        <w:bidi w:val="0"/>
        <w:spacing w:line="360" w:lineRule="auto"/>
        <w:ind w:firstLine="420"/>
        <w:textAlignment w:val="auto"/>
        <w:rPr>
          <w:rFonts w:hint="eastAsia" w:hAnsi="宋体"/>
          <w:color w:val="000000"/>
          <w:highlight w:val="none"/>
        </w:rPr>
      </w:pPr>
      <w:r>
        <w:rPr>
          <w:rFonts w:hint="eastAsia" w:hAnsi="宋体"/>
          <w:color w:val="000000"/>
          <w:highlight w:val="none"/>
        </w:rPr>
        <w:t>不可抗力事件发生后，应立即通知对方，并寄送有关权威机构出具的证明。</w:t>
      </w:r>
    </w:p>
    <w:p>
      <w:pPr>
        <w:pStyle w:val="15"/>
        <w:keepNext w:val="0"/>
        <w:keepLines w:val="0"/>
        <w:pageBreakBefore w:val="0"/>
        <w:kinsoku/>
        <w:wordWrap/>
        <w:overflowPunct/>
        <w:topLinePunct w:val="0"/>
        <w:autoSpaceDE/>
        <w:autoSpaceDN/>
        <w:bidi w:val="0"/>
        <w:spacing w:line="360" w:lineRule="auto"/>
        <w:ind w:firstLine="420"/>
        <w:textAlignment w:val="auto"/>
        <w:rPr>
          <w:rFonts w:hint="eastAsia" w:cs="宋体"/>
          <w:color w:val="000000"/>
          <w:kern w:val="0"/>
          <w:highlight w:val="none"/>
        </w:rPr>
      </w:pPr>
      <w:r>
        <w:rPr>
          <w:rFonts w:hint="eastAsia"/>
          <w:color w:val="000000"/>
          <w:highlight w:val="none"/>
        </w:rPr>
        <w:t>不可抗力事件延续120天以上，双方应通过友好协商，确定是否继续履行合同。</w:t>
      </w:r>
    </w:p>
    <w:p>
      <w:pPr>
        <w:pStyle w:val="15"/>
        <w:keepNext w:val="0"/>
        <w:keepLines w:val="0"/>
        <w:pageBreakBefore w:val="0"/>
        <w:kinsoku/>
        <w:wordWrap/>
        <w:overflowPunct/>
        <w:topLinePunct w:val="0"/>
        <w:autoSpaceDE/>
        <w:autoSpaceDN/>
        <w:bidi w:val="0"/>
        <w:spacing w:line="360" w:lineRule="auto"/>
        <w:ind w:firstLine="420"/>
        <w:textAlignment w:val="auto"/>
        <w:rPr>
          <w:rFonts w:hint="eastAsia" w:hAnsi="宋体" w:cs="Times New Roman"/>
          <w:color w:val="000000"/>
          <w:szCs w:val="20"/>
          <w:highlight w:val="none"/>
        </w:rPr>
      </w:pPr>
      <w:r>
        <w:rPr>
          <w:rFonts w:hint="eastAsia" w:hAnsi="宋体"/>
          <w:b/>
          <w:bCs/>
          <w:color w:val="000000"/>
          <w:highlight w:val="none"/>
        </w:rPr>
        <w:t xml:space="preserve">第十一条 </w:t>
      </w:r>
      <w:r>
        <w:rPr>
          <w:rFonts w:hint="eastAsia" w:hAnsi="宋体" w:cs="宋体"/>
          <w:color w:val="000000"/>
          <w:kern w:val="0"/>
          <w:highlight w:val="none"/>
        </w:rPr>
        <w:t>本合同附件为合同有效组成部分。凡本合同及附件未规定的事宜以及合同词语，均以有关法律、法规、政策规定为准。</w:t>
      </w:r>
    </w:p>
    <w:p>
      <w:pPr>
        <w:spacing w:line="360" w:lineRule="auto"/>
        <w:ind w:firstLine="422" w:firstLineChars="200"/>
        <w:rPr>
          <w:rFonts w:hint="eastAsia" w:ascii="宋体" w:hAnsi="宋体" w:cs="宋体"/>
          <w:color w:val="auto"/>
          <w:spacing w:val="-2"/>
          <w:szCs w:val="21"/>
          <w:highlight w:val="none"/>
        </w:rPr>
      </w:pPr>
      <w:r>
        <w:rPr>
          <w:rFonts w:hint="eastAsia" w:ascii="宋体" w:hAnsi="宋体" w:cs="宋体"/>
          <w:b/>
          <w:bCs/>
          <w:color w:val="000000"/>
          <w:kern w:val="0"/>
          <w:szCs w:val="21"/>
          <w:highlight w:val="none"/>
        </w:rPr>
        <w:t xml:space="preserve">第十二条 </w:t>
      </w:r>
      <w:r>
        <w:rPr>
          <w:rFonts w:hint="eastAsia" w:ascii="宋体" w:hAnsi="宋体" w:cs="宋体"/>
          <w:color w:val="auto"/>
          <w:spacing w:val="-2"/>
          <w:szCs w:val="21"/>
          <w:highlight w:val="none"/>
        </w:rPr>
        <w:t>1．《招标文件》、《投标文件》、《中标通知书》及附件为本合同的有效组成部分，具有同等法律效力。</w:t>
      </w:r>
    </w:p>
    <w:p>
      <w:pPr>
        <w:keepNext w:val="0"/>
        <w:keepLines w:val="0"/>
        <w:pageBreakBefore w:val="0"/>
        <w:widowControl/>
        <w:kinsoku/>
        <w:wordWrap/>
        <w:overflowPunct/>
        <w:topLinePunct w:val="0"/>
        <w:autoSpaceDE/>
        <w:autoSpaceDN/>
        <w:bidi w:val="0"/>
        <w:spacing w:line="360" w:lineRule="auto"/>
        <w:ind w:firstLine="414" w:firstLineChars="201"/>
        <w:jc w:val="left"/>
        <w:textAlignment w:val="auto"/>
        <w:rPr>
          <w:rFonts w:hint="eastAsia" w:ascii="宋体" w:hAnsi="宋体" w:cs="宋体"/>
          <w:color w:val="auto"/>
          <w:spacing w:val="-2"/>
          <w:szCs w:val="21"/>
          <w:highlight w:val="none"/>
        </w:rPr>
      </w:pPr>
      <w:r>
        <w:rPr>
          <w:rFonts w:hint="eastAsia" w:ascii="宋体" w:hAnsi="宋体" w:cs="宋体"/>
          <w:color w:val="auto"/>
          <w:spacing w:val="-2"/>
          <w:szCs w:val="21"/>
          <w:highlight w:val="none"/>
        </w:rPr>
        <w:t>2．本合同的解释权在甲方。</w:t>
      </w:r>
    </w:p>
    <w:p>
      <w:pPr>
        <w:keepNext w:val="0"/>
        <w:keepLines w:val="0"/>
        <w:pageBreakBefore w:val="0"/>
        <w:widowControl/>
        <w:kinsoku/>
        <w:wordWrap/>
        <w:overflowPunct/>
        <w:topLinePunct w:val="0"/>
        <w:autoSpaceDE/>
        <w:autoSpaceDN/>
        <w:bidi w:val="0"/>
        <w:spacing w:line="360" w:lineRule="auto"/>
        <w:ind w:firstLine="422" w:firstLineChars="201"/>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本合同未尽事宜由甲、乙方双方另行协商签订补充协议，补充协议与本合同具有同等效力。</w:t>
      </w:r>
    </w:p>
    <w:p>
      <w:pPr>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color w:val="000000"/>
          <w:szCs w:val="21"/>
          <w:highlight w:val="none"/>
        </w:rPr>
      </w:pPr>
      <w:r>
        <w:rPr>
          <w:rFonts w:hint="eastAsia" w:ascii="宋体" w:hAnsi="宋体" w:cs="宋体"/>
          <w:b/>
          <w:bCs/>
          <w:color w:val="000000"/>
          <w:kern w:val="0"/>
          <w:szCs w:val="21"/>
          <w:highlight w:val="none"/>
        </w:rPr>
        <w:t xml:space="preserve">第十三条 </w:t>
      </w:r>
      <w:r>
        <w:rPr>
          <w:rFonts w:hint="eastAsia" w:ascii="宋体" w:hAnsi="宋体"/>
          <w:color w:val="000000"/>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15"/>
        <w:keepNext w:val="0"/>
        <w:keepLines w:val="0"/>
        <w:pageBreakBefore w:val="0"/>
        <w:kinsoku/>
        <w:wordWrap/>
        <w:overflowPunct/>
        <w:topLinePunct w:val="0"/>
        <w:autoSpaceDE/>
        <w:autoSpaceDN/>
        <w:bidi w:val="0"/>
        <w:spacing w:line="360" w:lineRule="auto"/>
        <w:ind w:firstLine="420"/>
        <w:textAlignment w:val="auto"/>
        <w:rPr>
          <w:rFonts w:hAnsi="宋体"/>
          <w:b/>
          <w:bCs/>
          <w:color w:val="000000"/>
          <w:highlight w:val="none"/>
        </w:rPr>
      </w:pPr>
      <w:r>
        <w:rPr>
          <w:rFonts w:hint="eastAsia" w:hAnsi="宋体"/>
          <w:b/>
          <w:bCs/>
          <w:color w:val="000000"/>
          <w:highlight w:val="none"/>
        </w:rPr>
        <w:t>第十四条签订本合同依据</w:t>
      </w:r>
    </w:p>
    <w:p>
      <w:pPr>
        <w:pStyle w:val="15"/>
        <w:keepNext w:val="0"/>
        <w:keepLines w:val="0"/>
        <w:pageBreakBefore w:val="0"/>
        <w:kinsoku/>
        <w:wordWrap/>
        <w:overflowPunct/>
        <w:topLinePunct w:val="0"/>
        <w:autoSpaceDE/>
        <w:autoSpaceDN/>
        <w:bidi w:val="0"/>
        <w:spacing w:line="360" w:lineRule="auto"/>
        <w:ind w:firstLine="420"/>
        <w:textAlignment w:val="auto"/>
        <w:rPr>
          <w:rFonts w:hAnsi="宋体"/>
          <w:color w:val="000000"/>
          <w:highlight w:val="none"/>
        </w:rPr>
      </w:pPr>
      <w:r>
        <w:rPr>
          <w:rFonts w:hint="eastAsia" w:hAnsi="宋体" w:cs="宋体"/>
          <w:color w:val="000000"/>
          <w:kern w:val="0"/>
          <w:highlight w:val="none"/>
        </w:rPr>
        <w:t>（一）</w:t>
      </w:r>
      <w:r>
        <w:rPr>
          <w:rFonts w:hint="eastAsia" w:hAnsi="宋体"/>
          <w:color w:val="000000"/>
          <w:highlight w:val="none"/>
        </w:rPr>
        <w:t>政府采购招标文件；</w:t>
      </w:r>
    </w:p>
    <w:p>
      <w:pPr>
        <w:pStyle w:val="15"/>
        <w:keepNext w:val="0"/>
        <w:keepLines w:val="0"/>
        <w:pageBreakBefore w:val="0"/>
        <w:kinsoku/>
        <w:wordWrap/>
        <w:overflowPunct/>
        <w:topLinePunct w:val="0"/>
        <w:autoSpaceDE/>
        <w:autoSpaceDN/>
        <w:bidi w:val="0"/>
        <w:spacing w:line="360" w:lineRule="auto"/>
        <w:ind w:firstLine="420"/>
        <w:textAlignment w:val="auto"/>
        <w:rPr>
          <w:rFonts w:hAnsi="宋体"/>
          <w:color w:val="000000"/>
          <w:highlight w:val="none"/>
        </w:rPr>
      </w:pPr>
      <w:r>
        <w:rPr>
          <w:rFonts w:hint="eastAsia" w:hAnsi="宋体" w:cs="宋体"/>
          <w:color w:val="000000"/>
          <w:kern w:val="0"/>
          <w:highlight w:val="none"/>
        </w:rPr>
        <w:t>（二）</w:t>
      </w:r>
      <w:r>
        <w:rPr>
          <w:rFonts w:hint="eastAsia" w:hAnsi="宋体"/>
          <w:color w:val="000000"/>
          <w:highlight w:val="none"/>
        </w:rPr>
        <w:t>乙方提供的采购投标文件；</w:t>
      </w:r>
    </w:p>
    <w:p>
      <w:pPr>
        <w:pStyle w:val="15"/>
        <w:keepNext w:val="0"/>
        <w:keepLines w:val="0"/>
        <w:pageBreakBefore w:val="0"/>
        <w:kinsoku/>
        <w:wordWrap/>
        <w:overflowPunct/>
        <w:topLinePunct w:val="0"/>
        <w:autoSpaceDE/>
        <w:autoSpaceDN/>
        <w:bidi w:val="0"/>
        <w:spacing w:line="360" w:lineRule="auto"/>
        <w:ind w:firstLine="420"/>
        <w:textAlignment w:val="auto"/>
        <w:rPr>
          <w:rFonts w:hAnsi="宋体"/>
          <w:color w:val="000000"/>
          <w:highlight w:val="none"/>
        </w:rPr>
      </w:pPr>
      <w:r>
        <w:rPr>
          <w:rFonts w:hint="eastAsia" w:hAnsi="宋体" w:cs="宋体"/>
          <w:color w:val="000000"/>
          <w:kern w:val="0"/>
          <w:highlight w:val="none"/>
        </w:rPr>
        <w:t>（三）</w:t>
      </w:r>
      <w:r>
        <w:rPr>
          <w:rFonts w:hint="eastAsia" w:hAnsi="宋体"/>
          <w:color w:val="000000"/>
          <w:highlight w:val="none"/>
        </w:rPr>
        <w:t>投标承诺书；</w:t>
      </w:r>
    </w:p>
    <w:p>
      <w:pPr>
        <w:pStyle w:val="15"/>
        <w:keepNext w:val="0"/>
        <w:keepLines w:val="0"/>
        <w:pageBreakBefore w:val="0"/>
        <w:kinsoku/>
        <w:wordWrap/>
        <w:overflowPunct/>
        <w:topLinePunct w:val="0"/>
        <w:autoSpaceDE/>
        <w:autoSpaceDN/>
        <w:bidi w:val="0"/>
        <w:spacing w:line="360" w:lineRule="auto"/>
        <w:ind w:firstLine="420"/>
        <w:textAlignment w:val="auto"/>
        <w:rPr>
          <w:rFonts w:hint="eastAsia" w:hAnsi="宋体"/>
          <w:color w:val="000000"/>
          <w:highlight w:val="none"/>
        </w:rPr>
      </w:pPr>
      <w:r>
        <w:rPr>
          <w:rFonts w:hint="eastAsia" w:hAnsi="宋体" w:cs="宋体"/>
          <w:color w:val="000000"/>
          <w:kern w:val="0"/>
          <w:highlight w:val="none"/>
        </w:rPr>
        <w:t>（四）</w:t>
      </w:r>
      <w:r>
        <w:rPr>
          <w:rFonts w:hint="eastAsia" w:hAnsi="宋体"/>
          <w:color w:val="000000"/>
          <w:highlight w:val="none"/>
        </w:rPr>
        <w:t>中标通知书。</w:t>
      </w:r>
    </w:p>
    <w:p>
      <w:pPr>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color w:val="000000"/>
          <w:szCs w:val="21"/>
          <w:highlight w:val="none"/>
        </w:rPr>
      </w:pPr>
      <w:r>
        <w:rPr>
          <w:rFonts w:hint="eastAsia" w:ascii="宋体" w:hAnsi="宋体" w:cs="宋体"/>
          <w:b/>
          <w:bCs/>
          <w:color w:val="000000"/>
          <w:kern w:val="0"/>
          <w:szCs w:val="21"/>
          <w:highlight w:val="none"/>
        </w:rPr>
        <w:t xml:space="preserve">第十五条 </w:t>
      </w:r>
      <w:r>
        <w:rPr>
          <w:rFonts w:hint="eastAsia" w:ascii="宋体" w:hAnsi="宋体"/>
          <w:color w:val="000000"/>
          <w:szCs w:val="21"/>
          <w:highlight w:val="none"/>
        </w:rPr>
        <w:t>本合同一式</w:t>
      </w:r>
      <w:r>
        <w:rPr>
          <w:rFonts w:hint="eastAsia" w:ascii="宋体" w:hAnsi="宋体"/>
          <w:color w:val="000000"/>
          <w:szCs w:val="21"/>
          <w:highlight w:val="none"/>
          <w:lang w:val="en-US" w:eastAsia="zh-CN"/>
        </w:rPr>
        <w:t>陆</w:t>
      </w:r>
      <w:r>
        <w:rPr>
          <w:rFonts w:hint="eastAsia" w:ascii="宋体" w:hAnsi="宋体"/>
          <w:color w:val="000000"/>
          <w:szCs w:val="21"/>
          <w:highlight w:val="none"/>
        </w:rPr>
        <w:t>份，具有同等法律效力。</w:t>
      </w:r>
      <w:r>
        <w:rPr>
          <w:rFonts w:hint="eastAsia" w:ascii="宋体" w:hAnsi="宋体"/>
          <w:color w:val="000000"/>
          <w:spacing w:val="4"/>
          <w:szCs w:val="21"/>
          <w:highlight w:val="none"/>
        </w:rPr>
        <w:t>政府采购监督管理处、</w:t>
      </w:r>
      <w:r>
        <w:rPr>
          <w:rFonts w:hint="eastAsia" w:ascii="宋体" w:hAnsi="宋体"/>
          <w:color w:val="000000"/>
          <w:spacing w:val="4"/>
          <w:szCs w:val="21"/>
          <w:highlight w:val="none"/>
          <w:lang w:val="en-US" w:eastAsia="zh-CN"/>
        </w:rPr>
        <w:t>代理机构</w:t>
      </w:r>
      <w:r>
        <w:rPr>
          <w:rFonts w:hint="eastAsia" w:ascii="宋体" w:hAnsi="宋体"/>
          <w:color w:val="000000"/>
          <w:szCs w:val="21"/>
          <w:highlight w:val="none"/>
        </w:rPr>
        <w:t>各一份，甲方</w:t>
      </w:r>
      <w:r>
        <w:rPr>
          <w:rFonts w:hint="eastAsia" w:ascii="宋体" w:hAnsi="宋体"/>
          <w:color w:val="000000"/>
          <w:szCs w:val="21"/>
          <w:highlight w:val="none"/>
          <w:lang w:val="en-US" w:eastAsia="zh-CN"/>
        </w:rPr>
        <w:t>贰</w:t>
      </w:r>
      <w:r>
        <w:rPr>
          <w:rFonts w:hint="eastAsia" w:ascii="宋体" w:hAnsi="宋体"/>
          <w:color w:val="000000"/>
          <w:szCs w:val="21"/>
          <w:highlight w:val="none"/>
        </w:rPr>
        <w:t>份，乙方</w:t>
      </w:r>
      <w:r>
        <w:rPr>
          <w:rFonts w:hint="eastAsia" w:ascii="宋体" w:hAnsi="宋体"/>
          <w:color w:val="000000"/>
          <w:szCs w:val="21"/>
          <w:highlight w:val="none"/>
          <w:lang w:val="en-US" w:eastAsia="zh-CN"/>
        </w:rPr>
        <w:t>贰</w:t>
      </w:r>
      <w:r>
        <w:rPr>
          <w:rFonts w:hint="eastAsia" w:ascii="宋体" w:hAnsi="宋体"/>
          <w:color w:val="000000"/>
          <w:szCs w:val="21"/>
          <w:highlight w:val="none"/>
        </w:rPr>
        <w:t>份。</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本合同甲乙双方法定代表人或委托代理人签字并加盖双方公章或合同章后生效，自签订之日起</w:t>
      </w:r>
      <w:r>
        <w:rPr>
          <w:rFonts w:hint="eastAsia" w:ascii="宋体" w:hAnsi="宋体"/>
          <w:color w:val="000000"/>
          <w:szCs w:val="21"/>
          <w:highlight w:val="none"/>
          <w:lang w:val="en-US" w:eastAsia="zh-CN"/>
        </w:rPr>
        <w:t>二</w:t>
      </w:r>
      <w:r>
        <w:rPr>
          <w:rFonts w:hint="eastAsia" w:ascii="宋体" w:hAnsi="宋体"/>
          <w:color w:val="000000"/>
          <w:szCs w:val="21"/>
          <w:highlight w:val="none"/>
        </w:rPr>
        <w:t>个工作日内，甲方应当将采购合同在广西壮族自治区财政厅指定的媒体上公告。。</w:t>
      </w:r>
    </w:p>
    <w:p>
      <w:pPr>
        <w:pStyle w:val="16"/>
        <w:rPr>
          <w:rFonts w:hint="eastAsia"/>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highlight w:val="none"/>
              </w:rPr>
            </w:pPr>
            <w:r>
              <w:rPr>
                <w:rFonts w:hint="eastAsia" w:ascii="宋体" w:hAnsi="宋体"/>
                <w:color w:val="000000"/>
                <w:szCs w:val="21"/>
                <w:highlight w:val="none"/>
              </w:rPr>
              <w:t xml:space="preserve">甲方（章）           </w:t>
            </w:r>
          </w:p>
          <w:p>
            <w:pPr>
              <w:snapToGrid w:val="0"/>
              <w:spacing w:line="360" w:lineRule="exact"/>
              <w:rPr>
                <w:rFonts w:hint="eastAsia" w:ascii="宋体" w:hAnsi="宋体"/>
                <w:color w:val="000000"/>
                <w:szCs w:val="21"/>
                <w:highlight w:val="none"/>
              </w:rPr>
            </w:pPr>
          </w:p>
          <w:p>
            <w:pPr>
              <w:snapToGrid w:val="0"/>
              <w:spacing w:line="360" w:lineRule="exact"/>
              <w:jc w:val="right"/>
              <w:rPr>
                <w:rFonts w:ascii="宋体" w:hAnsi="宋体"/>
                <w:color w:val="000000"/>
                <w:szCs w:val="21"/>
                <w:highlight w:val="none"/>
              </w:rPr>
            </w:pPr>
            <w:r>
              <w:rPr>
                <w:rFonts w:hint="eastAsia" w:ascii="宋体" w:hAnsi="宋体"/>
                <w:color w:val="000000"/>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highlight w:val="none"/>
              </w:rPr>
            </w:pPr>
            <w:r>
              <w:rPr>
                <w:rFonts w:hint="eastAsia" w:ascii="宋体" w:hAnsi="宋体"/>
                <w:color w:val="000000"/>
                <w:szCs w:val="21"/>
                <w:highlight w:val="none"/>
              </w:rPr>
              <w:t xml:space="preserve">乙方（章）               </w:t>
            </w:r>
          </w:p>
          <w:p>
            <w:pPr>
              <w:snapToGrid w:val="0"/>
              <w:spacing w:line="360" w:lineRule="exact"/>
              <w:rPr>
                <w:rFonts w:hint="eastAsia" w:ascii="宋体" w:hAnsi="宋体"/>
                <w:color w:val="000000"/>
                <w:szCs w:val="21"/>
                <w:highlight w:val="none"/>
              </w:rPr>
            </w:pPr>
          </w:p>
          <w:p>
            <w:pPr>
              <w:snapToGrid w:val="0"/>
              <w:spacing w:line="360" w:lineRule="exact"/>
              <w:jc w:val="right"/>
              <w:rPr>
                <w:rFonts w:ascii="宋体" w:hAnsi="宋体"/>
                <w:color w:val="000000"/>
                <w:szCs w:val="21"/>
                <w:highlight w:val="none"/>
              </w:rPr>
            </w:pPr>
            <w:r>
              <w:rPr>
                <w:rFonts w:hint="eastAsia" w:ascii="宋体" w:hAnsi="宋体"/>
                <w:color w:val="00000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通讯地址：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Cs w:val="21"/>
                <w:highlight w:val="none"/>
              </w:rPr>
            </w:pPr>
            <w:r>
              <w:rPr>
                <w:rFonts w:hint="eastAsia" w:ascii="宋体" w:hAnsi="宋体"/>
                <w:color w:val="000000"/>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color w:val="000000"/>
                <w:szCs w:val="21"/>
                <w:highlight w:val="none"/>
              </w:rPr>
            </w:pPr>
            <w:r>
              <w:rPr>
                <w:rFonts w:hint="eastAsia" w:ascii="宋体" w:hAnsi="宋体"/>
                <w:color w:val="000000"/>
                <w:szCs w:val="21"/>
                <w:highlight w:val="none"/>
              </w:rPr>
              <w:t>经办人：</w:t>
            </w:r>
          </w:p>
          <w:p>
            <w:pPr>
              <w:pStyle w:val="16"/>
              <w:rPr>
                <w:rFonts w:hint="eastAsia" w:ascii="宋体" w:hAnsi="宋体"/>
                <w:color w:val="000000"/>
                <w:szCs w:val="21"/>
                <w:highlight w:val="none"/>
              </w:rPr>
            </w:pPr>
          </w:p>
          <w:p>
            <w:pPr>
              <w:rPr>
                <w:highlight w:val="none"/>
              </w:rPr>
            </w:pPr>
          </w:p>
          <w:p>
            <w:pPr>
              <w:snapToGrid w:val="0"/>
              <w:spacing w:line="360" w:lineRule="exact"/>
              <w:ind w:firstLine="630" w:firstLineChars="300"/>
              <w:jc w:val="right"/>
              <w:rPr>
                <w:rFonts w:ascii="宋体" w:hAnsi="宋体"/>
                <w:color w:val="000000"/>
                <w:szCs w:val="21"/>
                <w:highlight w:val="none"/>
              </w:rPr>
            </w:pPr>
            <w:r>
              <w:rPr>
                <w:rFonts w:hint="eastAsia" w:ascii="宋体" w:hAnsi="宋体"/>
                <w:color w:val="000000"/>
                <w:szCs w:val="21"/>
                <w:highlight w:val="none"/>
              </w:rPr>
              <w:t>年    月    日</w:t>
            </w:r>
          </w:p>
        </w:tc>
      </w:tr>
    </w:tbl>
    <w:p>
      <w:pPr>
        <w:pStyle w:val="27"/>
        <w:rPr>
          <w:rFonts w:hint="eastAsia"/>
          <w:highlight w:val="none"/>
        </w:rPr>
        <w:sectPr>
          <w:pgSz w:w="11906" w:h="16838"/>
          <w:pgMar w:top="1440" w:right="1080" w:bottom="1440" w:left="1080" w:header="851" w:footer="567" w:gutter="0"/>
          <w:cols w:space="720" w:num="1"/>
          <w:titlePg/>
          <w:docGrid w:linePitch="312" w:charSpace="0"/>
        </w:sectPr>
      </w:pPr>
    </w:p>
    <w:p>
      <w:pPr>
        <w:pStyle w:val="27"/>
        <w:rPr>
          <w:rFonts w:hint="eastAsia"/>
          <w:highlight w:val="none"/>
        </w:rPr>
      </w:pPr>
    </w:p>
    <w:p>
      <w:pPr>
        <w:pStyle w:val="27"/>
        <w:rPr>
          <w:rFonts w:hint="eastAsia"/>
          <w:highlight w:val="none"/>
        </w:rPr>
      </w:pPr>
    </w:p>
    <w:p>
      <w:pPr>
        <w:pStyle w:val="3"/>
        <w:rPr>
          <w:rFonts w:hint="eastAsia" w:ascii="宋体" w:hAnsi="宋体" w:eastAsia="宋体" w:cs="宋体"/>
          <w:color w:val="auto"/>
          <w:sz w:val="31"/>
          <w:szCs w:val="31"/>
          <w:highlight w:val="none"/>
        </w:rPr>
      </w:pPr>
    </w:p>
    <w:p>
      <w:pPr>
        <w:pStyle w:val="15"/>
        <w:numPr>
          <w:ilvl w:val="0"/>
          <w:numId w:val="4"/>
        </w:numPr>
        <w:tabs>
          <w:tab w:val="left" w:pos="2472"/>
        </w:tabs>
        <w:spacing w:line="460" w:lineRule="exact"/>
        <w:jc w:val="center"/>
        <w:outlineLvl w:val="0"/>
        <w:rPr>
          <w:rFonts w:hint="eastAsia" w:ascii="Times New Roman" w:hAnsi="Times New Roman"/>
          <w:b/>
          <w:color w:val="auto"/>
          <w:sz w:val="36"/>
          <w:highlight w:val="none"/>
        </w:rPr>
      </w:pPr>
      <w:bookmarkStart w:id="93" w:name="_Toc17961"/>
      <w:r>
        <w:rPr>
          <w:rFonts w:hint="eastAsia" w:ascii="Times New Roman" w:hAnsi="Times New Roman"/>
          <w:b/>
          <w:color w:val="auto"/>
          <w:sz w:val="36"/>
          <w:highlight w:val="none"/>
        </w:rPr>
        <w:t>投标文件格式</w:t>
      </w:r>
      <w:bookmarkEnd w:id="93"/>
    </w:p>
    <w:p>
      <w:pPr>
        <w:pStyle w:val="8"/>
        <w:ind w:left="0" w:firstLine="0"/>
        <w:rPr>
          <w:rFonts w:hint="eastAsia"/>
          <w:b/>
          <w:color w:val="auto"/>
          <w:szCs w:val="28"/>
          <w:highlight w:val="none"/>
        </w:rPr>
      </w:pPr>
    </w:p>
    <w:p>
      <w:pPr>
        <w:pStyle w:val="8"/>
        <w:ind w:left="0" w:firstLine="0"/>
        <w:rPr>
          <w:rFonts w:hint="eastAsia"/>
          <w:b/>
          <w:color w:val="auto"/>
          <w:szCs w:val="28"/>
          <w:highlight w:val="none"/>
        </w:rPr>
      </w:pPr>
      <w:r>
        <w:rPr>
          <w:rFonts w:hint="eastAsia"/>
          <w:b/>
          <w:color w:val="auto"/>
          <w:szCs w:val="28"/>
          <w:highlight w:val="none"/>
        </w:rPr>
        <w:t>一、报价文件格式</w:t>
      </w:r>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24"/>
          <w:szCs w:val="20"/>
          <w:highlight w:val="none"/>
        </w:rPr>
      </w:pPr>
      <w:r>
        <w:rPr>
          <w:rFonts w:hint="eastAsia" w:ascii="宋体" w:hAnsi="宋体"/>
          <w:color w:val="auto"/>
          <w:sz w:val="24"/>
          <w:highlight w:val="none"/>
        </w:rPr>
        <w:t xml:space="preserve">                                                   </w:t>
      </w:r>
    </w:p>
    <w:p>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line="400" w:lineRule="exact"/>
        <w:jc w:val="center"/>
        <w:rPr>
          <w:rFonts w:hint="eastAsia" w:ascii="宋体" w:hAnsi="宋体"/>
          <w:bCs/>
          <w:color w:val="auto"/>
          <w:sz w:val="32"/>
          <w:szCs w:val="32"/>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10"/>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pacing w:line="400" w:lineRule="exact"/>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400" w:lineRule="exact"/>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pPr>
        <w:spacing w:line="400" w:lineRule="exact"/>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40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15"/>
        <w:spacing w:line="400" w:lineRule="exact"/>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15"/>
        <w:spacing w:line="400" w:lineRule="exact"/>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line="440" w:lineRule="exact"/>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360" w:lineRule="auto"/>
        <w:rPr>
          <w:rFonts w:hint="eastAsia" w:ascii="宋体" w:hAnsi="宋体" w:cs="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r>
        <w:rPr>
          <w:rFonts w:hint="eastAsia" w:ascii="宋体" w:hAnsi="宋体" w:cs="仿宋_GB2312"/>
          <w:color w:val="auto"/>
          <w:sz w:val="24"/>
          <w:highlight w:val="none"/>
        </w:rPr>
        <w:t xml:space="preserve">     </w:t>
      </w:r>
    </w:p>
    <w:tbl>
      <w:tblPr>
        <w:tblStyle w:val="22"/>
        <w:tblW w:w="92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378"/>
        <w:gridCol w:w="1490"/>
        <w:gridCol w:w="1726"/>
        <w:gridCol w:w="1677"/>
        <w:gridCol w:w="2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7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rPr>
              <w:t>项号</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服务期</w:t>
            </w:r>
          </w:p>
          <w:p>
            <w:pPr>
              <w:snapToGrid w:val="0"/>
              <w:jc w:val="center"/>
              <w:rPr>
                <w:rFonts w:hint="eastAsia" w:ascii="宋体" w:hAnsi="宋体"/>
                <w:b/>
                <w:bCs/>
                <w:color w:val="auto"/>
                <w:szCs w:val="21"/>
                <w:highlight w:val="none"/>
              </w:rPr>
            </w:pPr>
            <w:r>
              <w:rPr>
                <w:rFonts w:hint="eastAsia" w:ascii="宋体" w:hAnsi="宋体"/>
                <w:b/>
                <w:bCs/>
                <w:color w:val="auto"/>
                <w:szCs w:val="21"/>
                <w:highlight w:val="none"/>
              </w:rPr>
              <w:t>（月）①</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服务费标准</w:t>
            </w:r>
          </w:p>
          <w:p>
            <w:pPr>
              <w:snapToGrid w:val="0"/>
              <w:jc w:val="center"/>
              <w:rPr>
                <w:rFonts w:hint="eastAsia" w:ascii="宋体" w:hAnsi="宋体"/>
                <w:b/>
                <w:bCs/>
                <w:color w:val="auto"/>
                <w:szCs w:val="21"/>
                <w:highlight w:val="none"/>
              </w:rPr>
            </w:pPr>
            <w:r>
              <w:rPr>
                <w:rFonts w:hint="eastAsia" w:ascii="宋体" w:hAnsi="宋体"/>
                <w:b/>
                <w:bCs/>
                <w:color w:val="auto"/>
                <w:szCs w:val="21"/>
                <w:highlight w:val="none"/>
              </w:rPr>
              <w:t>（元</w:t>
            </w:r>
            <w:r>
              <w:rPr>
                <w:rFonts w:ascii="宋体" w:hAnsi="宋体"/>
                <w:b/>
                <w:bCs/>
                <w:color w:val="auto"/>
                <w:szCs w:val="21"/>
                <w:highlight w:val="none"/>
              </w:rPr>
              <w:t>/</w:t>
            </w:r>
            <w:r>
              <w:rPr>
                <w:rFonts w:hint="eastAsia" w:ascii="宋体" w:hAnsi="宋体"/>
                <w:b/>
                <w:bCs/>
                <w:color w:val="auto"/>
                <w:szCs w:val="21"/>
                <w:highlight w:val="none"/>
              </w:rPr>
              <w:t>月）②</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b/>
                <w:bCs/>
                <w:color w:val="auto"/>
                <w:szCs w:val="21"/>
                <w:highlight w:val="none"/>
              </w:rPr>
            </w:pPr>
            <w:r>
              <w:rPr>
                <w:rFonts w:hint="eastAsia" w:ascii="宋体" w:hAnsi="宋体"/>
                <w:b/>
                <w:bCs/>
                <w:color w:val="auto"/>
                <w:szCs w:val="21"/>
                <w:highlight w:val="none"/>
                <w:lang w:val="en-US" w:eastAsia="zh-CN"/>
              </w:rPr>
              <w:t>单项</w:t>
            </w:r>
            <w:r>
              <w:rPr>
                <w:rFonts w:hint="eastAsia" w:ascii="宋体" w:hAnsi="宋体"/>
                <w:b/>
                <w:bCs/>
                <w:color w:val="auto"/>
                <w:szCs w:val="21"/>
                <w:highlight w:val="none"/>
              </w:rPr>
              <w:t>合计</w:t>
            </w:r>
            <w:r>
              <w:rPr>
                <w:rFonts w:hint="eastAsia" w:ascii="宋体" w:hAnsi="宋体" w:eastAsia="宋体" w:cs="宋体"/>
                <w:b/>
                <w:bCs/>
                <w:color w:val="auto"/>
                <w:szCs w:val="21"/>
                <w:highlight w:val="none"/>
              </w:rPr>
              <w:t>③</w:t>
            </w:r>
            <w:r>
              <w:rPr>
                <w:rFonts w:hint="eastAsia" w:ascii="宋体" w:hAnsi="宋体"/>
                <w:b/>
                <w:bCs/>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护工</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保洁、洗涤</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安保</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管理人员</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jc w:val="center"/>
        </w:trPr>
        <w:tc>
          <w:tcPr>
            <w:tcW w:w="9298" w:type="dxa"/>
            <w:gridSpan w:val="6"/>
            <w:tcBorders>
              <w:top w:val="single" w:color="auto" w:sz="4" w:space="0"/>
              <w:left w:val="single" w:color="auto" w:sz="4" w:space="0"/>
              <w:bottom w:val="single" w:color="auto" w:sz="4" w:space="0"/>
              <w:right w:val="single" w:color="auto" w:sz="4" w:space="0"/>
            </w:tcBorders>
            <w:noWrap w:val="0"/>
            <w:vAlign w:val="bottom"/>
          </w:tcPr>
          <w:p>
            <w:pPr>
              <w:snapToGrid w:val="0"/>
              <w:spacing w:before="50" w:after="50" w:line="360" w:lineRule="auto"/>
              <w:rPr>
                <w:rFonts w:ascii="宋体" w:hAnsi="宋体" w:cs="宋体"/>
                <w:color w:val="auto"/>
                <w:spacing w:val="-7"/>
                <w:sz w:val="24"/>
                <w:highlight w:val="none"/>
              </w:rPr>
            </w:pPr>
            <w:r>
              <w:rPr>
                <w:rFonts w:ascii="宋体" w:hAnsi="宋体" w:cs="宋体"/>
                <w:color w:val="auto"/>
                <w:spacing w:val="-7"/>
                <w:sz w:val="24"/>
                <w:highlight w:val="none"/>
              </w:rPr>
              <w:t>合计金额大写：人民币</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u w:val="single"/>
              </w:rPr>
              <w:t xml:space="preserve">                 </w:t>
            </w:r>
            <w:r>
              <w:rPr>
                <w:rFonts w:ascii="宋体" w:hAnsi="宋体" w:cs="宋体"/>
                <w:color w:val="auto"/>
                <w:spacing w:val="5"/>
                <w:sz w:val="24"/>
                <w:highlight w:val="none"/>
                <w:u w:val="single"/>
              </w:rPr>
              <w:t xml:space="preserve">   </w:t>
            </w:r>
            <w:r>
              <w:rPr>
                <w:rFonts w:ascii="宋体" w:hAnsi="宋体" w:cs="宋体"/>
                <w:color w:val="auto"/>
                <w:spacing w:val="-7"/>
                <w:sz w:val="24"/>
                <w:highlight w:val="none"/>
              </w:rPr>
              <w:t>（￥</w:t>
            </w:r>
            <w:r>
              <w:rPr>
                <w:rFonts w:ascii="宋体" w:hAnsi="宋体" w:cs="宋体"/>
                <w:color w:val="auto"/>
                <w:spacing w:val="2"/>
                <w:sz w:val="24"/>
                <w:highlight w:val="none"/>
                <w:u w:val="single"/>
              </w:rPr>
              <w:t xml:space="preserve">           </w:t>
            </w:r>
            <w:r>
              <w:rPr>
                <w:rFonts w:ascii="宋体" w:hAnsi="宋体" w:cs="宋体"/>
                <w:color w:val="auto"/>
                <w:spacing w:val="-7"/>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98" w:type="dxa"/>
            <w:gridSpan w:val="6"/>
            <w:tcBorders>
              <w:top w:val="single" w:color="auto" w:sz="4" w:space="0"/>
              <w:left w:val="single" w:color="auto" w:sz="4" w:space="0"/>
              <w:bottom w:val="single" w:color="auto" w:sz="4" w:space="0"/>
              <w:right w:val="single" w:color="auto" w:sz="4" w:space="0"/>
            </w:tcBorders>
            <w:noWrap w:val="0"/>
            <w:vAlign w:val="bottom"/>
          </w:tcPr>
          <w:p>
            <w:pPr>
              <w:snapToGrid w:val="0"/>
              <w:spacing w:before="50" w:after="50" w:line="360" w:lineRule="auto"/>
              <w:rPr>
                <w:rFonts w:hint="eastAsia" w:ascii="宋体" w:hAnsi="宋体" w:cs="宋体"/>
                <w:color w:val="auto"/>
                <w:spacing w:val="-7"/>
                <w:sz w:val="24"/>
                <w:highlight w:val="none"/>
              </w:rPr>
            </w:pPr>
            <w:r>
              <w:rPr>
                <w:rFonts w:hint="eastAsia" w:ascii="宋体" w:hAnsi="宋体" w:cs="宋体"/>
                <w:color w:val="auto"/>
                <w:spacing w:val="-7"/>
                <w:sz w:val="24"/>
                <w:highlight w:val="none"/>
              </w:rPr>
              <w:t>合同履行期限：</w:t>
            </w:r>
          </w:p>
          <w:p>
            <w:pPr>
              <w:snapToGrid w:val="0"/>
              <w:spacing w:before="50" w:after="50" w:line="360" w:lineRule="auto"/>
              <w:rPr>
                <w:rFonts w:hint="eastAsia" w:ascii="宋体" w:hAnsi="宋体" w:cs="宋体"/>
                <w:color w:val="auto"/>
                <w:spacing w:val="-7"/>
                <w:sz w:val="24"/>
                <w:highlight w:val="none"/>
              </w:rPr>
            </w:pPr>
            <w:r>
              <w:rPr>
                <w:rFonts w:hint="eastAsia" w:ascii="宋体" w:hAnsi="宋体" w:cs="宋体"/>
                <w:color w:val="auto"/>
                <w:spacing w:val="-7"/>
                <w:sz w:val="24"/>
                <w:highlight w:val="none"/>
              </w:rPr>
              <w:t>服务地点：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98" w:type="dxa"/>
            <w:gridSpan w:val="6"/>
            <w:tcBorders>
              <w:top w:val="single" w:color="auto" w:sz="4" w:space="0"/>
              <w:left w:val="single" w:color="auto" w:sz="4" w:space="0"/>
              <w:bottom w:val="single" w:color="auto" w:sz="4" w:space="0"/>
              <w:right w:val="single" w:color="auto" w:sz="4" w:space="0"/>
            </w:tcBorders>
            <w:noWrap w:val="0"/>
            <w:vAlign w:val="bottom"/>
          </w:tcPr>
          <w:p>
            <w:pPr>
              <w:snapToGrid w:val="0"/>
              <w:spacing w:before="50" w:after="50" w:line="360" w:lineRule="auto"/>
              <w:rPr>
                <w:rFonts w:hint="eastAsia" w:ascii="宋体" w:hAnsi="宋体" w:cs="宋体"/>
                <w:color w:val="auto"/>
                <w:spacing w:val="-7"/>
                <w:sz w:val="24"/>
                <w:highlight w:val="none"/>
              </w:rPr>
            </w:pPr>
            <w:r>
              <w:rPr>
                <w:rFonts w:hint="eastAsia" w:ascii="宋体" w:hAnsi="宋体" w:cs="宋体"/>
                <w:color w:val="auto"/>
                <w:spacing w:val="-7"/>
                <w:sz w:val="24"/>
                <w:highlight w:val="none"/>
              </w:rPr>
              <w:t>投标报价包含办公费、设备费、管理费、税费、中标人所聘用人员的工资、福利、社会保险金、加班费、服装费，水电费，岗位配套装备等所有经营费用。</w:t>
            </w:r>
          </w:p>
        </w:tc>
      </w:tr>
    </w:tbl>
    <w:p>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4.如为联合体投标，盖章处须加盖联合体各方公章，</w:t>
      </w:r>
      <w:r>
        <w:rPr>
          <w:rFonts w:hint="eastAsia" w:ascii="宋体" w:hAnsi="宋体"/>
          <w:b/>
          <w:color w:val="auto"/>
          <w:spacing w:val="-6"/>
          <w:sz w:val="24"/>
          <w:highlight w:val="none"/>
        </w:rPr>
        <w:t>否则其投标作无效标处理。</w:t>
      </w:r>
    </w:p>
    <w:p>
      <w:pPr>
        <w:snapToGrid w:val="0"/>
        <w:spacing w:before="50" w:after="50"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left="-2" w:leftChars="-1" w:right="-817" w:rightChars="-389"/>
        <w:rPr>
          <w:rFonts w:hint="eastAsia" w:ascii="宋体" w:hAnsi="宋体"/>
          <w:color w:val="auto"/>
          <w:sz w:val="24"/>
          <w:highlight w:val="none"/>
        </w:rPr>
      </w:pPr>
    </w:p>
    <w:p>
      <w:pPr>
        <w:snapToGrid w:val="0"/>
        <w:spacing w:before="50" w:after="50" w:line="360" w:lineRule="auto"/>
        <w:ind w:left="-2" w:leftChars="-1" w:right="-817" w:rightChars="-389"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right="-817" w:rightChars="-389" w:firstLine="480" w:firstLineChars="200"/>
        <w:rPr>
          <w:rFonts w:hint="eastAsia" w:ascii="宋体" w:hAnsi="宋体"/>
          <w:color w:val="auto"/>
          <w:sz w:val="24"/>
          <w:highlight w:val="none"/>
        </w:rPr>
      </w:pPr>
      <w:r>
        <w:rPr>
          <w:rFonts w:hint="eastAsia" w:ascii="宋体" w:hAnsi="宋体"/>
          <w:color w:val="auto"/>
          <w:sz w:val="24"/>
          <w:highlight w:val="none"/>
        </w:rPr>
        <w:t xml:space="preserve">投标人（盖公章）：                                </w:t>
      </w:r>
    </w:p>
    <w:p>
      <w:pPr>
        <w:snapToGrid w:val="0"/>
        <w:spacing w:before="50" w:after="50" w:line="360" w:lineRule="auto"/>
        <w:ind w:right="-817" w:rightChars="-389" w:firstLine="480" w:firstLineChars="200"/>
        <w:rPr>
          <w:rFonts w:hint="eastAsia" w:ascii="宋体" w:hAnsi="宋体"/>
          <w:color w:val="auto"/>
          <w:sz w:val="24"/>
          <w:highlight w:val="none"/>
        </w:rPr>
      </w:pPr>
      <w:r>
        <w:rPr>
          <w:rFonts w:hint="eastAsia" w:ascii="宋体" w:hAnsi="宋体"/>
          <w:color w:val="auto"/>
          <w:sz w:val="24"/>
          <w:highlight w:val="none"/>
        </w:rPr>
        <w:t>日期：    年   月   日</w:t>
      </w:r>
    </w:p>
    <w:p>
      <w:pPr>
        <w:pStyle w:val="29"/>
        <w:rPr>
          <w:rFonts w:hint="eastAsia" w:ascii="宋体" w:hAnsi="宋体"/>
          <w:color w:val="auto"/>
          <w:sz w:val="24"/>
          <w:highlight w:val="none"/>
        </w:rPr>
      </w:pPr>
    </w:p>
    <w:p>
      <w:pPr>
        <w:pStyle w:val="29"/>
        <w:rPr>
          <w:rFonts w:hint="eastAsia" w:ascii="宋体" w:hAnsi="宋体"/>
          <w:color w:val="auto"/>
          <w:sz w:val="24"/>
          <w:highlight w:val="none"/>
        </w:rPr>
      </w:pPr>
    </w:p>
    <w:p>
      <w:pPr>
        <w:snapToGrid w:val="0"/>
        <w:spacing w:before="50" w:after="50" w:line="360" w:lineRule="auto"/>
        <w:ind w:left="-3" w:leftChars="-15" w:right="-817" w:rightChars="-389" w:hanging="28" w:hangingChars="12"/>
        <w:rPr>
          <w:rFonts w:hint="eastAsia"/>
          <w:b/>
          <w:color w:val="auto"/>
          <w:sz w:val="28"/>
          <w:szCs w:val="28"/>
          <w:highlight w:val="none"/>
        </w:rPr>
      </w:pPr>
      <w:r>
        <w:rPr>
          <w:rFonts w:ascii="宋体" w:hAnsi="宋体"/>
          <w:color w:val="auto"/>
          <w:sz w:val="24"/>
          <w:highlight w:val="none"/>
        </w:rPr>
        <w:br w:type="page"/>
      </w:r>
      <w:bookmarkStart w:id="94" w:name="_Toc19686837"/>
      <w:r>
        <w:rPr>
          <w:rFonts w:hint="eastAsia"/>
          <w:b/>
          <w:color w:val="auto"/>
          <w:sz w:val="28"/>
          <w:szCs w:val="28"/>
          <w:highlight w:val="none"/>
        </w:rPr>
        <w:t>二、资格证明文件格式</w:t>
      </w:r>
      <w:bookmarkEnd w:id="94"/>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pStyle w:val="10"/>
        <w:snapToGrid w:val="0"/>
        <w:spacing w:before="50" w:after="50"/>
        <w:ind w:firstLine="540" w:firstLineChars="225"/>
        <w:rPr>
          <w:rFonts w:hint="eastAsia" w:ascii="宋体" w:hAnsi="宋体"/>
          <w:bCs/>
          <w:color w:val="auto"/>
          <w:sz w:val="24"/>
          <w:szCs w:val="24"/>
          <w:highlight w:val="none"/>
        </w:rPr>
      </w:pPr>
    </w:p>
    <w:p>
      <w:pPr>
        <w:pStyle w:val="10"/>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10"/>
        <w:snapToGrid w:val="0"/>
        <w:spacing w:before="50" w:after="50"/>
        <w:ind w:firstLine="540" w:firstLineChars="225"/>
        <w:rPr>
          <w:rFonts w:hint="eastAsia" w:ascii="宋体" w:hAnsi="宋体"/>
          <w:bCs/>
          <w:color w:val="auto"/>
          <w:sz w:val="24"/>
          <w:szCs w:val="24"/>
          <w:highlight w:val="none"/>
        </w:rPr>
      </w:pPr>
    </w:p>
    <w:p>
      <w:pPr>
        <w:pStyle w:val="10"/>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pStyle w:val="27"/>
        <w:rPr>
          <w:rFonts w:hint="eastAsia" w:hAnsi="宋体"/>
          <w:color w:val="auto"/>
          <w:szCs w:val="21"/>
          <w:highlight w:val="none"/>
        </w:rPr>
      </w:pP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pStyle w:val="21"/>
        <w:wordWrap w:val="0"/>
        <w:spacing w:before="0" w:beforeAutospacing="0" w:after="0" w:afterAutospacing="0" w:line="400" w:lineRule="exact"/>
        <w:jc w:val="both"/>
        <w:rPr>
          <w:rFonts w:hint="eastAsia"/>
          <w:b/>
          <w:color w:val="auto"/>
          <w:sz w:val="28"/>
          <w:szCs w:val="28"/>
          <w:highlight w:val="none"/>
        </w:rPr>
      </w:pPr>
      <w:r>
        <w:rPr>
          <w:rFonts w:ascii="宋体" w:hAnsi="宋体"/>
          <w:b/>
          <w:color w:val="auto"/>
          <w:sz w:val="24"/>
          <w:highlight w:val="none"/>
        </w:rPr>
        <w:br w:type="page"/>
      </w:r>
      <w:bookmarkStart w:id="95" w:name="_Toc11077"/>
      <w:bookmarkStart w:id="96" w:name="_Toc21942"/>
      <w:bookmarkStart w:id="97" w:name="_Toc22617"/>
      <w:r>
        <w:rPr>
          <w:rFonts w:hint="eastAsia" w:ascii="宋体" w:hAnsi="宋体"/>
          <w:b/>
          <w:bCs/>
          <w:color w:val="auto"/>
          <w:sz w:val="24"/>
          <w:highlight w:val="none"/>
        </w:rPr>
        <w:t>3.</w:t>
      </w:r>
      <w:bookmarkEnd w:id="95"/>
      <w:bookmarkEnd w:id="96"/>
      <w:bookmarkEnd w:id="97"/>
      <w:r>
        <w:rPr>
          <w:rFonts w:hint="eastAsia"/>
          <w:b/>
          <w:color w:val="auto"/>
          <w:sz w:val="28"/>
          <w:szCs w:val="28"/>
          <w:highlight w:val="none"/>
        </w:rPr>
        <w:t>崇左市政府采购供应商信用承诺函（格式）</w:t>
      </w:r>
    </w:p>
    <w:p>
      <w:pPr>
        <w:pStyle w:val="3"/>
        <w:rPr>
          <w:rFonts w:ascii="方正小标宋简体" w:hAnsi="方正小标宋简体" w:eastAsia="方正小标宋简体" w:cs="方正小标宋简体"/>
          <w:color w:val="auto"/>
          <w:sz w:val="36"/>
          <w:szCs w:val="36"/>
          <w:highlight w:val="none"/>
          <w:lang w:bidi="ar"/>
        </w:rPr>
      </w:pPr>
    </w:p>
    <w:p>
      <w:pPr>
        <w:snapToGrid w:val="0"/>
        <w:spacing w:before="50" w:after="120" w:afterLines="50" w:line="360" w:lineRule="auto"/>
        <w:jc w:val="center"/>
        <w:rPr>
          <w:rFonts w:hint="eastAsia" w:ascii="仿宋_GB2312" w:hAnsi="仿宋_GB2312" w:eastAsia="仿宋_GB2312" w:cs="仿宋_GB2312"/>
          <w:color w:val="auto"/>
          <w:kern w:val="0"/>
          <w:sz w:val="32"/>
          <w:szCs w:val="32"/>
          <w:highlight w:val="none"/>
          <w:lang w:bidi="ar"/>
        </w:rPr>
      </w:pPr>
      <w:r>
        <w:rPr>
          <w:rFonts w:hint="eastAsia" w:ascii="宋体" w:hAnsi="宋体"/>
          <w:b/>
          <w:color w:val="auto"/>
          <w:sz w:val="32"/>
          <w:szCs w:val="32"/>
          <w:highlight w:val="none"/>
        </w:rPr>
        <w:t>崇左市政府采购供应商信用承诺函（格式）</w:t>
      </w:r>
    </w:p>
    <w:p>
      <w:pPr>
        <w:widowControl/>
        <w:spacing w:line="440" w:lineRule="exac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致</w:t>
      </w:r>
      <w:r>
        <w:rPr>
          <w:rFonts w:hint="eastAsia" w:ascii="宋体" w:hAnsi="宋体" w:cs="宋体"/>
          <w:color w:val="auto"/>
          <w:kern w:val="0"/>
          <w:sz w:val="24"/>
          <w:highlight w:val="none"/>
          <w:u w:val="single"/>
          <w:lang w:bidi="ar"/>
        </w:rPr>
        <w:t>（采购代理机构名称）</w:t>
      </w:r>
      <w:r>
        <w:rPr>
          <w:rFonts w:hint="eastAsia" w:ascii="宋体" w:hAnsi="宋体" w:cs="宋体"/>
          <w:color w:val="auto"/>
          <w:kern w:val="0"/>
          <w:sz w:val="24"/>
          <w:highlight w:val="none"/>
          <w:lang w:bidi="ar"/>
        </w:rPr>
        <w:t>:</w:t>
      </w:r>
    </w:p>
    <w:p>
      <w:pPr>
        <w:widowControl/>
        <w:spacing w:line="44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lang w:bidi="ar"/>
        </w:rPr>
        <w:t>我方自愿参加</w:t>
      </w:r>
      <w:r>
        <w:rPr>
          <w:rFonts w:hint="eastAsia" w:ascii="宋体" w:hAnsi="宋体" w:cs="宋体"/>
          <w:color w:val="auto"/>
          <w:kern w:val="0"/>
          <w:sz w:val="24"/>
          <w:highlight w:val="none"/>
          <w:u w:val="single"/>
          <w:lang w:bidi="ar"/>
        </w:rPr>
        <w:t xml:space="preserve"> （项目名称） </w:t>
      </w:r>
      <w:r>
        <w:rPr>
          <w:rFonts w:hint="eastAsia" w:ascii="宋体" w:hAnsi="宋体" w:cs="宋体"/>
          <w:color w:val="auto"/>
          <w:kern w:val="0"/>
          <w:sz w:val="24"/>
          <w:highlight w:val="none"/>
          <w:lang w:bidi="ar"/>
        </w:rPr>
        <w:t>项目</w:t>
      </w: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w:t>
      </w:r>
      <w:r>
        <w:rPr>
          <w:rFonts w:hint="eastAsia" w:ascii="宋体" w:hAnsi="宋体" w:cs="宋体"/>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4"/>
          <w:highlight w:val="none"/>
          <w:lang w:bidi="ar"/>
        </w:rPr>
        <w:t xml:space="preserve">： </w:t>
      </w:r>
    </w:p>
    <w:p>
      <w:pPr>
        <w:widowControl/>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1.我方</w:t>
      </w:r>
      <w:r>
        <w:rPr>
          <w:rFonts w:hint="eastAsia" w:ascii="宋体" w:hAnsi="宋体" w:cs="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2.我方具有符合采购文件资格要求的财务状况报告。 </w:t>
      </w:r>
    </w:p>
    <w:p>
      <w:pPr>
        <w:widowControl/>
        <w:spacing w:line="440" w:lineRule="exact"/>
        <w:ind w:firstLine="456" w:firstLineChars="200"/>
        <w:rPr>
          <w:rFonts w:hint="eastAsia" w:ascii="宋体" w:hAnsi="宋体" w:cs="宋体"/>
          <w:color w:val="auto"/>
          <w:spacing w:val="-17"/>
          <w:sz w:val="24"/>
          <w:highlight w:val="none"/>
        </w:rPr>
      </w:pPr>
      <w:r>
        <w:rPr>
          <w:rFonts w:hint="eastAsia" w:ascii="宋体" w:hAnsi="宋体" w:cs="宋体"/>
          <w:color w:val="auto"/>
          <w:spacing w:val="-6"/>
          <w:kern w:val="0"/>
          <w:sz w:val="24"/>
          <w:highlight w:val="none"/>
          <w:lang w:bidi="ar"/>
        </w:rPr>
        <w:t>3.我方具有符合采购文件资格要求的依法缴纳税收和社会保障资金的良好记录。</w:t>
      </w:r>
      <w:r>
        <w:rPr>
          <w:rFonts w:hint="eastAsia" w:ascii="宋体" w:hAnsi="宋体" w:cs="宋体"/>
          <w:color w:val="auto"/>
          <w:spacing w:val="-17"/>
          <w:kern w:val="0"/>
          <w:sz w:val="24"/>
          <w:highlight w:val="none"/>
          <w:lang w:bidi="ar"/>
        </w:rPr>
        <w:t xml:space="preserve"> </w:t>
      </w:r>
    </w:p>
    <w:p>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4.我方具有符合采购文件资格要求履行合同所必需的设备和专业技术能力。 </w:t>
      </w:r>
    </w:p>
    <w:p>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5.我方参加政府采购活动前3年内在经营活动中没有重大违法记录。 </w:t>
      </w:r>
    </w:p>
    <w:p>
      <w:pPr>
        <w:widowControl/>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我方对以上承诺内容的真实性负责。如有虚假，将依法承担相应责任。</w:t>
      </w:r>
    </w:p>
    <w:p>
      <w:pPr>
        <w:widowControl/>
        <w:spacing w:line="440" w:lineRule="exact"/>
        <w:ind w:firstLine="480" w:firstLineChars="200"/>
        <w:rPr>
          <w:rFonts w:hint="eastAsia" w:ascii="宋体" w:hAnsi="宋体" w:cs="宋体"/>
          <w:color w:val="auto"/>
          <w:kern w:val="0"/>
          <w:sz w:val="24"/>
          <w:highlight w:val="none"/>
          <w:lang w:bidi="ar"/>
        </w:rPr>
      </w:pPr>
    </w:p>
    <w:p>
      <w:pPr>
        <w:widowControl/>
        <w:spacing w:line="440" w:lineRule="exact"/>
        <w:ind w:firstLine="480" w:firstLineChars="200"/>
        <w:rPr>
          <w:rFonts w:hint="eastAsia" w:ascii="宋体" w:hAnsi="宋体" w:cs="宋体"/>
          <w:color w:val="auto"/>
          <w:kern w:val="0"/>
          <w:sz w:val="24"/>
          <w:highlight w:val="none"/>
          <w:lang w:bidi="ar"/>
        </w:rPr>
      </w:pPr>
    </w:p>
    <w:p>
      <w:pPr>
        <w:widowControl/>
        <w:spacing w:line="440" w:lineRule="exact"/>
        <w:ind w:firstLine="3600" w:firstLineChars="15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供应商名称（盖章）： </w:t>
      </w:r>
    </w:p>
    <w:p>
      <w:pPr>
        <w:tabs>
          <w:tab w:val="left" w:pos="7560"/>
        </w:tabs>
        <w:spacing w:line="440" w:lineRule="exact"/>
        <w:ind w:firstLine="3600" w:firstLineChars="15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日期：</w:t>
      </w:r>
    </w:p>
    <w:p>
      <w:pPr>
        <w:pStyle w:val="21"/>
        <w:wordWrap w:val="0"/>
        <w:spacing w:before="0" w:beforeAutospacing="0" w:after="0" w:afterAutospacing="0" w:line="560" w:lineRule="exact"/>
        <w:jc w:val="both"/>
        <w:rPr>
          <w:rFonts w:hint="eastAsia" w:ascii="仿宋_GB2312" w:hAnsi="仿宋_GB2312" w:eastAsia="仿宋_GB2312" w:cs="仿宋_GB2312"/>
          <w:color w:val="auto"/>
          <w:sz w:val="22"/>
          <w:szCs w:val="22"/>
          <w:highlight w:val="none"/>
          <w:lang w:bidi="ar"/>
        </w:rPr>
      </w:pPr>
    </w:p>
    <w:p>
      <w:pPr>
        <w:pStyle w:val="21"/>
        <w:wordWrap w:val="0"/>
        <w:spacing w:before="0" w:beforeAutospacing="0" w:after="0" w:afterAutospacing="0" w:line="400" w:lineRule="exact"/>
        <w:jc w:val="both"/>
        <w:rPr>
          <w:rFonts w:hint="eastAsia" w:cs="宋体"/>
          <w:color w:val="auto"/>
          <w:spacing w:val="6"/>
          <w:sz w:val="22"/>
          <w:szCs w:val="22"/>
          <w:highlight w:val="none"/>
        </w:rPr>
      </w:pPr>
      <w:r>
        <w:rPr>
          <w:rFonts w:hint="eastAsia" w:cs="宋体"/>
          <w:color w:val="auto"/>
          <w:sz w:val="22"/>
          <w:szCs w:val="22"/>
          <w:highlight w:val="none"/>
          <w:lang w:bidi="ar"/>
        </w:rPr>
        <w:t>注：1.</w:t>
      </w:r>
      <w:r>
        <w:rPr>
          <w:rFonts w:hint="eastAsia" w:cs="宋体"/>
          <w:color w:val="auto"/>
          <w:sz w:val="22"/>
          <w:szCs w:val="22"/>
          <w:highlight w:val="none"/>
        </w:rPr>
        <w:t>参与政府采购活动的供应商可按第1点的内容：“</w:t>
      </w:r>
      <w:r>
        <w:rPr>
          <w:rFonts w:hint="eastAsia" w:cs="宋体"/>
          <w:color w:val="auto"/>
          <w:sz w:val="22"/>
          <w:szCs w:val="22"/>
          <w:highlight w:val="none"/>
          <w:lang w:bidi="ar"/>
        </w:rPr>
        <w:t>我方</w:t>
      </w:r>
      <w:r>
        <w:rPr>
          <w:rFonts w:hint="eastAsia"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cs="宋体"/>
          <w:color w:val="auto"/>
          <w:sz w:val="22"/>
          <w:szCs w:val="22"/>
          <w:highlight w:val="none"/>
          <w:lang w:bidi="ar"/>
        </w:rPr>
        <w:t>我方</w:t>
      </w:r>
      <w:r>
        <w:rPr>
          <w:rFonts w:hint="eastAsia"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napToGrid w:val="0"/>
        <w:spacing w:before="120" w:beforeLines="50" w:after="50"/>
        <w:jc w:val="left"/>
        <w:rPr>
          <w:rFonts w:hint="eastAsia" w:ascii="宋体" w:hAnsi="宋体"/>
          <w:b/>
          <w:bCs/>
          <w:color w:val="auto"/>
          <w:sz w:val="24"/>
          <w:highlight w:val="none"/>
        </w:rPr>
      </w:pPr>
    </w:p>
    <w:p>
      <w:pPr>
        <w:pStyle w:val="27"/>
        <w:rPr>
          <w:rFonts w:hint="eastAsia" w:hAnsi="宋体"/>
          <w:b/>
          <w:color w:val="auto"/>
          <w:highlight w:val="none"/>
        </w:rPr>
      </w:pPr>
    </w:p>
    <w:p>
      <w:pPr>
        <w:pStyle w:val="27"/>
        <w:rPr>
          <w:rFonts w:hint="eastAsia" w:hAnsi="宋体" w:cs="Times New Roman"/>
          <w:b/>
          <w:bCs/>
          <w:color w:val="auto"/>
          <w:kern w:val="2"/>
          <w:highlight w:val="none"/>
        </w:rPr>
      </w:pPr>
    </w:p>
    <w:p>
      <w:pPr>
        <w:snapToGrid w:val="0"/>
        <w:spacing w:before="120" w:beforeLines="50" w:after="50"/>
        <w:jc w:val="left"/>
        <w:rPr>
          <w:rFonts w:hint="eastAsia"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jc w:val="center"/>
        <w:rPr>
          <w:rFonts w:hint="eastAsia"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22"/>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eastAsia="宋体" w:cs="Times New Roman"/>
          <w:b/>
          <w:bCs/>
          <w:color w:val="auto"/>
          <w:sz w:val="24"/>
          <w:highlight w:val="none"/>
        </w:rPr>
        <w:t>投标人属于</w:t>
      </w:r>
      <w:r>
        <w:rPr>
          <w:rFonts w:hint="eastAsia" w:ascii="宋体" w:hAnsi="宋体" w:cs="Times New Roman"/>
          <w:b/>
          <w:bCs/>
          <w:color w:val="auto"/>
          <w:sz w:val="24"/>
          <w:highlight w:val="none"/>
          <w:lang w:val="en-US" w:eastAsia="zh-CN"/>
        </w:rPr>
        <w:t>中小</w:t>
      </w:r>
      <w:r>
        <w:rPr>
          <w:rFonts w:hint="eastAsia" w:ascii="宋体" w:hAnsi="宋体" w:eastAsia="宋体" w:cs="Times New Roman"/>
          <w:b/>
          <w:bCs/>
          <w:color w:val="auto"/>
          <w:sz w:val="24"/>
          <w:highlight w:val="none"/>
        </w:rPr>
        <w:t>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否则按无效投标处理）</w:t>
      </w:r>
    </w:p>
    <w:p>
      <w:pPr>
        <w:snapToGrid w:val="0"/>
        <w:spacing w:before="120" w:beforeLines="50" w:after="50"/>
        <w:jc w:val="left"/>
        <w:rPr>
          <w:rFonts w:hint="eastAsia"/>
          <w:color w:val="auto"/>
          <w:highlight w:val="none"/>
        </w:rPr>
      </w:pPr>
      <w:r>
        <w:rPr>
          <w:rFonts w:hint="eastAsia" w:ascii="宋体" w:hAnsi="宋体"/>
          <w:b/>
          <w:color w:val="auto"/>
          <w:sz w:val="24"/>
          <w:highlight w:val="none"/>
        </w:rPr>
        <w:t>中小企业声明函格式</w:t>
      </w:r>
    </w:p>
    <w:p>
      <w:pPr>
        <w:rPr>
          <w:rFonts w:hint="eastAsia"/>
          <w:color w:val="auto"/>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pPr>
        <w:spacing w:before="2" w:line="500" w:lineRule="exact"/>
        <w:rPr>
          <w:rFonts w:ascii="宋体" w:hAnsi="宋体" w:cs="宋体"/>
          <w:b/>
          <w:bCs/>
          <w:color w:val="auto"/>
          <w:szCs w:val="21"/>
          <w:highlight w:val="none"/>
        </w:rPr>
      </w:pPr>
    </w:p>
    <w:p>
      <w:pPr>
        <w:pStyle w:val="3"/>
        <w:spacing w:line="360" w:lineRule="auto"/>
        <w:ind w:left="-426" w:leftChars="-203" w:right="142" w:firstLine="480" w:firstLineChars="200"/>
        <w:contextualSpacing/>
        <w:rPr>
          <w:rFonts w:hint="eastAsia" w:ascii="宋体" w:hAnsi="宋体" w:cs="宋体"/>
          <w:color w:val="auto"/>
          <w:kern w:val="24"/>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采购</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1.</w:t>
      </w:r>
      <w:r>
        <w:rPr>
          <w:rFonts w:hint="eastAsia" w:ascii="宋体" w:hAnsi="宋体" w:cs="宋体"/>
          <w:color w:val="auto"/>
          <w:kern w:val="24"/>
          <w:sz w:val="24"/>
          <w:szCs w:val="24"/>
          <w:highlight w:val="none"/>
          <w:u w:val="single"/>
        </w:rPr>
        <w:t>（标的名称）</w:t>
      </w:r>
      <w:r>
        <w:rPr>
          <w:rFonts w:hint="eastAsia" w:ascii="宋体" w:hAnsi="宋体" w:cs="宋体"/>
          <w:color w:val="auto"/>
          <w:kern w:val="24"/>
          <w:sz w:val="24"/>
          <w:szCs w:val="24"/>
          <w:highlight w:val="none"/>
        </w:rPr>
        <w:t>，属于</w:t>
      </w:r>
      <w:r>
        <w:rPr>
          <w:rFonts w:hint="eastAsia" w:ascii="宋体" w:hAnsi="宋体" w:cs="宋体"/>
          <w:color w:val="auto"/>
          <w:kern w:val="24"/>
          <w:sz w:val="24"/>
          <w:szCs w:val="24"/>
          <w:highlight w:val="none"/>
          <w:u w:val="single"/>
        </w:rPr>
        <w:t>（采购文件中明确的所属行业）</w:t>
      </w:r>
      <w:r>
        <w:rPr>
          <w:rFonts w:hint="eastAsia" w:ascii="宋体" w:hAnsi="宋体" w:cs="宋体"/>
          <w:color w:val="auto"/>
          <w:kern w:val="24"/>
          <w:sz w:val="24"/>
          <w:szCs w:val="24"/>
          <w:highlight w:val="none"/>
        </w:rPr>
        <w:t>行业；承接企业为</w:t>
      </w:r>
      <w:r>
        <w:rPr>
          <w:rFonts w:hint="eastAsia" w:ascii="宋体" w:hAnsi="宋体" w:cs="宋体"/>
          <w:color w:val="auto"/>
          <w:kern w:val="24"/>
          <w:sz w:val="24"/>
          <w:szCs w:val="24"/>
          <w:highlight w:val="none"/>
          <w:u w:val="single"/>
        </w:rPr>
        <w:t>（企业名称）</w:t>
      </w:r>
      <w:r>
        <w:rPr>
          <w:rFonts w:hint="eastAsia" w:ascii="宋体" w:hAnsi="宋体" w:cs="宋体"/>
          <w:color w:val="auto"/>
          <w:kern w:val="24"/>
          <w:sz w:val="24"/>
          <w:szCs w:val="24"/>
          <w:highlight w:val="none"/>
        </w:rPr>
        <w:t>，从业人员</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人，营业收入为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万元，资产总额为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万元，属于</w:t>
      </w:r>
      <w:r>
        <w:rPr>
          <w:rFonts w:hint="eastAsia" w:ascii="宋体" w:hAnsi="宋体" w:cs="宋体"/>
          <w:color w:val="auto"/>
          <w:kern w:val="24"/>
          <w:sz w:val="24"/>
          <w:szCs w:val="24"/>
          <w:highlight w:val="none"/>
          <w:u w:val="single"/>
        </w:rPr>
        <w:t>（中型企业、小型企业、微型企业）</w:t>
      </w:r>
      <w:r>
        <w:rPr>
          <w:rFonts w:hint="eastAsia" w:ascii="宋体" w:hAnsi="宋体" w:cs="宋体"/>
          <w:color w:val="auto"/>
          <w:kern w:val="24"/>
          <w:sz w:val="24"/>
          <w:szCs w:val="24"/>
          <w:highlight w:val="none"/>
        </w:rPr>
        <w:t>；</w:t>
      </w:r>
    </w:p>
    <w:p>
      <w:pPr>
        <w:tabs>
          <w:tab w:val="left" w:pos="1065"/>
          <w:tab w:val="left" w:pos="6477"/>
        </w:tabs>
        <w:spacing w:line="360" w:lineRule="auto"/>
        <w:ind w:left="-426" w:right="-58" w:firstLine="655"/>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2.</w:t>
      </w:r>
      <w:r>
        <w:rPr>
          <w:rFonts w:hint="eastAsia" w:ascii="宋体" w:hAnsi="宋体" w:cs="宋体"/>
          <w:color w:val="auto"/>
          <w:kern w:val="24"/>
          <w:sz w:val="24"/>
          <w:szCs w:val="24"/>
          <w:highlight w:val="none"/>
          <w:u w:val="single"/>
        </w:rPr>
        <w:t>（标的名称）</w:t>
      </w:r>
      <w:r>
        <w:rPr>
          <w:rFonts w:hint="eastAsia" w:ascii="宋体" w:hAnsi="宋体" w:cs="宋体"/>
          <w:color w:val="auto"/>
          <w:kern w:val="24"/>
          <w:sz w:val="24"/>
          <w:szCs w:val="24"/>
          <w:highlight w:val="none"/>
        </w:rPr>
        <w:t>，属于</w:t>
      </w:r>
      <w:r>
        <w:rPr>
          <w:rFonts w:hint="eastAsia" w:ascii="宋体" w:hAnsi="宋体" w:cs="宋体"/>
          <w:color w:val="auto"/>
          <w:kern w:val="24"/>
          <w:sz w:val="24"/>
          <w:szCs w:val="24"/>
          <w:highlight w:val="none"/>
          <w:u w:val="single"/>
        </w:rPr>
        <w:t>（采购文件中明确的所属行业）</w:t>
      </w:r>
      <w:r>
        <w:rPr>
          <w:rFonts w:hint="eastAsia" w:ascii="宋体" w:hAnsi="宋体" w:cs="宋体"/>
          <w:color w:val="auto"/>
          <w:kern w:val="24"/>
          <w:sz w:val="24"/>
          <w:szCs w:val="24"/>
          <w:highlight w:val="none"/>
        </w:rPr>
        <w:t>行业；承接企业为</w:t>
      </w:r>
      <w:r>
        <w:rPr>
          <w:rFonts w:hint="eastAsia" w:ascii="宋体" w:hAnsi="宋体" w:cs="宋体"/>
          <w:color w:val="auto"/>
          <w:kern w:val="24"/>
          <w:sz w:val="24"/>
          <w:szCs w:val="24"/>
          <w:highlight w:val="none"/>
          <w:u w:val="single"/>
        </w:rPr>
        <w:t>（企业名称）</w:t>
      </w:r>
      <w:r>
        <w:rPr>
          <w:rFonts w:hint="eastAsia" w:ascii="宋体" w:hAnsi="宋体" w:cs="宋体"/>
          <w:color w:val="auto"/>
          <w:kern w:val="24"/>
          <w:sz w:val="24"/>
          <w:szCs w:val="24"/>
          <w:highlight w:val="none"/>
        </w:rPr>
        <w:t>，从业人员</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人，营业收入为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万元，资产总额为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万元，属于</w:t>
      </w:r>
      <w:r>
        <w:rPr>
          <w:rFonts w:hint="eastAsia" w:ascii="宋体" w:hAnsi="宋体" w:cs="宋体"/>
          <w:color w:val="auto"/>
          <w:kern w:val="24"/>
          <w:sz w:val="24"/>
          <w:szCs w:val="24"/>
          <w:highlight w:val="none"/>
          <w:u w:val="single"/>
        </w:rPr>
        <w:t>（中型企业、小型企业、微型企业）</w:t>
      </w:r>
      <w:r>
        <w:rPr>
          <w:rFonts w:hint="eastAsia" w:ascii="宋体" w:hAnsi="宋体" w:cs="宋体"/>
          <w:color w:val="auto"/>
          <w:kern w:val="24"/>
          <w:sz w:val="24"/>
          <w:szCs w:val="24"/>
          <w:highlight w:val="none"/>
        </w:rPr>
        <w:t>；</w:t>
      </w:r>
    </w:p>
    <w:p>
      <w:pPr>
        <w:pStyle w:val="3"/>
        <w:spacing w:line="360" w:lineRule="auto"/>
        <w:ind w:left="142" w:right="142"/>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 xml:space="preserve">…… </w:t>
      </w:r>
    </w:p>
    <w:p>
      <w:pPr>
        <w:pStyle w:val="3"/>
        <w:spacing w:line="360" w:lineRule="auto"/>
        <w:ind w:left="-405" w:leftChars="-193" w:right="142" w:firstLine="453" w:firstLineChars="189"/>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以上企业，不属于大企业的分支机构，不存在控股股东为大企业的情形，也不存在与大企业的负责人为同一人的情形。</w:t>
      </w:r>
    </w:p>
    <w:p>
      <w:pPr>
        <w:pStyle w:val="3"/>
        <w:spacing w:line="360" w:lineRule="auto"/>
        <w:ind w:right="142"/>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本企业对上述声明内容的真实性负责。如有虚假，将依法承担相应责任。</w:t>
      </w:r>
    </w:p>
    <w:p>
      <w:pPr>
        <w:pStyle w:val="3"/>
        <w:spacing w:line="360" w:lineRule="auto"/>
        <w:ind w:left="3960" w:right="1808"/>
        <w:contextualSpacing/>
        <w:rPr>
          <w:rFonts w:hint="eastAsia" w:ascii="宋体" w:hAnsi="宋体" w:cs="宋体"/>
          <w:color w:val="auto"/>
          <w:kern w:val="24"/>
          <w:sz w:val="24"/>
          <w:szCs w:val="24"/>
          <w:highlight w:val="none"/>
        </w:rPr>
      </w:pPr>
    </w:p>
    <w:p>
      <w:pPr>
        <w:pStyle w:val="3"/>
        <w:spacing w:line="360" w:lineRule="auto"/>
        <w:ind w:left="3960" w:right="1808"/>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 xml:space="preserve">企业名称（章）： </w:t>
      </w:r>
    </w:p>
    <w:p>
      <w:pPr>
        <w:pStyle w:val="3"/>
        <w:spacing w:line="360" w:lineRule="auto"/>
        <w:ind w:left="3960" w:right="1808"/>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日 期：</w:t>
      </w:r>
    </w:p>
    <w:p>
      <w:pPr>
        <w:pStyle w:val="3"/>
        <w:spacing w:line="360" w:lineRule="auto"/>
        <w:ind w:left="3960" w:right="1808"/>
        <w:contextualSpacing/>
        <w:rPr>
          <w:rFonts w:ascii="宋体" w:hAnsi="宋体"/>
          <w:color w:val="auto"/>
          <w:kern w:val="24"/>
          <w:highlight w:val="none"/>
        </w:rPr>
      </w:pPr>
    </w:p>
    <w:p>
      <w:pPr>
        <w:pStyle w:val="3"/>
        <w:spacing w:line="360" w:lineRule="auto"/>
        <w:ind w:left="-426" w:right="142" w:firstLine="567"/>
        <w:contextualSpacing/>
        <w:rPr>
          <w:rFonts w:hint="eastAsia" w:ascii="宋体" w:hAnsi="宋体"/>
          <w:color w:val="auto"/>
          <w:kern w:val="24"/>
          <w:highlight w:val="none"/>
        </w:rPr>
      </w:pPr>
    </w:p>
    <w:p>
      <w:pPr>
        <w:pStyle w:val="3"/>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rPr>
          <w:rFonts w:hint="eastAsia" w:ascii="宋体" w:hAnsi="宋体" w:cs="宋体"/>
          <w:b/>
          <w:bCs/>
          <w:color w:val="auto"/>
          <w:sz w:val="32"/>
          <w:szCs w:val="32"/>
          <w:highlight w:val="none"/>
        </w:rPr>
      </w:pPr>
      <w:r>
        <w:rPr>
          <w:rFonts w:hint="eastAsia" w:ascii="宋体" w:hAnsi="宋体" w:eastAsia="Arial Unicode MS"/>
          <w:b/>
          <w:color w:val="auto"/>
          <w:sz w:val="24"/>
          <w:highlight w:val="none"/>
          <w:lang w:val="en-US" w:eastAsia="zh-CN"/>
        </w:rPr>
        <w:t>7</w:t>
      </w:r>
      <w:r>
        <w:rPr>
          <w:rFonts w:hint="eastAsia" w:ascii="宋体" w:hAnsi="宋体"/>
          <w:b/>
          <w:color w:val="auto"/>
          <w:sz w:val="24"/>
          <w:highlight w:val="none"/>
        </w:rPr>
        <w:t>.如投标人属于监狱企业的，以提供由省级以上监狱管理局、戒毒管理局（含新疆生产建设兵团）出具的属于监狱企业的证明文件为准（如有，请提供）；</w:t>
      </w:r>
    </w:p>
    <w:p>
      <w:pPr>
        <w:snapToGrid w:val="0"/>
        <w:spacing w:before="120" w:beforeLines="50" w:after="50"/>
        <w:ind w:left="142"/>
        <w:jc w:val="left"/>
        <w:rPr>
          <w:rFonts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pStyle w:val="27"/>
        <w:rPr>
          <w:rFonts w:hint="eastAsia" w:ascii="宋体" w:hAnsi="宋体"/>
          <w:b/>
          <w:bCs/>
          <w:color w:val="auto"/>
          <w:sz w:val="24"/>
          <w:highlight w:val="none"/>
          <w:lang w:eastAsia="zh-CN"/>
        </w:rPr>
      </w:pPr>
    </w:p>
    <w:p>
      <w:pPr>
        <w:snapToGrid w:val="0"/>
        <w:spacing w:before="120" w:beforeLines="50" w:after="50"/>
        <w:jc w:val="left"/>
        <w:rPr>
          <w:rFonts w:hint="eastAsia" w:ascii="宋体" w:hAnsi="宋体"/>
          <w:b/>
          <w:bCs/>
          <w:color w:val="auto"/>
          <w:sz w:val="24"/>
          <w:highlight w:val="none"/>
        </w:rPr>
      </w:pPr>
      <w:r>
        <w:rPr>
          <w:rFonts w:hint="eastAsia" w:ascii="宋体" w:hAnsi="宋体"/>
          <w:b/>
          <w:bCs/>
          <w:color w:val="auto"/>
          <w:sz w:val="24"/>
          <w:highlight w:val="none"/>
          <w:lang w:val="en-US" w:eastAsia="zh-CN"/>
        </w:rPr>
        <w:t>9</w:t>
      </w:r>
      <w:r>
        <w:rPr>
          <w:rFonts w:hint="eastAsia" w:ascii="宋体" w:hAnsi="宋体"/>
          <w:b/>
          <w:bCs/>
          <w:color w:val="auto"/>
          <w:sz w:val="24"/>
          <w:highlight w:val="none"/>
        </w:rPr>
        <w:t>.投标声明格式</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w:t>
      </w:r>
    </w:p>
    <w:p>
      <w:pPr>
        <w:spacing w:line="400" w:lineRule="exact"/>
        <w:contextualSpacing/>
        <w:jc w:val="left"/>
        <w:rPr>
          <w:rFonts w:hint="eastAsia" w:ascii="宋体" w:hAnsi="宋体"/>
          <w:color w:val="auto"/>
          <w:sz w:val="24"/>
          <w:highlight w:val="none"/>
        </w:rPr>
      </w:pPr>
    </w:p>
    <w:p>
      <w:pPr>
        <w:spacing w:line="400" w:lineRule="exact"/>
        <w:ind w:firstLine="4320" w:firstLineChars="1800"/>
        <w:contextualSpacing/>
        <w:jc w:val="left"/>
        <w:rPr>
          <w:rFonts w:hint="eastAsia" w:ascii="宋体" w:hAnsi="宋体"/>
          <w:color w:val="auto"/>
          <w:sz w:val="24"/>
          <w:highlight w:val="none"/>
        </w:rPr>
      </w:pPr>
      <w:r>
        <w:rPr>
          <w:rFonts w:hint="eastAsia" w:ascii="宋体" w:hAnsi="宋体"/>
          <w:color w:val="auto"/>
          <w:sz w:val="24"/>
          <w:highlight w:val="none"/>
        </w:rPr>
        <w:t>法定代表人（签字或者盖章）：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pPr>
        <w:rPr>
          <w:rFonts w:hint="eastAsia"/>
          <w:b/>
          <w:color w:val="auto"/>
          <w:sz w:val="28"/>
          <w:szCs w:val="28"/>
          <w:highlight w:val="none"/>
        </w:rPr>
      </w:pPr>
      <w:bookmarkStart w:id="98" w:name="_Toc19686838"/>
      <w:r>
        <w:rPr>
          <w:rFonts w:hint="eastAsia"/>
          <w:b/>
          <w:color w:val="auto"/>
          <w:sz w:val="28"/>
          <w:szCs w:val="28"/>
          <w:highlight w:val="none"/>
        </w:rPr>
        <w:t>三、商务文件格式</w:t>
      </w:r>
      <w:bookmarkEnd w:id="98"/>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p>
    <w:p>
      <w:pPr>
        <w:snapToGrid w:val="0"/>
        <w:spacing w:before="120" w:beforeLines="50" w:after="50"/>
        <w:ind w:firstLine="540" w:firstLineChars="225"/>
        <w:rPr>
          <w:rFonts w:hint="eastAsia" w:ascii="宋体" w:hAnsi="宋体"/>
          <w:bCs/>
          <w:color w:val="auto"/>
          <w:sz w:val="24"/>
          <w:highlight w:val="none"/>
        </w:rPr>
      </w:pPr>
    </w:p>
    <w:p>
      <w:pPr>
        <w:snapToGrid w:val="0"/>
        <w:spacing w:before="120" w:beforeLines="50" w:after="50"/>
        <w:ind w:firstLine="540" w:firstLineChars="225"/>
        <w:rPr>
          <w:rFonts w:hint="eastAsia" w:ascii="宋体" w:hAnsi="宋体"/>
          <w:bCs/>
          <w:color w:val="auto"/>
          <w:sz w:val="24"/>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hint="eastAsia" w:ascii="宋体" w:hAnsi="宋体"/>
          <w:bCs/>
          <w:color w:val="auto"/>
          <w:sz w:val="24"/>
          <w:szCs w:val="20"/>
          <w:highlight w:val="none"/>
        </w:rPr>
      </w:pPr>
    </w:p>
    <w:p>
      <w:pPr>
        <w:pStyle w:val="10"/>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10"/>
        <w:snapToGrid w:val="0"/>
        <w:spacing w:before="50" w:after="50"/>
        <w:ind w:firstLine="540" w:firstLineChars="225"/>
        <w:rPr>
          <w:rFonts w:hint="eastAsia" w:ascii="宋体" w:hAnsi="宋体"/>
          <w:bCs/>
          <w:color w:val="auto"/>
          <w:sz w:val="24"/>
          <w:szCs w:val="24"/>
          <w:highlight w:val="none"/>
        </w:rPr>
      </w:pPr>
    </w:p>
    <w:p>
      <w:pPr>
        <w:pStyle w:val="10"/>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10"/>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pacing w:line="400" w:lineRule="exact"/>
        <w:contextualSpacing/>
        <w:jc w:val="left"/>
        <w:rPr>
          <w:rFonts w:hint="eastAsia" w:ascii="宋体" w:hAnsi="宋体"/>
          <w:color w:val="auto"/>
          <w:sz w:val="24"/>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8"/>
        <w:rPr>
          <w:rFonts w:hint="eastAsia" w:ascii="宋体" w:hAnsi="宋体"/>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5"/>
        <w:spacing w:line="440" w:lineRule="exact"/>
        <w:ind w:firstLine="6840" w:firstLineChars="2850"/>
        <w:contextualSpacing/>
        <w:rPr>
          <w:rFonts w:hint="eastAsia" w:hAnsi="宋体"/>
          <w:color w:val="auto"/>
          <w:sz w:val="24"/>
          <w:szCs w:val="24"/>
          <w:highlight w:val="none"/>
        </w:rPr>
      </w:pPr>
    </w:p>
    <w:p>
      <w:pPr>
        <w:pStyle w:val="15"/>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15"/>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hint="eastAsia" w:ascii="宋体" w:hAnsi="宋体"/>
          <w:b/>
          <w:color w:val="auto"/>
          <w:sz w:val="24"/>
          <w:highlight w:val="none"/>
        </w:rPr>
      </w:pPr>
    </w:p>
    <w:p>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hint="eastAsia" w:ascii="宋体" w:hAnsi="宋体"/>
          <w:color w:val="auto"/>
          <w:sz w:val="24"/>
          <w:highlight w:val="none"/>
        </w:rPr>
      </w:pPr>
    </w:p>
    <w:p>
      <w:pPr>
        <w:spacing w:line="440" w:lineRule="exact"/>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投标人（盖公章）：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99" w:name="_Hlk65851555"/>
      <w:bookmarkStart w:id="100" w:name="_Hlk65851620"/>
      <w:r>
        <w:rPr>
          <w:rFonts w:hint="eastAsia" w:ascii="宋体" w:hAnsi="宋体" w:cs="仿宋_GB2312"/>
          <w:color w:val="auto"/>
          <w:sz w:val="24"/>
          <w:highlight w:val="none"/>
        </w:rPr>
        <w:t>法定代表人必须在授权委托书上亲笔签字或者盖章，</w:t>
      </w:r>
      <w:bookmarkEnd w:id="99"/>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00"/>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hint="eastAsia"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我方对委托代理人的签字事项负全部责任。</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牵头人（盖公章）：</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w:t>
      </w:r>
    </w:p>
    <w:p>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hint="eastAsia" w:ascii="宋体" w:hAnsi="宋体"/>
          <w:color w:val="auto"/>
          <w:sz w:val="24"/>
          <w:highlight w:val="none"/>
        </w:rPr>
        <w:sectPr>
          <w:pgSz w:w="11906" w:h="16838"/>
          <w:pgMar w:top="1134" w:right="1134" w:bottom="2269" w:left="1134" w:header="851" w:footer="567" w:gutter="0"/>
          <w:cols w:space="720" w:num="1"/>
          <w:titlePg/>
          <w:docGrid w:linePitch="312" w:charSpace="0"/>
        </w:sectPr>
      </w:pPr>
    </w:p>
    <w:p>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hint="eastAsia" w:ascii="宋体" w:hAnsi="宋体"/>
          <w:color w:val="auto"/>
          <w:sz w:val="24"/>
          <w:highlight w:val="none"/>
          <w:u w:val="single"/>
        </w:rPr>
      </w:pPr>
    </w:p>
    <w:tbl>
      <w:tblPr>
        <w:tblStyle w:val="22"/>
        <w:tblW w:w="86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13"/>
        <w:rPr>
          <w:rFonts w:hint="eastAsia" w:ascii="宋体" w:hAnsi="宋体"/>
          <w:color w:val="auto"/>
          <w:highlight w:val="none"/>
        </w:rPr>
      </w:pPr>
      <w:r>
        <w:rPr>
          <w:rFonts w:hint="eastAsia" w:ascii="宋体" w:hAnsi="宋体"/>
          <w:color w:val="auto"/>
          <w:highlight w:val="none"/>
        </w:rPr>
        <w:t>注：</w:t>
      </w:r>
    </w:p>
    <w:p>
      <w:pPr>
        <w:pStyle w:val="14"/>
        <w:spacing w:line="520" w:lineRule="exact"/>
        <w:ind w:firstLine="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说明：应对照招标文件“第二章 采购需求”中的商务要求逐条作明确的投标响应，并作出偏离说明。</w:t>
      </w:r>
    </w:p>
    <w:p>
      <w:pPr>
        <w:pStyle w:val="14"/>
        <w:spacing w:line="520" w:lineRule="exact"/>
        <w:ind w:firstLine="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2.投标人应根据自身的承诺，对照招标文件要求在“偏离说明”中注明“正偏离”、“负偏离”或者“无偏离”。既不属于“正偏离”也不属于“负偏离”即为“无偏离”。</w:t>
      </w: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19"/>
        <w:snapToGrid w:val="0"/>
        <w:ind w:left="480" w:hanging="480"/>
        <w:rPr>
          <w:rFonts w:hint="eastAsia" w:ascii="宋体" w:hAnsi="宋体"/>
          <w:color w:val="auto"/>
          <w:sz w:val="24"/>
          <w:highlight w:val="none"/>
        </w:rPr>
      </w:pPr>
    </w:p>
    <w:p>
      <w:pPr>
        <w:pStyle w:val="19"/>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32"/>
              </w:rPr>
            </w:pPr>
            <w:r>
              <w:rPr>
                <w:rFonts w:hint="eastAsia"/>
                <w:sz w:val="24"/>
                <w:szCs w:val="32"/>
              </w:rPr>
              <w:t>采购人联系人及</w:t>
            </w:r>
          </w:p>
          <w:p>
            <w:pPr>
              <w:jc w:val="center"/>
              <w:rPr>
                <w:rFonts w:hint="eastAsia" w:ascii="宋体" w:hAnsi="宋体"/>
                <w:color w:val="auto"/>
                <w:sz w:val="24"/>
                <w:highlight w:val="none"/>
              </w:rPr>
            </w:pPr>
            <w:r>
              <w:rPr>
                <w:rFonts w:hint="eastAsia"/>
                <w:sz w:val="24"/>
                <w:szCs w:val="32"/>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11"/>
        <w:spacing w:before="0" w:after="0" w:line="360" w:lineRule="auto"/>
        <w:contextualSpacing/>
        <w:rPr>
          <w:rFonts w:hint="eastAsia" w:ascii="宋体" w:hAnsi="宋体" w:eastAsia="宋体"/>
          <w:color w:val="auto"/>
          <w:sz w:val="24"/>
          <w:szCs w:val="24"/>
          <w:highlight w:val="none"/>
        </w:rPr>
      </w:pPr>
    </w:p>
    <w:p>
      <w:pPr>
        <w:pStyle w:val="11"/>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注：投标人根据评标标准具体要求附业绩证明材料。</w:t>
      </w:r>
    </w:p>
    <w:p>
      <w:pPr>
        <w:pStyle w:val="11"/>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hint="eastAsia" w:ascii="宋体" w:hAnsi="宋体"/>
          <w:color w:val="auto"/>
          <w:sz w:val="24"/>
          <w:szCs w:val="20"/>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rFonts w:hint="eastAsia"/>
          <w:b/>
          <w:color w:val="auto"/>
          <w:sz w:val="28"/>
          <w:szCs w:val="28"/>
          <w:highlight w:val="none"/>
        </w:rPr>
      </w:pPr>
      <w:r>
        <w:rPr>
          <w:rFonts w:hint="eastAsia"/>
          <w:b/>
          <w:color w:val="auto"/>
          <w:sz w:val="28"/>
          <w:szCs w:val="28"/>
          <w:highlight w:val="none"/>
        </w:rPr>
        <w:t>四、技术文件格式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hint="eastAsia" w:ascii="宋体" w:hAnsi="宋体"/>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jc w:val="left"/>
        <w:rPr>
          <w:rFonts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3. 技术</w:t>
      </w:r>
      <w:r>
        <w:rPr>
          <w:rFonts w:hint="eastAsia" w:ascii="宋体" w:hAnsi="宋体"/>
          <w:b/>
          <w:color w:val="auto"/>
          <w:sz w:val="24"/>
          <w:highlight w:val="none"/>
          <w:lang w:val="en-US" w:eastAsia="zh-CN"/>
        </w:rPr>
        <w:t>服务</w:t>
      </w:r>
      <w:r>
        <w:rPr>
          <w:rFonts w:hint="eastAsia" w:ascii="宋体" w:hAnsi="宋体"/>
          <w:b/>
          <w:color w:val="auto"/>
          <w:sz w:val="24"/>
          <w:highlight w:val="none"/>
        </w:rPr>
        <w:t>要求偏离表格式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w:t>
      </w:r>
      <w:r>
        <w:rPr>
          <w:rFonts w:hint="eastAsia" w:ascii="宋体" w:hAnsi="宋体"/>
          <w:b/>
          <w:color w:val="auto"/>
          <w:sz w:val="32"/>
          <w:szCs w:val="32"/>
          <w:highlight w:val="none"/>
          <w:lang w:val="en-US" w:eastAsia="zh-CN"/>
        </w:rPr>
        <w:t>服务</w:t>
      </w:r>
      <w:bookmarkStart w:id="103" w:name="_GoBack"/>
      <w:bookmarkEnd w:id="103"/>
      <w:r>
        <w:rPr>
          <w:rFonts w:hint="eastAsia" w:ascii="宋体" w:hAnsi="宋体"/>
          <w:b/>
          <w:color w:val="auto"/>
          <w:sz w:val="32"/>
          <w:szCs w:val="32"/>
          <w:highlight w:val="none"/>
        </w:rPr>
        <w:t>要求偏离表</w:t>
      </w: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5"/>
              <w:spacing w:line="400" w:lineRule="exact"/>
              <w:jc w:val="center"/>
              <w:rPr>
                <w:rFonts w:hint="eastAsia" w:hAnsi="宋体" w:cs="Courier New"/>
                <w:color w:val="auto"/>
                <w:sz w:val="24"/>
                <w:szCs w:val="24"/>
                <w:highlight w:val="none"/>
              </w:rPr>
            </w:pPr>
            <w:r>
              <w:rPr>
                <w:rFonts w:hint="eastAsia" w:hAnsi="宋体" w:cs="Courier New"/>
                <w:color w:val="auto"/>
                <w:sz w:val="24"/>
                <w:szCs w:val="24"/>
                <w:highlight w:val="none"/>
              </w:rPr>
              <w:t>项号</w:t>
            </w:r>
          </w:p>
        </w:tc>
        <w:tc>
          <w:tcPr>
            <w:tcW w:w="2143" w:type="dxa"/>
            <w:noWrap w:val="0"/>
            <w:vAlign w:val="center"/>
          </w:tcPr>
          <w:p>
            <w:pPr>
              <w:pStyle w:val="15"/>
              <w:spacing w:line="400" w:lineRule="exact"/>
              <w:jc w:val="center"/>
              <w:rPr>
                <w:rFonts w:hint="eastAsia"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noWrap w:val="0"/>
            <w:vAlign w:val="center"/>
          </w:tcPr>
          <w:p>
            <w:pPr>
              <w:pStyle w:val="15"/>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noWrap w:val="0"/>
            <w:vAlign w:val="center"/>
          </w:tcPr>
          <w:p>
            <w:pPr>
              <w:pStyle w:val="15"/>
              <w:spacing w:line="400" w:lineRule="exact"/>
              <w:jc w:val="center"/>
              <w:rPr>
                <w:rFonts w:hint="eastAsia"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noWrap w:val="0"/>
            <w:vAlign w:val="center"/>
          </w:tcPr>
          <w:p>
            <w:pPr>
              <w:pStyle w:val="15"/>
              <w:spacing w:line="400" w:lineRule="exact"/>
              <w:jc w:val="center"/>
              <w:rPr>
                <w:rFonts w:hint="eastAsia" w:hAnsi="宋体" w:cs="Courier New"/>
                <w:color w:val="auto"/>
                <w:sz w:val="24"/>
                <w:szCs w:val="24"/>
                <w:highlight w:val="none"/>
              </w:rPr>
            </w:pPr>
            <w:r>
              <w:rPr>
                <w:rFonts w:hint="eastAsia" w:hAnsi="宋体" w:cs="Courier New"/>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jc w:val="center"/>
              <w:rPr>
                <w:rFonts w:hint="eastAsia" w:hAnsi="宋体" w:cs="Courier New"/>
                <w:color w:val="auto"/>
                <w:sz w:val="24"/>
                <w:szCs w:val="24"/>
                <w:highlight w:val="none"/>
              </w:rPr>
            </w:pPr>
          </w:p>
        </w:tc>
        <w:tc>
          <w:tcPr>
            <w:tcW w:w="2143" w:type="dxa"/>
            <w:noWrap w:val="0"/>
            <w:vAlign w:val="center"/>
          </w:tcPr>
          <w:p>
            <w:pPr>
              <w:pStyle w:val="15"/>
              <w:spacing w:line="600" w:lineRule="exact"/>
              <w:jc w:val="center"/>
              <w:rPr>
                <w:rFonts w:hint="eastAsia" w:hAnsi="宋体" w:cs="Courier New"/>
                <w:color w:val="auto"/>
                <w:sz w:val="24"/>
                <w:szCs w:val="24"/>
                <w:highlight w:val="none"/>
              </w:rPr>
            </w:pPr>
          </w:p>
        </w:tc>
        <w:tc>
          <w:tcPr>
            <w:tcW w:w="1834" w:type="dxa"/>
            <w:noWrap w:val="0"/>
            <w:vAlign w:val="center"/>
          </w:tcPr>
          <w:p>
            <w:pPr>
              <w:pStyle w:val="15"/>
              <w:spacing w:line="600" w:lineRule="exact"/>
              <w:jc w:val="center"/>
              <w:rPr>
                <w:rFonts w:hint="eastAsia" w:hAnsi="宋体" w:cs="Courier New"/>
                <w:color w:val="auto"/>
                <w:sz w:val="24"/>
                <w:szCs w:val="24"/>
                <w:highlight w:val="none"/>
              </w:rPr>
            </w:pPr>
          </w:p>
        </w:tc>
        <w:tc>
          <w:tcPr>
            <w:tcW w:w="2181" w:type="dxa"/>
            <w:noWrap w:val="0"/>
            <w:vAlign w:val="center"/>
          </w:tcPr>
          <w:p>
            <w:pPr>
              <w:pStyle w:val="15"/>
              <w:spacing w:line="600" w:lineRule="exact"/>
              <w:jc w:val="center"/>
              <w:rPr>
                <w:rFonts w:hint="eastAsia" w:hAnsi="宋体" w:cs="Courier New"/>
                <w:color w:val="auto"/>
                <w:sz w:val="24"/>
                <w:szCs w:val="24"/>
                <w:highlight w:val="none"/>
              </w:rPr>
            </w:pPr>
          </w:p>
        </w:tc>
        <w:tc>
          <w:tcPr>
            <w:tcW w:w="1934" w:type="dxa"/>
            <w:noWrap w:val="0"/>
            <w:vAlign w:val="center"/>
          </w:tcPr>
          <w:p>
            <w:pPr>
              <w:pStyle w:val="15"/>
              <w:spacing w:line="600" w:lineRule="exact"/>
              <w:jc w:val="center"/>
              <w:rPr>
                <w:rFonts w:hint="eastAsia"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sz w:val="24"/>
                <w:szCs w:val="24"/>
                <w:highlight w:val="none"/>
              </w:rPr>
            </w:pPr>
          </w:p>
        </w:tc>
        <w:tc>
          <w:tcPr>
            <w:tcW w:w="2143" w:type="dxa"/>
            <w:noWrap w:val="0"/>
            <w:vAlign w:val="top"/>
          </w:tcPr>
          <w:p>
            <w:pPr>
              <w:pStyle w:val="15"/>
              <w:spacing w:line="600" w:lineRule="exact"/>
              <w:rPr>
                <w:rFonts w:hint="eastAsia" w:hAnsi="宋体" w:cs="Courier New"/>
                <w:color w:val="auto"/>
                <w:sz w:val="24"/>
                <w:szCs w:val="24"/>
                <w:highlight w:val="none"/>
              </w:rPr>
            </w:pPr>
          </w:p>
        </w:tc>
        <w:tc>
          <w:tcPr>
            <w:tcW w:w="1834" w:type="dxa"/>
            <w:noWrap w:val="0"/>
            <w:vAlign w:val="top"/>
          </w:tcPr>
          <w:p>
            <w:pPr>
              <w:pStyle w:val="15"/>
              <w:spacing w:line="600" w:lineRule="exact"/>
              <w:rPr>
                <w:rFonts w:hint="eastAsia" w:hAnsi="宋体" w:cs="Courier New"/>
                <w:color w:val="auto"/>
                <w:sz w:val="24"/>
                <w:szCs w:val="24"/>
                <w:highlight w:val="none"/>
              </w:rPr>
            </w:pPr>
          </w:p>
        </w:tc>
        <w:tc>
          <w:tcPr>
            <w:tcW w:w="2181" w:type="dxa"/>
            <w:noWrap w:val="0"/>
            <w:vAlign w:val="top"/>
          </w:tcPr>
          <w:p>
            <w:pPr>
              <w:pStyle w:val="15"/>
              <w:spacing w:line="600" w:lineRule="exact"/>
              <w:rPr>
                <w:rFonts w:hint="eastAsia" w:hAnsi="宋体" w:cs="Courier New"/>
                <w:color w:val="auto"/>
                <w:sz w:val="24"/>
                <w:szCs w:val="24"/>
                <w:highlight w:val="none"/>
              </w:rPr>
            </w:pPr>
          </w:p>
        </w:tc>
        <w:tc>
          <w:tcPr>
            <w:tcW w:w="1934" w:type="dxa"/>
            <w:noWrap w:val="0"/>
            <w:vAlign w:val="top"/>
          </w:tcPr>
          <w:p>
            <w:pPr>
              <w:pStyle w:val="15"/>
              <w:spacing w:line="600" w:lineRule="exact"/>
              <w:rPr>
                <w:rFonts w:hint="eastAsia"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sz w:val="24"/>
                <w:szCs w:val="24"/>
                <w:highlight w:val="none"/>
              </w:rPr>
            </w:pPr>
          </w:p>
        </w:tc>
        <w:tc>
          <w:tcPr>
            <w:tcW w:w="2143" w:type="dxa"/>
            <w:noWrap w:val="0"/>
            <w:vAlign w:val="top"/>
          </w:tcPr>
          <w:p>
            <w:pPr>
              <w:pStyle w:val="15"/>
              <w:spacing w:line="600" w:lineRule="exact"/>
              <w:rPr>
                <w:rFonts w:hint="eastAsia" w:hAnsi="宋体" w:cs="Courier New"/>
                <w:color w:val="auto"/>
                <w:sz w:val="24"/>
                <w:szCs w:val="24"/>
                <w:highlight w:val="none"/>
              </w:rPr>
            </w:pPr>
          </w:p>
        </w:tc>
        <w:tc>
          <w:tcPr>
            <w:tcW w:w="1834" w:type="dxa"/>
            <w:noWrap w:val="0"/>
            <w:vAlign w:val="top"/>
          </w:tcPr>
          <w:p>
            <w:pPr>
              <w:pStyle w:val="15"/>
              <w:spacing w:line="600" w:lineRule="exact"/>
              <w:rPr>
                <w:rFonts w:hint="eastAsia" w:hAnsi="宋体" w:cs="Courier New"/>
                <w:color w:val="auto"/>
                <w:sz w:val="24"/>
                <w:szCs w:val="24"/>
                <w:highlight w:val="none"/>
              </w:rPr>
            </w:pPr>
          </w:p>
        </w:tc>
        <w:tc>
          <w:tcPr>
            <w:tcW w:w="2181" w:type="dxa"/>
            <w:noWrap w:val="0"/>
            <w:vAlign w:val="top"/>
          </w:tcPr>
          <w:p>
            <w:pPr>
              <w:pStyle w:val="15"/>
              <w:spacing w:line="600" w:lineRule="exact"/>
              <w:rPr>
                <w:rFonts w:hint="eastAsia" w:hAnsi="宋体" w:cs="Courier New"/>
                <w:color w:val="auto"/>
                <w:sz w:val="24"/>
                <w:szCs w:val="24"/>
                <w:highlight w:val="none"/>
              </w:rPr>
            </w:pPr>
          </w:p>
        </w:tc>
        <w:tc>
          <w:tcPr>
            <w:tcW w:w="1934" w:type="dxa"/>
            <w:noWrap w:val="0"/>
            <w:vAlign w:val="top"/>
          </w:tcPr>
          <w:p>
            <w:pPr>
              <w:pStyle w:val="15"/>
              <w:spacing w:line="600" w:lineRule="exact"/>
              <w:rPr>
                <w:rFonts w:hint="eastAsia"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sz w:val="24"/>
                <w:szCs w:val="24"/>
                <w:highlight w:val="none"/>
              </w:rPr>
            </w:pPr>
          </w:p>
        </w:tc>
        <w:tc>
          <w:tcPr>
            <w:tcW w:w="2143" w:type="dxa"/>
            <w:noWrap w:val="0"/>
            <w:vAlign w:val="top"/>
          </w:tcPr>
          <w:p>
            <w:pPr>
              <w:pStyle w:val="15"/>
              <w:spacing w:line="600" w:lineRule="exact"/>
              <w:rPr>
                <w:rFonts w:hint="eastAsia" w:hAnsi="宋体" w:cs="Courier New"/>
                <w:color w:val="auto"/>
                <w:sz w:val="24"/>
                <w:szCs w:val="24"/>
                <w:highlight w:val="none"/>
              </w:rPr>
            </w:pPr>
          </w:p>
        </w:tc>
        <w:tc>
          <w:tcPr>
            <w:tcW w:w="1834" w:type="dxa"/>
            <w:noWrap w:val="0"/>
            <w:vAlign w:val="top"/>
          </w:tcPr>
          <w:p>
            <w:pPr>
              <w:pStyle w:val="15"/>
              <w:spacing w:line="600" w:lineRule="exact"/>
              <w:rPr>
                <w:rFonts w:hint="eastAsia" w:hAnsi="宋体" w:cs="Courier New"/>
                <w:color w:val="auto"/>
                <w:sz w:val="24"/>
                <w:szCs w:val="24"/>
                <w:highlight w:val="none"/>
              </w:rPr>
            </w:pPr>
          </w:p>
        </w:tc>
        <w:tc>
          <w:tcPr>
            <w:tcW w:w="2181" w:type="dxa"/>
            <w:noWrap w:val="0"/>
            <w:vAlign w:val="top"/>
          </w:tcPr>
          <w:p>
            <w:pPr>
              <w:pStyle w:val="15"/>
              <w:spacing w:line="600" w:lineRule="exact"/>
              <w:rPr>
                <w:rFonts w:hint="eastAsia" w:hAnsi="宋体" w:cs="Courier New"/>
                <w:color w:val="auto"/>
                <w:sz w:val="24"/>
                <w:szCs w:val="24"/>
                <w:highlight w:val="none"/>
              </w:rPr>
            </w:pPr>
          </w:p>
        </w:tc>
        <w:tc>
          <w:tcPr>
            <w:tcW w:w="1934" w:type="dxa"/>
            <w:noWrap w:val="0"/>
            <w:vAlign w:val="top"/>
          </w:tcPr>
          <w:p>
            <w:pPr>
              <w:pStyle w:val="15"/>
              <w:spacing w:line="600" w:lineRule="exact"/>
              <w:rPr>
                <w:rFonts w:hint="eastAsia"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sz w:val="24"/>
                <w:szCs w:val="24"/>
                <w:highlight w:val="none"/>
              </w:rPr>
            </w:pPr>
          </w:p>
        </w:tc>
        <w:tc>
          <w:tcPr>
            <w:tcW w:w="2143" w:type="dxa"/>
            <w:noWrap w:val="0"/>
            <w:vAlign w:val="top"/>
          </w:tcPr>
          <w:p>
            <w:pPr>
              <w:pStyle w:val="15"/>
              <w:spacing w:line="600" w:lineRule="exact"/>
              <w:rPr>
                <w:rFonts w:hint="eastAsia" w:hAnsi="宋体" w:cs="Courier New"/>
                <w:color w:val="auto"/>
                <w:sz w:val="24"/>
                <w:szCs w:val="24"/>
                <w:highlight w:val="none"/>
              </w:rPr>
            </w:pPr>
          </w:p>
        </w:tc>
        <w:tc>
          <w:tcPr>
            <w:tcW w:w="1834" w:type="dxa"/>
            <w:noWrap w:val="0"/>
            <w:vAlign w:val="top"/>
          </w:tcPr>
          <w:p>
            <w:pPr>
              <w:pStyle w:val="15"/>
              <w:spacing w:line="600" w:lineRule="exact"/>
              <w:rPr>
                <w:rFonts w:hint="eastAsia" w:hAnsi="宋体" w:cs="Courier New"/>
                <w:color w:val="auto"/>
                <w:sz w:val="24"/>
                <w:szCs w:val="24"/>
                <w:highlight w:val="none"/>
              </w:rPr>
            </w:pPr>
          </w:p>
        </w:tc>
        <w:tc>
          <w:tcPr>
            <w:tcW w:w="2181" w:type="dxa"/>
            <w:noWrap w:val="0"/>
            <w:vAlign w:val="top"/>
          </w:tcPr>
          <w:p>
            <w:pPr>
              <w:pStyle w:val="15"/>
              <w:spacing w:line="600" w:lineRule="exact"/>
              <w:rPr>
                <w:rFonts w:hint="eastAsia" w:hAnsi="宋体" w:cs="Courier New"/>
                <w:color w:val="auto"/>
                <w:sz w:val="24"/>
                <w:szCs w:val="24"/>
                <w:highlight w:val="none"/>
              </w:rPr>
            </w:pPr>
          </w:p>
        </w:tc>
        <w:tc>
          <w:tcPr>
            <w:tcW w:w="1934" w:type="dxa"/>
            <w:noWrap w:val="0"/>
            <w:vAlign w:val="top"/>
          </w:tcPr>
          <w:p>
            <w:pPr>
              <w:pStyle w:val="15"/>
              <w:spacing w:line="600" w:lineRule="exact"/>
              <w:rPr>
                <w:rFonts w:hint="eastAsia"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sz w:val="24"/>
                <w:szCs w:val="24"/>
                <w:highlight w:val="none"/>
              </w:rPr>
            </w:pPr>
          </w:p>
        </w:tc>
        <w:tc>
          <w:tcPr>
            <w:tcW w:w="2143" w:type="dxa"/>
            <w:noWrap w:val="0"/>
            <w:vAlign w:val="top"/>
          </w:tcPr>
          <w:p>
            <w:pPr>
              <w:pStyle w:val="15"/>
              <w:spacing w:line="600" w:lineRule="exact"/>
              <w:rPr>
                <w:rFonts w:hint="eastAsia" w:hAnsi="宋体" w:cs="Courier New"/>
                <w:color w:val="auto"/>
                <w:sz w:val="24"/>
                <w:szCs w:val="24"/>
                <w:highlight w:val="none"/>
              </w:rPr>
            </w:pPr>
          </w:p>
        </w:tc>
        <w:tc>
          <w:tcPr>
            <w:tcW w:w="1834" w:type="dxa"/>
            <w:noWrap w:val="0"/>
            <w:vAlign w:val="top"/>
          </w:tcPr>
          <w:p>
            <w:pPr>
              <w:pStyle w:val="15"/>
              <w:spacing w:line="600" w:lineRule="exact"/>
              <w:rPr>
                <w:rFonts w:hint="eastAsia" w:hAnsi="宋体" w:cs="Courier New"/>
                <w:color w:val="auto"/>
                <w:sz w:val="24"/>
                <w:szCs w:val="24"/>
                <w:highlight w:val="none"/>
              </w:rPr>
            </w:pPr>
          </w:p>
        </w:tc>
        <w:tc>
          <w:tcPr>
            <w:tcW w:w="2181" w:type="dxa"/>
            <w:noWrap w:val="0"/>
            <w:vAlign w:val="top"/>
          </w:tcPr>
          <w:p>
            <w:pPr>
              <w:pStyle w:val="15"/>
              <w:spacing w:line="600" w:lineRule="exact"/>
              <w:rPr>
                <w:rFonts w:hint="eastAsia" w:hAnsi="宋体" w:cs="Courier New"/>
                <w:color w:val="auto"/>
                <w:sz w:val="24"/>
                <w:szCs w:val="24"/>
                <w:highlight w:val="none"/>
              </w:rPr>
            </w:pPr>
          </w:p>
        </w:tc>
        <w:tc>
          <w:tcPr>
            <w:tcW w:w="1934" w:type="dxa"/>
            <w:noWrap w:val="0"/>
            <w:vAlign w:val="top"/>
          </w:tcPr>
          <w:p>
            <w:pPr>
              <w:pStyle w:val="15"/>
              <w:spacing w:line="600" w:lineRule="exact"/>
              <w:rPr>
                <w:rFonts w:hint="eastAsia" w:hAnsi="宋体" w:cs="Courier New"/>
                <w:color w:val="auto"/>
                <w:sz w:val="24"/>
                <w:szCs w:val="24"/>
                <w:highlight w:val="none"/>
              </w:rPr>
            </w:pPr>
          </w:p>
        </w:tc>
      </w:tr>
    </w:tbl>
    <w:p>
      <w:pPr>
        <w:pStyle w:val="13"/>
        <w:rPr>
          <w:rFonts w:hint="eastAsia" w:ascii="宋体" w:hAnsi="宋体"/>
          <w:color w:val="auto"/>
          <w:spacing w:val="-4"/>
          <w:sz w:val="24"/>
          <w:szCs w:val="24"/>
          <w:highlight w:val="none"/>
        </w:rPr>
      </w:pPr>
      <w:r>
        <w:rPr>
          <w:rFonts w:hint="eastAsia" w:ascii="宋体" w:hAnsi="宋体"/>
          <w:color w:val="auto"/>
          <w:spacing w:val="-4"/>
          <w:sz w:val="24"/>
          <w:szCs w:val="24"/>
          <w:highlight w:val="none"/>
        </w:rPr>
        <w:t>注：</w:t>
      </w:r>
    </w:p>
    <w:p>
      <w:pPr>
        <w:pStyle w:val="14"/>
        <w:spacing w:line="360" w:lineRule="auto"/>
        <w:ind w:firstLine="0"/>
        <w:contextualSpacing/>
        <w:rPr>
          <w:rFonts w:hint="eastAsia" w:hAnsi="仿宋_GB2312" w:cs="仿宋_GB2312"/>
          <w:color w:val="auto"/>
          <w:szCs w:val="32"/>
          <w:highlight w:val="none"/>
        </w:rPr>
      </w:pPr>
      <w:r>
        <w:rPr>
          <w:rFonts w:hint="eastAsia" w:hAnsi="宋体"/>
          <w:color w:val="auto"/>
          <w:sz w:val="24"/>
          <w:szCs w:val="24"/>
          <w:highlight w:val="none"/>
        </w:rPr>
        <w:t>1.说明：应对照招标文件“第二章 采购需求”中的“技术要求”逐条作明确的投标响应，并作出偏离说明。</w:t>
      </w:r>
    </w:p>
    <w:p>
      <w:pPr>
        <w:pStyle w:val="13"/>
        <w:spacing w:line="360" w:lineRule="auto"/>
        <w:contextualSpacing/>
        <w:rPr>
          <w:rFonts w:hint="eastAsia"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15"/>
        <w:rPr>
          <w:rFonts w:hint="eastAsia"/>
          <w:color w:val="auto"/>
          <w:sz w:val="24"/>
          <w:szCs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2"/>
        <w:gridCol w:w="1139"/>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982"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139"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98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13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98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13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98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13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五、其他文书、文件格式</w:t>
      </w:r>
    </w:p>
    <w:p>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1.联合投标协议书格式（如有要求）</w:t>
      </w:r>
    </w:p>
    <w:p>
      <w:pPr>
        <w:snapToGrid w:val="0"/>
        <w:spacing w:before="120" w:beforeLines="50" w:after="50"/>
        <w:ind w:left="142"/>
        <w:jc w:val="left"/>
        <w:rPr>
          <w:rFonts w:hint="eastAsia" w:ascii="宋体" w:hAnsi="宋体"/>
          <w:b/>
          <w:color w:val="auto"/>
          <w:spacing w:val="20"/>
          <w:sz w:val="24"/>
          <w:highlight w:val="none"/>
        </w:rPr>
      </w:pPr>
    </w:p>
    <w:p>
      <w:pPr>
        <w:pStyle w:val="10"/>
        <w:overflowPunct w:val="0"/>
        <w:ind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10"/>
        <w:overflowPunct w:val="0"/>
        <w:rPr>
          <w:rFonts w:ascii="宋体" w:hAnsi="宋体"/>
          <w:color w:val="auto"/>
          <w:sz w:val="24"/>
          <w:highlight w:val="none"/>
        </w:rPr>
      </w:pPr>
    </w:p>
    <w:p>
      <w:pPr>
        <w:pStyle w:val="10"/>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10"/>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10"/>
        <w:overflowPunct w:val="0"/>
        <w:spacing w:line="360" w:lineRule="auto"/>
        <w:ind w:firstLineChars="175"/>
        <w:contextualSpacing/>
        <w:rPr>
          <w:rFonts w:ascii="宋体" w:hAnsi="宋体"/>
          <w:color w:val="auto"/>
          <w:sz w:val="24"/>
          <w:highlight w:val="none"/>
        </w:rPr>
      </w:pPr>
    </w:p>
    <w:p>
      <w:pPr>
        <w:pStyle w:val="10"/>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10"/>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10"/>
        <w:overflowPunct w:val="0"/>
        <w:spacing w:line="360" w:lineRule="auto"/>
        <w:ind w:firstLineChars="175"/>
        <w:contextualSpacing/>
        <w:rPr>
          <w:rFonts w:ascii="宋体" w:hAnsi="宋体"/>
          <w:color w:val="auto"/>
          <w:sz w:val="24"/>
          <w:highlight w:val="none"/>
        </w:rPr>
      </w:pPr>
    </w:p>
    <w:p>
      <w:pPr>
        <w:pStyle w:val="10"/>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10"/>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10"/>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10"/>
        <w:overflowPunct w:val="0"/>
        <w:spacing w:line="360" w:lineRule="auto"/>
        <w:ind w:firstLineChars="175"/>
        <w:contextualSpacing/>
        <w:rPr>
          <w:rFonts w:ascii="宋体" w:hAnsi="宋体"/>
          <w:color w:val="auto"/>
          <w:sz w:val="24"/>
          <w:highlight w:val="none"/>
        </w:rPr>
      </w:pPr>
    </w:p>
    <w:p>
      <w:pPr>
        <w:pStyle w:val="10"/>
        <w:overflowPunct w:val="0"/>
        <w:spacing w:line="360" w:lineRule="auto"/>
        <w:ind w:firstLineChars="175"/>
        <w:contextualSpacing/>
        <w:jc w:val="right"/>
        <w:rPr>
          <w:rFonts w:hint="eastAsia"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spacing w:line="360" w:lineRule="auto"/>
        <w:jc w:val="left"/>
        <w:rPr>
          <w:rFonts w:ascii="宋体" w:hAnsi="宋体"/>
          <w:color w:val="auto"/>
          <w:sz w:val="24"/>
          <w:highlight w:val="none"/>
        </w:rPr>
      </w:pPr>
      <w:r>
        <w:rPr>
          <w:rFonts w:hint="eastAsia" w:ascii="宋体" w:hAnsi="宋体"/>
          <w:b/>
          <w:color w:val="auto"/>
          <w:sz w:val="24"/>
          <w:highlight w:val="none"/>
        </w:rPr>
        <w:t>2.质疑函格式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5"/>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5"/>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5"/>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5"/>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5"/>
        <w:spacing w:line="360" w:lineRule="auto"/>
        <w:ind w:left="25" w:leftChars="12" w:firstLine="352" w:firstLineChars="147"/>
        <w:rPr>
          <w:rFonts w:hint="eastAsia" w:hAnsi="宋体"/>
          <w:color w:val="auto"/>
          <w:sz w:val="24"/>
          <w:szCs w:val="24"/>
          <w:highlight w:val="none"/>
        </w:rPr>
      </w:pP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5"/>
        <w:spacing w:line="360" w:lineRule="auto"/>
        <w:ind w:left="25" w:leftChars="12" w:firstLine="352" w:firstLineChars="147"/>
        <w:rPr>
          <w:rFonts w:hint="eastAsia" w:hAnsi="宋体"/>
          <w:color w:val="auto"/>
          <w:sz w:val="24"/>
          <w:szCs w:val="24"/>
          <w:highlight w:val="none"/>
        </w:rPr>
      </w:pPr>
    </w:p>
    <w:p>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5"/>
        <w:snapToGrid w:val="0"/>
        <w:spacing w:line="360" w:lineRule="auto"/>
        <w:rPr>
          <w:rFonts w:hint="eastAsia" w:hAnsi="宋体"/>
          <w:b/>
          <w:color w:val="auto"/>
          <w:sz w:val="24"/>
          <w:szCs w:val="24"/>
          <w:highlight w:val="none"/>
        </w:rPr>
      </w:pPr>
    </w:p>
    <w:p>
      <w:pPr>
        <w:pStyle w:val="1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5"/>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5"/>
        <w:snapToGrid w:val="0"/>
        <w:rPr>
          <w:rFonts w:hint="eastAsia"/>
          <w:b/>
          <w:color w:val="auto"/>
          <w:sz w:val="24"/>
          <w:szCs w:val="24"/>
          <w:highlight w:val="none"/>
        </w:rPr>
      </w:pPr>
    </w:p>
    <w:p>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rPr>
        <w:t>3</w:t>
      </w:r>
      <w:r>
        <w:rPr>
          <w:rFonts w:hint="eastAsia" w:ascii="宋体" w:hAnsi="宋体"/>
          <w:b/>
          <w:color w:val="auto"/>
          <w:sz w:val="24"/>
          <w:highlight w:val="none"/>
        </w:rPr>
        <w:t>.投诉书格式</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pPr>
        <w:pStyle w:val="15"/>
        <w:snapToGrid w:val="0"/>
        <w:spacing w:line="440" w:lineRule="exact"/>
        <w:ind w:firstLine="482" w:firstLineChars="200"/>
        <w:rPr>
          <w:rFonts w:hint="eastAsia" w:hAnsi="宋体"/>
          <w:b/>
          <w:bCs/>
          <w:color w:val="auto"/>
          <w:sz w:val="24"/>
          <w:szCs w:val="24"/>
          <w:highlight w:val="none"/>
        </w:rPr>
      </w:pPr>
    </w:p>
    <w:p>
      <w:pPr>
        <w:pStyle w:val="15"/>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pPr>
        <w:pStyle w:val="15"/>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5"/>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5"/>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5"/>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5"/>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5"/>
        <w:spacing w:line="440" w:lineRule="exact"/>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5"/>
        <w:spacing w:line="440" w:lineRule="exact"/>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5"/>
        <w:spacing w:line="440" w:lineRule="exact"/>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5"/>
        <w:spacing w:line="440" w:lineRule="exact"/>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5"/>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5"/>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5"/>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5"/>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5"/>
        <w:spacing w:line="440" w:lineRule="exact"/>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5"/>
        <w:spacing w:line="440" w:lineRule="exact"/>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5"/>
        <w:spacing w:line="440" w:lineRule="exact"/>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5"/>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5"/>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5"/>
        <w:spacing w:line="440" w:lineRule="exact"/>
        <w:ind w:left="25" w:leftChars="12" w:firstLine="352" w:firstLineChars="147"/>
        <w:rPr>
          <w:rFonts w:hint="eastAsia" w:hAnsi="宋体"/>
          <w:color w:val="auto"/>
          <w:sz w:val="24"/>
          <w:szCs w:val="24"/>
          <w:highlight w:val="none"/>
        </w:rPr>
      </w:pPr>
    </w:p>
    <w:p>
      <w:pPr>
        <w:pStyle w:val="15"/>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5"/>
        <w:spacing w:line="440" w:lineRule="exact"/>
        <w:ind w:left="25" w:leftChars="12" w:firstLine="352" w:firstLineChars="147"/>
        <w:rPr>
          <w:rFonts w:hint="eastAsia" w:hAnsi="宋体" w:cs="宋体"/>
          <w:color w:val="auto"/>
          <w:sz w:val="24"/>
          <w:szCs w:val="24"/>
          <w:highlight w:val="none"/>
        </w:rPr>
      </w:pPr>
    </w:p>
    <w:p>
      <w:pPr>
        <w:pStyle w:val="15"/>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5"/>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15"/>
        <w:snapToGrid w:val="0"/>
        <w:spacing w:line="440" w:lineRule="exact"/>
        <w:rPr>
          <w:rFonts w:hint="eastAsia" w:hAnsi="宋体"/>
          <w:b/>
          <w:color w:val="auto"/>
          <w:sz w:val="24"/>
          <w:szCs w:val="24"/>
          <w:highlight w:val="none"/>
        </w:rPr>
      </w:pPr>
      <w:r>
        <w:rPr>
          <w:rFonts w:hint="eastAsia" w:hAnsi="宋体"/>
          <w:b/>
          <w:color w:val="auto"/>
          <w:sz w:val="24"/>
          <w:szCs w:val="24"/>
          <w:highlight w:val="none"/>
        </w:rPr>
        <w:t>说明：</w:t>
      </w:r>
    </w:p>
    <w:p>
      <w:pPr>
        <w:pStyle w:val="15"/>
        <w:spacing w:line="44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5"/>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5"/>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5"/>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5"/>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pStyle w:val="8"/>
        <w:rPr>
          <w:rFonts w:hint="eastAsia" w:hAnsi="宋体"/>
          <w:b/>
          <w:color w:val="auto"/>
          <w:sz w:val="24"/>
          <w:szCs w:val="24"/>
          <w:highlight w:val="none"/>
        </w:rPr>
      </w:pPr>
    </w:p>
    <w:p>
      <w:pPr>
        <w:rPr>
          <w:rFonts w:hint="eastAsia" w:hAnsi="宋体"/>
          <w:b/>
          <w:color w:val="auto"/>
          <w:sz w:val="24"/>
          <w:szCs w:val="24"/>
          <w:highlight w:val="none"/>
        </w:rPr>
      </w:pPr>
    </w:p>
    <w:p>
      <w:pPr>
        <w:pStyle w:val="27"/>
        <w:rPr>
          <w:rFonts w:hint="eastAsia" w:hAnsi="宋体"/>
          <w:b/>
          <w:color w:val="auto"/>
          <w:sz w:val="24"/>
          <w:szCs w:val="24"/>
          <w:highlight w:val="none"/>
        </w:rPr>
      </w:pPr>
    </w:p>
    <w:p>
      <w:pPr>
        <w:pStyle w:val="15"/>
        <w:numPr>
          <w:ilvl w:val="0"/>
          <w:numId w:val="0"/>
        </w:numPr>
        <w:tabs>
          <w:tab w:val="left" w:pos="2472"/>
        </w:tabs>
        <w:spacing w:line="460" w:lineRule="exact"/>
        <w:jc w:val="center"/>
        <w:outlineLvl w:val="0"/>
        <w:rPr>
          <w:rFonts w:hint="eastAsia" w:ascii="Times New Roman" w:hAnsi="Times New Roman" w:eastAsia="宋体" w:cs="Times New Roman"/>
          <w:b/>
          <w:color w:val="auto"/>
          <w:sz w:val="36"/>
          <w:highlight w:val="none"/>
          <w:lang w:eastAsia="zh-CN"/>
        </w:rPr>
      </w:pPr>
      <w:bookmarkStart w:id="101" w:name="_Toc10486"/>
      <w:bookmarkStart w:id="102" w:name="_Toc7692"/>
      <w:r>
        <w:rPr>
          <w:rFonts w:hint="eastAsia" w:ascii="Times New Roman" w:hAnsi="Times New Roman" w:eastAsia="宋体" w:cs="Times New Roman"/>
          <w:b/>
          <w:color w:val="auto"/>
          <w:sz w:val="36"/>
          <w:highlight w:val="none"/>
        </w:rPr>
        <w:t>第</w:t>
      </w:r>
      <w:r>
        <w:rPr>
          <w:rFonts w:hint="eastAsia" w:ascii="Times New Roman" w:hAnsi="Times New Roman" w:eastAsia="宋体" w:cs="Times New Roman"/>
          <w:b/>
          <w:color w:val="auto"/>
          <w:sz w:val="36"/>
          <w:highlight w:val="none"/>
          <w:lang w:val="en-US" w:eastAsia="zh-CN"/>
        </w:rPr>
        <w:t>七</w:t>
      </w:r>
      <w:r>
        <w:rPr>
          <w:rFonts w:hint="eastAsia" w:ascii="Times New Roman" w:hAnsi="Times New Roman" w:eastAsia="宋体" w:cs="Times New Roman"/>
          <w:b/>
          <w:color w:val="auto"/>
          <w:sz w:val="36"/>
          <w:highlight w:val="none"/>
        </w:rPr>
        <w:t xml:space="preserve">章 </w:t>
      </w:r>
      <w:r>
        <w:rPr>
          <w:rFonts w:hint="eastAsia" w:ascii="Times New Roman" w:hAnsi="Times New Roman" w:eastAsia="宋体" w:cs="Times New Roman"/>
          <w:b/>
          <w:color w:val="auto"/>
          <w:sz w:val="36"/>
          <w:highlight w:val="none"/>
          <w:lang w:eastAsia="zh-CN"/>
        </w:rPr>
        <w:t>相关政策附件</w:t>
      </w:r>
      <w:bookmarkEnd w:id="101"/>
      <w:bookmarkEnd w:id="102"/>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1</w:t>
      </w:r>
    </w:p>
    <w:p>
      <w:pPr>
        <w:pStyle w:val="20"/>
        <w:snapToGrid w:val="0"/>
        <w:spacing w:line="440" w:lineRule="exact"/>
        <w:ind w:left="0" w:leftChars="0"/>
        <w:rPr>
          <w:rFonts w:hint="default" w:ascii="宋体" w:hAnsi="宋体" w:cs="宋体"/>
          <w:b/>
          <w:bCs/>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434465418"/>
        </w:rPr>
        <w:t>崇左市财政局文</w:t>
      </w:r>
      <w:r>
        <w:rPr>
          <w:rFonts w:hint="eastAsia" w:ascii="宋体" w:hAnsi="宋体" w:eastAsia="宋体" w:cs="宋体"/>
          <w:b/>
          <w:color w:val="auto"/>
          <w:spacing w:val="0"/>
          <w:kern w:val="0"/>
          <w:sz w:val="84"/>
          <w:szCs w:val="84"/>
          <w:highlight w:val="none"/>
          <w:fitText w:val="8009" w:id="434465418"/>
        </w:rPr>
        <w:t>件</w:t>
      </w:r>
    </w:p>
    <w:p>
      <w:pPr>
        <w:rPr>
          <w:rFonts w:hint="eastAsia"/>
          <w:b/>
          <w:color w:val="auto"/>
          <w:kern w:val="0"/>
          <w:sz w:val="24"/>
          <w:szCs w:val="24"/>
          <w:highlight w:val="none"/>
        </w:rPr>
      </w:pPr>
    </w:p>
    <w:p>
      <w:pPr>
        <w:rPr>
          <w:rFonts w:hint="eastAsia"/>
          <w:b/>
          <w:color w:val="auto"/>
          <w:kern w:val="0"/>
          <w:sz w:val="24"/>
          <w:szCs w:val="24"/>
          <w:highlight w:val="none"/>
        </w:rPr>
      </w:pPr>
    </w:p>
    <w:p>
      <w:pPr>
        <w:rPr>
          <w:rFonts w:hint="eastAsia"/>
          <w:b/>
          <w:color w:val="auto"/>
          <w:kern w:val="0"/>
          <w:sz w:val="24"/>
          <w:szCs w:val="24"/>
          <w:highlight w:val="none"/>
        </w:rPr>
      </w:pPr>
    </w:p>
    <w:p>
      <w:pPr>
        <w:rPr>
          <w:rFonts w:hint="eastAsia"/>
          <w:b/>
          <w:color w:val="auto"/>
          <w:kern w:val="0"/>
          <w:sz w:val="24"/>
          <w:szCs w:val="24"/>
          <w:highlight w:val="none"/>
        </w:rPr>
      </w:pPr>
    </w:p>
    <w:p>
      <w:pPr>
        <w:spacing w:line="340" w:lineRule="exact"/>
        <w:rPr>
          <w:rFonts w:hint="eastAsia"/>
          <w:b/>
          <w:color w:val="auto"/>
          <w:kern w:val="0"/>
          <w:sz w:val="24"/>
          <w:szCs w:val="24"/>
          <w:highlight w:val="none"/>
        </w:rPr>
      </w:pPr>
    </w:p>
    <w:p>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市直各预算单位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6"/>
          <w:sz w:val="21"/>
          <w:szCs w:val="21"/>
          <w:highlight w:val="none"/>
          <w:lang w:eastAsia="zh-Hans"/>
        </w:rPr>
        <w:t>各县（</w:t>
      </w:r>
      <w:r>
        <w:rPr>
          <w:rFonts w:hint="eastAsia" w:ascii="宋体" w:hAnsi="宋体" w:eastAsia="宋体" w:cs="宋体"/>
          <w:color w:val="auto"/>
          <w:spacing w:val="16"/>
          <w:sz w:val="21"/>
          <w:szCs w:val="21"/>
          <w:highlight w:val="none"/>
          <w:lang w:eastAsia="zh-CN"/>
        </w:rPr>
        <w:t>市、</w:t>
      </w:r>
      <w:r>
        <w:rPr>
          <w:rFonts w:hint="eastAsia" w:ascii="宋体" w:hAnsi="宋体" w:eastAsia="宋体" w:cs="宋体"/>
          <w:color w:val="auto"/>
          <w:spacing w:val="16"/>
          <w:sz w:val="21"/>
          <w:szCs w:val="21"/>
          <w:highlight w:val="none"/>
          <w:lang w:eastAsia="zh-Hans"/>
        </w:rPr>
        <w:t>区）财政局</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加大政府采购支持中小企业力度，帮助</w:t>
      </w:r>
      <w:r>
        <w:rPr>
          <w:rFonts w:hint="eastAsia" w:ascii="宋体" w:hAnsi="宋体" w:eastAsia="宋体" w:cs="宋体"/>
          <w:color w:val="auto"/>
          <w:sz w:val="21"/>
          <w:szCs w:val="21"/>
          <w:highlight w:val="none"/>
          <w:shd w:val="clear" w:color="auto" w:fill="FFFFFF"/>
        </w:rPr>
        <w:t>政府采购中标（成交）供应商解决融资难、融资贵的问题，</w:t>
      </w:r>
      <w:r>
        <w:rPr>
          <w:rFonts w:hint="eastAsia" w:ascii="宋体" w:hAnsi="宋体" w:eastAsia="宋体" w:cs="宋体"/>
          <w:color w:val="auto"/>
          <w:sz w:val="21"/>
          <w:szCs w:val="21"/>
          <w:highlight w:val="none"/>
          <w:shd w:val="clear" w:color="auto" w:fill="FFFFFF"/>
          <w:lang w:eastAsia="zh-CN"/>
        </w:rPr>
        <w:t>进一步做好线上“政采贷”融资业务工作。经研究，现将有关事项通知如下：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一、采</w:t>
      </w:r>
      <w:r>
        <w:rPr>
          <w:rFonts w:hint="eastAsia" w:ascii="宋体" w:hAnsi="宋体" w:eastAsia="宋体" w:cs="宋体"/>
          <w:color w:val="auto"/>
          <w:sz w:val="21"/>
          <w:szCs w:val="21"/>
          <w:highlight w:val="none"/>
          <w:shd w:val="clear" w:color="auto" w:fill="FFFFFF"/>
        </w:rPr>
        <w:t>购</w:t>
      </w:r>
      <w:r>
        <w:rPr>
          <w:rFonts w:hint="eastAsia" w:ascii="宋体" w:hAnsi="宋体" w:eastAsia="宋体" w:cs="宋体"/>
          <w:color w:val="auto"/>
          <w:sz w:val="21"/>
          <w:szCs w:val="21"/>
          <w:highlight w:val="none"/>
          <w:shd w:val="clear" w:color="auto" w:fill="FFFFFF"/>
          <w:lang w:eastAsia="zh-CN"/>
        </w:rPr>
        <w:t>人、采购</w:t>
      </w:r>
      <w:r>
        <w:rPr>
          <w:rFonts w:hint="eastAsia" w:ascii="宋体" w:hAnsi="宋体" w:eastAsia="宋体" w:cs="宋体"/>
          <w:color w:val="auto"/>
          <w:sz w:val="21"/>
          <w:szCs w:val="21"/>
          <w:highlight w:val="none"/>
          <w:shd w:val="clear" w:color="auto" w:fill="FFFFFF"/>
        </w:rPr>
        <w:t>代理机构</w:t>
      </w:r>
      <w:r>
        <w:rPr>
          <w:rFonts w:hint="eastAsia" w:ascii="宋体" w:hAnsi="宋体" w:eastAsia="宋体" w:cs="宋体"/>
          <w:color w:val="auto"/>
          <w:sz w:val="21"/>
          <w:szCs w:val="21"/>
          <w:highlight w:val="none"/>
          <w:shd w:val="clear" w:color="auto" w:fill="FFFFFF"/>
          <w:lang w:eastAsia="zh-CN"/>
        </w:rPr>
        <w:t>在编制政府采购文件时，应将《崇左市线上“政采贷”政策告知函》、《崇左市线上“政采贷”业务流程图》、</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崇左</w:t>
      </w:r>
      <w:r>
        <w:rPr>
          <w:rFonts w:hint="eastAsia" w:ascii="宋体" w:hAnsi="宋体" w:eastAsia="宋体" w:cs="宋体"/>
          <w:color w:val="auto"/>
          <w:sz w:val="21"/>
          <w:szCs w:val="21"/>
          <w:highlight w:val="none"/>
          <w:shd w:val="clear" w:color="auto" w:fill="FFFFFF"/>
        </w:rPr>
        <w:t>市金融机构</w:t>
      </w:r>
      <w:r>
        <w:rPr>
          <w:rFonts w:hint="eastAsia" w:ascii="宋体" w:hAnsi="宋体" w:eastAsia="宋体" w:cs="宋体"/>
          <w:color w:val="auto"/>
          <w:sz w:val="21"/>
          <w:szCs w:val="21"/>
          <w:highlight w:val="none"/>
          <w:shd w:val="clear" w:color="auto" w:fill="FFFFFF"/>
          <w:lang w:eastAsia="zh-CN"/>
        </w:rPr>
        <w:t>线上</w:t>
      </w:r>
      <w:r>
        <w:rPr>
          <w:rFonts w:hint="eastAsia" w:ascii="宋体" w:hAnsi="宋体" w:eastAsia="宋体" w:cs="宋体"/>
          <w:color w:val="auto"/>
          <w:sz w:val="21"/>
          <w:szCs w:val="21"/>
          <w:highlight w:val="none"/>
          <w:shd w:val="clear" w:color="auto" w:fill="FFFFFF"/>
        </w:rPr>
        <w:t>“政采贷”业务办理联络表》</w:t>
      </w:r>
      <w:r>
        <w:rPr>
          <w:rFonts w:hint="eastAsia" w:ascii="宋体" w:hAnsi="宋体" w:eastAsia="宋体" w:cs="宋体"/>
          <w:color w:val="auto"/>
          <w:sz w:val="21"/>
          <w:szCs w:val="21"/>
          <w:highlight w:val="none"/>
          <w:shd w:val="clear" w:color="auto" w:fill="FFFFFF"/>
          <w:lang w:eastAsia="zh-CN"/>
        </w:rPr>
        <w:t>作为政策宣传材料排入文件显眼版块中。（详见：附件</w:t>
      </w:r>
      <w:r>
        <w:rPr>
          <w:rFonts w:hint="eastAsia" w:ascii="宋体" w:hAnsi="宋体" w:eastAsia="宋体" w:cs="宋体"/>
          <w:color w:val="auto"/>
          <w:sz w:val="21"/>
          <w:szCs w:val="21"/>
          <w:highlight w:val="none"/>
          <w:shd w:val="clear" w:color="auto" w:fill="FFFFFF"/>
          <w:lang w:val="en-US" w:eastAsia="zh-CN"/>
        </w:rPr>
        <w:t>2至附件4</w:t>
      </w:r>
      <w:r>
        <w:rPr>
          <w:rFonts w:hint="eastAsia" w:ascii="宋体" w:hAnsi="宋体" w:eastAsia="宋体" w:cs="宋体"/>
          <w:color w:val="auto"/>
          <w:sz w:val="21"/>
          <w:szCs w:val="2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1260" w:leftChars="200" w:hanging="840" w:hangingChars="4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1.中国人民银行崇左市中心支行 崇左市财政局转发关于推广线上“政采贷”融资模式文件的通知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050" w:firstLineChars="5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2.崇左市线上“政采贷”政策告知函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崇左市线上“政采贷”业务流程图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市金融机构</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“政采贷”业务办理联络表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市财政局</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日</w:t>
      </w:r>
    </w:p>
    <w:p>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pPr>
        <w:spacing w:line="560" w:lineRule="exact"/>
        <w:jc w:val="left"/>
        <w:rPr>
          <w:rFonts w:hint="eastAsia" w:ascii="仿宋_GB2312" w:hAnsi="仿宋_GB2312" w:eastAsia="仿宋_GB2312" w:cs="仿宋_GB2312"/>
          <w:b/>
          <w:bCs/>
          <w:color w:val="auto"/>
          <w:sz w:val="28"/>
          <w:szCs w:val="28"/>
          <w:highlight w:val="none"/>
        </w:rPr>
      </w:pPr>
    </w:p>
    <w:p>
      <w:pPr>
        <w:pStyle w:val="31"/>
        <w:rPr>
          <w:rFonts w:hint="eastAsia" w:ascii="仿宋_GB2312" w:hAnsi="仿宋_GB2312" w:eastAsia="仿宋_GB2312" w:cs="仿宋_GB2312"/>
          <w:b/>
          <w:bCs/>
          <w:color w:val="auto"/>
          <w:sz w:val="28"/>
          <w:szCs w:val="28"/>
          <w:highlight w:val="none"/>
        </w:rPr>
      </w:pPr>
    </w:p>
    <w:p>
      <w:pPr>
        <w:rPr>
          <w:rFonts w:hint="eastAsia"/>
          <w:color w:val="auto"/>
          <w:highlight w:val="none"/>
        </w:rPr>
      </w:pPr>
    </w:p>
    <w:p>
      <w:pPr>
        <w:pStyle w:val="31"/>
        <w:rPr>
          <w:rFonts w:hint="eastAsia"/>
          <w:color w:val="auto"/>
          <w:highlight w:val="none"/>
        </w:rPr>
      </w:pPr>
    </w:p>
    <w:p>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r>
        <w:rPr>
          <w:rFonts w:hint="eastAsia" w:ascii="仿宋_GB2312" w:hAnsi="仿宋_GB2312" w:eastAsia="仿宋_GB2312" w:cs="仿宋_GB2312"/>
          <w:color w:val="auto"/>
          <w:sz w:val="28"/>
          <w:szCs w:val="28"/>
          <w:highlight w:val="none"/>
        </w:rPr>
        <w:t xml:space="preserve">                                     </w:t>
      </w:r>
    </w:p>
    <w:p>
      <w:pPr>
        <w:spacing w:line="560" w:lineRule="exact"/>
        <w:ind w:firstLine="280" w:firstLineChars="100"/>
        <w:jc w:val="left"/>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0288;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59264;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pStyle w:val="31"/>
        <w:rPr>
          <w:rFonts w:hint="eastAsia"/>
          <w:color w:val="auto"/>
          <w:highlight w:val="none"/>
          <w:lang w:val="en-US" w:eastAsia="zh-CN"/>
        </w:rPr>
      </w:pPr>
    </w:p>
    <w:p>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w:t>
      </w:r>
      <w:r>
        <w:rPr>
          <w:rFonts w:hint="eastAsia" w:ascii="宋体" w:hAnsi="宋体" w:eastAsia="宋体" w:cs="宋体"/>
          <w:color w:val="auto"/>
          <w:sz w:val="21"/>
          <w:szCs w:val="21"/>
          <w:highlight w:val="none"/>
          <w:lang w:eastAsia="zh-CN"/>
        </w:rPr>
        <w:t>崇左市</w:t>
      </w:r>
      <w:r>
        <w:rPr>
          <w:rFonts w:hint="eastAsia" w:ascii="宋体" w:hAnsi="宋体" w:eastAsia="宋体" w:cs="宋体"/>
          <w:color w:val="auto"/>
          <w:sz w:val="21"/>
          <w:szCs w:val="21"/>
          <w:highlight w:val="none"/>
        </w:rPr>
        <w:t>政府采购活动！</w:t>
      </w:r>
    </w:p>
    <w:p>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eastAsia="宋体" w:cs="宋体"/>
          <w:color w:val="auto"/>
          <w:sz w:val="21"/>
          <w:szCs w:val="21"/>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 w:val="21"/>
          <w:szCs w:val="21"/>
          <w:highlight w:val="none"/>
          <w:lang w:val="en-US" w:eastAsia="zh-CN"/>
        </w:rPr>
        <w:t>258</w:t>
      </w:r>
      <w:r>
        <w:rPr>
          <w:rFonts w:hint="eastAsia" w:ascii="宋体" w:hAnsi="宋体" w:eastAsia="宋体" w:cs="宋体"/>
          <w:color w:val="auto"/>
          <w:sz w:val="21"/>
          <w:szCs w:val="21"/>
          <w:highlight w:val="none"/>
        </w:rPr>
        <w:t>号），按照双方自愿的原则提供便捷、优惠的贷款服务。</w:t>
      </w:r>
    </w:p>
    <w:p>
      <w:pPr>
        <w:spacing w:line="5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eastAsia="宋体" w:cs="宋体"/>
          <w:color w:val="auto"/>
          <w:sz w:val="21"/>
          <w:szCs w:val="21"/>
          <w:highlight w:val="none"/>
        </w:rPr>
        <w:t>联系方式，可在中征应收账款融资服务平台查询</w:t>
      </w:r>
      <w:r>
        <w:rPr>
          <w:rFonts w:hint="eastAsia" w:ascii="宋体" w:hAnsi="宋体" w:eastAsia="宋体" w:cs="宋体"/>
          <w:color w:val="auto"/>
          <w:sz w:val="21"/>
          <w:szCs w:val="21"/>
          <w:highlight w:val="none"/>
          <w:lang w:eastAsia="zh-CN"/>
        </w:rPr>
        <w:t>（网址：</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"https://www.crcrfsp.com/" </w:instrText>
      </w:r>
      <w:r>
        <w:rPr>
          <w:rFonts w:hint="eastAsia" w:ascii="宋体" w:hAnsi="宋体" w:eastAsia="宋体" w:cs="宋体"/>
          <w:color w:val="auto"/>
          <w:sz w:val="21"/>
          <w:szCs w:val="21"/>
          <w:highlight w:val="none"/>
          <w:lang w:eastAsia="zh-CN"/>
        </w:rPr>
        <w:fldChar w:fldCharType="separate"/>
      </w:r>
      <w:r>
        <w:rPr>
          <w:rStyle w:val="25"/>
          <w:rFonts w:hint="eastAsia" w:ascii="宋体" w:hAnsi="宋体" w:eastAsia="宋体" w:cs="宋体"/>
          <w:color w:val="auto"/>
          <w:sz w:val="21"/>
          <w:szCs w:val="21"/>
          <w:highlight w:val="none"/>
          <w:lang w:eastAsia="zh-CN"/>
        </w:rPr>
        <w:t>https://www.crcrfsp.com/</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，客服电话：</w:t>
      </w:r>
      <w:r>
        <w:rPr>
          <w:rFonts w:hint="eastAsia" w:ascii="宋体" w:hAnsi="宋体" w:eastAsia="宋体" w:cs="宋体"/>
          <w:color w:val="auto"/>
          <w:sz w:val="21"/>
          <w:szCs w:val="21"/>
          <w:highlight w:val="none"/>
          <w:lang w:val="en-US" w:eastAsia="zh-CN"/>
        </w:rPr>
        <w:t>400-009-0001</w:t>
      </w:r>
      <w:r>
        <w:rPr>
          <w:rFonts w:hint="eastAsia" w:ascii="宋体" w:hAnsi="宋体" w:eastAsia="宋体" w:cs="宋体"/>
          <w:color w:val="auto"/>
          <w:sz w:val="21"/>
          <w:szCs w:val="21"/>
          <w:highlight w:val="none"/>
          <w:lang w:eastAsia="zh-CN"/>
        </w:rPr>
        <w:t>）。</w:t>
      </w:r>
    </w:p>
    <w:p>
      <w:pPr>
        <w:pStyle w:val="31"/>
        <w:rPr>
          <w:rFonts w:hint="eastAsia" w:ascii="仿宋_GB2312" w:hAnsi="仿宋_GB2312" w:eastAsia="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31"/>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31"/>
        <w:rPr>
          <w:rFonts w:hint="eastAsia" w:ascii="仿宋_GB2312" w:hAnsi="仿宋_GB2312" w:cs="仿宋_GB2312"/>
          <w:color w:val="auto"/>
          <w:szCs w:val="32"/>
          <w:highlight w:val="none"/>
          <w:lang w:eastAsia="zh-CN"/>
        </w:rPr>
      </w:pPr>
    </w:p>
    <w:p>
      <w:pPr>
        <w:spacing w:line="540" w:lineRule="exact"/>
        <w:rPr>
          <w:rFonts w:hint="eastAsia" w:ascii="黑体" w:hAnsi="黑体" w:eastAsia="黑体" w:cs="黑体"/>
          <w:color w:val="auto"/>
          <w:szCs w:val="32"/>
          <w:highlight w:val="none"/>
        </w:rPr>
      </w:pPr>
    </w:p>
    <w:p>
      <w:pPr>
        <w:pStyle w:val="31"/>
        <w:ind w:left="0" w:leftChars="0" w:firstLine="0" w:firstLineChars="0"/>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pPr>
        <w:pStyle w:val="31"/>
        <w:rPr>
          <w:rFonts w:hint="default"/>
          <w:color w:val="auto"/>
          <w:highlight w:val="none"/>
          <w:lang w:val="en-US" w:eastAsia="zh-CN"/>
        </w:rPr>
      </w:pPr>
    </w:p>
    <w:p>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pP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流程图1011"/>
                    <pic:cNvPicPr>
                      <a:picLocks noChangeAspect="1"/>
                    </pic:cNvPicPr>
                  </pic:nvPicPr>
                  <pic:blipFill>
                    <a:blip r:embed="rId17"/>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pPr>
        <w:pStyle w:val="31"/>
        <w:rPr>
          <w:color w:val="auto"/>
          <w:highlight w:val="none"/>
        </w:rPr>
      </w:pPr>
    </w:p>
    <w:p>
      <w:pPr>
        <w:pStyle w:val="31"/>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22"/>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pStyle w:val="16"/>
        <w:rPr>
          <w:color w:val="auto"/>
          <w:highlight w:val="none"/>
        </w:rPr>
      </w:pPr>
    </w:p>
    <w:p>
      <w:pPr>
        <w:pStyle w:val="27"/>
        <w:rPr>
          <w:rFonts w:hint="eastAsia" w:hAnsi="宋体"/>
          <w:b/>
          <w:color w:val="auto"/>
          <w:sz w:val="24"/>
          <w:szCs w:val="24"/>
          <w:highlight w:val="none"/>
        </w:rPr>
      </w:pPr>
    </w:p>
    <w:p>
      <w:pPr>
        <w:snapToGrid w:val="0"/>
        <w:spacing w:before="50" w:after="120" w:afterLines="50" w:line="360" w:lineRule="auto"/>
        <w:ind w:firstLine="480" w:firstLineChars="200"/>
        <w:jc w:val="left"/>
        <w:rPr>
          <w:rFonts w:hint="eastAsia"/>
          <w:color w:val="auto"/>
          <w:sz w:val="24"/>
          <w:highlight w:val="none"/>
        </w:rPr>
      </w:pPr>
    </w:p>
    <w:p>
      <w:pPr>
        <w:rPr>
          <w:highlight w:val="none"/>
        </w:rPr>
      </w:pPr>
    </w:p>
    <w:p>
      <w:pPr>
        <w:rPr>
          <w:highlight w:val="none"/>
        </w:rPr>
      </w:pPr>
    </w:p>
    <w:sectPr>
      <w:footerReference r:id="rId15" w:type="first"/>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5</w:t>
    </w:r>
    <w:r>
      <w:fldChar w:fldCharType="end"/>
    </w:r>
  </w:p>
  <w:p>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0</w:t>
    </w:r>
    <w:r>
      <w:rPr>
        <w:sz w:val="21"/>
      </w:rPr>
      <w:fldChar w:fldCharType="end"/>
    </w:r>
  </w:p>
  <w:p>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 PAGE   \* MERGEFORMAT </w:instrText>
                          </w:r>
                          <w:r>
                            <w:fldChar w:fldCharType="separate"/>
                          </w:r>
                          <w:r>
                            <w:rPr>
                              <w:lang w:val="zh-CN"/>
                            </w:rP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51</w:t>
                    </w:r>
                    <w:r>
                      <w:fldChar w:fldCharType="end"/>
                    </w:r>
                  </w:p>
                </w:txbxContent>
              </v:textbox>
            </v:shape>
          </w:pict>
        </mc:Fallback>
      </mc:AlternateConten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6"/>
      <w:ind w:right="360"/>
      <w:jc w:val="both"/>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 PAGE   \* MERGEFORMAT </w:instrText>
                          </w:r>
                          <w:r>
                            <w:fldChar w:fldCharType="separate"/>
                          </w:r>
                          <w:r>
                            <w:rPr>
                              <w:lang w:val="zh-CN"/>
                            </w:rP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80</w:t>
                    </w:r>
                    <w:r>
                      <w:fldChar w:fldCharType="end"/>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end"/>
    </w:r>
  </w:p>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C0147"/>
    <w:multiLevelType w:val="singleLevel"/>
    <w:tmpl w:val="B8BC0147"/>
    <w:lvl w:ilvl="0" w:tentative="0">
      <w:start w:val="1"/>
      <w:numFmt w:val="chineseCounting"/>
      <w:suff w:val="nothing"/>
      <w:lvlText w:val="（%1）"/>
      <w:lvlJc w:val="left"/>
      <w:rPr>
        <w:rFonts w:hint="eastAsia"/>
      </w:r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2A087B6"/>
    <w:multiLevelType w:val="singleLevel"/>
    <w:tmpl w:val="52A087B6"/>
    <w:lvl w:ilvl="0" w:tentative="0">
      <w:start w:val="5"/>
      <w:numFmt w:val="chineseCounting"/>
      <w:suff w:val="space"/>
      <w:lvlText w:val="第%1章"/>
      <w:lvlJc w:val="left"/>
      <w:rPr>
        <w:rFonts w:hint="eastAsia"/>
      </w:rPr>
    </w:lvl>
  </w:abstractNum>
  <w:abstractNum w:abstractNumId="3">
    <w:nsid w:val="5FABD14B"/>
    <w:multiLevelType w:val="singleLevel"/>
    <w:tmpl w:val="5FABD14B"/>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WUyMWU4MjAxNmNkYTMyY2E0MjZjODQ1OGQ2NzcifQ=="/>
  </w:docVars>
  <w:rsids>
    <w:rsidRoot w:val="3B002759"/>
    <w:rsid w:val="00225C49"/>
    <w:rsid w:val="008C24B4"/>
    <w:rsid w:val="01D35275"/>
    <w:rsid w:val="01DB7ED5"/>
    <w:rsid w:val="02E01C47"/>
    <w:rsid w:val="0459269D"/>
    <w:rsid w:val="04633078"/>
    <w:rsid w:val="063858F6"/>
    <w:rsid w:val="06AB256C"/>
    <w:rsid w:val="06C1601A"/>
    <w:rsid w:val="07416A2C"/>
    <w:rsid w:val="07442492"/>
    <w:rsid w:val="07D7113E"/>
    <w:rsid w:val="09104908"/>
    <w:rsid w:val="09A17C56"/>
    <w:rsid w:val="0B275F39"/>
    <w:rsid w:val="0BBB283E"/>
    <w:rsid w:val="0BCB2D68"/>
    <w:rsid w:val="0C2030B4"/>
    <w:rsid w:val="0C790A16"/>
    <w:rsid w:val="0C972DB0"/>
    <w:rsid w:val="0C994C14"/>
    <w:rsid w:val="0D020A0B"/>
    <w:rsid w:val="0D8633EB"/>
    <w:rsid w:val="0EE77EB9"/>
    <w:rsid w:val="0F264E85"/>
    <w:rsid w:val="0FFB4BCC"/>
    <w:rsid w:val="10A52593"/>
    <w:rsid w:val="11276C93"/>
    <w:rsid w:val="126B7D63"/>
    <w:rsid w:val="13C63FD0"/>
    <w:rsid w:val="14495172"/>
    <w:rsid w:val="15210A86"/>
    <w:rsid w:val="165027E8"/>
    <w:rsid w:val="16BE238C"/>
    <w:rsid w:val="171952CF"/>
    <w:rsid w:val="17457E73"/>
    <w:rsid w:val="18583BD5"/>
    <w:rsid w:val="192817FA"/>
    <w:rsid w:val="1991739F"/>
    <w:rsid w:val="19BE3F0C"/>
    <w:rsid w:val="1BA86C22"/>
    <w:rsid w:val="1D3118B9"/>
    <w:rsid w:val="1D84721B"/>
    <w:rsid w:val="1F7C289F"/>
    <w:rsid w:val="20AA65A3"/>
    <w:rsid w:val="22E06CA1"/>
    <w:rsid w:val="234611FA"/>
    <w:rsid w:val="23DD09A3"/>
    <w:rsid w:val="24883A94"/>
    <w:rsid w:val="268C786C"/>
    <w:rsid w:val="26AF355A"/>
    <w:rsid w:val="26C863CA"/>
    <w:rsid w:val="26DB60FD"/>
    <w:rsid w:val="27D72D69"/>
    <w:rsid w:val="281C4C20"/>
    <w:rsid w:val="28612632"/>
    <w:rsid w:val="29347D47"/>
    <w:rsid w:val="293B7327"/>
    <w:rsid w:val="2953646C"/>
    <w:rsid w:val="2A3E70CF"/>
    <w:rsid w:val="2B894A5C"/>
    <w:rsid w:val="2BA967CA"/>
    <w:rsid w:val="2C970D19"/>
    <w:rsid w:val="30A42E4B"/>
    <w:rsid w:val="31E866CA"/>
    <w:rsid w:val="3384518C"/>
    <w:rsid w:val="3701395E"/>
    <w:rsid w:val="38AF1198"/>
    <w:rsid w:val="38D155B2"/>
    <w:rsid w:val="38FF470D"/>
    <w:rsid w:val="399F745E"/>
    <w:rsid w:val="39F95634"/>
    <w:rsid w:val="3B002759"/>
    <w:rsid w:val="3B245E6D"/>
    <w:rsid w:val="3B2A2D58"/>
    <w:rsid w:val="3BD766E2"/>
    <w:rsid w:val="3D8D1D6A"/>
    <w:rsid w:val="3E2A52BD"/>
    <w:rsid w:val="3E860BED"/>
    <w:rsid w:val="3F161F71"/>
    <w:rsid w:val="42010CB6"/>
    <w:rsid w:val="42CD0B98"/>
    <w:rsid w:val="449F6565"/>
    <w:rsid w:val="4568104C"/>
    <w:rsid w:val="45B20519"/>
    <w:rsid w:val="47503B46"/>
    <w:rsid w:val="48930BA4"/>
    <w:rsid w:val="4A390992"/>
    <w:rsid w:val="4A987CDE"/>
    <w:rsid w:val="4AB32D6A"/>
    <w:rsid w:val="4AF40687"/>
    <w:rsid w:val="4B013AD5"/>
    <w:rsid w:val="4B375749"/>
    <w:rsid w:val="4E252DBF"/>
    <w:rsid w:val="4ECE0BDE"/>
    <w:rsid w:val="50AC1BEE"/>
    <w:rsid w:val="513719C4"/>
    <w:rsid w:val="517F2919"/>
    <w:rsid w:val="51E241AA"/>
    <w:rsid w:val="523601F3"/>
    <w:rsid w:val="523B5085"/>
    <w:rsid w:val="527C7EE5"/>
    <w:rsid w:val="55364483"/>
    <w:rsid w:val="56733CA4"/>
    <w:rsid w:val="56C51358"/>
    <w:rsid w:val="56D227CA"/>
    <w:rsid w:val="58445001"/>
    <w:rsid w:val="592D0947"/>
    <w:rsid w:val="5B8D3163"/>
    <w:rsid w:val="5D1E08DE"/>
    <w:rsid w:val="5E196F30"/>
    <w:rsid w:val="5FA51AA4"/>
    <w:rsid w:val="61045C75"/>
    <w:rsid w:val="610A2B60"/>
    <w:rsid w:val="61462BE6"/>
    <w:rsid w:val="616B35FF"/>
    <w:rsid w:val="61BE5E24"/>
    <w:rsid w:val="61E67129"/>
    <w:rsid w:val="622F0AD0"/>
    <w:rsid w:val="625B68E6"/>
    <w:rsid w:val="62C531E2"/>
    <w:rsid w:val="63BB3C5A"/>
    <w:rsid w:val="64141247"/>
    <w:rsid w:val="6560466A"/>
    <w:rsid w:val="658C3EAF"/>
    <w:rsid w:val="661E50BF"/>
    <w:rsid w:val="667B0788"/>
    <w:rsid w:val="67A535E2"/>
    <w:rsid w:val="68246BFD"/>
    <w:rsid w:val="683E1A6D"/>
    <w:rsid w:val="6844104D"/>
    <w:rsid w:val="68550B65"/>
    <w:rsid w:val="69412A4B"/>
    <w:rsid w:val="69A47FF6"/>
    <w:rsid w:val="6A4316AC"/>
    <w:rsid w:val="6C021003"/>
    <w:rsid w:val="6C1B20C5"/>
    <w:rsid w:val="6C711CE5"/>
    <w:rsid w:val="6D6A6E60"/>
    <w:rsid w:val="6E0A1BF8"/>
    <w:rsid w:val="6F0B6CBF"/>
    <w:rsid w:val="6F72024E"/>
    <w:rsid w:val="70860455"/>
    <w:rsid w:val="708B7819"/>
    <w:rsid w:val="71D376CA"/>
    <w:rsid w:val="73F90F3E"/>
    <w:rsid w:val="75BA64AB"/>
    <w:rsid w:val="75CA2B92"/>
    <w:rsid w:val="764204A7"/>
    <w:rsid w:val="774E15A1"/>
    <w:rsid w:val="78142696"/>
    <w:rsid w:val="78FC593C"/>
    <w:rsid w:val="795135CA"/>
    <w:rsid w:val="798175E5"/>
    <w:rsid w:val="79823784"/>
    <w:rsid w:val="7984694F"/>
    <w:rsid w:val="7A3251AA"/>
    <w:rsid w:val="7AA37E55"/>
    <w:rsid w:val="7B4D7F67"/>
    <w:rsid w:val="7CE54755"/>
    <w:rsid w:val="7D1D3EEF"/>
    <w:rsid w:val="7D92244B"/>
    <w:rsid w:val="7E12157A"/>
    <w:rsid w:val="7F76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line="600" w:lineRule="exact"/>
      <w:ind w:firstLine="643" w:firstLineChars="200"/>
      <w:outlineLvl w:val="2"/>
    </w:pPr>
    <w:rPr>
      <w:b/>
      <w:bCs/>
      <w:sz w:val="32"/>
      <w:szCs w:val="32"/>
    </w:rPr>
  </w:style>
  <w:style w:type="paragraph" w:styleId="8">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9">
    <w:name w:val="heading 5"/>
    <w:basedOn w:val="1"/>
    <w:next w:val="10"/>
    <w:autoRedefine/>
    <w:qFormat/>
    <w:uiPriority w:val="9"/>
    <w:pPr>
      <w:keepNext/>
      <w:keepLines/>
      <w:spacing w:before="280" w:after="290" w:line="376" w:lineRule="auto"/>
      <w:outlineLvl w:val="4"/>
    </w:pPr>
    <w:rPr>
      <w:b/>
      <w:bCs/>
      <w:sz w:val="28"/>
      <w:szCs w:val="28"/>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ind w:firstLine="420" w:firstLineChars="200"/>
    </w:pPr>
  </w:style>
  <w:style w:type="paragraph" w:styleId="3">
    <w:name w:val="Body Text"/>
    <w:basedOn w:val="1"/>
    <w:next w:val="2"/>
    <w:autoRedefine/>
    <w:unhideWhenUsed/>
    <w:qFormat/>
    <w:uiPriority w:val="99"/>
    <w:pPr>
      <w:spacing w:after="120"/>
    </w:pPr>
  </w:style>
  <w:style w:type="paragraph" w:styleId="4">
    <w:name w:val="Body Text First Indent"/>
    <w:basedOn w:val="3"/>
    <w:autoRedefine/>
    <w:unhideWhenUsed/>
    <w:qFormat/>
    <w:uiPriority w:val="99"/>
    <w:pPr>
      <w:ind w:firstLine="420" w:firstLineChars="100"/>
    </w:pPr>
    <w:rPr>
      <w:rFonts w:ascii="Calibri" w:hAnsi="Calibri" w:eastAsia="微软雅黑" w:cs="Times New Roman"/>
    </w:rPr>
  </w:style>
  <w:style w:type="paragraph" w:styleId="10">
    <w:name w:val="Normal Indent"/>
    <w:basedOn w:val="1"/>
    <w:autoRedefine/>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autoRedefine/>
    <w:qFormat/>
    <w:uiPriority w:val="0"/>
    <w:pPr>
      <w:jc w:val="left"/>
    </w:pPr>
  </w:style>
  <w:style w:type="paragraph" w:styleId="13">
    <w:name w:val="Body Text 3"/>
    <w:basedOn w:val="1"/>
    <w:autoRedefine/>
    <w:unhideWhenUsed/>
    <w:qFormat/>
    <w:uiPriority w:val="99"/>
    <w:pPr>
      <w:spacing w:after="120"/>
    </w:pPr>
    <w:rPr>
      <w:sz w:val="16"/>
      <w:szCs w:val="16"/>
    </w:rPr>
  </w:style>
  <w:style w:type="paragraph" w:styleId="14">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5">
    <w:name w:val="Plain Text"/>
    <w:basedOn w:val="1"/>
    <w:next w:val="5"/>
    <w:autoRedefine/>
    <w:qFormat/>
    <w:uiPriority w:val="0"/>
    <w:rPr>
      <w:rFonts w:ascii="宋体" w:hAnsi="Courier New"/>
      <w:szCs w:val="20"/>
    </w:rPr>
  </w:style>
  <w:style w:type="paragraph" w:styleId="16">
    <w:name w:val="footer"/>
    <w:basedOn w:val="1"/>
    <w:next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360" w:after="360"/>
      <w:jc w:val="left"/>
    </w:pPr>
    <w:rPr>
      <w:rFonts w:ascii="Calibri" w:hAnsi="Calibri"/>
      <w:b/>
      <w:bCs/>
      <w:caps/>
      <w:sz w:val="22"/>
      <w:szCs w:val="22"/>
      <w:u w:val="single"/>
    </w:rPr>
  </w:style>
  <w:style w:type="paragraph" w:styleId="19">
    <w:name w:val="List"/>
    <w:basedOn w:val="1"/>
    <w:autoRedefine/>
    <w:qFormat/>
    <w:uiPriority w:val="0"/>
    <w:pPr>
      <w:ind w:left="200" w:hanging="200" w:hangingChars="200"/>
    </w:pPr>
    <w:rPr>
      <w:sz w:val="28"/>
    </w:rPr>
  </w:style>
  <w:style w:type="paragraph" w:styleId="20">
    <w:name w:val="Body Text Indent 3"/>
    <w:basedOn w:val="1"/>
    <w:autoRedefine/>
    <w:qFormat/>
    <w:uiPriority w:val="0"/>
    <w:pPr>
      <w:ind w:left="420" w:leftChars="200"/>
    </w:pPr>
    <w:rPr>
      <w:sz w:val="16"/>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character" w:styleId="24">
    <w:name w:val="page number"/>
    <w:autoRedefine/>
    <w:qFormat/>
    <w:uiPriority w:val="0"/>
  </w:style>
  <w:style w:type="character" w:styleId="25">
    <w:name w:val="FollowedHyperlink"/>
    <w:basedOn w:val="23"/>
    <w:autoRedefine/>
    <w:qFormat/>
    <w:uiPriority w:val="0"/>
    <w:rPr>
      <w:color w:val="800080"/>
      <w:u w:val="none"/>
    </w:rPr>
  </w:style>
  <w:style w:type="character" w:styleId="26">
    <w:name w:val="Hyperlink"/>
    <w:autoRedefine/>
    <w:qFormat/>
    <w:uiPriority w:val="99"/>
    <w:rPr>
      <w:color w:val="0000FF"/>
      <w:u w:val="none"/>
    </w:rPr>
  </w:style>
  <w:style w:type="paragraph" w:customStyle="1" w:styleId="2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出段落1"/>
    <w:basedOn w:val="1"/>
    <w:autoRedefine/>
    <w:qFormat/>
    <w:uiPriority w:val="34"/>
    <w:pPr>
      <w:spacing w:before="100" w:beforeAutospacing="1" w:after="100" w:afterAutospacing="1" w:line="360" w:lineRule="auto"/>
      <w:ind w:firstLine="420" w:firstLineChars="200"/>
    </w:pPr>
  </w:style>
  <w:style w:type="paragraph" w:customStyle="1" w:styleId="29">
    <w:name w:val="NormalIndent"/>
    <w:basedOn w:val="1"/>
    <w:autoRedefine/>
    <w:qFormat/>
    <w:uiPriority w:val="0"/>
    <w:pPr>
      <w:ind w:firstLine="420"/>
    </w:pPr>
    <w:rPr>
      <w:szCs w:val="21"/>
    </w:rPr>
  </w:style>
  <w:style w:type="paragraph" w:customStyle="1" w:styleId="30">
    <w:name w:val="p15"/>
    <w:basedOn w:val="1"/>
    <w:autoRedefine/>
    <w:qFormat/>
    <w:uiPriority w:val="99"/>
    <w:pPr>
      <w:widowControl/>
    </w:pPr>
    <w:rPr>
      <w:rFonts w:ascii="宋体" w:hAnsi="宋体"/>
      <w:kern w:val="0"/>
      <w:szCs w:val="21"/>
    </w:rPr>
  </w:style>
  <w:style w:type="paragraph" w:customStyle="1" w:styleId="31">
    <w:name w:val="正文2"/>
    <w:basedOn w:val="1"/>
    <w:next w:val="1"/>
    <w:autoRedefine/>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2024-02-29T06:43:00Z</dcterms:created>
  <dc:creator>我不管我就是小仙女</dc:creator>
  <cp:lastModifiedBy>我不管我就是小仙女</cp:lastModifiedBy>
  <dcterms:modified xsi:type="dcterms:W3CDTF">2024-03-06T04:49:09Z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DF638A9C76B9440D8EAAECDAE35A9CE7_11</vt:lpwstr>
  </property>
</Properties>
</file>