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22B5A8">
      <w:pPr>
        <w:jc w:val="distribute"/>
        <w:rPr>
          <w:rFonts w:ascii="宋体" w:hAnsi="宋体" w:cs="宋体"/>
          <w:color w:val="auto"/>
          <w:sz w:val="66"/>
          <w:szCs w:val="66"/>
          <w:u w:val="double"/>
        </w:rPr>
      </w:pPr>
      <w:r>
        <w:rPr>
          <w:rFonts w:hint="eastAsia" w:ascii="宋体" w:hAnsi="宋体" w:cs="宋体"/>
          <w:b/>
          <w:color w:val="auto"/>
          <w:sz w:val="52"/>
          <w:szCs w:val="52"/>
          <w:u w:val="double"/>
        </w:rPr>
        <w:t>广西秉坤项目管理有限公司</w:t>
      </w:r>
      <w:r>
        <w:rPr>
          <w:rFonts w:hint="eastAsia" w:ascii="宋体" w:hAnsi="宋体" w:cs="宋体"/>
          <w:b/>
          <w:color w:val="auto"/>
          <w:sz w:val="48"/>
          <w:szCs w:val="48"/>
        </w:rPr>
        <w:t xml:space="preserve">   </w:t>
      </w:r>
      <w:r>
        <w:rPr>
          <w:rFonts w:hint="eastAsia" w:ascii="宋体" w:hAnsi="宋体" w:cs="宋体"/>
          <w:b/>
          <w:color w:val="auto"/>
          <w:sz w:val="48"/>
          <w:szCs w:val="48"/>
        </w:rPr>
        <w:drawing>
          <wp:inline distT="0" distB="0" distL="114300" distR="114300">
            <wp:extent cx="3018155" cy="2308225"/>
            <wp:effectExtent l="0" t="0" r="10795" b="15875"/>
            <wp:docPr id="2" name="图片 2" descr="1e92301c5b1bf7adfc5b6587df6b8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e92301c5b1bf7adfc5b6587df6b8bb"/>
                    <pic:cNvPicPr>
                      <a:picLocks noChangeAspect="1"/>
                    </pic:cNvPicPr>
                  </pic:nvPicPr>
                  <pic:blipFill>
                    <a:blip r:embed="rId16"/>
                    <a:srcRect b="39018"/>
                    <a:stretch>
                      <a:fillRect/>
                    </a:stretch>
                  </pic:blipFill>
                  <pic:spPr>
                    <a:xfrm>
                      <a:off x="0" y="0"/>
                      <a:ext cx="3018155" cy="2308225"/>
                    </a:xfrm>
                    <a:prstGeom prst="rect">
                      <a:avLst/>
                    </a:prstGeom>
                    <a:noFill/>
                    <a:ln>
                      <a:noFill/>
                    </a:ln>
                  </pic:spPr>
                </pic:pic>
              </a:graphicData>
            </a:graphic>
          </wp:inline>
        </w:drawing>
      </w:r>
    </w:p>
    <w:p w14:paraId="3B9FBE94">
      <w:pPr>
        <w:tabs>
          <w:tab w:val="left" w:pos="6735"/>
        </w:tabs>
        <w:jc w:val="left"/>
        <w:rPr>
          <w:rFonts w:ascii="宋体" w:hAnsi="宋体"/>
          <w:color w:val="auto"/>
          <w:sz w:val="48"/>
          <w:szCs w:val="48"/>
        </w:rPr>
      </w:pPr>
      <w:r>
        <w:rPr>
          <w:rFonts w:ascii="宋体" w:hAnsi="宋体"/>
          <w:b/>
          <w:color w:val="auto"/>
          <w:sz w:val="44"/>
          <w:szCs w:val="44"/>
        </w:rPr>
        <w:tab/>
      </w:r>
    </w:p>
    <w:p w14:paraId="7A5F17B7">
      <w:pPr>
        <w:jc w:val="center"/>
        <w:rPr>
          <w:rFonts w:ascii="宋体" w:hAnsi="宋体"/>
          <w:b/>
          <w:bCs/>
          <w:color w:val="auto"/>
          <w:sz w:val="96"/>
          <w:szCs w:val="72"/>
        </w:rPr>
      </w:pPr>
      <w:r>
        <w:rPr>
          <w:rFonts w:ascii="宋体" w:hAnsi="宋体"/>
          <w:b/>
          <w:bCs/>
          <w:color w:val="auto"/>
          <w:sz w:val="96"/>
          <w:szCs w:val="72"/>
        </w:rPr>
        <w:t>竞争性磋商文件</w:t>
      </w:r>
    </w:p>
    <w:p w14:paraId="19F0563E">
      <w:pPr>
        <w:pStyle w:val="5"/>
        <w:rPr>
          <w:rFonts w:hint="eastAsia"/>
          <w:color w:val="auto"/>
        </w:rPr>
      </w:pPr>
    </w:p>
    <w:p w14:paraId="4B3B95DF">
      <w:pPr>
        <w:spacing w:line="360" w:lineRule="auto"/>
        <w:ind w:left="1546" w:hanging="1546" w:hangingChars="500"/>
        <w:jc w:val="left"/>
        <w:rPr>
          <w:rFonts w:hint="eastAsia" w:ascii="宋体" w:hAnsi="宋体" w:eastAsia="宋体" w:cs="宋体"/>
          <w:b/>
          <w:color w:val="auto"/>
          <w:spacing w:val="-6"/>
          <w:kern w:val="0"/>
          <w:sz w:val="32"/>
          <w:szCs w:val="32"/>
          <w:lang w:val="en-US" w:eastAsia="zh-CN"/>
        </w:rPr>
      </w:pPr>
      <w:r>
        <w:rPr>
          <w:rFonts w:hint="eastAsia" w:ascii="宋体" w:hAnsi="宋体" w:eastAsia="宋体" w:cs="宋体"/>
          <w:b/>
          <w:color w:val="auto"/>
          <w:spacing w:val="-6"/>
          <w:kern w:val="0"/>
          <w:sz w:val="32"/>
          <w:szCs w:val="32"/>
          <w:lang w:val="en-US" w:eastAsia="zh-CN"/>
        </w:rPr>
        <w:t>项目名称：</w:t>
      </w:r>
      <w:r>
        <w:rPr>
          <w:rFonts w:hint="eastAsia" w:ascii="宋体" w:hAnsi="宋体" w:cs="宋体"/>
          <w:b/>
          <w:color w:val="auto"/>
          <w:spacing w:val="-6"/>
          <w:kern w:val="0"/>
          <w:sz w:val="32"/>
          <w:szCs w:val="32"/>
          <w:lang w:val="en-US" w:eastAsia="zh-CN"/>
        </w:rPr>
        <w:t>2024年那堪至龙州公路安防工程</w:t>
      </w:r>
    </w:p>
    <w:p w14:paraId="34ABC2DF">
      <w:pPr>
        <w:spacing w:line="560" w:lineRule="exact"/>
        <w:rPr>
          <w:rFonts w:hint="eastAsia" w:ascii="宋体" w:hAnsi="宋体" w:eastAsia="宋体" w:cs="宋体"/>
          <w:b/>
          <w:color w:val="auto"/>
          <w:spacing w:val="-6"/>
          <w:kern w:val="0"/>
          <w:sz w:val="32"/>
          <w:szCs w:val="32"/>
          <w:lang w:val="en-US" w:eastAsia="zh-CN"/>
        </w:rPr>
      </w:pPr>
      <w:r>
        <w:rPr>
          <w:rFonts w:hint="eastAsia" w:ascii="宋体" w:hAnsi="宋体" w:eastAsia="宋体" w:cs="宋体"/>
          <w:b/>
          <w:color w:val="auto"/>
          <w:spacing w:val="-6"/>
          <w:kern w:val="0"/>
          <w:sz w:val="32"/>
          <w:szCs w:val="32"/>
          <w:lang w:val="en-US" w:eastAsia="zh-CN"/>
        </w:rPr>
        <w:t>项目编号：CZZC2025-C2-230058-GXBK</w:t>
      </w:r>
      <w:bookmarkStart w:id="131" w:name="_GoBack"/>
      <w:bookmarkEnd w:id="131"/>
    </w:p>
    <w:p w14:paraId="714CFFEA">
      <w:pPr>
        <w:spacing w:line="360" w:lineRule="auto"/>
        <w:jc w:val="left"/>
        <w:rPr>
          <w:rFonts w:hint="eastAsia" w:ascii="宋体" w:hAnsi="宋体" w:eastAsia="宋体" w:cs="宋体"/>
          <w:b/>
          <w:color w:val="auto"/>
          <w:spacing w:val="-6"/>
          <w:kern w:val="0"/>
          <w:sz w:val="32"/>
          <w:szCs w:val="32"/>
          <w:lang w:val="en-US" w:eastAsia="zh-CN"/>
        </w:rPr>
      </w:pPr>
    </w:p>
    <w:p w14:paraId="5C23827D">
      <w:pPr>
        <w:spacing w:line="360" w:lineRule="auto"/>
        <w:ind w:firstLine="1856" w:firstLineChars="600"/>
        <w:jc w:val="left"/>
        <w:rPr>
          <w:rFonts w:hint="eastAsia" w:ascii="宋体" w:hAnsi="宋体" w:eastAsia="宋体" w:cs="宋体"/>
          <w:b/>
          <w:color w:val="auto"/>
          <w:spacing w:val="-6"/>
          <w:kern w:val="0"/>
          <w:sz w:val="32"/>
          <w:szCs w:val="32"/>
          <w:lang w:val="en-US" w:eastAsia="zh-CN"/>
        </w:rPr>
      </w:pPr>
      <w:r>
        <w:rPr>
          <w:rFonts w:hint="eastAsia" w:ascii="宋体" w:hAnsi="宋体" w:eastAsia="宋体" w:cs="宋体"/>
          <w:b/>
          <w:color w:val="auto"/>
          <w:spacing w:val="-6"/>
          <w:kern w:val="0"/>
          <w:sz w:val="32"/>
          <w:szCs w:val="32"/>
          <w:lang w:val="en-US" w:eastAsia="zh-CN"/>
        </w:rPr>
        <w:t xml:space="preserve"> </w:t>
      </w:r>
    </w:p>
    <w:p w14:paraId="7D1A9D50">
      <w:pPr>
        <w:spacing w:line="360" w:lineRule="auto"/>
        <w:ind w:firstLine="1856" w:firstLineChars="600"/>
        <w:jc w:val="left"/>
        <w:rPr>
          <w:rFonts w:hint="eastAsia" w:ascii="宋体" w:hAnsi="宋体" w:eastAsia="宋体" w:cs="宋体"/>
          <w:b/>
          <w:color w:val="auto"/>
          <w:spacing w:val="-6"/>
          <w:kern w:val="0"/>
          <w:sz w:val="32"/>
          <w:szCs w:val="32"/>
          <w:lang w:val="en-US" w:eastAsia="zh-CN"/>
        </w:rPr>
      </w:pPr>
      <w:r>
        <w:rPr>
          <w:rFonts w:hint="eastAsia" w:ascii="宋体" w:hAnsi="宋体" w:eastAsia="宋体" w:cs="宋体"/>
          <w:b/>
          <w:color w:val="auto"/>
          <w:spacing w:val="-6"/>
          <w:kern w:val="0"/>
          <w:sz w:val="32"/>
          <w:szCs w:val="32"/>
          <w:lang w:val="en-US" w:eastAsia="zh-CN"/>
        </w:rPr>
        <w:t xml:space="preserve"> </w:t>
      </w:r>
    </w:p>
    <w:p w14:paraId="18041066">
      <w:pPr>
        <w:spacing w:line="360" w:lineRule="auto"/>
        <w:jc w:val="left"/>
        <w:rPr>
          <w:rFonts w:hint="eastAsia" w:ascii="宋体" w:hAnsi="宋体" w:eastAsia="宋体" w:cs="宋体"/>
          <w:b/>
          <w:color w:val="auto"/>
          <w:spacing w:val="-6"/>
          <w:kern w:val="0"/>
          <w:sz w:val="32"/>
          <w:szCs w:val="32"/>
          <w:lang w:val="en-US" w:eastAsia="zh-CN"/>
        </w:rPr>
      </w:pPr>
    </w:p>
    <w:p w14:paraId="3AE2ACAB">
      <w:pPr>
        <w:spacing w:line="360" w:lineRule="auto"/>
        <w:ind w:firstLine="1856" w:firstLineChars="600"/>
        <w:jc w:val="left"/>
        <w:rPr>
          <w:rFonts w:hint="eastAsia" w:ascii="宋体" w:hAnsi="宋体" w:eastAsia="宋体" w:cs="宋体"/>
          <w:b/>
          <w:color w:val="auto"/>
          <w:spacing w:val="-6"/>
          <w:kern w:val="0"/>
          <w:sz w:val="32"/>
          <w:szCs w:val="32"/>
          <w:lang w:val="en-US" w:eastAsia="zh-CN"/>
        </w:rPr>
      </w:pPr>
    </w:p>
    <w:p w14:paraId="3373AC20">
      <w:pPr>
        <w:spacing w:line="360" w:lineRule="auto"/>
        <w:ind w:firstLine="1856" w:firstLineChars="600"/>
        <w:jc w:val="left"/>
        <w:rPr>
          <w:rFonts w:hint="default" w:ascii="宋体" w:hAnsi="宋体" w:eastAsia="宋体" w:cs="宋体"/>
          <w:b/>
          <w:color w:val="auto"/>
          <w:spacing w:val="-6"/>
          <w:kern w:val="0"/>
          <w:sz w:val="32"/>
          <w:szCs w:val="32"/>
          <w:lang w:val="en-US" w:eastAsia="zh-CN"/>
        </w:rPr>
      </w:pPr>
      <w:r>
        <w:rPr>
          <w:rFonts w:hint="eastAsia" w:ascii="宋体" w:hAnsi="宋体" w:eastAsia="宋体" w:cs="宋体"/>
          <w:b/>
          <w:color w:val="auto"/>
          <w:spacing w:val="-6"/>
          <w:kern w:val="0"/>
          <w:sz w:val="32"/>
          <w:szCs w:val="32"/>
          <w:lang w:val="en-US" w:eastAsia="zh-CN"/>
        </w:rPr>
        <w:t>采 购 单 位：</w:t>
      </w:r>
      <w:r>
        <w:rPr>
          <w:rFonts w:hint="eastAsia" w:ascii="宋体" w:hAnsi="宋体" w:cs="宋体"/>
          <w:b/>
          <w:color w:val="auto"/>
          <w:spacing w:val="-6"/>
          <w:kern w:val="0"/>
          <w:sz w:val="32"/>
          <w:szCs w:val="32"/>
          <w:lang w:val="en-US" w:eastAsia="zh-CN"/>
        </w:rPr>
        <w:t>龙州县交通运输局</w:t>
      </w:r>
    </w:p>
    <w:p w14:paraId="0911A28A">
      <w:pPr>
        <w:spacing w:line="360" w:lineRule="auto"/>
        <w:ind w:firstLine="1856" w:firstLineChars="600"/>
        <w:jc w:val="left"/>
        <w:rPr>
          <w:rFonts w:hint="eastAsia" w:ascii="宋体" w:hAnsi="宋体" w:eastAsia="宋体" w:cs="宋体"/>
          <w:b/>
          <w:color w:val="auto"/>
          <w:spacing w:val="-6"/>
          <w:kern w:val="0"/>
          <w:sz w:val="32"/>
          <w:szCs w:val="32"/>
          <w:lang w:val="en-US" w:eastAsia="zh-CN"/>
        </w:rPr>
      </w:pPr>
      <w:bookmarkStart w:id="0" w:name="_Toc243584221"/>
      <w:r>
        <w:rPr>
          <w:rFonts w:hint="eastAsia" w:ascii="宋体" w:hAnsi="宋体" w:eastAsia="宋体" w:cs="宋体"/>
          <w:b/>
          <w:color w:val="auto"/>
          <w:spacing w:val="-6"/>
          <w:kern w:val="0"/>
          <w:sz w:val="32"/>
          <w:szCs w:val="32"/>
          <w:lang w:val="en-US" w:eastAsia="zh-CN"/>
        </w:rPr>
        <w:t>采购代理机构：</w:t>
      </w:r>
      <w:bookmarkEnd w:id="0"/>
      <w:r>
        <w:rPr>
          <w:rFonts w:hint="eastAsia" w:ascii="宋体" w:hAnsi="宋体" w:eastAsia="宋体" w:cs="宋体"/>
          <w:b/>
          <w:color w:val="auto"/>
          <w:spacing w:val="-6"/>
          <w:kern w:val="0"/>
          <w:sz w:val="32"/>
          <w:szCs w:val="32"/>
          <w:lang w:val="en-US" w:eastAsia="zh-CN"/>
        </w:rPr>
        <w:t>广西秉坤项目管理有限公司</w:t>
      </w:r>
    </w:p>
    <w:p w14:paraId="2B08E9B4">
      <w:pPr>
        <w:spacing w:line="360" w:lineRule="auto"/>
        <w:ind w:firstLine="3711" w:firstLineChars="1200"/>
        <w:jc w:val="left"/>
        <w:rPr>
          <w:rFonts w:hint="eastAsia" w:ascii="宋体" w:hAnsi="宋体" w:eastAsia="宋体" w:cs="宋体"/>
          <w:b/>
          <w:color w:val="auto"/>
          <w:spacing w:val="-6"/>
          <w:kern w:val="0"/>
          <w:sz w:val="32"/>
          <w:szCs w:val="32"/>
          <w:lang w:val="en-US" w:eastAsia="zh-CN"/>
        </w:rPr>
      </w:pPr>
      <w:r>
        <w:rPr>
          <w:rFonts w:hint="eastAsia" w:ascii="宋体" w:hAnsi="宋体" w:eastAsia="宋体" w:cs="宋体"/>
          <w:b/>
          <w:color w:val="auto"/>
          <w:spacing w:val="-6"/>
          <w:kern w:val="0"/>
          <w:sz w:val="32"/>
          <w:szCs w:val="32"/>
          <w:lang w:val="en-US" w:eastAsia="zh-CN"/>
        </w:rPr>
        <w:t>2025年</w:t>
      </w:r>
      <w:r>
        <w:rPr>
          <w:rFonts w:hint="eastAsia" w:ascii="宋体" w:hAnsi="宋体" w:cs="宋体"/>
          <w:b/>
          <w:color w:val="auto"/>
          <w:spacing w:val="-6"/>
          <w:kern w:val="0"/>
          <w:sz w:val="32"/>
          <w:szCs w:val="32"/>
          <w:lang w:val="en-US" w:eastAsia="zh-CN"/>
        </w:rPr>
        <w:t>7</w:t>
      </w:r>
      <w:r>
        <w:rPr>
          <w:rFonts w:hint="eastAsia" w:ascii="宋体" w:hAnsi="宋体" w:eastAsia="宋体" w:cs="宋体"/>
          <w:b/>
          <w:color w:val="auto"/>
          <w:spacing w:val="-6"/>
          <w:kern w:val="0"/>
          <w:sz w:val="32"/>
          <w:szCs w:val="32"/>
          <w:lang w:val="en-US" w:eastAsia="zh-CN"/>
        </w:rPr>
        <w:t>月</w:t>
      </w:r>
    </w:p>
    <w:p w14:paraId="1F5E2816">
      <w:pPr>
        <w:spacing w:line="360" w:lineRule="auto"/>
        <w:jc w:val="both"/>
        <w:rPr>
          <w:rFonts w:ascii="宋体" w:hAnsi="宋体"/>
          <w:b/>
          <w:color w:val="auto"/>
          <w:sz w:val="44"/>
          <w:szCs w:val="44"/>
          <w:highlight w:val="none"/>
        </w:rPr>
      </w:pPr>
    </w:p>
    <w:p w14:paraId="5A8D4912">
      <w:pPr>
        <w:spacing w:line="360" w:lineRule="auto"/>
        <w:jc w:val="center"/>
        <w:rPr>
          <w:rFonts w:hint="eastAsia" w:ascii="宋体" w:hAnsi="宋体"/>
          <w:b/>
          <w:color w:val="auto"/>
          <w:sz w:val="44"/>
          <w:szCs w:val="44"/>
          <w:highlight w:val="none"/>
        </w:rPr>
        <w:sectPr>
          <w:headerReference r:id="rId4" w:type="first"/>
          <w:footerReference r:id="rId6" w:type="first"/>
          <w:headerReference r:id="rId3" w:type="default"/>
          <w:footerReference r:id="rId5" w:type="default"/>
          <w:pgSz w:w="11906" w:h="16838"/>
          <w:pgMar w:top="1440" w:right="1440" w:bottom="1440" w:left="1587" w:header="851" w:footer="992" w:gutter="0"/>
          <w:pgNumType w:fmt="decimal" w:start="0"/>
          <w:cols w:space="720" w:num="1"/>
          <w:titlePg/>
          <w:docGrid w:type="lines" w:linePitch="312" w:charSpace="0"/>
        </w:sectPr>
      </w:pPr>
    </w:p>
    <w:p w14:paraId="602E011C">
      <w:pPr>
        <w:spacing w:line="360" w:lineRule="auto"/>
        <w:jc w:val="center"/>
        <w:rPr>
          <w:rFonts w:ascii="宋体" w:hAnsi="宋体"/>
          <w:b/>
          <w:color w:val="auto"/>
          <w:sz w:val="44"/>
          <w:szCs w:val="44"/>
          <w:highlight w:val="none"/>
        </w:rPr>
      </w:pPr>
      <w:r>
        <w:rPr>
          <w:rFonts w:hint="eastAsia" w:ascii="宋体" w:hAnsi="宋体"/>
          <w:b/>
          <w:color w:val="auto"/>
          <w:sz w:val="44"/>
          <w:szCs w:val="44"/>
          <w:highlight w:val="none"/>
        </w:rPr>
        <w:t>目  录</w:t>
      </w:r>
    </w:p>
    <w:p w14:paraId="499C570D">
      <w:pPr>
        <w:spacing w:line="400" w:lineRule="exact"/>
        <w:jc w:val="center"/>
        <w:rPr>
          <w:rFonts w:ascii="宋体" w:hAnsi="宋体"/>
          <w:b/>
          <w:color w:val="auto"/>
          <w:sz w:val="44"/>
          <w:szCs w:val="44"/>
          <w:highlight w:val="none"/>
        </w:rPr>
      </w:pPr>
    </w:p>
    <w:p w14:paraId="11D8EA6C">
      <w:pPr>
        <w:pStyle w:val="31"/>
        <w:tabs>
          <w:tab w:val="right" w:leader="dot" w:pos="8879"/>
        </w:tabs>
        <w:rPr>
          <w:color w:val="auto"/>
          <w:sz w:val="28"/>
          <w:szCs w:val="36"/>
          <w:highlight w:val="none"/>
        </w:rPr>
      </w:pPr>
      <w:r>
        <w:rPr>
          <w:rFonts w:hint="eastAsia" w:ascii="宋体" w:hAnsi="宋体" w:eastAsia="宋体" w:cs="宋体"/>
          <w:b/>
          <w:bCs/>
          <w:color w:val="auto"/>
          <w:sz w:val="36"/>
          <w:szCs w:val="36"/>
          <w:highlight w:val="none"/>
        </w:rPr>
        <w:fldChar w:fldCharType="begin"/>
      </w:r>
      <w:r>
        <w:rPr>
          <w:rFonts w:hint="eastAsia" w:ascii="宋体" w:hAnsi="宋体" w:eastAsia="宋体" w:cs="宋体"/>
          <w:b/>
          <w:bCs/>
          <w:color w:val="auto"/>
          <w:sz w:val="36"/>
          <w:szCs w:val="36"/>
          <w:highlight w:val="none"/>
        </w:rPr>
        <w:instrText xml:space="preserve">TOC \o "1-3" \h \z \u</w:instrText>
      </w:r>
      <w:r>
        <w:rPr>
          <w:rFonts w:hint="eastAsia" w:ascii="宋体" w:hAnsi="宋体" w:eastAsia="宋体" w:cs="宋体"/>
          <w:b/>
          <w:bCs/>
          <w:color w:val="auto"/>
          <w:sz w:val="36"/>
          <w:szCs w:val="36"/>
          <w:highlight w:val="none"/>
        </w:rPr>
        <w:fldChar w:fldCharType="separate"/>
      </w:r>
      <w:r>
        <w:rPr>
          <w:rFonts w:hint="eastAsia" w:ascii="宋体" w:hAnsi="宋体" w:eastAsia="宋体" w:cs="宋体"/>
          <w:bCs/>
          <w:color w:val="auto"/>
          <w:sz w:val="28"/>
          <w:szCs w:val="36"/>
          <w:highlight w:val="none"/>
        </w:rPr>
        <w:fldChar w:fldCharType="begin"/>
      </w:r>
      <w:r>
        <w:rPr>
          <w:rFonts w:hint="eastAsia" w:ascii="宋体" w:hAnsi="宋体" w:eastAsia="宋体" w:cs="宋体"/>
          <w:bCs/>
          <w:color w:val="auto"/>
          <w:sz w:val="28"/>
          <w:szCs w:val="36"/>
          <w:highlight w:val="none"/>
        </w:rPr>
        <w:instrText xml:space="preserve"> HYPERLINK \l _Toc3159 </w:instrText>
      </w:r>
      <w:r>
        <w:rPr>
          <w:rFonts w:hint="eastAsia" w:ascii="宋体" w:hAnsi="宋体" w:eastAsia="宋体" w:cs="宋体"/>
          <w:bCs/>
          <w:color w:val="auto"/>
          <w:sz w:val="28"/>
          <w:szCs w:val="36"/>
          <w:highlight w:val="none"/>
        </w:rPr>
        <w:fldChar w:fldCharType="separate"/>
      </w:r>
      <w:r>
        <w:rPr>
          <w:rFonts w:hint="eastAsia"/>
          <w:color w:val="auto"/>
          <w:sz w:val="28"/>
          <w:szCs w:val="36"/>
          <w:highlight w:val="none"/>
        </w:rPr>
        <w:t>第一章</w:t>
      </w:r>
      <w:r>
        <w:rPr>
          <w:rFonts w:hint="eastAsia"/>
          <w:color w:val="auto"/>
          <w:sz w:val="28"/>
          <w:szCs w:val="36"/>
          <w:highlight w:val="none"/>
          <w:lang w:val="en-US" w:eastAsia="zh-CN"/>
        </w:rPr>
        <w:t xml:space="preserve"> </w:t>
      </w:r>
      <w:r>
        <w:rPr>
          <w:rFonts w:hint="eastAsia"/>
          <w:color w:val="auto"/>
          <w:sz w:val="28"/>
          <w:szCs w:val="36"/>
          <w:highlight w:val="none"/>
        </w:rPr>
        <w:t>竞争性磋商公告</w:t>
      </w:r>
      <w:r>
        <w:rPr>
          <w:color w:val="auto"/>
          <w:sz w:val="28"/>
          <w:szCs w:val="36"/>
          <w:highlight w:val="none"/>
        </w:rPr>
        <w:tab/>
      </w:r>
      <w:r>
        <w:rPr>
          <w:rFonts w:hint="eastAsia"/>
          <w:color w:val="auto"/>
          <w:sz w:val="28"/>
          <w:szCs w:val="36"/>
          <w:highlight w:val="none"/>
          <w:lang w:val="en-US" w:eastAsia="zh-CN"/>
        </w:rPr>
        <w:t>1</w:t>
      </w:r>
      <w:r>
        <w:rPr>
          <w:rFonts w:hint="eastAsia" w:ascii="宋体" w:hAnsi="宋体" w:eastAsia="宋体" w:cs="宋体"/>
          <w:bCs/>
          <w:color w:val="auto"/>
          <w:sz w:val="28"/>
          <w:szCs w:val="36"/>
          <w:highlight w:val="none"/>
        </w:rPr>
        <w:fldChar w:fldCharType="end"/>
      </w:r>
    </w:p>
    <w:p w14:paraId="182FD1BA">
      <w:pPr>
        <w:pStyle w:val="31"/>
        <w:tabs>
          <w:tab w:val="right" w:leader="dot" w:pos="8879"/>
        </w:tabs>
        <w:rPr>
          <w:color w:val="auto"/>
          <w:sz w:val="28"/>
          <w:szCs w:val="36"/>
          <w:highlight w:val="none"/>
        </w:rPr>
      </w:pPr>
      <w:r>
        <w:rPr>
          <w:rFonts w:hint="eastAsia" w:ascii="宋体" w:hAnsi="宋体" w:eastAsia="宋体" w:cs="宋体"/>
          <w:bCs/>
          <w:color w:val="auto"/>
          <w:sz w:val="28"/>
          <w:szCs w:val="36"/>
          <w:highlight w:val="none"/>
        </w:rPr>
        <w:fldChar w:fldCharType="begin"/>
      </w:r>
      <w:r>
        <w:rPr>
          <w:rFonts w:hint="eastAsia" w:ascii="宋体" w:hAnsi="宋体" w:eastAsia="宋体" w:cs="宋体"/>
          <w:bCs/>
          <w:color w:val="auto"/>
          <w:sz w:val="28"/>
          <w:szCs w:val="36"/>
          <w:highlight w:val="none"/>
        </w:rPr>
        <w:instrText xml:space="preserve"> HYPERLINK \l _Toc12425 </w:instrText>
      </w:r>
      <w:r>
        <w:rPr>
          <w:rFonts w:hint="eastAsia" w:ascii="宋体" w:hAnsi="宋体" w:eastAsia="宋体" w:cs="宋体"/>
          <w:bCs/>
          <w:color w:val="auto"/>
          <w:sz w:val="28"/>
          <w:szCs w:val="36"/>
          <w:highlight w:val="none"/>
        </w:rPr>
        <w:fldChar w:fldCharType="separate"/>
      </w:r>
      <w:r>
        <w:rPr>
          <w:rFonts w:hint="eastAsia"/>
          <w:color w:val="auto"/>
          <w:sz w:val="28"/>
          <w:szCs w:val="36"/>
          <w:highlight w:val="none"/>
        </w:rPr>
        <w:t>第二章</w:t>
      </w:r>
      <w:r>
        <w:rPr>
          <w:rFonts w:hint="eastAsia"/>
          <w:color w:val="auto"/>
          <w:sz w:val="28"/>
          <w:szCs w:val="36"/>
          <w:highlight w:val="none"/>
          <w:lang w:val="en-US" w:eastAsia="zh-CN"/>
        </w:rPr>
        <w:t xml:space="preserve"> </w:t>
      </w:r>
      <w:r>
        <w:rPr>
          <w:rFonts w:hint="eastAsia"/>
          <w:color w:val="auto"/>
          <w:sz w:val="28"/>
          <w:szCs w:val="36"/>
          <w:highlight w:val="none"/>
        </w:rPr>
        <w:t>供应商须知</w:t>
      </w:r>
      <w:r>
        <w:rPr>
          <w:color w:val="auto"/>
          <w:sz w:val="28"/>
          <w:szCs w:val="36"/>
          <w:highlight w:val="none"/>
        </w:rPr>
        <w:tab/>
      </w:r>
      <w:r>
        <w:rPr>
          <w:rFonts w:hint="eastAsia"/>
          <w:color w:val="auto"/>
          <w:sz w:val="28"/>
          <w:szCs w:val="36"/>
          <w:highlight w:val="none"/>
          <w:lang w:val="en-US" w:eastAsia="zh-CN"/>
        </w:rPr>
        <w:t>5</w:t>
      </w:r>
      <w:r>
        <w:rPr>
          <w:rFonts w:hint="eastAsia" w:ascii="宋体" w:hAnsi="宋体" w:eastAsia="宋体" w:cs="宋体"/>
          <w:bCs/>
          <w:color w:val="auto"/>
          <w:sz w:val="28"/>
          <w:szCs w:val="36"/>
          <w:highlight w:val="none"/>
        </w:rPr>
        <w:fldChar w:fldCharType="end"/>
      </w:r>
    </w:p>
    <w:p w14:paraId="5F65A279">
      <w:pPr>
        <w:pStyle w:val="31"/>
        <w:tabs>
          <w:tab w:val="right" w:leader="dot" w:pos="8879"/>
        </w:tabs>
        <w:rPr>
          <w:color w:val="auto"/>
          <w:sz w:val="28"/>
          <w:szCs w:val="36"/>
          <w:highlight w:val="none"/>
        </w:rPr>
      </w:pPr>
      <w:r>
        <w:rPr>
          <w:rFonts w:hint="eastAsia" w:ascii="宋体" w:hAnsi="宋体" w:eastAsia="宋体" w:cs="宋体"/>
          <w:bCs/>
          <w:color w:val="auto"/>
          <w:sz w:val="28"/>
          <w:szCs w:val="36"/>
          <w:highlight w:val="none"/>
        </w:rPr>
        <w:fldChar w:fldCharType="begin"/>
      </w:r>
      <w:r>
        <w:rPr>
          <w:rFonts w:hint="eastAsia" w:ascii="宋体" w:hAnsi="宋体" w:eastAsia="宋体" w:cs="宋体"/>
          <w:bCs/>
          <w:color w:val="auto"/>
          <w:sz w:val="28"/>
          <w:szCs w:val="36"/>
          <w:highlight w:val="none"/>
        </w:rPr>
        <w:instrText xml:space="preserve"> HYPERLINK \l _Toc29381 </w:instrText>
      </w:r>
      <w:r>
        <w:rPr>
          <w:rFonts w:hint="eastAsia" w:ascii="宋体" w:hAnsi="宋体" w:eastAsia="宋体" w:cs="宋体"/>
          <w:bCs/>
          <w:color w:val="auto"/>
          <w:sz w:val="28"/>
          <w:szCs w:val="36"/>
          <w:highlight w:val="none"/>
        </w:rPr>
        <w:fldChar w:fldCharType="separate"/>
      </w:r>
      <w:r>
        <w:rPr>
          <w:rFonts w:hint="eastAsia"/>
          <w:color w:val="auto"/>
          <w:sz w:val="28"/>
          <w:szCs w:val="36"/>
          <w:highlight w:val="none"/>
        </w:rPr>
        <w:t>第</w:t>
      </w:r>
      <w:r>
        <w:rPr>
          <w:rFonts w:hint="eastAsia"/>
          <w:color w:val="auto"/>
          <w:sz w:val="28"/>
          <w:szCs w:val="36"/>
          <w:highlight w:val="none"/>
          <w:lang w:val="en-US" w:eastAsia="zh-CN"/>
        </w:rPr>
        <w:t>三</w:t>
      </w:r>
      <w:r>
        <w:rPr>
          <w:rFonts w:hint="eastAsia"/>
          <w:color w:val="auto"/>
          <w:sz w:val="28"/>
          <w:szCs w:val="36"/>
          <w:highlight w:val="none"/>
        </w:rPr>
        <w:t>章</w:t>
      </w:r>
      <w:r>
        <w:rPr>
          <w:rFonts w:hint="eastAsia"/>
          <w:color w:val="auto"/>
          <w:sz w:val="28"/>
          <w:szCs w:val="36"/>
          <w:highlight w:val="none"/>
          <w:lang w:val="en-US" w:eastAsia="zh-CN"/>
        </w:rPr>
        <w:t xml:space="preserve"> 采购需求</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_Toc29381 \h </w:instrText>
      </w:r>
      <w:r>
        <w:rPr>
          <w:color w:val="auto"/>
          <w:sz w:val="28"/>
          <w:szCs w:val="36"/>
          <w:highlight w:val="none"/>
        </w:rPr>
        <w:fldChar w:fldCharType="separate"/>
      </w:r>
      <w:r>
        <w:rPr>
          <w:color w:val="auto"/>
          <w:sz w:val="28"/>
          <w:szCs w:val="36"/>
          <w:highlight w:val="none"/>
        </w:rPr>
        <w:t>29</w:t>
      </w:r>
      <w:r>
        <w:rPr>
          <w:color w:val="auto"/>
          <w:sz w:val="28"/>
          <w:szCs w:val="36"/>
          <w:highlight w:val="none"/>
        </w:rPr>
        <w:fldChar w:fldCharType="end"/>
      </w:r>
      <w:r>
        <w:rPr>
          <w:rFonts w:hint="eastAsia" w:ascii="宋体" w:hAnsi="宋体" w:eastAsia="宋体" w:cs="宋体"/>
          <w:bCs/>
          <w:color w:val="auto"/>
          <w:sz w:val="28"/>
          <w:szCs w:val="36"/>
          <w:highlight w:val="none"/>
        </w:rPr>
        <w:fldChar w:fldCharType="end"/>
      </w:r>
    </w:p>
    <w:p w14:paraId="5E1068AA">
      <w:pPr>
        <w:pStyle w:val="31"/>
        <w:tabs>
          <w:tab w:val="right" w:leader="dot" w:pos="8879"/>
        </w:tabs>
        <w:rPr>
          <w:color w:val="auto"/>
          <w:sz w:val="28"/>
          <w:szCs w:val="36"/>
          <w:highlight w:val="none"/>
        </w:rPr>
      </w:pPr>
      <w:r>
        <w:rPr>
          <w:rFonts w:hint="eastAsia" w:ascii="宋体" w:hAnsi="宋体" w:eastAsia="宋体" w:cs="宋体"/>
          <w:bCs/>
          <w:color w:val="auto"/>
          <w:sz w:val="28"/>
          <w:szCs w:val="36"/>
          <w:highlight w:val="none"/>
        </w:rPr>
        <w:fldChar w:fldCharType="begin"/>
      </w:r>
      <w:r>
        <w:rPr>
          <w:rFonts w:hint="eastAsia" w:ascii="宋体" w:hAnsi="宋体" w:eastAsia="宋体" w:cs="宋体"/>
          <w:bCs/>
          <w:color w:val="auto"/>
          <w:sz w:val="28"/>
          <w:szCs w:val="36"/>
          <w:highlight w:val="none"/>
        </w:rPr>
        <w:instrText xml:space="preserve"> HYPERLINK \l _Toc15306 </w:instrText>
      </w:r>
      <w:r>
        <w:rPr>
          <w:rFonts w:hint="eastAsia" w:ascii="宋体" w:hAnsi="宋体" w:eastAsia="宋体" w:cs="宋体"/>
          <w:bCs/>
          <w:color w:val="auto"/>
          <w:sz w:val="28"/>
          <w:szCs w:val="36"/>
          <w:highlight w:val="none"/>
        </w:rPr>
        <w:fldChar w:fldCharType="separate"/>
      </w:r>
      <w:r>
        <w:rPr>
          <w:rFonts w:hint="eastAsia"/>
          <w:color w:val="auto"/>
          <w:sz w:val="28"/>
          <w:szCs w:val="36"/>
          <w:highlight w:val="none"/>
        </w:rPr>
        <w:t>第</w:t>
      </w:r>
      <w:r>
        <w:rPr>
          <w:rFonts w:hint="eastAsia"/>
          <w:color w:val="auto"/>
          <w:sz w:val="28"/>
          <w:szCs w:val="36"/>
          <w:highlight w:val="none"/>
          <w:lang w:val="en-US" w:eastAsia="zh-CN"/>
        </w:rPr>
        <w:t>四</w:t>
      </w:r>
      <w:r>
        <w:rPr>
          <w:rFonts w:hint="eastAsia"/>
          <w:color w:val="auto"/>
          <w:sz w:val="28"/>
          <w:szCs w:val="36"/>
          <w:highlight w:val="none"/>
        </w:rPr>
        <w:t>章</w:t>
      </w:r>
      <w:r>
        <w:rPr>
          <w:rFonts w:hint="eastAsia"/>
          <w:color w:val="auto"/>
          <w:sz w:val="28"/>
          <w:szCs w:val="36"/>
          <w:highlight w:val="none"/>
          <w:lang w:val="en-US" w:eastAsia="zh-CN"/>
        </w:rPr>
        <w:t xml:space="preserve"> </w:t>
      </w:r>
      <w:r>
        <w:rPr>
          <w:rFonts w:hint="eastAsia" w:ascii="Times New Roman" w:hAnsi="Times New Roman" w:eastAsia="宋体" w:cs="Times New Roman"/>
          <w:bCs/>
          <w:color w:val="auto"/>
          <w:kern w:val="44"/>
          <w:sz w:val="28"/>
          <w:szCs w:val="56"/>
          <w:highlight w:val="none"/>
          <w:lang w:val="en-US" w:eastAsia="zh-CN" w:bidi="ar-SA"/>
        </w:rPr>
        <w:t>评审程序、评审方法和评审标准</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_Toc15306 \h </w:instrText>
      </w:r>
      <w:r>
        <w:rPr>
          <w:color w:val="auto"/>
          <w:sz w:val="28"/>
          <w:szCs w:val="36"/>
          <w:highlight w:val="none"/>
        </w:rPr>
        <w:fldChar w:fldCharType="separate"/>
      </w:r>
      <w:r>
        <w:rPr>
          <w:color w:val="auto"/>
          <w:sz w:val="28"/>
          <w:szCs w:val="36"/>
          <w:highlight w:val="none"/>
        </w:rPr>
        <w:t>31</w:t>
      </w:r>
      <w:r>
        <w:rPr>
          <w:color w:val="auto"/>
          <w:sz w:val="28"/>
          <w:szCs w:val="36"/>
          <w:highlight w:val="none"/>
        </w:rPr>
        <w:fldChar w:fldCharType="end"/>
      </w:r>
      <w:r>
        <w:rPr>
          <w:rFonts w:hint="eastAsia" w:ascii="宋体" w:hAnsi="宋体" w:eastAsia="宋体" w:cs="宋体"/>
          <w:bCs/>
          <w:color w:val="auto"/>
          <w:sz w:val="28"/>
          <w:szCs w:val="36"/>
          <w:highlight w:val="none"/>
        </w:rPr>
        <w:fldChar w:fldCharType="end"/>
      </w:r>
    </w:p>
    <w:p w14:paraId="7F9E569F">
      <w:pPr>
        <w:pStyle w:val="31"/>
        <w:tabs>
          <w:tab w:val="right" w:leader="dot" w:pos="8879"/>
        </w:tabs>
        <w:rPr>
          <w:color w:val="auto"/>
          <w:sz w:val="28"/>
          <w:szCs w:val="36"/>
          <w:highlight w:val="none"/>
        </w:rPr>
      </w:pPr>
      <w:r>
        <w:rPr>
          <w:rFonts w:hint="eastAsia" w:ascii="宋体" w:hAnsi="宋体" w:eastAsia="宋体" w:cs="宋体"/>
          <w:bCs/>
          <w:color w:val="auto"/>
          <w:sz w:val="28"/>
          <w:szCs w:val="36"/>
          <w:highlight w:val="none"/>
        </w:rPr>
        <w:fldChar w:fldCharType="begin"/>
      </w:r>
      <w:r>
        <w:rPr>
          <w:rFonts w:hint="eastAsia" w:ascii="宋体" w:hAnsi="宋体" w:eastAsia="宋体" w:cs="宋体"/>
          <w:bCs/>
          <w:color w:val="auto"/>
          <w:sz w:val="28"/>
          <w:szCs w:val="36"/>
          <w:highlight w:val="none"/>
        </w:rPr>
        <w:instrText xml:space="preserve"> HYPERLINK \l _Toc21245 </w:instrText>
      </w:r>
      <w:r>
        <w:rPr>
          <w:rFonts w:hint="eastAsia" w:ascii="宋体" w:hAnsi="宋体" w:eastAsia="宋体" w:cs="宋体"/>
          <w:bCs/>
          <w:color w:val="auto"/>
          <w:sz w:val="28"/>
          <w:szCs w:val="36"/>
          <w:highlight w:val="none"/>
        </w:rPr>
        <w:fldChar w:fldCharType="separate"/>
      </w:r>
      <w:r>
        <w:rPr>
          <w:rFonts w:hint="eastAsia"/>
          <w:color w:val="auto"/>
          <w:sz w:val="28"/>
          <w:szCs w:val="36"/>
          <w:highlight w:val="none"/>
        </w:rPr>
        <w:t>第五章 工程量清单</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_Toc21245 \h </w:instrText>
      </w:r>
      <w:r>
        <w:rPr>
          <w:color w:val="auto"/>
          <w:sz w:val="28"/>
          <w:szCs w:val="36"/>
          <w:highlight w:val="none"/>
        </w:rPr>
        <w:fldChar w:fldCharType="separate"/>
      </w:r>
      <w:r>
        <w:rPr>
          <w:color w:val="auto"/>
          <w:sz w:val="28"/>
          <w:szCs w:val="36"/>
          <w:highlight w:val="none"/>
        </w:rPr>
        <w:t>42</w:t>
      </w:r>
      <w:r>
        <w:rPr>
          <w:color w:val="auto"/>
          <w:sz w:val="28"/>
          <w:szCs w:val="36"/>
          <w:highlight w:val="none"/>
        </w:rPr>
        <w:fldChar w:fldCharType="end"/>
      </w:r>
      <w:r>
        <w:rPr>
          <w:rFonts w:hint="eastAsia" w:ascii="宋体" w:hAnsi="宋体" w:eastAsia="宋体" w:cs="宋体"/>
          <w:bCs/>
          <w:color w:val="auto"/>
          <w:sz w:val="28"/>
          <w:szCs w:val="36"/>
          <w:highlight w:val="none"/>
        </w:rPr>
        <w:fldChar w:fldCharType="end"/>
      </w:r>
    </w:p>
    <w:p w14:paraId="12315E62">
      <w:pPr>
        <w:pStyle w:val="31"/>
        <w:tabs>
          <w:tab w:val="right" w:leader="dot" w:pos="8879"/>
        </w:tabs>
        <w:rPr>
          <w:color w:val="auto"/>
          <w:sz w:val="28"/>
          <w:szCs w:val="36"/>
          <w:highlight w:val="none"/>
        </w:rPr>
      </w:pPr>
      <w:r>
        <w:rPr>
          <w:rFonts w:hint="eastAsia" w:ascii="宋体" w:hAnsi="宋体" w:eastAsia="宋体" w:cs="宋体"/>
          <w:bCs/>
          <w:color w:val="auto"/>
          <w:sz w:val="28"/>
          <w:szCs w:val="36"/>
          <w:highlight w:val="none"/>
        </w:rPr>
        <w:fldChar w:fldCharType="begin"/>
      </w:r>
      <w:r>
        <w:rPr>
          <w:rFonts w:hint="eastAsia" w:ascii="宋体" w:hAnsi="宋体" w:eastAsia="宋体" w:cs="宋体"/>
          <w:bCs/>
          <w:color w:val="auto"/>
          <w:sz w:val="28"/>
          <w:szCs w:val="36"/>
          <w:highlight w:val="none"/>
        </w:rPr>
        <w:instrText xml:space="preserve"> HYPERLINK \l _Toc4683 </w:instrText>
      </w:r>
      <w:r>
        <w:rPr>
          <w:rFonts w:hint="eastAsia" w:ascii="宋体" w:hAnsi="宋体" w:eastAsia="宋体" w:cs="宋体"/>
          <w:bCs/>
          <w:color w:val="auto"/>
          <w:sz w:val="28"/>
          <w:szCs w:val="36"/>
          <w:highlight w:val="none"/>
        </w:rPr>
        <w:fldChar w:fldCharType="separate"/>
      </w:r>
      <w:r>
        <w:rPr>
          <w:rFonts w:hint="eastAsia" w:eastAsia="宋体"/>
          <w:color w:val="auto"/>
          <w:sz w:val="28"/>
          <w:szCs w:val="36"/>
          <w:highlight w:val="none"/>
          <w:lang w:val="en-US" w:eastAsia="zh-CN"/>
        </w:rPr>
        <w:t xml:space="preserve">第六章 </w:t>
      </w:r>
      <w:r>
        <w:rPr>
          <w:rFonts w:hint="eastAsia"/>
          <w:color w:val="auto"/>
          <w:sz w:val="28"/>
          <w:szCs w:val="36"/>
          <w:highlight w:val="none"/>
          <w:lang w:val="en-US" w:eastAsia="zh-CN"/>
        </w:rPr>
        <w:t>图纸</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_Toc4683 \h </w:instrText>
      </w:r>
      <w:r>
        <w:rPr>
          <w:color w:val="auto"/>
          <w:sz w:val="28"/>
          <w:szCs w:val="36"/>
          <w:highlight w:val="none"/>
        </w:rPr>
        <w:fldChar w:fldCharType="separate"/>
      </w:r>
      <w:r>
        <w:rPr>
          <w:color w:val="auto"/>
          <w:sz w:val="28"/>
          <w:szCs w:val="36"/>
          <w:highlight w:val="none"/>
        </w:rPr>
        <w:t>43</w:t>
      </w:r>
      <w:r>
        <w:rPr>
          <w:color w:val="auto"/>
          <w:sz w:val="28"/>
          <w:szCs w:val="36"/>
          <w:highlight w:val="none"/>
        </w:rPr>
        <w:fldChar w:fldCharType="end"/>
      </w:r>
      <w:r>
        <w:rPr>
          <w:rFonts w:hint="eastAsia" w:ascii="宋体" w:hAnsi="宋体" w:eastAsia="宋体" w:cs="宋体"/>
          <w:bCs/>
          <w:color w:val="auto"/>
          <w:sz w:val="28"/>
          <w:szCs w:val="36"/>
          <w:highlight w:val="none"/>
        </w:rPr>
        <w:fldChar w:fldCharType="end"/>
      </w:r>
    </w:p>
    <w:p w14:paraId="0F505659">
      <w:pPr>
        <w:pStyle w:val="31"/>
        <w:tabs>
          <w:tab w:val="right" w:leader="dot" w:pos="8879"/>
        </w:tabs>
        <w:rPr>
          <w:color w:val="auto"/>
          <w:sz w:val="28"/>
          <w:szCs w:val="36"/>
          <w:highlight w:val="none"/>
        </w:rPr>
      </w:pPr>
      <w:r>
        <w:rPr>
          <w:rFonts w:hint="eastAsia" w:ascii="宋体" w:hAnsi="宋体" w:eastAsia="宋体" w:cs="宋体"/>
          <w:bCs/>
          <w:color w:val="auto"/>
          <w:sz w:val="28"/>
          <w:szCs w:val="36"/>
          <w:highlight w:val="none"/>
        </w:rPr>
        <w:fldChar w:fldCharType="begin"/>
      </w:r>
      <w:r>
        <w:rPr>
          <w:rFonts w:hint="eastAsia" w:ascii="宋体" w:hAnsi="宋体" w:eastAsia="宋体" w:cs="宋体"/>
          <w:bCs/>
          <w:color w:val="auto"/>
          <w:sz w:val="28"/>
          <w:szCs w:val="36"/>
          <w:highlight w:val="none"/>
        </w:rPr>
        <w:instrText xml:space="preserve"> HYPERLINK \l _Toc29341 </w:instrText>
      </w:r>
      <w:r>
        <w:rPr>
          <w:rFonts w:hint="eastAsia" w:ascii="宋体" w:hAnsi="宋体" w:eastAsia="宋体" w:cs="宋体"/>
          <w:bCs/>
          <w:color w:val="auto"/>
          <w:sz w:val="28"/>
          <w:szCs w:val="36"/>
          <w:highlight w:val="none"/>
        </w:rPr>
        <w:fldChar w:fldCharType="separate"/>
      </w:r>
      <w:r>
        <w:rPr>
          <w:rFonts w:hint="eastAsia" w:eastAsia="宋体"/>
          <w:color w:val="auto"/>
          <w:sz w:val="28"/>
          <w:szCs w:val="36"/>
          <w:highlight w:val="none"/>
          <w:lang w:val="en-US" w:eastAsia="zh-CN"/>
        </w:rPr>
        <w:t xml:space="preserve">第七章 </w:t>
      </w:r>
      <w:r>
        <w:rPr>
          <w:rFonts w:hint="eastAsia"/>
          <w:color w:val="auto"/>
          <w:sz w:val="28"/>
          <w:szCs w:val="36"/>
          <w:highlight w:val="none"/>
          <w:lang w:val="en-US" w:eastAsia="zh-CN"/>
        </w:rPr>
        <w:t>技术规范</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_Toc29341 \h </w:instrText>
      </w:r>
      <w:r>
        <w:rPr>
          <w:color w:val="auto"/>
          <w:sz w:val="28"/>
          <w:szCs w:val="36"/>
          <w:highlight w:val="none"/>
        </w:rPr>
        <w:fldChar w:fldCharType="separate"/>
      </w:r>
      <w:r>
        <w:rPr>
          <w:color w:val="auto"/>
          <w:sz w:val="28"/>
          <w:szCs w:val="36"/>
          <w:highlight w:val="none"/>
        </w:rPr>
        <w:t>44</w:t>
      </w:r>
      <w:r>
        <w:rPr>
          <w:color w:val="auto"/>
          <w:sz w:val="28"/>
          <w:szCs w:val="36"/>
          <w:highlight w:val="none"/>
        </w:rPr>
        <w:fldChar w:fldCharType="end"/>
      </w:r>
      <w:r>
        <w:rPr>
          <w:rFonts w:hint="eastAsia" w:ascii="宋体" w:hAnsi="宋体" w:eastAsia="宋体" w:cs="宋体"/>
          <w:bCs/>
          <w:color w:val="auto"/>
          <w:sz w:val="28"/>
          <w:szCs w:val="36"/>
          <w:highlight w:val="none"/>
        </w:rPr>
        <w:fldChar w:fldCharType="end"/>
      </w:r>
    </w:p>
    <w:p w14:paraId="0F39C55B">
      <w:pPr>
        <w:pStyle w:val="31"/>
        <w:tabs>
          <w:tab w:val="right" w:leader="dot" w:pos="8879"/>
        </w:tabs>
        <w:rPr>
          <w:color w:val="auto"/>
          <w:sz w:val="28"/>
          <w:szCs w:val="36"/>
          <w:highlight w:val="none"/>
        </w:rPr>
      </w:pPr>
      <w:r>
        <w:rPr>
          <w:rFonts w:hint="eastAsia" w:ascii="宋体" w:hAnsi="宋体" w:eastAsia="宋体" w:cs="宋体"/>
          <w:bCs/>
          <w:color w:val="auto"/>
          <w:sz w:val="28"/>
          <w:szCs w:val="36"/>
          <w:highlight w:val="none"/>
        </w:rPr>
        <w:fldChar w:fldCharType="begin"/>
      </w:r>
      <w:r>
        <w:rPr>
          <w:rFonts w:hint="eastAsia" w:ascii="宋体" w:hAnsi="宋体" w:eastAsia="宋体" w:cs="宋体"/>
          <w:bCs/>
          <w:color w:val="auto"/>
          <w:sz w:val="28"/>
          <w:szCs w:val="36"/>
          <w:highlight w:val="none"/>
        </w:rPr>
        <w:instrText xml:space="preserve"> HYPERLINK \l _Toc12323 </w:instrText>
      </w:r>
      <w:r>
        <w:rPr>
          <w:rFonts w:hint="eastAsia" w:ascii="宋体" w:hAnsi="宋体" w:eastAsia="宋体" w:cs="宋体"/>
          <w:bCs/>
          <w:color w:val="auto"/>
          <w:sz w:val="28"/>
          <w:szCs w:val="36"/>
          <w:highlight w:val="none"/>
        </w:rPr>
        <w:fldChar w:fldCharType="separate"/>
      </w:r>
      <w:r>
        <w:rPr>
          <w:rFonts w:hint="eastAsia" w:eastAsia="宋体"/>
          <w:color w:val="auto"/>
          <w:sz w:val="28"/>
          <w:szCs w:val="36"/>
          <w:highlight w:val="none"/>
          <w:lang w:val="en-US" w:eastAsia="zh-CN"/>
        </w:rPr>
        <w:t xml:space="preserve">第八章 </w:t>
      </w:r>
      <w:r>
        <w:rPr>
          <w:rFonts w:hint="eastAsia"/>
          <w:color w:val="auto"/>
          <w:sz w:val="28"/>
          <w:szCs w:val="36"/>
          <w:highlight w:val="none"/>
          <w:lang w:val="en-US" w:eastAsia="zh-CN"/>
        </w:rPr>
        <w:t>工程量清单计量规则</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_Toc12323 \h </w:instrText>
      </w:r>
      <w:r>
        <w:rPr>
          <w:color w:val="auto"/>
          <w:sz w:val="28"/>
          <w:szCs w:val="36"/>
          <w:highlight w:val="none"/>
        </w:rPr>
        <w:fldChar w:fldCharType="separate"/>
      </w:r>
      <w:r>
        <w:rPr>
          <w:color w:val="auto"/>
          <w:sz w:val="28"/>
          <w:szCs w:val="36"/>
          <w:highlight w:val="none"/>
        </w:rPr>
        <w:t>44</w:t>
      </w:r>
      <w:r>
        <w:rPr>
          <w:color w:val="auto"/>
          <w:sz w:val="28"/>
          <w:szCs w:val="36"/>
          <w:highlight w:val="none"/>
        </w:rPr>
        <w:fldChar w:fldCharType="end"/>
      </w:r>
      <w:r>
        <w:rPr>
          <w:rFonts w:hint="eastAsia" w:ascii="宋体" w:hAnsi="宋体" w:eastAsia="宋体" w:cs="宋体"/>
          <w:bCs/>
          <w:color w:val="auto"/>
          <w:sz w:val="28"/>
          <w:szCs w:val="36"/>
          <w:highlight w:val="none"/>
        </w:rPr>
        <w:fldChar w:fldCharType="end"/>
      </w:r>
    </w:p>
    <w:p w14:paraId="22D0D856">
      <w:pPr>
        <w:pStyle w:val="31"/>
        <w:tabs>
          <w:tab w:val="right" w:leader="dot" w:pos="8879"/>
        </w:tabs>
        <w:rPr>
          <w:color w:val="auto"/>
          <w:sz w:val="28"/>
          <w:szCs w:val="36"/>
          <w:highlight w:val="none"/>
        </w:rPr>
      </w:pPr>
      <w:r>
        <w:rPr>
          <w:rFonts w:hint="eastAsia" w:ascii="宋体" w:hAnsi="宋体" w:eastAsia="宋体" w:cs="宋体"/>
          <w:bCs/>
          <w:color w:val="auto"/>
          <w:sz w:val="28"/>
          <w:szCs w:val="36"/>
          <w:highlight w:val="none"/>
        </w:rPr>
        <w:fldChar w:fldCharType="begin"/>
      </w:r>
      <w:r>
        <w:rPr>
          <w:rFonts w:hint="eastAsia" w:ascii="宋体" w:hAnsi="宋体" w:eastAsia="宋体" w:cs="宋体"/>
          <w:bCs/>
          <w:color w:val="auto"/>
          <w:sz w:val="28"/>
          <w:szCs w:val="36"/>
          <w:highlight w:val="none"/>
        </w:rPr>
        <w:instrText xml:space="preserve"> HYPERLINK \l _Toc28817 </w:instrText>
      </w:r>
      <w:r>
        <w:rPr>
          <w:rFonts w:hint="eastAsia" w:ascii="宋体" w:hAnsi="宋体" w:eastAsia="宋体" w:cs="宋体"/>
          <w:bCs/>
          <w:color w:val="auto"/>
          <w:sz w:val="28"/>
          <w:szCs w:val="36"/>
          <w:highlight w:val="none"/>
        </w:rPr>
        <w:fldChar w:fldCharType="separate"/>
      </w:r>
      <w:r>
        <w:rPr>
          <w:rFonts w:hint="eastAsia"/>
          <w:color w:val="auto"/>
          <w:sz w:val="28"/>
          <w:szCs w:val="36"/>
          <w:highlight w:val="none"/>
        </w:rPr>
        <w:t>第</w:t>
      </w:r>
      <w:r>
        <w:rPr>
          <w:rFonts w:hint="eastAsia"/>
          <w:color w:val="auto"/>
          <w:sz w:val="28"/>
          <w:szCs w:val="36"/>
          <w:highlight w:val="none"/>
          <w:lang w:val="en-US" w:eastAsia="zh-CN"/>
        </w:rPr>
        <w:t>九</w:t>
      </w:r>
      <w:r>
        <w:rPr>
          <w:rFonts w:hint="eastAsia"/>
          <w:color w:val="auto"/>
          <w:sz w:val="28"/>
          <w:szCs w:val="36"/>
          <w:highlight w:val="none"/>
        </w:rPr>
        <w:t>章</w:t>
      </w:r>
      <w:r>
        <w:rPr>
          <w:rFonts w:hint="eastAsia"/>
          <w:color w:val="auto"/>
          <w:sz w:val="28"/>
          <w:szCs w:val="36"/>
          <w:highlight w:val="none"/>
          <w:lang w:val="en-US" w:eastAsia="zh-CN"/>
        </w:rPr>
        <w:t xml:space="preserve"> </w:t>
      </w:r>
      <w:r>
        <w:rPr>
          <w:rFonts w:hint="eastAsia"/>
          <w:color w:val="auto"/>
          <w:sz w:val="28"/>
          <w:szCs w:val="36"/>
          <w:highlight w:val="none"/>
        </w:rPr>
        <w:t>响应文件格式</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_Toc28817 \h </w:instrText>
      </w:r>
      <w:r>
        <w:rPr>
          <w:color w:val="auto"/>
          <w:sz w:val="28"/>
          <w:szCs w:val="36"/>
          <w:highlight w:val="none"/>
        </w:rPr>
        <w:fldChar w:fldCharType="separate"/>
      </w:r>
      <w:r>
        <w:rPr>
          <w:color w:val="auto"/>
          <w:sz w:val="28"/>
          <w:szCs w:val="36"/>
          <w:highlight w:val="none"/>
        </w:rPr>
        <w:t>45</w:t>
      </w:r>
      <w:r>
        <w:rPr>
          <w:color w:val="auto"/>
          <w:sz w:val="28"/>
          <w:szCs w:val="36"/>
          <w:highlight w:val="none"/>
        </w:rPr>
        <w:fldChar w:fldCharType="end"/>
      </w:r>
      <w:r>
        <w:rPr>
          <w:rFonts w:hint="eastAsia" w:ascii="宋体" w:hAnsi="宋体" w:eastAsia="宋体" w:cs="宋体"/>
          <w:bCs/>
          <w:color w:val="auto"/>
          <w:sz w:val="28"/>
          <w:szCs w:val="36"/>
          <w:highlight w:val="none"/>
        </w:rPr>
        <w:fldChar w:fldCharType="end"/>
      </w:r>
    </w:p>
    <w:p w14:paraId="4E8B182C">
      <w:pPr>
        <w:pStyle w:val="31"/>
        <w:tabs>
          <w:tab w:val="right" w:leader="dot" w:pos="8879"/>
        </w:tabs>
        <w:rPr>
          <w:rFonts w:ascii="宋体" w:hAnsi="宋体"/>
          <w:b/>
          <w:color w:val="auto"/>
          <w:sz w:val="36"/>
          <w:szCs w:val="36"/>
          <w:highlight w:val="none"/>
        </w:rPr>
      </w:pPr>
      <w:r>
        <w:rPr>
          <w:rFonts w:hint="eastAsia" w:ascii="宋体" w:hAnsi="宋体" w:eastAsia="宋体" w:cs="宋体"/>
          <w:bCs/>
          <w:color w:val="auto"/>
          <w:sz w:val="28"/>
          <w:szCs w:val="36"/>
          <w:highlight w:val="none"/>
        </w:rPr>
        <w:fldChar w:fldCharType="begin"/>
      </w:r>
      <w:r>
        <w:rPr>
          <w:rFonts w:hint="eastAsia" w:ascii="宋体" w:hAnsi="宋体" w:eastAsia="宋体" w:cs="宋体"/>
          <w:bCs/>
          <w:color w:val="auto"/>
          <w:sz w:val="28"/>
          <w:szCs w:val="36"/>
          <w:highlight w:val="none"/>
        </w:rPr>
        <w:instrText xml:space="preserve"> HYPERLINK \l _Toc18166 </w:instrText>
      </w:r>
      <w:r>
        <w:rPr>
          <w:rFonts w:hint="eastAsia" w:ascii="宋体" w:hAnsi="宋体" w:eastAsia="宋体" w:cs="宋体"/>
          <w:bCs/>
          <w:color w:val="auto"/>
          <w:sz w:val="28"/>
          <w:szCs w:val="36"/>
          <w:highlight w:val="none"/>
        </w:rPr>
        <w:fldChar w:fldCharType="separate"/>
      </w:r>
      <w:r>
        <w:rPr>
          <w:rFonts w:hint="eastAsia"/>
          <w:color w:val="auto"/>
          <w:sz w:val="28"/>
          <w:szCs w:val="36"/>
          <w:highlight w:val="none"/>
        </w:rPr>
        <w:t>第</w:t>
      </w:r>
      <w:r>
        <w:rPr>
          <w:rFonts w:hint="eastAsia"/>
          <w:color w:val="auto"/>
          <w:sz w:val="28"/>
          <w:szCs w:val="36"/>
          <w:highlight w:val="none"/>
          <w:lang w:val="en-US" w:eastAsia="zh-CN"/>
        </w:rPr>
        <w:t>十</w:t>
      </w:r>
      <w:r>
        <w:rPr>
          <w:rFonts w:hint="eastAsia"/>
          <w:color w:val="auto"/>
          <w:sz w:val="28"/>
          <w:szCs w:val="36"/>
          <w:highlight w:val="none"/>
        </w:rPr>
        <w:t>章</w:t>
      </w:r>
      <w:r>
        <w:rPr>
          <w:rFonts w:hint="eastAsia"/>
          <w:color w:val="auto"/>
          <w:sz w:val="28"/>
          <w:szCs w:val="36"/>
          <w:highlight w:val="none"/>
          <w:lang w:val="en-US" w:eastAsia="zh-CN"/>
        </w:rPr>
        <w:t xml:space="preserve"> </w:t>
      </w:r>
      <w:r>
        <w:rPr>
          <w:rFonts w:hint="eastAsia"/>
          <w:color w:val="auto"/>
          <w:sz w:val="28"/>
          <w:szCs w:val="36"/>
          <w:highlight w:val="none"/>
        </w:rPr>
        <w:t>合同文本</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_Toc18166 \h </w:instrText>
      </w:r>
      <w:r>
        <w:rPr>
          <w:color w:val="auto"/>
          <w:sz w:val="28"/>
          <w:szCs w:val="36"/>
          <w:highlight w:val="none"/>
        </w:rPr>
        <w:fldChar w:fldCharType="separate"/>
      </w:r>
      <w:r>
        <w:rPr>
          <w:color w:val="auto"/>
          <w:sz w:val="28"/>
          <w:szCs w:val="36"/>
          <w:highlight w:val="none"/>
        </w:rPr>
        <w:t>81</w:t>
      </w:r>
      <w:r>
        <w:rPr>
          <w:color w:val="auto"/>
          <w:sz w:val="28"/>
          <w:szCs w:val="36"/>
          <w:highlight w:val="none"/>
        </w:rPr>
        <w:fldChar w:fldCharType="end"/>
      </w:r>
      <w:r>
        <w:rPr>
          <w:rFonts w:hint="eastAsia" w:ascii="宋体" w:hAnsi="宋体" w:eastAsia="宋体" w:cs="宋体"/>
          <w:bCs/>
          <w:color w:val="auto"/>
          <w:sz w:val="28"/>
          <w:szCs w:val="36"/>
          <w:highlight w:val="none"/>
        </w:rPr>
        <w:fldChar w:fldCharType="end"/>
      </w:r>
      <w:r>
        <w:rPr>
          <w:rFonts w:hint="eastAsia" w:ascii="宋体" w:hAnsi="宋体" w:eastAsia="宋体" w:cs="宋体"/>
          <w:bCs/>
          <w:color w:val="auto"/>
          <w:sz w:val="28"/>
          <w:szCs w:val="36"/>
          <w:highlight w:val="none"/>
        </w:rPr>
        <w:fldChar w:fldCharType="end"/>
      </w:r>
    </w:p>
    <w:p w14:paraId="735D3154">
      <w:pPr>
        <w:spacing w:line="400" w:lineRule="exact"/>
        <w:jc w:val="left"/>
        <w:rPr>
          <w:rFonts w:ascii="宋体" w:hAnsi="宋体"/>
          <w:b/>
          <w:color w:val="auto"/>
          <w:sz w:val="32"/>
          <w:szCs w:val="32"/>
          <w:highlight w:val="none"/>
        </w:rPr>
      </w:pPr>
    </w:p>
    <w:p w14:paraId="3E6BEC43">
      <w:pPr>
        <w:spacing w:line="400" w:lineRule="exact"/>
        <w:jc w:val="center"/>
        <w:rPr>
          <w:rFonts w:ascii="宋体" w:hAnsi="宋体"/>
          <w:b/>
          <w:color w:val="auto"/>
          <w:sz w:val="32"/>
          <w:szCs w:val="32"/>
          <w:highlight w:val="none"/>
        </w:rPr>
      </w:pPr>
    </w:p>
    <w:p w14:paraId="2804495F">
      <w:pPr>
        <w:spacing w:line="400" w:lineRule="exact"/>
        <w:jc w:val="center"/>
        <w:rPr>
          <w:rFonts w:ascii="宋体" w:hAnsi="宋体"/>
          <w:b/>
          <w:color w:val="auto"/>
          <w:sz w:val="32"/>
          <w:szCs w:val="32"/>
          <w:highlight w:val="none"/>
        </w:rPr>
      </w:pPr>
    </w:p>
    <w:p w14:paraId="4B1BCC68">
      <w:pPr>
        <w:spacing w:line="400" w:lineRule="exact"/>
        <w:jc w:val="center"/>
        <w:rPr>
          <w:rFonts w:ascii="宋体" w:hAnsi="宋体"/>
          <w:b/>
          <w:color w:val="auto"/>
          <w:sz w:val="32"/>
          <w:szCs w:val="32"/>
          <w:highlight w:val="none"/>
        </w:rPr>
      </w:pPr>
    </w:p>
    <w:p w14:paraId="792CFF61">
      <w:pPr>
        <w:spacing w:line="400" w:lineRule="exact"/>
        <w:jc w:val="center"/>
        <w:rPr>
          <w:rFonts w:ascii="宋体" w:hAnsi="宋体"/>
          <w:b/>
          <w:color w:val="auto"/>
          <w:sz w:val="32"/>
          <w:szCs w:val="32"/>
          <w:highlight w:val="none"/>
        </w:rPr>
      </w:pPr>
    </w:p>
    <w:p w14:paraId="5FB25675">
      <w:pPr>
        <w:spacing w:line="400" w:lineRule="exact"/>
        <w:rPr>
          <w:rFonts w:ascii="宋体" w:hAnsi="宋体"/>
          <w:b/>
          <w:color w:val="auto"/>
          <w:sz w:val="32"/>
          <w:szCs w:val="32"/>
          <w:highlight w:val="none"/>
        </w:rPr>
        <w:sectPr>
          <w:footerReference r:id="rId8" w:type="first"/>
          <w:footerReference r:id="rId7" w:type="default"/>
          <w:pgSz w:w="11906" w:h="16838"/>
          <w:pgMar w:top="1440" w:right="1440" w:bottom="1440" w:left="1587" w:header="851" w:footer="992" w:gutter="0"/>
          <w:pgNumType w:fmt="decimal" w:start="0"/>
          <w:cols w:space="720" w:num="1"/>
          <w:titlePg/>
          <w:docGrid w:type="lines" w:linePitch="312" w:charSpace="0"/>
        </w:sectPr>
      </w:pPr>
    </w:p>
    <w:p w14:paraId="54C2696E">
      <w:pPr>
        <w:pStyle w:val="2"/>
        <w:keepNext/>
        <w:keepLines/>
        <w:pageBreakBefore w:val="0"/>
        <w:widowControl w:val="0"/>
        <w:kinsoku/>
        <w:wordWrap/>
        <w:overflowPunct/>
        <w:topLinePunct w:val="0"/>
        <w:autoSpaceDE/>
        <w:autoSpaceDN/>
        <w:bidi w:val="0"/>
        <w:adjustRightInd/>
        <w:snapToGrid/>
        <w:spacing w:before="220" w:after="340" w:line="360" w:lineRule="auto"/>
        <w:jc w:val="center"/>
        <w:textAlignment w:val="auto"/>
        <w:rPr>
          <w:rFonts w:hint="default" w:ascii="宋体" w:hAnsi="宋体" w:eastAsia="宋体"/>
          <w:color w:val="auto"/>
          <w:szCs w:val="21"/>
          <w:highlight w:val="none"/>
          <w:lang w:val="en-US" w:eastAsia="zh-CN"/>
        </w:rPr>
      </w:pPr>
      <w:bookmarkStart w:id="1" w:name="_Toc3159"/>
      <w:r>
        <w:rPr>
          <w:rFonts w:hint="eastAsia"/>
          <w:color w:val="auto"/>
          <w:highlight w:val="none"/>
        </w:rPr>
        <w:t>第一章</w:t>
      </w:r>
      <w:r>
        <w:rPr>
          <w:rFonts w:hint="eastAsia"/>
          <w:color w:val="auto"/>
          <w:highlight w:val="none"/>
          <w:lang w:val="en-US" w:eastAsia="zh-CN"/>
        </w:rPr>
        <w:t xml:space="preserve"> </w:t>
      </w:r>
      <w:r>
        <w:rPr>
          <w:rFonts w:hint="eastAsia"/>
          <w:color w:val="auto"/>
          <w:highlight w:val="none"/>
        </w:rPr>
        <w:t>竞争性磋商公告</w:t>
      </w:r>
      <w:r>
        <w:rPr>
          <w:rFonts w:hint="eastAsia"/>
          <w:color w:val="auto"/>
          <w:highlight w:val="none"/>
          <w:lang w:val="en-US" w:eastAsia="zh-CN"/>
        </w:rPr>
        <w:t>(远程异地评标）</w:t>
      </w:r>
      <w:bookmarkEnd w:id="1"/>
    </w:p>
    <w:p w14:paraId="506B2FD9">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eastAsia="宋体" w:cs="Times New Roman"/>
          <w:color w:val="auto"/>
          <w:szCs w:val="21"/>
          <w:highlight w:val="none"/>
        </w:rPr>
      </w:pPr>
      <w:bookmarkStart w:id="2" w:name="_Hlk37430271"/>
      <w:r>
        <w:rPr>
          <w:rFonts w:hint="eastAsia" w:ascii="宋体" w:hAnsi="宋体" w:eastAsia="宋体" w:cs="Times New Roman"/>
          <w:color w:val="auto"/>
          <w:szCs w:val="21"/>
          <w:highlight w:val="none"/>
        </w:rPr>
        <w:t>项目概况</w:t>
      </w:r>
    </w:p>
    <w:p w14:paraId="65F0F9C6">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auto"/>
          <w:szCs w:val="21"/>
          <w:highlight w:val="none"/>
        </w:rPr>
      </w:pPr>
      <w:r>
        <w:rPr>
          <w:rFonts w:hint="eastAsia" w:ascii="宋体" w:hAnsi="宋体"/>
          <w:color w:val="auto"/>
          <w:szCs w:val="21"/>
          <w:highlight w:val="none"/>
          <w:u w:val="single"/>
          <w:lang w:eastAsia="zh-CN"/>
        </w:rPr>
        <w:t>2024年那堪至龙州公路安防工程</w:t>
      </w:r>
      <w:r>
        <w:rPr>
          <w:rFonts w:hint="eastAsia" w:ascii="宋体" w:hAnsi="宋体"/>
          <w:color w:val="auto"/>
          <w:szCs w:val="21"/>
          <w:highlight w:val="none"/>
        </w:rPr>
        <w:t>采购项目的潜在供应商应在</w:t>
      </w:r>
      <w:r>
        <w:rPr>
          <w:rFonts w:hint="eastAsia" w:ascii="宋体" w:hAnsi="宋体"/>
          <w:color w:val="auto"/>
          <w:szCs w:val="21"/>
          <w:highlight w:val="none"/>
          <w:u w:val="none"/>
        </w:rPr>
        <w:t>广西政府采购云平台</w:t>
      </w:r>
      <w:r>
        <w:rPr>
          <w:rFonts w:hint="eastAsia" w:ascii="宋体" w:hAnsi="宋体" w:cs="宋体"/>
          <w:bCs/>
          <w:color w:val="auto"/>
          <w:kern w:val="0"/>
          <w:szCs w:val="21"/>
          <w:highlight w:val="none"/>
        </w:rPr>
        <w:t>（https://www.gcy.zfcg.gxzf.gov.cn/）</w:t>
      </w:r>
      <w:r>
        <w:rPr>
          <w:rFonts w:hint="eastAsia" w:ascii="宋体" w:hAnsi="宋体"/>
          <w:color w:val="auto"/>
          <w:szCs w:val="21"/>
          <w:highlight w:val="none"/>
        </w:rPr>
        <w:t>获取</w:t>
      </w:r>
      <w:r>
        <w:rPr>
          <w:rFonts w:hint="eastAsia" w:ascii="宋体" w:hAnsi="宋体"/>
          <w:color w:val="auto"/>
          <w:szCs w:val="21"/>
          <w:highlight w:val="none"/>
          <w:lang w:val="en-US" w:eastAsia="zh-CN"/>
        </w:rPr>
        <w:t>采购</w:t>
      </w:r>
      <w:r>
        <w:rPr>
          <w:rFonts w:hint="eastAsia" w:ascii="宋体" w:hAnsi="宋体"/>
          <w:color w:val="auto"/>
          <w:szCs w:val="21"/>
          <w:highlight w:val="none"/>
        </w:rPr>
        <w:t>文件，并于</w:t>
      </w:r>
      <w:r>
        <w:rPr>
          <w:rFonts w:ascii="宋体" w:hAnsi="宋体"/>
          <w:bCs/>
          <w:color w:val="auto"/>
          <w:szCs w:val="21"/>
          <w:highlight w:val="none"/>
          <w:u w:val="single"/>
        </w:rPr>
        <w:t>202</w:t>
      </w:r>
      <w:r>
        <w:rPr>
          <w:rFonts w:hint="eastAsia" w:ascii="宋体" w:hAnsi="宋体"/>
          <w:bCs/>
          <w:color w:val="auto"/>
          <w:szCs w:val="21"/>
          <w:highlight w:val="none"/>
          <w:u w:val="single"/>
          <w:lang w:val="en-US" w:eastAsia="zh-CN"/>
        </w:rPr>
        <w:t>5</w:t>
      </w:r>
      <w:r>
        <w:rPr>
          <w:rFonts w:hint="eastAsia" w:ascii="宋体" w:hAnsi="宋体"/>
          <w:bCs/>
          <w:color w:val="auto"/>
          <w:szCs w:val="21"/>
          <w:highlight w:val="none"/>
        </w:rPr>
        <w:t>年</w:t>
      </w:r>
      <w:r>
        <w:rPr>
          <w:rFonts w:hint="eastAsia" w:ascii="宋体" w:hAnsi="宋体"/>
          <w:bCs/>
          <w:color w:val="auto"/>
          <w:szCs w:val="21"/>
          <w:highlight w:val="none"/>
          <w:u w:val="single"/>
          <w:lang w:val="en-US" w:eastAsia="zh-CN"/>
        </w:rPr>
        <w:t xml:space="preserve">  7 </w:t>
      </w:r>
      <w:r>
        <w:rPr>
          <w:rFonts w:hint="eastAsia" w:ascii="宋体" w:hAnsi="宋体"/>
          <w:bCs/>
          <w:color w:val="auto"/>
          <w:szCs w:val="21"/>
          <w:highlight w:val="none"/>
        </w:rPr>
        <w:t>月</w:t>
      </w:r>
      <w:r>
        <w:rPr>
          <w:rFonts w:hint="eastAsia" w:ascii="宋体" w:hAnsi="宋体"/>
          <w:bCs/>
          <w:color w:val="auto"/>
          <w:szCs w:val="21"/>
          <w:highlight w:val="none"/>
          <w:u w:val="single"/>
          <w:lang w:val="en-US" w:eastAsia="zh-CN"/>
        </w:rPr>
        <w:t xml:space="preserve"> 16  </w:t>
      </w:r>
      <w:r>
        <w:rPr>
          <w:rFonts w:hint="eastAsia" w:ascii="宋体" w:hAnsi="宋体"/>
          <w:bCs/>
          <w:color w:val="auto"/>
          <w:szCs w:val="21"/>
          <w:highlight w:val="none"/>
        </w:rPr>
        <w:t>日</w:t>
      </w:r>
      <w:r>
        <w:rPr>
          <w:rFonts w:hint="eastAsia" w:ascii="宋体" w:hAnsi="宋体"/>
          <w:bCs/>
          <w:color w:val="auto"/>
          <w:szCs w:val="21"/>
          <w:highlight w:val="none"/>
          <w:u w:val="single"/>
          <w:lang w:val="en-US" w:eastAsia="zh-CN"/>
        </w:rPr>
        <w:t xml:space="preserve"> 9 </w:t>
      </w:r>
      <w:r>
        <w:rPr>
          <w:rFonts w:hint="eastAsia" w:ascii="宋体" w:hAnsi="宋体"/>
          <w:bCs/>
          <w:color w:val="auto"/>
          <w:szCs w:val="21"/>
          <w:highlight w:val="none"/>
        </w:rPr>
        <w:t>时</w:t>
      </w:r>
      <w:r>
        <w:rPr>
          <w:rFonts w:hint="eastAsia" w:ascii="宋体" w:hAnsi="宋体"/>
          <w:bCs/>
          <w:color w:val="auto"/>
          <w:szCs w:val="21"/>
          <w:highlight w:val="none"/>
          <w:u w:val="single"/>
          <w:lang w:val="en-US" w:eastAsia="zh-CN"/>
        </w:rPr>
        <w:t xml:space="preserve"> 30 </w:t>
      </w:r>
      <w:r>
        <w:rPr>
          <w:rFonts w:hint="eastAsia" w:ascii="宋体" w:hAnsi="宋体"/>
          <w:bCs/>
          <w:color w:val="auto"/>
          <w:szCs w:val="21"/>
          <w:highlight w:val="none"/>
        </w:rPr>
        <w:t>分（北京时间）前提交</w:t>
      </w:r>
      <w:r>
        <w:rPr>
          <w:rFonts w:hint="eastAsia" w:ascii="宋体" w:hAnsi="宋体"/>
          <w:color w:val="auto"/>
          <w:szCs w:val="21"/>
          <w:highlight w:val="none"/>
        </w:rPr>
        <w:t>响应</w:t>
      </w:r>
      <w:r>
        <w:rPr>
          <w:rFonts w:hint="eastAsia" w:ascii="宋体" w:hAnsi="宋体"/>
          <w:bCs/>
          <w:color w:val="auto"/>
          <w:szCs w:val="21"/>
          <w:highlight w:val="none"/>
        </w:rPr>
        <w:t>文件</w:t>
      </w:r>
      <w:r>
        <w:rPr>
          <w:rFonts w:hint="eastAsia" w:ascii="宋体" w:hAnsi="宋体"/>
          <w:color w:val="auto"/>
          <w:szCs w:val="21"/>
          <w:highlight w:val="none"/>
        </w:rPr>
        <w:t>。</w:t>
      </w:r>
    </w:p>
    <w:p w14:paraId="0649A4EB">
      <w:pPr>
        <w:spacing w:line="360" w:lineRule="auto"/>
        <w:ind w:firstLine="354" w:firstLineChars="147"/>
        <w:rPr>
          <w:rFonts w:hint="eastAsia" w:ascii="黑体" w:hAnsi="黑体" w:eastAsia="黑体"/>
          <w:b/>
          <w:color w:val="auto"/>
          <w:sz w:val="24"/>
          <w:highlight w:val="none"/>
        </w:rPr>
      </w:pPr>
      <w:bookmarkStart w:id="3" w:name="_Toc28359012"/>
      <w:bookmarkStart w:id="4" w:name="_Toc44229878"/>
      <w:bookmarkStart w:id="5" w:name="_Toc28359089"/>
      <w:bookmarkStart w:id="6" w:name="_Toc35393798"/>
      <w:bookmarkStart w:id="7" w:name="_Toc35393629"/>
      <w:bookmarkStart w:id="8" w:name="_Toc71365905"/>
    </w:p>
    <w:p w14:paraId="3F3ED63F">
      <w:pPr>
        <w:spacing w:line="360" w:lineRule="auto"/>
        <w:ind w:firstLine="354" w:firstLineChars="147"/>
        <w:rPr>
          <w:rFonts w:ascii="黑体" w:hAnsi="黑体" w:eastAsia="黑体"/>
          <w:b/>
          <w:color w:val="auto"/>
          <w:sz w:val="24"/>
          <w:highlight w:val="none"/>
        </w:rPr>
      </w:pPr>
      <w:r>
        <w:rPr>
          <w:rFonts w:hint="eastAsia" w:ascii="黑体" w:hAnsi="黑体" w:eastAsia="黑体"/>
          <w:b/>
          <w:color w:val="auto"/>
          <w:sz w:val="24"/>
          <w:highlight w:val="none"/>
        </w:rPr>
        <w:t>一、项目基本情况</w:t>
      </w:r>
      <w:bookmarkEnd w:id="3"/>
      <w:bookmarkEnd w:id="4"/>
      <w:bookmarkEnd w:id="5"/>
      <w:bookmarkEnd w:id="6"/>
      <w:bookmarkEnd w:id="7"/>
      <w:bookmarkEnd w:id="8"/>
    </w:p>
    <w:p w14:paraId="7B80F5B9">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val="en-US" w:eastAsia="zh-CN"/>
        </w:rPr>
        <w:t>CZZC2025-C2-230058-GXBK</w:t>
      </w:r>
    </w:p>
    <w:p w14:paraId="230AB5D8">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项目名称：</w:t>
      </w:r>
      <w:r>
        <w:rPr>
          <w:rFonts w:hint="eastAsia" w:ascii="宋体" w:hAnsi="宋体"/>
          <w:color w:val="auto"/>
          <w:szCs w:val="21"/>
          <w:highlight w:val="none"/>
          <w:u w:val="none"/>
          <w:lang w:eastAsia="zh-CN"/>
        </w:rPr>
        <w:t>2024年那堪至龙州公路安防工程</w:t>
      </w:r>
    </w:p>
    <w:p w14:paraId="3E1371F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采购方式：竞争性磋商</w:t>
      </w:r>
    </w:p>
    <w:p w14:paraId="2E0CDDBA">
      <w:pPr>
        <w:spacing w:line="360" w:lineRule="auto"/>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预算</w:t>
      </w:r>
      <w:r>
        <w:rPr>
          <w:rFonts w:hint="eastAsia" w:ascii="宋体" w:hAnsi="宋体"/>
          <w:color w:val="auto"/>
          <w:szCs w:val="21"/>
          <w:highlight w:val="none"/>
          <w:lang w:val="en-US" w:eastAsia="zh-CN"/>
        </w:rPr>
        <w:t>总</w:t>
      </w:r>
      <w:r>
        <w:rPr>
          <w:rFonts w:hint="eastAsia" w:ascii="宋体" w:hAnsi="宋体"/>
          <w:color w:val="auto"/>
          <w:szCs w:val="21"/>
          <w:highlight w:val="none"/>
        </w:rPr>
        <w:t>金额</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元）</w:t>
      </w:r>
      <w:r>
        <w:rPr>
          <w:rFonts w:hint="eastAsia" w:ascii="宋体" w:hAnsi="宋体"/>
          <w:color w:val="auto"/>
          <w:szCs w:val="21"/>
          <w:highlight w:val="none"/>
        </w:rPr>
        <w:t>：</w:t>
      </w:r>
      <w:r>
        <w:rPr>
          <w:rFonts w:hint="eastAsia" w:ascii="宋体" w:hAnsi="宋体"/>
          <w:color w:val="auto"/>
          <w:szCs w:val="21"/>
          <w:highlight w:val="none"/>
          <w:lang w:val="en-US" w:eastAsia="zh-CN"/>
        </w:rPr>
        <w:t>198.1318万元</w:t>
      </w:r>
    </w:p>
    <w:p w14:paraId="26FB8CAE">
      <w:pPr>
        <w:spacing w:line="360" w:lineRule="auto"/>
        <w:ind w:firstLine="420" w:firstLineChars="200"/>
        <w:rPr>
          <w:rFonts w:hint="eastAsia" w:ascii="宋体" w:hAnsi="宋体"/>
          <w:color w:val="auto"/>
          <w:szCs w:val="21"/>
          <w:highlight w:val="none"/>
          <w:u w:val="none"/>
          <w:lang w:eastAsia="zh-CN"/>
        </w:rPr>
      </w:pPr>
      <w:r>
        <w:rPr>
          <w:rFonts w:hint="eastAsia" w:ascii="宋体" w:hAnsi="宋体"/>
          <w:color w:val="auto"/>
          <w:szCs w:val="21"/>
          <w:highlight w:val="none"/>
        </w:rPr>
        <w:t>采购需求：</w:t>
      </w:r>
      <w:r>
        <w:rPr>
          <w:rFonts w:hint="eastAsia" w:ascii="宋体" w:hAnsi="宋体"/>
          <w:color w:val="auto"/>
          <w:szCs w:val="21"/>
          <w:highlight w:val="none"/>
          <w:u w:val="none"/>
          <w:lang w:eastAsia="zh-CN"/>
        </w:rPr>
        <w:t>龙州县2024年那堪至龙州公路安防工程，公路为三级公路,路线全长</w:t>
      </w:r>
      <w:r>
        <w:rPr>
          <w:rFonts w:hint="eastAsia" w:ascii="宋体" w:hAnsi="宋体"/>
          <w:color w:val="auto"/>
          <w:szCs w:val="21"/>
          <w:highlight w:val="none"/>
          <w:u w:val="none"/>
          <w:lang w:val="en-US" w:eastAsia="zh-CN"/>
        </w:rPr>
        <w:t>24.5</w:t>
      </w:r>
      <w:r>
        <w:rPr>
          <w:rFonts w:hint="eastAsia" w:ascii="宋体" w:hAnsi="宋体"/>
          <w:color w:val="auto"/>
          <w:szCs w:val="21"/>
          <w:highlight w:val="none"/>
          <w:u w:val="none"/>
          <w:lang w:eastAsia="zh-CN"/>
        </w:rPr>
        <w:t>km。设计速度40km/h；旧路路基宽度：宽</w:t>
      </w:r>
      <w:r>
        <w:rPr>
          <w:rFonts w:hint="eastAsia" w:ascii="宋体" w:hAnsi="宋体"/>
          <w:color w:val="auto"/>
          <w:szCs w:val="21"/>
          <w:highlight w:val="none"/>
          <w:u w:val="none"/>
          <w:lang w:val="en-US" w:eastAsia="zh-CN"/>
        </w:rPr>
        <w:t>7.5</w:t>
      </w:r>
      <w:r>
        <w:rPr>
          <w:rFonts w:hint="eastAsia" w:ascii="宋体" w:hAnsi="宋体"/>
          <w:color w:val="auto"/>
          <w:szCs w:val="21"/>
          <w:highlight w:val="none"/>
          <w:u w:val="none"/>
          <w:lang w:eastAsia="zh-CN"/>
        </w:rPr>
        <w:t>m；旧路路面宽度：宽</w:t>
      </w:r>
      <w:r>
        <w:rPr>
          <w:rFonts w:hint="eastAsia" w:ascii="宋体" w:hAnsi="宋体"/>
          <w:color w:val="auto"/>
          <w:szCs w:val="21"/>
          <w:highlight w:val="none"/>
          <w:u w:val="none"/>
          <w:lang w:val="en-US" w:eastAsia="zh-CN"/>
        </w:rPr>
        <w:t>6.</w:t>
      </w:r>
      <w:r>
        <w:rPr>
          <w:rFonts w:hint="eastAsia" w:ascii="宋体" w:hAnsi="宋体"/>
          <w:color w:val="auto"/>
          <w:szCs w:val="21"/>
          <w:highlight w:val="none"/>
          <w:u w:val="none"/>
          <w:lang w:eastAsia="zh-CN"/>
        </w:rPr>
        <w:t>0m。具体内容详见工程量清单及图纸。</w:t>
      </w:r>
    </w:p>
    <w:p w14:paraId="0B419814">
      <w:pPr>
        <w:autoSpaceDE w:val="0"/>
        <w:autoSpaceDN w:val="0"/>
        <w:spacing w:line="360" w:lineRule="auto"/>
        <w:ind w:firstLine="420" w:firstLineChars="200"/>
        <w:rPr>
          <w:rFonts w:hint="eastAsia" w:ascii="宋体" w:hAnsi="宋体" w:cs="宋体"/>
          <w:color w:val="auto"/>
          <w:sz w:val="21"/>
          <w:szCs w:val="21"/>
          <w:highlight w:val="none"/>
        </w:rPr>
      </w:pPr>
      <w:r>
        <w:rPr>
          <w:rFonts w:ascii="宋体" w:hAnsi="宋体" w:cs="宋体"/>
          <w:color w:val="auto"/>
          <w:sz w:val="21"/>
          <w:szCs w:val="21"/>
          <w:highlight w:val="none"/>
        </w:rPr>
        <w:t>标项名称</w:t>
      </w:r>
      <w:r>
        <w:rPr>
          <w:rFonts w:hint="eastAsia" w:ascii="宋体" w:hAnsi="宋体"/>
          <w:color w:val="auto"/>
          <w:szCs w:val="21"/>
          <w:highlight w:val="none"/>
        </w:rPr>
        <w:t>：</w:t>
      </w:r>
      <w:r>
        <w:rPr>
          <w:rFonts w:hint="eastAsia" w:ascii="宋体" w:hAnsi="宋体"/>
          <w:color w:val="auto"/>
          <w:szCs w:val="21"/>
          <w:highlight w:val="none"/>
          <w:u w:val="none"/>
          <w:lang w:eastAsia="zh-CN"/>
        </w:rPr>
        <w:t>2024年那堪至龙州公路安防工程</w:t>
      </w:r>
    </w:p>
    <w:p w14:paraId="170FA537">
      <w:pPr>
        <w:autoSpaceDE w:val="0"/>
        <w:autoSpaceDN w:val="0"/>
        <w:spacing w:line="360" w:lineRule="auto"/>
        <w:ind w:left="0" w:leftChars="0" w:firstLine="420" w:firstLineChars="200"/>
        <w:rPr>
          <w:rFonts w:hint="eastAsia" w:ascii="宋体" w:hAnsi="宋体" w:eastAsia="宋体" w:cs="宋体"/>
          <w:color w:val="auto"/>
          <w:sz w:val="21"/>
          <w:szCs w:val="21"/>
          <w:highlight w:val="none"/>
          <w:lang w:eastAsia="zh-CN"/>
        </w:rPr>
      </w:pPr>
      <w:r>
        <w:rPr>
          <w:rFonts w:ascii="宋体" w:hAnsi="宋体" w:cs="宋体"/>
          <w:color w:val="auto"/>
          <w:sz w:val="21"/>
          <w:szCs w:val="21"/>
          <w:highlight w:val="none"/>
        </w:rPr>
        <w:t>数量:1</w:t>
      </w:r>
    </w:p>
    <w:p w14:paraId="07A6FC0A">
      <w:pPr>
        <w:autoSpaceDE w:val="0"/>
        <w:autoSpaceDN w:val="0"/>
        <w:spacing w:line="360" w:lineRule="auto"/>
        <w:ind w:left="0" w:leftChars="0" w:firstLine="420" w:firstLineChars="200"/>
        <w:rPr>
          <w:rFonts w:hint="eastAsia" w:ascii="宋体" w:hAnsi="宋体"/>
          <w:color w:val="auto"/>
          <w:szCs w:val="21"/>
          <w:highlight w:val="none"/>
          <w:lang w:val="en-US" w:eastAsia="zh-CN"/>
        </w:rPr>
      </w:pPr>
      <w:r>
        <w:rPr>
          <w:rFonts w:ascii="宋体" w:hAnsi="宋体" w:cs="宋体"/>
          <w:color w:val="auto"/>
          <w:sz w:val="21"/>
          <w:szCs w:val="21"/>
          <w:highlight w:val="none"/>
        </w:rPr>
        <w:t>预算金额（元）:</w:t>
      </w:r>
      <w:r>
        <w:rPr>
          <w:rFonts w:hint="eastAsia" w:ascii="宋体" w:hAnsi="宋体"/>
          <w:color w:val="auto"/>
          <w:szCs w:val="21"/>
          <w:highlight w:val="none"/>
          <w:lang w:val="en-US" w:eastAsia="zh-CN"/>
        </w:rPr>
        <w:t>198.1318万元</w:t>
      </w:r>
    </w:p>
    <w:p w14:paraId="75ECBBD3">
      <w:pPr>
        <w:autoSpaceDE w:val="0"/>
        <w:autoSpaceDN w:val="0"/>
        <w:spacing w:line="360" w:lineRule="auto"/>
        <w:ind w:left="0" w:leftChars="0" w:firstLine="420" w:firstLineChars="200"/>
        <w:rPr>
          <w:rFonts w:hint="eastAsia" w:ascii="Times New Roman" w:hAnsi="Times New Roman" w:eastAsia="宋体" w:cs="Times New Roman"/>
          <w:color w:val="auto"/>
          <w:highlight w:val="none"/>
          <w:lang w:val="zh-CN" w:eastAsia="zh-CN"/>
        </w:rPr>
      </w:pPr>
      <w:r>
        <w:rPr>
          <w:rFonts w:ascii="宋体" w:hAnsi="宋体" w:cs="宋体"/>
          <w:color w:val="auto"/>
          <w:sz w:val="21"/>
          <w:szCs w:val="21"/>
          <w:highlight w:val="none"/>
        </w:rPr>
        <w:t>简要规格描述或项目基本概况介绍、用途：</w:t>
      </w:r>
      <w:r>
        <w:rPr>
          <w:rFonts w:hint="eastAsia" w:ascii="宋体" w:hAnsi="宋体"/>
          <w:color w:val="auto"/>
          <w:szCs w:val="21"/>
          <w:highlight w:val="none"/>
          <w:u w:val="none"/>
          <w:lang w:eastAsia="zh-CN"/>
        </w:rPr>
        <w:t>龙州县2024年那堪至龙州公路安防工程，公路为三级公路,路线全长</w:t>
      </w:r>
      <w:r>
        <w:rPr>
          <w:rFonts w:hint="eastAsia" w:ascii="宋体" w:hAnsi="宋体"/>
          <w:color w:val="auto"/>
          <w:szCs w:val="21"/>
          <w:highlight w:val="none"/>
          <w:u w:val="none"/>
          <w:lang w:val="en-US" w:eastAsia="zh-CN"/>
        </w:rPr>
        <w:t>24.5</w:t>
      </w:r>
      <w:r>
        <w:rPr>
          <w:rFonts w:hint="eastAsia" w:ascii="宋体" w:hAnsi="宋体"/>
          <w:color w:val="auto"/>
          <w:szCs w:val="21"/>
          <w:highlight w:val="none"/>
          <w:u w:val="none"/>
          <w:lang w:eastAsia="zh-CN"/>
        </w:rPr>
        <w:t>km。设计速度40km/h；旧路路基宽度：宽</w:t>
      </w:r>
      <w:r>
        <w:rPr>
          <w:rFonts w:hint="eastAsia" w:ascii="宋体" w:hAnsi="宋体"/>
          <w:color w:val="auto"/>
          <w:szCs w:val="21"/>
          <w:highlight w:val="none"/>
          <w:u w:val="none"/>
          <w:lang w:val="en-US" w:eastAsia="zh-CN"/>
        </w:rPr>
        <w:t>7.5</w:t>
      </w:r>
      <w:r>
        <w:rPr>
          <w:rFonts w:hint="eastAsia" w:ascii="宋体" w:hAnsi="宋体"/>
          <w:color w:val="auto"/>
          <w:szCs w:val="21"/>
          <w:highlight w:val="none"/>
          <w:u w:val="none"/>
          <w:lang w:eastAsia="zh-CN"/>
        </w:rPr>
        <w:t>m；旧路路面宽度：宽</w:t>
      </w:r>
      <w:r>
        <w:rPr>
          <w:rFonts w:hint="eastAsia" w:ascii="宋体" w:hAnsi="宋体"/>
          <w:color w:val="auto"/>
          <w:szCs w:val="21"/>
          <w:highlight w:val="none"/>
          <w:u w:val="none"/>
          <w:lang w:val="en-US" w:eastAsia="zh-CN"/>
        </w:rPr>
        <w:t>6.</w:t>
      </w:r>
      <w:r>
        <w:rPr>
          <w:rFonts w:hint="eastAsia" w:ascii="宋体" w:hAnsi="宋体"/>
          <w:color w:val="auto"/>
          <w:szCs w:val="21"/>
          <w:highlight w:val="none"/>
          <w:u w:val="none"/>
          <w:lang w:eastAsia="zh-CN"/>
        </w:rPr>
        <w:t>0m。具体内容详见工程量清单及图纸</w:t>
      </w:r>
      <w:r>
        <w:rPr>
          <w:rFonts w:hint="eastAsia" w:ascii="Times New Roman" w:hAnsi="Times New Roman" w:eastAsia="宋体" w:cs="Times New Roman"/>
          <w:color w:val="auto"/>
          <w:highlight w:val="none"/>
          <w:lang w:val="zh-CN" w:eastAsia="zh-CN"/>
        </w:rPr>
        <w:t>。</w:t>
      </w:r>
    </w:p>
    <w:p w14:paraId="5C3A907C">
      <w:pPr>
        <w:autoSpaceDE w:val="0"/>
        <w:autoSpaceDN w:val="0"/>
        <w:spacing w:line="360" w:lineRule="auto"/>
        <w:ind w:firstLine="420" w:firstLineChars="200"/>
        <w:rPr>
          <w:rFonts w:hint="eastAsia" w:ascii="宋体" w:hAnsi="宋体"/>
          <w:color w:val="auto"/>
          <w:szCs w:val="21"/>
          <w:highlight w:val="none"/>
          <w:lang w:val="en-US" w:eastAsia="zh-CN"/>
        </w:rPr>
      </w:pPr>
      <w:r>
        <w:rPr>
          <w:rFonts w:ascii="宋体" w:hAnsi="宋体" w:cs="宋体"/>
          <w:color w:val="auto"/>
          <w:sz w:val="21"/>
          <w:szCs w:val="21"/>
          <w:highlight w:val="none"/>
        </w:rPr>
        <w:t>最高限价（如有）：</w:t>
      </w:r>
      <w:r>
        <w:rPr>
          <w:rFonts w:hint="eastAsia" w:ascii="宋体" w:hAnsi="宋体"/>
          <w:color w:val="auto"/>
          <w:szCs w:val="21"/>
          <w:highlight w:val="none"/>
          <w:lang w:val="en-US" w:eastAsia="zh-CN"/>
        </w:rPr>
        <w:t>198.1318万元</w:t>
      </w:r>
    </w:p>
    <w:p w14:paraId="317C0696">
      <w:pPr>
        <w:autoSpaceDE w:val="0"/>
        <w:autoSpaceDN w:val="0"/>
        <w:spacing w:line="360" w:lineRule="auto"/>
        <w:ind w:firstLine="420" w:firstLineChars="200"/>
        <w:rPr>
          <w:rFonts w:hint="eastAsia" w:ascii="宋体" w:hAnsi="宋体" w:cs="宋体"/>
          <w:color w:val="auto"/>
          <w:sz w:val="21"/>
          <w:szCs w:val="21"/>
          <w:highlight w:val="none"/>
          <w:lang w:val="zh-CN" w:bidi="zh-CN"/>
        </w:rPr>
      </w:pPr>
      <w:r>
        <w:rPr>
          <w:rFonts w:hint="eastAsia" w:ascii="宋体" w:hAnsi="宋体" w:cs="宋体"/>
          <w:color w:val="auto"/>
          <w:sz w:val="21"/>
          <w:szCs w:val="21"/>
          <w:highlight w:val="none"/>
          <w:lang w:val="zh-CN" w:bidi="zh-CN"/>
        </w:rPr>
        <w:t>合同履行期限：</w:t>
      </w:r>
      <w:r>
        <w:rPr>
          <w:rFonts w:hint="eastAsia" w:ascii="宋体" w:hAnsi="宋体"/>
          <w:color w:val="auto"/>
          <w:szCs w:val="21"/>
          <w:highlight w:val="none"/>
          <w:lang w:val="en-US" w:eastAsia="zh-CN"/>
        </w:rPr>
        <w:t>90日历天</w:t>
      </w:r>
      <w:r>
        <w:rPr>
          <w:rFonts w:hint="eastAsia" w:ascii="宋体" w:hAnsi="宋体" w:cs="宋体"/>
          <w:color w:val="auto"/>
          <w:sz w:val="21"/>
          <w:szCs w:val="21"/>
          <w:highlight w:val="none"/>
          <w:lang w:val="zh-CN" w:bidi="zh-CN"/>
        </w:rPr>
        <w:t>。</w:t>
      </w:r>
      <w:bookmarkStart w:id="9" w:name="_Toc28119"/>
      <w:bookmarkStart w:id="10" w:name="_Toc26349"/>
    </w:p>
    <w:p w14:paraId="3283A19E">
      <w:pPr>
        <w:autoSpaceDE w:val="0"/>
        <w:autoSpaceDN w:val="0"/>
        <w:spacing w:line="360" w:lineRule="auto"/>
        <w:ind w:firstLine="420" w:firstLineChars="200"/>
        <w:rPr>
          <w:rFonts w:hint="eastAsia" w:ascii="宋体" w:hAnsi="宋体" w:cs="宋体"/>
          <w:bCs/>
          <w:color w:val="auto"/>
          <w:sz w:val="21"/>
          <w:szCs w:val="21"/>
          <w:highlight w:val="none"/>
        </w:rPr>
      </w:pPr>
      <w:r>
        <w:rPr>
          <w:rFonts w:hint="eastAsia" w:ascii="宋体" w:hAnsi="宋体" w:cs="宋体"/>
          <w:bCs/>
          <w:color w:val="auto"/>
          <w:sz w:val="21"/>
          <w:szCs w:val="21"/>
          <w:highlight w:val="none"/>
        </w:rPr>
        <w:t>本标项</w:t>
      </w:r>
      <w:r>
        <w:rPr>
          <w:rFonts w:hint="eastAsia" w:ascii="宋体" w:hAnsi="宋体" w:cs="宋体"/>
          <w:bCs/>
          <w:color w:val="auto"/>
          <w:sz w:val="21"/>
          <w:szCs w:val="21"/>
          <w:highlight w:val="none"/>
          <w:lang w:val="en-US" w:eastAsia="zh-CN"/>
        </w:rPr>
        <w:t>不</w:t>
      </w:r>
      <w:r>
        <w:rPr>
          <w:rFonts w:hint="eastAsia" w:ascii="宋体" w:hAnsi="宋体" w:cs="宋体"/>
          <w:bCs/>
          <w:color w:val="auto"/>
          <w:sz w:val="21"/>
          <w:szCs w:val="21"/>
          <w:highlight w:val="none"/>
        </w:rPr>
        <w:t>接受联合体投标。</w:t>
      </w:r>
      <w:bookmarkEnd w:id="9"/>
      <w:bookmarkEnd w:id="10"/>
    </w:p>
    <w:p w14:paraId="1182693B">
      <w:pPr>
        <w:pStyle w:val="18"/>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备注：/</w:t>
      </w:r>
    </w:p>
    <w:p w14:paraId="13CD955F">
      <w:pPr>
        <w:spacing w:line="360" w:lineRule="auto"/>
        <w:ind w:firstLine="354" w:firstLineChars="147"/>
        <w:rPr>
          <w:rFonts w:ascii="黑体" w:hAnsi="黑体" w:eastAsia="黑体"/>
          <w:b/>
          <w:color w:val="auto"/>
          <w:sz w:val="24"/>
          <w:highlight w:val="none"/>
        </w:rPr>
      </w:pPr>
      <w:bookmarkStart w:id="11" w:name="_Toc35393630"/>
      <w:bookmarkStart w:id="12" w:name="_Toc35393799"/>
      <w:bookmarkStart w:id="13" w:name="_Toc44229879"/>
      <w:bookmarkStart w:id="14" w:name="_Toc28359013"/>
      <w:bookmarkStart w:id="15" w:name="_Toc71365906"/>
      <w:bookmarkStart w:id="16" w:name="_Toc28359090"/>
      <w:r>
        <w:rPr>
          <w:rFonts w:hint="eastAsia" w:ascii="黑体" w:hAnsi="黑体" w:eastAsia="黑体"/>
          <w:b/>
          <w:color w:val="auto"/>
          <w:sz w:val="24"/>
          <w:highlight w:val="none"/>
        </w:rPr>
        <w:t>二、申请人的资格</w:t>
      </w:r>
      <w:r>
        <w:rPr>
          <w:rFonts w:hint="eastAsia" w:ascii="黑体" w:hAnsi="黑体" w:eastAsia="黑体"/>
          <w:b/>
          <w:color w:val="auto"/>
          <w:sz w:val="24"/>
          <w:highlight w:val="none"/>
          <w:lang w:val="en-US" w:eastAsia="zh-CN"/>
        </w:rPr>
        <w:t>要求</w:t>
      </w:r>
      <w:r>
        <w:rPr>
          <w:rFonts w:hint="eastAsia" w:ascii="黑体" w:hAnsi="黑体" w:eastAsia="黑体"/>
          <w:b/>
          <w:color w:val="auto"/>
          <w:sz w:val="24"/>
          <w:highlight w:val="none"/>
        </w:rPr>
        <w:t>：</w:t>
      </w:r>
      <w:bookmarkEnd w:id="11"/>
      <w:bookmarkEnd w:id="12"/>
      <w:bookmarkEnd w:id="13"/>
      <w:bookmarkEnd w:id="14"/>
      <w:bookmarkEnd w:id="15"/>
      <w:bookmarkEnd w:id="16"/>
    </w:p>
    <w:p w14:paraId="04C5B280">
      <w:pPr>
        <w:spacing w:line="360" w:lineRule="auto"/>
        <w:ind w:firstLine="420" w:firstLineChars="200"/>
        <w:rPr>
          <w:rFonts w:ascii="宋体" w:hAnsi="宋体"/>
          <w:color w:val="auto"/>
          <w:szCs w:val="21"/>
          <w:highlight w:val="none"/>
        </w:rPr>
      </w:pPr>
      <w:bookmarkStart w:id="17" w:name="_Toc28359091"/>
      <w:bookmarkStart w:id="18" w:name="_Toc28359014"/>
      <w:bookmarkStart w:id="19" w:name="_Toc35393800"/>
      <w:bookmarkStart w:id="20" w:name="_Toc44229880"/>
      <w:bookmarkStart w:id="21" w:name="_Toc35393631"/>
      <w:r>
        <w:rPr>
          <w:rFonts w:hint="eastAsia" w:ascii="宋体" w:hAnsi="宋体"/>
          <w:color w:val="auto"/>
          <w:szCs w:val="21"/>
          <w:highlight w:val="none"/>
        </w:rPr>
        <w:t>1.满足《中华人民共和国政府采购法》第二十二条规定；</w:t>
      </w:r>
    </w:p>
    <w:p w14:paraId="291E3681">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.落实政府采购政策需满足的资格要求：</w:t>
      </w:r>
    </w:p>
    <w:p w14:paraId="4E9579BB">
      <w:pPr>
        <w:spacing w:line="360" w:lineRule="auto"/>
        <w:ind w:firstLine="420" w:firstLineChars="200"/>
        <w:rPr>
          <w:rFonts w:ascii="宋体" w:hAnsi="宋体"/>
          <w:color w:val="auto"/>
          <w:szCs w:val="21"/>
        </w:rPr>
      </w:pPr>
      <w:r>
        <w:rPr>
          <w:rFonts w:hint="eastAsia" w:ascii="宋体" w:hAnsi="宋体"/>
          <w:color w:val="auto"/>
          <w:szCs w:val="21"/>
          <w:lang w:eastAsia="zh-CN"/>
        </w:rPr>
        <w:t>☑</w:t>
      </w:r>
      <w:r>
        <w:rPr>
          <w:rFonts w:hint="eastAsia" w:ascii="宋体" w:hAnsi="宋体"/>
          <w:color w:val="auto"/>
          <w:szCs w:val="21"/>
        </w:rPr>
        <w:t>专门面向中小企业采购的项目（供应商应为中小微企业或监狱企业或残疾人福利性单位)</w:t>
      </w:r>
    </w:p>
    <w:p w14:paraId="7506221D">
      <w:pPr>
        <w:spacing w:line="360" w:lineRule="auto"/>
        <w:ind w:firstLine="420" w:firstLineChars="200"/>
        <w:rPr>
          <w:rStyle w:val="58"/>
          <w:color w:val="auto"/>
          <w:highlight w:val="none"/>
        </w:rPr>
      </w:pPr>
      <w:r>
        <w:rPr>
          <w:rFonts w:hint="eastAsia" w:ascii="宋体" w:hAnsi="宋体"/>
          <w:color w:val="auto"/>
          <w:szCs w:val="21"/>
          <w:lang w:eastAsia="zh-CN"/>
        </w:rPr>
        <w:t>□</w:t>
      </w:r>
      <w:r>
        <w:rPr>
          <w:rFonts w:hint="eastAsia" w:ascii="宋体" w:hAnsi="宋体"/>
          <w:color w:val="auto"/>
          <w:szCs w:val="21"/>
        </w:rPr>
        <w:t>非专门面向中小企业采购的项目</w:t>
      </w:r>
    </w:p>
    <w:p w14:paraId="2998390F">
      <w:pPr>
        <w:spacing w:line="360" w:lineRule="auto"/>
        <w:ind w:firstLine="420" w:firstLineChars="200"/>
        <w:rPr>
          <w:rFonts w:hint="eastAsia" w:ascii="宋体" w:hAnsi="宋体"/>
          <w:color w:val="auto"/>
          <w:szCs w:val="21"/>
          <w:highlight w:val="none"/>
        </w:rPr>
      </w:pPr>
      <w:bookmarkStart w:id="22" w:name="_Toc71365907"/>
      <w:r>
        <w:rPr>
          <w:rFonts w:hint="eastAsia" w:ascii="宋体" w:hAnsi="宋体"/>
          <w:color w:val="auto"/>
          <w:szCs w:val="21"/>
          <w:highlight w:val="none"/>
          <w:lang w:val="en-US" w:eastAsia="zh-CN"/>
        </w:rPr>
        <w:t xml:space="preserve">3.本项目的特定资格要求： </w:t>
      </w:r>
    </w:p>
    <w:p w14:paraId="3CB4D141">
      <w:pPr>
        <w:spacing w:line="360" w:lineRule="auto"/>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3.1</w:t>
      </w:r>
      <w:r>
        <w:rPr>
          <w:rFonts w:hint="eastAsia" w:ascii="宋体" w:hAnsi="宋体" w:eastAsia="宋体" w:cs="宋体"/>
          <w:color w:val="auto"/>
          <w:szCs w:val="21"/>
          <w:lang w:val="en-US" w:eastAsia="zh-CN"/>
        </w:rPr>
        <w:t>供应商</w:t>
      </w:r>
      <w:r>
        <w:rPr>
          <w:rFonts w:hint="eastAsia" w:ascii="宋体" w:hAnsi="宋体" w:eastAsia="宋体" w:cs="宋体"/>
          <w:color w:val="auto"/>
          <w:szCs w:val="21"/>
        </w:rPr>
        <w:t>须具备公路工程施工总承包叁级（含叁级）</w:t>
      </w:r>
      <w:r>
        <w:rPr>
          <w:rFonts w:hint="eastAsia" w:ascii="宋体" w:hAnsi="宋体" w:eastAsia="宋体" w:cs="宋体"/>
          <w:color w:val="auto"/>
          <w:szCs w:val="21"/>
          <w:lang w:val="en-US" w:eastAsia="zh-CN"/>
        </w:rPr>
        <w:t>或市政公用工程</w:t>
      </w:r>
      <w:r>
        <w:rPr>
          <w:rFonts w:hint="eastAsia" w:ascii="宋体" w:hAnsi="宋体" w:eastAsia="宋体" w:cs="宋体"/>
          <w:color w:val="auto"/>
          <w:szCs w:val="21"/>
        </w:rPr>
        <w:t>施工总承包叁级（含叁级）以上资质，</w:t>
      </w:r>
      <w:r>
        <w:rPr>
          <w:rFonts w:hint="eastAsia" w:ascii="宋体" w:hAnsi="宋体" w:eastAsia="宋体" w:cs="宋体"/>
          <w:color w:val="auto"/>
          <w:szCs w:val="21"/>
          <w:lang w:val="en-US" w:eastAsia="zh-CN"/>
        </w:rPr>
        <w:t>且</w:t>
      </w:r>
      <w:r>
        <w:rPr>
          <w:rFonts w:hint="eastAsia" w:ascii="宋体" w:hAnsi="宋体" w:eastAsia="宋体" w:cs="宋体"/>
          <w:color w:val="auto"/>
          <w:szCs w:val="21"/>
        </w:rPr>
        <w:t>在人员、设备、资金等方面具有相应的施工能力。供应商拟派项目经理须具备公路工程专业贰级（含贰级）</w:t>
      </w:r>
      <w:r>
        <w:rPr>
          <w:rFonts w:hint="eastAsia" w:ascii="宋体" w:hAnsi="宋体" w:eastAsia="宋体" w:cs="宋体"/>
          <w:color w:val="auto"/>
          <w:szCs w:val="21"/>
          <w:lang w:val="en-US" w:eastAsia="zh-CN"/>
        </w:rPr>
        <w:t>或</w:t>
      </w:r>
      <w:r>
        <w:rPr>
          <w:rFonts w:hint="eastAsia" w:ascii="宋体" w:hAnsi="宋体" w:eastAsia="宋体" w:cs="宋体"/>
          <w:color w:val="auto"/>
          <w:szCs w:val="21"/>
        </w:rPr>
        <w:t>市政公用工程专业贰级（含贰级）以上注册建造师资格，具备有效的安全生产考核合格证书（B 类），且为本单位员工。</w:t>
      </w:r>
    </w:p>
    <w:p w14:paraId="3327DAE4">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4.单位负责人为同一人或者存在直接控股、管理关系的不同供应商，不得参加同一合同项下的政府采 购活动。为本项目提供过整体设计、规范编制或者项目管理、监理、检测等服务的供应商，不得再参加本项目上述服务以外的其他采购活动。</w:t>
      </w:r>
    </w:p>
    <w:p w14:paraId="74A01224">
      <w:pPr>
        <w:spacing w:line="360" w:lineRule="auto"/>
        <w:ind w:firstLine="420" w:firstLineChars="200"/>
        <w:rPr>
          <w:rFonts w:hint="eastAsia" w:ascii="宋体" w:hAnsi="宋体" w:eastAsia="宋体" w:cs="宋体"/>
          <w:color w:val="auto"/>
          <w:szCs w:val="21"/>
          <w:lang w:val="en-US" w:eastAsia="zh-CN"/>
        </w:rPr>
      </w:pPr>
      <w:r>
        <w:rPr>
          <w:rFonts w:hint="eastAsia" w:ascii="宋体" w:hAnsi="宋体" w:eastAsia="宋体" w:cs="宋体"/>
          <w:color w:val="auto"/>
          <w:szCs w:val="21"/>
        </w:rPr>
        <w:t>5.对在“信用中国”网站(www.creditchina.gov.cn) 、中国政府采购网(www.ccgp.gov.cn)被列入失信被执行人、重大税收违法案件当事人名单、政府采购严重违法失信行为记录名单及其他不符合《中华人民 共和国政府采购法》第二十二条规定条件的供应商，不得参与政府采购活动。</w:t>
      </w:r>
    </w:p>
    <w:p w14:paraId="30A34CC0">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三、</w:t>
      </w:r>
      <w:bookmarkEnd w:id="17"/>
      <w:bookmarkEnd w:id="18"/>
      <w:bookmarkEnd w:id="19"/>
      <w:bookmarkEnd w:id="20"/>
      <w:bookmarkEnd w:id="21"/>
      <w:bookmarkEnd w:id="22"/>
      <w:r>
        <w:rPr>
          <w:rFonts w:hint="eastAsia" w:ascii="宋体" w:hAnsi="宋体" w:eastAsia="宋体" w:cs="宋体"/>
          <w:color w:val="auto"/>
          <w:szCs w:val="21"/>
          <w:lang w:val="en-US" w:eastAsia="zh-CN"/>
        </w:rPr>
        <w:t>获取采购文件</w:t>
      </w:r>
    </w:p>
    <w:p w14:paraId="12E98F40">
      <w:pPr>
        <w:spacing w:line="360" w:lineRule="auto"/>
        <w:ind w:firstLine="420" w:firstLineChars="200"/>
        <w:rPr>
          <w:rFonts w:ascii="宋体" w:hAnsi="宋体" w:cs="宋体"/>
          <w:bCs/>
          <w:color w:val="auto"/>
          <w:kern w:val="0"/>
          <w:szCs w:val="21"/>
          <w:highlight w:val="none"/>
        </w:rPr>
      </w:pPr>
      <w:bookmarkStart w:id="23" w:name="_Toc28359015"/>
      <w:bookmarkStart w:id="24" w:name="_Toc28359092"/>
      <w:bookmarkStart w:id="25" w:name="_Toc35393632"/>
      <w:bookmarkStart w:id="26" w:name="_Toc35393801"/>
      <w:bookmarkStart w:id="27" w:name="_Toc44229881"/>
      <w:r>
        <w:rPr>
          <w:rFonts w:hint="eastAsia" w:ascii="宋体" w:hAnsi="宋体" w:cs="宋体"/>
          <w:bCs/>
          <w:color w:val="auto"/>
          <w:kern w:val="0"/>
          <w:szCs w:val="21"/>
          <w:highlight w:val="none"/>
        </w:rPr>
        <w:t>时间</w:t>
      </w:r>
      <w:r>
        <w:rPr>
          <w:rFonts w:hint="eastAsia" w:ascii="宋体" w:hAnsi="宋体" w:cs="宋体"/>
          <w:bCs/>
          <w:color w:val="auto"/>
          <w:kern w:val="0"/>
          <w:szCs w:val="21"/>
          <w:highlight w:val="none"/>
        </w:rPr>
        <w:t>：</w:t>
      </w:r>
      <w:r>
        <w:rPr>
          <w:rFonts w:ascii="宋体" w:hAnsi="宋体"/>
          <w:bCs/>
          <w:color w:val="auto"/>
          <w:szCs w:val="21"/>
          <w:highlight w:val="none"/>
          <w:u w:val="single"/>
        </w:rPr>
        <w:t>202</w:t>
      </w:r>
      <w:r>
        <w:rPr>
          <w:rFonts w:hint="eastAsia" w:ascii="宋体" w:hAnsi="宋体"/>
          <w:bCs/>
          <w:color w:val="auto"/>
          <w:szCs w:val="21"/>
          <w:highlight w:val="none"/>
          <w:u w:val="single"/>
          <w:lang w:val="en-US" w:eastAsia="zh-CN"/>
        </w:rPr>
        <w:t>5</w:t>
      </w:r>
      <w:r>
        <w:rPr>
          <w:rFonts w:hint="eastAsia" w:ascii="宋体" w:hAnsi="宋体"/>
          <w:bCs/>
          <w:color w:val="auto"/>
          <w:szCs w:val="21"/>
          <w:highlight w:val="none"/>
        </w:rPr>
        <w:t>年</w:t>
      </w:r>
      <w:r>
        <w:rPr>
          <w:rFonts w:hint="eastAsia" w:ascii="宋体" w:hAnsi="宋体"/>
          <w:bCs/>
          <w:color w:val="auto"/>
          <w:szCs w:val="21"/>
          <w:highlight w:val="none"/>
          <w:u w:val="single"/>
          <w:lang w:val="en-US" w:eastAsia="zh-CN"/>
        </w:rPr>
        <w:t xml:space="preserve"> 7 </w:t>
      </w:r>
      <w:r>
        <w:rPr>
          <w:rFonts w:hint="eastAsia" w:ascii="宋体" w:hAnsi="宋体"/>
          <w:bCs/>
          <w:color w:val="auto"/>
          <w:szCs w:val="21"/>
          <w:highlight w:val="none"/>
        </w:rPr>
        <w:t>月</w:t>
      </w:r>
      <w:r>
        <w:rPr>
          <w:rFonts w:hint="eastAsia" w:ascii="宋体" w:hAnsi="宋体"/>
          <w:bCs/>
          <w:color w:val="auto"/>
          <w:szCs w:val="21"/>
          <w:highlight w:val="none"/>
          <w:u w:val="single"/>
          <w:lang w:val="en-US" w:eastAsia="zh-CN"/>
        </w:rPr>
        <w:t xml:space="preserve"> 4 </w:t>
      </w:r>
      <w:r>
        <w:rPr>
          <w:rFonts w:hint="eastAsia" w:ascii="宋体" w:hAnsi="宋体"/>
          <w:bCs/>
          <w:color w:val="auto"/>
          <w:szCs w:val="21"/>
          <w:highlight w:val="none"/>
        </w:rPr>
        <w:t>日</w:t>
      </w:r>
      <w:r>
        <w:rPr>
          <w:rFonts w:hint="eastAsia" w:ascii="宋体" w:hAnsi="宋体" w:cs="宋体"/>
          <w:bCs/>
          <w:color w:val="auto"/>
          <w:kern w:val="0"/>
          <w:szCs w:val="21"/>
          <w:highlight w:val="none"/>
        </w:rPr>
        <w:t>至</w:t>
      </w:r>
      <w:r>
        <w:rPr>
          <w:rFonts w:ascii="宋体" w:hAnsi="宋体"/>
          <w:bCs/>
          <w:color w:val="auto"/>
          <w:szCs w:val="21"/>
          <w:highlight w:val="none"/>
          <w:u w:val="single"/>
        </w:rPr>
        <w:t>202</w:t>
      </w:r>
      <w:r>
        <w:rPr>
          <w:rFonts w:hint="eastAsia" w:ascii="宋体" w:hAnsi="宋体"/>
          <w:bCs/>
          <w:color w:val="auto"/>
          <w:szCs w:val="21"/>
          <w:highlight w:val="none"/>
          <w:u w:val="single"/>
          <w:lang w:val="en-US" w:eastAsia="zh-CN"/>
        </w:rPr>
        <w:t>5</w:t>
      </w:r>
      <w:r>
        <w:rPr>
          <w:rFonts w:hint="eastAsia" w:ascii="宋体" w:hAnsi="宋体"/>
          <w:bCs/>
          <w:color w:val="auto"/>
          <w:szCs w:val="21"/>
          <w:highlight w:val="none"/>
        </w:rPr>
        <w:t>年</w:t>
      </w:r>
      <w:r>
        <w:rPr>
          <w:rFonts w:hint="eastAsia" w:ascii="宋体" w:hAnsi="宋体"/>
          <w:bCs/>
          <w:color w:val="auto"/>
          <w:szCs w:val="21"/>
          <w:highlight w:val="none"/>
          <w:u w:val="single"/>
          <w:lang w:val="en-US" w:eastAsia="zh-CN"/>
        </w:rPr>
        <w:t xml:space="preserve"> 7 </w:t>
      </w:r>
      <w:r>
        <w:rPr>
          <w:rFonts w:hint="eastAsia" w:ascii="宋体" w:hAnsi="宋体"/>
          <w:bCs/>
          <w:color w:val="auto"/>
          <w:szCs w:val="21"/>
          <w:highlight w:val="none"/>
        </w:rPr>
        <w:t>月</w:t>
      </w:r>
      <w:r>
        <w:rPr>
          <w:rFonts w:hint="eastAsia" w:ascii="宋体" w:hAnsi="宋体"/>
          <w:bCs/>
          <w:color w:val="auto"/>
          <w:szCs w:val="21"/>
          <w:highlight w:val="none"/>
          <w:u w:val="single"/>
          <w:lang w:val="en-US" w:eastAsia="zh-CN"/>
        </w:rPr>
        <w:t xml:space="preserve"> 11 </w:t>
      </w:r>
      <w:r>
        <w:rPr>
          <w:rFonts w:hint="eastAsia" w:ascii="宋体" w:hAnsi="宋体"/>
          <w:bCs/>
          <w:color w:val="auto"/>
          <w:szCs w:val="21"/>
          <w:highlight w:val="none"/>
        </w:rPr>
        <w:t>日</w:t>
      </w:r>
      <w:r>
        <w:rPr>
          <w:rFonts w:hint="eastAsia" w:ascii="宋体" w:hAnsi="宋体" w:cs="宋体"/>
          <w:bCs/>
          <w:color w:val="auto"/>
          <w:kern w:val="0"/>
          <w:szCs w:val="21"/>
          <w:highlight w:val="none"/>
        </w:rPr>
        <w:t>，每天上午</w:t>
      </w:r>
      <w:r>
        <w:rPr>
          <w:rFonts w:ascii="宋体" w:hAnsi="宋体" w:cs="宋体"/>
          <w:bCs/>
          <w:color w:val="auto"/>
          <w:kern w:val="0"/>
          <w:szCs w:val="21"/>
          <w:highlight w:val="none"/>
          <w:u w:val="single"/>
        </w:rPr>
        <w:t>0</w:t>
      </w:r>
      <w:r>
        <w:rPr>
          <w:rFonts w:hint="eastAsia" w:ascii="宋体" w:hAnsi="宋体" w:cs="宋体"/>
          <w:bCs/>
          <w:color w:val="auto"/>
          <w:kern w:val="0"/>
          <w:szCs w:val="21"/>
          <w:highlight w:val="none"/>
          <w:u w:val="single"/>
        </w:rPr>
        <w:t>时00分</w:t>
      </w:r>
      <w:r>
        <w:rPr>
          <w:rFonts w:hint="eastAsia" w:ascii="宋体" w:hAnsi="宋体" w:cs="宋体"/>
          <w:bCs/>
          <w:color w:val="auto"/>
          <w:kern w:val="0"/>
          <w:szCs w:val="21"/>
          <w:highlight w:val="none"/>
        </w:rPr>
        <w:t>至</w:t>
      </w:r>
      <w:r>
        <w:rPr>
          <w:rFonts w:hint="eastAsia" w:ascii="宋体" w:hAnsi="宋体" w:cs="宋体"/>
          <w:bCs/>
          <w:color w:val="auto"/>
          <w:kern w:val="0"/>
          <w:szCs w:val="21"/>
          <w:highlight w:val="none"/>
          <w:u w:val="single"/>
        </w:rPr>
        <w:t>1</w:t>
      </w:r>
      <w:r>
        <w:rPr>
          <w:rFonts w:ascii="宋体" w:hAnsi="宋体" w:cs="宋体"/>
          <w:bCs/>
          <w:color w:val="auto"/>
          <w:kern w:val="0"/>
          <w:szCs w:val="21"/>
          <w:highlight w:val="none"/>
          <w:u w:val="single"/>
        </w:rPr>
        <w:t>2</w:t>
      </w:r>
      <w:r>
        <w:rPr>
          <w:rFonts w:hint="eastAsia" w:ascii="宋体" w:hAnsi="宋体" w:cs="宋体"/>
          <w:bCs/>
          <w:color w:val="auto"/>
          <w:kern w:val="0"/>
          <w:szCs w:val="21"/>
          <w:highlight w:val="none"/>
          <w:u w:val="single"/>
        </w:rPr>
        <w:t>时00分</w:t>
      </w:r>
      <w:r>
        <w:rPr>
          <w:rFonts w:hint="eastAsia" w:ascii="宋体" w:hAnsi="宋体" w:cs="宋体"/>
          <w:bCs/>
          <w:color w:val="auto"/>
          <w:kern w:val="0"/>
          <w:szCs w:val="21"/>
          <w:highlight w:val="none"/>
        </w:rPr>
        <w:t>，下午</w:t>
      </w:r>
      <w:r>
        <w:rPr>
          <w:rFonts w:ascii="宋体" w:hAnsi="宋体" w:cs="宋体"/>
          <w:bCs/>
          <w:color w:val="auto"/>
          <w:kern w:val="0"/>
          <w:szCs w:val="21"/>
          <w:highlight w:val="none"/>
          <w:u w:val="single"/>
        </w:rPr>
        <w:t>12</w:t>
      </w:r>
      <w:r>
        <w:rPr>
          <w:rFonts w:hint="eastAsia" w:ascii="宋体" w:hAnsi="宋体" w:cs="宋体"/>
          <w:bCs/>
          <w:color w:val="auto"/>
          <w:kern w:val="0"/>
          <w:szCs w:val="21"/>
          <w:highlight w:val="none"/>
          <w:u w:val="single"/>
        </w:rPr>
        <w:t>时00分</w:t>
      </w:r>
      <w:r>
        <w:rPr>
          <w:rFonts w:hint="eastAsia" w:ascii="宋体" w:hAnsi="宋体" w:cs="宋体"/>
          <w:bCs/>
          <w:color w:val="auto"/>
          <w:kern w:val="0"/>
          <w:szCs w:val="21"/>
          <w:highlight w:val="none"/>
        </w:rPr>
        <w:t>至</w:t>
      </w:r>
      <w:r>
        <w:rPr>
          <w:rFonts w:hint="eastAsia" w:ascii="宋体" w:hAnsi="宋体" w:cs="宋体"/>
          <w:bCs/>
          <w:color w:val="auto"/>
          <w:kern w:val="0"/>
          <w:szCs w:val="21"/>
          <w:highlight w:val="none"/>
          <w:u w:val="single"/>
        </w:rPr>
        <w:t>2</w:t>
      </w:r>
      <w:r>
        <w:rPr>
          <w:rFonts w:ascii="宋体" w:hAnsi="宋体" w:cs="宋体"/>
          <w:bCs/>
          <w:color w:val="auto"/>
          <w:kern w:val="0"/>
          <w:szCs w:val="21"/>
          <w:highlight w:val="none"/>
          <w:u w:val="single"/>
        </w:rPr>
        <w:t>3</w:t>
      </w:r>
      <w:r>
        <w:rPr>
          <w:rFonts w:hint="eastAsia" w:ascii="宋体" w:hAnsi="宋体" w:cs="宋体"/>
          <w:bCs/>
          <w:color w:val="auto"/>
          <w:kern w:val="0"/>
          <w:szCs w:val="21"/>
          <w:highlight w:val="none"/>
          <w:u w:val="single"/>
        </w:rPr>
        <w:t>时59分</w:t>
      </w:r>
      <w:r>
        <w:rPr>
          <w:rFonts w:hint="eastAsia" w:ascii="宋体" w:hAnsi="宋体" w:cs="宋体"/>
          <w:bCs/>
          <w:color w:val="auto"/>
          <w:kern w:val="0"/>
          <w:szCs w:val="21"/>
          <w:highlight w:val="none"/>
        </w:rPr>
        <w:t>（北京时间，</w:t>
      </w:r>
      <w:r>
        <w:rPr>
          <w:rFonts w:ascii="宋体" w:hAnsi="宋体" w:cs="宋体"/>
          <w:bCs/>
          <w:color w:val="auto"/>
          <w:kern w:val="0"/>
          <w:szCs w:val="21"/>
          <w:highlight w:val="none"/>
        </w:rPr>
        <w:t>法定节假日</w:t>
      </w:r>
      <w:r>
        <w:rPr>
          <w:rFonts w:hint="eastAsia" w:ascii="宋体" w:hAnsi="宋体" w:cs="宋体"/>
          <w:bCs/>
          <w:color w:val="auto"/>
          <w:kern w:val="0"/>
          <w:szCs w:val="21"/>
          <w:highlight w:val="none"/>
        </w:rPr>
        <w:t>除外）</w:t>
      </w:r>
    </w:p>
    <w:p w14:paraId="0734458B">
      <w:pPr>
        <w:spacing w:line="360" w:lineRule="auto"/>
        <w:ind w:firstLine="420" w:firstLineChars="200"/>
        <w:rPr>
          <w:rFonts w:ascii="宋体" w:hAnsi="宋体" w:cs="宋体"/>
          <w:bCs/>
          <w:color w:val="auto"/>
          <w:kern w:val="0"/>
          <w:szCs w:val="21"/>
          <w:highlight w:val="none"/>
        </w:rPr>
      </w:pPr>
      <w:r>
        <w:rPr>
          <w:rFonts w:hint="eastAsia" w:ascii="宋体" w:hAnsi="宋体" w:cs="宋体"/>
          <w:bCs/>
          <w:color w:val="auto"/>
          <w:kern w:val="0"/>
          <w:szCs w:val="21"/>
          <w:highlight w:val="none"/>
        </w:rPr>
        <w:t xml:space="preserve">地点：广西政府采购云平台（https://www.gcy.zfcg.gxzf.gov.cn/）  </w:t>
      </w:r>
    </w:p>
    <w:p w14:paraId="2142E0A1">
      <w:pPr>
        <w:spacing w:line="360" w:lineRule="auto"/>
        <w:ind w:firstLine="420" w:firstLineChars="200"/>
        <w:rPr>
          <w:rFonts w:ascii="宋体" w:hAnsi="宋体" w:cs="宋体"/>
          <w:bCs/>
          <w:color w:val="auto"/>
          <w:kern w:val="0"/>
          <w:szCs w:val="21"/>
          <w:highlight w:val="none"/>
        </w:rPr>
      </w:pPr>
      <w:r>
        <w:rPr>
          <w:rFonts w:hint="eastAsia" w:ascii="宋体" w:hAnsi="宋体" w:eastAsia="宋体" w:cs="宋体"/>
          <w:bCs/>
          <w:color w:val="auto"/>
          <w:kern w:val="0"/>
          <w:szCs w:val="21"/>
          <w:highlight w:val="none"/>
        </w:rPr>
        <w:t>方式</w:t>
      </w:r>
      <w:r>
        <w:rPr>
          <w:rFonts w:hint="eastAsia" w:ascii="宋体" w:hAnsi="宋体" w:eastAsia="宋体" w:cs="宋体"/>
          <w:bCs/>
          <w:color w:val="auto"/>
          <w:kern w:val="0"/>
          <w:szCs w:val="21"/>
          <w:highlight w:val="none"/>
          <w:lang w:eastAsia="zh-CN"/>
        </w:rPr>
        <w:t>：</w:t>
      </w:r>
      <w:r>
        <w:rPr>
          <w:rFonts w:hint="eastAsia" w:ascii="宋体" w:hAnsi="宋体" w:eastAsia="宋体" w:cs="宋体"/>
          <w:bCs/>
          <w:color w:val="auto"/>
          <w:kern w:val="0"/>
          <w:szCs w:val="21"/>
          <w:highlight w:val="none"/>
        </w:rPr>
        <w:t>供应商登录广西政府采</w:t>
      </w:r>
      <w:r>
        <w:rPr>
          <w:rFonts w:hint="eastAsia" w:ascii="宋体" w:hAnsi="宋体" w:cs="宋体"/>
          <w:bCs/>
          <w:color w:val="auto"/>
          <w:kern w:val="0"/>
          <w:szCs w:val="21"/>
          <w:highlight w:val="none"/>
        </w:rPr>
        <w:t>购云平台https://www.gcy.zfcg.gxzf.gov.cn/在线申请获取采购文件（进入“项目采购”应用，在获取采购文件菜单中选择项目，申请获取采购文件）</w:t>
      </w:r>
    </w:p>
    <w:p w14:paraId="60BE475F">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cs="宋体"/>
          <w:bCs/>
          <w:color w:val="auto"/>
          <w:kern w:val="0"/>
          <w:szCs w:val="21"/>
          <w:highlight w:val="none"/>
        </w:rPr>
        <w:t>售价</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lang w:val="en-US" w:eastAsia="zh-CN"/>
        </w:rPr>
        <w:t>元）</w:t>
      </w:r>
      <w:r>
        <w:rPr>
          <w:rFonts w:hint="eastAsia" w:ascii="宋体" w:hAnsi="宋体" w:cs="宋体"/>
          <w:bCs/>
          <w:color w:val="auto"/>
          <w:kern w:val="0"/>
          <w:szCs w:val="21"/>
          <w:highlight w:val="none"/>
        </w:rPr>
        <w:t>：</w:t>
      </w:r>
      <w:r>
        <w:rPr>
          <w:rFonts w:hint="eastAsia" w:ascii="宋体" w:hAnsi="宋体" w:cs="宋体"/>
          <w:color w:val="auto"/>
          <w:szCs w:val="21"/>
          <w:highlight w:val="none"/>
          <w:u w:val="none"/>
        </w:rPr>
        <w:t>0</w:t>
      </w:r>
      <w:r>
        <w:rPr>
          <w:rFonts w:hint="eastAsia" w:ascii="宋体" w:hAnsi="宋体" w:cs="宋体"/>
          <w:color w:val="auto"/>
          <w:szCs w:val="21"/>
          <w:highlight w:val="none"/>
          <w:u w:val="none"/>
          <w:lang w:val="en-US" w:eastAsia="zh-CN"/>
        </w:rPr>
        <w:t>元</w:t>
      </w:r>
    </w:p>
    <w:p w14:paraId="27BDA522">
      <w:pPr>
        <w:spacing w:line="360" w:lineRule="auto"/>
        <w:ind w:firstLine="354" w:firstLineChars="147"/>
        <w:rPr>
          <w:rFonts w:ascii="黑体" w:hAnsi="黑体" w:eastAsia="黑体"/>
          <w:b/>
          <w:color w:val="auto"/>
          <w:sz w:val="24"/>
          <w:highlight w:val="none"/>
        </w:rPr>
      </w:pPr>
      <w:bookmarkStart w:id="28" w:name="_Toc71365908"/>
      <w:r>
        <w:rPr>
          <w:rFonts w:hint="eastAsia" w:ascii="黑体" w:hAnsi="黑体" w:eastAsia="黑体"/>
          <w:b/>
          <w:color w:val="auto"/>
          <w:sz w:val="24"/>
          <w:highlight w:val="none"/>
        </w:rPr>
        <w:t>四、响应文件提交</w:t>
      </w:r>
      <w:bookmarkEnd w:id="23"/>
      <w:bookmarkEnd w:id="24"/>
      <w:bookmarkEnd w:id="25"/>
      <w:bookmarkEnd w:id="26"/>
      <w:bookmarkEnd w:id="27"/>
      <w:bookmarkEnd w:id="28"/>
    </w:p>
    <w:p w14:paraId="455D877C">
      <w:pPr>
        <w:spacing w:line="360" w:lineRule="auto"/>
        <w:ind w:firstLine="420" w:firstLineChars="200"/>
        <w:rPr>
          <w:rFonts w:ascii="宋体" w:hAnsi="宋体"/>
          <w:bCs/>
          <w:color w:val="auto"/>
          <w:szCs w:val="21"/>
          <w:highlight w:val="none"/>
        </w:rPr>
      </w:pPr>
      <w:bookmarkStart w:id="29" w:name="_Toc35393633"/>
      <w:bookmarkStart w:id="30" w:name="_Toc44229882"/>
      <w:bookmarkStart w:id="31" w:name="_Toc35393802"/>
      <w:bookmarkStart w:id="32" w:name="_Toc28359093"/>
      <w:bookmarkStart w:id="33" w:name="_Toc28359016"/>
      <w:r>
        <w:rPr>
          <w:rFonts w:hint="eastAsia" w:ascii="宋体" w:hAnsi="宋体"/>
          <w:color w:val="auto"/>
          <w:szCs w:val="21"/>
          <w:highlight w:val="none"/>
        </w:rPr>
        <w:t>截止时间：</w:t>
      </w:r>
      <w:r>
        <w:rPr>
          <w:rFonts w:ascii="宋体" w:hAnsi="宋体"/>
          <w:bCs/>
          <w:color w:val="auto"/>
          <w:szCs w:val="21"/>
          <w:highlight w:val="none"/>
          <w:u w:val="single"/>
        </w:rPr>
        <w:t>202</w:t>
      </w:r>
      <w:r>
        <w:rPr>
          <w:rFonts w:hint="eastAsia" w:ascii="宋体" w:hAnsi="宋体"/>
          <w:bCs/>
          <w:color w:val="auto"/>
          <w:szCs w:val="21"/>
          <w:highlight w:val="none"/>
          <w:u w:val="single"/>
          <w:lang w:val="en-US" w:eastAsia="zh-CN"/>
        </w:rPr>
        <w:t>5</w:t>
      </w:r>
      <w:r>
        <w:rPr>
          <w:rFonts w:hint="eastAsia" w:ascii="宋体" w:hAnsi="宋体"/>
          <w:bCs/>
          <w:color w:val="auto"/>
          <w:szCs w:val="21"/>
          <w:highlight w:val="none"/>
        </w:rPr>
        <w:t>年</w:t>
      </w:r>
      <w:r>
        <w:rPr>
          <w:rFonts w:hint="eastAsia" w:ascii="宋体" w:hAnsi="宋体"/>
          <w:bCs/>
          <w:color w:val="auto"/>
          <w:szCs w:val="21"/>
          <w:highlight w:val="none"/>
          <w:u w:val="single"/>
          <w:lang w:val="en-US" w:eastAsia="zh-CN"/>
        </w:rPr>
        <w:t xml:space="preserve"> 7 </w:t>
      </w:r>
      <w:r>
        <w:rPr>
          <w:rFonts w:hint="eastAsia" w:ascii="宋体" w:hAnsi="宋体"/>
          <w:bCs/>
          <w:color w:val="auto"/>
          <w:szCs w:val="21"/>
          <w:highlight w:val="none"/>
        </w:rPr>
        <w:t>月</w:t>
      </w:r>
      <w:r>
        <w:rPr>
          <w:rFonts w:hint="eastAsia" w:ascii="宋体" w:hAnsi="宋体"/>
          <w:bCs/>
          <w:color w:val="auto"/>
          <w:szCs w:val="21"/>
          <w:highlight w:val="none"/>
          <w:u w:val="single"/>
          <w:lang w:val="en-US" w:eastAsia="zh-CN"/>
        </w:rPr>
        <w:t xml:space="preserve"> 16 </w:t>
      </w:r>
      <w:r>
        <w:rPr>
          <w:rFonts w:hint="eastAsia" w:ascii="宋体" w:hAnsi="宋体"/>
          <w:bCs/>
          <w:color w:val="auto"/>
          <w:szCs w:val="21"/>
          <w:highlight w:val="none"/>
        </w:rPr>
        <w:t>日</w:t>
      </w:r>
      <w:r>
        <w:rPr>
          <w:rFonts w:hint="eastAsia" w:ascii="宋体" w:hAnsi="宋体"/>
          <w:bCs/>
          <w:color w:val="auto"/>
          <w:szCs w:val="21"/>
          <w:highlight w:val="none"/>
          <w:u w:val="single"/>
          <w:lang w:val="en-US" w:eastAsia="zh-CN"/>
        </w:rPr>
        <w:t xml:space="preserve"> 9 </w:t>
      </w:r>
      <w:r>
        <w:rPr>
          <w:rFonts w:hint="eastAsia" w:ascii="宋体" w:hAnsi="宋体"/>
          <w:bCs/>
          <w:color w:val="auto"/>
          <w:szCs w:val="21"/>
          <w:highlight w:val="none"/>
        </w:rPr>
        <w:t>时</w:t>
      </w:r>
      <w:r>
        <w:rPr>
          <w:rFonts w:hint="eastAsia" w:ascii="宋体" w:hAnsi="宋体"/>
          <w:bCs/>
          <w:color w:val="auto"/>
          <w:szCs w:val="21"/>
          <w:highlight w:val="none"/>
          <w:u w:val="single"/>
          <w:lang w:val="en-US" w:eastAsia="zh-CN"/>
        </w:rPr>
        <w:t xml:space="preserve"> 30 </w:t>
      </w:r>
      <w:r>
        <w:rPr>
          <w:rFonts w:hint="eastAsia" w:ascii="宋体" w:hAnsi="宋体"/>
          <w:bCs/>
          <w:color w:val="auto"/>
          <w:szCs w:val="21"/>
          <w:highlight w:val="none"/>
        </w:rPr>
        <w:t>分</w:t>
      </w:r>
      <w:r>
        <w:rPr>
          <w:rFonts w:hint="eastAsia" w:ascii="宋体" w:hAnsi="宋体"/>
          <w:bCs/>
          <w:color w:val="auto"/>
          <w:szCs w:val="21"/>
          <w:highlight w:val="none"/>
        </w:rPr>
        <w:t>（北京时间）</w:t>
      </w:r>
    </w:p>
    <w:p w14:paraId="5F7516D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地点</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网址）</w:t>
      </w:r>
      <w:r>
        <w:rPr>
          <w:rFonts w:hint="eastAsia" w:ascii="宋体" w:hAnsi="宋体"/>
          <w:color w:val="auto"/>
          <w:szCs w:val="21"/>
          <w:highlight w:val="none"/>
        </w:rPr>
        <w:t>：</w:t>
      </w:r>
      <w:r>
        <w:rPr>
          <w:rFonts w:hint="eastAsia" w:ascii="宋体" w:hAnsi="宋体" w:eastAsia="宋体" w:cs="Times New Roman"/>
          <w:color w:val="auto"/>
          <w:szCs w:val="21"/>
          <w:highlight w:val="none"/>
        </w:rPr>
        <w:t xml:space="preserve">请登录广西政府采购云平台投标客户端投标 </w:t>
      </w:r>
    </w:p>
    <w:p w14:paraId="4BD27497">
      <w:pPr>
        <w:spacing w:line="360" w:lineRule="auto"/>
        <w:ind w:firstLine="354" w:firstLineChars="147"/>
        <w:rPr>
          <w:rFonts w:ascii="黑体" w:hAnsi="黑体" w:eastAsia="黑体"/>
          <w:b/>
          <w:color w:val="auto"/>
          <w:sz w:val="24"/>
          <w:highlight w:val="none"/>
        </w:rPr>
      </w:pPr>
      <w:bookmarkStart w:id="34" w:name="_Toc71365909"/>
      <w:r>
        <w:rPr>
          <w:rFonts w:hint="eastAsia" w:ascii="黑体" w:hAnsi="黑体" w:eastAsia="黑体"/>
          <w:b/>
          <w:color w:val="auto"/>
          <w:sz w:val="24"/>
          <w:highlight w:val="none"/>
        </w:rPr>
        <w:t>五、</w:t>
      </w:r>
      <w:r>
        <w:rPr>
          <w:rFonts w:hint="eastAsia" w:ascii="黑体" w:hAnsi="黑体" w:eastAsia="黑体"/>
          <w:b/>
          <w:color w:val="auto"/>
          <w:sz w:val="24"/>
          <w:highlight w:val="none"/>
          <w:lang w:val="en-US" w:eastAsia="zh-CN"/>
        </w:rPr>
        <w:t>响应文件</w:t>
      </w:r>
      <w:r>
        <w:rPr>
          <w:rFonts w:hint="eastAsia" w:ascii="黑体" w:hAnsi="黑体" w:eastAsia="黑体"/>
          <w:b/>
          <w:color w:val="auto"/>
          <w:sz w:val="24"/>
          <w:highlight w:val="none"/>
        </w:rPr>
        <w:t>开启</w:t>
      </w:r>
      <w:bookmarkEnd w:id="29"/>
      <w:bookmarkEnd w:id="30"/>
      <w:bookmarkEnd w:id="31"/>
      <w:bookmarkEnd w:id="32"/>
      <w:bookmarkEnd w:id="33"/>
      <w:bookmarkEnd w:id="34"/>
    </w:p>
    <w:p w14:paraId="6E53A67C">
      <w:pPr>
        <w:spacing w:line="360" w:lineRule="auto"/>
        <w:ind w:firstLine="420" w:firstLineChars="200"/>
        <w:rPr>
          <w:rFonts w:ascii="宋体" w:hAnsi="宋体"/>
          <w:bCs/>
          <w:color w:val="auto"/>
          <w:szCs w:val="21"/>
          <w:highlight w:val="none"/>
          <w:u w:val="single"/>
        </w:rPr>
      </w:pPr>
      <w:r>
        <w:rPr>
          <w:rFonts w:hint="eastAsia" w:ascii="宋体" w:hAnsi="宋体"/>
          <w:color w:val="auto"/>
          <w:szCs w:val="21"/>
          <w:highlight w:val="none"/>
          <w:lang w:val="en-US" w:eastAsia="zh-CN"/>
        </w:rPr>
        <w:t>开启</w:t>
      </w:r>
      <w:r>
        <w:rPr>
          <w:rFonts w:hint="eastAsia" w:ascii="宋体" w:hAnsi="宋体"/>
          <w:color w:val="auto"/>
          <w:szCs w:val="21"/>
          <w:highlight w:val="none"/>
        </w:rPr>
        <w:t>时间：</w:t>
      </w:r>
      <w:r>
        <w:rPr>
          <w:rFonts w:ascii="宋体" w:hAnsi="宋体"/>
          <w:bCs/>
          <w:color w:val="auto"/>
          <w:szCs w:val="21"/>
          <w:highlight w:val="none"/>
          <w:u w:val="single"/>
        </w:rPr>
        <w:t>202</w:t>
      </w:r>
      <w:r>
        <w:rPr>
          <w:rFonts w:hint="eastAsia" w:ascii="宋体" w:hAnsi="宋体"/>
          <w:bCs/>
          <w:color w:val="auto"/>
          <w:szCs w:val="21"/>
          <w:highlight w:val="none"/>
          <w:u w:val="single"/>
          <w:lang w:val="en-US" w:eastAsia="zh-CN"/>
        </w:rPr>
        <w:t>5</w:t>
      </w:r>
      <w:r>
        <w:rPr>
          <w:rFonts w:hint="eastAsia" w:ascii="宋体" w:hAnsi="宋体"/>
          <w:bCs/>
          <w:color w:val="auto"/>
          <w:szCs w:val="21"/>
          <w:highlight w:val="none"/>
        </w:rPr>
        <w:t>年</w:t>
      </w:r>
      <w:r>
        <w:rPr>
          <w:rFonts w:hint="eastAsia" w:ascii="宋体" w:hAnsi="宋体"/>
          <w:bCs/>
          <w:color w:val="auto"/>
          <w:szCs w:val="21"/>
          <w:highlight w:val="none"/>
          <w:u w:val="single"/>
          <w:lang w:val="en-US" w:eastAsia="zh-CN"/>
        </w:rPr>
        <w:t xml:space="preserve"> 7 </w:t>
      </w:r>
      <w:r>
        <w:rPr>
          <w:rFonts w:hint="eastAsia" w:ascii="宋体" w:hAnsi="宋体"/>
          <w:bCs/>
          <w:color w:val="auto"/>
          <w:szCs w:val="21"/>
          <w:highlight w:val="none"/>
        </w:rPr>
        <w:t>月</w:t>
      </w:r>
      <w:r>
        <w:rPr>
          <w:rFonts w:hint="eastAsia" w:ascii="宋体" w:hAnsi="宋体"/>
          <w:bCs/>
          <w:color w:val="auto"/>
          <w:szCs w:val="21"/>
          <w:highlight w:val="none"/>
          <w:u w:val="single"/>
          <w:lang w:val="en-US" w:eastAsia="zh-CN"/>
        </w:rPr>
        <w:t xml:space="preserve"> 16 </w:t>
      </w:r>
      <w:r>
        <w:rPr>
          <w:rFonts w:hint="eastAsia" w:ascii="宋体" w:hAnsi="宋体"/>
          <w:bCs/>
          <w:color w:val="auto"/>
          <w:szCs w:val="21"/>
          <w:highlight w:val="none"/>
        </w:rPr>
        <w:t>日</w:t>
      </w:r>
      <w:r>
        <w:rPr>
          <w:rFonts w:hint="eastAsia" w:ascii="宋体" w:hAnsi="宋体"/>
          <w:bCs/>
          <w:color w:val="auto"/>
          <w:szCs w:val="21"/>
          <w:highlight w:val="none"/>
          <w:u w:val="single"/>
          <w:lang w:val="en-US" w:eastAsia="zh-CN"/>
        </w:rPr>
        <w:t xml:space="preserve"> 9 </w:t>
      </w:r>
      <w:r>
        <w:rPr>
          <w:rFonts w:hint="eastAsia" w:ascii="宋体" w:hAnsi="宋体"/>
          <w:bCs/>
          <w:color w:val="auto"/>
          <w:szCs w:val="21"/>
          <w:highlight w:val="none"/>
        </w:rPr>
        <w:t>时</w:t>
      </w:r>
      <w:r>
        <w:rPr>
          <w:rFonts w:hint="eastAsia" w:ascii="宋体" w:hAnsi="宋体"/>
          <w:bCs/>
          <w:color w:val="auto"/>
          <w:szCs w:val="21"/>
          <w:highlight w:val="none"/>
          <w:u w:val="single"/>
          <w:lang w:val="en-US" w:eastAsia="zh-CN"/>
        </w:rPr>
        <w:t xml:space="preserve"> 30 </w:t>
      </w:r>
      <w:r>
        <w:rPr>
          <w:rFonts w:hint="eastAsia" w:ascii="宋体" w:hAnsi="宋体"/>
          <w:bCs/>
          <w:color w:val="auto"/>
          <w:szCs w:val="21"/>
          <w:highlight w:val="none"/>
        </w:rPr>
        <w:t>分</w:t>
      </w:r>
      <w:r>
        <w:rPr>
          <w:rFonts w:hint="eastAsia" w:ascii="宋体" w:hAnsi="宋体"/>
          <w:bCs/>
          <w:color w:val="auto"/>
          <w:szCs w:val="21"/>
          <w:highlight w:val="none"/>
        </w:rPr>
        <w:t>（北京时间）</w:t>
      </w:r>
    </w:p>
    <w:p w14:paraId="70A13423">
      <w:pPr>
        <w:spacing w:line="360" w:lineRule="auto"/>
        <w:ind w:firstLine="420" w:firstLineChars="200"/>
        <w:rPr>
          <w:rFonts w:ascii="宋体" w:hAnsi="宋体"/>
          <w:bCs/>
          <w:color w:val="auto"/>
          <w:szCs w:val="21"/>
          <w:highlight w:val="none"/>
          <w:u w:val="single"/>
        </w:rPr>
      </w:pPr>
      <w:r>
        <w:rPr>
          <w:rFonts w:hint="eastAsia" w:ascii="宋体" w:hAnsi="宋体" w:eastAsia="宋体" w:cs="Times New Roman"/>
          <w:color w:val="auto"/>
          <w:szCs w:val="21"/>
          <w:highlight w:val="none"/>
        </w:rPr>
        <w:t>地点：广西政府采购云平台（https://www.gcy.zfcg.gxzf.gov.cn/）</w:t>
      </w:r>
      <w:r>
        <w:rPr>
          <w:rFonts w:hint="eastAsia" w:ascii="宋体" w:hAnsi="宋体"/>
          <w:color w:val="auto"/>
          <w:szCs w:val="21"/>
          <w:highlight w:val="none"/>
        </w:rPr>
        <w:t xml:space="preserve"> </w:t>
      </w:r>
    </w:p>
    <w:p w14:paraId="13D1104B">
      <w:pPr>
        <w:spacing w:line="360" w:lineRule="auto"/>
        <w:ind w:firstLine="354" w:firstLineChars="147"/>
        <w:rPr>
          <w:rFonts w:ascii="黑体" w:hAnsi="黑体" w:eastAsia="黑体"/>
          <w:b/>
          <w:color w:val="auto"/>
          <w:sz w:val="24"/>
          <w:highlight w:val="none"/>
        </w:rPr>
      </w:pPr>
      <w:bookmarkStart w:id="35" w:name="_Toc28359094"/>
      <w:bookmarkStart w:id="36" w:name="_Toc28359017"/>
      <w:bookmarkStart w:id="37" w:name="_Toc44229883"/>
      <w:bookmarkStart w:id="38" w:name="_Toc71365910"/>
      <w:bookmarkStart w:id="39" w:name="_Toc35393634"/>
      <w:bookmarkStart w:id="40" w:name="_Toc35393803"/>
      <w:r>
        <w:rPr>
          <w:rFonts w:hint="eastAsia" w:ascii="黑体" w:hAnsi="黑体" w:eastAsia="黑体"/>
          <w:b/>
          <w:color w:val="auto"/>
          <w:sz w:val="24"/>
          <w:highlight w:val="none"/>
        </w:rPr>
        <w:t>六、公告期限</w:t>
      </w:r>
      <w:bookmarkEnd w:id="35"/>
      <w:bookmarkEnd w:id="36"/>
      <w:bookmarkEnd w:id="37"/>
      <w:bookmarkEnd w:id="38"/>
      <w:bookmarkEnd w:id="39"/>
      <w:bookmarkEnd w:id="40"/>
    </w:p>
    <w:p w14:paraId="1F2F1E53">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个工作日。</w:t>
      </w:r>
    </w:p>
    <w:p w14:paraId="003D0939">
      <w:pPr>
        <w:spacing w:line="360" w:lineRule="auto"/>
        <w:ind w:firstLine="354" w:firstLineChars="147"/>
        <w:rPr>
          <w:rFonts w:ascii="黑体" w:hAnsi="黑体" w:eastAsia="黑体"/>
          <w:b/>
          <w:color w:val="auto"/>
          <w:sz w:val="24"/>
          <w:highlight w:val="none"/>
        </w:rPr>
      </w:pPr>
      <w:bookmarkStart w:id="41" w:name="_Toc35393804"/>
      <w:bookmarkStart w:id="42" w:name="_Toc44229884"/>
      <w:bookmarkStart w:id="43" w:name="_Toc71365911"/>
      <w:bookmarkStart w:id="44" w:name="_Toc35393635"/>
      <w:r>
        <w:rPr>
          <w:rFonts w:hint="eastAsia" w:ascii="黑体" w:hAnsi="黑体" w:eastAsia="黑体"/>
          <w:b/>
          <w:color w:val="auto"/>
          <w:sz w:val="24"/>
          <w:highlight w:val="none"/>
        </w:rPr>
        <w:t>七、其他补充事宜</w:t>
      </w:r>
      <w:bookmarkEnd w:id="41"/>
      <w:bookmarkEnd w:id="42"/>
      <w:bookmarkEnd w:id="43"/>
      <w:bookmarkEnd w:id="44"/>
    </w:p>
    <w:p w14:paraId="3076C34B">
      <w:pPr>
        <w:spacing w:line="360" w:lineRule="auto"/>
        <w:ind w:firstLine="420" w:firstLineChars="200"/>
        <w:rPr>
          <w:rFonts w:hint="eastAsia" w:ascii="宋体" w:hAnsi="宋体" w:eastAsia="宋体" w:cs="宋体"/>
          <w:bCs/>
          <w:color w:val="auto"/>
          <w:kern w:val="0"/>
          <w:szCs w:val="21"/>
          <w:highlight w:val="none"/>
          <w:lang w:eastAsia="zh-CN"/>
        </w:rPr>
      </w:pPr>
      <w:bookmarkStart w:id="45" w:name="_Toc35393636"/>
      <w:bookmarkStart w:id="46" w:name="_Toc35393805"/>
      <w:bookmarkStart w:id="47" w:name="_Toc28359095"/>
      <w:bookmarkStart w:id="48" w:name="_Toc28359018"/>
      <w:bookmarkStart w:id="49" w:name="_Toc44229885"/>
      <w:r>
        <w:rPr>
          <w:rFonts w:hint="eastAsia" w:ascii="宋体" w:hAnsi="宋体" w:eastAsia="宋体" w:cs="宋体"/>
          <w:bCs/>
          <w:color w:val="auto"/>
          <w:kern w:val="0"/>
          <w:szCs w:val="21"/>
          <w:highlight w:val="none"/>
          <w:lang w:val="en-US" w:eastAsia="zh-CN"/>
        </w:rPr>
        <w:t>1.磋商保证金：</w:t>
      </w:r>
      <w:r>
        <w:rPr>
          <w:rFonts w:hint="eastAsia" w:ascii="宋体" w:hAnsi="宋体" w:eastAsia="宋体" w:cs="宋体"/>
          <w:bCs/>
          <w:color w:val="auto"/>
          <w:kern w:val="0"/>
          <w:szCs w:val="21"/>
          <w:highlight w:val="none"/>
        </w:rPr>
        <w:t>本项目</w:t>
      </w:r>
      <w:r>
        <w:rPr>
          <w:rFonts w:hint="eastAsia" w:ascii="宋体" w:hAnsi="宋体" w:eastAsia="宋体" w:cs="宋体"/>
          <w:bCs/>
          <w:color w:val="auto"/>
          <w:kern w:val="0"/>
          <w:szCs w:val="21"/>
          <w:highlight w:val="none"/>
          <w:lang w:val="en-US" w:eastAsia="zh-CN"/>
        </w:rPr>
        <w:t>不需要缴纳磋商</w:t>
      </w:r>
      <w:r>
        <w:rPr>
          <w:rFonts w:hint="eastAsia" w:ascii="宋体" w:hAnsi="宋体" w:eastAsia="宋体" w:cs="宋体"/>
          <w:bCs/>
          <w:color w:val="auto"/>
          <w:kern w:val="0"/>
          <w:szCs w:val="21"/>
          <w:highlight w:val="none"/>
        </w:rPr>
        <w:t>保证金</w:t>
      </w:r>
      <w:r>
        <w:rPr>
          <w:rFonts w:hint="eastAsia" w:ascii="宋体" w:hAnsi="宋体" w:eastAsia="宋体" w:cs="宋体"/>
          <w:bCs/>
          <w:color w:val="auto"/>
          <w:kern w:val="0"/>
          <w:szCs w:val="21"/>
          <w:highlight w:val="none"/>
          <w:lang w:eastAsia="zh-CN"/>
        </w:rPr>
        <w:t>。</w:t>
      </w:r>
    </w:p>
    <w:p w14:paraId="5053439F">
      <w:pPr>
        <w:spacing w:line="360" w:lineRule="auto"/>
        <w:ind w:firstLine="420" w:firstLineChars="200"/>
        <w:rPr>
          <w:rFonts w:hint="eastAsia" w:ascii="宋体" w:hAnsi="宋体" w:eastAsia="宋体" w:cs="宋体"/>
          <w:bCs/>
          <w:color w:val="auto"/>
          <w:kern w:val="0"/>
          <w:szCs w:val="21"/>
          <w:highlight w:val="none"/>
        </w:rPr>
      </w:pPr>
      <w:bookmarkStart w:id="50" w:name="_Hlk37429585"/>
      <w:bookmarkStart w:id="51" w:name="_Hlk37429595"/>
      <w:r>
        <w:rPr>
          <w:rFonts w:hint="eastAsia" w:ascii="宋体" w:hAnsi="宋体" w:eastAsia="宋体" w:cs="宋体"/>
          <w:bCs/>
          <w:color w:val="auto"/>
          <w:kern w:val="0"/>
          <w:szCs w:val="21"/>
          <w:highlight w:val="none"/>
          <w:lang w:val="en-US" w:eastAsia="zh-CN"/>
        </w:rPr>
        <w:t>2</w:t>
      </w:r>
      <w:r>
        <w:rPr>
          <w:rFonts w:hint="eastAsia" w:ascii="宋体" w:hAnsi="宋体" w:eastAsia="宋体" w:cs="宋体"/>
          <w:bCs/>
          <w:color w:val="auto"/>
          <w:kern w:val="0"/>
          <w:szCs w:val="21"/>
          <w:highlight w:val="none"/>
        </w:rPr>
        <w:t>.网上查询地址</w:t>
      </w:r>
    </w:p>
    <w:p w14:paraId="6D8EE13C">
      <w:pPr>
        <w:spacing w:line="360" w:lineRule="auto"/>
        <w:ind w:firstLine="420" w:firstLineChars="200"/>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www.ccgp.gov.cn中国政府采购网、zfcg.gxzf.gov.cn广西壮族自治区政府采购网。</w:t>
      </w:r>
    </w:p>
    <w:bookmarkEnd w:id="50"/>
    <w:bookmarkEnd w:id="51"/>
    <w:p w14:paraId="5E0439BB">
      <w:pPr>
        <w:spacing w:line="360" w:lineRule="auto"/>
        <w:ind w:firstLine="420" w:firstLineChars="200"/>
        <w:rPr>
          <w:rFonts w:hint="eastAsia" w:ascii="宋体" w:hAnsi="宋体" w:eastAsia="宋体" w:cs="宋体"/>
          <w:bCs/>
          <w:color w:val="auto"/>
          <w:kern w:val="0"/>
          <w:szCs w:val="21"/>
          <w:highlight w:val="none"/>
        </w:rPr>
      </w:pPr>
      <w:bookmarkStart w:id="52" w:name="_Hlk37429674"/>
      <w:r>
        <w:rPr>
          <w:rFonts w:hint="eastAsia" w:ascii="宋体" w:hAnsi="宋体" w:eastAsia="宋体" w:cs="宋体"/>
          <w:bCs/>
          <w:color w:val="auto"/>
          <w:kern w:val="0"/>
          <w:szCs w:val="21"/>
          <w:highlight w:val="none"/>
          <w:lang w:val="en-US" w:eastAsia="zh-CN"/>
        </w:rPr>
        <w:t>3</w:t>
      </w:r>
      <w:r>
        <w:rPr>
          <w:rFonts w:hint="eastAsia" w:ascii="宋体" w:hAnsi="宋体" w:eastAsia="宋体" w:cs="宋体"/>
          <w:bCs/>
          <w:color w:val="auto"/>
          <w:kern w:val="0"/>
          <w:szCs w:val="21"/>
          <w:highlight w:val="none"/>
        </w:rPr>
        <w:t>.本项目需要落实的政府采购政策</w:t>
      </w:r>
    </w:p>
    <w:p w14:paraId="00E82AB5">
      <w:pPr>
        <w:spacing w:line="360" w:lineRule="auto"/>
        <w:ind w:firstLine="420" w:firstLineChars="200"/>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（1）政府采购促进中小企业发展。</w:t>
      </w:r>
    </w:p>
    <w:p w14:paraId="132DB2E2">
      <w:pPr>
        <w:spacing w:line="360" w:lineRule="auto"/>
        <w:ind w:firstLine="420" w:firstLineChars="200"/>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（2）政府采购支持采用本国产品的政策。</w:t>
      </w:r>
    </w:p>
    <w:p w14:paraId="54FB2A80">
      <w:pPr>
        <w:spacing w:line="360" w:lineRule="auto"/>
        <w:ind w:firstLine="420" w:firstLineChars="200"/>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（3）强制采购节能产品；优先采购节能产品、环境标志产品。</w:t>
      </w:r>
    </w:p>
    <w:p w14:paraId="6A6E0F80">
      <w:pPr>
        <w:spacing w:line="360" w:lineRule="auto"/>
        <w:ind w:firstLine="420" w:firstLineChars="200"/>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（4）政府采购促进残疾人就业政策。</w:t>
      </w:r>
    </w:p>
    <w:p w14:paraId="780280D3">
      <w:pPr>
        <w:spacing w:line="360" w:lineRule="auto"/>
        <w:ind w:firstLine="420" w:firstLineChars="200"/>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（5）政府采购支持监狱企业发展。</w:t>
      </w:r>
      <w:bookmarkEnd w:id="52"/>
    </w:p>
    <w:p w14:paraId="792F51F8">
      <w:pPr>
        <w:keepNext w:val="0"/>
        <w:keepLines w:val="0"/>
        <w:pageBreakBefore w:val="0"/>
        <w:widowControl/>
        <w:kinsoku/>
        <w:wordWrap/>
        <w:overflowPunct/>
        <w:topLinePunct w:val="0"/>
        <w:autoSpaceDN/>
        <w:bidi w:val="0"/>
        <w:adjustRightInd/>
        <w:spacing w:line="360" w:lineRule="auto"/>
        <w:ind w:firstLine="422" w:firstLineChars="200"/>
        <w:jc w:val="left"/>
        <w:textAlignment w:val="auto"/>
        <w:rPr>
          <w:rFonts w:hint="eastAsia" w:ascii="宋体" w:hAnsi="宋体"/>
          <w:b/>
          <w:color w:val="auto"/>
          <w:szCs w:val="21"/>
          <w:highlight w:val="none"/>
        </w:rPr>
      </w:pPr>
      <w:r>
        <w:rPr>
          <w:rFonts w:hint="eastAsia" w:ascii="宋体" w:hAnsi="宋体" w:cs="宋体"/>
          <w:b/>
          <w:color w:val="auto"/>
          <w:kern w:val="0"/>
          <w:szCs w:val="21"/>
          <w:highlight w:val="none"/>
          <w:lang w:val="en-US" w:eastAsia="zh-CN"/>
        </w:rPr>
        <w:t>4</w:t>
      </w:r>
      <w:r>
        <w:rPr>
          <w:rFonts w:hint="eastAsia" w:ascii="宋体" w:hAnsi="宋体" w:cs="宋体"/>
          <w:b/>
          <w:color w:val="auto"/>
          <w:kern w:val="0"/>
          <w:szCs w:val="21"/>
          <w:highlight w:val="none"/>
        </w:rPr>
        <w:t>.投标人</w:t>
      </w:r>
      <w:r>
        <w:rPr>
          <w:rFonts w:hint="eastAsia" w:ascii="宋体" w:hAnsi="宋体"/>
          <w:b/>
          <w:color w:val="auto"/>
          <w:szCs w:val="21"/>
          <w:highlight w:val="none"/>
        </w:rPr>
        <w:t>投标注意事项</w:t>
      </w:r>
    </w:p>
    <w:p w14:paraId="39BF4A86">
      <w:pPr>
        <w:keepNext w:val="0"/>
        <w:keepLines w:val="0"/>
        <w:pageBreakBefore w:val="0"/>
        <w:widowControl/>
        <w:kinsoku/>
        <w:wordWrap/>
        <w:overflowPunct/>
        <w:topLinePunct w:val="0"/>
        <w:autoSpaceDN/>
        <w:bidi w:val="0"/>
        <w:adjustRightInd/>
        <w:spacing w:line="360" w:lineRule="auto"/>
        <w:ind w:firstLine="420" w:firstLineChars="200"/>
        <w:jc w:val="left"/>
        <w:textAlignment w:val="auto"/>
        <w:rPr>
          <w:rFonts w:hint="eastAsia" w:ascii="宋体" w:hAnsi="宋体"/>
          <w:color w:val="auto"/>
          <w:szCs w:val="21"/>
          <w:highlight w:val="none"/>
        </w:rPr>
      </w:pPr>
      <w:r>
        <w:rPr>
          <w:rFonts w:hint="eastAsia" w:ascii="宋体" w:hAnsi="宋体"/>
          <w:color w:val="auto"/>
          <w:szCs w:val="21"/>
          <w:highlight w:val="none"/>
        </w:rPr>
        <w:t>（1）本项目为全流程电子化采购项目，通过</w:t>
      </w:r>
      <w:r>
        <w:rPr>
          <w:rFonts w:hint="eastAsia" w:ascii="宋体" w:hAnsi="宋体" w:eastAsia="宋体" w:cs="Times New Roman"/>
          <w:color w:val="auto"/>
          <w:szCs w:val="21"/>
          <w:highlight w:val="none"/>
        </w:rPr>
        <w:t>广西政府采购云平台</w:t>
      </w:r>
      <w:r>
        <w:rPr>
          <w:rFonts w:hint="eastAsia" w:ascii="宋体" w:hAnsi="宋体"/>
          <w:color w:val="auto"/>
          <w:szCs w:val="21"/>
          <w:highlight w:val="none"/>
        </w:rPr>
        <w:t>（</w:t>
      </w:r>
      <w:r>
        <w:rPr>
          <w:rFonts w:hint="eastAsia" w:ascii="宋体" w:hAnsi="宋体" w:eastAsia="宋体" w:cs="Times New Roman"/>
          <w:color w:val="auto"/>
          <w:szCs w:val="21"/>
          <w:highlight w:val="none"/>
        </w:rPr>
        <w:t>https://www.gcy.zfcg.gxzf.gov.cn/</w:t>
      </w:r>
      <w:r>
        <w:rPr>
          <w:rFonts w:hint="eastAsia" w:ascii="宋体" w:hAnsi="宋体"/>
          <w:color w:val="auto"/>
          <w:szCs w:val="21"/>
          <w:highlight w:val="none"/>
        </w:rPr>
        <w:t>）实行在线电子</w:t>
      </w:r>
      <w:r>
        <w:rPr>
          <w:rFonts w:hint="eastAsia" w:ascii="宋体" w:hAnsi="宋体"/>
          <w:color w:val="auto"/>
          <w:szCs w:val="21"/>
          <w:highlight w:val="none"/>
          <w:lang w:val="en-US" w:eastAsia="zh-CN"/>
        </w:rPr>
        <w:t>响应</w:t>
      </w:r>
      <w:r>
        <w:rPr>
          <w:rFonts w:hint="eastAsia" w:ascii="宋体" w:hAnsi="宋体"/>
          <w:color w:val="auto"/>
          <w:szCs w:val="21"/>
          <w:highlight w:val="none"/>
        </w:rPr>
        <w:t>，</w:t>
      </w:r>
      <w:r>
        <w:rPr>
          <w:rFonts w:hint="eastAsia" w:ascii="宋体" w:hAnsi="宋体"/>
          <w:color w:val="auto"/>
          <w:szCs w:val="21"/>
          <w:highlight w:val="none"/>
          <w:lang w:val="en-US" w:eastAsia="zh-CN"/>
        </w:rPr>
        <w:t>供</w:t>
      </w:r>
      <w:r>
        <w:rPr>
          <w:rFonts w:hint="eastAsia" w:ascii="宋体" w:hAnsi="宋体"/>
          <w:color w:val="auto"/>
          <w:szCs w:val="21"/>
          <w:highlight w:val="none"/>
        </w:rPr>
        <w:t>应</w:t>
      </w:r>
      <w:r>
        <w:rPr>
          <w:rFonts w:hint="eastAsia" w:ascii="宋体" w:hAnsi="宋体"/>
          <w:color w:val="auto"/>
          <w:szCs w:val="21"/>
          <w:highlight w:val="none"/>
          <w:lang w:val="en-US" w:eastAsia="zh-CN"/>
        </w:rPr>
        <w:t>商</w:t>
      </w:r>
      <w:r>
        <w:rPr>
          <w:rFonts w:hint="eastAsia" w:ascii="宋体" w:hAnsi="宋体"/>
          <w:color w:val="auto"/>
          <w:szCs w:val="21"/>
          <w:highlight w:val="none"/>
        </w:rPr>
        <w:t>先安装</w:t>
      </w:r>
      <w:r>
        <w:rPr>
          <w:rFonts w:hint="eastAsia" w:ascii="宋体" w:hAnsi="宋体" w:eastAsia="宋体" w:cs="Times New Roman"/>
          <w:color w:val="auto"/>
          <w:szCs w:val="21"/>
          <w:highlight w:val="none"/>
        </w:rPr>
        <w:t>广西政府采购云平台</w:t>
      </w:r>
      <w:r>
        <w:rPr>
          <w:rFonts w:hint="eastAsia" w:ascii="宋体" w:hAnsi="宋体"/>
          <w:color w:val="auto"/>
          <w:szCs w:val="21"/>
          <w:highlight w:val="none"/>
        </w:rPr>
        <w:t>电子投标客户端（客户端下载路径：广西政府采购网（访问地址http://zfcg.gxzf.gov.cn/）—办事服务—下载专区），并按照本项目</w:t>
      </w:r>
      <w:r>
        <w:rPr>
          <w:rFonts w:hint="eastAsia" w:ascii="宋体" w:hAnsi="宋体"/>
          <w:color w:val="auto"/>
          <w:szCs w:val="21"/>
          <w:highlight w:val="none"/>
          <w:lang w:val="en-US" w:eastAsia="zh-CN"/>
        </w:rPr>
        <w:t>采购</w:t>
      </w:r>
      <w:r>
        <w:rPr>
          <w:rFonts w:hint="eastAsia" w:ascii="宋体" w:hAnsi="宋体"/>
          <w:color w:val="auto"/>
          <w:szCs w:val="21"/>
          <w:highlight w:val="none"/>
        </w:rPr>
        <w:t>文件和</w:t>
      </w:r>
      <w:r>
        <w:rPr>
          <w:rFonts w:hint="eastAsia" w:ascii="宋体" w:hAnsi="宋体" w:eastAsia="宋体" w:cs="Times New Roman"/>
          <w:color w:val="auto"/>
          <w:szCs w:val="21"/>
          <w:highlight w:val="none"/>
        </w:rPr>
        <w:t>广西政府采购云平台</w:t>
      </w:r>
      <w:r>
        <w:rPr>
          <w:rFonts w:hint="eastAsia" w:ascii="宋体" w:hAnsi="宋体"/>
          <w:color w:val="auto"/>
          <w:szCs w:val="21"/>
          <w:highlight w:val="none"/>
        </w:rPr>
        <w:t>的要求编制、加密后在</w:t>
      </w:r>
      <w:r>
        <w:rPr>
          <w:rFonts w:hint="eastAsia" w:ascii="宋体" w:hAnsi="宋体"/>
          <w:color w:val="auto"/>
          <w:szCs w:val="21"/>
          <w:highlight w:val="none"/>
          <w:lang w:val="en-US" w:eastAsia="zh-CN"/>
        </w:rPr>
        <w:t>响应文件提交</w:t>
      </w:r>
      <w:r>
        <w:rPr>
          <w:rFonts w:hint="eastAsia" w:ascii="宋体" w:hAnsi="宋体"/>
          <w:color w:val="auto"/>
          <w:szCs w:val="21"/>
          <w:highlight w:val="none"/>
        </w:rPr>
        <w:t>截止时间前通过网络上传至</w:t>
      </w:r>
      <w:r>
        <w:rPr>
          <w:rFonts w:hint="eastAsia" w:ascii="宋体" w:hAnsi="宋体" w:eastAsia="宋体" w:cs="Times New Roman"/>
          <w:color w:val="auto"/>
          <w:szCs w:val="21"/>
          <w:highlight w:val="none"/>
        </w:rPr>
        <w:t>广西政府采购云平台</w:t>
      </w:r>
      <w:r>
        <w:rPr>
          <w:rFonts w:hint="eastAsia" w:ascii="宋体" w:hAnsi="宋体"/>
          <w:b/>
          <w:color w:val="auto"/>
          <w:szCs w:val="21"/>
          <w:highlight w:val="none"/>
        </w:rPr>
        <w:t>（</w:t>
      </w:r>
      <w:r>
        <w:rPr>
          <w:rFonts w:hint="eastAsia" w:ascii="宋体" w:hAnsi="宋体"/>
          <w:b/>
          <w:color w:val="auto"/>
          <w:szCs w:val="21"/>
          <w:highlight w:val="none"/>
          <w:u w:val="single"/>
        </w:rPr>
        <w:t>加密的电子投标文件是指</w:t>
      </w:r>
      <w:r>
        <w:rPr>
          <w:rFonts w:hint="eastAsia"/>
          <w:b/>
          <w:color w:val="auto"/>
          <w:highlight w:val="none"/>
          <w:u w:val="single"/>
        </w:rPr>
        <w:t>后缀名为“jm</w:t>
      </w:r>
      <w:r>
        <w:rPr>
          <w:b/>
          <w:color w:val="auto"/>
          <w:highlight w:val="none"/>
          <w:u w:val="single"/>
        </w:rPr>
        <w:t>bs</w:t>
      </w:r>
      <w:r>
        <w:rPr>
          <w:rFonts w:hint="eastAsia"/>
          <w:b/>
          <w:color w:val="auto"/>
          <w:highlight w:val="none"/>
          <w:u w:val="single"/>
        </w:rPr>
        <w:t>”的文件</w:t>
      </w:r>
      <w:r>
        <w:rPr>
          <w:rFonts w:hint="eastAsia" w:ascii="宋体" w:hAnsi="宋体"/>
          <w:b/>
          <w:color w:val="auto"/>
          <w:szCs w:val="21"/>
          <w:highlight w:val="none"/>
        </w:rPr>
        <w:t>）</w:t>
      </w:r>
      <w:r>
        <w:rPr>
          <w:rFonts w:hint="eastAsia" w:ascii="宋体" w:hAnsi="宋体"/>
          <w:color w:val="auto"/>
          <w:szCs w:val="21"/>
          <w:highlight w:val="none"/>
        </w:rPr>
        <w:t>，</w:t>
      </w:r>
      <w:r>
        <w:rPr>
          <w:rFonts w:hint="eastAsia" w:ascii="宋体" w:hAnsi="宋体"/>
          <w:b/>
          <w:color w:val="auto"/>
          <w:szCs w:val="21"/>
          <w:highlight w:val="none"/>
          <w:lang w:val="en-US" w:eastAsia="zh-CN"/>
        </w:rPr>
        <w:t>供应商</w:t>
      </w:r>
      <w:r>
        <w:rPr>
          <w:rFonts w:hint="eastAsia" w:ascii="宋体" w:hAnsi="宋体"/>
          <w:b/>
          <w:color w:val="auto"/>
          <w:szCs w:val="21"/>
          <w:highlight w:val="none"/>
        </w:rPr>
        <w:t>在广西政府采购云平台提交电子</w:t>
      </w:r>
      <w:r>
        <w:rPr>
          <w:rFonts w:hint="eastAsia" w:ascii="宋体" w:hAnsi="宋体"/>
          <w:b/>
          <w:color w:val="auto"/>
          <w:szCs w:val="21"/>
          <w:highlight w:val="none"/>
          <w:lang w:val="en-US" w:eastAsia="zh-CN"/>
        </w:rPr>
        <w:t>响应</w:t>
      </w:r>
      <w:r>
        <w:rPr>
          <w:rFonts w:hint="eastAsia" w:ascii="宋体" w:hAnsi="宋体"/>
          <w:b/>
          <w:color w:val="auto"/>
          <w:szCs w:val="21"/>
          <w:highlight w:val="none"/>
        </w:rPr>
        <w:t>文件时，请填写参加远程开标活动经办人联系方式。</w:t>
      </w:r>
      <w:r>
        <w:rPr>
          <w:rFonts w:hint="eastAsia" w:ascii="宋体" w:hAnsi="宋体" w:eastAsia="宋体" w:cs="Times New Roman"/>
          <w:color w:val="auto"/>
          <w:szCs w:val="21"/>
          <w:highlight w:val="none"/>
          <w:lang w:val="en-US" w:eastAsia="zh-CN"/>
        </w:rPr>
        <w:t>供应商</w:t>
      </w:r>
      <w:r>
        <w:rPr>
          <w:rFonts w:hint="eastAsia" w:ascii="宋体" w:hAnsi="宋体" w:eastAsia="宋体" w:cs="Times New Roman"/>
          <w:color w:val="auto"/>
          <w:szCs w:val="21"/>
          <w:highlight w:val="none"/>
        </w:rPr>
        <w:t>登录广西政府采购云平台</w:t>
      </w:r>
      <w:r>
        <w:rPr>
          <w:rFonts w:hint="eastAsia" w:ascii="宋体" w:hAnsi="宋体"/>
          <w:color w:val="auto"/>
          <w:szCs w:val="21"/>
          <w:highlight w:val="none"/>
        </w:rPr>
        <w:t>，依次进入“服务中心-项目采购-操作流程-电子招投标-</w:t>
      </w:r>
      <w:r>
        <w:rPr>
          <w:color w:val="auto"/>
          <w:highlight w:val="none"/>
        </w:rPr>
        <w:t>政府采购项目电子交易管理操作指南-供应商</w:t>
      </w:r>
      <w:r>
        <w:rPr>
          <w:rFonts w:hint="eastAsia" w:ascii="宋体" w:hAnsi="宋体"/>
          <w:color w:val="auto"/>
          <w:szCs w:val="21"/>
          <w:highlight w:val="none"/>
        </w:rPr>
        <w:t>”查看电子投标具体操作流程。</w:t>
      </w:r>
    </w:p>
    <w:p w14:paraId="440B00BC">
      <w:pPr>
        <w:keepNext w:val="0"/>
        <w:keepLines w:val="0"/>
        <w:pageBreakBefore w:val="0"/>
        <w:widowControl/>
        <w:kinsoku/>
        <w:wordWrap/>
        <w:overflowPunct/>
        <w:topLinePunct w:val="0"/>
        <w:autoSpaceDN/>
        <w:bidi w:val="0"/>
        <w:adjustRightInd/>
        <w:spacing w:line="360" w:lineRule="auto"/>
        <w:ind w:firstLine="420" w:firstLineChars="200"/>
        <w:jc w:val="left"/>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（2）未进行网上注册并办理数字证书（CA认证）的</w:t>
      </w:r>
      <w:r>
        <w:rPr>
          <w:rFonts w:hint="eastAsia" w:ascii="宋体" w:hAnsi="宋体" w:eastAsia="宋体" w:cs="Times New Roman"/>
          <w:color w:val="auto"/>
          <w:szCs w:val="21"/>
          <w:highlight w:val="none"/>
          <w:lang w:val="en-US" w:eastAsia="zh-CN"/>
        </w:rPr>
        <w:t>供应商</w:t>
      </w:r>
      <w:r>
        <w:rPr>
          <w:rFonts w:hint="eastAsia" w:ascii="宋体" w:hAnsi="宋体" w:eastAsia="宋体" w:cs="Times New Roman"/>
          <w:color w:val="auto"/>
          <w:szCs w:val="21"/>
          <w:highlight w:val="none"/>
        </w:rPr>
        <w:t>将无法参与本项目政府采购活动，</w:t>
      </w:r>
      <w:r>
        <w:rPr>
          <w:rFonts w:hint="eastAsia" w:ascii="宋体" w:hAnsi="宋体" w:eastAsia="宋体" w:cs="Times New Roman"/>
          <w:color w:val="auto"/>
          <w:szCs w:val="21"/>
          <w:highlight w:val="none"/>
          <w:lang w:val="en-US" w:eastAsia="zh-CN"/>
        </w:rPr>
        <w:t>供应商</w:t>
      </w:r>
      <w:r>
        <w:rPr>
          <w:rFonts w:hint="eastAsia" w:ascii="宋体" w:hAnsi="宋体" w:eastAsia="宋体" w:cs="Times New Roman"/>
          <w:color w:val="auto"/>
          <w:szCs w:val="21"/>
          <w:highlight w:val="none"/>
        </w:rPr>
        <w:t>应当在</w:t>
      </w:r>
      <w:r>
        <w:rPr>
          <w:rFonts w:hint="eastAsia" w:ascii="宋体" w:hAnsi="宋体" w:eastAsia="宋体" w:cs="Times New Roman"/>
          <w:color w:val="auto"/>
          <w:szCs w:val="21"/>
          <w:highlight w:val="none"/>
          <w:lang w:val="en-US" w:eastAsia="zh-CN"/>
        </w:rPr>
        <w:t>首次响应文件提交</w:t>
      </w:r>
      <w:r>
        <w:rPr>
          <w:rFonts w:hint="eastAsia" w:ascii="宋体" w:hAnsi="宋体" w:eastAsia="宋体" w:cs="Times New Roman"/>
          <w:color w:val="auto"/>
          <w:szCs w:val="21"/>
          <w:highlight w:val="none"/>
        </w:rPr>
        <w:t>截止时间前，完成电子交易平台上的CA数字证书办理及</w:t>
      </w:r>
      <w:r>
        <w:rPr>
          <w:rFonts w:hint="eastAsia" w:ascii="宋体" w:hAnsi="宋体" w:eastAsia="宋体" w:cs="Times New Roman"/>
          <w:color w:val="auto"/>
          <w:szCs w:val="21"/>
          <w:highlight w:val="none"/>
          <w:lang w:val="en-US" w:eastAsia="zh-CN"/>
        </w:rPr>
        <w:t>响应</w:t>
      </w:r>
      <w:r>
        <w:rPr>
          <w:rFonts w:hint="eastAsia" w:ascii="宋体" w:hAnsi="宋体" w:eastAsia="宋体" w:cs="Times New Roman"/>
          <w:color w:val="auto"/>
          <w:szCs w:val="21"/>
          <w:highlight w:val="none"/>
        </w:rPr>
        <w:t>文件的提交（</w:t>
      </w:r>
      <w:r>
        <w:rPr>
          <w:rFonts w:hint="eastAsia" w:ascii="宋体" w:hAnsi="宋体" w:eastAsia="宋体" w:cs="Times New Roman"/>
          <w:color w:val="auto"/>
          <w:szCs w:val="21"/>
          <w:highlight w:val="none"/>
          <w:lang w:val="en-US" w:eastAsia="zh-CN"/>
        </w:rPr>
        <w:t>供应商</w:t>
      </w:r>
      <w:r>
        <w:rPr>
          <w:rFonts w:hint="eastAsia" w:ascii="宋体" w:hAnsi="宋体" w:eastAsia="宋体" w:cs="Times New Roman"/>
          <w:color w:val="auto"/>
          <w:szCs w:val="21"/>
          <w:highlight w:val="none"/>
        </w:rPr>
        <w:t>可登录“广西政府采购网”，依次进入“办事服务-下载专区”或者登陆广西政府采购云平台，依次进入“服务中心-入驻与配置”中查看CA数字证书办理操作流程。如在操作过程中遇到问题或者需要技术支持，请致电客服热线：95763）。</w:t>
      </w:r>
    </w:p>
    <w:p w14:paraId="7B96A759">
      <w:pPr>
        <w:keepNext w:val="0"/>
        <w:keepLines w:val="0"/>
        <w:pageBreakBefore w:val="0"/>
        <w:widowControl/>
        <w:kinsoku/>
        <w:wordWrap/>
        <w:overflowPunct/>
        <w:topLinePunct w:val="0"/>
        <w:autoSpaceDN/>
        <w:bidi w:val="0"/>
        <w:adjustRightInd/>
        <w:spacing w:line="360" w:lineRule="auto"/>
        <w:ind w:firstLine="420" w:firstLineChars="200"/>
        <w:jc w:val="left"/>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（3）CA证书在线解密：</w:t>
      </w:r>
      <w:r>
        <w:rPr>
          <w:rFonts w:hint="eastAsia" w:ascii="宋体" w:hAnsi="宋体" w:eastAsia="宋体" w:cs="Times New Roman"/>
          <w:color w:val="auto"/>
          <w:szCs w:val="21"/>
          <w:highlight w:val="none"/>
          <w:lang w:val="en-US" w:eastAsia="zh-CN"/>
        </w:rPr>
        <w:t>首次响应文件开启时</w:t>
      </w:r>
      <w:r>
        <w:rPr>
          <w:rFonts w:hint="eastAsia" w:ascii="宋体" w:hAnsi="宋体" w:eastAsia="宋体" w:cs="Times New Roman"/>
          <w:color w:val="auto"/>
          <w:szCs w:val="21"/>
          <w:highlight w:val="none"/>
        </w:rPr>
        <w:t>，需凭制作</w:t>
      </w:r>
      <w:r>
        <w:rPr>
          <w:rFonts w:hint="eastAsia" w:ascii="宋体" w:hAnsi="宋体" w:eastAsia="宋体" w:cs="Times New Roman"/>
          <w:color w:val="auto"/>
          <w:szCs w:val="21"/>
          <w:highlight w:val="none"/>
          <w:lang w:val="en-US" w:eastAsia="zh-CN"/>
        </w:rPr>
        <w:t>响应</w:t>
      </w:r>
      <w:r>
        <w:rPr>
          <w:rFonts w:hint="eastAsia" w:ascii="宋体" w:hAnsi="宋体" w:eastAsia="宋体" w:cs="Times New Roman"/>
          <w:color w:val="auto"/>
          <w:szCs w:val="21"/>
          <w:highlight w:val="none"/>
        </w:rPr>
        <w:t>文件时用来加密的有效数字证书（CA认证）登录广西政府采购云平台电子开标大厅现场按规定时间对加密</w:t>
      </w:r>
      <w:r>
        <w:rPr>
          <w:rFonts w:hint="eastAsia" w:ascii="宋体" w:hAnsi="宋体" w:eastAsia="宋体" w:cs="Times New Roman"/>
          <w:color w:val="auto"/>
          <w:szCs w:val="21"/>
          <w:highlight w:val="none"/>
          <w:lang w:val="en-US" w:eastAsia="zh-CN"/>
        </w:rPr>
        <w:t>响应</w:t>
      </w:r>
      <w:r>
        <w:rPr>
          <w:rFonts w:hint="eastAsia" w:ascii="宋体" w:hAnsi="宋体" w:eastAsia="宋体" w:cs="Times New Roman"/>
          <w:color w:val="auto"/>
          <w:szCs w:val="21"/>
          <w:highlight w:val="none"/>
        </w:rPr>
        <w:t>文件进行解密，否则后果自负。</w:t>
      </w:r>
    </w:p>
    <w:p w14:paraId="7D60A9F9">
      <w:pPr>
        <w:keepNext w:val="0"/>
        <w:keepLines w:val="0"/>
        <w:pageBreakBefore w:val="0"/>
        <w:widowControl/>
        <w:kinsoku/>
        <w:wordWrap/>
        <w:overflowPunct/>
        <w:topLinePunct w:val="0"/>
        <w:autoSpaceDN/>
        <w:bidi w:val="0"/>
        <w:adjustRightInd/>
        <w:spacing w:line="360" w:lineRule="auto"/>
        <w:ind w:firstLine="420" w:firstLineChars="200"/>
        <w:jc w:val="left"/>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注：①为确保网上操作合法、有效和安全，请</w:t>
      </w:r>
      <w:r>
        <w:rPr>
          <w:rFonts w:hint="eastAsia" w:ascii="宋体" w:hAnsi="宋体" w:eastAsia="宋体" w:cs="Times New Roman"/>
          <w:color w:val="auto"/>
          <w:szCs w:val="21"/>
          <w:highlight w:val="none"/>
          <w:lang w:val="en-US" w:eastAsia="zh-CN"/>
        </w:rPr>
        <w:t>供应商</w:t>
      </w:r>
      <w:r>
        <w:rPr>
          <w:rFonts w:hint="eastAsia" w:ascii="宋体" w:hAnsi="宋体" w:eastAsia="宋体" w:cs="Times New Roman"/>
          <w:color w:val="auto"/>
          <w:szCs w:val="21"/>
          <w:highlight w:val="none"/>
        </w:rPr>
        <w:t>确保在电子</w:t>
      </w:r>
      <w:r>
        <w:rPr>
          <w:rFonts w:hint="eastAsia" w:ascii="宋体" w:hAnsi="宋体" w:eastAsia="宋体" w:cs="Times New Roman"/>
          <w:color w:val="auto"/>
          <w:szCs w:val="21"/>
          <w:highlight w:val="none"/>
          <w:lang w:val="en-US" w:eastAsia="zh-CN"/>
        </w:rPr>
        <w:t>响应</w:t>
      </w:r>
      <w:r>
        <w:rPr>
          <w:rFonts w:hint="eastAsia" w:ascii="宋体" w:hAnsi="宋体" w:eastAsia="宋体" w:cs="Times New Roman"/>
          <w:color w:val="auto"/>
          <w:szCs w:val="21"/>
          <w:highlight w:val="none"/>
        </w:rPr>
        <w:t>过程中能够对相关数据电文进行加密和使用电子签章，妥善保管CA数字证书并使用有效的CA数字证书参与整个招标活动。②</w:t>
      </w:r>
      <w:r>
        <w:rPr>
          <w:rFonts w:hint="eastAsia" w:ascii="宋体" w:hAnsi="宋体" w:eastAsia="宋体" w:cs="Times New Roman"/>
          <w:color w:val="auto"/>
          <w:szCs w:val="21"/>
          <w:highlight w:val="none"/>
          <w:lang w:val="en-US" w:eastAsia="zh-CN"/>
        </w:rPr>
        <w:t>供应商</w:t>
      </w:r>
      <w:r>
        <w:rPr>
          <w:rFonts w:hint="eastAsia" w:ascii="宋体" w:hAnsi="宋体" w:eastAsia="宋体" w:cs="Times New Roman"/>
          <w:color w:val="auto"/>
          <w:szCs w:val="21"/>
          <w:highlight w:val="none"/>
        </w:rPr>
        <w:t>应当在</w:t>
      </w:r>
      <w:r>
        <w:rPr>
          <w:rFonts w:hint="eastAsia" w:ascii="宋体" w:hAnsi="宋体" w:eastAsia="宋体" w:cs="Times New Roman"/>
          <w:color w:val="auto"/>
          <w:szCs w:val="21"/>
          <w:highlight w:val="none"/>
          <w:lang w:val="en-US" w:eastAsia="zh-CN"/>
        </w:rPr>
        <w:t>首次响应文件提交</w:t>
      </w:r>
      <w:r>
        <w:rPr>
          <w:rFonts w:hint="eastAsia" w:ascii="宋体" w:hAnsi="宋体" w:eastAsia="宋体" w:cs="Times New Roman"/>
          <w:color w:val="auto"/>
          <w:szCs w:val="21"/>
          <w:highlight w:val="none"/>
        </w:rPr>
        <w:t>截止时间前完成电子</w:t>
      </w:r>
      <w:r>
        <w:rPr>
          <w:rFonts w:hint="eastAsia" w:ascii="宋体" w:hAnsi="宋体" w:eastAsia="宋体" w:cs="Times New Roman"/>
          <w:color w:val="auto"/>
          <w:szCs w:val="21"/>
          <w:highlight w:val="none"/>
          <w:lang w:val="en-US" w:eastAsia="zh-CN"/>
        </w:rPr>
        <w:t>响应</w:t>
      </w:r>
      <w:r>
        <w:rPr>
          <w:rFonts w:hint="eastAsia" w:ascii="宋体" w:hAnsi="宋体" w:eastAsia="宋体" w:cs="Times New Roman"/>
          <w:color w:val="auto"/>
          <w:szCs w:val="21"/>
          <w:highlight w:val="none"/>
        </w:rPr>
        <w:t>文件的上传、提交，</w:t>
      </w:r>
      <w:r>
        <w:rPr>
          <w:rFonts w:hint="eastAsia" w:ascii="宋体" w:hAnsi="宋体" w:eastAsia="宋体" w:cs="Times New Roman"/>
          <w:color w:val="auto"/>
          <w:szCs w:val="21"/>
          <w:highlight w:val="none"/>
          <w:lang w:val="en-US" w:eastAsia="zh-CN"/>
        </w:rPr>
        <w:t>响应文件提交</w:t>
      </w:r>
      <w:r>
        <w:rPr>
          <w:rFonts w:hint="eastAsia" w:ascii="宋体" w:hAnsi="宋体" w:eastAsia="宋体" w:cs="Times New Roman"/>
          <w:color w:val="auto"/>
          <w:szCs w:val="21"/>
          <w:highlight w:val="none"/>
        </w:rPr>
        <w:t>截止时间前可以补充、修改或者撤回</w:t>
      </w:r>
      <w:r>
        <w:rPr>
          <w:rFonts w:hint="eastAsia" w:ascii="宋体" w:hAnsi="宋体" w:eastAsia="宋体" w:cs="Times New Roman"/>
          <w:color w:val="auto"/>
          <w:szCs w:val="21"/>
          <w:highlight w:val="none"/>
          <w:lang w:val="en-US" w:eastAsia="zh-CN"/>
        </w:rPr>
        <w:t>响应</w:t>
      </w:r>
      <w:r>
        <w:rPr>
          <w:rFonts w:hint="eastAsia" w:ascii="宋体" w:hAnsi="宋体" w:eastAsia="宋体" w:cs="Times New Roman"/>
          <w:color w:val="auto"/>
          <w:szCs w:val="21"/>
          <w:highlight w:val="none"/>
        </w:rPr>
        <w:t>文件。补充或者修改</w:t>
      </w:r>
      <w:r>
        <w:rPr>
          <w:rFonts w:hint="eastAsia" w:ascii="宋体" w:hAnsi="宋体" w:eastAsia="宋体" w:cs="Times New Roman"/>
          <w:color w:val="auto"/>
          <w:szCs w:val="21"/>
          <w:highlight w:val="none"/>
          <w:lang w:val="en-US" w:eastAsia="zh-CN"/>
        </w:rPr>
        <w:t>响应</w:t>
      </w:r>
      <w:r>
        <w:rPr>
          <w:rFonts w:hint="eastAsia" w:ascii="宋体" w:hAnsi="宋体" w:eastAsia="宋体" w:cs="Times New Roman"/>
          <w:color w:val="auto"/>
          <w:szCs w:val="21"/>
          <w:highlight w:val="none"/>
        </w:rPr>
        <w:t>文件的，应当先行撤回原文件，补充、修改后重新上传、提交，</w:t>
      </w:r>
      <w:r>
        <w:rPr>
          <w:rFonts w:hint="eastAsia" w:ascii="宋体" w:hAnsi="宋体" w:eastAsia="宋体" w:cs="Times New Roman"/>
          <w:color w:val="auto"/>
          <w:szCs w:val="21"/>
          <w:highlight w:val="none"/>
          <w:lang w:val="en-US" w:eastAsia="zh-CN"/>
        </w:rPr>
        <w:t>响应文件提交</w:t>
      </w:r>
      <w:r>
        <w:rPr>
          <w:rFonts w:hint="eastAsia" w:ascii="宋体" w:hAnsi="宋体" w:eastAsia="宋体" w:cs="Times New Roman"/>
          <w:color w:val="auto"/>
          <w:szCs w:val="21"/>
          <w:highlight w:val="none"/>
        </w:rPr>
        <w:t>截止时间前未完成上传、提交的，视为撤回</w:t>
      </w:r>
      <w:r>
        <w:rPr>
          <w:rFonts w:hint="eastAsia" w:ascii="宋体" w:hAnsi="宋体" w:eastAsia="宋体" w:cs="Times New Roman"/>
          <w:color w:val="auto"/>
          <w:szCs w:val="21"/>
          <w:highlight w:val="none"/>
          <w:lang w:val="en-US" w:eastAsia="zh-CN"/>
        </w:rPr>
        <w:t>响应</w:t>
      </w:r>
      <w:r>
        <w:rPr>
          <w:rFonts w:hint="eastAsia" w:ascii="宋体" w:hAnsi="宋体" w:eastAsia="宋体" w:cs="Times New Roman"/>
          <w:color w:val="auto"/>
          <w:szCs w:val="21"/>
          <w:highlight w:val="none"/>
        </w:rPr>
        <w:t>文件。</w:t>
      </w:r>
      <w:r>
        <w:rPr>
          <w:rFonts w:hint="eastAsia" w:ascii="宋体" w:hAnsi="宋体" w:eastAsia="宋体" w:cs="Times New Roman"/>
          <w:color w:val="auto"/>
          <w:szCs w:val="21"/>
          <w:highlight w:val="none"/>
          <w:lang w:val="en-US" w:eastAsia="zh-CN"/>
        </w:rPr>
        <w:t>响应文件提交</w:t>
      </w:r>
      <w:r>
        <w:rPr>
          <w:rFonts w:hint="eastAsia" w:ascii="宋体" w:hAnsi="宋体" w:eastAsia="宋体" w:cs="Times New Roman"/>
          <w:color w:val="auto"/>
          <w:szCs w:val="21"/>
          <w:highlight w:val="none"/>
        </w:rPr>
        <w:t>截止时间以后上传递交的</w:t>
      </w:r>
      <w:r>
        <w:rPr>
          <w:rFonts w:hint="eastAsia" w:ascii="宋体" w:hAnsi="宋体" w:eastAsia="宋体" w:cs="Times New Roman"/>
          <w:color w:val="auto"/>
          <w:szCs w:val="21"/>
          <w:highlight w:val="none"/>
          <w:lang w:val="en-US" w:eastAsia="zh-CN"/>
        </w:rPr>
        <w:t>响应</w:t>
      </w:r>
      <w:r>
        <w:rPr>
          <w:rFonts w:hint="eastAsia" w:ascii="宋体" w:hAnsi="宋体" w:eastAsia="宋体" w:cs="Times New Roman"/>
          <w:color w:val="auto"/>
          <w:szCs w:val="21"/>
          <w:highlight w:val="none"/>
        </w:rPr>
        <w:t>文件，广西政府采购云平台将予以拒收。</w:t>
      </w:r>
    </w:p>
    <w:p w14:paraId="05EAF584">
      <w:pPr>
        <w:keepNext w:val="0"/>
        <w:keepLines w:val="0"/>
        <w:pageBreakBefore w:val="0"/>
        <w:widowControl/>
        <w:numPr>
          <w:ilvl w:val="0"/>
          <w:numId w:val="1"/>
        </w:numPr>
        <w:kinsoku/>
        <w:wordWrap/>
        <w:overflowPunct/>
        <w:topLinePunct w:val="0"/>
        <w:autoSpaceDN/>
        <w:bidi w:val="0"/>
        <w:adjustRightInd/>
        <w:spacing w:line="360" w:lineRule="auto"/>
        <w:ind w:firstLine="420" w:firstLineChars="200"/>
        <w:jc w:val="left"/>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若对项目采购电子交易系统操作有疑问，可登录广西政府采购云平台（https://www.gcy.zfcg.gxzf.gov.cn/），点击右侧咨询小采，获取采小蜜智能服务管家帮助，或拨打广西政府采购云平台服务热线95763获取热线服务帮助。 </w:t>
      </w:r>
    </w:p>
    <w:p w14:paraId="792F669F">
      <w:pPr>
        <w:keepNext w:val="0"/>
        <w:keepLines w:val="0"/>
        <w:pageBreakBefore w:val="0"/>
        <w:widowControl/>
        <w:numPr>
          <w:ilvl w:val="0"/>
          <w:numId w:val="0"/>
        </w:numPr>
        <w:kinsoku/>
        <w:wordWrap/>
        <w:overflowPunct/>
        <w:topLinePunct w:val="0"/>
        <w:autoSpaceDN/>
        <w:bidi w:val="0"/>
        <w:adjustRightInd/>
        <w:spacing w:line="360" w:lineRule="auto"/>
        <w:ind w:firstLine="420" w:firstLineChars="200"/>
        <w:jc w:val="left"/>
        <w:textAlignment w:val="auto"/>
        <w:rPr>
          <w:rFonts w:hint="eastAsia" w:ascii="宋体" w:hAnsi="宋体" w:eastAsia="宋体" w:cs="Times New Roman"/>
          <w:color w:val="auto"/>
          <w:szCs w:val="21"/>
          <w:highlight w:val="none"/>
        </w:rPr>
      </w:pPr>
      <w:r>
        <w:rPr>
          <w:rFonts w:hint="eastAsia" w:ascii="宋体" w:hAnsi="宋体" w:cs="Times New Roman"/>
          <w:color w:val="auto"/>
          <w:szCs w:val="21"/>
          <w:highlight w:val="none"/>
          <w:lang w:val="en-US" w:eastAsia="zh-CN"/>
        </w:rPr>
        <w:t>4.</w:t>
      </w:r>
      <w:r>
        <w:rPr>
          <w:rFonts w:hint="eastAsia" w:ascii="宋体" w:hAnsi="宋体" w:eastAsia="宋体" w:cs="Times New Roman"/>
          <w:color w:val="auto"/>
          <w:szCs w:val="21"/>
          <w:highlight w:val="none"/>
        </w:rPr>
        <w:t>为加大政府采购支持中小企业力度，帮助政府采购中标供应商解决融资难、融资贵的问题，进一步做好线上“政采贷”融资业务工作，如供应商有需要的，详见供应商须知正文后附件：《崇左市线上“政采贷”政策告知函》、《崇左市线上“政采贷”业务流程图》、《崇左市金融机构线上“政采贷”业务办理联络表》。</w:t>
      </w:r>
    </w:p>
    <w:p w14:paraId="299EEE52">
      <w:pPr>
        <w:keepNext w:val="0"/>
        <w:keepLines w:val="0"/>
        <w:pageBreakBefore w:val="0"/>
        <w:widowControl/>
        <w:numPr>
          <w:ilvl w:val="0"/>
          <w:numId w:val="0"/>
        </w:numPr>
        <w:kinsoku/>
        <w:wordWrap/>
        <w:overflowPunct/>
        <w:topLinePunct w:val="0"/>
        <w:autoSpaceDN/>
        <w:bidi w:val="0"/>
        <w:adjustRightInd/>
        <w:spacing w:line="360" w:lineRule="auto"/>
        <w:ind w:firstLine="420" w:firstLineChars="200"/>
        <w:jc w:val="left"/>
        <w:textAlignment w:val="auto"/>
        <w:rPr>
          <w:rFonts w:hint="eastAsia"/>
          <w:color w:val="auto"/>
        </w:rPr>
      </w:pPr>
      <w:r>
        <w:rPr>
          <w:rFonts w:hint="eastAsia" w:ascii="宋体" w:hAnsi="宋体" w:cs="Times New Roman"/>
          <w:color w:val="auto"/>
          <w:szCs w:val="21"/>
          <w:highlight w:val="none"/>
          <w:lang w:val="en-US" w:eastAsia="zh-CN"/>
        </w:rPr>
        <w:t>5.</w:t>
      </w:r>
      <w:r>
        <w:rPr>
          <w:rFonts w:hint="eastAsia" w:ascii="宋体" w:hAnsi="宋体" w:eastAsia="宋体" w:cs="Times New Roman"/>
          <w:color w:val="auto"/>
          <w:szCs w:val="21"/>
          <w:highlight w:val="none"/>
        </w:rPr>
        <w:t>本项目落实的政府采购政策：《政府采购促进中小企业发展管理办法》的通知（2020）46 号、 《关于政府采购支持监狱企业发展有关问题的通知》(财库[2014]68 号) 、《关于促进残疾人就业政府采购 政策的通知》(财库〔2018〕141 号) 、《政府采购竞争性磋商采购方式管理暂行办法》等政府采购政策</w:t>
      </w:r>
      <w:r>
        <w:rPr>
          <w:rFonts w:hint="eastAsia" w:ascii="宋体" w:hAnsi="宋体" w:cs="Times New Roman"/>
          <w:color w:val="auto"/>
          <w:szCs w:val="21"/>
          <w:highlight w:val="none"/>
          <w:lang w:eastAsia="zh-CN"/>
        </w:rPr>
        <w:t>。</w:t>
      </w:r>
    </w:p>
    <w:p w14:paraId="578CAA71">
      <w:pPr>
        <w:keepNext w:val="0"/>
        <w:keepLines w:val="0"/>
        <w:pageBreakBefore w:val="0"/>
        <w:widowControl/>
        <w:numPr>
          <w:ilvl w:val="0"/>
          <w:numId w:val="0"/>
        </w:numPr>
        <w:kinsoku/>
        <w:wordWrap/>
        <w:overflowPunct/>
        <w:topLinePunct w:val="0"/>
        <w:autoSpaceDN/>
        <w:bidi w:val="0"/>
        <w:adjustRightInd/>
        <w:spacing w:line="360" w:lineRule="auto"/>
        <w:ind w:firstLine="422" w:firstLineChars="200"/>
        <w:jc w:val="left"/>
        <w:textAlignment w:val="auto"/>
        <w:rPr>
          <w:rFonts w:hint="eastAsia"/>
          <w:color w:val="auto"/>
        </w:rPr>
      </w:pPr>
      <w:r>
        <w:rPr>
          <w:rFonts w:hint="eastAsia" w:ascii="宋体" w:hAnsi="宋体" w:cs="Times New Roman"/>
          <w:b/>
          <w:bCs/>
          <w:color w:val="auto"/>
          <w:szCs w:val="21"/>
          <w:highlight w:val="none"/>
          <w:lang w:val="en-US" w:eastAsia="zh-CN"/>
        </w:rPr>
        <w:t>6.</w:t>
      </w:r>
      <w:r>
        <w:rPr>
          <w:rFonts w:hint="eastAsia" w:ascii="宋体" w:hAnsi="宋体" w:eastAsia="宋体" w:cs="Times New Roman"/>
          <w:b/>
          <w:bCs/>
          <w:color w:val="auto"/>
          <w:szCs w:val="21"/>
          <w:highlight w:val="none"/>
          <w:lang w:val="en-US" w:eastAsia="zh-CN"/>
        </w:rPr>
        <w:t>评标说明：本项目为远程异地全流程电子评标，评标主会场地址：</w:t>
      </w:r>
      <w:r>
        <w:rPr>
          <w:rFonts w:hint="eastAsia" w:ascii="宋体" w:hAnsi="宋体" w:cs="Times New Roman"/>
          <w:b/>
          <w:bCs/>
          <w:color w:val="auto"/>
          <w:szCs w:val="21"/>
          <w:highlight w:val="none"/>
          <w:lang w:val="en-US" w:eastAsia="zh-CN"/>
        </w:rPr>
        <w:t>广西秉坤项目管理有限公司</w:t>
      </w:r>
      <w:r>
        <w:rPr>
          <w:rFonts w:hint="eastAsia" w:ascii="宋体" w:hAnsi="宋体" w:eastAsia="宋体" w:cs="Times New Roman"/>
          <w:b/>
          <w:bCs/>
          <w:color w:val="auto"/>
          <w:szCs w:val="21"/>
          <w:highlight w:val="none"/>
          <w:lang w:val="en-US" w:eastAsia="zh-CN"/>
        </w:rPr>
        <w:t>开评标室（崇左市花山路与城南路交叉口东北角万沣大厦A座</w:t>
      </w:r>
      <w:r>
        <w:rPr>
          <w:rFonts w:hint="eastAsia" w:ascii="宋体" w:hAnsi="宋体" w:cs="Times New Roman"/>
          <w:b/>
          <w:bCs/>
          <w:color w:val="auto"/>
          <w:szCs w:val="21"/>
          <w:highlight w:val="none"/>
          <w:lang w:val="en-US" w:eastAsia="zh-CN"/>
        </w:rPr>
        <w:t>四</w:t>
      </w:r>
      <w:r>
        <w:rPr>
          <w:rFonts w:hint="eastAsia" w:ascii="宋体" w:hAnsi="宋体" w:eastAsia="宋体" w:cs="Times New Roman"/>
          <w:b/>
          <w:bCs/>
          <w:color w:val="auto"/>
          <w:szCs w:val="21"/>
          <w:highlight w:val="none"/>
          <w:lang w:val="en-US" w:eastAsia="zh-CN"/>
        </w:rPr>
        <w:t>楼</w:t>
      </w:r>
      <w:r>
        <w:rPr>
          <w:rFonts w:hint="eastAsia" w:ascii="宋体" w:hAnsi="宋体" w:cs="Times New Roman"/>
          <w:b/>
          <w:bCs/>
          <w:color w:val="auto"/>
          <w:szCs w:val="21"/>
          <w:highlight w:val="none"/>
          <w:lang w:val="en-US" w:eastAsia="zh-CN"/>
        </w:rPr>
        <w:t>4</w:t>
      </w:r>
      <w:r>
        <w:rPr>
          <w:rFonts w:hint="eastAsia" w:ascii="宋体" w:hAnsi="宋体" w:eastAsia="宋体" w:cs="Times New Roman"/>
          <w:b/>
          <w:bCs/>
          <w:color w:val="auto"/>
          <w:szCs w:val="21"/>
          <w:highlight w:val="none"/>
          <w:lang w:val="en-US" w:eastAsia="zh-CN"/>
        </w:rPr>
        <w:t>06室）；评标分会场地址：</w:t>
      </w:r>
      <w:r>
        <w:rPr>
          <w:rFonts w:hint="eastAsia" w:ascii="宋体" w:hAnsi="宋体" w:cs="Times New Roman"/>
          <w:b/>
          <w:bCs/>
          <w:color w:val="auto"/>
          <w:szCs w:val="21"/>
          <w:highlight w:val="none"/>
          <w:lang w:val="en-US" w:eastAsia="zh-CN"/>
        </w:rPr>
        <w:t>广西百色市右江区龙景锦绣国际5栋1号住宅商铺209楼</w:t>
      </w:r>
      <w:r>
        <w:rPr>
          <w:rFonts w:hint="eastAsia" w:ascii="宋体" w:hAnsi="宋体" w:eastAsia="宋体" w:cs="Times New Roman"/>
          <w:b/>
          <w:bCs/>
          <w:color w:val="auto"/>
          <w:szCs w:val="21"/>
          <w:highlight w:val="none"/>
          <w:lang w:val="en-US" w:eastAsia="zh-CN"/>
        </w:rPr>
        <w:t>。</w:t>
      </w:r>
    </w:p>
    <w:p w14:paraId="6022D6BB">
      <w:pPr>
        <w:keepNext w:val="0"/>
        <w:keepLines w:val="0"/>
        <w:pageBreakBefore w:val="0"/>
        <w:widowControl/>
        <w:numPr>
          <w:ilvl w:val="0"/>
          <w:numId w:val="2"/>
        </w:numPr>
        <w:kinsoku/>
        <w:wordWrap/>
        <w:overflowPunct/>
        <w:topLinePunct w:val="0"/>
        <w:autoSpaceDN/>
        <w:bidi w:val="0"/>
        <w:adjustRightInd/>
        <w:spacing w:line="360" w:lineRule="auto"/>
        <w:ind w:firstLine="452" w:firstLineChars="200"/>
        <w:jc w:val="left"/>
        <w:textAlignment w:val="auto"/>
        <w:rPr>
          <w:rFonts w:hint="eastAsia" w:asciiTheme="majorEastAsia" w:hAnsiTheme="majorEastAsia" w:eastAsiaTheme="majorEastAsia" w:cstheme="majorEastAsia"/>
          <w:color w:val="auto"/>
          <w:sz w:val="21"/>
          <w:szCs w:val="21"/>
        </w:rPr>
      </w:pPr>
      <w:r>
        <w:rPr>
          <w:rFonts w:hint="eastAsia" w:asciiTheme="majorEastAsia" w:hAnsiTheme="majorEastAsia" w:eastAsiaTheme="majorEastAsia" w:cstheme="majorEastAsia"/>
          <w:color w:val="auto"/>
          <w:spacing w:val="8"/>
          <w:sz w:val="21"/>
          <w:szCs w:val="21"/>
        </w:rPr>
        <w:t>监督部门：</w:t>
      </w:r>
      <w:r>
        <w:rPr>
          <w:rFonts w:hint="eastAsia" w:asciiTheme="majorEastAsia" w:hAnsiTheme="majorEastAsia" w:eastAsiaTheme="majorEastAsia" w:cstheme="majorEastAsia"/>
          <w:color w:val="auto"/>
          <w:spacing w:val="8"/>
          <w:sz w:val="21"/>
          <w:szCs w:val="21"/>
          <w:lang w:eastAsia="zh-CN"/>
        </w:rPr>
        <w:t>龙州县财政局政府采购监督管理股</w:t>
      </w:r>
      <w:r>
        <w:rPr>
          <w:rFonts w:hint="eastAsia" w:asciiTheme="majorEastAsia" w:hAnsiTheme="majorEastAsia" w:eastAsiaTheme="majorEastAsia" w:cstheme="majorEastAsia"/>
          <w:color w:val="auto"/>
          <w:spacing w:val="7"/>
          <w:sz w:val="21"/>
          <w:szCs w:val="21"/>
        </w:rPr>
        <w:t xml:space="preserve">     联系电话：</w:t>
      </w:r>
      <w:r>
        <w:rPr>
          <w:rFonts w:hint="eastAsia" w:asciiTheme="majorEastAsia" w:hAnsiTheme="majorEastAsia" w:eastAsiaTheme="majorEastAsia" w:cstheme="majorEastAsia"/>
          <w:color w:val="auto"/>
          <w:spacing w:val="7"/>
          <w:sz w:val="21"/>
          <w:szCs w:val="21"/>
          <w:lang w:eastAsia="zh-CN"/>
        </w:rPr>
        <w:t>0771-8812665</w:t>
      </w:r>
    </w:p>
    <w:p w14:paraId="43E8BD88">
      <w:pPr>
        <w:spacing w:line="360" w:lineRule="auto"/>
        <w:ind w:firstLine="354" w:firstLineChars="147"/>
        <w:rPr>
          <w:rFonts w:ascii="黑体" w:hAnsi="黑体" w:eastAsia="黑体"/>
          <w:b/>
          <w:color w:val="auto"/>
          <w:sz w:val="24"/>
          <w:highlight w:val="none"/>
        </w:rPr>
      </w:pPr>
      <w:r>
        <w:rPr>
          <w:rFonts w:hint="eastAsia" w:ascii="黑体" w:hAnsi="黑体" w:eastAsia="黑体"/>
          <w:b/>
          <w:color w:val="auto"/>
          <w:sz w:val="24"/>
          <w:highlight w:val="none"/>
        </w:rPr>
        <w:t>八、凡对本次采购提出询问，请按</w:t>
      </w:r>
      <w:r>
        <w:rPr>
          <w:rFonts w:ascii="黑体" w:hAnsi="黑体" w:eastAsia="黑体"/>
          <w:b/>
          <w:color w:val="auto"/>
          <w:sz w:val="24"/>
          <w:highlight w:val="none"/>
        </w:rPr>
        <w:t>以下方式</w:t>
      </w:r>
      <w:r>
        <w:rPr>
          <w:rFonts w:hint="eastAsia" w:ascii="黑体" w:hAnsi="黑体" w:eastAsia="黑体"/>
          <w:b/>
          <w:color w:val="auto"/>
          <w:sz w:val="24"/>
          <w:highlight w:val="none"/>
        </w:rPr>
        <w:t>联系。</w:t>
      </w:r>
      <w:bookmarkEnd w:id="45"/>
      <w:bookmarkEnd w:id="46"/>
      <w:bookmarkEnd w:id="47"/>
      <w:bookmarkEnd w:id="48"/>
      <w:bookmarkEnd w:id="49"/>
    </w:p>
    <w:bookmarkEnd w:id="2"/>
    <w:p w14:paraId="5EAC2372">
      <w:pPr>
        <w:keepNext/>
        <w:keepLines/>
        <w:pageBreakBefore w:val="0"/>
        <w:widowControl w:val="0"/>
        <w:kinsoku/>
        <w:wordWrap/>
        <w:overflowPunct/>
        <w:topLinePunct w:val="0"/>
        <w:autoSpaceDE/>
        <w:autoSpaceDN/>
        <w:bidi w:val="0"/>
        <w:adjustRightInd/>
        <w:snapToGrid/>
        <w:spacing w:before="0" w:after="0" w:line="500" w:lineRule="exact"/>
        <w:ind w:left="0" w:leftChars="0" w:firstLine="420" w:firstLineChars="200"/>
        <w:jc w:val="both"/>
        <w:textAlignment w:val="auto"/>
        <w:outlineLvl w:val="1"/>
        <w:rPr>
          <w:rFonts w:hint="eastAsia" w:ascii="宋体" w:hAnsi="宋体" w:eastAsia="宋体" w:cs="宋体"/>
          <w:b w:val="0"/>
          <w:bCs/>
          <w:color w:val="auto"/>
          <w:kern w:val="2"/>
          <w:sz w:val="21"/>
          <w:szCs w:val="21"/>
          <w:highlight w:val="none"/>
          <w:lang w:val="en-US" w:eastAsia="zh-CN" w:bidi="ar-SA"/>
        </w:rPr>
      </w:pPr>
      <w:bookmarkStart w:id="53" w:name="_Toc20466"/>
      <w:bookmarkStart w:id="54" w:name="_Toc35393806"/>
      <w:bookmarkStart w:id="55" w:name="_Toc28359019"/>
      <w:bookmarkStart w:id="56" w:name="_Toc28359096"/>
      <w:bookmarkStart w:id="57" w:name="_Toc29047"/>
      <w:bookmarkStart w:id="58" w:name="_Toc10123"/>
      <w:bookmarkStart w:id="59" w:name="_Toc35393637"/>
      <w:r>
        <w:rPr>
          <w:rFonts w:hint="eastAsia" w:ascii="宋体" w:hAnsi="宋体" w:eastAsia="宋体" w:cs="宋体"/>
          <w:b w:val="0"/>
          <w:bCs/>
          <w:color w:val="auto"/>
          <w:kern w:val="2"/>
          <w:sz w:val="21"/>
          <w:szCs w:val="21"/>
          <w:highlight w:val="none"/>
          <w:lang w:val="en-US" w:eastAsia="zh-CN" w:bidi="ar-SA"/>
        </w:rPr>
        <w:t>1.采购人信息</w:t>
      </w:r>
      <w:bookmarkEnd w:id="53"/>
      <w:bookmarkEnd w:id="54"/>
      <w:bookmarkEnd w:id="55"/>
      <w:bookmarkEnd w:id="56"/>
      <w:bookmarkEnd w:id="57"/>
      <w:bookmarkEnd w:id="58"/>
      <w:bookmarkEnd w:id="59"/>
    </w:p>
    <w:p w14:paraId="3B0E5401">
      <w:pPr>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rPr>
        <w:t>名    称：</w:t>
      </w:r>
      <w:r>
        <w:rPr>
          <w:rFonts w:hint="eastAsia" w:ascii="宋体" w:hAnsi="宋体" w:cs="宋体"/>
          <w:color w:val="auto"/>
          <w:sz w:val="21"/>
          <w:szCs w:val="21"/>
          <w:highlight w:val="none"/>
          <w:u w:val="none"/>
          <w:lang w:eastAsia="zh-CN"/>
        </w:rPr>
        <w:t>龙州县交通运输局</w:t>
      </w:r>
    </w:p>
    <w:p w14:paraId="133AAFFE">
      <w:pPr>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地    址：</w:t>
      </w:r>
      <w:r>
        <w:rPr>
          <w:rFonts w:hint="eastAsia" w:ascii="宋体" w:hAnsi="宋体" w:cs="宋体"/>
          <w:color w:val="auto"/>
          <w:sz w:val="21"/>
          <w:szCs w:val="21"/>
          <w:highlight w:val="none"/>
          <w:u w:val="none"/>
          <w:lang w:eastAsia="zh-CN"/>
        </w:rPr>
        <w:t>龙州县城北路 22 号</w:t>
      </w:r>
    </w:p>
    <w:p w14:paraId="057B011D">
      <w:pPr>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项目</w:t>
      </w:r>
      <w:r>
        <w:rPr>
          <w:rFonts w:hint="eastAsia" w:ascii="宋体" w:hAnsi="宋体" w:eastAsia="宋体" w:cs="宋体"/>
          <w:color w:val="auto"/>
          <w:sz w:val="21"/>
          <w:szCs w:val="21"/>
          <w:highlight w:val="none"/>
          <w:u w:val="none"/>
          <w:lang w:eastAsia="zh-CN"/>
        </w:rPr>
        <w:t>联系方式：</w:t>
      </w:r>
      <w:r>
        <w:rPr>
          <w:rFonts w:hint="eastAsia" w:ascii="宋体" w:hAnsi="宋体" w:cs="宋体"/>
          <w:color w:val="auto"/>
          <w:sz w:val="21"/>
          <w:szCs w:val="21"/>
          <w:highlight w:val="none"/>
          <w:u w:val="none"/>
          <w:lang w:val="en-US" w:eastAsia="zh-CN"/>
        </w:rPr>
        <w:t>0771-8821868</w:t>
      </w:r>
    </w:p>
    <w:p w14:paraId="7E580B0E">
      <w:pPr>
        <w:keepNext/>
        <w:keepLines/>
        <w:pageBreakBefore w:val="0"/>
        <w:widowControl w:val="0"/>
        <w:kinsoku/>
        <w:wordWrap/>
        <w:overflowPunct/>
        <w:topLinePunct w:val="0"/>
        <w:autoSpaceDE/>
        <w:autoSpaceDN/>
        <w:bidi w:val="0"/>
        <w:adjustRightInd/>
        <w:snapToGrid/>
        <w:spacing w:before="0" w:after="0" w:line="500" w:lineRule="exact"/>
        <w:ind w:left="0" w:leftChars="0" w:firstLine="420" w:firstLineChars="200"/>
        <w:jc w:val="both"/>
        <w:textAlignment w:val="auto"/>
        <w:outlineLvl w:val="1"/>
        <w:rPr>
          <w:rFonts w:hint="eastAsia" w:ascii="宋体" w:hAnsi="宋体" w:eastAsia="宋体" w:cs="宋体"/>
          <w:b w:val="0"/>
          <w:bCs/>
          <w:color w:val="auto"/>
          <w:kern w:val="2"/>
          <w:sz w:val="21"/>
          <w:szCs w:val="21"/>
          <w:highlight w:val="none"/>
          <w:u w:val="none"/>
          <w:lang w:val="en-US" w:eastAsia="zh-CN" w:bidi="ar-SA"/>
        </w:rPr>
      </w:pPr>
      <w:bookmarkStart w:id="60" w:name="_Toc28359020"/>
      <w:bookmarkStart w:id="61" w:name="_Toc35393638"/>
      <w:bookmarkStart w:id="62" w:name="_Toc10251"/>
      <w:bookmarkStart w:id="63" w:name="_Toc28359097"/>
      <w:bookmarkStart w:id="64" w:name="_Toc35393807"/>
      <w:bookmarkStart w:id="65" w:name="_Toc30714"/>
      <w:bookmarkStart w:id="66" w:name="_Toc5906"/>
      <w:r>
        <w:rPr>
          <w:rFonts w:hint="eastAsia" w:ascii="宋体" w:hAnsi="宋体" w:eastAsia="宋体" w:cs="宋体"/>
          <w:b w:val="0"/>
          <w:bCs/>
          <w:color w:val="auto"/>
          <w:kern w:val="2"/>
          <w:sz w:val="21"/>
          <w:szCs w:val="21"/>
          <w:highlight w:val="none"/>
          <w:u w:val="none"/>
          <w:lang w:val="en-US" w:eastAsia="zh-CN" w:bidi="ar-SA"/>
        </w:rPr>
        <w:t>2.采购代理机构信息</w:t>
      </w:r>
      <w:bookmarkEnd w:id="60"/>
      <w:bookmarkEnd w:id="61"/>
      <w:bookmarkEnd w:id="62"/>
      <w:bookmarkEnd w:id="63"/>
      <w:bookmarkEnd w:id="64"/>
      <w:bookmarkEnd w:id="65"/>
      <w:bookmarkEnd w:id="66"/>
    </w:p>
    <w:p w14:paraId="38DFFA6D">
      <w:pPr>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rPr>
        <w:t>名    称：</w:t>
      </w:r>
      <w:r>
        <w:rPr>
          <w:rFonts w:hint="eastAsia" w:ascii="宋体" w:hAnsi="宋体" w:cs="宋体"/>
          <w:color w:val="auto"/>
          <w:sz w:val="21"/>
          <w:szCs w:val="21"/>
          <w:highlight w:val="none"/>
          <w:u w:val="none"/>
          <w:lang w:eastAsia="zh-CN"/>
        </w:rPr>
        <w:t>广西秉坤项目管理有限公司</w:t>
      </w:r>
    </w:p>
    <w:p w14:paraId="5F02C295">
      <w:pPr>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rPr>
        <w:t>地　　址：</w:t>
      </w:r>
      <w:r>
        <w:rPr>
          <w:rFonts w:hint="eastAsia" w:ascii="宋体" w:hAnsi="宋体" w:cs="宋体"/>
          <w:color w:val="auto"/>
          <w:sz w:val="21"/>
          <w:szCs w:val="21"/>
          <w:highlight w:val="none"/>
          <w:lang w:eastAsia="zh-CN"/>
        </w:rPr>
        <w:t>崇左市花山路与城南路交叉口的东北角万沣大厦A座四楼406室</w:t>
      </w:r>
    </w:p>
    <w:p w14:paraId="493665A3">
      <w:pPr>
        <w:keepNext/>
        <w:keepLines/>
        <w:pageBreakBefore w:val="0"/>
        <w:widowControl w:val="0"/>
        <w:kinsoku/>
        <w:wordWrap/>
        <w:overflowPunct/>
        <w:topLinePunct w:val="0"/>
        <w:autoSpaceDE/>
        <w:autoSpaceDN/>
        <w:bidi w:val="0"/>
        <w:adjustRightInd/>
        <w:snapToGrid/>
        <w:spacing w:before="0" w:after="0" w:line="500" w:lineRule="exact"/>
        <w:ind w:firstLine="420" w:firstLineChars="200"/>
        <w:jc w:val="both"/>
        <w:textAlignment w:val="auto"/>
        <w:outlineLvl w:val="1"/>
        <w:rPr>
          <w:rFonts w:hint="default" w:ascii="宋体" w:hAnsi="宋体" w:eastAsia="宋体" w:cs="宋体"/>
          <w:color w:val="auto"/>
          <w:sz w:val="21"/>
          <w:szCs w:val="21"/>
          <w:highlight w:val="none"/>
          <w:u w:val="none"/>
          <w:lang w:val="en-US" w:eastAsia="zh-CN"/>
        </w:rPr>
      </w:pPr>
      <w:bookmarkStart w:id="67" w:name="_Toc26600"/>
      <w:bookmarkStart w:id="68" w:name="_Toc24442"/>
      <w:bookmarkStart w:id="69" w:name="_Toc16949"/>
      <w:bookmarkStart w:id="70" w:name="_Toc28359021"/>
      <w:bookmarkStart w:id="71" w:name="_Toc35393639"/>
      <w:bookmarkStart w:id="72" w:name="_Toc35393808"/>
      <w:bookmarkStart w:id="73" w:name="_Toc28359098"/>
      <w:r>
        <w:rPr>
          <w:rFonts w:hint="eastAsia" w:ascii="宋体" w:hAnsi="宋体" w:eastAsia="宋体" w:cs="宋体"/>
          <w:color w:val="auto"/>
          <w:sz w:val="21"/>
          <w:szCs w:val="21"/>
          <w:highlight w:val="none"/>
          <w:u w:val="none"/>
          <w:lang w:val="en-US" w:eastAsia="zh-CN"/>
        </w:rPr>
        <w:t>项目联系人：</w:t>
      </w:r>
      <w:bookmarkEnd w:id="67"/>
      <w:bookmarkEnd w:id="68"/>
      <w:bookmarkEnd w:id="69"/>
      <w:r>
        <w:rPr>
          <w:rFonts w:hint="eastAsia" w:ascii="宋体" w:hAnsi="宋体" w:cs="宋体"/>
          <w:color w:val="auto"/>
          <w:sz w:val="21"/>
          <w:szCs w:val="21"/>
          <w:highlight w:val="none"/>
          <w:u w:val="none"/>
          <w:lang w:val="en-US" w:eastAsia="zh-CN"/>
        </w:rPr>
        <w:t>农爱甜</w:t>
      </w:r>
    </w:p>
    <w:p w14:paraId="562EA815">
      <w:pPr>
        <w:keepNext/>
        <w:keepLines/>
        <w:pageBreakBefore w:val="0"/>
        <w:widowControl w:val="0"/>
        <w:kinsoku/>
        <w:wordWrap/>
        <w:overflowPunct/>
        <w:topLinePunct w:val="0"/>
        <w:autoSpaceDE/>
        <w:autoSpaceDN/>
        <w:bidi w:val="0"/>
        <w:adjustRightInd/>
        <w:snapToGrid/>
        <w:spacing w:before="0" w:after="0" w:line="500" w:lineRule="exact"/>
        <w:ind w:firstLine="420" w:firstLineChars="200"/>
        <w:jc w:val="both"/>
        <w:textAlignment w:val="auto"/>
        <w:outlineLvl w:val="1"/>
        <w:rPr>
          <w:rFonts w:hint="default" w:ascii="宋体" w:hAnsi="宋体" w:eastAsia="宋体" w:cs="宋体"/>
          <w:b w:val="0"/>
          <w:bCs/>
          <w:color w:val="auto"/>
          <w:kern w:val="2"/>
          <w:sz w:val="21"/>
          <w:szCs w:val="21"/>
          <w:highlight w:val="none"/>
          <w:u w:val="none"/>
          <w:lang w:val="en-US" w:eastAsia="zh-CN" w:bidi="ar-SA"/>
        </w:rPr>
      </w:pPr>
      <w:bookmarkStart w:id="74" w:name="_Toc27680"/>
      <w:bookmarkStart w:id="75" w:name="_Toc10953"/>
      <w:bookmarkStart w:id="76" w:name="_Toc25733"/>
      <w:r>
        <w:rPr>
          <w:rFonts w:hint="eastAsia" w:ascii="宋体" w:hAnsi="宋体" w:eastAsia="宋体" w:cs="宋体"/>
          <w:b w:val="0"/>
          <w:bCs/>
          <w:color w:val="auto"/>
          <w:kern w:val="2"/>
          <w:sz w:val="21"/>
          <w:szCs w:val="21"/>
          <w:highlight w:val="none"/>
          <w:u w:val="none"/>
          <w:lang w:val="en-US" w:eastAsia="zh-CN" w:bidi="ar-SA"/>
        </w:rPr>
        <w:t>项目联系方式</w:t>
      </w:r>
      <w:bookmarkEnd w:id="70"/>
      <w:bookmarkEnd w:id="71"/>
      <w:bookmarkEnd w:id="72"/>
      <w:bookmarkEnd w:id="73"/>
      <w:r>
        <w:rPr>
          <w:rFonts w:hint="eastAsia" w:ascii="宋体" w:hAnsi="宋体" w:eastAsia="宋体" w:cs="宋体"/>
          <w:b w:val="0"/>
          <w:bCs/>
          <w:color w:val="auto"/>
          <w:kern w:val="2"/>
          <w:sz w:val="21"/>
          <w:szCs w:val="21"/>
          <w:highlight w:val="none"/>
          <w:u w:val="none"/>
          <w:lang w:val="en-US" w:eastAsia="zh-CN" w:bidi="ar-SA"/>
        </w:rPr>
        <w:t>：</w:t>
      </w:r>
      <w:bookmarkEnd w:id="74"/>
      <w:bookmarkEnd w:id="75"/>
      <w:bookmarkEnd w:id="76"/>
      <w:r>
        <w:rPr>
          <w:rFonts w:hint="eastAsia" w:ascii="宋体" w:hAnsi="宋体" w:cs="宋体"/>
          <w:b w:val="0"/>
          <w:bCs/>
          <w:color w:val="auto"/>
          <w:kern w:val="2"/>
          <w:sz w:val="21"/>
          <w:szCs w:val="21"/>
          <w:highlight w:val="none"/>
          <w:u w:val="none"/>
          <w:lang w:val="en-US" w:eastAsia="zh-CN" w:bidi="ar-SA"/>
        </w:rPr>
        <w:t>0771-7821988</w:t>
      </w:r>
    </w:p>
    <w:p w14:paraId="1C0243E6">
      <w:pPr>
        <w:spacing w:line="360" w:lineRule="auto"/>
        <w:ind w:firstLine="420" w:firstLineChars="200"/>
        <w:rPr>
          <w:rFonts w:ascii="方正小标宋简体" w:eastAsia="方正小标宋简体"/>
          <w:color w:val="auto"/>
          <w:sz w:val="32"/>
          <w:szCs w:val="32"/>
          <w:highlight w:val="none"/>
        </w:rPr>
      </w:pPr>
      <w:r>
        <w:rPr>
          <w:rFonts w:ascii="宋体" w:hAnsi="宋体" w:cs="Arial"/>
          <w:color w:val="auto"/>
          <w:szCs w:val="21"/>
          <w:highlight w:val="none"/>
        </w:rPr>
        <w:br w:type="page"/>
      </w:r>
    </w:p>
    <w:p w14:paraId="6BB2198F">
      <w:pPr>
        <w:pStyle w:val="2"/>
        <w:keepNext/>
        <w:keepLines/>
        <w:pageBreakBefore w:val="0"/>
        <w:widowControl w:val="0"/>
        <w:kinsoku/>
        <w:wordWrap/>
        <w:overflowPunct/>
        <w:topLinePunct w:val="0"/>
        <w:autoSpaceDE/>
        <w:autoSpaceDN/>
        <w:bidi w:val="0"/>
        <w:adjustRightInd/>
        <w:snapToGrid/>
        <w:spacing w:before="300" w:after="60" w:line="360" w:lineRule="auto"/>
        <w:jc w:val="center"/>
        <w:textAlignment w:val="auto"/>
        <w:rPr>
          <w:color w:val="auto"/>
          <w:highlight w:val="none"/>
        </w:rPr>
      </w:pPr>
      <w:bookmarkStart w:id="77" w:name="_Toc12425"/>
      <w:r>
        <w:rPr>
          <w:rFonts w:hint="eastAsia"/>
          <w:color w:val="auto"/>
          <w:highlight w:val="none"/>
        </w:rPr>
        <w:t>第二章</w:t>
      </w:r>
      <w:r>
        <w:rPr>
          <w:rFonts w:hint="eastAsia"/>
          <w:color w:val="auto"/>
          <w:highlight w:val="none"/>
          <w:lang w:val="en-US" w:eastAsia="zh-CN"/>
        </w:rPr>
        <w:t xml:space="preserve"> </w:t>
      </w:r>
      <w:r>
        <w:rPr>
          <w:rFonts w:hint="eastAsia"/>
          <w:color w:val="auto"/>
          <w:highlight w:val="none"/>
        </w:rPr>
        <w:t>供应商须知</w:t>
      </w:r>
      <w:bookmarkEnd w:id="77"/>
    </w:p>
    <w:p w14:paraId="3D09F4F3">
      <w:pPr>
        <w:spacing w:line="400" w:lineRule="exact"/>
        <w:jc w:val="center"/>
        <w:rPr>
          <w:rFonts w:ascii="宋体" w:hAnsi="宋体"/>
          <w:b/>
          <w:color w:val="auto"/>
          <w:sz w:val="32"/>
          <w:szCs w:val="32"/>
          <w:highlight w:val="none"/>
        </w:rPr>
      </w:pPr>
      <w:r>
        <w:rPr>
          <w:rFonts w:hint="eastAsia" w:ascii="宋体" w:hAnsi="宋体"/>
          <w:b/>
          <w:color w:val="auto"/>
          <w:sz w:val="32"/>
          <w:szCs w:val="32"/>
          <w:highlight w:val="none"/>
        </w:rPr>
        <w:t>供应商须知前附表</w:t>
      </w:r>
    </w:p>
    <w:tbl>
      <w:tblPr>
        <w:tblStyle w:val="44"/>
        <w:tblW w:w="972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7"/>
        <w:gridCol w:w="983"/>
        <w:gridCol w:w="8079"/>
      </w:tblGrid>
      <w:tr w14:paraId="7B98B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tcPr>
          <w:p w14:paraId="0E4150D5">
            <w:pPr>
              <w:spacing w:line="360" w:lineRule="auto"/>
              <w:jc w:val="center"/>
              <w:rPr>
                <w:rFonts w:hint="default" w:ascii="宋体" w:hAnsi="宋体" w:eastAsia="宋体" w:cs="宋体"/>
                <w:b/>
                <w:color w:val="auto"/>
                <w:szCs w:val="21"/>
                <w:highlight w:val="none"/>
                <w:lang w:val="en-US" w:eastAsia="zh-CN"/>
              </w:rPr>
            </w:pPr>
            <w:r>
              <w:rPr>
                <w:rFonts w:hint="eastAsia" w:ascii="宋体" w:hAnsi="宋体" w:cs="宋体"/>
                <w:b/>
                <w:color w:val="auto"/>
                <w:szCs w:val="21"/>
                <w:highlight w:val="none"/>
                <w:lang w:val="en-US" w:eastAsia="zh-CN"/>
              </w:rPr>
              <w:t>项号</w:t>
            </w:r>
          </w:p>
        </w:tc>
        <w:tc>
          <w:tcPr>
            <w:tcW w:w="983" w:type="dxa"/>
          </w:tcPr>
          <w:p w14:paraId="04B904A3">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条款号</w:t>
            </w:r>
          </w:p>
        </w:tc>
        <w:tc>
          <w:tcPr>
            <w:tcW w:w="8079" w:type="dxa"/>
          </w:tcPr>
          <w:p w14:paraId="0764CFFB">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内    容</w:t>
            </w:r>
          </w:p>
        </w:tc>
      </w:tr>
      <w:tr w14:paraId="6FB4FD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457E72B3">
            <w:pPr>
              <w:spacing w:line="360" w:lineRule="auto"/>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983" w:type="dxa"/>
            <w:vAlign w:val="center"/>
          </w:tcPr>
          <w:p w14:paraId="47DFCF60">
            <w:pPr>
              <w:spacing w:line="360" w:lineRule="auto"/>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1.1</w:t>
            </w:r>
          </w:p>
        </w:tc>
        <w:tc>
          <w:tcPr>
            <w:tcW w:w="8079" w:type="dxa"/>
          </w:tcPr>
          <w:p w14:paraId="14F2E76E">
            <w:pPr>
              <w:spacing w:line="360" w:lineRule="auto"/>
              <w:rPr>
                <w:color w:val="auto"/>
              </w:rPr>
            </w:pPr>
            <w:r>
              <w:rPr>
                <w:color w:val="auto"/>
                <w:spacing w:val="8"/>
              </w:rPr>
              <w:t>项目名称：</w:t>
            </w:r>
            <w:r>
              <w:rPr>
                <w:rFonts w:hint="eastAsia" w:ascii="宋体" w:hAnsi="宋体"/>
                <w:color w:val="auto"/>
                <w:szCs w:val="21"/>
                <w:highlight w:val="none"/>
                <w:u w:val="none"/>
                <w:lang w:eastAsia="zh-CN"/>
              </w:rPr>
              <w:t>2024年那堪至龙州公路安防工程</w:t>
            </w:r>
          </w:p>
          <w:p w14:paraId="182C3AE8">
            <w:pPr>
              <w:spacing w:line="360" w:lineRule="auto"/>
              <w:rPr>
                <w:rFonts w:hint="eastAsia"/>
                <w:color w:val="auto"/>
                <w:spacing w:val="8"/>
                <w:lang w:eastAsia="zh-CN"/>
              </w:rPr>
            </w:pPr>
            <w:r>
              <w:rPr>
                <w:color w:val="auto"/>
                <w:spacing w:val="8"/>
              </w:rPr>
              <w:t>项目编号：</w:t>
            </w:r>
            <w:r>
              <w:rPr>
                <w:rFonts w:hint="eastAsia"/>
                <w:color w:val="auto"/>
                <w:spacing w:val="8"/>
              </w:rPr>
              <w:t>CZZC2025-C2-230058-GXBK</w:t>
            </w:r>
          </w:p>
          <w:p w14:paraId="7BF2F98C">
            <w:pPr>
              <w:spacing w:line="360" w:lineRule="auto"/>
              <w:rPr>
                <w:color w:val="auto"/>
                <w:spacing w:val="8"/>
              </w:rPr>
            </w:pPr>
            <w:r>
              <w:rPr>
                <w:color w:val="auto"/>
                <w:spacing w:val="8"/>
              </w:rPr>
              <w:t>建设地点：</w:t>
            </w:r>
            <w:r>
              <w:rPr>
                <w:rFonts w:hint="eastAsia"/>
                <w:color w:val="auto"/>
                <w:spacing w:val="8"/>
                <w:lang w:val="en-US" w:eastAsia="zh-CN"/>
              </w:rPr>
              <w:t>龙州县</w:t>
            </w:r>
            <w:r>
              <w:rPr>
                <w:color w:val="auto"/>
                <w:spacing w:val="8"/>
              </w:rPr>
              <w:t>。</w:t>
            </w:r>
          </w:p>
          <w:p w14:paraId="441D4527">
            <w:pPr>
              <w:spacing w:line="360" w:lineRule="auto"/>
              <w:rPr>
                <w:rFonts w:hint="eastAsia" w:eastAsia="宋体"/>
                <w:color w:val="auto"/>
                <w:spacing w:val="8"/>
                <w:lang w:eastAsia="zh-CN"/>
              </w:rPr>
            </w:pPr>
            <w:r>
              <w:rPr>
                <w:color w:val="auto"/>
                <w:spacing w:val="8"/>
              </w:rPr>
              <w:t>发包方式： 固定综合单价包干</w:t>
            </w:r>
            <w:r>
              <w:rPr>
                <w:rFonts w:hint="eastAsia"/>
                <w:color w:val="auto"/>
                <w:spacing w:val="8"/>
                <w:lang w:eastAsia="zh-CN"/>
              </w:rPr>
              <w:t>。</w:t>
            </w:r>
          </w:p>
          <w:p w14:paraId="585BD069">
            <w:pPr>
              <w:spacing w:line="360" w:lineRule="auto"/>
              <w:rPr>
                <w:rFonts w:hint="eastAsia" w:eastAsia="宋体"/>
                <w:color w:val="auto"/>
                <w:spacing w:val="8"/>
                <w:lang w:eastAsia="zh-CN"/>
              </w:rPr>
            </w:pPr>
            <w:r>
              <w:rPr>
                <w:color w:val="auto"/>
                <w:spacing w:val="8"/>
              </w:rPr>
              <w:t>工程质量要求：合格</w:t>
            </w:r>
            <w:r>
              <w:rPr>
                <w:rFonts w:hint="eastAsia"/>
                <w:color w:val="auto"/>
                <w:spacing w:val="8"/>
                <w:lang w:eastAsia="zh-CN"/>
              </w:rPr>
              <w:t>。</w:t>
            </w:r>
          </w:p>
          <w:p w14:paraId="5FEEF753">
            <w:pPr>
              <w:spacing w:line="360" w:lineRule="auto"/>
              <w:rPr>
                <w:rFonts w:hint="eastAsia" w:eastAsia="宋体"/>
                <w:color w:val="auto"/>
                <w:spacing w:val="8"/>
                <w:lang w:eastAsia="zh-CN"/>
              </w:rPr>
            </w:pPr>
            <w:r>
              <w:rPr>
                <w:color w:val="auto"/>
                <w:spacing w:val="8"/>
              </w:rPr>
              <w:t>开工时间：签订合同后，以建设单位通知为准</w:t>
            </w:r>
            <w:r>
              <w:rPr>
                <w:rFonts w:hint="eastAsia"/>
                <w:color w:val="auto"/>
                <w:spacing w:val="8"/>
                <w:lang w:eastAsia="zh-CN"/>
              </w:rPr>
              <w:t>。</w:t>
            </w:r>
          </w:p>
          <w:p w14:paraId="06D89002">
            <w:pPr>
              <w:spacing w:line="360" w:lineRule="auto"/>
              <w:rPr>
                <w:color w:val="auto"/>
                <w:spacing w:val="8"/>
              </w:rPr>
            </w:pPr>
            <w:r>
              <w:rPr>
                <w:color w:val="auto"/>
                <w:spacing w:val="8"/>
              </w:rPr>
              <w:t>计税方法：一般计税。</w:t>
            </w:r>
          </w:p>
          <w:p w14:paraId="447D5253">
            <w:pPr>
              <w:spacing w:line="360" w:lineRule="auto"/>
              <w:rPr>
                <w:rFonts w:hint="eastAsia" w:eastAsia="宋体"/>
                <w:color w:val="auto"/>
                <w:spacing w:val="8"/>
                <w:lang w:eastAsia="zh-CN"/>
              </w:rPr>
            </w:pPr>
            <w:r>
              <w:rPr>
                <w:color w:val="auto"/>
                <w:spacing w:val="8"/>
              </w:rPr>
              <w:t>要求工</w:t>
            </w:r>
            <w:r>
              <w:rPr>
                <w:color w:val="auto"/>
                <w:spacing w:val="8"/>
              </w:rPr>
              <w:t>期：</w:t>
            </w:r>
            <w:r>
              <w:rPr>
                <w:rFonts w:hint="eastAsia"/>
                <w:color w:val="auto"/>
                <w:spacing w:val="8"/>
                <w:lang w:val="en-US" w:eastAsia="zh-CN"/>
              </w:rPr>
              <w:t>90</w:t>
            </w:r>
            <w:r>
              <w:rPr>
                <w:color w:val="auto"/>
                <w:spacing w:val="8"/>
              </w:rPr>
              <w:t xml:space="preserve"> 日历天</w:t>
            </w:r>
            <w:r>
              <w:rPr>
                <w:rFonts w:hint="eastAsia"/>
                <w:color w:val="auto"/>
                <w:spacing w:val="8"/>
                <w:lang w:eastAsia="zh-CN"/>
              </w:rPr>
              <w:t>。</w:t>
            </w:r>
          </w:p>
          <w:p w14:paraId="1DCA16EF">
            <w:pPr>
              <w:spacing w:line="360" w:lineRule="auto"/>
              <w:rPr>
                <w:color w:val="auto"/>
                <w:spacing w:val="8"/>
              </w:rPr>
            </w:pPr>
            <w:r>
              <w:rPr>
                <w:color w:val="auto"/>
                <w:spacing w:val="8"/>
              </w:rPr>
              <w:t>工程概况：</w:t>
            </w:r>
            <w:r>
              <w:rPr>
                <w:rFonts w:hint="eastAsia" w:ascii="宋体" w:hAnsi="宋体"/>
                <w:color w:val="auto"/>
                <w:szCs w:val="21"/>
                <w:highlight w:val="none"/>
                <w:u w:val="none"/>
                <w:lang w:eastAsia="zh-CN"/>
              </w:rPr>
              <w:t>龙州县2024年那堪至龙州公路安防工程，公路为三级公路,路线全长</w:t>
            </w:r>
            <w:r>
              <w:rPr>
                <w:rFonts w:hint="eastAsia" w:ascii="宋体" w:hAnsi="宋体"/>
                <w:color w:val="auto"/>
                <w:szCs w:val="21"/>
                <w:highlight w:val="none"/>
                <w:u w:val="none"/>
                <w:lang w:val="en-US" w:eastAsia="zh-CN"/>
              </w:rPr>
              <w:t>24.5</w:t>
            </w:r>
            <w:r>
              <w:rPr>
                <w:rFonts w:hint="eastAsia" w:ascii="宋体" w:hAnsi="宋体"/>
                <w:color w:val="auto"/>
                <w:szCs w:val="21"/>
                <w:highlight w:val="none"/>
                <w:u w:val="none"/>
                <w:lang w:eastAsia="zh-CN"/>
              </w:rPr>
              <w:t>km。设计速度40km/h；旧路路基宽度：宽</w:t>
            </w:r>
            <w:r>
              <w:rPr>
                <w:rFonts w:hint="eastAsia" w:ascii="宋体" w:hAnsi="宋体"/>
                <w:color w:val="auto"/>
                <w:szCs w:val="21"/>
                <w:highlight w:val="none"/>
                <w:u w:val="none"/>
                <w:lang w:val="en-US" w:eastAsia="zh-CN"/>
              </w:rPr>
              <w:t>7.5</w:t>
            </w:r>
            <w:r>
              <w:rPr>
                <w:rFonts w:hint="eastAsia" w:ascii="宋体" w:hAnsi="宋体"/>
                <w:color w:val="auto"/>
                <w:szCs w:val="21"/>
                <w:highlight w:val="none"/>
                <w:u w:val="none"/>
                <w:lang w:eastAsia="zh-CN"/>
              </w:rPr>
              <w:t>m；旧路路面宽度：宽</w:t>
            </w:r>
            <w:r>
              <w:rPr>
                <w:rFonts w:hint="eastAsia" w:ascii="宋体" w:hAnsi="宋体"/>
                <w:color w:val="auto"/>
                <w:szCs w:val="21"/>
                <w:highlight w:val="none"/>
                <w:u w:val="none"/>
                <w:lang w:val="en-US" w:eastAsia="zh-CN"/>
              </w:rPr>
              <w:t>6.</w:t>
            </w:r>
            <w:r>
              <w:rPr>
                <w:rFonts w:hint="eastAsia" w:ascii="宋体" w:hAnsi="宋体"/>
                <w:color w:val="auto"/>
                <w:szCs w:val="21"/>
                <w:highlight w:val="none"/>
                <w:u w:val="none"/>
                <w:lang w:eastAsia="zh-CN"/>
              </w:rPr>
              <w:t>0m。具体内容详见工程量清单及图纸</w:t>
            </w:r>
            <w:r>
              <w:rPr>
                <w:color w:val="auto"/>
                <w:spacing w:val="8"/>
              </w:rPr>
              <w:t>。</w:t>
            </w:r>
          </w:p>
          <w:p w14:paraId="6C5046E4">
            <w:pPr>
              <w:spacing w:line="360" w:lineRule="auto"/>
              <w:rPr>
                <w:rFonts w:hint="eastAsia" w:ascii="宋体" w:hAnsi="宋体" w:cs="宋体"/>
                <w:b/>
                <w:color w:val="auto"/>
                <w:szCs w:val="21"/>
                <w:highlight w:val="none"/>
              </w:rPr>
            </w:pPr>
            <w:r>
              <w:rPr>
                <w:color w:val="auto"/>
                <w:spacing w:val="8"/>
              </w:rPr>
              <w:t>本项目所属行业为“建筑业 ”（详见附件一）。</w:t>
            </w:r>
          </w:p>
        </w:tc>
      </w:tr>
      <w:tr w14:paraId="4D6B63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jc w:val="center"/>
        </w:trPr>
        <w:tc>
          <w:tcPr>
            <w:tcW w:w="667" w:type="dxa"/>
            <w:vAlign w:val="center"/>
          </w:tcPr>
          <w:p w14:paraId="436C3FF2">
            <w:pPr>
              <w:spacing w:line="360" w:lineRule="auto"/>
              <w:jc w:val="both"/>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2</w:t>
            </w:r>
          </w:p>
        </w:tc>
        <w:tc>
          <w:tcPr>
            <w:tcW w:w="983" w:type="dxa"/>
            <w:vAlign w:val="center"/>
          </w:tcPr>
          <w:p w14:paraId="3F43BFDE">
            <w:pPr>
              <w:spacing w:line="360" w:lineRule="auto"/>
              <w:jc w:val="both"/>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2</w:t>
            </w:r>
          </w:p>
        </w:tc>
        <w:tc>
          <w:tcPr>
            <w:tcW w:w="8079" w:type="dxa"/>
            <w:vAlign w:val="center"/>
          </w:tcPr>
          <w:p w14:paraId="3D937BAB">
            <w:pPr>
              <w:spacing w:line="360" w:lineRule="auto"/>
              <w:jc w:val="both"/>
              <w:rPr>
                <w:color w:val="auto"/>
                <w:spacing w:val="7"/>
              </w:rPr>
            </w:pPr>
            <w:r>
              <w:rPr>
                <w:color w:val="auto"/>
                <w:spacing w:val="4"/>
              </w:rPr>
              <w:t>资金来源： 政府预算资金</w:t>
            </w:r>
          </w:p>
        </w:tc>
      </w:tr>
      <w:tr w14:paraId="061B0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7483EA48">
            <w:pPr>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w:t>
            </w:r>
          </w:p>
        </w:tc>
        <w:tc>
          <w:tcPr>
            <w:tcW w:w="983" w:type="dxa"/>
            <w:vAlign w:val="center"/>
          </w:tcPr>
          <w:p w14:paraId="03FF8519">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p>
        </w:tc>
        <w:tc>
          <w:tcPr>
            <w:tcW w:w="8079" w:type="dxa"/>
            <w:vAlign w:val="center"/>
          </w:tcPr>
          <w:p w14:paraId="7381F1C0">
            <w:pPr>
              <w:pStyle w:val="252"/>
              <w:spacing w:before="126" w:line="228" w:lineRule="auto"/>
              <w:ind w:left="111"/>
              <w:rPr>
                <w:rFonts w:ascii="Times New Roman" w:hAnsi="Times New Roman" w:eastAsia="宋体" w:cs="Times New Roman"/>
                <w:color w:val="auto"/>
                <w:spacing w:val="4"/>
                <w:kern w:val="2"/>
                <w:sz w:val="21"/>
                <w:szCs w:val="24"/>
                <w:lang w:val="en-US" w:eastAsia="zh-CN" w:bidi="ar-SA"/>
              </w:rPr>
            </w:pPr>
            <w:r>
              <w:rPr>
                <w:rFonts w:ascii="Times New Roman" w:hAnsi="Times New Roman" w:eastAsia="宋体" w:cs="Times New Roman"/>
                <w:color w:val="auto"/>
                <w:spacing w:val="4"/>
                <w:kern w:val="2"/>
                <w:sz w:val="21"/>
                <w:szCs w:val="24"/>
                <w:lang w:val="en-US" w:eastAsia="zh-CN" w:bidi="ar-SA"/>
              </w:rPr>
              <w:t>供应商资格要求：</w:t>
            </w:r>
          </w:p>
          <w:p w14:paraId="57A866C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1.满足《中华人民共和国政府采购法》第二十二条规定；</w:t>
            </w:r>
          </w:p>
          <w:p w14:paraId="315F13F9">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.落实政府采购政策需满足的资格要求：</w:t>
            </w:r>
          </w:p>
          <w:p w14:paraId="5CE4E6BD">
            <w:pPr>
              <w:spacing w:line="360" w:lineRule="auto"/>
              <w:ind w:firstLine="420" w:firstLineChars="200"/>
              <w:rPr>
                <w:rFonts w:ascii="宋体" w:hAnsi="宋体"/>
                <w:color w:val="auto"/>
                <w:szCs w:val="21"/>
              </w:rPr>
            </w:pPr>
            <w:r>
              <w:rPr>
                <w:rFonts w:hint="eastAsia" w:ascii="宋体" w:hAnsi="宋体"/>
                <w:color w:val="auto"/>
                <w:szCs w:val="21"/>
              </w:rPr>
              <w:t>☑专门面向中小企业采购的项目（供应商应为中小微企业或监狱企业或残疾人福利性单位)</w:t>
            </w:r>
          </w:p>
          <w:p w14:paraId="575369F4">
            <w:pPr>
              <w:spacing w:line="360" w:lineRule="auto"/>
              <w:ind w:firstLine="420" w:firstLineChars="200"/>
              <w:rPr>
                <w:rStyle w:val="58"/>
                <w:color w:val="auto"/>
                <w:highlight w:val="none"/>
              </w:rPr>
            </w:pPr>
            <w:r>
              <w:rPr>
                <w:rFonts w:hint="eastAsia" w:ascii="宋体" w:hAnsi="宋体"/>
                <w:color w:val="auto"/>
                <w:szCs w:val="21"/>
              </w:rPr>
              <w:t>□非专门面向中小企业采购的项目</w:t>
            </w:r>
          </w:p>
          <w:p w14:paraId="6668FF9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 xml:space="preserve">3.本项目的特定资格要求： </w:t>
            </w:r>
          </w:p>
          <w:p w14:paraId="0CE48798">
            <w:pPr>
              <w:spacing w:line="360" w:lineRule="auto"/>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3.1</w:t>
            </w:r>
            <w:r>
              <w:rPr>
                <w:rFonts w:hint="eastAsia" w:ascii="宋体" w:hAnsi="宋体" w:eastAsia="宋体" w:cs="宋体"/>
                <w:color w:val="auto"/>
                <w:szCs w:val="21"/>
                <w:lang w:val="en-US" w:eastAsia="zh-CN"/>
              </w:rPr>
              <w:t>供应商</w:t>
            </w:r>
            <w:r>
              <w:rPr>
                <w:rFonts w:hint="eastAsia" w:ascii="宋体" w:hAnsi="宋体" w:eastAsia="宋体" w:cs="宋体"/>
                <w:color w:val="auto"/>
                <w:szCs w:val="21"/>
              </w:rPr>
              <w:t>须具备公路工程施工总承包叁级（含叁级）</w:t>
            </w:r>
            <w:r>
              <w:rPr>
                <w:rFonts w:hint="eastAsia" w:ascii="宋体" w:hAnsi="宋体" w:eastAsia="宋体" w:cs="宋体"/>
                <w:color w:val="auto"/>
                <w:szCs w:val="21"/>
                <w:lang w:val="en-US" w:eastAsia="zh-CN"/>
              </w:rPr>
              <w:t>或市政公用工程</w:t>
            </w:r>
            <w:r>
              <w:rPr>
                <w:rFonts w:hint="eastAsia" w:ascii="宋体" w:hAnsi="宋体" w:eastAsia="宋体" w:cs="宋体"/>
                <w:color w:val="auto"/>
                <w:szCs w:val="21"/>
              </w:rPr>
              <w:t>施工总承包叁级（含叁级）以上资质，</w:t>
            </w:r>
            <w:r>
              <w:rPr>
                <w:rFonts w:hint="eastAsia" w:ascii="宋体" w:hAnsi="宋体" w:eastAsia="宋体" w:cs="宋体"/>
                <w:color w:val="auto"/>
                <w:szCs w:val="21"/>
                <w:lang w:val="en-US" w:eastAsia="zh-CN"/>
              </w:rPr>
              <w:t>且</w:t>
            </w:r>
            <w:r>
              <w:rPr>
                <w:rFonts w:hint="eastAsia" w:ascii="宋体" w:hAnsi="宋体" w:eastAsia="宋体" w:cs="宋体"/>
                <w:color w:val="auto"/>
                <w:szCs w:val="21"/>
              </w:rPr>
              <w:t>在人员、设备、资金等方面具有相应的施工能力。供应商拟派项目经理须具备公路工程专业贰级（含贰级）</w:t>
            </w:r>
            <w:r>
              <w:rPr>
                <w:rFonts w:hint="eastAsia" w:ascii="宋体" w:hAnsi="宋体" w:eastAsia="宋体" w:cs="宋体"/>
                <w:color w:val="auto"/>
                <w:szCs w:val="21"/>
                <w:lang w:val="en-US" w:eastAsia="zh-CN"/>
              </w:rPr>
              <w:t>或</w:t>
            </w:r>
            <w:r>
              <w:rPr>
                <w:rFonts w:hint="eastAsia" w:ascii="宋体" w:hAnsi="宋体" w:eastAsia="宋体" w:cs="宋体"/>
                <w:color w:val="auto"/>
                <w:szCs w:val="21"/>
              </w:rPr>
              <w:t>市政公用工程专业贰级（含贰级）以上注册建造师资格，具备有效的安全生产考核合格证书（B 类），且为本单位员工。</w:t>
            </w:r>
            <w:r>
              <w:rPr>
                <w:rFonts w:hint="eastAsia" w:ascii="宋体" w:hAnsi="宋体"/>
                <w:color w:val="auto"/>
                <w:szCs w:val="21"/>
                <w:highlight w:val="none"/>
                <w:lang w:val="en-US" w:eastAsia="zh-CN"/>
              </w:rPr>
              <w:t xml:space="preserve">。 </w:t>
            </w:r>
          </w:p>
          <w:p w14:paraId="46FDBC74">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4.单位负责人为同一人或者存在直接控股、管理关系的不同供应商，不得参加同一合同项下的政府采 购活动。为本项目提供过整体设计、规范编制或者项目管理、监理、检测等服务的供应商，不得再参加本项目上述服务以外的其他采购活动。</w:t>
            </w:r>
          </w:p>
          <w:p w14:paraId="79F72BD8">
            <w:pPr>
              <w:spacing w:line="360" w:lineRule="auto"/>
              <w:ind w:firstLine="420" w:firstLineChars="200"/>
              <w:rPr>
                <w:rFonts w:ascii="宋体" w:hAnsi="宋体" w:cs="宋体"/>
                <w:color w:val="auto"/>
                <w:szCs w:val="21"/>
                <w:highlight w:val="none"/>
              </w:rPr>
            </w:pPr>
            <w:r>
              <w:rPr>
                <w:rFonts w:hint="eastAsia" w:ascii="宋体" w:hAnsi="宋体" w:eastAsia="宋体" w:cs="宋体"/>
                <w:color w:val="auto"/>
                <w:szCs w:val="21"/>
              </w:rPr>
              <w:t>5.对在“信用中国”网站(www.creditchina.gov.cn) 、中国政府采购网(www.ccgp.gov.cn)被列入失信被执行人、重大税收违法案件当事人名单、政府采购严重违法失信行为记录名单及其他不符合《中华人民 共和国政府采购法》第二十二条规定条件的供应商，不得参与政府采购活动。</w:t>
            </w:r>
          </w:p>
        </w:tc>
      </w:tr>
      <w:tr w14:paraId="009B54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Merge w:val="restart"/>
            <w:vAlign w:val="center"/>
          </w:tcPr>
          <w:p w14:paraId="1C7C721B">
            <w:pPr>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w:t>
            </w:r>
          </w:p>
        </w:tc>
        <w:tc>
          <w:tcPr>
            <w:tcW w:w="983" w:type="dxa"/>
            <w:vAlign w:val="center"/>
          </w:tcPr>
          <w:p w14:paraId="07A43422">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5.1</w:t>
            </w:r>
          </w:p>
        </w:tc>
        <w:tc>
          <w:tcPr>
            <w:tcW w:w="8079" w:type="dxa"/>
            <w:vAlign w:val="center"/>
          </w:tcPr>
          <w:p w14:paraId="73833D99">
            <w:pPr>
              <w:keepNext w:val="0"/>
              <w:keepLines w:val="0"/>
              <w:pageBreakBefore w:val="0"/>
              <w:widowControl w:val="0"/>
              <w:kinsoku/>
              <w:wordWrap/>
              <w:overflowPunct/>
              <w:topLinePunct w:val="0"/>
              <w:autoSpaceDE/>
              <w:autoSpaceDN/>
              <w:bidi w:val="0"/>
              <w:adjustRightInd/>
              <w:snapToGri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是否接受联合体竞标： 详见竞争性磋商公告</w:t>
            </w:r>
          </w:p>
        </w:tc>
      </w:tr>
      <w:tr w14:paraId="67544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Merge w:val="continue"/>
            <w:vAlign w:val="center"/>
          </w:tcPr>
          <w:p w14:paraId="6BA4490F">
            <w:pPr>
              <w:spacing w:line="360" w:lineRule="auto"/>
              <w:jc w:val="center"/>
              <w:rPr>
                <w:rFonts w:hint="eastAsia" w:ascii="宋体" w:hAnsi="宋体" w:cs="宋体"/>
                <w:color w:val="auto"/>
                <w:szCs w:val="21"/>
                <w:highlight w:val="none"/>
              </w:rPr>
            </w:pPr>
          </w:p>
        </w:tc>
        <w:tc>
          <w:tcPr>
            <w:tcW w:w="983" w:type="dxa"/>
            <w:vAlign w:val="center"/>
          </w:tcPr>
          <w:p w14:paraId="7F963C0F">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.2</w:t>
            </w:r>
          </w:p>
        </w:tc>
        <w:tc>
          <w:tcPr>
            <w:tcW w:w="8079" w:type="dxa"/>
            <w:vAlign w:val="center"/>
          </w:tcPr>
          <w:p w14:paraId="6FC019E5">
            <w:pPr>
              <w:keepNext w:val="0"/>
              <w:keepLines w:val="0"/>
              <w:pageBreakBefore w:val="0"/>
              <w:widowControl w:val="0"/>
              <w:kinsoku/>
              <w:wordWrap/>
              <w:overflowPunct/>
              <w:topLinePunct w:val="0"/>
              <w:autoSpaceDE/>
              <w:autoSpaceDN/>
              <w:bidi w:val="0"/>
              <w:adjustRightInd/>
              <w:snapToGrid/>
              <w:spacing w:line="356" w:lineRule="auto"/>
              <w:textAlignment w:val="auto"/>
              <w:rPr>
                <w:rFonts w:ascii="宋体" w:hAnsi="宋体" w:cs="宋体"/>
                <w:color w:val="auto"/>
                <w:szCs w:val="21"/>
                <w:highlight w:val="none"/>
              </w:rPr>
            </w:pPr>
            <w:r>
              <w:rPr>
                <w:rFonts w:hint="eastAsia" w:ascii="宋体" w:hAnsi="宋体"/>
                <w:color w:val="auto"/>
                <w:szCs w:val="21"/>
                <w:highlight w:val="none"/>
              </w:rPr>
              <w:t>如接受联合体竞标，联合体竞标要求如下：</w:t>
            </w:r>
          </w:p>
          <w:p w14:paraId="6CB40BBC">
            <w:pPr>
              <w:keepNext w:val="0"/>
              <w:keepLines w:val="0"/>
              <w:pageBreakBefore w:val="0"/>
              <w:widowControl w:val="0"/>
              <w:kinsoku/>
              <w:wordWrap/>
              <w:overflowPunct/>
              <w:topLinePunct w:val="0"/>
              <w:autoSpaceDE/>
              <w:autoSpaceDN/>
              <w:bidi w:val="0"/>
              <w:adjustRightInd/>
              <w:snapToGri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w:t>
            </w:r>
            <w:r>
              <w:rPr>
                <w:rFonts w:hint="eastAsia" w:ascii="宋体" w:hAnsi="宋体" w:cs="宋体"/>
                <w:color w:val="auto"/>
                <w:szCs w:val="21"/>
                <w:highlight w:val="none"/>
              </w:rPr>
              <w:t>两个以上供应商可以组成一个竞标联合体，以一个供应商的身份共同参加竞标。联合体竞标的，须提供《联合体竞标协议书》（格式后附）。</w:t>
            </w:r>
          </w:p>
          <w:p w14:paraId="4368875F">
            <w:pPr>
              <w:keepNext w:val="0"/>
              <w:keepLines w:val="0"/>
              <w:pageBreakBefore w:val="0"/>
              <w:widowControl w:val="0"/>
              <w:kinsoku/>
              <w:wordWrap/>
              <w:overflowPunct/>
              <w:topLinePunct w:val="0"/>
              <w:autoSpaceDE/>
              <w:autoSpaceDN/>
              <w:bidi w:val="0"/>
              <w:adjustRightInd/>
              <w:snapToGri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w:t>
            </w:r>
            <w:r>
              <w:rPr>
                <w:rFonts w:hint="eastAsia" w:ascii="宋体" w:hAnsi="宋体" w:cs="宋体"/>
                <w:color w:val="auto"/>
                <w:szCs w:val="21"/>
                <w:highlight w:val="none"/>
              </w:rPr>
              <w:t>以联合体形式参加竞标的，联合体各方均必须具备《中华人民共和国政府采购法》第二十二条第一款规定的基本条件（涉及行政许可范围的内容，联合体各方均应具备相应资质）。本项目有特殊要求规定供应商特定条件的，联合体各方中至少有一方必须符合磋商文件规定的特定条件。</w:t>
            </w:r>
          </w:p>
          <w:p w14:paraId="6E0A661D">
            <w:pPr>
              <w:keepNext w:val="0"/>
              <w:keepLines w:val="0"/>
              <w:pageBreakBefore w:val="0"/>
              <w:widowControl w:val="0"/>
              <w:kinsoku/>
              <w:wordWrap/>
              <w:overflowPunct/>
              <w:topLinePunct w:val="0"/>
              <w:autoSpaceDE/>
              <w:autoSpaceDN/>
              <w:bidi w:val="0"/>
              <w:adjustRightInd/>
              <w:snapToGri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w:t>
            </w:r>
            <w:r>
              <w:rPr>
                <w:rFonts w:hint="eastAsia" w:ascii="宋体" w:hAnsi="宋体" w:cs="宋体"/>
                <w:color w:val="auto"/>
                <w:szCs w:val="21"/>
                <w:highlight w:val="none"/>
              </w:rPr>
              <w:t>联合体各方之间必须签订联合竞标协议，协议书必须明确主体方（或者牵头方）并明确约定联合体各方承担的工作和相应的责任（</w:t>
            </w:r>
            <w:r>
              <w:rPr>
                <w:rFonts w:hint="eastAsia" w:ascii="宋体" w:hAnsi="宋体" w:cs="宋体"/>
                <w:b/>
                <w:color w:val="auto"/>
                <w:szCs w:val="21"/>
                <w:highlight w:val="none"/>
              </w:rPr>
              <w:t>各方承担责任与义务的分工必须符合采购需求，否则，联合体竞标无效</w:t>
            </w:r>
            <w:r>
              <w:rPr>
                <w:rFonts w:hint="eastAsia" w:ascii="宋体" w:hAnsi="宋体" w:cs="宋体"/>
                <w:color w:val="auto"/>
                <w:szCs w:val="21"/>
                <w:highlight w:val="none"/>
              </w:rPr>
              <w:t>），并将联合竞标协议放入响应文件。联合体各方必须共同与采购人签订采购合同，就采购合同约定的事项对采购人承担连带责任。</w:t>
            </w:r>
          </w:p>
          <w:p w14:paraId="718AFFFA">
            <w:pPr>
              <w:keepNext w:val="0"/>
              <w:keepLines w:val="0"/>
              <w:pageBreakBefore w:val="0"/>
              <w:widowControl w:val="0"/>
              <w:kinsoku/>
              <w:wordWrap/>
              <w:overflowPunct/>
              <w:topLinePunct w:val="0"/>
              <w:autoSpaceDE/>
              <w:autoSpaceDN/>
              <w:bidi w:val="0"/>
              <w:adjustRightInd/>
              <w:snapToGri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w:t>
            </w:r>
            <w:r>
              <w:rPr>
                <w:rFonts w:hint="eastAsia" w:ascii="宋体" w:hAnsi="宋体" w:cs="宋体"/>
                <w:color w:val="auto"/>
                <w:szCs w:val="21"/>
                <w:highlight w:val="none"/>
              </w:rPr>
              <w:t>以联合体形式参加政府采购活动的，联合体各方不得再单独参加或者与其他供应商另外组成联合体参加同一合同项下的政府采购活动。</w:t>
            </w:r>
          </w:p>
          <w:p w14:paraId="386D5E4C">
            <w:pPr>
              <w:keepNext w:val="0"/>
              <w:keepLines w:val="0"/>
              <w:pageBreakBefore w:val="0"/>
              <w:widowControl w:val="0"/>
              <w:kinsoku/>
              <w:wordWrap/>
              <w:overflowPunct/>
              <w:topLinePunct w:val="0"/>
              <w:autoSpaceDE/>
              <w:autoSpaceDN/>
              <w:bidi w:val="0"/>
              <w:adjustRightInd/>
              <w:snapToGri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w:t>
            </w:r>
            <w:r>
              <w:rPr>
                <w:rFonts w:hint="eastAsia" w:ascii="宋体" w:hAnsi="宋体" w:cs="宋体"/>
                <w:color w:val="auto"/>
                <w:szCs w:val="21"/>
                <w:highlight w:val="none"/>
              </w:rPr>
              <w:t>联合体中有同类资质的供应商按照联合体分工承担相同工作的，应当按照资质等级较低的供应商确定资质等级。</w:t>
            </w:r>
          </w:p>
          <w:p w14:paraId="69BA57B1">
            <w:pPr>
              <w:keepNext w:val="0"/>
              <w:keepLines w:val="0"/>
              <w:pageBreakBefore w:val="0"/>
              <w:widowControl w:val="0"/>
              <w:kinsoku/>
              <w:wordWrap/>
              <w:overflowPunct/>
              <w:topLinePunct w:val="0"/>
              <w:autoSpaceDE/>
              <w:autoSpaceDN/>
              <w:bidi w:val="0"/>
              <w:adjustRightInd/>
              <w:snapToGri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6</w:t>
            </w:r>
            <w:r>
              <w:rPr>
                <w:rFonts w:ascii="宋体" w:hAnsi="宋体" w:cs="宋体"/>
                <w:color w:val="auto"/>
                <w:szCs w:val="21"/>
                <w:highlight w:val="none"/>
              </w:rPr>
              <w:t>.</w:t>
            </w:r>
            <w:r>
              <w:rPr>
                <w:rFonts w:hint="eastAsia" w:ascii="宋体" w:hAnsi="宋体" w:cs="宋体"/>
                <w:color w:val="auto"/>
                <w:szCs w:val="21"/>
                <w:highlight w:val="none"/>
              </w:rPr>
              <w:t>联合体竞标业绩、履约能力按照联合体各方中较高的一方认定并计算（磋商文件另有规定的除外）。</w:t>
            </w:r>
          </w:p>
          <w:p w14:paraId="4408C49E">
            <w:pPr>
              <w:keepNext w:val="0"/>
              <w:keepLines w:val="0"/>
              <w:pageBreakBefore w:val="0"/>
              <w:widowControl w:val="0"/>
              <w:kinsoku/>
              <w:wordWrap/>
              <w:overflowPunct/>
              <w:topLinePunct w:val="0"/>
              <w:autoSpaceDE/>
              <w:autoSpaceDN/>
              <w:bidi w:val="0"/>
              <w:adjustRightInd/>
              <w:snapToGri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w:t>
            </w:r>
            <w:r>
              <w:rPr>
                <w:rFonts w:hint="eastAsia" w:ascii="宋体" w:hAnsi="宋体" w:cs="宋体"/>
                <w:color w:val="auto"/>
                <w:szCs w:val="21"/>
                <w:highlight w:val="none"/>
              </w:rPr>
              <w:t>供应商为联合体的，可以由联合体中的一方或者多方共同交纳磋商保证金，其交纳的保证金对联合体各方均具有约束力。</w:t>
            </w:r>
          </w:p>
          <w:p w14:paraId="7FB68187">
            <w:pPr>
              <w:keepNext w:val="0"/>
              <w:keepLines w:val="0"/>
              <w:pageBreakBefore w:val="0"/>
              <w:widowControl w:val="0"/>
              <w:kinsoku/>
              <w:wordWrap/>
              <w:overflowPunct/>
              <w:topLinePunct w:val="0"/>
              <w:autoSpaceDE/>
              <w:autoSpaceDN/>
              <w:bidi w:val="0"/>
              <w:adjustRightInd/>
              <w:snapToGri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8</w:t>
            </w:r>
            <w:r>
              <w:rPr>
                <w:rFonts w:ascii="宋体" w:hAnsi="宋体" w:cs="宋体"/>
                <w:color w:val="auto"/>
                <w:szCs w:val="21"/>
                <w:highlight w:val="none"/>
              </w:rPr>
              <w:t>.</w:t>
            </w:r>
            <w:r>
              <w:rPr>
                <w:rFonts w:hint="eastAsia" w:ascii="宋体" w:hAnsi="宋体" w:cs="宋体"/>
                <w:color w:val="auto"/>
                <w:szCs w:val="21"/>
                <w:highlight w:val="none"/>
              </w:rPr>
              <w:t>联合体各方均应按照磋商文件的规定提交资格证明文件。</w:t>
            </w:r>
          </w:p>
        </w:tc>
      </w:tr>
      <w:tr w14:paraId="7EB62B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64A12775">
            <w:pPr>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w:t>
            </w:r>
          </w:p>
        </w:tc>
        <w:tc>
          <w:tcPr>
            <w:tcW w:w="983" w:type="dxa"/>
            <w:vAlign w:val="center"/>
          </w:tcPr>
          <w:p w14:paraId="408AF2D1">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6.2</w:t>
            </w:r>
          </w:p>
        </w:tc>
        <w:tc>
          <w:tcPr>
            <w:tcW w:w="8079" w:type="dxa"/>
            <w:vAlign w:val="center"/>
          </w:tcPr>
          <w:p w14:paraId="29F8B7CC">
            <w:pPr>
              <w:pStyle w:val="16"/>
              <w:spacing w:line="360" w:lineRule="auto"/>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不允许分包</w:t>
            </w:r>
          </w:p>
          <w:p w14:paraId="4F691752">
            <w:pPr>
              <w:pStyle w:val="16"/>
              <w:spacing w:line="360" w:lineRule="auto"/>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允许分包</w:t>
            </w:r>
          </w:p>
          <w:p w14:paraId="009D5A22">
            <w:pPr>
              <w:pStyle w:val="16"/>
              <w:spacing w:line="360" w:lineRule="auto"/>
              <w:rPr>
                <w:rFonts w:ascii="宋体" w:hAnsi="宋体"/>
                <w:color w:val="auto"/>
                <w:szCs w:val="21"/>
                <w:highlight w:val="none"/>
                <w:u w:val="single"/>
              </w:rPr>
            </w:pPr>
            <w:r>
              <w:rPr>
                <w:rFonts w:hint="eastAsia" w:ascii="宋体" w:hAnsi="宋体"/>
                <w:color w:val="auto"/>
                <w:szCs w:val="21"/>
                <w:highlight w:val="none"/>
              </w:rPr>
              <w:t>分包内容：/。</w:t>
            </w:r>
          </w:p>
          <w:p w14:paraId="03A67D02">
            <w:pPr>
              <w:pStyle w:val="16"/>
              <w:spacing w:line="360" w:lineRule="auto"/>
              <w:rPr>
                <w:rFonts w:ascii="宋体" w:hAnsi="宋体"/>
                <w:color w:val="auto"/>
                <w:szCs w:val="21"/>
                <w:highlight w:val="none"/>
                <w:u w:val="single"/>
              </w:rPr>
            </w:pPr>
            <w:r>
              <w:rPr>
                <w:rFonts w:hint="eastAsia" w:ascii="宋体" w:hAnsi="宋体"/>
                <w:color w:val="auto"/>
                <w:szCs w:val="21"/>
                <w:highlight w:val="none"/>
              </w:rPr>
              <w:t>分包金额或者比例：/。</w:t>
            </w:r>
          </w:p>
          <w:p w14:paraId="3E6D3F82">
            <w:pPr>
              <w:pStyle w:val="16"/>
              <w:spacing w:line="360" w:lineRule="auto"/>
              <w:rPr>
                <w:rFonts w:ascii="宋体" w:hAnsi="宋体" w:cs="宋体"/>
                <w:color w:val="auto"/>
                <w:szCs w:val="21"/>
                <w:highlight w:val="none"/>
              </w:rPr>
            </w:pPr>
            <w:r>
              <w:rPr>
                <w:rFonts w:hint="eastAsia" w:ascii="宋体" w:hAnsi="宋体"/>
                <w:color w:val="auto"/>
                <w:szCs w:val="21"/>
                <w:highlight w:val="none"/>
              </w:rPr>
              <w:t>分包供应商必须具备的资质：/。</w:t>
            </w:r>
          </w:p>
        </w:tc>
      </w:tr>
      <w:tr w14:paraId="4C9365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59A3339C">
            <w:pPr>
              <w:spacing w:line="360" w:lineRule="auto"/>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6</w:t>
            </w:r>
          </w:p>
        </w:tc>
        <w:tc>
          <w:tcPr>
            <w:tcW w:w="983" w:type="dxa"/>
            <w:vAlign w:val="center"/>
          </w:tcPr>
          <w:p w14:paraId="37A1519F">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10.1</w:t>
            </w:r>
          </w:p>
        </w:tc>
        <w:tc>
          <w:tcPr>
            <w:tcW w:w="8079" w:type="dxa"/>
            <w:vAlign w:val="center"/>
          </w:tcPr>
          <w:p w14:paraId="6A85583A">
            <w:pPr>
              <w:pStyle w:val="252"/>
              <w:spacing w:before="185" w:line="360" w:lineRule="auto"/>
              <w:ind w:left="11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采购预算上限控制价：人民币</w:t>
            </w:r>
            <w:r>
              <w:rPr>
                <w:rFonts w:hint="eastAsia" w:ascii="宋体" w:hAnsi="宋体" w:eastAsia="宋体" w:cs="宋体"/>
                <w:color w:val="auto"/>
                <w:kern w:val="2"/>
                <w:sz w:val="21"/>
                <w:szCs w:val="21"/>
                <w:highlight w:val="none"/>
                <w:u w:val="single"/>
                <w:lang w:val="en-US" w:eastAsia="zh-CN" w:bidi="ar-SA"/>
              </w:rPr>
              <w:t xml:space="preserve"> 壹佰玖拾捌万壹仟叁佰壹拾捌元整 (¥198.1318元）</w:t>
            </w:r>
          </w:p>
          <w:p w14:paraId="65781A00">
            <w:pPr>
              <w:pStyle w:val="16"/>
              <w:spacing w:line="360" w:lineRule="auto"/>
              <w:rPr>
                <w:rFonts w:hint="eastAsia" w:ascii="宋体" w:hAnsi="宋体"/>
                <w:color w:val="auto"/>
                <w:szCs w:val="21"/>
                <w:highlight w:val="none"/>
              </w:rPr>
            </w:pPr>
            <w:r>
              <w:rPr>
                <w:rFonts w:hint="eastAsia" w:ascii="宋体" w:hAnsi="宋体" w:eastAsia="宋体" w:cs="宋体"/>
                <w:color w:val="auto"/>
                <w:kern w:val="2"/>
                <w:sz w:val="21"/>
                <w:szCs w:val="21"/>
                <w:highlight w:val="none"/>
                <w:lang w:val="en-US" w:eastAsia="zh-CN" w:bidi="ar-SA"/>
              </w:rPr>
              <w:t>磋商报价必须小于采购预算上限控制价，否则作无效磋商处理。</w:t>
            </w:r>
          </w:p>
        </w:tc>
      </w:tr>
      <w:tr w14:paraId="05610B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2BCBA6F2">
            <w:pPr>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w:t>
            </w:r>
          </w:p>
        </w:tc>
        <w:tc>
          <w:tcPr>
            <w:tcW w:w="983" w:type="dxa"/>
            <w:vAlign w:val="center"/>
          </w:tcPr>
          <w:p w14:paraId="605EF402">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12.1.</w:t>
            </w:r>
            <w:r>
              <w:rPr>
                <w:rFonts w:ascii="宋体" w:hAnsi="宋体" w:cs="宋体"/>
                <w:color w:val="auto"/>
                <w:szCs w:val="21"/>
                <w:highlight w:val="none"/>
              </w:rPr>
              <w:t>1</w:t>
            </w:r>
          </w:p>
        </w:tc>
        <w:tc>
          <w:tcPr>
            <w:tcW w:w="8079" w:type="dxa"/>
            <w:vAlign w:val="center"/>
          </w:tcPr>
          <w:p w14:paraId="2D816FB0">
            <w:pPr>
              <w:keepNext w:val="0"/>
              <w:keepLines w:val="0"/>
              <w:pageBreakBefore w:val="0"/>
              <w:widowControl w:val="0"/>
              <w:kinsoku/>
              <w:wordWrap/>
              <w:overflowPunct/>
              <w:topLinePunct w:val="0"/>
              <w:autoSpaceDE/>
              <w:autoSpaceDN/>
              <w:bidi w:val="0"/>
              <w:adjustRightInd/>
              <w:snapToGrid w:val="0"/>
              <w:spacing w:line="356" w:lineRule="auto"/>
              <w:jc w:val="left"/>
              <w:textAlignment w:val="auto"/>
              <w:rPr>
                <w:rFonts w:ascii="宋体" w:hAnsi="宋体" w:cs="宋体"/>
                <w:b/>
                <w:color w:val="auto"/>
                <w:szCs w:val="21"/>
                <w:highlight w:val="none"/>
              </w:rPr>
            </w:pPr>
            <w:r>
              <w:rPr>
                <w:rFonts w:hint="eastAsia" w:ascii="宋体" w:hAnsi="宋体" w:cs="宋体"/>
                <w:b/>
                <w:color w:val="auto"/>
                <w:szCs w:val="21"/>
                <w:highlight w:val="none"/>
              </w:rPr>
              <w:t>资格证明文件</w:t>
            </w:r>
          </w:p>
          <w:p w14:paraId="1EE64878">
            <w:pPr>
              <w:keepNext w:val="0"/>
              <w:keepLines w:val="0"/>
              <w:pageBreakBefore w:val="0"/>
              <w:widowControl w:val="0"/>
              <w:numPr>
                <w:ilvl w:val="0"/>
                <w:numId w:val="3"/>
              </w:numPr>
              <w:kinsoku/>
              <w:wordWrap/>
              <w:overflowPunct/>
              <w:topLinePunct w:val="0"/>
              <w:autoSpaceDE/>
              <w:autoSpaceDN/>
              <w:bidi w:val="0"/>
              <w:adjustRightInd/>
              <w:snapToGrid w:val="0"/>
              <w:spacing w:line="356" w:lineRule="auto"/>
              <w:jc w:val="left"/>
              <w:textAlignment w:val="auto"/>
              <w:rPr>
                <w:rFonts w:ascii="宋体" w:hAnsi="宋体" w:cs="宋体"/>
                <w:color w:val="auto"/>
                <w:szCs w:val="21"/>
                <w:highlight w:val="none"/>
              </w:rPr>
            </w:pPr>
            <w:r>
              <w:rPr>
                <w:rFonts w:hint="eastAsia" w:ascii="宋体" w:hAnsi="宋体" w:cs="宋体"/>
                <w:color w:val="auto"/>
                <w:szCs w:val="21"/>
                <w:highlight w:val="none"/>
              </w:rPr>
              <w:t>崇左市政府采购供应商信用承诺函（格式后附）；</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p>
          <w:p w14:paraId="3542E05A">
            <w:pPr>
              <w:keepNext w:val="0"/>
              <w:keepLines w:val="0"/>
              <w:pageBreakBefore w:val="0"/>
              <w:widowControl w:val="0"/>
              <w:numPr>
                <w:ilvl w:val="0"/>
                <w:numId w:val="3"/>
              </w:numPr>
              <w:kinsoku/>
              <w:wordWrap/>
              <w:overflowPunct/>
              <w:topLinePunct w:val="0"/>
              <w:autoSpaceDE/>
              <w:autoSpaceDN/>
              <w:bidi w:val="0"/>
              <w:adjustRightInd/>
              <w:snapToGrid w:val="0"/>
              <w:spacing w:line="356" w:lineRule="auto"/>
              <w:jc w:val="left"/>
              <w:textAlignment w:val="auto"/>
              <w:rPr>
                <w:rFonts w:ascii="宋体" w:hAnsi="宋体" w:cs="宋体"/>
                <w:color w:val="auto"/>
                <w:szCs w:val="21"/>
                <w:highlight w:val="none"/>
              </w:rPr>
            </w:pPr>
            <w:r>
              <w:rPr>
                <w:rFonts w:hint="eastAsia" w:ascii="宋体" w:hAnsi="宋体" w:cs="宋体"/>
                <w:color w:val="auto"/>
                <w:szCs w:val="21"/>
                <w:highlight w:val="none"/>
              </w:rPr>
              <w:t>供应商直接控股、管理关系信息表（格式后附）；</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p>
          <w:p w14:paraId="71E0B755">
            <w:pPr>
              <w:keepNext w:val="0"/>
              <w:keepLines w:val="0"/>
              <w:pageBreakBefore w:val="0"/>
              <w:widowControl w:val="0"/>
              <w:numPr>
                <w:ilvl w:val="0"/>
                <w:numId w:val="3"/>
              </w:numPr>
              <w:kinsoku/>
              <w:wordWrap/>
              <w:overflowPunct/>
              <w:topLinePunct w:val="0"/>
              <w:autoSpaceDE/>
              <w:autoSpaceDN/>
              <w:bidi w:val="0"/>
              <w:adjustRightInd/>
              <w:snapToGrid w:val="0"/>
              <w:spacing w:line="356" w:lineRule="auto"/>
              <w:ind w:left="0" w:leftChars="0" w:firstLine="0" w:firstLineChars="0"/>
              <w:jc w:val="left"/>
              <w:textAlignment w:val="auto"/>
              <w:rPr>
                <w:rFonts w:ascii="宋体" w:hAnsi="宋体" w:cs="宋体"/>
                <w:b/>
                <w:color w:val="auto"/>
                <w:szCs w:val="21"/>
                <w:highlight w:val="none"/>
              </w:rPr>
            </w:pPr>
            <w:r>
              <w:rPr>
                <w:rFonts w:hint="eastAsia" w:ascii="宋体" w:hAnsi="宋体" w:cs="宋体"/>
                <w:color w:val="auto"/>
                <w:szCs w:val="21"/>
                <w:highlight w:val="none"/>
              </w:rPr>
              <w:t>竞标声明（格式后附）；</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p>
          <w:p w14:paraId="55F93DE7">
            <w:pPr>
              <w:keepNext w:val="0"/>
              <w:keepLines w:val="0"/>
              <w:pageBreakBefore w:val="0"/>
              <w:widowControl w:val="0"/>
              <w:numPr>
                <w:ilvl w:val="0"/>
                <w:numId w:val="3"/>
              </w:numPr>
              <w:kinsoku/>
              <w:wordWrap/>
              <w:overflowPunct/>
              <w:topLinePunct w:val="0"/>
              <w:autoSpaceDE/>
              <w:autoSpaceDN/>
              <w:bidi w:val="0"/>
              <w:adjustRightInd/>
              <w:snapToGrid w:val="0"/>
              <w:spacing w:line="356" w:lineRule="auto"/>
              <w:ind w:left="0" w:leftChars="0" w:firstLine="0" w:firstLineChars="0"/>
              <w:jc w:val="left"/>
              <w:textAlignment w:val="auto"/>
              <w:rPr>
                <w:rFonts w:ascii="宋体" w:hAnsi="宋体" w:cs="宋体"/>
                <w:b/>
                <w:color w:val="auto"/>
                <w:szCs w:val="21"/>
                <w:highlight w:val="none"/>
              </w:rPr>
            </w:pPr>
            <w:r>
              <w:rPr>
                <w:rFonts w:hint="eastAsia" w:ascii="宋体" w:hAnsi="宋体" w:cs="宋体"/>
                <w:b/>
                <w:color w:val="auto"/>
                <w:szCs w:val="21"/>
                <w:highlight w:val="none"/>
              </w:rPr>
              <w:t>特定</w:t>
            </w:r>
            <w:r>
              <w:rPr>
                <w:rFonts w:ascii="宋体" w:hAnsi="宋体" w:cs="宋体"/>
                <w:b/>
                <w:color w:val="auto"/>
                <w:szCs w:val="21"/>
                <w:highlight w:val="none"/>
              </w:rPr>
              <w:t>资格</w:t>
            </w:r>
            <w:r>
              <w:rPr>
                <w:rFonts w:hint="eastAsia" w:ascii="宋体" w:hAnsi="宋体" w:cs="宋体"/>
                <w:b/>
                <w:color w:val="auto"/>
                <w:szCs w:val="21"/>
                <w:highlight w:val="none"/>
              </w:rPr>
              <w:t>要求</w:t>
            </w:r>
            <w:r>
              <w:rPr>
                <w:rFonts w:ascii="宋体" w:hAnsi="宋体" w:cs="宋体"/>
                <w:b/>
                <w:color w:val="auto"/>
                <w:szCs w:val="21"/>
                <w:highlight w:val="none"/>
              </w:rPr>
              <w:t>：</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p>
          <w:p w14:paraId="7AE4FA07">
            <w:pPr>
              <w:keepNext w:val="0"/>
              <w:keepLines w:val="0"/>
              <w:pageBreakBefore w:val="0"/>
              <w:widowControl w:val="0"/>
              <w:kinsoku/>
              <w:wordWrap/>
              <w:overflowPunct/>
              <w:topLinePunct w:val="0"/>
              <w:autoSpaceDE/>
              <w:autoSpaceDN/>
              <w:bidi w:val="0"/>
              <w:adjustRightInd/>
              <w:spacing w:line="356" w:lineRule="auto"/>
              <w:ind w:firstLine="420" w:firstLineChars="200"/>
              <w:textAlignment w:val="auto"/>
              <w:rPr>
                <w:rFonts w:hint="eastAsia" w:eastAsia="宋体"/>
                <w:color w:val="auto"/>
                <w:highlight w:val="none"/>
                <w:lang w:eastAsia="zh-CN"/>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1）</w:t>
            </w:r>
            <w:r>
              <w:rPr>
                <w:rFonts w:hint="eastAsia" w:ascii="宋体" w:hAnsi="宋体"/>
                <w:color w:val="auto"/>
                <w:szCs w:val="21"/>
                <w:highlight w:val="none"/>
              </w:rPr>
              <w:t>供应商</w:t>
            </w:r>
            <w:r>
              <w:rPr>
                <w:rFonts w:hint="eastAsia" w:ascii="宋体" w:hAnsi="宋体" w:eastAsia="宋体" w:cs="宋体"/>
                <w:color w:val="auto"/>
                <w:szCs w:val="21"/>
              </w:rPr>
              <w:t>公路工程施工总承包叁级（含叁级）</w:t>
            </w:r>
            <w:r>
              <w:rPr>
                <w:rFonts w:hint="eastAsia" w:ascii="宋体" w:hAnsi="宋体" w:eastAsia="宋体" w:cs="宋体"/>
                <w:color w:val="auto"/>
                <w:szCs w:val="21"/>
                <w:lang w:val="en-US" w:eastAsia="zh-CN"/>
              </w:rPr>
              <w:t>或市政公用工程</w:t>
            </w:r>
            <w:r>
              <w:rPr>
                <w:rFonts w:hint="eastAsia" w:ascii="宋体" w:hAnsi="宋体" w:eastAsia="宋体" w:cs="宋体"/>
                <w:color w:val="auto"/>
                <w:szCs w:val="21"/>
              </w:rPr>
              <w:t>施工总承包叁级（含叁级）</w:t>
            </w:r>
            <w:r>
              <w:rPr>
                <w:rFonts w:hint="eastAsia" w:ascii="宋体" w:hAnsi="宋体" w:eastAsia="宋体" w:cs="宋体"/>
                <w:color w:val="auto"/>
                <w:sz w:val="21"/>
                <w:szCs w:val="21"/>
                <w:highlight w:val="none"/>
                <w:lang w:val="en-US" w:eastAsia="zh-CN"/>
              </w:rPr>
              <w:t>以上资质</w:t>
            </w:r>
            <w:r>
              <w:rPr>
                <w:rFonts w:hint="eastAsia"/>
                <w:color w:val="auto"/>
                <w:highlight w:val="none"/>
                <w:lang w:val="en-US" w:eastAsia="zh-CN"/>
              </w:rPr>
              <w:t>及</w:t>
            </w:r>
            <w:r>
              <w:rPr>
                <w:rFonts w:hint="eastAsia"/>
                <w:color w:val="auto"/>
                <w:highlight w:val="none"/>
              </w:rPr>
              <w:t>有效的安全生产许可证</w:t>
            </w:r>
            <w:r>
              <w:rPr>
                <w:rFonts w:hint="eastAsia"/>
                <w:color w:val="auto"/>
                <w:highlight w:val="none"/>
                <w:lang w:eastAsia="zh-CN"/>
              </w:rPr>
              <w:t>；</w:t>
            </w:r>
          </w:p>
          <w:p w14:paraId="067D64B3">
            <w:pPr>
              <w:keepNext w:val="0"/>
              <w:keepLines w:val="0"/>
              <w:pageBreakBefore w:val="0"/>
              <w:widowControl w:val="0"/>
              <w:kinsoku/>
              <w:wordWrap/>
              <w:overflowPunct/>
              <w:topLinePunct w:val="0"/>
              <w:autoSpaceDE/>
              <w:autoSpaceDN/>
              <w:bidi w:val="0"/>
              <w:adjustRightInd/>
              <w:spacing w:line="356" w:lineRule="auto"/>
              <w:ind w:firstLine="420" w:firstLineChars="200"/>
              <w:textAlignment w:val="auto"/>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拟派</w:t>
            </w:r>
            <w:r>
              <w:rPr>
                <w:rFonts w:hint="eastAsia" w:ascii="宋体" w:hAnsi="宋体" w:eastAsia="宋体" w:cs="宋体"/>
                <w:color w:val="auto"/>
                <w:szCs w:val="21"/>
              </w:rPr>
              <w:t>项目经理</w:t>
            </w:r>
            <w:r>
              <w:rPr>
                <w:rFonts w:hint="eastAsia" w:ascii="宋体" w:hAnsi="宋体" w:eastAsia="宋体" w:cs="宋体"/>
                <w:color w:val="auto"/>
                <w:szCs w:val="21"/>
                <w:lang w:val="en-US" w:eastAsia="zh-CN"/>
              </w:rPr>
              <w:t>有效的</w:t>
            </w:r>
            <w:r>
              <w:rPr>
                <w:rFonts w:hint="eastAsia" w:ascii="宋体" w:hAnsi="宋体" w:eastAsia="宋体" w:cs="宋体"/>
                <w:color w:val="auto"/>
                <w:szCs w:val="21"/>
              </w:rPr>
              <w:t>公路工程专业贰级（含贰级）</w:t>
            </w:r>
            <w:r>
              <w:rPr>
                <w:rFonts w:hint="eastAsia" w:ascii="宋体" w:hAnsi="宋体" w:eastAsia="宋体" w:cs="宋体"/>
                <w:color w:val="auto"/>
                <w:szCs w:val="21"/>
                <w:lang w:val="en-US" w:eastAsia="zh-CN"/>
              </w:rPr>
              <w:t>或</w:t>
            </w:r>
            <w:r>
              <w:rPr>
                <w:rFonts w:hint="eastAsia" w:ascii="宋体" w:hAnsi="宋体" w:eastAsia="宋体" w:cs="宋体"/>
                <w:color w:val="auto"/>
                <w:szCs w:val="21"/>
              </w:rPr>
              <w:t>市政公用工程专业贰级（含贰级）以上注册建造师资格</w:t>
            </w:r>
            <w:r>
              <w:rPr>
                <w:rFonts w:hint="eastAsia" w:ascii="宋体" w:hAnsi="宋体" w:eastAsia="宋体" w:cs="宋体"/>
                <w:color w:val="auto"/>
                <w:szCs w:val="21"/>
                <w:lang w:val="en-US" w:eastAsia="zh-CN"/>
              </w:rPr>
              <w:t>证书</w:t>
            </w:r>
            <w:r>
              <w:rPr>
                <w:rFonts w:hint="eastAsia" w:ascii="宋体" w:hAnsi="宋体" w:eastAsia="宋体" w:cs="宋体"/>
                <w:color w:val="auto"/>
                <w:szCs w:val="21"/>
              </w:rPr>
              <w:t>，有效的安全生产考核合格证书（B 类）</w:t>
            </w:r>
            <w:r>
              <w:rPr>
                <w:rFonts w:hint="eastAsia" w:ascii="宋体" w:hAnsi="宋体" w:cs="宋体"/>
                <w:color w:val="auto"/>
                <w:sz w:val="21"/>
                <w:szCs w:val="21"/>
                <w:highlight w:val="none"/>
                <w:lang w:eastAsia="zh-CN"/>
              </w:rPr>
              <w:t>；</w:t>
            </w:r>
          </w:p>
          <w:p w14:paraId="7C7F00BF">
            <w:pPr>
              <w:keepNext w:val="0"/>
              <w:keepLines w:val="0"/>
              <w:pageBreakBefore w:val="0"/>
              <w:widowControl w:val="0"/>
              <w:kinsoku/>
              <w:wordWrap/>
              <w:overflowPunct/>
              <w:topLinePunct w:val="0"/>
              <w:autoSpaceDE/>
              <w:autoSpaceDN/>
              <w:bidi w:val="0"/>
              <w:adjustRightInd/>
              <w:spacing w:line="356" w:lineRule="auto"/>
              <w:ind w:firstLine="420" w:firstLineChars="200"/>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eastAsia="zh-CN"/>
              </w:rPr>
              <w:t>）</w:t>
            </w:r>
            <w:r>
              <w:rPr>
                <w:rFonts w:hint="eastAsia" w:ascii="宋体" w:hAnsi="宋体" w:eastAsia="宋体" w:cs="Times New Roman"/>
                <w:color w:val="auto"/>
                <w:kern w:val="2"/>
                <w:sz w:val="21"/>
                <w:szCs w:val="21"/>
                <w:highlight w:val="none"/>
                <w:lang w:val="en-US" w:eastAsia="zh-CN" w:bidi="ar-SA"/>
              </w:rPr>
              <w:t>拟投入本项目专职安全员有效的安全生产考核合格证书（C类）；</w:t>
            </w:r>
          </w:p>
          <w:p w14:paraId="16763FA7">
            <w:pPr>
              <w:keepNext w:val="0"/>
              <w:keepLines w:val="0"/>
              <w:pageBreakBefore w:val="0"/>
              <w:widowControl w:val="0"/>
              <w:kinsoku/>
              <w:wordWrap/>
              <w:overflowPunct/>
              <w:topLinePunct w:val="0"/>
              <w:autoSpaceDE/>
              <w:autoSpaceDN/>
              <w:bidi w:val="0"/>
              <w:adjustRightInd/>
              <w:spacing w:line="356" w:lineRule="auto"/>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Times New Roman"/>
                <w:color w:val="auto"/>
                <w:kern w:val="2"/>
                <w:sz w:val="21"/>
                <w:szCs w:val="21"/>
                <w:highlight w:val="none"/>
                <w:lang w:val="en-US" w:eastAsia="zh-CN" w:bidi="ar-SA"/>
              </w:rPr>
              <w:t>（4）</w:t>
            </w:r>
            <w:r>
              <w:rPr>
                <w:rFonts w:hint="eastAsia" w:ascii="宋体" w:hAnsi="宋体" w:cs="宋体"/>
                <w:color w:val="auto"/>
                <w:sz w:val="21"/>
                <w:szCs w:val="21"/>
                <w:highlight w:val="none"/>
                <w:lang w:val="en-US" w:eastAsia="zh-CN"/>
              </w:rPr>
              <w:t>拟投入本项目施工员、质量员、材料员【具备有效的相应施工现场专业人员职业培训合格证书</w:t>
            </w:r>
            <w:r>
              <w:rPr>
                <w:rFonts w:hint="eastAsia" w:ascii="宋体" w:hAnsi="宋体" w:eastAsia="宋体" w:cs="宋体"/>
                <w:color w:val="auto"/>
                <w:sz w:val="21"/>
                <w:szCs w:val="21"/>
                <w:highlight w:val="none"/>
                <w:lang w:val="en-US" w:eastAsia="zh-CN"/>
              </w:rPr>
              <w:t>（岗位培训证书复印件或网上继续教育培训合格证电子打印件）；</w:t>
            </w:r>
          </w:p>
          <w:p w14:paraId="6A401F92">
            <w:pPr>
              <w:pStyle w:val="31"/>
              <w:keepNext w:val="0"/>
              <w:keepLines w:val="0"/>
              <w:pageBreakBefore w:val="0"/>
              <w:widowControl w:val="0"/>
              <w:kinsoku/>
              <w:wordWrap/>
              <w:overflowPunct/>
              <w:topLinePunct w:val="0"/>
              <w:autoSpaceDE/>
              <w:autoSpaceDN/>
              <w:bidi w:val="0"/>
              <w:adjustRightInd/>
              <w:spacing w:line="356" w:lineRule="auto"/>
              <w:textAlignment w:val="auto"/>
              <w:rPr>
                <w:rFonts w:hint="eastAsia" w:ascii="宋体" w:hAnsi="宋体" w:cs="宋体"/>
                <w:color w:val="auto"/>
                <w:szCs w:val="21"/>
                <w:highlight w:val="none"/>
                <w:lang w:val="en-US" w:eastAsia="zh-CN"/>
              </w:rPr>
            </w:pPr>
            <w:r>
              <w:rPr>
                <w:rFonts w:hint="eastAsia"/>
                <w:color w:val="auto"/>
                <w:spacing w:val="8"/>
                <w:lang w:val="en-US" w:eastAsia="zh-CN"/>
              </w:rPr>
              <w:t>5. .</w:t>
            </w:r>
            <w:r>
              <w:rPr>
                <w:color w:val="auto"/>
                <w:spacing w:val="8"/>
              </w:rPr>
              <w:t>农民工工资保证金交纳与使用承诺书（格式后附</w:t>
            </w:r>
            <w:r>
              <w:rPr>
                <w:color w:val="auto"/>
                <w:spacing w:val="-37"/>
              </w:rPr>
              <w:t>）；</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p>
          <w:p w14:paraId="45114939">
            <w:pPr>
              <w:pStyle w:val="31"/>
              <w:keepNext w:val="0"/>
              <w:keepLines w:val="0"/>
              <w:pageBreakBefore w:val="0"/>
              <w:widowControl w:val="0"/>
              <w:kinsoku/>
              <w:wordWrap/>
              <w:overflowPunct/>
              <w:topLinePunct w:val="0"/>
              <w:autoSpaceDE/>
              <w:autoSpaceDN/>
              <w:bidi w:val="0"/>
              <w:adjustRightInd/>
              <w:spacing w:line="356" w:lineRule="auto"/>
              <w:textAlignment w:val="auto"/>
              <w:rPr>
                <w:rFonts w:hint="eastAsia" w:ascii="宋体" w:hAnsi="宋体" w:eastAsia="宋体"/>
                <w:color w:val="auto"/>
                <w:szCs w:val="21"/>
                <w:highlight w:val="none"/>
                <w:lang w:eastAsia="zh-CN"/>
              </w:rPr>
            </w:pPr>
            <w:r>
              <w:rPr>
                <w:rFonts w:hint="eastAsia" w:ascii="宋体" w:hAnsi="宋体" w:cs="宋体"/>
                <w:color w:val="auto"/>
                <w:szCs w:val="21"/>
                <w:highlight w:val="none"/>
                <w:lang w:val="en-US" w:eastAsia="zh-CN"/>
              </w:rPr>
              <w:t xml:space="preserve">6. </w:t>
            </w:r>
            <w:r>
              <w:rPr>
                <w:rFonts w:hint="eastAsia" w:ascii="宋体" w:hAnsi="宋体"/>
                <w:color w:val="auto"/>
                <w:szCs w:val="21"/>
                <w:highlight w:val="none"/>
              </w:rPr>
              <w:t>供应商《中小企业声明函》或《残疾人福利性单位声明函》或监狱企业证明（由省级以上监狱管理局、戒毒管理局（含新疆生产建设兵团）出具的属于监狱企业的证明文件）；</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p>
          <w:p w14:paraId="7A2A962A">
            <w:pPr>
              <w:keepNext w:val="0"/>
              <w:keepLines w:val="0"/>
              <w:pageBreakBefore w:val="0"/>
              <w:widowControl w:val="0"/>
              <w:kinsoku/>
              <w:wordWrap/>
              <w:overflowPunct/>
              <w:topLinePunct w:val="0"/>
              <w:autoSpaceDE/>
              <w:autoSpaceDN/>
              <w:bidi w:val="0"/>
              <w:adjustRightInd/>
              <w:snapToGrid w:val="0"/>
              <w:spacing w:line="356" w:lineRule="auto"/>
              <w:jc w:val="left"/>
              <w:textAlignment w:val="auto"/>
              <w:rPr>
                <w:rFonts w:ascii="宋体" w:hAnsi="宋体" w:cs="宋体"/>
                <w:color w:val="auto"/>
                <w:szCs w:val="21"/>
                <w:highlight w:val="none"/>
              </w:rPr>
            </w:pPr>
            <w:r>
              <w:rPr>
                <w:rFonts w:hint="eastAsia" w:ascii="宋体" w:hAnsi="宋体" w:cs="宋体"/>
                <w:color w:val="auto"/>
                <w:szCs w:val="21"/>
                <w:highlight w:val="none"/>
                <w:lang w:val="en-US" w:eastAsia="zh-CN"/>
              </w:rPr>
              <w:t xml:space="preserve">7. </w:t>
            </w:r>
            <w:r>
              <w:rPr>
                <w:rFonts w:hint="eastAsia" w:ascii="宋体" w:hAnsi="宋体" w:cs="宋体"/>
                <w:color w:val="auto"/>
                <w:szCs w:val="21"/>
                <w:highlight w:val="none"/>
              </w:rPr>
              <w:t>除磋商文件规定必须提供以外，供应商认为需要提供的其他证明材料；</w:t>
            </w:r>
          </w:p>
          <w:p w14:paraId="3D6F7B27">
            <w:pPr>
              <w:keepNext w:val="0"/>
              <w:keepLines w:val="0"/>
              <w:pageBreakBefore w:val="0"/>
              <w:widowControl w:val="0"/>
              <w:kinsoku/>
              <w:wordWrap/>
              <w:overflowPunct/>
              <w:topLinePunct w:val="0"/>
              <w:autoSpaceDE/>
              <w:autoSpaceDN/>
              <w:bidi w:val="0"/>
              <w:adjustRightInd/>
              <w:snapToGrid w:val="0"/>
              <w:spacing w:line="356" w:lineRule="auto"/>
              <w:jc w:val="left"/>
              <w:textAlignment w:val="auto"/>
              <w:rPr>
                <w:rFonts w:ascii="宋体" w:hAnsi="宋体" w:cs="宋体"/>
                <w:b/>
                <w:color w:val="auto"/>
                <w:szCs w:val="21"/>
                <w:highlight w:val="none"/>
              </w:rPr>
            </w:pPr>
            <w:r>
              <w:rPr>
                <w:rFonts w:hint="eastAsia" w:ascii="宋体" w:hAnsi="宋体" w:cs="宋体"/>
                <w:b/>
                <w:color w:val="auto"/>
                <w:szCs w:val="21"/>
                <w:highlight w:val="none"/>
              </w:rPr>
              <w:t>注：以上标明“必须提供”的材料属于</w:t>
            </w:r>
            <w:r>
              <w:rPr>
                <w:rFonts w:hint="eastAsia" w:ascii="宋体" w:hAnsi="宋体" w:cs="宋体"/>
                <w:b/>
                <w:color w:val="auto"/>
                <w:szCs w:val="21"/>
                <w:highlight w:val="none"/>
                <w:lang w:val="en-US" w:eastAsia="zh-CN"/>
              </w:rPr>
              <w:t>复印件</w:t>
            </w:r>
            <w:r>
              <w:rPr>
                <w:rFonts w:hint="eastAsia" w:ascii="宋体" w:hAnsi="宋体" w:cs="宋体"/>
                <w:b/>
                <w:color w:val="auto"/>
                <w:szCs w:val="21"/>
                <w:highlight w:val="none"/>
              </w:rPr>
              <w:t>的，必须加盖供应商</w:t>
            </w:r>
            <w:r>
              <w:rPr>
                <w:rFonts w:hint="eastAsia"/>
                <w:b/>
                <w:color w:val="auto"/>
                <w:highlight w:val="none"/>
              </w:rPr>
              <w:t>电子签章</w:t>
            </w:r>
            <w:r>
              <w:rPr>
                <w:rFonts w:hint="eastAsia" w:ascii="宋体" w:hAnsi="宋体" w:cs="宋体"/>
                <w:b/>
                <w:color w:val="auto"/>
                <w:szCs w:val="21"/>
                <w:highlight w:val="none"/>
              </w:rPr>
              <w:t>，否则响应文件按无效</w:t>
            </w:r>
            <w:r>
              <w:rPr>
                <w:rFonts w:hint="eastAsia" w:ascii="宋体" w:hAnsi="宋体" w:cs="宋体"/>
                <w:b/>
                <w:color w:val="auto"/>
                <w:szCs w:val="21"/>
                <w:highlight w:val="none"/>
                <w:lang w:val="en-US" w:eastAsia="zh-CN"/>
              </w:rPr>
              <w:t>响应</w:t>
            </w:r>
            <w:r>
              <w:rPr>
                <w:rFonts w:hint="eastAsia" w:ascii="宋体" w:hAnsi="宋体" w:cs="宋体"/>
                <w:b/>
                <w:color w:val="auto"/>
                <w:szCs w:val="21"/>
                <w:highlight w:val="none"/>
              </w:rPr>
              <w:t>处理。</w:t>
            </w:r>
          </w:p>
        </w:tc>
      </w:tr>
      <w:tr w14:paraId="1AF39A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2E00A272">
            <w:pPr>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8</w:t>
            </w:r>
          </w:p>
        </w:tc>
        <w:tc>
          <w:tcPr>
            <w:tcW w:w="983" w:type="dxa"/>
            <w:vAlign w:val="center"/>
          </w:tcPr>
          <w:p w14:paraId="742BFD7A">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12.1.2</w:t>
            </w:r>
          </w:p>
        </w:tc>
        <w:tc>
          <w:tcPr>
            <w:tcW w:w="8079" w:type="dxa"/>
            <w:vAlign w:val="center"/>
          </w:tcPr>
          <w:p w14:paraId="7E77DAAF">
            <w:pPr>
              <w:keepNext w:val="0"/>
              <w:keepLines w:val="0"/>
              <w:pageBreakBefore w:val="0"/>
              <w:widowControl w:val="0"/>
              <w:kinsoku/>
              <w:wordWrap/>
              <w:overflowPunct/>
              <w:topLinePunct w:val="0"/>
              <w:autoSpaceDE/>
              <w:autoSpaceDN/>
              <w:bidi w:val="0"/>
              <w:adjustRightInd/>
              <w:spacing w:line="356" w:lineRule="auto"/>
              <w:textAlignment w:val="auto"/>
              <w:rPr>
                <w:rFonts w:ascii="宋体" w:hAnsi="宋体" w:cs="宋体"/>
                <w:b/>
                <w:bCs/>
                <w:color w:val="auto"/>
                <w:szCs w:val="21"/>
                <w:highlight w:val="none"/>
              </w:rPr>
            </w:pPr>
            <w:r>
              <w:rPr>
                <w:rFonts w:hint="eastAsia" w:ascii="宋体" w:hAnsi="宋体" w:cs="宋体"/>
                <w:b/>
                <w:bCs/>
                <w:color w:val="auto"/>
                <w:szCs w:val="21"/>
                <w:highlight w:val="none"/>
              </w:rPr>
              <w:t>报价文件</w:t>
            </w:r>
          </w:p>
          <w:p w14:paraId="59ADACDD">
            <w:pPr>
              <w:keepNext w:val="0"/>
              <w:keepLines w:val="0"/>
              <w:pageBreakBefore w:val="0"/>
              <w:widowControl w:val="0"/>
              <w:kinsoku/>
              <w:wordWrap/>
              <w:overflowPunct/>
              <w:topLinePunct w:val="0"/>
              <w:autoSpaceDE/>
              <w:autoSpaceDN/>
              <w:bidi w:val="0"/>
              <w:adjustRightIn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1.竞标函及竞标函附录（格式后附）；</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p>
          <w:p w14:paraId="79DCD244">
            <w:pPr>
              <w:keepNext w:val="0"/>
              <w:keepLines w:val="0"/>
              <w:pageBreakBefore w:val="0"/>
              <w:widowControl w:val="0"/>
              <w:kinsoku/>
              <w:wordWrap/>
              <w:overflowPunct/>
              <w:topLinePunct w:val="0"/>
              <w:autoSpaceDE/>
              <w:autoSpaceDN/>
              <w:bidi w:val="0"/>
              <w:adjustRightIn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2.竞标报价表（格式后附）；</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p>
          <w:p w14:paraId="0372439F">
            <w:pPr>
              <w:keepNext w:val="0"/>
              <w:keepLines w:val="0"/>
              <w:pageBreakBefore w:val="0"/>
              <w:widowControl w:val="0"/>
              <w:kinsoku/>
              <w:wordWrap/>
              <w:overflowPunct/>
              <w:topLinePunct w:val="0"/>
              <w:autoSpaceDE/>
              <w:autoSpaceDN/>
              <w:bidi w:val="0"/>
              <w:adjustRightIn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3.已标价工程量清单；</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p>
          <w:p w14:paraId="7EADA085">
            <w:pPr>
              <w:keepNext w:val="0"/>
              <w:keepLines w:val="0"/>
              <w:pageBreakBefore w:val="0"/>
              <w:widowControl w:val="0"/>
              <w:kinsoku/>
              <w:wordWrap/>
              <w:overflowPunct/>
              <w:topLinePunct w:val="0"/>
              <w:autoSpaceDE/>
              <w:autoSpaceDN/>
              <w:bidi w:val="0"/>
              <w:adjustRightInd/>
              <w:spacing w:line="356" w:lineRule="auto"/>
              <w:textAlignment w:val="auto"/>
              <w:rPr>
                <w:color w:val="auto"/>
                <w:highlight w:val="none"/>
              </w:rPr>
            </w:pPr>
            <w:r>
              <w:rPr>
                <w:rFonts w:hint="eastAsia" w:ascii="宋体" w:hAnsi="宋体" w:cs="宋体"/>
                <w:color w:val="auto"/>
                <w:szCs w:val="21"/>
                <w:highlight w:val="none"/>
              </w:rPr>
              <w:t>4.供应商认为需要提供的其他有关资料。</w:t>
            </w:r>
          </w:p>
        </w:tc>
      </w:tr>
      <w:tr w14:paraId="1EBB6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296F3428">
            <w:pPr>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9</w:t>
            </w:r>
          </w:p>
        </w:tc>
        <w:tc>
          <w:tcPr>
            <w:tcW w:w="983" w:type="dxa"/>
            <w:vAlign w:val="center"/>
          </w:tcPr>
          <w:p w14:paraId="7B87A467">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w:t>
            </w:r>
            <w:r>
              <w:rPr>
                <w:rFonts w:ascii="宋体" w:hAnsi="宋体" w:cs="宋体"/>
                <w:color w:val="auto"/>
                <w:szCs w:val="21"/>
                <w:highlight w:val="none"/>
              </w:rPr>
              <w:t>1</w:t>
            </w:r>
            <w:r>
              <w:rPr>
                <w:rFonts w:hint="eastAsia" w:ascii="宋体" w:hAnsi="宋体" w:cs="宋体"/>
                <w:color w:val="auto"/>
                <w:szCs w:val="21"/>
                <w:highlight w:val="none"/>
              </w:rPr>
              <w:t>.3</w:t>
            </w:r>
          </w:p>
        </w:tc>
        <w:tc>
          <w:tcPr>
            <w:tcW w:w="8079" w:type="dxa"/>
            <w:vAlign w:val="center"/>
          </w:tcPr>
          <w:p w14:paraId="76C02B02">
            <w:pPr>
              <w:keepNext w:val="0"/>
              <w:keepLines w:val="0"/>
              <w:pageBreakBefore w:val="0"/>
              <w:widowControl w:val="0"/>
              <w:kinsoku/>
              <w:wordWrap/>
              <w:overflowPunct/>
              <w:topLinePunct w:val="0"/>
              <w:autoSpaceDE/>
              <w:autoSpaceDN/>
              <w:bidi w:val="0"/>
              <w:adjustRightInd/>
              <w:spacing w:line="356" w:lineRule="auto"/>
              <w:textAlignment w:val="auto"/>
              <w:rPr>
                <w:rFonts w:ascii="宋体" w:hAnsi="宋体" w:cs="宋体"/>
                <w:b/>
                <w:bCs/>
                <w:color w:val="auto"/>
                <w:szCs w:val="21"/>
                <w:highlight w:val="none"/>
              </w:rPr>
            </w:pPr>
            <w:r>
              <w:rPr>
                <w:rFonts w:hint="eastAsia" w:ascii="宋体" w:hAnsi="宋体" w:cs="宋体"/>
                <w:b/>
                <w:bCs/>
                <w:color w:val="auto"/>
                <w:szCs w:val="21"/>
                <w:highlight w:val="none"/>
              </w:rPr>
              <w:t>商务技术文件</w:t>
            </w:r>
          </w:p>
          <w:p w14:paraId="5E285229">
            <w:pPr>
              <w:keepNext w:val="0"/>
              <w:keepLines w:val="0"/>
              <w:pageBreakBefore w:val="0"/>
              <w:widowControl w:val="0"/>
              <w:kinsoku/>
              <w:wordWrap/>
              <w:overflowPunct/>
              <w:topLinePunct w:val="0"/>
              <w:autoSpaceDE/>
              <w:autoSpaceDN/>
              <w:bidi w:val="0"/>
              <w:adjustRightIn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1.无串通竞标行为的承诺函（格式后附）；</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p>
          <w:p w14:paraId="7997FB50">
            <w:pPr>
              <w:keepNext w:val="0"/>
              <w:keepLines w:val="0"/>
              <w:pageBreakBefore w:val="0"/>
              <w:widowControl w:val="0"/>
              <w:kinsoku/>
              <w:wordWrap/>
              <w:overflowPunct/>
              <w:topLinePunct w:val="0"/>
              <w:autoSpaceDE/>
              <w:autoSpaceDN/>
              <w:bidi w:val="0"/>
              <w:adjustRightInd/>
              <w:snapToGrid w:val="0"/>
              <w:spacing w:line="356" w:lineRule="auto"/>
              <w:jc w:val="left"/>
              <w:textAlignment w:val="auto"/>
              <w:rPr>
                <w:rFonts w:ascii="宋体" w:hAnsi="宋体" w:cs="宋体"/>
                <w:color w:val="auto"/>
                <w:szCs w:val="21"/>
                <w:highlight w:val="none"/>
              </w:rPr>
            </w:pPr>
            <w:r>
              <w:rPr>
                <w:rFonts w:hint="eastAsia" w:ascii="宋体" w:hAnsi="宋体" w:cs="宋体"/>
                <w:color w:val="auto"/>
                <w:szCs w:val="21"/>
                <w:highlight w:val="none"/>
              </w:rPr>
              <w:t>2.法定代表人身份证明书及法定代表人有效身份证正反面</w:t>
            </w:r>
            <w:r>
              <w:rPr>
                <w:rFonts w:hint="eastAsia" w:ascii="宋体" w:hAnsi="宋体" w:cs="宋体"/>
                <w:color w:val="auto"/>
                <w:szCs w:val="21"/>
                <w:highlight w:val="none"/>
                <w:lang w:val="en-US" w:eastAsia="zh-CN"/>
              </w:rPr>
              <w:t>复印</w:t>
            </w:r>
            <w:r>
              <w:rPr>
                <w:rFonts w:hint="eastAsia" w:ascii="宋体" w:hAnsi="宋体" w:cs="宋体"/>
                <w:color w:val="auto"/>
                <w:szCs w:val="21"/>
                <w:highlight w:val="none"/>
              </w:rPr>
              <w:t>件（格式后附）；</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p>
          <w:p w14:paraId="488CB54B">
            <w:pPr>
              <w:keepNext w:val="0"/>
              <w:keepLines w:val="0"/>
              <w:pageBreakBefore w:val="0"/>
              <w:widowControl w:val="0"/>
              <w:kinsoku/>
              <w:wordWrap/>
              <w:overflowPunct/>
              <w:topLinePunct w:val="0"/>
              <w:autoSpaceDE/>
              <w:autoSpaceDN/>
              <w:bidi w:val="0"/>
              <w:adjustRightInd/>
              <w:spacing w:line="356" w:lineRule="auto"/>
              <w:textAlignment w:val="auto"/>
              <w:rPr>
                <w:rFonts w:ascii="宋体" w:hAnsi="宋体" w:cs="宋体"/>
                <w:b/>
                <w:color w:val="auto"/>
                <w:szCs w:val="21"/>
                <w:highlight w:val="none"/>
              </w:rPr>
            </w:pPr>
            <w:r>
              <w:rPr>
                <w:rFonts w:hint="eastAsia" w:ascii="宋体" w:hAnsi="宋体" w:cs="宋体"/>
                <w:color w:val="auto"/>
                <w:szCs w:val="21"/>
                <w:highlight w:val="none"/>
              </w:rPr>
              <w:t>3.授权委托书及委托代理人有效身份证正反面</w:t>
            </w:r>
            <w:r>
              <w:rPr>
                <w:rFonts w:hint="eastAsia" w:ascii="宋体" w:hAnsi="宋体" w:cs="宋体"/>
                <w:color w:val="auto"/>
                <w:szCs w:val="21"/>
                <w:highlight w:val="none"/>
                <w:lang w:val="en-US" w:eastAsia="zh-CN"/>
              </w:rPr>
              <w:t>复印</w:t>
            </w:r>
            <w:r>
              <w:rPr>
                <w:rFonts w:hint="eastAsia" w:ascii="宋体" w:hAnsi="宋体" w:cs="宋体"/>
                <w:color w:val="auto"/>
                <w:szCs w:val="21"/>
                <w:highlight w:val="none"/>
              </w:rPr>
              <w:t>件（格式后附）；（</w:t>
            </w:r>
            <w:r>
              <w:rPr>
                <w:rFonts w:hint="eastAsia" w:ascii="宋体" w:hAnsi="宋体" w:cs="宋体"/>
                <w:b/>
                <w:color w:val="auto"/>
                <w:szCs w:val="21"/>
                <w:highlight w:val="none"/>
              </w:rPr>
              <w:t>委托时必须提供，否则响应文件按无效</w:t>
            </w:r>
            <w:r>
              <w:rPr>
                <w:rFonts w:hint="eastAsia" w:ascii="宋体" w:hAnsi="宋体" w:cs="宋体"/>
                <w:b/>
                <w:color w:val="auto"/>
                <w:szCs w:val="21"/>
                <w:highlight w:val="none"/>
                <w:lang w:val="en-US" w:eastAsia="zh-CN"/>
              </w:rPr>
              <w:t>响应</w:t>
            </w:r>
            <w:r>
              <w:rPr>
                <w:rFonts w:hint="eastAsia" w:ascii="宋体" w:hAnsi="宋体" w:cs="宋体"/>
                <w:b/>
                <w:color w:val="auto"/>
                <w:szCs w:val="21"/>
                <w:highlight w:val="none"/>
              </w:rPr>
              <w:t>处理</w:t>
            </w:r>
            <w:r>
              <w:rPr>
                <w:rFonts w:hint="eastAsia" w:ascii="宋体" w:hAnsi="宋体" w:cs="宋体"/>
                <w:color w:val="auto"/>
                <w:szCs w:val="21"/>
                <w:highlight w:val="none"/>
              </w:rPr>
              <w:t>）</w:t>
            </w:r>
          </w:p>
          <w:p w14:paraId="44F18687">
            <w:pPr>
              <w:keepNext w:val="0"/>
              <w:keepLines w:val="0"/>
              <w:pageBreakBefore w:val="0"/>
              <w:widowControl w:val="0"/>
              <w:kinsoku/>
              <w:wordWrap/>
              <w:overflowPunct/>
              <w:topLinePunct w:val="0"/>
              <w:autoSpaceDE/>
              <w:autoSpaceDN/>
              <w:bidi w:val="0"/>
              <w:adjustRightInd/>
              <w:spacing w:line="356" w:lineRule="auto"/>
              <w:textAlignment w:val="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rPr>
              <w:t>.商务条款偏离表（格式后附）；</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 xml:space="preserve">  </w:t>
            </w:r>
          </w:p>
          <w:p w14:paraId="0B30A372">
            <w:pPr>
              <w:keepNext w:val="0"/>
              <w:keepLines w:val="0"/>
              <w:pageBreakBefore w:val="0"/>
              <w:widowControl w:val="0"/>
              <w:kinsoku/>
              <w:wordWrap/>
              <w:overflowPunct/>
              <w:topLinePunct w:val="0"/>
              <w:autoSpaceDE/>
              <w:autoSpaceDN/>
              <w:bidi w:val="0"/>
              <w:adjustRightInd/>
              <w:spacing w:line="356" w:lineRule="auto"/>
              <w:textAlignment w:val="auto"/>
              <w:rPr>
                <w:rFonts w:hint="eastAsia" w:ascii="宋体" w:hAnsi="宋体" w:eastAsia="宋体" w:cs="宋体"/>
                <w:b/>
                <w:bCs/>
                <w:color w:val="auto"/>
                <w:szCs w:val="21"/>
                <w:highlight w:val="none"/>
              </w:rPr>
            </w:pP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rPr>
              <w:t>.技术要求偏离表（格式后附）；</w:t>
            </w:r>
            <w:r>
              <w:rPr>
                <w:rFonts w:hint="eastAsia" w:ascii="宋体" w:hAnsi="宋体" w:eastAsia="宋体" w:cs="宋体"/>
                <w:b/>
                <w:bCs/>
                <w:color w:val="auto"/>
                <w:szCs w:val="21"/>
                <w:highlight w:val="none"/>
              </w:rPr>
              <w:t>（必须提供，否则响应文件按无效响应处理）</w:t>
            </w:r>
          </w:p>
          <w:p w14:paraId="399CAF18">
            <w:pPr>
              <w:keepNext w:val="0"/>
              <w:keepLines w:val="0"/>
              <w:pageBreakBefore w:val="0"/>
              <w:widowControl w:val="0"/>
              <w:kinsoku/>
              <w:wordWrap/>
              <w:overflowPunct/>
              <w:topLinePunct w:val="0"/>
              <w:autoSpaceDE/>
              <w:autoSpaceDN/>
              <w:bidi w:val="0"/>
              <w:adjustRightIn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.施工组织设计（格式自拟）；</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p>
          <w:p w14:paraId="11BCA463">
            <w:pPr>
              <w:keepNext w:val="0"/>
              <w:keepLines w:val="0"/>
              <w:pageBreakBefore w:val="0"/>
              <w:widowControl w:val="0"/>
              <w:kinsoku/>
              <w:wordWrap/>
              <w:overflowPunct/>
              <w:topLinePunct w:val="0"/>
              <w:autoSpaceDE/>
              <w:autoSpaceDN/>
              <w:bidi w:val="0"/>
              <w:adjustRightInd/>
              <w:spacing w:line="356" w:lineRule="auto"/>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.拟</w:t>
            </w:r>
            <w:r>
              <w:rPr>
                <w:rFonts w:hint="eastAsia" w:ascii="宋体" w:hAnsi="宋体" w:eastAsia="宋体" w:cs="宋体"/>
                <w:color w:val="auto"/>
                <w:szCs w:val="21"/>
                <w:highlight w:val="none"/>
              </w:rPr>
              <w:t>分包项目情况表（格式后附）；（如有）</w:t>
            </w:r>
          </w:p>
          <w:p w14:paraId="078B6CC3">
            <w:pPr>
              <w:keepNext w:val="0"/>
              <w:keepLines w:val="0"/>
              <w:pageBreakBefore w:val="0"/>
              <w:widowControl w:val="0"/>
              <w:kinsoku/>
              <w:wordWrap/>
              <w:overflowPunct/>
              <w:topLinePunct w:val="0"/>
              <w:autoSpaceDE/>
              <w:autoSpaceDN/>
              <w:bidi w:val="0"/>
              <w:adjustRightIn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.项目管理机构配备情况表及主要人员简历表（格式后附）；</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 xml:space="preserve"> </w:t>
            </w:r>
          </w:p>
          <w:p w14:paraId="004A7FA3">
            <w:pPr>
              <w:keepNext w:val="0"/>
              <w:keepLines w:val="0"/>
              <w:pageBreakBefore w:val="0"/>
              <w:widowControl w:val="0"/>
              <w:kinsoku/>
              <w:wordWrap/>
              <w:overflowPunct/>
              <w:topLinePunct w:val="0"/>
              <w:autoSpaceDE/>
              <w:autoSpaceDN/>
              <w:bidi w:val="0"/>
              <w:adjustRightInd/>
              <w:spacing w:line="356" w:lineRule="auto"/>
              <w:textAlignment w:val="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rPr>
              <w:t>.供应商认为需要提供的其他有关资料。</w:t>
            </w:r>
          </w:p>
          <w:p w14:paraId="56271577">
            <w:pPr>
              <w:keepNext w:val="0"/>
              <w:keepLines w:val="0"/>
              <w:pageBreakBefore w:val="0"/>
              <w:widowControl w:val="0"/>
              <w:kinsoku/>
              <w:wordWrap/>
              <w:overflowPunct/>
              <w:topLinePunct w:val="0"/>
              <w:autoSpaceDE/>
              <w:autoSpaceDN/>
              <w:bidi w:val="0"/>
              <w:adjustRightInd/>
              <w:spacing w:line="356" w:lineRule="auto"/>
              <w:textAlignment w:val="auto"/>
              <w:rPr>
                <w:rFonts w:ascii="宋体" w:hAnsi="宋体" w:cs="宋体"/>
                <w:b/>
                <w:color w:val="auto"/>
                <w:szCs w:val="21"/>
                <w:highlight w:val="none"/>
              </w:rPr>
            </w:pPr>
            <w:r>
              <w:rPr>
                <w:rFonts w:hint="eastAsia" w:ascii="宋体" w:hAnsi="宋体" w:cs="宋体"/>
                <w:b/>
                <w:color w:val="auto"/>
                <w:szCs w:val="21"/>
                <w:highlight w:val="none"/>
              </w:rPr>
              <w:t>注：以上标明“必须提供”的材料属于</w:t>
            </w:r>
            <w:r>
              <w:rPr>
                <w:rFonts w:hint="eastAsia" w:ascii="宋体" w:hAnsi="宋体" w:cs="宋体"/>
                <w:b/>
                <w:color w:val="auto"/>
                <w:szCs w:val="21"/>
                <w:highlight w:val="none"/>
                <w:lang w:val="en-US" w:eastAsia="zh-CN"/>
              </w:rPr>
              <w:t>复印件</w:t>
            </w:r>
            <w:r>
              <w:rPr>
                <w:rFonts w:hint="eastAsia" w:ascii="宋体" w:hAnsi="宋体" w:cs="宋体"/>
                <w:b/>
                <w:color w:val="auto"/>
                <w:szCs w:val="21"/>
                <w:highlight w:val="none"/>
              </w:rPr>
              <w:t>的，必须加盖供应商电子签章，否则响应文件按无效</w:t>
            </w:r>
            <w:r>
              <w:rPr>
                <w:rFonts w:hint="eastAsia" w:ascii="宋体" w:hAnsi="宋体" w:cs="宋体"/>
                <w:b/>
                <w:color w:val="auto"/>
                <w:szCs w:val="21"/>
                <w:highlight w:val="none"/>
                <w:lang w:val="en-US" w:eastAsia="zh-CN"/>
              </w:rPr>
              <w:t>响应</w:t>
            </w:r>
            <w:r>
              <w:rPr>
                <w:rFonts w:hint="eastAsia" w:ascii="宋体" w:hAnsi="宋体" w:cs="宋体"/>
                <w:b/>
                <w:color w:val="auto"/>
                <w:szCs w:val="21"/>
                <w:highlight w:val="none"/>
              </w:rPr>
              <w:t>处理。</w:t>
            </w:r>
          </w:p>
        </w:tc>
      </w:tr>
      <w:tr w14:paraId="1070F1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67329C51">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10</w:t>
            </w:r>
          </w:p>
        </w:tc>
        <w:tc>
          <w:tcPr>
            <w:tcW w:w="983" w:type="dxa"/>
            <w:vAlign w:val="center"/>
          </w:tcPr>
          <w:p w14:paraId="4606B61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15.1</w:t>
            </w:r>
          </w:p>
        </w:tc>
        <w:tc>
          <w:tcPr>
            <w:tcW w:w="8079" w:type="dxa"/>
            <w:vAlign w:val="center"/>
          </w:tcPr>
          <w:p w14:paraId="0FB75427">
            <w:pPr>
              <w:keepNext w:val="0"/>
              <w:keepLines w:val="0"/>
              <w:pageBreakBefore w:val="0"/>
              <w:widowControl w:val="0"/>
              <w:kinsoku/>
              <w:wordWrap/>
              <w:overflowPunct/>
              <w:topLinePunct w:val="0"/>
              <w:bidi w:val="0"/>
              <w:adjustRightInd/>
              <w:spacing w:line="356" w:lineRule="auto"/>
              <w:contextualSpacing/>
              <w:jc w:val="left"/>
              <w:rPr>
                <w:rFonts w:hint="eastAsia" w:ascii="宋体" w:hAnsi="宋体"/>
                <w:color w:val="auto"/>
                <w:szCs w:val="21"/>
                <w:highlight w:val="none"/>
              </w:rPr>
            </w:pPr>
            <w:r>
              <w:rPr>
                <w:rFonts w:hint="eastAsia" w:ascii="宋体" w:hAnsi="宋体"/>
                <w:color w:val="auto"/>
                <w:szCs w:val="21"/>
                <w:highlight w:val="none"/>
              </w:rPr>
              <w:t>竞标报价应按磋商文件中“竞标报价表”及“已标价工程量清单”格式填写。</w:t>
            </w:r>
          </w:p>
          <w:p w14:paraId="374C36E7">
            <w:pPr>
              <w:keepNext w:val="0"/>
              <w:keepLines w:val="0"/>
              <w:widowControl/>
              <w:suppressLineNumbers w:val="0"/>
              <w:jc w:val="left"/>
              <w:rPr>
                <w:rFonts w:hint="eastAsia" w:ascii="宋体" w:hAnsi="宋体"/>
                <w:color w:val="auto"/>
                <w:szCs w:val="21"/>
                <w:highlight w:val="none"/>
              </w:rPr>
            </w:pPr>
            <w:r>
              <w:rPr>
                <w:rFonts w:hint="eastAsia" w:ascii="宋体" w:hAnsi="宋体"/>
                <w:color w:val="auto"/>
                <w:szCs w:val="21"/>
                <w:highlight w:val="none"/>
                <w:lang w:val="en-US" w:eastAsia="zh-CN"/>
              </w:rPr>
              <w:t>注：工程量清单的填写方式：供应商按照采购人提供的书面工程量清单填写工程量清单。</w:t>
            </w:r>
          </w:p>
        </w:tc>
      </w:tr>
      <w:tr w14:paraId="76A1CB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7A26C4B7">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11</w:t>
            </w:r>
          </w:p>
        </w:tc>
        <w:tc>
          <w:tcPr>
            <w:tcW w:w="983" w:type="dxa"/>
            <w:vAlign w:val="center"/>
          </w:tcPr>
          <w:p w14:paraId="6E78576A">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15.2</w:t>
            </w:r>
          </w:p>
        </w:tc>
        <w:tc>
          <w:tcPr>
            <w:tcW w:w="8079" w:type="dxa"/>
            <w:vAlign w:val="center"/>
          </w:tcPr>
          <w:p w14:paraId="0C690093">
            <w:pPr>
              <w:keepNext w:val="0"/>
              <w:keepLines w:val="0"/>
              <w:pageBreakBefore w:val="0"/>
              <w:widowControl w:val="0"/>
              <w:kinsoku/>
              <w:wordWrap/>
              <w:overflowPunct/>
              <w:topLinePunct w:val="0"/>
              <w:bidi w:val="0"/>
              <w:adjustRightInd/>
              <w:spacing w:line="356" w:lineRule="auto"/>
              <w:contextualSpacing/>
              <w:jc w:val="left"/>
              <w:rPr>
                <w:rFonts w:hint="eastAsia" w:ascii="宋体" w:hAnsi="宋体" w:eastAsia="宋体" w:cs="宋体"/>
                <w:color w:val="auto"/>
                <w:szCs w:val="21"/>
                <w:highlight w:val="none"/>
                <w:lang w:val="en-US" w:eastAsia="zh-CN"/>
              </w:rPr>
            </w:pPr>
            <w:r>
              <w:rPr>
                <w:rFonts w:hint="eastAsia" w:ascii="宋体" w:hAnsi="宋体"/>
                <w:color w:val="auto"/>
                <w:szCs w:val="21"/>
                <w:highlight w:val="none"/>
              </w:rPr>
              <w:t>竞标报价是履行合同的最终价格，包括了</w:t>
            </w:r>
            <w:r>
              <w:rPr>
                <w:rFonts w:hint="eastAsia" w:ascii="宋体" w:hAnsi="宋体" w:cs="宋体"/>
                <w:color w:val="auto"/>
                <w:szCs w:val="21"/>
                <w:highlight w:val="none"/>
              </w:rPr>
              <w:t>为实施和完成合同工程所需的劳务、材料、机械、质检（自检）、安装、缺陷修复、管理、保险、税费、利润等费用，以及合同明示或暗示的所有责任、义务和一般风险。</w:t>
            </w:r>
            <w:r>
              <w:rPr>
                <w:rFonts w:hint="eastAsia" w:ascii="宋体" w:hAnsi="宋体" w:cs="宋体"/>
                <w:color w:val="auto"/>
                <w:szCs w:val="21"/>
                <w:highlight w:val="none"/>
                <w:lang w:val="en-US" w:eastAsia="zh-CN"/>
              </w:rPr>
              <w:t xml:space="preserve"> </w:t>
            </w:r>
          </w:p>
        </w:tc>
      </w:tr>
      <w:tr w14:paraId="2B4B14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62C18222">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12</w:t>
            </w:r>
          </w:p>
        </w:tc>
        <w:tc>
          <w:tcPr>
            <w:tcW w:w="983" w:type="dxa"/>
            <w:vAlign w:val="center"/>
          </w:tcPr>
          <w:p w14:paraId="32770FF7">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15.3</w:t>
            </w:r>
          </w:p>
        </w:tc>
        <w:tc>
          <w:tcPr>
            <w:tcW w:w="8079" w:type="dxa"/>
            <w:vAlign w:val="center"/>
          </w:tcPr>
          <w:p w14:paraId="43736B15">
            <w:pPr>
              <w:keepNext w:val="0"/>
              <w:keepLines w:val="0"/>
              <w:pageBreakBefore w:val="0"/>
              <w:widowControl w:val="0"/>
              <w:kinsoku/>
              <w:wordWrap/>
              <w:overflowPunct/>
              <w:topLinePunct w:val="0"/>
              <w:bidi w:val="0"/>
              <w:adjustRightInd/>
              <w:spacing w:line="356" w:lineRule="auto"/>
              <w:contextualSpacing/>
              <w:jc w:val="left"/>
              <w:rPr>
                <w:rFonts w:ascii="宋体" w:hAnsi="宋体"/>
                <w:color w:val="auto"/>
                <w:szCs w:val="21"/>
                <w:highlight w:val="none"/>
              </w:rPr>
            </w:pPr>
            <w:r>
              <w:rPr>
                <w:rFonts w:hint="eastAsia" w:cs="宋体"/>
                <w:color w:val="auto"/>
                <w:highlight w:val="none"/>
              </w:rPr>
              <w:t>本工程增值税计税方法：</w:t>
            </w:r>
            <w:r>
              <w:rPr>
                <w:rFonts w:hint="eastAsia" w:cs="宋体"/>
                <w:color w:val="auto"/>
                <w:highlight w:val="none"/>
                <w:lang w:eastAsia="zh-CN"/>
              </w:rPr>
              <w:t>☑</w:t>
            </w:r>
            <w:r>
              <w:rPr>
                <w:rFonts w:hint="eastAsia" w:cs="宋体"/>
                <w:color w:val="auto"/>
                <w:highlight w:val="none"/>
              </w:rPr>
              <w:t>一般计税法；□简易计税法</w:t>
            </w:r>
          </w:p>
        </w:tc>
      </w:tr>
      <w:tr w14:paraId="71F66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5E4CB417">
            <w:pPr>
              <w:spacing w:line="360" w:lineRule="auto"/>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13</w:t>
            </w:r>
          </w:p>
        </w:tc>
        <w:tc>
          <w:tcPr>
            <w:tcW w:w="983" w:type="dxa"/>
            <w:vAlign w:val="center"/>
          </w:tcPr>
          <w:p w14:paraId="3A3D8388">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16.</w:t>
            </w:r>
            <w:r>
              <w:rPr>
                <w:rFonts w:ascii="宋体" w:hAnsi="宋体" w:cs="宋体"/>
                <w:color w:val="auto"/>
                <w:szCs w:val="21"/>
                <w:highlight w:val="none"/>
              </w:rPr>
              <w:t>2</w:t>
            </w:r>
          </w:p>
        </w:tc>
        <w:tc>
          <w:tcPr>
            <w:tcW w:w="8079" w:type="dxa"/>
            <w:vAlign w:val="center"/>
          </w:tcPr>
          <w:p w14:paraId="29746D85">
            <w:pPr>
              <w:pStyle w:val="13"/>
              <w:keepNext w:val="0"/>
              <w:keepLines w:val="0"/>
              <w:pageBreakBefore w:val="0"/>
              <w:widowControl w:val="0"/>
              <w:tabs>
                <w:tab w:val="clear" w:pos="454"/>
              </w:tabs>
              <w:kinsoku/>
              <w:wordWrap/>
              <w:overflowPunct/>
              <w:topLinePunct w:val="0"/>
              <w:bidi w:val="0"/>
              <w:adjustRightInd/>
              <w:snapToGrid w:val="0"/>
              <w:spacing w:afterLines="0" w:line="356" w:lineRule="auto"/>
              <w:ind w:left="283" w:hanging="283" w:hangingChars="135"/>
              <w:rPr>
                <w:rFonts w:ascii="宋体" w:hAnsi="宋体" w:cs="宋体"/>
                <w:color w:val="auto"/>
                <w:kern w:val="2"/>
                <w:sz w:val="21"/>
                <w:szCs w:val="21"/>
                <w:highlight w:val="none"/>
              </w:rPr>
            </w:pPr>
            <w:r>
              <w:rPr>
                <w:rFonts w:hint="eastAsia" w:ascii="宋体" w:hAnsi="宋体" w:cs="宋体"/>
                <w:color w:val="auto"/>
                <w:kern w:val="2"/>
                <w:sz w:val="21"/>
                <w:szCs w:val="21"/>
                <w:highlight w:val="none"/>
              </w:rPr>
              <w:t>竞标有效期：自首次响应文件提交截止之日起</w:t>
            </w:r>
            <w:r>
              <w:rPr>
                <w:rFonts w:ascii="宋体" w:hAnsi="宋体" w:cs="宋体"/>
                <w:color w:val="auto"/>
                <w:kern w:val="2"/>
                <w:sz w:val="21"/>
                <w:szCs w:val="21"/>
                <w:highlight w:val="none"/>
                <w:u w:val="single"/>
              </w:rPr>
              <w:t>60</w:t>
            </w:r>
            <w:r>
              <w:rPr>
                <w:rFonts w:hint="eastAsia" w:ascii="宋体" w:hAnsi="宋体" w:cs="宋体"/>
                <w:color w:val="auto"/>
                <w:kern w:val="2"/>
                <w:sz w:val="21"/>
                <w:szCs w:val="21"/>
                <w:highlight w:val="none"/>
              </w:rPr>
              <w:t>日。</w:t>
            </w:r>
          </w:p>
        </w:tc>
      </w:tr>
      <w:tr w14:paraId="03560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39E66B01">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14</w:t>
            </w:r>
          </w:p>
        </w:tc>
        <w:tc>
          <w:tcPr>
            <w:tcW w:w="983" w:type="dxa"/>
            <w:vAlign w:val="center"/>
          </w:tcPr>
          <w:p w14:paraId="4ED16C6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17.1</w:t>
            </w:r>
          </w:p>
        </w:tc>
        <w:tc>
          <w:tcPr>
            <w:tcW w:w="8079" w:type="dxa"/>
            <w:vAlign w:val="center"/>
          </w:tcPr>
          <w:p w14:paraId="5E22D19E">
            <w:pPr>
              <w:keepNext w:val="0"/>
              <w:keepLines w:val="0"/>
              <w:pageBreakBefore w:val="0"/>
              <w:widowControl w:val="0"/>
              <w:kinsoku/>
              <w:wordWrap/>
              <w:overflowPunct/>
              <w:topLinePunct w:val="0"/>
              <w:autoSpaceDE w:val="0"/>
              <w:autoSpaceDN w:val="0"/>
              <w:bidi w:val="0"/>
              <w:adjustRightInd/>
              <w:snapToGrid w:val="0"/>
              <w:spacing w:line="356" w:lineRule="auto"/>
              <w:textAlignment w:val="bottom"/>
              <w:rPr>
                <w:rFonts w:ascii="宋体" w:hAnsi="宋体" w:cs="宋体"/>
                <w:b/>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本项目不收取磋商保证金。</w:t>
            </w:r>
          </w:p>
        </w:tc>
      </w:tr>
      <w:tr w14:paraId="78CB9B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7EC0E130">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15</w:t>
            </w:r>
          </w:p>
        </w:tc>
        <w:tc>
          <w:tcPr>
            <w:tcW w:w="983" w:type="dxa"/>
            <w:vAlign w:val="center"/>
          </w:tcPr>
          <w:p w14:paraId="38B3D0AB">
            <w:pPr>
              <w:spacing w:line="360" w:lineRule="auto"/>
              <w:jc w:val="center"/>
              <w:rPr>
                <w:rFonts w:ascii="宋体" w:hAnsi="宋体" w:cs="宋体"/>
                <w:color w:val="auto"/>
                <w:szCs w:val="21"/>
                <w:highlight w:val="none"/>
              </w:rPr>
            </w:pPr>
            <w:r>
              <w:rPr>
                <w:rFonts w:ascii="宋体" w:hAnsi="宋体" w:cs="宋体"/>
                <w:color w:val="auto"/>
                <w:szCs w:val="21"/>
                <w:highlight w:val="none"/>
              </w:rPr>
              <w:t>19</w:t>
            </w:r>
          </w:p>
        </w:tc>
        <w:tc>
          <w:tcPr>
            <w:tcW w:w="8079" w:type="dxa"/>
            <w:vAlign w:val="center"/>
          </w:tcPr>
          <w:p w14:paraId="2060CA89">
            <w:pPr>
              <w:keepNext w:val="0"/>
              <w:keepLines w:val="0"/>
              <w:pageBreakBefore w:val="0"/>
              <w:widowControl w:val="0"/>
              <w:kinsoku/>
              <w:wordWrap/>
              <w:overflowPunct/>
              <w:topLinePunct w:val="0"/>
              <w:bidi w:val="0"/>
              <w:adjustRightInd/>
              <w:spacing w:line="356" w:lineRule="auto"/>
              <w:rPr>
                <w:rFonts w:ascii="宋体" w:hAnsi="宋体" w:cs="宋体"/>
                <w:color w:val="auto"/>
                <w:szCs w:val="21"/>
                <w:highlight w:val="none"/>
              </w:rPr>
            </w:pPr>
            <w:r>
              <w:rPr>
                <w:rFonts w:hint="eastAsia" w:ascii="宋体" w:hAnsi="宋体"/>
                <w:color w:val="auto"/>
                <w:szCs w:val="21"/>
                <w:highlight w:val="none"/>
              </w:rPr>
              <w:t>本项目不接受</w:t>
            </w:r>
            <w:r>
              <w:rPr>
                <w:rFonts w:hint="eastAsia"/>
                <w:color w:val="auto"/>
                <w:highlight w:val="none"/>
              </w:rPr>
              <w:t>电子</w:t>
            </w:r>
            <w:r>
              <w:rPr>
                <w:rFonts w:hint="eastAsia" w:ascii="宋体" w:hAnsi="宋体"/>
                <w:color w:val="auto"/>
                <w:szCs w:val="21"/>
                <w:highlight w:val="none"/>
              </w:rPr>
              <w:t>备份响应文件</w:t>
            </w:r>
          </w:p>
        </w:tc>
      </w:tr>
      <w:tr w14:paraId="47DA08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2484259B">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16</w:t>
            </w:r>
          </w:p>
        </w:tc>
        <w:tc>
          <w:tcPr>
            <w:tcW w:w="983" w:type="dxa"/>
            <w:vAlign w:val="center"/>
          </w:tcPr>
          <w:p w14:paraId="33BB8F9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20.1</w:t>
            </w:r>
          </w:p>
        </w:tc>
        <w:tc>
          <w:tcPr>
            <w:tcW w:w="8079" w:type="dxa"/>
            <w:vAlign w:val="center"/>
          </w:tcPr>
          <w:p w14:paraId="491EAB68">
            <w:pPr>
              <w:keepNext w:val="0"/>
              <w:keepLines w:val="0"/>
              <w:pageBreakBefore w:val="0"/>
              <w:widowControl w:val="0"/>
              <w:kinsoku/>
              <w:wordWrap/>
              <w:overflowPunct/>
              <w:topLinePunct w:val="0"/>
              <w:bidi w:val="0"/>
              <w:adjustRightInd/>
              <w:spacing w:line="356" w:lineRule="auto"/>
              <w:contextualSpacing/>
              <w:jc w:val="left"/>
              <w:rPr>
                <w:rFonts w:ascii="宋体" w:hAnsi="宋体" w:cs="宋体"/>
                <w:color w:val="auto"/>
                <w:szCs w:val="21"/>
                <w:highlight w:val="none"/>
                <w:u w:val="single"/>
              </w:rPr>
            </w:pPr>
            <w:r>
              <w:rPr>
                <w:rFonts w:hint="eastAsia" w:ascii="宋体" w:hAnsi="宋体" w:cs="宋体"/>
                <w:color w:val="auto"/>
                <w:szCs w:val="21"/>
                <w:highlight w:val="none"/>
              </w:rPr>
              <w:t>响应文件提交截止时间：详见竞争性磋商公告</w:t>
            </w:r>
          </w:p>
          <w:p w14:paraId="1CE44EFB">
            <w:pPr>
              <w:keepNext w:val="0"/>
              <w:keepLines w:val="0"/>
              <w:pageBreakBefore w:val="0"/>
              <w:widowControl w:val="0"/>
              <w:kinsoku/>
              <w:wordWrap/>
              <w:overflowPunct/>
              <w:topLinePunct w:val="0"/>
              <w:bidi w:val="0"/>
              <w:adjustRightInd/>
              <w:spacing w:line="356" w:lineRule="auto"/>
              <w:contextualSpacing/>
              <w:jc w:val="left"/>
              <w:rPr>
                <w:rFonts w:ascii="宋体" w:hAnsi="宋体" w:cs="宋体"/>
                <w:color w:val="auto"/>
                <w:szCs w:val="21"/>
                <w:highlight w:val="none"/>
              </w:rPr>
            </w:pPr>
            <w:r>
              <w:rPr>
                <w:rFonts w:hint="eastAsia" w:ascii="宋体" w:hAnsi="宋体" w:cs="宋体"/>
                <w:color w:val="auto"/>
                <w:szCs w:val="21"/>
                <w:highlight w:val="none"/>
              </w:rPr>
              <w:t>响应文件提交地点：详见竞争性磋商公告</w:t>
            </w:r>
          </w:p>
        </w:tc>
      </w:tr>
      <w:tr w14:paraId="033AD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24D5267F">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17</w:t>
            </w:r>
          </w:p>
        </w:tc>
        <w:tc>
          <w:tcPr>
            <w:tcW w:w="983" w:type="dxa"/>
            <w:vAlign w:val="center"/>
          </w:tcPr>
          <w:p w14:paraId="7DEAB99F">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24.1</w:t>
            </w:r>
          </w:p>
        </w:tc>
        <w:tc>
          <w:tcPr>
            <w:tcW w:w="8079" w:type="dxa"/>
            <w:vAlign w:val="center"/>
          </w:tcPr>
          <w:p w14:paraId="7ECA1722">
            <w:pPr>
              <w:keepNext w:val="0"/>
              <w:keepLines w:val="0"/>
              <w:pageBreakBefore w:val="0"/>
              <w:widowControl w:val="0"/>
              <w:kinsoku/>
              <w:wordWrap/>
              <w:overflowPunct/>
              <w:topLinePunct w:val="0"/>
              <w:bidi w:val="0"/>
              <w:adjustRightInd/>
              <w:snapToGrid w:val="0"/>
              <w:spacing w:line="356" w:lineRule="auto"/>
              <w:jc w:val="left"/>
              <w:rPr>
                <w:color w:val="auto"/>
                <w:highlight w:val="none"/>
              </w:rPr>
            </w:pPr>
            <w:r>
              <w:rPr>
                <w:rFonts w:hint="eastAsia" w:ascii="宋体" w:hAnsi="宋体" w:cs="宋体"/>
                <w:color w:val="auto"/>
                <w:szCs w:val="21"/>
                <w:highlight w:val="none"/>
              </w:rPr>
              <w:t>磋商小组的人数：</w:t>
            </w:r>
            <w:r>
              <w:rPr>
                <w:rFonts w:ascii="宋体" w:hAnsi="宋体" w:cs="宋体"/>
                <w:color w:val="auto"/>
                <w:szCs w:val="21"/>
                <w:highlight w:val="none"/>
                <w:u w:val="single"/>
              </w:rPr>
              <w:t>3</w:t>
            </w:r>
            <w:r>
              <w:rPr>
                <w:rFonts w:hint="eastAsia" w:ascii="宋体" w:hAnsi="宋体" w:cs="宋体"/>
                <w:color w:val="auto"/>
                <w:szCs w:val="21"/>
                <w:highlight w:val="none"/>
              </w:rPr>
              <w:t>人。</w:t>
            </w:r>
          </w:p>
        </w:tc>
      </w:tr>
      <w:tr w14:paraId="42CF6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7F17DE41">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18</w:t>
            </w:r>
          </w:p>
        </w:tc>
        <w:tc>
          <w:tcPr>
            <w:tcW w:w="983" w:type="dxa"/>
            <w:vAlign w:val="center"/>
          </w:tcPr>
          <w:p w14:paraId="02CCADB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5</w:t>
            </w:r>
          </w:p>
        </w:tc>
        <w:tc>
          <w:tcPr>
            <w:tcW w:w="8079" w:type="dxa"/>
            <w:vAlign w:val="center"/>
          </w:tcPr>
          <w:p w14:paraId="00A26F0A">
            <w:pPr>
              <w:keepNext w:val="0"/>
              <w:keepLines w:val="0"/>
              <w:pageBreakBefore w:val="0"/>
              <w:widowControl w:val="0"/>
              <w:kinsoku/>
              <w:wordWrap/>
              <w:overflowPunct/>
              <w:topLinePunct w:val="0"/>
              <w:bidi w:val="0"/>
              <w:adjustRightInd/>
              <w:snapToGrid w:val="0"/>
              <w:spacing w:line="356" w:lineRule="auto"/>
              <w:jc w:val="left"/>
              <w:rPr>
                <w:rFonts w:ascii="宋体" w:hAnsi="宋体" w:cs="宋体"/>
                <w:color w:val="auto"/>
                <w:szCs w:val="21"/>
                <w:highlight w:val="none"/>
              </w:rPr>
            </w:pPr>
            <w:r>
              <w:rPr>
                <w:rFonts w:hint="eastAsia" w:ascii="宋体" w:hAnsi="宋体" w:cs="宋体"/>
                <w:color w:val="auto"/>
                <w:szCs w:val="21"/>
                <w:highlight w:val="none"/>
              </w:rPr>
              <w:t>首次响应文件开启时间详见“竞争性磋商公告”</w:t>
            </w:r>
          </w:p>
          <w:p w14:paraId="1822E44D">
            <w:pPr>
              <w:keepNext w:val="0"/>
              <w:keepLines w:val="0"/>
              <w:pageBreakBefore w:val="0"/>
              <w:widowControl w:val="0"/>
              <w:kinsoku/>
              <w:wordWrap/>
              <w:overflowPunct/>
              <w:topLinePunct w:val="0"/>
              <w:bidi w:val="0"/>
              <w:adjustRightInd/>
              <w:snapToGrid w:val="0"/>
              <w:spacing w:line="356" w:lineRule="auto"/>
              <w:jc w:val="left"/>
              <w:rPr>
                <w:rFonts w:ascii="宋体" w:hAnsi="宋体" w:cs="宋体"/>
                <w:color w:val="auto"/>
                <w:szCs w:val="21"/>
                <w:highlight w:val="none"/>
              </w:rPr>
            </w:pPr>
            <w:r>
              <w:rPr>
                <w:rFonts w:hint="eastAsia" w:ascii="宋体" w:hAnsi="宋体" w:cs="宋体"/>
                <w:color w:val="auto"/>
                <w:szCs w:val="21"/>
                <w:highlight w:val="none"/>
              </w:rPr>
              <w:t>首次响应文件解密时间：</w:t>
            </w:r>
            <w:r>
              <w:rPr>
                <w:rFonts w:hint="eastAsia" w:hAnsi="宋体"/>
                <w:color w:val="auto"/>
                <w:highlight w:val="none"/>
                <w:u w:val="single"/>
                <w:lang w:val="en-US" w:eastAsia="zh-CN"/>
              </w:rPr>
              <w:t>3</w:t>
            </w:r>
            <w:r>
              <w:rPr>
                <w:rFonts w:hAnsi="宋体"/>
                <w:color w:val="auto"/>
                <w:highlight w:val="none"/>
                <w:u w:val="single"/>
              </w:rPr>
              <w:t>0</w:t>
            </w:r>
            <w:r>
              <w:rPr>
                <w:rFonts w:hint="eastAsia" w:hAnsi="宋体"/>
                <w:color w:val="auto"/>
                <w:highlight w:val="none"/>
              </w:rPr>
              <w:t>分钟</w:t>
            </w:r>
          </w:p>
        </w:tc>
      </w:tr>
      <w:tr w14:paraId="3D039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667" w:type="dxa"/>
            <w:vAlign w:val="center"/>
          </w:tcPr>
          <w:p w14:paraId="2304D87B">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19</w:t>
            </w:r>
          </w:p>
        </w:tc>
        <w:tc>
          <w:tcPr>
            <w:tcW w:w="983" w:type="dxa"/>
            <w:vAlign w:val="center"/>
          </w:tcPr>
          <w:p w14:paraId="0A7F017C">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6.3</w:t>
            </w:r>
          </w:p>
        </w:tc>
        <w:tc>
          <w:tcPr>
            <w:tcW w:w="8079" w:type="dxa"/>
            <w:vAlign w:val="center"/>
          </w:tcPr>
          <w:p w14:paraId="3ADD6285">
            <w:pPr>
              <w:keepNext w:val="0"/>
              <w:keepLines w:val="0"/>
              <w:pageBreakBefore w:val="0"/>
              <w:widowControl w:val="0"/>
              <w:kinsoku/>
              <w:wordWrap/>
              <w:overflowPunct/>
              <w:topLinePunct w:val="0"/>
              <w:bidi w:val="0"/>
              <w:adjustRightInd/>
              <w:snapToGrid w:val="0"/>
              <w:spacing w:line="356" w:lineRule="auto"/>
              <w:rPr>
                <w:rFonts w:ascii="宋体" w:hAnsi="宋体" w:cs="宋体"/>
                <w:color w:val="auto"/>
                <w:szCs w:val="21"/>
                <w:highlight w:val="none"/>
              </w:rPr>
            </w:pPr>
            <w:r>
              <w:rPr>
                <w:rFonts w:hint="eastAsia" w:ascii="宋体" w:hAnsi="宋体" w:cs="宋体"/>
                <w:color w:val="auto"/>
                <w:szCs w:val="21"/>
                <w:highlight w:val="none"/>
              </w:rPr>
              <w:t>商务要求评审中允许负偏离的条款数为</w:t>
            </w:r>
            <w:r>
              <w:rPr>
                <w:rFonts w:hint="eastAsia" w:ascii="宋体" w:hAnsi="宋体" w:cs="宋体"/>
                <w:color w:val="auto"/>
                <w:szCs w:val="21"/>
                <w:highlight w:val="none"/>
                <w:u w:val="single"/>
              </w:rPr>
              <w:t>0</w:t>
            </w:r>
            <w:r>
              <w:rPr>
                <w:rFonts w:hint="eastAsia" w:ascii="宋体" w:hAnsi="宋体" w:cs="宋体"/>
                <w:color w:val="auto"/>
                <w:szCs w:val="21"/>
                <w:highlight w:val="none"/>
              </w:rPr>
              <w:t>项。</w:t>
            </w:r>
          </w:p>
          <w:p w14:paraId="31507E23">
            <w:pPr>
              <w:keepNext w:val="0"/>
              <w:keepLines w:val="0"/>
              <w:pageBreakBefore w:val="0"/>
              <w:widowControl w:val="0"/>
              <w:kinsoku/>
              <w:wordWrap/>
              <w:overflowPunct/>
              <w:topLinePunct w:val="0"/>
              <w:bidi w:val="0"/>
              <w:adjustRightInd/>
              <w:snapToGrid w:val="0"/>
              <w:spacing w:line="356" w:lineRule="auto"/>
              <w:rPr>
                <w:rFonts w:ascii="宋体" w:hAnsi="宋体" w:cs="宋体"/>
                <w:color w:val="auto"/>
                <w:szCs w:val="21"/>
                <w:highlight w:val="none"/>
              </w:rPr>
            </w:pPr>
            <w:r>
              <w:rPr>
                <w:rFonts w:hint="eastAsia" w:ascii="宋体" w:hAnsi="宋体" w:cs="宋体"/>
                <w:color w:val="auto"/>
                <w:szCs w:val="21"/>
                <w:highlight w:val="none"/>
              </w:rPr>
              <w:t>技术要求评审中允许负偏离的条款数为</w:t>
            </w:r>
            <w:r>
              <w:rPr>
                <w:rFonts w:hint="eastAsia" w:ascii="宋体" w:hAnsi="宋体" w:cs="宋体"/>
                <w:color w:val="auto"/>
                <w:szCs w:val="21"/>
                <w:highlight w:val="none"/>
                <w:u w:val="single"/>
              </w:rPr>
              <w:t>0</w:t>
            </w:r>
            <w:r>
              <w:rPr>
                <w:rFonts w:hint="eastAsia" w:ascii="宋体" w:hAnsi="宋体" w:cs="宋体"/>
                <w:color w:val="auto"/>
                <w:szCs w:val="21"/>
                <w:highlight w:val="none"/>
              </w:rPr>
              <w:t>项。</w:t>
            </w:r>
          </w:p>
        </w:tc>
      </w:tr>
      <w:tr w14:paraId="2F929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4542FFE1">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20</w:t>
            </w:r>
          </w:p>
        </w:tc>
        <w:tc>
          <w:tcPr>
            <w:tcW w:w="983" w:type="dxa"/>
            <w:vAlign w:val="center"/>
          </w:tcPr>
          <w:p w14:paraId="73DF45A7">
            <w:pPr>
              <w:spacing w:line="360" w:lineRule="auto"/>
              <w:jc w:val="center"/>
              <w:rPr>
                <w:rFonts w:ascii="宋体" w:hAnsi="宋体" w:cs="宋体"/>
                <w:color w:val="auto"/>
                <w:szCs w:val="21"/>
                <w:highlight w:val="none"/>
              </w:rPr>
            </w:pPr>
            <w:r>
              <w:rPr>
                <w:rFonts w:ascii="宋体" w:hAnsi="宋体" w:cs="宋体"/>
                <w:color w:val="auto"/>
                <w:szCs w:val="21"/>
                <w:highlight w:val="none"/>
              </w:rPr>
              <w:t>28.1</w:t>
            </w:r>
          </w:p>
        </w:tc>
        <w:tc>
          <w:tcPr>
            <w:tcW w:w="8079" w:type="dxa"/>
            <w:vAlign w:val="center"/>
          </w:tcPr>
          <w:p w14:paraId="00A294C5">
            <w:pPr>
              <w:keepNext w:val="0"/>
              <w:keepLines w:val="0"/>
              <w:pageBreakBefore w:val="0"/>
              <w:widowControl w:val="0"/>
              <w:kinsoku/>
              <w:wordWrap/>
              <w:overflowPunct/>
              <w:topLinePunct w:val="0"/>
              <w:autoSpaceDE w:val="0"/>
              <w:autoSpaceDN w:val="0"/>
              <w:bidi w:val="0"/>
              <w:adjustRightInd/>
              <w:snapToGrid w:val="0"/>
              <w:spacing w:line="356" w:lineRule="auto"/>
              <w:textAlignment w:val="bottom"/>
              <w:rPr>
                <w:rFonts w:ascii="宋体" w:hAnsi="宋体" w:cs="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本项目不收取履约保证金。</w:t>
            </w:r>
          </w:p>
        </w:tc>
      </w:tr>
      <w:tr w14:paraId="2F84C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4E4D8DA7">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21</w:t>
            </w:r>
          </w:p>
        </w:tc>
        <w:tc>
          <w:tcPr>
            <w:tcW w:w="983" w:type="dxa"/>
            <w:vAlign w:val="center"/>
          </w:tcPr>
          <w:p w14:paraId="08788871">
            <w:pPr>
              <w:spacing w:line="360" w:lineRule="auto"/>
              <w:jc w:val="center"/>
              <w:rPr>
                <w:rFonts w:ascii="宋体" w:hAnsi="宋体" w:cs="宋体"/>
                <w:color w:val="auto"/>
                <w:szCs w:val="21"/>
                <w:highlight w:val="none"/>
              </w:rPr>
            </w:pPr>
            <w:r>
              <w:rPr>
                <w:rFonts w:ascii="宋体" w:hAnsi="宋体" w:cs="宋体"/>
                <w:color w:val="auto"/>
                <w:szCs w:val="21"/>
                <w:highlight w:val="none"/>
              </w:rPr>
              <w:t>29.1</w:t>
            </w:r>
          </w:p>
        </w:tc>
        <w:tc>
          <w:tcPr>
            <w:tcW w:w="8079" w:type="dxa"/>
            <w:vAlign w:val="center"/>
          </w:tcPr>
          <w:p w14:paraId="1A4F8C35">
            <w:pPr>
              <w:keepNext w:val="0"/>
              <w:keepLines w:val="0"/>
              <w:pageBreakBefore w:val="0"/>
              <w:widowControl w:val="0"/>
              <w:kinsoku/>
              <w:wordWrap/>
              <w:overflowPunct/>
              <w:topLinePunct w:val="0"/>
              <w:autoSpaceDE w:val="0"/>
              <w:autoSpaceDN w:val="0"/>
              <w:bidi w:val="0"/>
              <w:adjustRightInd/>
              <w:snapToGrid w:val="0"/>
              <w:spacing w:line="356" w:lineRule="auto"/>
              <w:textAlignment w:val="bottom"/>
              <w:rPr>
                <w:rFonts w:ascii="宋体" w:hAnsi="宋体"/>
                <w:color w:val="auto"/>
                <w:szCs w:val="21"/>
                <w:highlight w:val="none"/>
              </w:rPr>
            </w:pPr>
            <w:r>
              <w:rPr>
                <w:rFonts w:hint="eastAsia" w:ascii="宋体" w:hAnsi="宋体"/>
                <w:color w:val="auto"/>
                <w:szCs w:val="21"/>
                <w:highlight w:val="none"/>
              </w:rPr>
              <w:t xml:space="preserve">签订合同携带的证明材料： </w:t>
            </w:r>
          </w:p>
          <w:p w14:paraId="1B773C60">
            <w:pPr>
              <w:keepNext w:val="0"/>
              <w:keepLines w:val="0"/>
              <w:pageBreakBefore w:val="0"/>
              <w:widowControl w:val="0"/>
              <w:kinsoku/>
              <w:wordWrap/>
              <w:overflowPunct/>
              <w:topLinePunct w:val="0"/>
              <w:autoSpaceDE w:val="0"/>
              <w:autoSpaceDN w:val="0"/>
              <w:bidi w:val="0"/>
              <w:adjustRightInd/>
              <w:snapToGrid w:val="0"/>
              <w:spacing w:line="356" w:lineRule="auto"/>
              <w:textAlignment w:val="bottom"/>
              <w:rPr>
                <w:rFonts w:ascii="宋体" w:hAnsi="宋体"/>
                <w:color w:val="auto"/>
                <w:szCs w:val="21"/>
                <w:highlight w:val="none"/>
              </w:rPr>
            </w:pPr>
            <w:r>
              <w:rPr>
                <w:rFonts w:hint="eastAsia" w:ascii="宋体" w:hAnsi="宋体"/>
                <w:color w:val="auto"/>
                <w:szCs w:val="21"/>
                <w:highlight w:val="none"/>
              </w:rPr>
              <w:t>委托代理人负责签订合同的，须携带授权委托书及委托代理人身份证原件等其他资格证件。</w:t>
            </w:r>
          </w:p>
          <w:p w14:paraId="49B575A7">
            <w:pPr>
              <w:keepNext w:val="0"/>
              <w:keepLines w:val="0"/>
              <w:pageBreakBefore w:val="0"/>
              <w:widowControl w:val="0"/>
              <w:kinsoku/>
              <w:wordWrap/>
              <w:overflowPunct/>
              <w:topLinePunct w:val="0"/>
              <w:bidi w:val="0"/>
              <w:adjustRightInd/>
              <w:snapToGrid w:val="0"/>
              <w:spacing w:line="356" w:lineRule="auto"/>
              <w:rPr>
                <w:rFonts w:ascii="宋体" w:hAnsi="宋体" w:cs="宋体"/>
                <w:color w:val="auto"/>
                <w:szCs w:val="21"/>
                <w:highlight w:val="none"/>
              </w:rPr>
            </w:pPr>
            <w:r>
              <w:rPr>
                <w:rFonts w:hint="eastAsia" w:ascii="宋体" w:hAnsi="宋体"/>
                <w:color w:val="auto"/>
                <w:szCs w:val="21"/>
                <w:highlight w:val="none"/>
              </w:rPr>
              <w:t>法定代表人负责签订合同的，须携带法定代表人</w:t>
            </w:r>
            <w:r>
              <w:rPr>
                <w:rFonts w:ascii="宋体" w:hAnsi="宋体"/>
                <w:color w:val="auto"/>
                <w:szCs w:val="21"/>
                <w:highlight w:val="none"/>
              </w:rPr>
              <w:t>身份证明原件</w:t>
            </w:r>
            <w:r>
              <w:rPr>
                <w:rFonts w:hint="eastAsia" w:ascii="宋体" w:hAnsi="宋体"/>
                <w:color w:val="auto"/>
                <w:szCs w:val="21"/>
                <w:highlight w:val="none"/>
              </w:rPr>
              <w:t>及</w:t>
            </w:r>
            <w:r>
              <w:rPr>
                <w:rFonts w:ascii="宋体" w:hAnsi="宋体"/>
                <w:color w:val="auto"/>
                <w:szCs w:val="21"/>
                <w:highlight w:val="none"/>
              </w:rPr>
              <w:t>身份证原件</w:t>
            </w:r>
            <w:r>
              <w:rPr>
                <w:rFonts w:hint="eastAsia" w:ascii="宋体" w:hAnsi="宋体"/>
                <w:color w:val="auto"/>
                <w:szCs w:val="21"/>
                <w:highlight w:val="none"/>
              </w:rPr>
              <w:t>等其他证明材料。</w:t>
            </w:r>
          </w:p>
        </w:tc>
      </w:tr>
      <w:tr w14:paraId="6FF7E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33305EB4">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22</w:t>
            </w:r>
          </w:p>
        </w:tc>
        <w:tc>
          <w:tcPr>
            <w:tcW w:w="983" w:type="dxa"/>
            <w:vAlign w:val="center"/>
          </w:tcPr>
          <w:p w14:paraId="6F6E8C7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1.2</w:t>
            </w:r>
          </w:p>
        </w:tc>
        <w:tc>
          <w:tcPr>
            <w:tcW w:w="8079" w:type="dxa"/>
            <w:vAlign w:val="center"/>
          </w:tcPr>
          <w:p w14:paraId="7433E1DF">
            <w:pPr>
              <w:keepNext w:val="0"/>
              <w:keepLines w:val="0"/>
              <w:pageBreakBefore w:val="0"/>
              <w:widowControl w:val="0"/>
              <w:kinsoku/>
              <w:wordWrap/>
              <w:overflowPunct/>
              <w:topLinePunct w:val="0"/>
              <w:bidi w:val="0"/>
              <w:adjustRightInd/>
              <w:snapToGrid w:val="0"/>
              <w:spacing w:line="356" w:lineRule="auto"/>
              <w:rPr>
                <w:rFonts w:ascii="宋体" w:hAnsi="宋体" w:cs="宋体"/>
                <w:color w:val="auto"/>
                <w:szCs w:val="21"/>
                <w:highlight w:val="none"/>
              </w:rPr>
            </w:pPr>
            <w:r>
              <w:rPr>
                <w:rFonts w:hint="eastAsia" w:ascii="宋体" w:hAnsi="宋体" w:cs="宋体"/>
                <w:color w:val="auto"/>
                <w:szCs w:val="21"/>
                <w:highlight w:val="none"/>
              </w:rPr>
              <w:t>接收质疑函方式：书面形式</w:t>
            </w:r>
          </w:p>
          <w:p w14:paraId="524401DC">
            <w:pPr>
              <w:pStyle w:val="24"/>
              <w:keepNext w:val="0"/>
              <w:keepLines w:val="0"/>
              <w:pageBreakBefore w:val="0"/>
              <w:widowControl w:val="0"/>
              <w:kinsoku/>
              <w:wordWrap/>
              <w:overflowPunct/>
              <w:topLinePunct w:val="0"/>
              <w:bidi w:val="0"/>
              <w:adjustRightInd/>
              <w:snapToGrid w:val="0"/>
              <w:spacing w:line="356" w:lineRule="auto"/>
              <w:rPr>
                <w:rFonts w:hAnsi="宋体" w:cs="宋体"/>
                <w:color w:val="auto"/>
                <w:kern w:val="2"/>
                <w:sz w:val="21"/>
                <w:highlight w:val="none"/>
              </w:rPr>
            </w:pPr>
            <w:r>
              <w:rPr>
                <w:rFonts w:hint="eastAsia" w:hAnsi="宋体" w:cs="宋体"/>
                <w:color w:val="auto"/>
                <w:kern w:val="2"/>
                <w:sz w:val="21"/>
                <w:highlight w:val="none"/>
              </w:rPr>
              <w:t>质疑联系部门及联系方式：</w:t>
            </w:r>
            <w:r>
              <w:rPr>
                <w:rFonts w:hint="eastAsia" w:hAnsi="宋体" w:cs="Courier New"/>
                <w:color w:val="auto"/>
                <w:kern w:val="2"/>
                <w:sz w:val="21"/>
                <w:highlight w:val="none"/>
                <w:lang w:eastAsia="zh-CN"/>
              </w:rPr>
              <w:t>广西秉坤项目管理有限公司</w:t>
            </w:r>
            <w:r>
              <w:rPr>
                <w:rFonts w:hint="eastAsia" w:hAnsi="宋体" w:cs="Courier New"/>
                <w:color w:val="auto"/>
                <w:kern w:val="2"/>
                <w:sz w:val="21"/>
                <w:highlight w:val="none"/>
              </w:rPr>
              <w:t>，联系电话：</w:t>
            </w:r>
            <w:r>
              <w:rPr>
                <w:rFonts w:hint="eastAsia" w:hAnsi="宋体" w:cs="Courier New"/>
                <w:color w:val="auto"/>
                <w:kern w:val="2"/>
                <w:sz w:val="21"/>
                <w:highlight w:val="none"/>
                <w:lang w:eastAsia="zh-CN"/>
              </w:rPr>
              <w:t>0771-7821988</w:t>
            </w:r>
            <w:r>
              <w:rPr>
                <w:rFonts w:hint="eastAsia" w:hAnsi="宋体" w:cs="Courier New"/>
                <w:color w:val="auto"/>
                <w:kern w:val="2"/>
                <w:sz w:val="21"/>
                <w:highlight w:val="none"/>
              </w:rPr>
              <w:t>，通讯地址：</w:t>
            </w:r>
            <w:r>
              <w:rPr>
                <w:rFonts w:hint="eastAsia" w:hAnsi="宋体" w:cs="宋体"/>
                <w:color w:val="auto"/>
                <w:sz w:val="21"/>
                <w:szCs w:val="21"/>
                <w:highlight w:val="none"/>
                <w:u w:val="none"/>
                <w:lang w:eastAsia="zh-CN"/>
              </w:rPr>
              <w:t>崇左市花山路与城南路交叉口的东北角万沣大厦A座四楼406室</w:t>
            </w:r>
            <w:r>
              <w:rPr>
                <w:rFonts w:hint="eastAsia" w:hAnsi="宋体"/>
                <w:bCs/>
                <w:color w:val="auto"/>
                <w:sz w:val="21"/>
                <w:highlight w:val="none"/>
              </w:rPr>
              <w:t>。</w:t>
            </w:r>
          </w:p>
          <w:p w14:paraId="20F22479">
            <w:pPr>
              <w:keepNext w:val="0"/>
              <w:keepLines w:val="0"/>
              <w:pageBreakBefore w:val="0"/>
              <w:widowControl w:val="0"/>
              <w:kinsoku/>
              <w:wordWrap/>
              <w:overflowPunct/>
              <w:topLinePunct w:val="0"/>
              <w:autoSpaceDE w:val="0"/>
              <w:autoSpaceDN w:val="0"/>
              <w:bidi w:val="0"/>
              <w:adjustRightInd/>
              <w:snapToGrid w:val="0"/>
              <w:spacing w:line="356" w:lineRule="auto"/>
              <w:textAlignment w:val="bottom"/>
              <w:rPr>
                <w:rFonts w:hint="eastAsia" w:ascii="宋体" w:hAnsi="宋体" w:cs="宋体"/>
                <w:color w:val="auto"/>
                <w:kern w:val="0"/>
                <w:highlight w:val="none"/>
              </w:rPr>
            </w:pPr>
            <w:r>
              <w:rPr>
                <w:rFonts w:hint="eastAsia" w:hAnsi="宋体" w:cs="宋体"/>
                <w:color w:val="auto"/>
                <w:kern w:val="0"/>
                <w:highlight w:val="none"/>
              </w:rPr>
              <w:t>业</w:t>
            </w:r>
            <w:r>
              <w:rPr>
                <w:rFonts w:hint="eastAsia" w:ascii="宋体" w:hAnsi="宋体" w:cs="宋体"/>
                <w:color w:val="auto"/>
                <w:kern w:val="0"/>
                <w:highlight w:val="none"/>
              </w:rPr>
              <w:t>务时间：工作日每天上午</w:t>
            </w:r>
            <w:r>
              <w:rPr>
                <w:rFonts w:hint="eastAsia" w:ascii="宋体" w:hAnsi="宋体" w:cs="宋体"/>
                <w:color w:val="auto"/>
                <w:kern w:val="0"/>
                <w:highlight w:val="none"/>
                <w:lang w:val="en-US" w:eastAsia="zh-CN"/>
              </w:rPr>
              <w:t>9</w:t>
            </w:r>
            <w:r>
              <w:rPr>
                <w:rFonts w:hint="eastAsia" w:ascii="宋体" w:hAnsi="宋体" w:cs="宋体"/>
                <w:color w:val="auto"/>
                <w:kern w:val="0"/>
                <w:highlight w:val="none"/>
              </w:rPr>
              <w:t>时</w:t>
            </w:r>
            <w:r>
              <w:rPr>
                <w:rFonts w:ascii="宋体" w:hAnsi="宋体" w:cs="宋体"/>
                <w:color w:val="auto"/>
                <w:kern w:val="0"/>
                <w:highlight w:val="none"/>
              </w:rPr>
              <w:t>00</w:t>
            </w:r>
            <w:r>
              <w:rPr>
                <w:rFonts w:hint="eastAsia" w:ascii="宋体" w:hAnsi="宋体" w:cs="宋体"/>
                <w:color w:val="auto"/>
                <w:kern w:val="0"/>
                <w:highlight w:val="none"/>
              </w:rPr>
              <w:t>分到</w:t>
            </w:r>
            <w:r>
              <w:rPr>
                <w:rFonts w:ascii="宋体" w:hAnsi="宋体" w:cs="宋体"/>
                <w:color w:val="auto"/>
                <w:kern w:val="0"/>
                <w:highlight w:val="none"/>
              </w:rPr>
              <w:t>12</w:t>
            </w:r>
            <w:r>
              <w:rPr>
                <w:rFonts w:hint="eastAsia" w:ascii="宋体" w:hAnsi="宋体" w:cs="宋体"/>
                <w:color w:val="auto"/>
                <w:kern w:val="0"/>
                <w:highlight w:val="none"/>
              </w:rPr>
              <w:t>时</w:t>
            </w:r>
            <w:r>
              <w:rPr>
                <w:rFonts w:ascii="宋体" w:hAnsi="宋体" w:cs="宋体"/>
                <w:color w:val="auto"/>
                <w:kern w:val="0"/>
                <w:highlight w:val="none"/>
              </w:rPr>
              <w:t>00</w:t>
            </w:r>
            <w:r>
              <w:rPr>
                <w:rFonts w:hint="eastAsia" w:ascii="宋体" w:hAnsi="宋体" w:cs="宋体"/>
                <w:color w:val="auto"/>
                <w:kern w:val="0"/>
                <w:highlight w:val="none"/>
              </w:rPr>
              <w:t>分，下午</w:t>
            </w:r>
            <w:r>
              <w:rPr>
                <w:rFonts w:ascii="宋体" w:hAnsi="宋体" w:cs="宋体"/>
                <w:color w:val="auto"/>
                <w:kern w:val="0"/>
                <w:highlight w:val="none"/>
              </w:rPr>
              <w:t>3</w:t>
            </w:r>
            <w:r>
              <w:rPr>
                <w:rFonts w:hint="eastAsia" w:ascii="宋体" w:hAnsi="宋体" w:cs="宋体"/>
                <w:color w:val="auto"/>
                <w:kern w:val="0"/>
                <w:highlight w:val="none"/>
              </w:rPr>
              <w:t>时</w:t>
            </w:r>
            <w:r>
              <w:rPr>
                <w:rFonts w:ascii="宋体" w:hAnsi="宋体" w:cs="宋体"/>
                <w:color w:val="auto"/>
                <w:kern w:val="0"/>
                <w:highlight w:val="none"/>
              </w:rPr>
              <w:t>00</w:t>
            </w:r>
            <w:r>
              <w:rPr>
                <w:rFonts w:hint="eastAsia" w:ascii="宋体" w:hAnsi="宋体" w:cs="宋体"/>
                <w:color w:val="auto"/>
                <w:kern w:val="0"/>
                <w:highlight w:val="none"/>
              </w:rPr>
              <w:t>分到</w:t>
            </w:r>
            <w:r>
              <w:rPr>
                <w:rFonts w:ascii="宋体" w:hAnsi="宋体" w:cs="宋体"/>
                <w:color w:val="auto"/>
                <w:kern w:val="0"/>
                <w:highlight w:val="none"/>
              </w:rPr>
              <w:t>6</w:t>
            </w:r>
            <w:r>
              <w:rPr>
                <w:rFonts w:hint="eastAsia" w:ascii="宋体" w:hAnsi="宋体" w:cs="宋体"/>
                <w:color w:val="auto"/>
                <w:kern w:val="0"/>
                <w:highlight w:val="none"/>
              </w:rPr>
              <w:t>时</w:t>
            </w:r>
            <w:r>
              <w:rPr>
                <w:rFonts w:ascii="宋体" w:hAnsi="宋体" w:cs="宋体"/>
                <w:color w:val="auto"/>
                <w:kern w:val="0"/>
                <w:highlight w:val="none"/>
              </w:rPr>
              <w:t>00</w:t>
            </w:r>
            <w:r>
              <w:rPr>
                <w:rFonts w:hint="eastAsia" w:ascii="宋体" w:hAnsi="宋体" w:cs="宋体"/>
                <w:color w:val="auto"/>
                <w:kern w:val="0"/>
                <w:highlight w:val="none"/>
              </w:rPr>
              <w:t>分。</w:t>
            </w:r>
          </w:p>
        </w:tc>
      </w:tr>
      <w:tr w14:paraId="3C709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468E0A0E">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23</w:t>
            </w:r>
          </w:p>
        </w:tc>
        <w:tc>
          <w:tcPr>
            <w:tcW w:w="983" w:type="dxa"/>
            <w:vAlign w:val="center"/>
          </w:tcPr>
          <w:p w14:paraId="44F7B884">
            <w:pPr>
              <w:spacing w:line="360" w:lineRule="auto"/>
              <w:jc w:val="center"/>
              <w:rPr>
                <w:rFonts w:ascii="宋体" w:hAnsi="宋体" w:cs="宋体"/>
                <w:color w:val="auto"/>
                <w:szCs w:val="21"/>
                <w:highlight w:val="none"/>
              </w:rPr>
            </w:pPr>
            <w:r>
              <w:rPr>
                <w:rFonts w:ascii="宋体" w:hAnsi="宋体" w:cs="宋体"/>
                <w:color w:val="auto"/>
                <w:szCs w:val="21"/>
                <w:highlight w:val="none"/>
              </w:rPr>
              <w:t>32.1</w:t>
            </w:r>
          </w:p>
        </w:tc>
        <w:tc>
          <w:tcPr>
            <w:tcW w:w="8079" w:type="dxa"/>
            <w:vAlign w:val="center"/>
          </w:tcPr>
          <w:p w14:paraId="6B44BDE1">
            <w:pPr>
              <w:pStyle w:val="24"/>
              <w:keepNext w:val="0"/>
              <w:keepLines w:val="0"/>
              <w:pageBreakBefore w:val="0"/>
              <w:widowControl w:val="0"/>
              <w:kinsoku/>
              <w:wordWrap/>
              <w:overflowPunct/>
              <w:topLinePunct w:val="0"/>
              <w:bidi w:val="0"/>
              <w:adjustRightInd/>
              <w:snapToGrid w:val="0"/>
              <w:spacing w:line="356" w:lineRule="auto"/>
              <w:rPr>
                <w:rFonts w:hAnsi="宋体" w:cs="宋体"/>
                <w:color w:val="auto"/>
                <w:sz w:val="21"/>
                <w:highlight w:val="none"/>
              </w:rPr>
            </w:pPr>
            <w:r>
              <w:rPr>
                <w:rFonts w:hint="eastAsia" w:hAnsi="宋体" w:cs="宋体"/>
                <w:color w:val="auto"/>
                <w:sz w:val="21"/>
                <w:highlight w:val="none"/>
              </w:rPr>
              <w:t>1.采购代理费支付方式：</w:t>
            </w:r>
          </w:p>
          <w:p w14:paraId="45F71AF4">
            <w:pPr>
              <w:pStyle w:val="24"/>
              <w:keepNext w:val="0"/>
              <w:keepLines w:val="0"/>
              <w:pageBreakBefore w:val="0"/>
              <w:widowControl w:val="0"/>
              <w:kinsoku/>
              <w:wordWrap/>
              <w:overflowPunct/>
              <w:topLinePunct w:val="0"/>
              <w:bidi w:val="0"/>
              <w:adjustRightInd/>
              <w:snapToGrid w:val="0"/>
              <w:spacing w:line="356" w:lineRule="auto"/>
              <w:rPr>
                <w:rFonts w:hAnsi="宋体" w:cs="宋体"/>
                <w:color w:val="auto"/>
                <w:sz w:val="21"/>
                <w:highlight w:val="none"/>
              </w:rPr>
            </w:pPr>
            <w:r>
              <w:rPr>
                <w:rFonts w:hint="eastAsia" w:hAnsi="宋体" w:cs="宋体"/>
                <w:color w:val="auto"/>
                <w:sz w:val="21"/>
                <w:highlight w:val="none"/>
                <w:lang w:eastAsia="zh-CN"/>
              </w:rPr>
              <w:t>☑</w:t>
            </w:r>
            <w:r>
              <w:rPr>
                <w:rFonts w:hint="eastAsia" w:hAnsi="宋体" w:cs="宋体"/>
                <w:color w:val="auto"/>
                <w:sz w:val="21"/>
                <w:highlight w:val="none"/>
              </w:rPr>
              <w:t>本项目代理服务费由</w:t>
            </w:r>
            <w:r>
              <w:rPr>
                <w:rFonts w:hint="eastAsia" w:hAnsi="宋体" w:cs="宋体"/>
                <w:color w:val="auto"/>
                <w:sz w:val="21"/>
                <w:highlight w:val="none"/>
                <w:u w:val="single"/>
              </w:rPr>
              <w:t>成交供应商</w:t>
            </w:r>
            <w:r>
              <w:rPr>
                <w:rFonts w:hint="eastAsia" w:hAnsi="宋体" w:cs="宋体"/>
                <w:color w:val="auto"/>
                <w:sz w:val="21"/>
                <w:highlight w:val="none"/>
              </w:rPr>
              <w:t>领取成交通知书前，一次性向采购代理机构支付。</w:t>
            </w:r>
          </w:p>
          <w:p w14:paraId="416E85EF">
            <w:pPr>
              <w:pStyle w:val="24"/>
              <w:keepNext w:val="0"/>
              <w:keepLines w:val="0"/>
              <w:pageBreakBefore w:val="0"/>
              <w:widowControl w:val="0"/>
              <w:kinsoku/>
              <w:wordWrap/>
              <w:overflowPunct/>
              <w:topLinePunct w:val="0"/>
              <w:bidi w:val="0"/>
              <w:adjustRightInd/>
              <w:snapToGrid w:val="0"/>
              <w:spacing w:line="356" w:lineRule="auto"/>
              <w:rPr>
                <w:rFonts w:hAnsi="宋体" w:cs="宋体"/>
                <w:color w:val="auto"/>
                <w:sz w:val="21"/>
                <w:highlight w:val="none"/>
              </w:rPr>
            </w:pPr>
            <w:r>
              <w:rPr>
                <w:rFonts w:hint="eastAsia" w:hAnsi="宋体" w:cs="宋体"/>
                <w:color w:val="auto"/>
                <w:sz w:val="21"/>
                <w:highlight w:val="none"/>
                <w:lang w:eastAsia="zh-CN"/>
              </w:rPr>
              <w:t>□</w:t>
            </w:r>
            <w:r>
              <w:rPr>
                <w:rFonts w:hint="eastAsia" w:hAnsi="宋体" w:cs="宋体"/>
                <w:color w:val="auto"/>
                <w:sz w:val="21"/>
                <w:highlight w:val="none"/>
              </w:rPr>
              <w:t>采购人支付。</w:t>
            </w:r>
          </w:p>
          <w:p w14:paraId="2A7EEB4A">
            <w:pPr>
              <w:pStyle w:val="24"/>
              <w:keepNext w:val="0"/>
              <w:keepLines w:val="0"/>
              <w:pageBreakBefore w:val="0"/>
              <w:widowControl w:val="0"/>
              <w:kinsoku/>
              <w:wordWrap/>
              <w:overflowPunct/>
              <w:topLinePunct w:val="0"/>
              <w:bidi w:val="0"/>
              <w:adjustRightInd/>
              <w:snapToGrid w:val="0"/>
              <w:spacing w:line="356" w:lineRule="auto"/>
              <w:rPr>
                <w:rFonts w:hAnsi="宋体" w:cs="宋体"/>
                <w:color w:val="auto"/>
                <w:sz w:val="21"/>
                <w:highlight w:val="none"/>
              </w:rPr>
            </w:pPr>
            <w:r>
              <w:rPr>
                <w:rFonts w:hint="eastAsia" w:hAnsi="宋体" w:cs="宋体"/>
                <w:color w:val="auto"/>
                <w:sz w:val="21"/>
                <w:highlight w:val="none"/>
              </w:rPr>
              <w:t>2.采购代理费收取标准：</w:t>
            </w:r>
          </w:p>
          <w:p w14:paraId="0B106BE8">
            <w:pPr>
              <w:pStyle w:val="24"/>
              <w:keepNext w:val="0"/>
              <w:keepLines w:val="0"/>
              <w:pageBreakBefore w:val="0"/>
              <w:widowControl w:val="0"/>
              <w:kinsoku/>
              <w:wordWrap/>
              <w:overflowPunct/>
              <w:topLinePunct w:val="0"/>
              <w:bidi w:val="0"/>
              <w:adjustRightInd/>
              <w:spacing w:line="356" w:lineRule="auto"/>
              <w:jc w:val="left"/>
              <w:rPr>
                <w:rFonts w:hAnsi="宋体" w:cs="宋体"/>
                <w:color w:val="auto"/>
                <w:sz w:val="21"/>
                <w:highlight w:val="none"/>
              </w:rPr>
            </w:pPr>
            <w:r>
              <w:rPr>
                <w:rFonts w:hint="eastAsia" w:hAnsi="宋体" w:cs="宋体"/>
                <w:color w:val="auto"/>
                <w:sz w:val="21"/>
                <w:highlight w:val="none"/>
                <w:lang w:val="en-US" w:eastAsia="zh-CN"/>
              </w:rPr>
              <w:t>☑</w:t>
            </w:r>
            <w:r>
              <w:rPr>
                <w:rFonts w:hint="eastAsia" w:hAnsi="宋体" w:cs="宋体"/>
                <w:color w:val="auto"/>
                <w:sz w:val="21"/>
                <w:highlight w:val="none"/>
              </w:rPr>
              <w:t>以分标（</w:t>
            </w:r>
            <w:r>
              <w:rPr>
                <w:rFonts w:hint="eastAsia" w:hAnsi="宋体" w:cs="宋体"/>
                <w:color w:val="auto"/>
                <w:sz w:val="21"/>
                <w:highlight w:val="none"/>
                <w:lang w:val="en-US" w:eastAsia="zh-CN"/>
              </w:rPr>
              <w:t>☑</w:t>
            </w:r>
            <w:r>
              <w:rPr>
                <w:rFonts w:hint="eastAsia" w:hAnsi="宋体" w:cs="宋体"/>
                <w:color w:val="auto"/>
                <w:sz w:val="21"/>
                <w:highlight w:val="none"/>
              </w:rPr>
              <w:t>成交金额/□采购预算/□暂定成交金额/□其他</w:t>
            </w:r>
            <w:r>
              <w:rPr>
                <w:rFonts w:hint="eastAsia" w:hAnsi="宋体" w:cs="宋体"/>
                <w:color w:val="auto"/>
                <w:sz w:val="21"/>
                <w:highlight w:val="none"/>
                <w:u w:val="single"/>
              </w:rPr>
              <w:t xml:space="preserve">   </w:t>
            </w:r>
            <w:r>
              <w:rPr>
                <w:rFonts w:hint="eastAsia" w:hAnsi="宋体" w:cs="宋体"/>
                <w:color w:val="auto"/>
                <w:sz w:val="21"/>
                <w:highlight w:val="none"/>
              </w:rPr>
              <w:t>）为计费额，按本须知正文第32.2条规定的收费标准（□货物类/□服务类/</w:t>
            </w:r>
            <w:r>
              <w:rPr>
                <w:rFonts w:hint="eastAsia" w:hAnsi="宋体" w:cs="宋体"/>
                <w:color w:val="auto"/>
                <w:sz w:val="21"/>
                <w:highlight w:val="none"/>
                <w:lang w:eastAsia="zh-CN"/>
              </w:rPr>
              <w:t>☑</w:t>
            </w:r>
            <w:r>
              <w:rPr>
                <w:rFonts w:hint="eastAsia" w:hAnsi="宋体" w:cs="宋体"/>
                <w:color w:val="auto"/>
                <w:sz w:val="21"/>
                <w:highlight w:val="none"/>
              </w:rPr>
              <w:t>工程类）采用差额定率累进法计算出收费基准价格，采购代理收费以（</w:t>
            </w:r>
            <w:r>
              <w:rPr>
                <w:rFonts w:hint="eastAsia" w:hAnsi="宋体" w:cs="宋体"/>
                <w:color w:val="auto"/>
                <w:sz w:val="21"/>
                <w:highlight w:val="none"/>
                <w:lang w:eastAsia="zh-CN"/>
              </w:rPr>
              <w:t>☑</w:t>
            </w:r>
            <w:r>
              <w:rPr>
                <w:rFonts w:hint="eastAsia" w:hAnsi="宋体" w:cs="宋体"/>
                <w:color w:val="auto"/>
                <w:sz w:val="21"/>
                <w:highlight w:val="none"/>
              </w:rPr>
              <w:t>收费基准价格/□收费基准价格下浮</w:t>
            </w:r>
            <w:r>
              <w:rPr>
                <w:rFonts w:hint="eastAsia" w:hAnsi="宋体" w:cs="宋体"/>
                <w:color w:val="auto"/>
                <w:sz w:val="21"/>
                <w:highlight w:val="none"/>
                <w:u w:val="single"/>
              </w:rPr>
              <w:t xml:space="preserve"> </w:t>
            </w:r>
            <w:r>
              <w:rPr>
                <w:rFonts w:hint="eastAsia" w:hAnsi="宋体" w:cs="宋体"/>
                <w:color w:val="auto"/>
                <w:sz w:val="21"/>
                <w:highlight w:val="none"/>
                <w:u w:val="single"/>
                <w:lang w:val="en-US" w:eastAsia="zh-CN"/>
              </w:rPr>
              <w:t xml:space="preserve"> </w:t>
            </w:r>
            <w:r>
              <w:rPr>
                <w:rFonts w:hint="eastAsia" w:hAnsi="宋体" w:cs="宋体"/>
                <w:color w:val="auto"/>
                <w:sz w:val="21"/>
                <w:highlight w:val="none"/>
                <w:u w:val="single"/>
              </w:rPr>
              <w:t>%</w:t>
            </w:r>
            <w:r>
              <w:rPr>
                <w:rFonts w:hint="eastAsia" w:hAnsi="宋体" w:cs="宋体"/>
                <w:color w:val="auto"/>
                <w:sz w:val="21"/>
                <w:highlight w:val="none"/>
              </w:rPr>
              <w:t>/□收费基准价格上浮</w:t>
            </w:r>
            <w:r>
              <w:rPr>
                <w:rFonts w:hint="eastAsia" w:hAnsi="宋体" w:cs="宋体"/>
                <w:color w:val="auto"/>
                <w:sz w:val="21"/>
                <w:highlight w:val="none"/>
                <w:u w:val="single"/>
              </w:rPr>
              <w:t xml:space="preserve">   %</w:t>
            </w:r>
            <w:r>
              <w:rPr>
                <w:rFonts w:hint="eastAsia" w:hAnsi="宋体" w:cs="宋体"/>
                <w:color w:val="auto"/>
                <w:sz w:val="21"/>
                <w:highlight w:val="none"/>
              </w:rPr>
              <w:t>）收取。</w:t>
            </w:r>
          </w:p>
        </w:tc>
      </w:tr>
      <w:tr w14:paraId="562350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36012DFC">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24</w:t>
            </w:r>
          </w:p>
        </w:tc>
        <w:tc>
          <w:tcPr>
            <w:tcW w:w="983" w:type="dxa"/>
            <w:vAlign w:val="center"/>
          </w:tcPr>
          <w:p w14:paraId="1051CD27">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3.1</w:t>
            </w:r>
          </w:p>
        </w:tc>
        <w:tc>
          <w:tcPr>
            <w:tcW w:w="8079" w:type="dxa"/>
            <w:vAlign w:val="center"/>
          </w:tcPr>
          <w:p w14:paraId="22FAAF5B">
            <w:pPr>
              <w:pStyle w:val="24"/>
              <w:keepNext w:val="0"/>
              <w:keepLines w:val="0"/>
              <w:pageBreakBefore w:val="0"/>
              <w:widowControl w:val="0"/>
              <w:kinsoku/>
              <w:wordWrap/>
              <w:overflowPunct/>
              <w:topLinePunct w:val="0"/>
              <w:bidi w:val="0"/>
              <w:adjustRightInd/>
              <w:snapToGrid w:val="0"/>
              <w:spacing w:line="356" w:lineRule="auto"/>
              <w:rPr>
                <w:rFonts w:hAnsi="宋体" w:cs="宋体"/>
                <w:color w:val="auto"/>
                <w:kern w:val="2"/>
                <w:sz w:val="21"/>
                <w:highlight w:val="none"/>
              </w:rPr>
            </w:pPr>
            <w:r>
              <w:rPr>
                <w:rFonts w:hint="eastAsia" w:hAnsi="宋体"/>
                <w:color w:val="auto"/>
                <w:sz w:val="21"/>
                <w:highlight w:val="none"/>
              </w:rPr>
              <w:t>解释：</w:t>
            </w:r>
            <w:r>
              <w:rPr>
                <w:rFonts w:hAnsi="宋体"/>
                <w:color w:val="auto"/>
                <w:sz w:val="21"/>
                <w:highlight w:val="none"/>
              </w:rPr>
              <w:t>构成本</w:t>
            </w:r>
            <w:r>
              <w:rPr>
                <w:rFonts w:hint="eastAsia" w:hAnsi="宋体"/>
                <w:color w:val="auto"/>
                <w:sz w:val="21"/>
                <w:highlight w:val="none"/>
              </w:rPr>
              <w:t>磋商文件</w:t>
            </w:r>
            <w:r>
              <w:rPr>
                <w:rFonts w:hAnsi="宋体"/>
                <w:color w:val="auto"/>
                <w:sz w:val="21"/>
                <w:highlight w:val="none"/>
              </w:rPr>
              <w:t>的各个组成文件应互为解释，互为说明；除</w:t>
            </w:r>
            <w:r>
              <w:rPr>
                <w:rFonts w:hint="eastAsia" w:hAnsi="宋体"/>
                <w:color w:val="auto"/>
                <w:sz w:val="21"/>
                <w:highlight w:val="none"/>
              </w:rPr>
              <w:t>磋商文件</w:t>
            </w:r>
            <w:r>
              <w:rPr>
                <w:rFonts w:hAnsi="宋体"/>
                <w:color w:val="auto"/>
                <w:sz w:val="21"/>
                <w:highlight w:val="none"/>
              </w:rPr>
              <w:t>中有特别规定外，仅适用于</w:t>
            </w:r>
            <w:r>
              <w:rPr>
                <w:rFonts w:hint="eastAsia" w:hAnsi="宋体"/>
                <w:color w:val="auto"/>
                <w:sz w:val="21"/>
                <w:highlight w:val="none"/>
              </w:rPr>
              <w:t>竞标</w:t>
            </w:r>
            <w:r>
              <w:rPr>
                <w:rFonts w:hAnsi="宋体"/>
                <w:color w:val="auto"/>
                <w:sz w:val="21"/>
                <w:highlight w:val="none"/>
              </w:rPr>
              <w:t>阶段的规定，按</w:t>
            </w:r>
            <w:r>
              <w:rPr>
                <w:rFonts w:hint="eastAsia" w:hAnsi="宋体"/>
                <w:color w:val="auto"/>
                <w:sz w:val="21"/>
                <w:highlight w:val="none"/>
              </w:rPr>
              <w:t>更正公告（澄清公告）</w:t>
            </w:r>
            <w:r>
              <w:rPr>
                <w:rFonts w:hAnsi="宋体"/>
                <w:color w:val="auto"/>
                <w:sz w:val="21"/>
                <w:highlight w:val="none"/>
              </w:rPr>
              <w:t>、</w:t>
            </w:r>
            <w:r>
              <w:rPr>
                <w:rFonts w:hint="eastAsia" w:hAnsi="宋体"/>
                <w:color w:val="auto"/>
                <w:sz w:val="21"/>
                <w:highlight w:val="none"/>
              </w:rPr>
              <w:t>竞争性磋商</w:t>
            </w:r>
            <w:r>
              <w:rPr>
                <w:rFonts w:hAnsi="宋体"/>
                <w:color w:val="auto"/>
                <w:sz w:val="21"/>
                <w:highlight w:val="none"/>
              </w:rPr>
              <w:t>公告、</w:t>
            </w:r>
            <w:r>
              <w:rPr>
                <w:rFonts w:hint="eastAsia" w:hAnsi="宋体"/>
                <w:color w:val="auto"/>
                <w:sz w:val="21"/>
                <w:highlight w:val="none"/>
              </w:rPr>
              <w:t>供应商</w:t>
            </w:r>
            <w:r>
              <w:rPr>
                <w:rFonts w:hAnsi="宋体"/>
                <w:color w:val="auto"/>
                <w:sz w:val="21"/>
                <w:highlight w:val="none"/>
              </w:rPr>
              <w:t>须知</w:t>
            </w:r>
            <w:r>
              <w:rPr>
                <w:rFonts w:hint="eastAsia" w:hAnsi="宋体"/>
                <w:color w:val="auto"/>
                <w:sz w:val="21"/>
                <w:highlight w:val="none"/>
              </w:rPr>
              <w:t>、采购需求</w:t>
            </w:r>
            <w:r>
              <w:rPr>
                <w:rFonts w:hAnsi="宋体"/>
                <w:color w:val="auto"/>
                <w:sz w:val="21"/>
                <w:highlight w:val="none"/>
              </w:rPr>
              <w:t>、</w:t>
            </w:r>
            <w:r>
              <w:rPr>
                <w:rFonts w:hint="eastAsia"/>
                <w:color w:val="auto"/>
                <w:sz w:val="21"/>
                <w:highlight w:val="none"/>
              </w:rPr>
              <w:t>评审程序、评审方法和评审标准</w:t>
            </w:r>
            <w:r>
              <w:rPr>
                <w:rFonts w:hAnsi="宋体"/>
                <w:color w:val="auto"/>
                <w:sz w:val="21"/>
                <w:highlight w:val="none"/>
              </w:rPr>
              <w:t>、</w:t>
            </w:r>
            <w:r>
              <w:rPr>
                <w:rFonts w:hint="eastAsia" w:hAnsi="宋体"/>
                <w:color w:val="auto"/>
                <w:sz w:val="21"/>
                <w:highlight w:val="none"/>
              </w:rPr>
              <w:t>响应</w:t>
            </w:r>
            <w:r>
              <w:rPr>
                <w:rFonts w:hAnsi="宋体"/>
                <w:color w:val="auto"/>
                <w:sz w:val="21"/>
                <w:highlight w:val="none"/>
              </w:rPr>
              <w:t>文件格式</w:t>
            </w:r>
            <w:r>
              <w:rPr>
                <w:rFonts w:hint="eastAsia" w:hAnsi="宋体"/>
                <w:color w:val="auto"/>
                <w:sz w:val="21"/>
                <w:highlight w:val="none"/>
              </w:rPr>
              <w:t>、合同文本</w:t>
            </w:r>
            <w:r>
              <w:rPr>
                <w:rFonts w:hAnsi="宋体"/>
                <w:color w:val="auto"/>
                <w:sz w:val="21"/>
                <w:highlight w:val="none"/>
              </w:rPr>
              <w:t>的先后顺序解释；同一组成文件中就同一事项的规定或者约定不一致的，以编排顺序在后者为准；同一组成文件不同版本之间有不一致的，以形成时间在后者为准；</w:t>
            </w:r>
            <w:r>
              <w:rPr>
                <w:rFonts w:hint="eastAsia" w:hAnsi="宋体"/>
                <w:color w:val="auto"/>
                <w:sz w:val="21"/>
                <w:highlight w:val="none"/>
              </w:rPr>
              <w:t>更正公告（澄清公告）</w:t>
            </w:r>
            <w:r>
              <w:rPr>
                <w:rFonts w:hAnsi="宋体"/>
                <w:color w:val="auto"/>
                <w:sz w:val="21"/>
                <w:highlight w:val="none"/>
              </w:rPr>
              <w:t>与同步更新的</w:t>
            </w:r>
            <w:r>
              <w:rPr>
                <w:rFonts w:hint="eastAsia" w:hAnsi="宋体"/>
                <w:color w:val="auto"/>
                <w:sz w:val="21"/>
                <w:highlight w:val="none"/>
              </w:rPr>
              <w:t>磋商文件</w:t>
            </w:r>
            <w:r>
              <w:rPr>
                <w:rFonts w:hAnsi="宋体"/>
                <w:color w:val="auto"/>
                <w:sz w:val="21"/>
                <w:highlight w:val="none"/>
              </w:rPr>
              <w:t>不一致时以</w:t>
            </w:r>
            <w:r>
              <w:rPr>
                <w:rFonts w:hint="eastAsia" w:hAnsi="宋体"/>
                <w:color w:val="auto"/>
                <w:sz w:val="21"/>
                <w:highlight w:val="none"/>
              </w:rPr>
              <w:t>更正公告（澄清公告）</w:t>
            </w:r>
            <w:r>
              <w:rPr>
                <w:rFonts w:hAnsi="宋体"/>
                <w:color w:val="auto"/>
                <w:sz w:val="21"/>
                <w:highlight w:val="none"/>
              </w:rPr>
              <w:t>为准。按本款前述规定仍不能形成结论的，由</w:t>
            </w:r>
            <w:r>
              <w:rPr>
                <w:rFonts w:hint="eastAsia" w:hAnsi="宋体"/>
                <w:color w:val="auto"/>
                <w:sz w:val="21"/>
                <w:highlight w:val="none"/>
              </w:rPr>
              <w:t>采购</w:t>
            </w:r>
            <w:r>
              <w:rPr>
                <w:rFonts w:hAnsi="宋体"/>
                <w:color w:val="auto"/>
                <w:sz w:val="21"/>
                <w:highlight w:val="none"/>
              </w:rPr>
              <w:t>人</w:t>
            </w:r>
            <w:r>
              <w:rPr>
                <w:rFonts w:hint="eastAsia" w:hAnsi="宋体"/>
                <w:color w:val="auto"/>
                <w:sz w:val="21"/>
                <w:highlight w:val="none"/>
              </w:rPr>
              <w:t>或者采购代理机构</w:t>
            </w:r>
            <w:r>
              <w:rPr>
                <w:rFonts w:hAnsi="宋体"/>
                <w:color w:val="auto"/>
                <w:sz w:val="21"/>
                <w:highlight w:val="none"/>
              </w:rPr>
              <w:t>负责解释。</w:t>
            </w:r>
          </w:p>
        </w:tc>
      </w:tr>
      <w:tr w14:paraId="276A4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18AF0315">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25</w:t>
            </w:r>
          </w:p>
        </w:tc>
        <w:tc>
          <w:tcPr>
            <w:tcW w:w="983" w:type="dxa"/>
            <w:vAlign w:val="center"/>
          </w:tcPr>
          <w:p w14:paraId="7E224F1F">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33.2</w:t>
            </w:r>
          </w:p>
        </w:tc>
        <w:tc>
          <w:tcPr>
            <w:tcW w:w="8079" w:type="dxa"/>
            <w:vAlign w:val="center"/>
          </w:tcPr>
          <w:p w14:paraId="412FA054">
            <w:pPr>
              <w:pStyle w:val="24"/>
              <w:keepNext w:val="0"/>
              <w:keepLines w:val="0"/>
              <w:pageBreakBefore w:val="0"/>
              <w:widowControl w:val="0"/>
              <w:kinsoku/>
              <w:wordWrap/>
              <w:overflowPunct/>
              <w:topLinePunct w:val="0"/>
              <w:bidi w:val="0"/>
              <w:adjustRightInd/>
              <w:snapToGrid w:val="0"/>
              <w:spacing w:line="356" w:lineRule="auto"/>
              <w:rPr>
                <w:rFonts w:hAnsi="宋体"/>
                <w:color w:val="auto"/>
                <w:sz w:val="21"/>
                <w:highlight w:val="none"/>
              </w:rPr>
            </w:pPr>
            <w:r>
              <w:rPr>
                <w:rFonts w:hint="eastAsia" w:hAnsi="宋体"/>
                <w:color w:val="auto"/>
                <w:sz w:val="21"/>
                <w:highlight w:val="none"/>
              </w:rPr>
              <w:t>农民工工资保证金：按照《保障农民工工资支付条例》及《广西壮族自治区人力资源和社会保障厅等8部门关于印发广西壮族自治区工程建设领域农民工工资专用账户管理暂行办法实施细则的通知》（桂人社规〔2022〕5号）有关规定执行。如开设了农民工工资专用账户的，应按规定比例足额将农民工工资保证金存入账户，也可以使用银行保函。工程竣工验收结算经审定后，按照规定程序，将农民工工资保证金没有使用或剩余的金额退还给承包人。</w:t>
            </w:r>
          </w:p>
        </w:tc>
      </w:tr>
      <w:tr w14:paraId="0DF1D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507A26A2">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26</w:t>
            </w:r>
          </w:p>
        </w:tc>
        <w:tc>
          <w:tcPr>
            <w:tcW w:w="983" w:type="dxa"/>
            <w:vAlign w:val="center"/>
          </w:tcPr>
          <w:p w14:paraId="39B42A7A">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3.</w:t>
            </w:r>
            <w:r>
              <w:rPr>
                <w:rFonts w:hint="eastAsia" w:ascii="宋体" w:hAnsi="宋体" w:cs="宋体"/>
                <w:color w:val="auto"/>
                <w:szCs w:val="21"/>
                <w:highlight w:val="none"/>
              </w:rPr>
              <w:t>3</w:t>
            </w:r>
          </w:p>
        </w:tc>
        <w:tc>
          <w:tcPr>
            <w:tcW w:w="8079" w:type="dxa"/>
            <w:vAlign w:val="center"/>
          </w:tcPr>
          <w:p w14:paraId="14196388">
            <w:pPr>
              <w:pStyle w:val="24"/>
              <w:keepNext w:val="0"/>
              <w:keepLines w:val="0"/>
              <w:pageBreakBefore w:val="0"/>
              <w:widowControl w:val="0"/>
              <w:kinsoku/>
              <w:wordWrap/>
              <w:overflowPunct/>
              <w:topLinePunct w:val="0"/>
              <w:autoSpaceDE/>
              <w:autoSpaceDN/>
              <w:bidi w:val="0"/>
              <w:adjustRightInd/>
              <w:snapToGrid w:val="0"/>
              <w:spacing w:line="356" w:lineRule="auto"/>
              <w:textAlignment w:val="auto"/>
              <w:rPr>
                <w:rFonts w:hAnsi="宋体" w:cs="宋体"/>
                <w:color w:val="auto"/>
                <w:sz w:val="21"/>
                <w:highlight w:val="none"/>
              </w:rPr>
            </w:pPr>
            <w:r>
              <w:rPr>
                <w:rFonts w:hint="eastAsia" w:hAnsi="宋体" w:cs="宋体"/>
                <w:color w:val="auto"/>
                <w:sz w:val="21"/>
                <w:highlight w:val="none"/>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1CE545AB">
            <w:pPr>
              <w:pStyle w:val="24"/>
              <w:keepNext w:val="0"/>
              <w:keepLines w:val="0"/>
              <w:pageBreakBefore w:val="0"/>
              <w:widowControl w:val="0"/>
              <w:kinsoku/>
              <w:wordWrap/>
              <w:overflowPunct/>
              <w:topLinePunct w:val="0"/>
              <w:autoSpaceDE/>
              <w:autoSpaceDN/>
              <w:bidi w:val="0"/>
              <w:adjustRightInd/>
              <w:snapToGrid w:val="0"/>
              <w:spacing w:line="356" w:lineRule="auto"/>
              <w:textAlignment w:val="auto"/>
              <w:rPr>
                <w:rFonts w:hAnsi="宋体" w:cs="宋体"/>
                <w:color w:val="auto"/>
                <w:sz w:val="21"/>
                <w:highlight w:val="none"/>
              </w:rPr>
            </w:pPr>
            <w:r>
              <w:rPr>
                <w:rFonts w:hint="eastAsia" w:hAnsi="宋体" w:cs="宋体"/>
                <w:bCs/>
                <w:color w:val="auto"/>
                <w:sz w:val="21"/>
                <w:highlight w:val="none"/>
              </w:rPr>
              <w:t>2.本磋商文件所称的“</w:t>
            </w:r>
            <w:r>
              <w:rPr>
                <w:rFonts w:hint="eastAsia" w:hAnsi="宋体"/>
                <w:color w:val="auto"/>
                <w:sz w:val="21"/>
                <w:highlight w:val="none"/>
              </w:rPr>
              <w:t>电子签章</w:t>
            </w:r>
            <w:r>
              <w:rPr>
                <w:rFonts w:hint="eastAsia" w:hAnsi="宋体" w:cs="宋体"/>
                <w:bCs/>
                <w:color w:val="auto"/>
                <w:sz w:val="21"/>
                <w:highlight w:val="none"/>
              </w:rPr>
              <w:t>”、“电子签名”</w:t>
            </w:r>
            <w:r>
              <w:rPr>
                <w:rFonts w:hint="eastAsia" w:hAnsi="宋体"/>
                <w:color w:val="auto"/>
                <w:sz w:val="21"/>
                <w:highlight w:val="none"/>
              </w:rPr>
              <w:t>，是指经广西政府采购云平台认可的CA认证的电子签名数据为表现形式的印章，可用于签署电子响应文件，电子印章与实物印章具有同等法律效力，不因其采用电子化表现形式而否定其法律效力。</w:t>
            </w:r>
          </w:p>
          <w:p w14:paraId="547EE015">
            <w:pPr>
              <w:pStyle w:val="24"/>
              <w:keepNext w:val="0"/>
              <w:keepLines w:val="0"/>
              <w:pageBreakBefore w:val="0"/>
              <w:widowControl w:val="0"/>
              <w:kinsoku/>
              <w:wordWrap/>
              <w:overflowPunct/>
              <w:topLinePunct w:val="0"/>
              <w:autoSpaceDE/>
              <w:autoSpaceDN/>
              <w:bidi w:val="0"/>
              <w:adjustRightInd/>
              <w:snapToGrid w:val="0"/>
              <w:spacing w:line="356" w:lineRule="auto"/>
              <w:textAlignment w:val="auto"/>
              <w:rPr>
                <w:rFonts w:hAnsi="宋体" w:cs="宋体"/>
                <w:bCs/>
                <w:color w:val="auto"/>
                <w:sz w:val="21"/>
                <w:highlight w:val="none"/>
              </w:rPr>
            </w:pPr>
            <w:r>
              <w:rPr>
                <w:rFonts w:hAnsi="宋体" w:cs="宋体"/>
                <w:color w:val="auto"/>
                <w:sz w:val="21"/>
                <w:highlight w:val="none"/>
              </w:rPr>
              <w:t>3</w:t>
            </w:r>
            <w:r>
              <w:rPr>
                <w:rFonts w:hint="eastAsia" w:hAnsi="宋体" w:cs="宋体"/>
                <w:color w:val="auto"/>
                <w:sz w:val="21"/>
                <w:highlight w:val="none"/>
              </w:rPr>
              <w:t>.供应商为其他组织时，本磋商文件规定的法定代表人指负责人。本磋商文件所称负责人是指参加竞标的其他组织</w:t>
            </w:r>
            <w:r>
              <w:rPr>
                <w:rFonts w:hint="eastAsia" w:hAnsi="宋体" w:cs="宋体"/>
                <w:bCs/>
                <w:color w:val="auto"/>
                <w:sz w:val="21"/>
                <w:highlight w:val="none"/>
              </w:rPr>
              <w:t>营业执照或者执业许可证等证照上的</w:t>
            </w:r>
            <w:r>
              <w:rPr>
                <w:rFonts w:hint="eastAsia" w:hAnsi="宋体" w:cs="宋体"/>
                <w:color w:val="auto"/>
                <w:sz w:val="21"/>
                <w:highlight w:val="none"/>
              </w:rPr>
              <w:t>负责人</w:t>
            </w:r>
            <w:r>
              <w:rPr>
                <w:rFonts w:hint="eastAsia" w:hAnsi="宋体" w:cs="宋体"/>
                <w:bCs/>
                <w:color w:val="auto"/>
                <w:sz w:val="21"/>
                <w:highlight w:val="none"/>
              </w:rPr>
              <w:t>。</w:t>
            </w:r>
          </w:p>
          <w:p w14:paraId="1DCC7F4E">
            <w:pPr>
              <w:pStyle w:val="24"/>
              <w:keepNext w:val="0"/>
              <w:keepLines w:val="0"/>
              <w:pageBreakBefore w:val="0"/>
              <w:widowControl w:val="0"/>
              <w:kinsoku/>
              <w:wordWrap/>
              <w:overflowPunct/>
              <w:topLinePunct w:val="0"/>
              <w:autoSpaceDE/>
              <w:autoSpaceDN/>
              <w:bidi w:val="0"/>
              <w:adjustRightInd/>
              <w:snapToGrid w:val="0"/>
              <w:spacing w:line="356" w:lineRule="auto"/>
              <w:textAlignment w:val="auto"/>
              <w:rPr>
                <w:rFonts w:hAnsi="宋体" w:cs="宋体"/>
                <w:color w:val="auto"/>
                <w:sz w:val="21"/>
                <w:highlight w:val="none"/>
              </w:rPr>
            </w:pPr>
            <w:r>
              <w:rPr>
                <w:rFonts w:hAnsi="宋体" w:cs="宋体"/>
                <w:color w:val="auto"/>
                <w:sz w:val="21"/>
                <w:highlight w:val="none"/>
              </w:rPr>
              <w:t>4.</w:t>
            </w:r>
            <w:r>
              <w:rPr>
                <w:rFonts w:hint="eastAsia" w:hAnsi="宋体" w:cs="宋体"/>
                <w:color w:val="auto"/>
                <w:sz w:val="21"/>
                <w:highlight w:val="none"/>
              </w:rPr>
              <w:t>本磋商文件中描述供应商的“签字”是指供应商的法定代表人或者委托代理人亲自在文件规定签署处亲笔写上个人的名字的行为，私章、签字章、印鉴、影印等其他形式均不能代替亲笔签字。</w:t>
            </w:r>
          </w:p>
          <w:p w14:paraId="3CD7718D">
            <w:pPr>
              <w:pStyle w:val="24"/>
              <w:keepNext w:val="0"/>
              <w:keepLines w:val="0"/>
              <w:pageBreakBefore w:val="0"/>
              <w:widowControl w:val="0"/>
              <w:kinsoku/>
              <w:wordWrap/>
              <w:overflowPunct/>
              <w:topLinePunct w:val="0"/>
              <w:autoSpaceDE/>
              <w:autoSpaceDN/>
              <w:bidi w:val="0"/>
              <w:adjustRightInd/>
              <w:snapToGrid w:val="0"/>
              <w:spacing w:line="356" w:lineRule="auto"/>
              <w:textAlignment w:val="auto"/>
              <w:rPr>
                <w:rFonts w:hint="eastAsia" w:hAnsi="宋体" w:cs="宋体"/>
                <w:color w:val="auto"/>
                <w:sz w:val="21"/>
                <w:highlight w:val="none"/>
                <w:lang w:eastAsia="zh-CN"/>
              </w:rPr>
            </w:pPr>
            <w:r>
              <w:rPr>
                <w:rFonts w:hint="eastAsia" w:hAnsi="宋体" w:cs="宋体"/>
                <w:color w:val="auto"/>
                <w:sz w:val="21"/>
                <w:highlight w:val="none"/>
              </w:rPr>
              <w:t>5</w:t>
            </w:r>
            <w:r>
              <w:rPr>
                <w:rFonts w:hAnsi="宋体" w:cs="宋体"/>
                <w:color w:val="auto"/>
                <w:sz w:val="21"/>
                <w:highlight w:val="none"/>
              </w:rPr>
              <w:t>.</w:t>
            </w:r>
            <w:r>
              <w:rPr>
                <w:rFonts w:hint="eastAsia" w:hAnsi="宋体" w:cs="宋体"/>
                <w:color w:val="auto"/>
                <w:sz w:val="21"/>
                <w:highlight w:val="none"/>
              </w:rPr>
              <w:t>本磋商文件所称的“以上”“以下”“以内”“届满”，包括本数；所称的“不满”“超过”“以外”，不包括本数。</w:t>
            </w:r>
          </w:p>
        </w:tc>
      </w:tr>
    </w:tbl>
    <w:p w14:paraId="0C771446">
      <w:pPr>
        <w:spacing w:before="63" w:line="225" w:lineRule="auto"/>
        <w:ind w:left="27"/>
        <w:rPr>
          <w:rFonts w:ascii="宋体" w:hAnsi="宋体" w:eastAsia="宋体" w:cs="宋体"/>
          <w:color w:val="auto"/>
          <w:spacing w:val="-2"/>
          <w:sz w:val="31"/>
          <w:szCs w:val="31"/>
        </w:rPr>
      </w:pPr>
    </w:p>
    <w:p w14:paraId="72CE8F31">
      <w:pPr>
        <w:spacing w:line="400" w:lineRule="exact"/>
        <w:jc w:val="center"/>
        <w:rPr>
          <w:rFonts w:ascii="宋体" w:hAnsi="宋体"/>
          <w:b/>
          <w:color w:val="auto"/>
          <w:sz w:val="32"/>
          <w:szCs w:val="32"/>
          <w:highlight w:val="none"/>
        </w:rPr>
      </w:pPr>
      <w:r>
        <w:rPr>
          <w:rFonts w:hint="eastAsia" w:ascii="宋体" w:hAnsi="宋体"/>
          <w:b/>
          <w:color w:val="auto"/>
          <w:sz w:val="32"/>
          <w:szCs w:val="32"/>
          <w:highlight w:val="none"/>
        </w:rPr>
        <w:t>供应商须知正文</w:t>
      </w:r>
    </w:p>
    <w:p w14:paraId="1558F8CA">
      <w:pPr>
        <w:spacing w:line="400" w:lineRule="exact"/>
        <w:jc w:val="center"/>
        <w:rPr>
          <w:rFonts w:ascii="宋体" w:hAnsi="宋体"/>
          <w:b/>
          <w:color w:val="auto"/>
          <w:sz w:val="32"/>
          <w:szCs w:val="32"/>
          <w:highlight w:val="none"/>
        </w:rPr>
      </w:pPr>
    </w:p>
    <w:p w14:paraId="238BCFFB">
      <w:pPr>
        <w:spacing w:line="400" w:lineRule="exact"/>
        <w:jc w:val="center"/>
        <w:rPr>
          <w:rFonts w:ascii="宋体" w:hAnsi="宋体"/>
          <w:b/>
          <w:color w:val="auto"/>
          <w:sz w:val="32"/>
          <w:szCs w:val="32"/>
          <w:highlight w:val="none"/>
        </w:rPr>
      </w:pPr>
      <w:r>
        <w:rPr>
          <w:rFonts w:hint="eastAsia" w:ascii="宋体" w:hAnsi="宋体"/>
          <w:b/>
          <w:color w:val="auto"/>
          <w:sz w:val="32"/>
          <w:szCs w:val="32"/>
          <w:highlight w:val="none"/>
        </w:rPr>
        <w:t>一、总则</w:t>
      </w:r>
    </w:p>
    <w:p w14:paraId="73233178">
      <w:pPr>
        <w:spacing w:line="400" w:lineRule="exact"/>
        <w:rPr>
          <w:rFonts w:ascii="宋体" w:hAnsi="宋体"/>
          <w:color w:val="auto"/>
          <w:szCs w:val="21"/>
          <w:highlight w:val="none"/>
        </w:rPr>
      </w:pPr>
    </w:p>
    <w:p w14:paraId="0D9524EB">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1.适用范围</w:t>
      </w:r>
    </w:p>
    <w:p w14:paraId="59D0118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1.1本项目采购人、采购代理机构、供应商、磋商小组的相关行为均受《中华人民共和国政府采购法》《中华人民共和国政府采购法实施条例》</w:t>
      </w:r>
      <w:r>
        <w:rPr>
          <w:rFonts w:hint="eastAsia" w:ascii="宋体" w:hAnsi="宋体"/>
          <w:color w:val="auto"/>
          <w:szCs w:val="21"/>
          <w:highlight w:val="none"/>
        </w:rPr>
        <w:t>《政府采购竞争性磋商采购方式管理暂行办法》《财政部关于政府采购竞争性磋商采购方式管理暂行办法有关问题的补充通知》</w:t>
      </w:r>
      <w:r>
        <w:rPr>
          <w:rFonts w:hint="eastAsia" w:ascii="宋体" w:hAnsi="宋体" w:cs="宋体"/>
          <w:color w:val="auto"/>
          <w:szCs w:val="21"/>
          <w:highlight w:val="none"/>
        </w:rPr>
        <w:t>及本项目本级和上级财政部门政府采购有关规定的约束和保护。</w:t>
      </w:r>
    </w:p>
    <w:p w14:paraId="44B2FF2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1.2本竞争性磋商文件（以下简称磋商文件）适用于本项目的所有采购程序和环节（法律、法规另有规定的，从其规定）</w:t>
      </w:r>
      <w:r>
        <w:rPr>
          <w:rFonts w:hint="eastAsia" w:ascii="宋体" w:hAnsi="宋体" w:cs="宋体"/>
          <w:color w:val="auto"/>
          <w:spacing w:val="-6"/>
          <w:szCs w:val="21"/>
          <w:highlight w:val="none"/>
        </w:rPr>
        <w:t>。</w:t>
      </w:r>
    </w:p>
    <w:p w14:paraId="61963712">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2.定义</w:t>
      </w:r>
    </w:p>
    <w:p w14:paraId="7B2356A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2.1“采购人”是指依法进行政府采购的国家机关、事业单位、团体组织。</w:t>
      </w:r>
    </w:p>
    <w:p w14:paraId="77A1AA27">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2.2“采购代理机构”是指政府采购集中采购机构和集中采购机构以外的采购代理机构。</w:t>
      </w:r>
    </w:p>
    <w:p w14:paraId="4975001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302AC5D0">
      <w:pPr>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2.4“工程”是指建设工程，包括建筑物和构筑物的新建、改建、扩建、装修、拆除、修缮等。</w:t>
      </w:r>
    </w:p>
    <w:p w14:paraId="4A2FC39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5</w:t>
      </w:r>
      <w:r>
        <w:rPr>
          <w:rFonts w:hint="eastAsia" w:ascii="宋体" w:hAnsi="宋体" w:cs="宋体"/>
          <w:color w:val="auto"/>
          <w:szCs w:val="21"/>
          <w:highlight w:val="none"/>
        </w:rPr>
        <w:t>“竞标”是指供应商按照本项目竞争性磋商公告规定的方式获取磋商文件、提交响应文件并希望获得标的的行为。</w:t>
      </w:r>
    </w:p>
    <w:p w14:paraId="30F7E119">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2.6“书面形式”是指合同书、信件和数据电文（包括电报、电传、传真、电子数据交换和电子邮件）等可以有形地表现所载内容的形式。</w:t>
      </w:r>
    </w:p>
    <w:p w14:paraId="1980DACA">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2.7“响应文件”是指：供应商根据本磋商文件要求，编制包含资格证明、报价、商务技术等所有内容的文件</w:t>
      </w:r>
      <w:r>
        <w:rPr>
          <w:rFonts w:hint="eastAsia" w:ascii="宋体" w:hAnsi="宋体" w:cs="宋体"/>
          <w:color w:val="auto"/>
          <w:spacing w:val="-6"/>
          <w:szCs w:val="21"/>
          <w:highlight w:val="none"/>
        </w:rPr>
        <w:t>。</w:t>
      </w:r>
    </w:p>
    <w:p w14:paraId="2C24E776">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2.8“实质性要求”是指磋商文件中已经指明不满足则响应文件按无效处理的条款，或者不能负偏离的条款，或者采购需求中带“▲”的条款。</w:t>
      </w:r>
    </w:p>
    <w:p w14:paraId="2485EF47">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2.9“正偏离”，是指响应文件对磋商文件“采购需求”中有关条款作出的响应优于条款要求并有利于采购人的情形。</w:t>
      </w:r>
    </w:p>
    <w:p w14:paraId="4B81C2E3">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2.10“负偏离”，是指响应文件对磋商文件“采购需求”中有关条款作出的响应不满足条款要求，导致采购人要求不能得到满足的情形。</w:t>
      </w:r>
    </w:p>
    <w:p w14:paraId="378823B0">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2.11“允许负偏离的条款”是指采购需求中的不属于“实质性要求”的条款。</w:t>
      </w:r>
    </w:p>
    <w:p w14:paraId="43FF0A3E">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2.12“首次报价”是指供应商提交的首次响应文件中的报价。</w:t>
      </w:r>
    </w:p>
    <w:p w14:paraId="5AF57435">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2.13“评审报价”是指供应商提交的最后报价并经修正（如有）和政策功能价格扣除（如有）后的价格。</w:t>
      </w:r>
    </w:p>
    <w:p w14:paraId="70BBFBAD">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3.供应商的资格条件</w:t>
      </w:r>
    </w:p>
    <w:p w14:paraId="6981A3F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35B6A63D">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4.竞标费用</w:t>
      </w:r>
    </w:p>
    <w:p w14:paraId="264CB4B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供应商应承担参与本次采购活动有关的所有费用，包括但不限于获取磋商文件、勘查现场、编制和提交响应文件、参加磋商与应答、签订合同等，不论竞标结果如何，均应自行承担。</w:t>
      </w:r>
    </w:p>
    <w:p w14:paraId="0BE66A61">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5.联合体竞标</w:t>
      </w:r>
    </w:p>
    <w:p w14:paraId="7E4AF30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26D2B46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color w:val="auto"/>
          <w:highlight w:val="none"/>
        </w:rPr>
        <w:t>如接受联合体竞标，</w:t>
      </w:r>
      <w:r>
        <w:rPr>
          <w:rFonts w:hint="eastAsia" w:ascii="宋体" w:hAnsi="宋体" w:cs="宋体"/>
          <w:color w:val="auto"/>
          <w:szCs w:val="21"/>
          <w:highlight w:val="none"/>
        </w:rPr>
        <w:t>联合体竞标要求详见“供应商须知前附表”。</w:t>
      </w:r>
    </w:p>
    <w:p w14:paraId="40E21BE8">
      <w:pPr>
        <w:spacing w:line="360" w:lineRule="auto"/>
        <w:ind w:firstLine="420" w:firstLineChars="200"/>
        <w:rPr>
          <w:rFonts w:ascii="宋体" w:hAnsi="宋体"/>
          <w:bCs/>
          <w:color w:val="auto"/>
          <w:szCs w:val="21"/>
          <w:highlight w:val="none"/>
        </w:rPr>
      </w:pPr>
      <w:r>
        <w:rPr>
          <w:rFonts w:hint="eastAsia" w:ascii="宋体" w:hAnsi="宋体" w:cs="宋体"/>
          <w:color w:val="auto"/>
          <w:szCs w:val="21"/>
          <w:highlight w:val="none"/>
        </w:rPr>
        <w:t>5.3</w:t>
      </w:r>
      <w:bookmarkStart w:id="78" w:name="_Hlk66782192"/>
      <w:r>
        <w:rPr>
          <w:rFonts w:hint="eastAsia" w:ascii="宋体" w:hAnsi="宋体"/>
          <w:color w:val="auto"/>
          <w:szCs w:val="21"/>
          <w:highlight w:val="none"/>
        </w:rPr>
        <w:t>根据《政府采购促进中小企业发展管理办法》（财库〔2020〕46号）第九条及《广西壮族自治区财政厅关于贯彻落实政府采购支持中小企业发展政策的通知》（桂财采〔2022〕31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1%-2%的扣除，用扣除后的价格参加评审。</w:t>
      </w:r>
      <w:bookmarkEnd w:id="78"/>
      <w:r>
        <w:rPr>
          <w:rFonts w:ascii="宋体" w:hAnsi="宋体"/>
          <w:bCs/>
          <w:color w:val="auto"/>
          <w:szCs w:val="21"/>
          <w:highlight w:val="none"/>
        </w:rPr>
        <w:t>组成联合体</w:t>
      </w:r>
      <w:r>
        <w:rPr>
          <w:rFonts w:hint="eastAsia" w:ascii="宋体" w:hAnsi="宋体"/>
          <w:bCs/>
          <w:color w:val="auto"/>
          <w:szCs w:val="21"/>
          <w:highlight w:val="none"/>
          <w:lang w:val="en-US" w:eastAsia="zh-CN"/>
        </w:rPr>
        <w:t>或者接受分包</w:t>
      </w:r>
      <w:r>
        <w:rPr>
          <w:rFonts w:ascii="宋体" w:hAnsi="宋体"/>
          <w:bCs/>
          <w:color w:val="auto"/>
          <w:szCs w:val="21"/>
          <w:highlight w:val="none"/>
        </w:rPr>
        <w:t>的小微企业与联合体内其他企业、分包企业之间存在直接控股、管理关系的，不享受价格扣除优惠政策。</w:t>
      </w:r>
    </w:p>
    <w:p w14:paraId="5630F3C2">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 xml:space="preserve">6.转包与分包             </w:t>
      </w:r>
    </w:p>
    <w:p w14:paraId="2D695811">
      <w:pPr>
        <w:pStyle w:val="6"/>
        <w:keepNext w:val="0"/>
        <w:keepLines w:val="0"/>
        <w:spacing w:before="0" w:after="0" w:line="360" w:lineRule="auto"/>
        <w:ind w:left="420" w:leftChars="200"/>
        <w:rPr>
          <w:rFonts w:ascii="宋体" w:hAnsi="宋体"/>
          <w:b w:val="0"/>
          <w:color w:val="auto"/>
          <w:sz w:val="21"/>
          <w:szCs w:val="21"/>
          <w:highlight w:val="none"/>
        </w:rPr>
      </w:pPr>
      <w:bookmarkStart w:id="79" w:name="_Toc254970532"/>
      <w:bookmarkStart w:id="80" w:name="_Toc254970673"/>
      <w:r>
        <w:rPr>
          <w:rFonts w:hint="eastAsia" w:ascii="宋体" w:hAnsi="宋体"/>
          <w:b w:val="0"/>
          <w:color w:val="auto"/>
          <w:sz w:val="21"/>
          <w:szCs w:val="21"/>
          <w:highlight w:val="none"/>
        </w:rPr>
        <w:t>6.1本项目不允许转包。</w:t>
      </w:r>
    </w:p>
    <w:p w14:paraId="7BCB2D5F">
      <w:pPr>
        <w:pStyle w:val="6"/>
        <w:keepNext w:val="0"/>
        <w:keepLines w:val="0"/>
        <w:spacing w:before="0" w:after="0" w:line="360" w:lineRule="auto"/>
        <w:ind w:firstLine="315" w:firstLineChars="150"/>
        <w:rPr>
          <w:rFonts w:ascii="宋体" w:hAnsi="宋体"/>
          <w:b w:val="0"/>
          <w:color w:val="auto"/>
          <w:sz w:val="21"/>
          <w:szCs w:val="21"/>
          <w:highlight w:val="none"/>
        </w:rPr>
      </w:pPr>
      <w:r>
        <w:rPr>
          <w:rFonts w:hint="eastAsia" w:ascii="宋体" w:hAnsi="宋体"/>
          <w:b w:val="0"/>
          <w:color w:val="auto"/>
          <w:sz w:val="21"/>
          <w:szCs w:val="21"/>
          <w:highlight w:val="none"/>
        </w:rPr>
        <w:t xml:space="preserve"> 6.2本项目是否允许分包详见“供应商须知前附表”，本项目不允许违法分包。允许分包的非主体、非关键性工作，根据法律法规规定承担该工作需要资质或者行政许可的，如该工作由供应商自行承担，供应商应具备相应的资质或者行政许可，如供应商不具备相应的资质或者行政许可必须采用分包的方式，但分包供应商应具备相应资质或者行政许可。</w:t>
      </w:r>
    </w:p>
    <w:p w14:paraId="531569D3">
      <w:pPr>
        <w:pStyle w:val="6"/>
        <w:keepNext w:val="0"/>
        <w:keepLines w:val="0"/>
        <w:spacing w:before="0" w:after="0" w:line="360" w:lineRule="auto"/>
        <w:ind w:firstLine="315" w:firstLineChars="150"/>
        <w:rPr>
          <w:rFonts w:ascii="宋体" w:hAnsi="宋体"/>
          <w:b w:val="0"/>
          <w:color w:val="auto"/>
          <w:sz w:val="21"/>
          <w:szCs w:val="21"/>
          <w:highlight w:val="none"/>
        </w:rPr>
      </w:pPr>
      <w:r>
        <w:rPr>
          <w:rFonts w:hint="eastAsia" w:ascii="宋体" w:hAnsi="宋体"/>
          <w:b w:val="0"/>
          <w:color w:val="auto"/>
          <w:sz w:val="21"/>
          <w:szCs w:val="21"/>
          <w:highlight w:val="none"/>
        </w:rPr>
        <w:t xml:space="preserve"> 6.3供应商根据磋商文件的规定和采购项目的实际情况，拟在成交后将成交项目的非主体、非关键性工作分包的，应当在响应文件中载明分包承担主体，分包承担主体应当具备相应资质条件且不得再次分包。</w:t>
      </w:r>
    </w:p>
    <w:p w14:paraId="17E6D0CB">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7.特别说明</w:t>
      </w:r>
      <w:bookmarkEnd w:id="79"/>
      <w:bookmarkEnd w:id="80"/>
    </w:p>
    <w:p w14:paraId="7EA94D40">
      <w:pPr>
        <w:spacing w:line="360" w:lineRule="auto"/>
        <w:ind w:firstLine="420" w:firstLineChars="200"/>
        <w:rPr>
          <w:rFonts w:ascii="宋体" w:hAnsi="宋体" w:cs="宋体"/>
          <w:color w:val="auto"/>
          <w:szCs w:val="21"/>
          <w:highlight w:val="none"/>
        </w:rPr>
      </w:pPr>
      <w:bookmarkStart w:id="81" w:name="_8.1提供相同品牌产品且通过资格审查、符合性审查的不同投标人参加同一合"/>
      <w:bookmarkEnd w:id="81"/>
      <w:r>
        <w:rPr>
          <w:rFonts w:hint="eastAsia" w:ascii="宋体" w:hAnsi="宋体" w:cs="宋体"/>
          <w:color w:val="auto"/>
          <w:szCs w:val="21"/>
          <w:highlight w:val="none"/>
        </w:rPr>
        <w:t>7.</w:t>
      </w:r>
      <w:r>
        <w:rPr>
          <w:rFonts w:ascii="宋体" w:hAnsi="宋体" w:cs="宋体"/>
          <w:color w:val="auto"/>
          <w:szCs w:val="21"/>
          <w:highlight w:val="none"/>
        </w:rPr>
        <w:t>1</w:t>
      </w:r>
      <w:bookmarkStart w:id="82" w:name="_Hlk65832145"/>
      <w:r>
        <w:rPr>
          <w:rFonts w:hint="eastAsia" w:ascii="宋体" w:hAnsi="宋体"/>
          <w:color w:val="auto"/>
          <w:szCs w:val="21"/>
          <w:highlight w:val="none"/>
        </w:rPr>
        <w:t>如果本磋商文件要求提供供应商或制造商的资格、信誉、荣誉、业绩与企业认证等材料的，资格、信誉、荣誉、业绩与企业认证等必须为供应商或者制造商所拥有或自身获得</w:t>
      </w:r>
      <w:r>
        <w:rPr>
          <w:rFonts w:hint="eastAsia" w:ascii="宋体" w:hAnsi="宋体" w:cs="宋体"/>
          <w:color w:val="auto"/>
          <w:szCs w:val="21"/>
          <w:highlight w:val="none"/>
        </w:rPr>
        <w:t>。</w:t>
      </w:r>
    </w:p>
    <w:bookmarkEnd w:id="82"/>
    <w:p w14:paraId="1B39054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2</w:t>
      </w:r>
      <w:r>
        <w:rPr>
          <w:rFonts w:hint="eastAsia" w:ascii="宋体" w:hAnsi="宋体" w:cs="宋体"/>
          <w:color w:val="auto"/>
          <w:szCs w:val="21"/>
          <w:highlight w:val="none"/>
        </w:rPr>
        <w:t>供应商应仔细阅读磋商文件的所有内容，按照磋商文件的要求提交响应文件，并对所提供的全部资料的真实性承担法律责任。</w:t>
      </w:r>
    </w:p>
    <w:p w14:paraId="7925509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3</w:t>
      </w:r>
      <w:r>
        <w:rPr>
          <w:rFonts w:hint="eastAsia" w:ascii="宋体" w:hAnsi="宋体" w:cs="宋体"/>
          <w:color w:val="auto"/>
          <w:szCs w:val="21"/>
          <w:highlight w:val="none"/>
        </w:rPr>
        <w:t>供应商在竞标活动中提供任何虚假材料谋取成交的，将报财政部门查处；签订合同后发现的，成交供应商须依照《中华人民共和国消费者权益保护法》规定赔偿采购人，且民事赔偿并不免除违法供应商的行政与刑事责任。</w:t>
      </w:r>
    </w:p>
    <w:p w14:paraId="11BAAE6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4</w:t>
      </w:r>
      <w:r>
        <w:rPr>
          <w:rFonts w:hint="eastAsia" w:ascii="宋体" w:hAnsi="宋体" w:cs="宋体"/>
          <w:color w:val="auto"/>
          <w:szCs w:val="21"/>
          <w:highlight w:val="none"/>
        </w:rPr>
        <w:t>在政府采购活动中，采购人员及相关人员与供应商有下列利害关系之一的，应当回避：</w:t>
      </w:r>
    </w:p>
    <w:p w14:paraId="584F12D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3354CF4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1820713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6EED19B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11D9CDC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71EE7F4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04E19F8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5</w:t>
      </w:r>
      <w:r>
        <w:rPr>
          <w:rFonts w:hint="eastAsia" w:ascii="宋体" w:hAnsi="宋体" w:cs="宋体"/>
          <w:color w:val="auto"/>
          <w:szCs w:val="21"/>
          <w:highlight w:val="none"/>
        </w:rPr>
        <w:t>有下列情形之一的视为供应商相互串通竞标，响应文件将被视为无效：</w:t>
      </w:r>
    </w:p>
    <w:p w14:paraId="1678A61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（1）不同供应商的响应文件由同一单位或者个人编制； </w:t>
      </w:r>
    </w:p>
    <w:p w14:paraId="2EDC194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04214AE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242922A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23ACA37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4459D888">
      <w:pPr>
        <w:tabs>
          <w:tab w:val="left" w:pos="6931"/>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（6）不同供应商的磋商保证金从同一单位或者个人账户转出。</w:t>
      </w:r>
      <w:r>
        <w:rPr>
          <w:rFonts w:ascii="宋体" w:hAnsi="宋体" w:cs="宋体"/>
          <w:color w:val="auto"/>
          <w:szCs w:val="21"/>
          <w:highlight w:val="none"/>
        </w:rPr>
        <w:tab/>
      </w:r>
    </w:p>
    <w:p w14:paraId="63126B9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6</w:t>
      </w:r>
      <w:r>
        <w:rPr>
          <w:rFonts w:hint="eastAsia" w:ascii="宋体" w:hAnsi="宋体" w:cs="宋体"/>
          <w:color w:val="auto"/>
          <w:szCs w:val="21"/>
          <w:highlight w:val="none"/>
        </w:rPr>
        <w:t>供应商有下列情形之一的，属于恶意串通行为，将报同级监督管理部门：</w:t>
      </w:r>
    </w:p>
    <w:p w14:paraId="364EE3F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65D9EDD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73DD47D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21676D0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4FF8A80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42EC94A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059CD09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2355FE4C">
      <w:pPr>
        <w:spacing w:line="360" w:lineRule="auto"/>
        <w:ind w:left="1" w:firstLine="417" w:firstLineChars="199"/>
        <w:jc w:val="center"/>
        <w:rPr>
          <w:rFonts w:ascii="宋体" w:hAnsi="宋体"/>
          <w:color w:val="auto"/>
          <w:highlight w:val="none"/>
        </w:rPr>
      </w:pPr>
      <w:bookmarkStart w:id="83" w:name="_Toc254970534"/>
      <w:bookmarkStart w:id="84" w:name="_Toc254970675"/>
    </w:p>
    <w:p w14:paraId="32E90A05">
      <w:pPr>
        <w:spacing w:line="360" w:lineRule="auto"/>
        <w:jc w:val="center"/>
        <w:rPr>
          <w:rFonts w:ascii="宋体" w:hAnsi="宋体"/>
          <w:color w:val="auto"/>
          <w:szCs w:val="21"/>
          <w:highlight w:val="none"/>
        </w:rPr>
      </w:pPr>
      <w:r>
        <w:rPr>
          <w:rFonts w:hint="eastAsia" w:ascii="宋体" w:hAnsi="宋体"/>
          <w:b/>
          <w:bCs/>
          <w:color w:val="auto"/>
          <w:sz w:val="32"/>
          <w:szCs w:val="32"/>
          <w:highlight w:val="none"/>
        </w:rPr>
        <w:t>二、磋商文件</w:t>
      </w:r>
      <w:bookmarkEnd w:id="83"/>
      <w:bookmarkEnd w:id="84"/>
    </w:p>
    <w:p w14:paraId="72E2C67C">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8.磋商文件的构成</w:t>
      </w:r>
    </w:p>
    <w:p w14:paraId="03953585">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第一章  竞争性磋商公告；</w:t>
      </w:r>
    </w:p>
    <w:p w14:paraId="39DB129B">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第二章  供应商须知； </w:t>
      </w:r>
    </w:p>
    <w:p w14:paraId="6BB0875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第三章  采购需求；</w:t>
      </w:r>
    </w:p>
    <w:p w14:paraId="35A9275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第四章  评审程序、评审方法和评审标准；</w:t>
      </w:r>
    </w:p>
    <w:p w14:paraId="2C9AC5E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第五章  工程量清单；</w:t>
      </w:r>
    </w:p>
    <w:p w14:paraId="03B6297B">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第六章  </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图纸；</w:t>
      </w:r>
    </w:p>
    <w:p w14:paraId="24BA7F4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第七章   技术规范；</w:t>
      </w:r>
    </w:p>
    <w:p w14:paraId="096DF59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第八章  工程量清单计量规则；</w:t>
      </w:r>
    </w:p>
    <w:p w14:paraId="28F2736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第九章  响应文件格式</w:t>
      </w:r>
    </w:p>
    <w:p w14:paraId="1405EBE3">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第十章  合同文本。</w:t>
      </w:r>
    </w:p>
    <w:p w14:paraId="0D2AB309">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269903F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供应商应认真阅读磋商文件的采购需求，如供应商对磋商文件有疑问的，如要求采购人作出澄清或者修改的，供应商尽可能在</w:t>
      </w:r>
      <w:r>
        <w:rPr>
          <w:rFonts w:ascii="宋体" w:hAnsi="宋体"/>
          <w:color w:val="auto"/>
          <w:szCs w:val="21"/>
          <w:highlight w:val="none"/>
        </w:rPr>
        <w:t>提交首次响应文件截止之日前</w:t>
      </w:r>
      <w:r>
        <w:rPr>
          <w:rFonts w:hint="eastAsia" w:ascii="宋体" w:hAnsi="宋体"/>
          <w:color w:val="auto"/>
          <w:szCs w:val="21"/>
          <w:highlight w:val="none"/>
        </w:rPr>
        <w:t>，以书面形式向</w:t>
      </w:r>
      <w:r>
        <w:rPr>
          <w:rFonts w:ascii="宋体" w:hAnsi="宋体"/>
          <w:color w:val="auto"/>
          <w:szCs w:val="21"/>
          <w:highlight w:val="none"/>
        </w:rPr>
        <w:t>采购人、采购代理机构</w:t>
      </w:r>
      <w:r>
        <w:rPr>
          <w:rFonts w:hint="eastAsia" w:ascii="宋体" w:hAnsi="宋体"/>
          <w:color w:val="auto"/>
          <w:szCs w:val="21"/>
          <w:highlight w:val="none"/>
        </w:rPr>
        <w:t>提出。</w:t>
      </w:r>
    </w:p>
    <w:p w14:paraId="2CC164FE">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10.磋商文件的澄清和修改</w:t>
      </w:r>
    </w:p>
    <w:p w14:paraId="6E3BE554">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10.1提交首次响应文件截止之日前，采购人或者采购代理机构可以对已发出的磋商文件进行必要的澄清或者修改，澄清或者修改的内容作为磋商文件的组成部分。澄清或者修改的内容可能影响响应文件编制的，采购人或者采购代理机构应当在提交首次响应文件截止之日5日前，在原公告发布媒体上发布更正公告，并以书面形式</w:t>
      </w:r>
      <w:r>
        <w:rPr>
          <w:rFonts w:hint="eastAsia" w:ascii="宋体" w:hAnsi="宋体" w:eastAsia="宋体" w:cs="Times New Roman"/>
          <w:color w:val="auto"/>
          <w:szCs w:val="21"/>
          <w:highlight w:val="none"/>
          <w:lang w:val="en-US" w:eastAsia="zh-CN"/>
        </w:rPr>
        <w:t>（目前为网上公告和系统短信等形式）</w:t>
      </w:r>
      <w:r>
        <w:rPr>
          <w:rFonts w:hint="eastAsia" w:ascii="宋体" w:hAnsi="宋体" w:eastAsia="宋体" w:cs="Times New Roman"/>
          <w:color w:val="auto"/>
          <w:szCs w:val="21"/>
          <w:highlight w:val="none"/>
        </w:rPr>
        <w:t>通知所有获取磋商文件的供应商，不足5日的，应当顺延提交首次响应文件截止时间。</w:t>
      </w:r>
    </w:p>
    <w:p w14:paraId="141389DD">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10.2采购人和采购代理机构可以视采购具体情况，变更首次响应文件提交截止时间和开启时间，并在原公告发布媒体上发布更正公告。</w:t>
      </w:r>
    </w:p>
    <w:p w14:paraId="60574109">
      <w:pPr>
        <w:spacing w:line="360" w:lineRule="auto"/>
        <w:ind w:firstLine="422" w:firstLineChars="200"/>
        <w:rPr>
          <w:rFonts w:hint="eastAsia" w:ascii="宋体" w:hAnsi="宋体" w:eastAsia="宋体" w:cs="Times New Roman"/>
          <w:b/>
          <w:bCs/>
          <w:color w:val="auto"/>
          <w:szCs w:val="21"/>
          <w:highlight w:val="none"/>
        </w:rPr>
      </w:pPr>
      <w:r>
        <w:rPr>
          <w:rFonts w:hint="eastAsia" w:ascii="宋体" w:hAnsi="宋体" w:eastAsia="宋体" w:cs="Times New Roman"/>
          <w:b/>
          <w:bCs/>
          <w:color w:val="auto"/>
          <w:szCs w:val="21"/>
          <w:highlight w:val="none"/>
        </w:rPr>
        <w:t>10.3磋商文件澄清、答复、修改、补充的内容为磋商文件的组成部分。当磋商文件与磋商文件的澄清、答复、修改、补充通知就同一内容的表述不一致时，以最后发出的文件为准。</w:t>
      </w:r>
    </w:p>
    <w:p w14:paraId="5B972AA0">
      <w:pPr>
        <w:spacing w:line="360" w:lineRule="auto"/>
        <w:ind w:firstLine="422" w:firstLineChars="200"/>
        <w:rPr>
          <w:rFonts w:hint="eastAsia" w:ascii="宋体" w:hAnsi="宋体" w:eastAsia="宋体" w:cs="Times New Roman"/>
          <w:b/>
          <w:bCs/>
          <w:color w:val="auto"/>
          <w:szCs w:val="21"/>
          <w:highlight w:val="none"/>
        </w:rPr>
      </w:pPr>
      <w:r>
        <w:rPr>
          <w:rFonts w:hint="eastAsia" w:ascii="宋体" w:hAnsi="宋体" w:eastAsia="宋体" w:cs="Times New Roman"/>
          <w:b/>
          <w:bCs/>
          <w:color w:val="auto"/>
          <w:szCs w:val="21"/>
          <w:highlight w:val="none"/>
        </w:rPr>
        <w:t>10.4响应文件未按磋商文件的澄清、修改后的内容编制的，其响应文件作无效响应处理。</w:t>
      </w:r>
    </w:p>
    <w:p w14:paraId="4A88FCC0">
      <w:pPr>
        <w:pStyle w:val="63"/>
        <w:jc w:val="both"/>
        <w:rPr>
          <w:rFonts w:ascii="宋体" w:hAnsi="宋体"/>
          <w:color w:val="auto"/>
          <w:szCs w:val="21"/>
          <w:highlight w:val="none"/>
        </w:rPr>
      </w:pPr>
    </w:p>
    <w:p w14:paraId="7A3F2463">
      <w:pPr>
        <w:spacing w:line="360" w:lineRule="auto"/>
        <w:jc w:val="center"/>
        <w:rPr>
          <w:rFonts w:hint="eastAsia" w:ascii="宋体" w:hAnsi="宋体" w:eastAsia="宋体" w:cs="Times New Roman"/>
          <w:b/>
          <w:bCs/>
          <w:color w:val="auto"/>
          <w:sz w:val="32"/>
          <w:szCs w:val="32"/>
          <w:highlight w:val="none"/>
        </w:rPr>
      </w:pPr>
      <w:r>
        <w:rPr>
          <w:rFonts w:hint="eastAsia" w:ascii="宋体" w:hAnsi="宋体" w:eastAsia="宋体" w:cs="Times New Roman"/>
          <w:b/>
          <w:bCs/>
          <w:color w:val="auto"/>
          <w:sz w:val="32"/>
          <w:szCs w:val="32"/>
          <w:highlight w:val="none"/>
        </w:rPr>
        <w:t>三、响应文件的编制</w:t>
      </w:r>
    </w:p>
    <w:p w14:paraId="0358AA49">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6893A8C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供应商必须按照磋商文件的要求编制响应文件，并对其提交的响应文件的真实性、合法性承担法律责任。响应文件必须对磋商文件作出实质性响应。</w:t>
      </w:r>
    </w:p>
    <w:p w14:paraId="050084BA">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31F368E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12.1响应文件由资格证明文件、报价文件、商务技术文件三部分组成。</w:t>
      </w:r>
    </w:p>
    <w:p w14:paraId="03508761">
      <w:pPr>
        <w:spacing w:line="360" w:lineRule="auto"/>
        <w:ind w:left="840" w:leftChars="200" w:hanging="420" w:hangingChars="200"/>
        <w:rPr>
          <w:rFonts w:ascii="宋体" w:hAnsi="宋体" w:cs="宋体"/>
          <w:color w:val="auto"/>
          <w:szCs w:val="21"/>
          <w:highlight w:val="none"/>
        </w:rPr>
      </w:pPr>
      <w:r>
        <w:rPr>
          <w:rFonts w:hint="eastAsia" w:ascii="宋体" w:hAnsi="宋体" w:cs="宋体"/>
          <w:color w:val="auto"/>
          <w:szCs w:val="21"/>
          <w:highlight w:val="none"/>
        </w:rPr>
        <w:t>12.1.1资格证明文件：详见“供应商须知前附表”</w:t>
      </w:r>
    </w:p>
    <w:p w14:paraId="2A25337D">
      <w:pPr>
        <w:spacing w:line="360" w:lineRule="auto"/>
        <w:ind w:left="840" w:leftChars="200" w:hanging="420" w:hangingChars="200"/>
        <w:rPr>
          <w:rFonts w:ascii="宋体" w:hAnsi="宋体" w:cs="宋体"/>
          <w:color w:val="auto"/>
          <w:szCs w:val="21"/>
          <w:highlight w:val="none"/>
        </w:rPr>
      </w:pPr>
      <w:r>
        <w:rPr>
          <w:rFonts w:hint="eastAsia" w:ascii="宋体" w:hAnsi="宋体" w:cs="宋体"/>
          <w:color w:val="auto"/>
          <w:szCs w:val="21"/>
          <w:highlight w:val="none"/>
        </w:rPr>
        <w:t>12.1.2报价文件：详见“供应商须知前附表”</w:t>
      </w:r>
    </w:p>
    <w:p w14:paraId="2BCE5836">
      <w:pPr>
        <w:spacing w:line="360" w:lineRule="auto"/>
        <w:ind w:left="840" w:leftChars="200" w:hanging="420" w:hangingChars="200"/>
        <w:rPr>
          <w:rFonts w:ascii="宋体" w:hAnsi="宋体" w:cs="宋体"/>
          <w:color w:val="auto"/>
          <w:szCs w:val="21"/>
          <w:highlight w:val="none"/>
        </w:rPr>
      </w:pPr>
      <w:r>
        <w:rPr>
          <w:rFonts w:hint="eastAsia" w:ascii="宋体" w:hAnsi="宋体" w:cs="宋体"/>
          <w:color w:val="auto"/>
          <w:szCs w:val="21"/>
          <w:highlight w:val="none"/>
        </w:rPr>
        <w:t>12.1.3商务技术文件：详见“供应商须知前附表”</w:t>
      </w:r>
    </w:p>
    <w:p w14:paraId="764C42DE">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6DB6D94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0DFE7941">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14.竞标的风险</w:t>
      </w:r>
    </w:p>
    <w:p w14:paraId="59F6020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1540D052">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15.竞标报价要求和构成</w:t>
      </w:r>
    </w:p>
    <w:p w14:paraId="1D8AD97A">
      <w:pPr>
        <w:tabs>
          <w:tab w:val="left" w:pos="2492"/>
        </w:tabs>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15.1竞标报价应按磋商文件中“竞标报价表”及</w:t>
      </w:r>
      <w:r>
        <w:rPr>
          <w:rFonts w:ascii="宋体" w:hAnsi="宋体" w:cs="宋体"/>
          <w:color w:val="auto"/>
          <w:szCs w:val="21"/>
          <w:highlight w:val="none"/>
        </w:rPr>
        <w:t>“</w:t>
      </w:r>
      <w:r>
        <w:rPr>
          <w:rFonts w:hint="eastAsia" w:ascii="宋体" w:hAnsi="宋体" w:cs="宋体"/>
          <w:color w:val="auto"/>
          <w:szCs w:val="21"/>
          <w:highlight w:val="none"/>
        </w:rPr>
        <w:t>已标价工程量清单</w:t>
      </w:r>
      <w:r>
        <w:rPr>
          <w:rFonts w:ascii="宋体" w:hAnsi="宋体" w:cs="宋体"/>
          <w:color w:val="auto"/>
          <w:szCs w:val="21"/>
          <w:highlight w:val="none"/>
        </w:rPr>
        <w:t>”</w:t>
      </w:r>
      <w:r>
        <w:rPr>
          <w:rFonts w:hint="eastAsia" w:ascii="宋体" w:hAnsi="宋体" w:cs="宋体"/>
          <w:color w:val="auto"/>
          <w:szCs w:val="21"/>
          <w:highlight w:val="none"/>
        </w:rPr>
        <w:t>格式填写。</w:t>
      </w:r>
      <w:r>
        <w:rPr>
          <w:rFonts w:hint="eastAsia" w:ascii="宋体" w:hAnsi="宋体" w:cs="宋体"/>
          <w:color w:val="auto"/>
          <w:szCs w:val="21"/>
          <w:highlight w:val="none"/>
          <w:lang w:eastAsia="zh-CN"/>
        </w:rPr>
        <w:t>（</w:t>
      </w:r>
      <w:r>
        <w:rPr>
          <w:rFonts w:hint="eastAsia" w:ascii="宋体" w:hAnsi="宋体"/>
          <w:color w:val="auto"/>
          <w:szCs w:val="21"/>
          <w:highlight w:val="none"/>
          <w:lang w:val="en-US" w:eastAsia="zh-CN"/>
        </w:rPr>
        <w:t>注：工程量清单的填写方式：供应商按照采购人提供的书面工程量清单填写工程量清单</w:t>
      </w:r>
      <w:r>
        <w:rPr>
          <w:rFonts w:hint="eastAsia" w:ascii="宋体" w:hAnsi="宋体" w:eastAsia="宋体" w:cs="宋体"/>
          <w:color w:val="auto"/>
          <w:kern w:val="0"/>
          <w:sz w:val="21"/>
          <w:szCs w:val="21"/>
          <w:highlight w:val="none"/>
          <w:lang w:val="en-US" w:eastAsia="zh-CN" w:bidi="ar"/>
        </w:rPr>
        <w:t>。）</w:t>
      </w:r>
    </w:p>
    <w:p w14:paraId="78B6F382">
      <w:pPr>
        <w:tabs>
          <w:tab w:val="left" w:pos="2492"/>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15.2竞标报价的内容见“供应商须知前附表”。</w:t>
      </w:r>
    </w:p>
    <w:p w14:paraId="55978271">
      <w:pPr>
        <w:tabs>
          <w:tab w:val="left" w:pos="2492"/>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15.3本项目的增值税计税方法见“供应商须知前附表”。</w:t>
      </w:r>
    </w:p>
    <w:p w14:paraId="1F342E15">
      <w:pPr>
        <w:spacing w:line="360" w:lineRule="auto"/>
        <w:ind w:left="426" w:leftChars="203"/>
        <w:rPr>
          <w:rFonts w:ascii="宋体" w:hAnsi="宋体" w:cs="宋体"/>
          <w:color w:val="auto"/>
          <w:szCs w:val="21"/>
          <w:highlight w:val="none"/>
        </w:rPr>
      </w:pPr>
      <w:r>
        <w:rPr>
          <w:rFonts w:hint="eastAsia" w:ascii="宋体" w:hAnsi="宋体" w:cs="宋体"/>
          <w:color w:val="auto"/>
          <w:szCs w:val="21"/>
          <w:highlight w:val="none"/>
        </w:rPr>
        <w:t>15.4竞标报价要求</w:t>
      </w:r>
    </w:p>
    <w:p w14:paraId="5D77F0B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5.</w:t>
      </w:r>
      <w:r>
        <w:rPr>
          <w:rFonts w:hint="eastAsia" w:ascii="宋体" w:hAnsi="宋体" w:cs="宋体"/>
          <w:color w:val="auto"/>
          <w:szCs w:val="21"/>
          <w:highlight w:val="none"/>
        </w:rPr>
        <w:t>4</w:t>
      </w:r>
      <w:r>
        <w:rPr>
          <w:rFonts w:ascii="宋体" w:hAnsi="宋体" w:cs="宋体"/>
          <w:color w:val="auto"/>
          <w:szCs w:val="21"/>
          <w:highlight w:val="none"/>
        </w:rPr>
        <w:t>.1</w:t>
      </w:r>
      <w:r>
        <w:rPr>
          <w:rFonts w:hint="eastAsia" w:ascii="宋体" w:hAnsi="宋体" w:cs="宋体"/>
          <w:color w:val="auto"/>
          <w:szCs w:val="21"/>
          <w:highlight w:val="none"/>
        </w:rPr>
        <w:t>供应商的竞标报价应符合以下要求，否则响应文件按无效处理：</w:t>
      </w:r>
    </w:p>
    <w:p w14:paraId="73B7ED28">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（1）供应商必须就“采购需求”中所竞标的每个分标的全部内容分别作完整唯一总价报价，</w:t>
      </w:r>
    </w:p>
    <w:p w14:paraId="00F1B664">
      <w:pPr>
        <w:spacing w:line="360" w:lineRule="auto"/>
        <w:rPr>
          <w:rFonts w:ascii="宋体" w:hAnsi="宋体" w:cs="宋体"/>
          <w:color w:val="auto"/>
          <w:szCs w:val="21"/>
          <w:highlight w:val="none"/>
        </w:rPr>
      </w:pPr>
      <w:r>
        <w:rPr>
          <w:rFonts w:hint="eastAsia" w:ascii="宋体" w:hAnsi="宋体" w:cs="宋体"/>
          <w:color w:val="auto"/>
          <w:szCs w:val="21"/>
          <w:highlight w:val="none"/>
        </w:rPr>
        <w:t>不得存在漏项报价；</w:t>
      </w:r>
    </w:p>
    <w:p w14:paraId="294A39F4">
      <w:pPr>
        <w:numPr>
          <w:ilvl w:val="0"/>
          <w:numId w:val="4"/>
        </w:num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供应商必须就所竞标的分标的单项内容作唯一报价。</w:t>
      </w:r>
    </w:p>
    <w:p w14:paraId="7EF84D1D">
      <w:pPr>
        <w:numPr>
          <w:ilvl w:val="0"/>
          <w:numId w:val="4"/>
        </w:num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供应商竞标报价（含总报价和单项报价）如明显低于其他通过符合性审查供应商的报价，有可能不能诚信履约的，磋商小组可要求其在评标现场合理的时间内提供书面说明。如无法提供说明，或者说明不足以证明合理性的，经磋商小组评定，响应文件按无效处理。</w:t>
      </w:r>
    </w:p>
    <w:p w14:paraId="23488D8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15.4.</w:t>
      </w:r>
      <w:r>
        <w:rPr>
          <w:rFonts w:ascii="宋体" w:hAnsi="宋体" w:cs="宋体"/>
          <w:color w:val="auto"/>
          <w:szCs w:val="21"/>
          <w:highlight w:val="none"/>
        </w:rPr>
        <w:t>2</w:t>
      </w:r>
      <w:r>
        <w:rPr>
          <w:rFonts w:hint="eastAsia" w:ascii="宋体" w:hAnsi="宋体" w:cs="宋体"/>
          <w:color w:val="auto"/>
          <w:szCs w:val="21"/>
          <w:highlight w:val="none"/>
        </w:rPr>
        <w:t>竞标报价（包含首次报价、最后报价）超过所竞标分标规定的采购预算金额或者最高限价的，其响应文件将按无效处理。</w:t>
      </w:r>
    </w:p>
    <w:p w14:paraId="0FAF804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15.4.</w:t>
      </w:r>
      <w:r>
        <w:rPr>
          <w:rFonts w:ascii="宋体" w:hAnsi="宋体" w:cs="宋体"/>
          <w:color w:val="auto"/>
          <w:szCs w:val="21"/>
          <w:highlight w:val="none"/>
        </w:rPr>
        <w:t>3</w:t>
      </w:r>
      <w:bookmarkStart w:id="85" w:name="_Hlk42592874"/>
      <w:r>
        <w:rPr>
          <w:rFonts w:hint="eastAsia" w:ascii="宋体" w:hAnsi="宋体" w:cs="宋体"/>
          <w:color w:val="auto"/>
          <w:szCs w:val="21"/>
          <w:highlight w:val="none"/>
        </w:rPr>
        <w:t>竞标报价（包含首次报价、最后报价）超过分项采购预算金额或者最高限价的，其响应文件将按无效处理。</w:t>
      </w:r>
    </w:p>
    <w:p w14:paraId="57782D37">
      <w:pPr>
        <w:spacing w:line="360" w:lineRule="auto"/>
        <w:ind w:firstLine="420" w:firstLineChars="200"/>
        <w:rPr>
          <w:rFonts w:ascii="宋体" w:hAnsi="宋体" w:cs="宋体"/>
          <w:b w:val="0"/>
          <w:bCs w:val="0"/>
          <w:color w:val="auto"/>
          <w:szCs w:val="21"/>
          <w:highlight w:val="none"/>
        </w:rPr>
      </w:pPr>
      <w:r>
        <w:rPr>
          <w:rFonts w:hint="eastAsia" w:ascii="宋体" w:hAnsi="宋体" w:cs="宋体"/>
          <w:b w:val="0"/>
          <w:bCs w:val="0"/>
          <w:color w:val="auto"/>
          <w:szCs w:val="21"/>
          <w:highlight w:val="none"/>
        </w:rPr>
        <w:t>15.4.4供应商在提交响应文件截止时间前修改竞标函中的竞标总报价，应同时修改响应文件“已标价工程量清单”中的相应报价。此修改须符合本须知正文第20条、第21条的有关要求。</w:t>
      </w:r>
    </w:p>
    <w:bookmarkEnd w:id="85"/>
    <w:p w14:paraId="5ADBF13E">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16.竞标有效期</w:t>
      </w:r>
    </w:p>
    <w:p w14:paraId="0B37C6E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4062B30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14:paraId="46A6BE1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36E80EE6">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17.磋商保证金</w:t>
      </w:r>
    </w:p>
    <w:p w14:paraId="09C87ACC">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17.1供应商须按“供应商须知前附表”的规定提交磋商保证金。</w:t>
      </w:r>
    </w:p>
    <w:p w14:paraId="1323E7BE">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17.2磋商保证金的退还</w:t>
      </w:r>
    </w:p>
    <w:p w14:paraId="2096E0EB">
      <w:pPr>
        <w:spacing w:line="360" w:lineRule="auto"/>
        <w:ind w:firstLine="420" w:firstLineChars="200"/>
        <w:rPr>
          <w:rFonts w:ascii="宋体" w:hAnsi="宋体" w:cs="宋体"/>
          <w:color w:val="auto"/>
          <w:szCs w:val="21"/>
          <w:highlight w:val="none"/>
        </w:rPr>
      </w:pPr>
      <w:bookmarkStart w:id="86" w:name="_Hlk66782243"/>
      <w:r>
        <w:rPr>
          <w:rFonts w:hint="eastAsia" w:ascii="宋体" w:hAnsi="宋体" w:cs="宋体"/>
          <w:color w:val="auto"/>
          <w:szCs w:val="21"/>
          <w:highlight w:val="none"/>
          <w:lang w:val="en-US" w:eastAsia="zh-CN"/>
        </w:rPr>
        <w:t>17.2.1</w:t>
      </w:r>
      <w:r>
        <w:rPr>
          <w:rFonts w:hint="eastAsia" w:ascii="宋体" w:hAnsi="宋体" w:cs="宋体"/>
          <w:color w:val="auto"/>
          <w:szCs w:val="21"/>
          <w:highlight w:val="none"/>
        </w:rPr>
        <w:t>未成交供应商的磋商保证金自成交通知书发出之日起5个工作日内退还；成交供应商的磋商保证金自签订合同之日起5个工作日内退还。</w:t>
      </w:r>
      <w:bookmarkEnd w:id="86"/>
    </w:p>
    <w:p w14:paraId="0B45B908">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17.3磋商保证金不计息。</w:t>
      </w:r>
    </w:p>
    <w:p w14:paraId="26B2B50B">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 xml:space="preserve">17.4供应商有下列情形之一的，磋商保证金将不予退还： </w:t>
      </w:r>
    </w:p>
    <w:p w14:paraId="229D34AE">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（1）供应商在提交响应文件截止时间后撤回响应文件的；</w:t>
      </w:r>
    </w:p>
    <w:p w14:paraId="0B9F460E">
      <w:pPr>
        <w:spacing w:line="360" w:lineRule="auto"/>
        <w:ind w:left="420" w:leftChars="200"/>
        <w:rPr>
          <w:rFonts w:ascii="宋体" w:hAnsi="宋体" w:cs="宋体"/>
          <w:color w:val="auto"/>
          <w:szCs w:val="21"/>
          <w:highlight w:val="none"/>
        </w:rPr>
      </w:pPr>
      <w:r>
        <w:rPr>
          <w:rFonts w:hint="eastAsia" w:ascii="宋体" w:hAnsi="宋体"/>
          <w:color w:val="auto"/>
          <w:szCs w:val="21"/>
          <w:highlight w:val="none"/>
        </w:rPr>
        <w:t>（2）未按规定提交履约保证金的；</w:t>
      </w:r>
    </w:p>
    <w:p w14:paraId="4FDAA9F1">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（3）供应商在响应文件中提供虚假材料的；</w:t>
      </w:r>
    </w:p>
    <w:p w14:paraId="69950EE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（4）除因不可抗力或者磋商文件认可的情形以外，成交供应商不与采购人签订合同的；</w:t>
      </w:r>
    </w:p>
    <w:p w14:paraId="00726E40">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（5）供应商与采购人、其他供应商或者采购代理机构恶意串通的；</w:t>
      </w:r>
    </w:p>
    <w:p w14:paraId="26368DC9">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（6）法律法规规定的其他情形。</w:t>
      </w:r>
    </w:p>
    <w:p w14:paraId="0FF20412">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18.响应文件编制的要求</w:t>
      </w:r>
    </w:p>
    <w:p w14:paraId="1B4D071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18.1供应商应先安装“广西政府采购云电子交易客户端”（请自行前往广西政府采购云平台进行下载），并按照本项目磋商文件规定的格式和顺序和广西政府采购云平台的要求编制并加密。响应文件内容不完整、编排混乱导致响应文件被误读、漏读或者查找不到相关内容的，由此引发的后果由供应商承担。</w:t>
      </w:r>
    </w:p>
    <w:p w14:paraId="7CDFE31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18.2为确保网上操作合法、有效和安全，供应商应当在提交响应文件截止时间前完成在广西政府采购云平台的身份认证，确保在电子竞标过程中能够对相关数据电文进行加密和使用电子签章。</w:t>
      </w:r>
    </w:p>
    <w:p w14:paraId="2DE8D4E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18.3响应文件须由供应商在规定位置签字、盖章（具体以供应商须知前附表或响应文件格式规定为准），否则按无效响应处理。</w:t>
      </w:r>
    </w:p>
    <w:p w14:paraId="299BABF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18.4响应文件中标注的供应商名称应与主体资格证明（如营业执照或者事业单位法人证书或者执业许可证或者登记证书等）及公章一致，否则其响应文件按无效处理。</w:t>
      </w:r>
    </w:p>
    <w:p w14:paraId="27778B4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18.5响应文件应尽量避免涂改、行间插字或者删除。如果出现上述情况，改动之处应由供应商的法定代表人或者其委托代理人签字（或者电子签名）或者加盖公章或者加盖电子签章。响应文件因涂改、行间插字或者删除导致字迹潦草或者表达不清所引起的后果由供应商承担。</w:t>
      </w:r>
    </w:p>
    <w:p w14:paraId="72019A6B">
      <w:pPr>
        <w:spacing w:line="360" w:lineRule="auto"/>
        <w:ind w:firstLine="482" w:firstLineChars="200"/>
        <w:rPr>
          <w:rFonts w:ascii="黑体" w:hAnsi="黑体" w:eastAsia="黑体"/>
          <w:color w:val="auto"/>
          <w:sz w:val="24"/>
          <w:highlight w:val="none"/>
        </w:rPr>
      </w:pPr>
      <w:r>
        <w:rPr>
          <w:rFonts w:hint="eastAsia" w:ascii="黑体" w:hAnsi="黑体" w:eastAsia="黑体" w:cs="宋体"/>
          <w:b/>
          <w:bCs/>
          <w:color w:val="auto"/>
          <w:sz w:val="24"/>
          <w:highlight w:val="none"/>
        </w:rPr>
        <w:t>19.电子</w:t>
      </w:r>
      <w:r>
        <w:rPr>
          <w:rFonts w:hint="eastAsia" w:ascii="黑体" w:hAnsi="黑体" w:eastAsia="黑体"/>
          <w:b/>
          <w:color w:val="auto"/>
          <w:sz w:val="24"/>
          <w:highlight w:val="none"/>
        </w:rPr>
        <w:t>备份响应文件</w:t>
      </w:r>
    </w:p>
    <w:p w14:paraId="1A79FD85">
      <w:pPr>
        <w:spacing w:line="360" w:lineRule="auto"/>
        <w:ind w:firstLine="420" w:firstLineChars="200"/>
        <w:rPr>
          <w:rFonts w:ascii="宋体" w:hAnsi="宋体" w:cs="宋体"/>
          <w:color w:val="auto"/>
          <w:szCs w:val="21"/>
          <w:highlight w:val="none"/>
        </w:rPr>
      </w:pPr>
      <w:r>
        <w:rPr>
          <w:rFonts w:hint="eastAsia"/>
          <w:color w:val="auto"/>
          <w:highlight w:val="none"/>
        </w:rPr>
        <w:t>电子备份响应文件是指通过“广西政府采购云电子投标客户端”在线编制生成且后缀名为“</w:t>
      </w:r>
      <w:r>
        <w:rPr>
          <w:color w:val="auto"/>
          <w:highlight w:val="none"/>
        </w:rPr>
        <w:t>bfbs</w:t>
      </w:r>
      <w:r>
        <w:rPr>
          <w:rFonts w:hint="eastAsia"/>
          <w:color w:val="auto"/>
          <w:highlight w:val="none"/>
        </w:rPr>
        <w:t>”的文件，是否接受电子备份响应文件</w:t>
      </w:r>
      <w:r>
        <w:rPr>
          <w:rFonts w:hint="eastAsia" w:hAnsi="宋体"/>
          <w:bCs/>
          <w:color w:val="auto"/>
          <w:szCs w:val="21"/>
          <w:highlight w:val="none"/>
        </w:rPr>
        <w:t>详见在“供应商须知前附表”。</w:t>
      </w:r>
    </w:p>
    <w:p w14:paraId="69845C27">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1A11C440">
      <w:pPr>
        <w:spacing w:line="360" w:lineRule="auto"/>
        <w:ind w:firstLine="420" w:firstLineChars="200"/>
        <w:rPr>
          <w:rFonts w:hAnsi="宋体"/>
          <w:b/>
          <w:color w:val="auto"/>
          <w:highlight w:val="none"/>
        </w:rPr>
      </w:pPr>
      <w:r>
        <w:rPr>
          <w:rFonts w:hint="eastAsia" w:hAnsi="宋体"/>
          <w:bCs/>
          <w:color w:val="auto"/>
          <w:szCs w:val="21"/>
          <w:highlight w:val="none"/>
        </w:rPr>
        <w:t>20.1供应商必须按“供应商须知前附表”规定的</w:t>
      </w:r>
      <w:r>
        <w:rPr>
          <w:rFonts w:hint="eastAsia" w:ascii="宋体" w:hAnsi="宋体" w:cs="宋体"/>
          <w:color w:val="auto"/>
          <w:szCs w:val="21"/>
          <w:highlight w:val="none"/>
        </w:rPr>
        <w:t>时间</w:t>
      </w:r>
      <w:r>
        <w:rPr>
          <w:rFonts w:hint="eastAsia" w:ascii="宋体" w:hAnsi="宋体"/>
          <w:color w:val="auto"/>
          <w:szCs w:val="21"/>
          <w:highlight w:val="none"/>
        </w:rPr>
        <w:t>及</w:t>
      </w:r>
      <w:r>
        <w:rPr>
          <w:rFonts w:hint="eastAsia" w:hAnsi="宋体"/>
          <w:bCs/>
          <w:color w:val="auto"/>
          <w:szCs w:val="21"/>
          <w:highlight w:val="none"/>
        </w:rPr>
        <w:t>地点提交响应文件。电子响应文件应在制作完成后，</w:t>
      </w:r>
      <w:r>
        <w:rPr>
          <w:rFonts w:hAnsi="宋体"/>
          <w:bCs/>
          <w:color w:val="auto"/>
          <w:szCs w:val="21"/>
          <w:highlight w:val="none"/>
        </w:rPr>
        <w:t>在</w:t>
      </w:r>
      <w:r>
        <w:rPr>
          <w:rFonts w:hint="eastAsia" w:hAnsi="宋体"/>
          <w:bCs/>
          <w:color w:val="auto"/>
          <w:szCs w:val="21"/>
          <w:highlight w:val="none"/>
        </w:rPr>
        <w:t>提交响应文件截止</w:t>
      </w:r>
      <w:r>
        <w:rPr>
          <w:rFonts w:hAnsi="宋体"/>
          <w:bCs/>
          <w:color w:val="auto"/>
          <w:szCs w:val="21"/>
          <w:highlight w:val="none"/>
        </w:rPr>
        <w:t>时间前</w:t>
      </w:r>
      <w:r>
        <w:rPr>
          <w:rFonts w:hint="eastAsia" w:hAnsi="宋体"/>
          <w:bCs/>
          <w:color w:val="auto"/>
          <w:szCs w:val="21"/>
          <w:highlight w:val="none"/>
        </w:rPr>
        <w:t>通过有效数字证书（CA认证锁）进行电子签章、加密，然后通过网络将加密的电子响应文件提交至</w:t>
      </w:r>
      <w:r>
        <w:rPr>
          <w:rFonts w:hint="eastAsia" w:ascii="宋体" w:hAnsi="宋体"/>
          <w:color w:val="auto"/>
          <w:szCs w:val="21"/>
          <w:highlight w:val="none"/>
        </w:rPr>
        <w:t>广西政府采购云平台</w:t>
      </w:r>
      <w:r>
        <w:rPr>
          <w:rFonts w:hint="eastAsia" w:hAnsi="宋体"/>
          <w:bCs/>
          <w:color w:val="auto"/>
          <w:szCs w:val="21"/>
          <w:highlight w:val="none"/>
        </w:rPr>
        <w:t>。</w:t>
      </w:r>
    </w:p>
    <w:p w14:paraId="42C97150">
      <w:pPr>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20.</w:t>
      </w:r>
      <w:r>
        <w:rPr>
          <w:rFonts w:ascii="宋体" w:hAnsi="宋体"/>
          <w:color w:val="auto"/>
          <w:szCs w:val="21"/>
          <w:highlight w:val="none"/>
        </w:rPr>
        <w:t>2</w:t>
      </w:r>
      <w:r>
        <w:rPr>
          <w:rFonts w:hint="eastAsia" w:ascii="宋体" w:hAnsi="宋体"/>
          <w:color w:val="auto"/>
          <w:szCs w:val="21"/>
          <w:highlight w:val="none"/>
        </w:rPr>
        <w:t>未在规定时间内提交或者未按照磋商文件要求加密的电子响应文件，广西政府采购云平台将拒收。</w:t>
      </w:r>
    </w:p>
    <w:p w14:paraId="2DAF2321">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21.首次响应文件的补充、修改与撤回</w:t>
      </w:r>
    </w:p>
    <w:p w14:paraId="23BF7110">
      <w:pPr>
        <w:spacing w:line="360" w:lineRule="auto"/>
        <w:ind w:firstLine="420" w:firstLineChars="200"/>
        <w:rPr>
          <w:rFonts w:hAnsi="宋体"/>
          <w:bCs/>
          <w:color w:val="auto"/>
          <w:szCs w:val="21"/>
          <w:highlight w:val="none"/>
        </w:rPr>
      </w:pPr>
      <w:bookmarkStart w:id="87" w:name="_Toc254970684"/>
      <w:bookmarkStart w:id="88" w:name="_Toc254970543"/>
      <w:r>
        <w:rPr>
          <w:rFonts w:hAnsi="宋体"/>
          <w:bCs/>
          <w:color w:val="auto"/>
          <w:szCs w:val="21"/>
          <w:highlight w:val="none"/>
        </w:rPr>
        <w:t>2</w:t>
      </w:r>
      <w:r>
        <w:rPr>
          <w:rFonts w:hint="eastAsia" w:hAnsi="宋体"/>
          <w:bCs/>
          <w:color w:val="auto"/>
          <w:szCs w:val="21"/>
          <w:highlight w:val="none"/>
        </w:rPr>
        <w:t>1.1供应商应当在提交响应文件截止</w:t>
      </w:r>
      <w:r>
        <w:rPr>
          <w:rFonts w:hAnsi="宋体"/>
          <w:bCs/>
          <w:color w:val="auto"/>
          <w:szCs w:val="21"/>
          <w:highlight w:val="none"/>
        </w:rPr>
        <w:t>时间</w:t>
      </w:r>
      <w:r>
        <w:rPr>
          <w:rFonts w:hint="eastAsia" w:hAnsi="宋体"/>
          <w:bCs/>
          <w:color w:val="auto"/>
          <w:szCs w:val="21"/>
          <w:highlight w:val="none"/>
        </w:rPr>
        <w:t>前完成电子响应文件的提交（上传），提交响应文件截止</w:t>
      </w:r>
      <w:r>
        <w:rPr>
          <w:rFonts w:hAnsi="宋体"/>
          <w:bCs/>
          <w:color w:val="auto"/>
          <w:szCs w:val="21"/>
          <w:highlight w:val="none"/>
        </w:rPr>
        <w:t>时间</w:t>
      </w:r>
      <w:r>
        <w:rPr>
          <w:rFonts w:hint="eastAsia" w:hAnsi="宋体"/>
          <w:bCs/>
          <w:color w:val="auto"/>
          <w:szCs w:val="21"/>
          <w:highlight w:val="none"/>
        </w:rPr>
        <w:t>前可以补充、修改或者撤回响应文件。补充或者修改响应文件的，应当先行撤回原响应文件，补充、修改后重新提交（上传），提交响应文件截止</w:t>
      </w:r>
      <w:r>
        <w:rPr>
          <w:rFonts w:hAnsi="宋体"/>
          <w:bCs/>
          <w:color w:val="auto"/>
          <w:szCs w:val="21"/>
          <w:highlight w:val="none"/>
        </w:rPr>
        <w:t>时间</w:t>
      </w:r>
      <w:r>
        <w:rPr>
          <w:rFonts w:hint="eastAsia" w:hAnsi="宋体"/>
          <w:bCs/>
          <w:color w:val="auto"/>
          <w:szCs w:val="21"/>
          <w:highlight w:val="none"/>
        </w:rPr>
        <w:t>前未完成提交（上传）的，视为撤回响应文件。提交响应文件截止</w:t>
      </w:r>
      <w:r>
        <w:rPr>
          <w:rFonts w:hAnsi="宋体"/>
          <w:bCs/>
          <w:color w:val="auto"/>
          <w:szCs w:val="21"/>
          <w:highlight w:val="none"/>
        </w:rPr>
        <w:t>时间</w:t>
      </w:r>
      <w:r>
        <w:rPr>
          <w:rFonts w:hint="eastAsia" w:hAnsi="宋体"/>
          <w:bCs/>
          <w:color w:val="auto"/>
          <w:szCs w:val="21"/>
          <w:highlight w:val="none"/>
        </w:rPr>
        <w:t>以后提交（上传）的响应文件，广西政府采购云平台将予以拒收。（注：补充、修改或者撤回方式可登陆广西政府采购云平台，进入“服务中心”中查看“电子投标文件制作与投送教程”）</w:t>
      </w:r>
    </w:p>
    <w:bookmarkEnd w:id="87"/>
    <w:bookmarkEnd w:id="88"/>
    <w:p w14:paraId="4159B361">
      <w:pPr>
        <w:pStyle w:val="160"/>
        <w:spacing w:before="0"/>
        <w:ind w:firstLine="420"/>
        <w:rPr>
          <w:rFonts w:ascii="宋体" w:hAnsi="宋体" w:cs="宋体"/>
          <w:color w:val="auto"/>
          <w:sz w:val="21"/>
          <w:szCs w:val="21"/>
          <w:highlight w:val="none"/>
        </w:rPr>
      </w:pPr>
      <w:r>
        <w:rPr>
          <w:rFonts w:ascii="宋体" w:hAnsi="宋体" w:cs="宋体"/>
          <w:color w:val="auto"/>
          <w:sz w:val="21"/>
          <w:szCs w:val="21"/>
          <w:highlight w:val="none"/>
        </w:rPr>
        <w:t>2</w:t>
      </w:r>
      <w:r>
        <w:rPr>
          <w:rFonts w:hint="eastAsia" w:ascii="宋体" w:hAnsi="宋体" w:cs="宋体"/>
          <w:color w:val="auto"/>
          <w:sz w:val="21"/>
          <w:szCs w:val="21"/>
          <w:highlight w:val="none"/>
        </w:rPr>
        <w:t>1</w:t>
      </w:r>
      <w:r>
        <w:rPr>
          <w:rFonts w:ascii="宋体" w:hAnsi="宋体" w:cs="宋体"/>
          <w:color w:val="auto"/>
          <w:sz w:val="21"/>
          <w:szCs w:val="21"/>
          <w:highlight w:val="none"/>
        </w:rPr>
        <w:t>.</w:t>
      </w:r>
      <w:r>
        <w:rPr>
          <w:rFonts w:hint="eastAsia" w:ascii="宋体" w:hAnsi="宋体" w:cs="宋体"/>
          <w:color w:val="auto"/>
          <w:sz w:val="21"/>
          <w:szCs w:val="21"/>
          <w:highlight w:val="none"/>
        </w:rPr>
        <w:t>2在提交响应文件截止时间前，除供应商补充、修改或者撤回响应文件外，任何单位和个人不得解密或提取响应文件。</w:t>
      </w:r>
    </w:p>
    <w:p w14:paraId="7D4B75CC">
      <w:pPr>
        <w:spacing w:line="360" w:lineRule="auto"/>
        <w:ind w:firstLine="482" w:firstLineChars="200"/>
        <w:rPr>
          <w:rFonts w:ascii="黑体" w:hAnsi="黑体" w:eastAsia="黑体" w:cs="宋体"/>
          <w:b/>
          <w:bCs/>
          <w:color w:val="auto"/>
          <w:sz w:val="24"/>
          <w:highlight w:val="none"/>
        </w:rPr>
      </w:pPr>
      <w:bookmarkStart w:id="89" w:name="_Hlk45702405"/>
      <w:r>
        <w:rPr>
          <w:rFonts w:hint="eastAsia" w:ascii="黑体" w:hAnsi="黑体" w:eastAsia="黑体" w:cs="宋体"/>
          <w:b/>
          <w:bCs/>
          <w:color w:val="auto"/>
          <w:sz w:val="24"/>
          <w:highlight w:val="none"/>
        </w:rPr>
        <w:t>22.响应文件的退回</w:t>
      </w:r>
    </w:p>
    <w:p w14:paraId="040CA83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采购人和采购代理机构对已提交的响应文件概不退回。</w:t>
      </w:r>
    </w:p>
    <w:p w14:paraId="5DCE4C61">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23.截止时间后的撤回</w:t>
      </w:r>
    </w:p>
    <w:p w14:paraId="698169F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供应商在响应文件提交截止时间后向采购人、采购代理机构书面申请撤回响应文件的，将根据本须知正文第17.4条的规定不予退还其磋商保证金。</w:t>
      </w:r>
    </w:p>
    <w:bookmarkEnd w:id="89"/>
    <w:p w14:paraId="651E1AE2">
      <w:pPr>
        <w:spacing w:line="360" w:lineRule="auto"/>
        <w:rPr>
          <w:rFonts w:ascii="宋体" w:hAnsi="宋体"/>
          <w:color w:val="auto"/>
          <w:szCs w:val="21"/>
          <w:highlight w:val="none"/>
        </w:rPr>
      </w:pPr>
    </w:p>
    <w:p w14:paraId="09EEDCA9">
      <w:pPr>
        <w:spacing w:line="360" w:lineRule="auto"/>
        <w:ind w:left="420" w:firstLine="420"/>
        <w:jc w:val="center"/>
        <w:rPr>
          <w:rFonts w:ascii="宋体" w:hAnsi="宋体"/>
          <w:color w:val="auto"/>
          <w:szCs w:val="21"/>
          <w:highlight w:val="none"/>
        </w:rPr>
      </w:pPr>
      <w:r>
        <w:rPr>
          <w:rFonts w:hint="eastAsia" w:ascii="宋体" w:hAnsi="宋体"/>
          <w:b/>
          <w:bCs/>
          <w:color w:val="auto"/>
          <w:sz w:val="32"/>
          <w:szCs w:val="32"/>
          <w:highlight w:val="none"/>
        </w:rPr>
        <w:t>四、评审及磋商</w:t>
      </w:r>
    </w:p>
    <w:p w14:paraId="00CA8597">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24.磋商小组成立</w:t>
      </w:r>
    </w:p>
    <w:p w14:paraId="39BC5FC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24.1磋商小组由采购人代表和评审专家共3人以上单数组成，具体人数见“供应商须知前附表”，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056754C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40D187D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24.3</w:t>
      </w:r>
      <w:r>
        <w:rPr>
          <w:rFonts w:hint="eastAsia" w:hAnsi="宋体"/>
          <w:bCs/>
          <w:color w:val="auto"/>
          <w:szCs w:val="21"/>
          <w:highlight w:val="none"/>
        </w:rPr>
        <w:t>采购代理机构</w:t>
      </w:r>
      <w:r>
        <w:rPr>
          <w:rFonts w:hint="eastAsia" w:hAnsi="宋体"/>
          <w:bCs/>
          <w:color w:val="auto"/>
          <w:highlight w:val="none"/>
        </w:rPr>
        <w:t>应当</w:t>
      </w:r>
      <w:r>
        <w:rPr>
          <w:rFonts w:hint="eastAsia" w:hAnsi="宋体"/>
          <w:bCs/>
          <w:color w:val="auto"/>
          <w:szCs w:val="21"/>
          <w:highlight w:val="none"/>
        </w:rPr>
        <w:t>基于广西政府采购云平台</w:t>
      </w:r>
      <w:r>
        <w:rPr>
          <w:rFonts w:hint="eastAsia" w:hAnsi="宋体"/>
          <w:bCs/>
          <w:color w:val="auto"/>
          <w:highlight w:val="none"/>
        </w:rPr>
        <w:t>抽（选）取</w:t>
      </w:r>
      <w:r>
        <w:rPr>
          <w:rFonts w:hint="eastAsia" w:hAnsi="宋体"/>
          <w:bCs/>
          <w:color w:val="auto"/>
          <w:szCs w:val="21"/>
          <w:highlight w:val="none"/>
        </w:rPr>
        <w:t>评审专家。</w:t>
      </w:r>
    </w:p>
    <w:p w14:paraId="12A4388A">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25.</w:t>
      </w:r>
      <w:r>
        <w:rPr>
          <w:rFonts w:hint="eastAsia" w:ascii="黑体" w:hAnsi="黑体" w:eastAsia="黑体" w:cs="宋体"/>
          <w:b/>
          <w:bCs/>
          <w:color w:val="auto"/>
          <w:sz w:val="24"/>
          <w:highlight w:val="none"/>
        </w:rPr>
        <w:t>首次响应文件的开启和解密</w:t>
      </w:r>
    </w:p>
    <w:p w14:paraId="16DC364D">
      <w:pPr>
        <w:spacing w:line="360" w:lineRule="auto"/>
        <w:ind w:firstLine="420" w:firstLineChars="200"/>
        <w:rPr>
          <w:rFonts w:ascii="宋体" w:hAnsi="宋体" w:cs="宋体"/>
          <w:color w:val="auto"/>
          <w:szCs w:val="21"/>
          <w:highlight w:val="none"/>
        </w:rPr>
      </w:pPr>
      <w:r>
        <w:rPr>
          <w:rFonts w:hint="eastAsia" w:hAnsi="宋体"/>
          <w:bCs/>
          <w:color w:val="auto"/>
          <w:highlight w:val="none"/>
        </w:rPr>
        <w:t>采购代理机构将在“供应商须知前附表”规定的时</w:t>
      </w:r>
      <w:r>
        <w:rPr>
          <w:rFonts w:hint="eastAsia" w:hAnsi="宋体"/>
          <w:color w:val="auto"/>
          <w:highlight w:val="none"/>
        </w:rPr>
        <w:t>间通过电子交易平台组织响应文件开启，供应商的法定代表人或其委托代理人须</w:t>
      </w:r>
      <w:r>
        <w:rPr>
          <w:rFonts w:hint="eastAsia" w:hAnsi="宋体"/>
          <w:b/>
          <w:bCs/>
          <w:color w:val="auto"/>
          <w:highlight w:val="none"/>
        </w:rPr>
        <w:t>携带加密时所用的CA锁，按平台提示和磋商文件的规定登录到广西政府采购云平台电子开标大厅签到</w:t>
      </w:r>
      <w:r>
        <w:rPr>
          <w:rFonts w:hint="eastAsia" w:hAnsi="宋体"/>
          <w:color w:val="auto"/>
          <w:highlight w:val="none"/>
        </w:rPr>
        <w:t>，</w:t>
      </w:r>
      <w:r>
        <w:rPr>
          <w:rFonts w:hint="eastAsia"/>
          <w:color w:val="auto"/>
          <w:highlight w:val="none"/>
        </w:rPr>
        <w:t>采购代理机构依托广西政府采购云平台向各供应商发出电子加密响应文件【开始解密】通知，由供应商按</w:t>
      </w:r>
      <w:r>
        <w:rPr>
          <w:rFonts w:hint="eastAsia" w:hAnsi="宋体"/>
          <w:bCs/>
          <w:color w:val="auto"/>
          <w:szCs w:val="21"/>
          <w:highlight w:val="none"/>
        </w:rPr>
        <w:t>“供应商须知前附表”</w:t>
      </w:r>
      <w:r>
        <w:rPr>
          <w:rFonts w:hint="eastAsia"/>
          <w:color w:val="auto"/>
          <w:highlight w:val="none"/>
        </w:rPr>
        <w:t>规定的时间内自行进行响应文件解密</w:t>
      </w:r>
      <w:r>
        <w:rPr>
          <w:rFonts w:hint="eastAsia" w:hAnsi="宋体"/>
          <w:color w:val="auto"/>
          <w:highlight w:val="none"/>
        </w:rPr>
        <w:t>。</w:t>
      </w:r>
      <w:r>
        <w:rPr>
          <w:rFonts w:hint="eastAsia"/>
          <w:b/>
          <w:color w:val="auto"/>
          <w:highlight w:val="none"/>
        </w:rPr>
        <w:t>供应商未在</w:t>
      </w:r>
      <w:r>
        <w:rPr>
          <w:b/>
          <w:color w:val="auto"/>
          <w:highlight w:val="none"/>
        </w:rPr>
        <w:t>规定的时间内解密</w:t>
      </w:r>
      <w:r>
        <w:rPr>
          <w:rFonts w:hint="eastAsia"/>
          <w:b/>
          <w:color w:val="auto"/>
          <w:highlight w:val="none"/>
        </w:rPr>
        <w:t>响应文件</w:t>
      </w:r>
      <w:r>
        <w:rPr>
          <w:b/>
          <w:color w:val="auto"/>
          <w:highlight w:val="none"/>
        </w:rPr>
        <w:t>或</w:t>
      </w:r>
      <w:r>
        <w:rPr>
          <w:rFonts w:hint="eastAsia"/>
          <w:b/>
          <w:color w:val="auto"/>
          <w:highlight w:val="none"/>
        </w:rPr>
        <w:t>者</w:t>
      </w:r>
      <w:r>
        <w:rPr>
          <w:b/>
          <w:color w:val="auto"/>
          <w:highlight w:val="none"/>
        </w:rPr>
        <w:t>解密失败的</w:t>
      </w:r>
      <w:r>
        <w:rPr>
          <w:rFonts w:hint="eastAsia"/>
          <w:b/>
          <w:color w:val="auto"/>
          <w:highlight w:val="none"/>
        </w:rPr>
        <w:t>，供应商</w:t>
      </w:r>
      <w:r>
        <w:rPr>
          <w:rFonts w:hint="eastAsia" w:ascii="宋体" w:hAnsi="宋体"/>
          <w:b/>
          <w:color w:val="auto"/>
          <w:szCs w:val="21"/>
          <w:highlight w:val="none"/>
        </w:rPr>
        <w:t>的响应文件按无效处理</w:t>
      </w:r>
      <w:r>
        <w:rPr>
          <w:b/>
          <w:color w:val="auto"/>
          <w:highlight w:val="none"/>
        </w:rPr>
        <w:t>。</w:t>
      </w:r>
    </w:p>
    <w:p w14:paraId="63E3B9CF">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26</w:t>
      </w:r>
      <w:r>
        <w:rPr>
          <w:rFonts w:hint="eastAsia" w:ascii="黑体" w:hAnsi="黑体" w:eastAsia="黑体" w:cs="宋体"/>
          <w:b/>
          <w:bCs/>
          <w:color w:val="auto"/>
          <w:sz w:val="24"/>
          <w:highlight w:val="none"/>
        </w:rPr>
        <w:t>.评审程序、评审方法和评审标准</w:t>
      </w:r>
    </w:p>
    <w:p w14:paraId="334AC3A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6</w:t>
      </w:r>
      <w:r>
        <w:rPr>
          <w:rFonts w:hint="eastAsia" w:ascii="宋体" w:hAnsi="宋体" w:cs="宋体"/>
          <w:color w:val="auto"/>
          <w:szCs w:val="21"/>
          <w:highlight w:val="none"/>
        </w:rPr>
        <w:t>.1本项目的评审方法为综合评分法。</w:t>
      </w:r>
    </w:p>
    <w:p w14:paraId="3F6CE5D5">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26.2</w:t>
      </w:r>
      <w:r>
        <w:rPr>
          <w:rFonts w:hint="eastAsia" w:ascii="宋体" w:hAnsi="宋体" w:cs="宋体"/>
          <w:color w:val="auto"/>
          <w:szCs w:val="21"/>
          <w:highlight w:val="none"/>
        </w:rPr>
        <w:t>磋商小组</w:t>
      </w:r>
      <w:r>
        <w:rPr>
          <w:rFonts w:ascii="宋体" w:hAnsi="宋体" w:cs="宋体"/>
          <w:color w:val="auto"/>
          <w:szCs w:val="21"/>
          <w:highlight w:val="none"/>
        </w:rPr>
        <w:t>按照</w:t>
      </w:r>
      <w:r>
        <w:rPr>
          <w:rFonts w:hint="eastAsia" w:ascii="宋体" w:hAnsi="宋体" w:cs="宋体"/>
          <w:color w:val="auto"/>
          <w:szCs w:val="21"/>
          <w:highlight w:val="none"/>
        </w:rPr>
        <w:t>“第四章 评审程序、评审方法和评审标准”</w:t>
      </w:r>
      <w:r>
        <w:rPr>
          <w:rFonts w:ascii="宋体" w:hAnsi="宋体" w:cs="宋体"/>
          <w:color w:val="auto"/>
          <w:szCs w:val="21"/>
          <w:highlight w:val="none"/>
        </w:rPr>
        <w:t>规定的方法、评审因素、标准和程序对</w:t>
      </w:r>
      <w:r>
        <w:rPr>
          <w:rFonts w:hint="eastAsia" w:ascii="宋体" w:hAnsi="宋体" w:cs="宋体"/>
          <w:color w:val="auto"/>
          <w:szCs w:val="21"/>
          <w:highlight w:val="none"/>
        </w:rPr>
        <w:t>响应</w:t>
      </w:r>
      <w:r>
        <w:rPr>
          <w:rFonts w:ascii="宋体" w:hAnsi="宋体" w:cs="宋体"/>
          <w:color w:val="auto"/>
          <w:szCs w:val="21"/>
          <w:highlight w:val="none"/>
        </w:rPr>
        <w:t>文件进行评审</w:t>
      </w:r>
      <w:r>
        <w:rPr>
          <w:rFonts w:hint="eastAsia" w:ascii="宋体" w:hAnsi="宋体" w:cs="宋体"/>
          <w:color w:val="auto"/>
          <w:szCs w:val="21"/>
          <w:highlight w:val="none"/>
        </w:rPr>
        <w:t>并推荐成交候选供应商</w:t>
      </w:r>
      <w:r>
        <w:rPr>
          <w:rFonts w:ascii="宋体" w:hAnsi="宋体" w:cs="宋体"/>
          <w:color w:val="auto"/>
          <w:szCs w:val="21"/>
          <w:highlight w:val="none"/>
        </w:rPr>
        <w:t>。</w:t>
      </w:r>
    </w:p>
    <w:p w14:paraId="4225129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 xml:space="preserve">6.3 </w:t>
      </w:r>
      <w:r>
        <w:rPr>
          <w:rFonts w:hint="eastAsia" w:ascii="宋体" w:hAnsi="宋体"/>
          <w:color w:val="auto"/>
          <w:szCs w:val="21"/>
          <w:highlight w:val="none"/>
        </w:rPr>
        <w:t>商务/技术要求允许负偏离的条款数详见“供应商须知前附表”。</w:t>
      </w:r>
    </w:p>
    <w:p w14:paraId="07C54E9E">
      <w:pPr>
        <w:spacing w:line="360" w:lineRule="auto"/>
        <w:ind w:firstLine="420" w:firstLineChars="200"/>
        <w:rPr>
          <w:rFonts w:ascii="宋体" w:hAnsi="宋体"/>
          <w:color w:val="auto"/>
          <w:szCs w:val="21"/>
          <w:highlight w:val="none"/>
        </w:rPr>
      </w:pPr>
      <w:r>
        <w:rPr>
          <w:rFonts w:hint="eastAsia" w:ascii="宋体" w:hAnsi="宋体" w:cs="宋体"/>
          <w:color w:val="auto"/>
          <w:highlight w:val="none"/>
        </w:rPr>
        <w:t>26.</w:t>
      </w:r>
      <w:r>
        <w:rPr>
          <w:rFonts w:ascii="宋体" w:hAnsi="宋体" w:cs="宋体"/>
          <w:color w:val="auto"/>
          <w:highlight w:val="none"/>
        </w:rPr>
        <w:t>4</w:t>
      </w:r>
      <w:r>
        <w:rPr>
          <w:rFonts w:hint="eastAsia" w:ascii="宋体" w:hAnsi="宋体" w:cs="宋体"/>
          <w:color w:val="auto"/>
          <w:highlight w:val="none"/>
        </w:rPr>
        <w:t>磋商小组成员要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14:paraId="150912A2">
      <w:pPr>
        <w:spacing w:line="360" w:lineRule="auto"/>
        <w:ind w:firstLine="420" w:firstLineChars="200"/>
        <w:rPr>
          <w:rFonts w:hAnsi="宋体"/>
          <w:color w:val="auto"/>
          <w:highlight w:val="none"/>
        </w:rPr>
      </w:pPr>
      <w:r>
        <w:rPr>
          <w:rFonts w:hint="eastAsia" w:ascii="宋体" w:hAnsi="宋体" w:cs="宋体"/>
          <w:color w:val="auto"/>
          <w:highlight w:val="none"/>
        </w:rPr>
        <w:t>2</w:t>
      </w:r>
      <w:r>
        <w:rPr>
          <w:rFonts w:ascii="宋体" w:hAnsi="宋体" w:cs="宋体"/>
          <w:color w:val="auto"/>
          <w:highlight w:val="none"/>
        </w:rPr>
        <w:t>6.5</w:t>
      </w:r>
      <w:r>
        <w:rPr>
          <w:rFonts w:hint="eastAsia" w:hAnsi="宋体"/>
          <w:color w:val="auto"/>
          <w:highlight w:val="none"/>
        </w:rPr>
        <w:t>电子交易活动的中止。采购过程中出现以下情形，导致电子交易平台无法正常运行，或者无法保证电子交易的公平、公正和安全时，采购机构可中止电子交易活动：</w:t>
      </w:r>
    </w:p>
    <w:p w14:paraId="56352C6A">
      <w:pPr>
        <w:spacing w:line="360" w:lineRule="auto"/>
        <w:ind w:firstLine="420" w:firstLineChars="200"/>
        <w:rPr>
          <w:rFonts w:hAnsi="宋体"/>
          <w:color w:val="auto"/>
          <w:highlight w:val="none"/>
        </w:rPr>
      </w:pPr>
      <w:r>
        <w:rPr>
          <w:rFonts w:hint="eastAsia" w:hAnsi="宋体"/>
          <w:color w:val="auto"/>
          <w:highlight w:val="none"/>
        </w:rPr>
        <w:t>（1）电子交易平台发生故障而无法登录访问的；</w:t>
      </w:r>
    </w:p>
    <w:p w14:paraId="29667ECB">
      <w:pPr>
        <w:spacing w:line="360" w:lineRule="auto"/>
        <w:ind w:firstLine="420" w:firstLineChars="200"/>
        <w:rPr>
          <w:rFonts w:hAnsi="宋体"/>
          <w:color w:val="auto"/>
          <w:highlight w:val="none"/>
        </w:rPr>
      </w:pPr>
      <w:r>
        <w:rPr>
          <w:rFonts w:hint="eastAsia" w:hAnsi="宋体"/>
          <w:color w:val="auto"/>
          <w:highlight w:val="none"/>
        </w:rPr>
        <w:t>（2）电子交易平台应用或数据库出现错误，不能进行正常操作的；</w:t>
      </w:r>
    </w:p>
    <w:p w14:paraId="107A0CB6">
      <w:pPr>
        <w:spacing w:line="360" w:lineRule="auto"/>
        <w:ind w:firstLine="420" w:firstLineChars="200"/>
        <w:rPr>
          <w:rFonts w:hAnsi="宋体"/>
          <w:color w:val="auto"/>
          <w:highlight w:val="none"/>
        </w:rPr>
      </w:pPr>
      <w:r>
        <w:rPr>
          <w:rFonts w:hint="eastAsia" w:hAnsi="宋体"/>
          <w:color w:val="auto"/>
          <w:highlight w:val="none"/>
        </w:rPr>
        <w:t>（3）电子交易平台发现严重安全漏洞，有潜在泄密危险的；</w:t>
      </w:r>
    </w:p>
    <w:p w14:paraId="25E0326B">
      <w:pPr>
        <w:spacing w:line="360" w:lineRule="auto"/>
        <w:ind w:firstLine="420" w:firstLineChars="200"/>
        <w:rPr>
          <w:rFonts w:hAnsi="宋体"/>
          <w:color w:val="auto"/>
          <w:highlight w:val="none"/>
        </w:rPr>
      </w:pPr>
      <w:r>
        <w:rPr>
          <w:rFonts w:hint="eastAsia" w:hAnsi="宋体"/>
          <w:color w:val="auto"/>
          <w:highlight w:val="none"/>
        </w:rPr>
        <w:t>（4）病毒发作导致不能进行正常操作的；</w:t>
      </w:r>
    </w:p>
    <w:p w14:paraId="34E10074">
      <w:pPr>
        <w:spacing w:line="360" w:lineRule="auto"/>
        <w:ind w:firstLine="420" w:firstLineChars="200"/>
        <w:rPr>
          <w:rFonts w:hAnsi="宋体"/>
          <w:color w:val="auto"/>
          <w:highlight w:val="none"/>
        </w:rPr>
      </w:pPr>
      <w:r>
        <w:rPr>
          <w:rFonts w:hint="eastAsia" w:hAnsi="宋体"/>
          <w:color w:val="auto"/>
          <w:highlight w:val="none"/>
        </w:rPr>
        <w:t>（5）其他无法保证电子交易的公平、公正和安全的情况。</w:t>
      </w:r>
    </w:p>
    <w:p w14:paraId="3F2192B8">
      <w:pPr>
        <w:spacing w:line="360" w:lineRule="auto"/>
        <w:ind w:firstLine="420" w:firstLineChars="200"/>
        <w:rPr>
          <w:rFonts w:ascii="宋体" w:hAnsi="宋体" w:cs="宋体"/>
          <w:color w:val="auto"/>
          <w:szCs w:val="21"/>
          <w:highlight w:val="none"/>
        </w:rPr>
      </w:pPr>
      <w:r>
        <w:rPr>
          <w:rFonts w:hint="eastAsia" w:ascii="宋体" w:hAnsi="宋体"/>
          <w:color w:val="auto"/>
          <w:highlight w:val="none"/>
        </w:rPr>
        <w:t>26.</w:t>
      </w:r>
      <w:r>
        <w:rPr>
          <w:rFonts w:ascii="宋体" w:hAnsi="宋体"/>
          <w:color w:val="auto"/>
          <w:highlight w:val="none"/>
        </w:rPr>
        <w:t>6</w:t>
      </w:r>
      <w:r>
        <w:rPr>
          <w:rFonts w:hint="eastAsia" w:hAnsi="宋体"/>
          <w:color w:val="auto"/>
          <w:highlight w:val="none"/>
        </w:rPr>
        <w:t>出现以上情形，不影响采购公平、公正性的，采购组织机构可以待上述情形消除后继续组织电子交易活动；影响或可能影响采购公平、公正性的，经采购代理机构确认，报采购人同意后，应当重新采购。采购代理机构必须对原有的资料及信息作出妥善保密处理，并报财政部门备案。</w:t>
      </w:r>
    </w:p>
    <w:p w14:paraId="49D2809A">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27</w:t>
      </w:r>
      <w:r>
        <w:rPr>
          <w:rFonts w:hint="eastAsia" w:ascii="黑体" w:hAnsi="黑体" w:eastAsia="黑体" w:cs="宋体"/>
          <w:b/>
          <w:bCs/>
          <w:color w:val="auto"/>
          <w:sz w:val="24"/>
          <w:highlight w:val="none"/>
        </w:rPr>
        <w:t>.确定成交供应商及结果公告</w:t>
      </w:r>
    </w:p>
    <w:p w14:paraId="245B291E">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27</w:t>
      </w:r>
      <w:r>
        <w:rPr>
          <w:rFonts w:hint="eastAsia" w:ascii="宋体" w:hAnsi="宋体" w:cs="宋体"/>
          <w:color w:val="auto"/>
          <w:szCs w:val="21"/>
          <w:highlight w:val="none"/>
        </w:rPr>
        <w:t>.1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79F3BF65">
      <w:pPr>
        <w:spacing w:line="360" w:lineRule="auto"/>
        <w:ind w:firstLine="420" w:firstLineChars="200"/>
        <w:rPr>
          <w:rFonts w:ascii="宋体" w:hAnsi="宋体" w:cs="Courier New"/>
          <w:color w:val="auto"/>
          <w:szCs w:val="21"/>
          <w:highlight w:val="none"/>
        </w:rPr>
      </w:pPr>
      <w:r>
        <w:rPr>
          <w:rFonts w:ascii="宋体" w:hAnsi="宋体" w:cs="宋体"/>
          <w:color w:val="auto"/>
          <w:szCs w:val="21"/>
          <w:highlight w:val="none"/>
        </w:rPr>
        <w:t>27</w:t>
      </w:r>
      <w:r>
        <w:rPr>
          <w:rFonts w:hint="eastAsia" w:ascii="宋体" w:hAnsi="宋体" w:cs="宋体"/>
          <w:color w:val="auto"/>
          <w:szCs w:val="21"/>
          <w:highlight w:val="none"/>
        </w:rPr>
        <w:t>.2采购代理机构应当在</w:t>
      </w:r>
      <w:r>
        <w:rPr>
          <w:rFonts w:hint="eastAsia" w:ascii="宋体" w:hAnsi="宋体" w:cs="宋体"/>
          <w:color w:val="auto"/>
          <w:kern w:val="0"/>
          <w:szCs w:val="21"/>
          <w:highlight w:val="none"/>
        </w:rPr>
        <w:t>成交</w:t>
      </w:r>
      <w:r>
        <w:rPr>
          <w:rFonts w:hint="eastAsia" w:ascii="宋体" w:hAnsi="宋体" w:cs="宋体"/>
          <w:color w:val="auto"/>
          <w:szCs w:val="21"/>
          <w:highlight w:val="none"/>
        </w:rPr>
        <w:t>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磋商文件一并保存。</w:t>
      </w:r>
      <w:bookmarkStart w:id="90" w:name="_Hlk66782294"/>
      <w:r>
        <w:rPr>
          <w:rFonts w:hint="eastAsia" w:ascii="宋体" w:hAnsi="宋体" w:cs="Courier New"/>
          <w:color w:val="auto"/>
          <w:szCs w:val="21"/>
          <w:highlight w:val="none"/>
        </w:rPr>
        <w:t>成交供应商享受</w:t>
      </w:r>
      <w:r>
        <w:rPr>
          <w:rFonts w:hint="eastAsia" w:ascii="宋体" w:hAnsi="宋体"/>
          <w:color w:val="auto"/>
          <w:szCs w:val="21"/>
          <w:highlight w:val="none"/>
        </w:rPr>
        <w:t>《政府采购促进中小企业发展管理办法》（财库〔2020〕46号）规定的中小企业扶持</w:t>
      </w:r>
      <w:r>
        <w:rPr>
          <w:rFonts w:hint="eastAsia" w:ascii="宋体" w:hAnsi="宋体" w:cs="Courier New"/>
          <w:color w:val="auto"/>
          <w:szCs w:val="21"/>
          <w:highlight w:val="none"/>
        </w:rPr>
        <w:t>政策的，采购人、采购代理机构应当随成交结果公开成交供应商的《中小企业声明函》。</w:t>
      </w:r>
      <w:bookmarkEnd w:id="90"/>
    </w:p>
    <w:p w14:paraId="6458FE1B">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27.3出现下列情形之一的，采购人或者采购代理机构应当终止竞争性磋商采购活动，发布项目终止公告并说明原因，重新开展采购活动：</w:t>
      </w:r>
    </w:p>
    <w:p w14:paraId="1D0C1E75">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（1）因情况变化，不再符合规定的竞争性磋商采购方式适用情形的；</w:t>
      </w:r>
    </w:p>
    <w:p w14:paraId="14F3B349">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（2）出现影响采购公正的违法、违规行为的；</w:t>
      </w:r>
    </w:p>
    <w:p w14:paraId="10F92595">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（3）除“第四章 评审程序、评审方法和评审标准”第4.3条规定的情形外，在采购过程中符合要求的供应商或者报价未超过采购预算的供应商不足3家的。</w:t>
      </w:r>
    </w:p>
    <w:p w14:paraId="45A1111E">
      <w:pPr>
        <w:spacing w:line="360" w:lineRule="auto"/>
        <w:ind w:firstLine="420" w:firstLineChars="200"/>
        <w:rPr>
          <w:rFonts w:ascii="宋体" w:hAnsi="宋体" w:cs="宋体"/>
          <w:color w:val="auto"/>
          <w:szCs w:val="21"/>
          <w:highlight w:val="none"/>
        </w:rPr>
      </w:pPr>
      <w:r>
        <w:rPr>
          <w:rFonts w:hint="eastAsia" w:ascii="宋体" w:hAnsi="宋体" w:cs="Courier New"/>
          <w:color w:val="auto"/>
          <w:szCs w:val="21"/>
          <w:highlight w:val="none"/>
        </w:rPr>
        <w:t>27.4 在采购活动中因重大变故，采购任务取消的，采购人或者采购代理机构应当终止采购活动，通知所有参加采购活动的供应商，并将项目实施情况和采购任务取消原因报送本级财政部门。</w:t>
      </w:r>
    </w:p>
    <w:p w14:paraId="54B853D5">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28</w:t>
      </w:r>
      <w:r>
        <w:rPr>
          <w:rFonts w:hint="eastAsia" w:ascii="黑体" w:hAnsi="黑体" w:eastAsia="黑体" w:cs="宋体"/>
          <w:b/>
          <w:bCs/>
          <w:color w:val="auto"/>
          <w:sz w:val="24"/>
          <w:highlight w:val="none"/>
        </w:rPr>
        <w:t>.履约保证金</w:t>
      </w:r>
    </w:p>
    <w:p w14:paraId="07FD379B">
      <w:pPr>
        <w:spacing w:line="360" w:lineRule="auto"/>
        <w:ind w:firstLine="424" w:firstLineChars="202"/>
        <w:rPr>
          <w:rFonts w:ascii="宋体" w:hAnsi="宋体" w:cs="宋体"/>
          <w:color w:val="auto"/>
          <w:szCs w:val="21"/>
          <w:highlight w:val="none"/>
        </w:rPr>
      </w:pPr>
      <w:r>
        <w:rPr>
          <w:rFonts w:ascii="宋体" w:hAnsi="宋体" w:cs="宋体"/>
          <w:color w:val="auto"/>
          <w:szCs w:val="21"/>
          <w:highlight w:val="none"/>
        </w:rPr>
        <w:t>28</w:t>
      </w:r>
      <w:r>
        <w:rPr>
          <w:rFonts w:hint="eastAsia" w:ascii="宋体" w:hAnsi="宋体" w:cs="宋体"/>
          <w:color w:val="auto"/>
          <w:szCs w:val="21"/>
          <w:highlight w:val="none"/>
        </w:rPr>
        <w:t>.1履约保证金的金额、提交方式、退付的时间和条件详见 “供应商须知前附表”。成交供应商未按规定提交履约保证金的，视为拒绝</w:t>
      </w:r>
      <w:r>
        <w:rPr>
          <w:rFonts w:ascii="宋体" w:hAnsi="宋体"/>
          <w:color w:val="auto"/>
          <w:highlight w:val="none"/>
        </w:rPr>
        <w:t>与采购人</w:t>
      </w:r>
      <w:r>
        <w:rPr>
          <w:rFonts w:hint="eastAsia" w:ascii="宋体" w:hAnsi="宋体" w:cs="宋体"/>
          <w:color w:val="auto"/>
          <w:szCs w:val="21"/>
          <w:highlight w:val="none"/>
        </w:rPr>
        <w:t>签订合同，采购人可以按照评审报告推荐的成交候选人名单排序，确定下一候选人为成交供应商，也可以重新开展政府采购活动。</w:t>
      </w:r>
    </w:p>
    <w:p w14:paraId="15BC35F8">
      <w:pPr>
        <w:spacing w:line="360" w:lineRule="auto"/>
        <w:ind w:firstLine="424" w:firstLineChars="202"/>
        <w:rPr>
          <w:rFonts w:ascii="宋体" w:hAnsi="宋体" w:cs="宋体"/>
          <w:color w:val="auto"/>
          <w:szCs w:val="21"/>
          <w:highlight w:val="none"/>
        </w:rPr>
      </w:pPr>
      <w:r>
        <w:rPr>
          <w:rFonts w:ascii="宋体" w:hAnsi="宋体" w:cs="宋体"/>
          <w:color w:val="auto"/>
          <w:szCs w:val="21"/>
          <w:highlight w:val="none"/>
        </w:rPr>
        <w:t>28</w:t>
      </w:r>
      <w:r>
        <w:rPr>
          <w:rFonts w:hint="eastAsia" w:ascii="宋体" w:hAnsi="宋体" w:cs="宋体"/>
          <w:color w:val="auto"/>
          <w:szCs w:val="21"/>
          <w:highlight w:val="none"/>
        </w:rPr>
        <w:t>.2在履约保证金退还日期前，若成交供应商的开户名称、开户银行、账号有变动的，请以书面形式通知履约保证金收取单位，否则由此产生的后果由成交供应商自行承担。</w:t>
      </w:r>
    </w:p>
    <w:p w14:paraId="5533ED22">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29</w:t>
      </w:r>
      <w:r>
        <w:rPr>
          <w:rFonts w:hint="eastAsia" w:ascii="黑体" w:hAnsi="黑体" w:eastAsia="黑体" w:cs="宋体"/>
          <w:b/>
          <w:bCs/>
          <w:color w:val="auto"/>
          <w:sz w:val="24"/>
          <w:highlight w:val="none"/>
        </w:rPr>
        <w:t>.签订合同</w:t>
      </w:r>
    </w:p>
    <w:p w14:paraId="1BCD41A6">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29.1签订电子采购合同：成交供应商领取成交通知书后，在</w:t>
      </w:r>
      <w:r>
        <w:rPr>
          <w:rFonts w:hint="eastAsia" w:ascii="宋体" w:hAnsi="宋体" w:cs="宋体"/>
          <w:color w:val="auto"/>
          <w:szCs w:val="21"/>
          <w:highlight w:val="none"/>
          <w:lang w:val="zh-CN"/>
        </w:rPr>
        <w:t>规定的日期、时间、地点，由法定代表人或其授权代表与采购人代表签订电子采购合同。如成交供应商为联合体的，由联合体成员各方法定代表人或其授权代表与采购人代表签订合同。</w:t>
      </w:r>
    </w:p>
    <w:p w14:paraId="1A3ACDA5">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29.2签订合同时间：按成交通知书规定的时间与采购人签订合同。</w:t>
      </w:r>
    </w:p>
    <w:p w14:paraId="3589E10F">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w:t>
      </w:r>
      <w:r>
        <w:rPr>
          <w:rFonts w:ascii="宋体" w:hAnsi="宋体" w:cs="宋体"/>
          <w:color w:val="auto"/>
          <w:szCs w:val="21"/>
          <w:highlight w:val="none"/>
        </w:rPr>
        <w:t>3</w:t>
      </w:r>
      <w:r>
        <w:rPr>
          <w:rFonts w:hint="eastAsia" w:ascii="宋体" w:hAnsi="宋体" w:cs="宋体"/>
          <w:color w:val="auto"/>
          <w:szCs w:val="21"/>
          <w:highlight w:val="none"/>
        </w:rPr>
        <w:t>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交供应商可追究采购人承担相应的法律责任。</w:t>
      </w:r>
    </w:p>
    <w:p w14:paraId="28C9629F">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29.4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10CC0F9A">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29.5采购人或成交供应商不得单方面向合同另一方提出任何磋商文件没有约定的条件或不合理的要求，作为签订合同的条件；也不得协商另行订立背离磋商文件和合同实质性内容的协议。</w:t>
      </w:r>
    </w:p>
    <w:p w14:paraId="7D495209">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29.6如签订合同并生效后，供应商无故拒绝或延期，除按照合同条款处理外，将承担相应的法律责任。</w:t>
      </w:r>
    </w:p>
    <w:p w14:paraId="73B6599E">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29.7政府采购合同履行中，采购人需追加与合同标的相同的货物、工程或者服务的，在不改变合同其他条款的前提下，可以与供应商协商签订补充合同，但所有补充合同的采购金额不得超过原合同采购金额的10%。</w:t>
      </w:r>
    </w:p>
    <w:p w14:paraId="6D29E4FA">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30</w:t>
      </w:r>
      <w:r>
        <w:rPr>
          <w:rFonts w:hint="eastAsia" w:ascii="黑体" w:hAnsi="黑体" w:eastAsia="黑体" w:cs="宋体"/>
          <w:b/>
          <w:bCs/>
          <w:color w:val="auto"/>
          <w:sz w:val="24"/>
          <w:highlight w:val="none"/>
        </w:rPr>
        <w:t>.政府采购合同公告</w:t>
      </w:r>
    </w:p>
    <w:p w14:paraId="18652FB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78FF51B6">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31</w:t>
      </w:r>
      <w:r>
        <w:rPr>
          <w:rFonts w:hint="eastAsia" w:ascii="黑体" w:hAnsi="黑体" w:eastAsia="黑体" w:cs="宋体"/>
          <w:b/>
          <w:bCs/>
          <w:color w:val="auto"/>
          <w:sz w:val="24"/>
          <w:highlight w:val="none"/>
        </w:rPr>
        <w:t>. 询问、质疑和投诉</w:t>
      </w:r>
    </w:p>
    <w:p w14:paraId="4DDD43CE">
      <w:pPr>
        <w:pStyle w:val="7"/>
        <w:spacing w:line="360" w:lineRule="auto"/>
        <w:rPr>
          <w:rFonts w:ascii="宋体" w:hAnsi="宋体"/>
          <w:color w:val="auto"/>
          <w:szCs w:val="21"/>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.1供应商对政府采购活动事项有疑问的，可以向采购人、采购代理机构提出询问，采购人或者采购代理机构应当在3个工作日内对供应商依法提出的询问作出答复，</w:t>
      </w:r>
      <w:r>
        <w:rPr>
          <w:rFonts w:hint="eastAsia" w:ascii="宋体" w:hAnsi="宋体"/>
          <w:color w:val="auto"/>
          <w:szCs w:val="21"/>
          <w:highlight w:val="none"/>
        </w:rPr>
        <w:t>但答复的内容不得涉及商业秘密</w:t>
      </w:r>
      <w:r>
        <w:rPr>
          <w:rFonts w:hint="eastAsia" w:ascii="宋体" w:hAnsi="宋体" w:cs="宋体"/>
          <w:color w:val="auto"/>
          <w:highlight w:val="none"/>
        </w:rPr>
        <w:t>。</w:t>
      </w:r>
    </w:p>
    <w:p w14:paraId="7DDA146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.2供应商认为磋商文件、采购过程或者成交结果使自己的合法权益受到损害的，应当在知道或者应知其权益受到损害之日起7个工作日内，以书面形式向采购人、采购代理机构提出质疑，</w:t>
      </w:r>
      <w:r>
        <w:rPr>
          <w:rFonts w:ascii="宋体" w:hAnsi="宋体" w:cs="Arial"/>
          <w:color w:val="auto"/>
          <w:highlight w:val="none"/>
          <w:shd w:val="clear" w:color="auto" w:fill="FFFFFF"/>
        </w:rPr>
        <w:t>接收质疑函的方式、联系部门、联系电话和通讯地址等信息</w:t>
      </w:r>
      <w:r>
        <w:rPr>
          <w:rFonts w:hint="eastAsia" w:ascii="宋体" w:hAnsi="宋体" w:cs="Arial"/>
          <w:color w:val="auto"/>
          <w:highlight w:val="none"/>
          <w:shd w:val="clear" w:color="auto" w:fill="FFFFFF"/>
        </w:rPr>
        <w:t>详见</w:t>
      </w:r>
      <w:r>
        <w:rPr>
          <w:rFonts w:hint="eastAsia" w:ascii="宋体" w:hAnsi="宋体" w:cs="宋体"/>
          <w:color w:val="auto"/>
          <w:szCs w:val="21"/>
          <w:highlight w:val="none"/>
        </w:rPr>
        <w:t>“供应商须知前附表”</w:t>
      </w:r>
      <w:r>
        <w:rPr>
          <w:rFonts w:hint="eastAsia" w:ascii="宋体" w:hAnsi="宋体" w:cs="宋体"/>
          <w:color w:val="auto"/>
          <w:highlight w:val="none"/>
        </w:rPr>
        <w:t>。具体质疑起算时间如下：</w:t>
      </w:r>
    </w:p>
    <w:p w14:paraId="6C1346B5">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（1）对可以质疑的磋商文件提出质疑的，为获取磋商文件之日或者</w:t>
      </w:r>
      <w:r>
        <w:rPr>
          <w:rFonts w:hint="eastAsia" w:ascii="宋体" w:hAnsi="宋体"/>
          <w:color w:val="auto"/>
          <w:highlight w:val="none"/>
        </w:rPr>
        <w:t>竞争性磋商公告期限届满之日</w:t>
      </w:r>
      <w:r>
        <w:rPr>
          <w:rFonts w:hint="eastAsia" w:ascii="宋体" w:hAnsi="宋体" w:cs="宋体"/>
          <w:color w:val="auto"/>
          <w:highlight w:val="none"/>
        </w:rPr>
        <w:t>；</w:t>
      </w:r>
    </w:p>
    <w:p w14:paraId="6DFB2B41">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（2）对采购过程提出质疑的，为各采购程序环节结束之日；</w:t>
      </w:r>
    </w:p>
    <w:p w14:paraId="781BAF99">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（3）对成交结果提出质疑的，为成交结果公告期限届满之日。</w:t>
      </w:r>
    </w:p>
    <w:p w14:paraId="142BF28C">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3AAD8F61">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.4 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057761A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328F455E">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（2）质疑项目的名称、编号；</w:t>
      </w:r>
    </w:p>
    <w:p w14:paraId="767FCA09">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（3）具体、明确的质疑事项和与质疑事项相关的请求；</w:t>
      </w:r>
    </w:p>
    <w:p w14:paraId="170DAAA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（4）事实依据；</w:t>
      </w:r>
    </w:p>
    <w:p w14:paraId="212AA2C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（5）必要的法律依据；</w:t>
      </w:r>
    </w:p>
    <w:p w14:paraId="5021AE47">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（6）提出质疑的日期。</w:t>
      </w:r>
    </w:p>
    <w:p w14:paraId="2D91AFB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7E5A7F57">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1.5</w:t>
      </w:r>
      <w:r>
        <w:rPr>
          <w:rFonts w:hint="eastAsia" w:ascii="宋体" w:hAnsi="宋体" w:cs="宋体"/>
          <w:color w:val="auto"/>
          <w:highlight w:val="none"/>
        </w:rPr>
        <w:t>采购人、采购代理机构认为供应商质疑不成立，或者成立但未对成交结果构成影响的，继续开展采购活动；认为供应商质疑成立且影响或者可能影响成交结果的，按照下列情况处理：</w:t>
      </w:r>
    </w:p>
    <w:p w14:paraId="2D0D2AEA">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1</w:t>
      </w:r>
      <w:r>
        <w:rPr>
          <w:rFonts w:hint="eastAsia" w:ascii="宋体" w:hAnsi="宋体" w:cs="宋体"/>
          <w:color w:val="auto"/>
          <w:highlight w:val="none"/>
        </w:rPr>
        <w:t>）对采购文件提出的质疑，依法通过澄清或者修改可以继续开展采购活动的，澄清或者修改采购文件后继续开展采购活动；否则应当修改采购文件后重新开展采购活动。</w:t>
      </w:r>
    </w:p>
    <w:p w14:paraId="2E079781">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2</w:t>
      </w:r>
      <w:r>
        <w:rPr>
          <w:rFonts w:hint="eastAsia" w:ascii="宋体" w:hAnsi="宋体" w:cs="宋体"/>
          <w:color w:val="auto"/>
          <w:highlight w:val="none"/>
        </w:rPr>
        <w:t>）对采购过程或者成交结果提出的质疑，合格供应商符合法定数量时，可以从合格的成交候选人中另行确定成交供应商的，应当依法另行确定成交供应商；否则应当重新开展采购活动。</w:t>
      </w:r>
    </w:p>
    <w:p w14:paraId="0F3867CB">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1F2AEE48">
      <w:pPr>
        <w:spacing w:line="360" w:lineRule="auto"/>
        <w:ind w:firstLine="420" w:firstLineChars="200"/>
        <w:rPr>
          <w:rFonts w:ascii="宋体" w:hAnsi="宋体" w:cs="宋体"/>
          <w:color w:val="auto"/>
          <w:szCs w:val="21"/>
          <w:highlight w:val="none"/>
        </w:rPr>
      </w:pPr>
      <w:r>
        <w:rPr>
          <w:rFonts w:ascii="宋体" w:hAnsi="宋体" w:cs="宋体"/>
          <w:color w:val="auto"/>
          <w:highlight w:val="none"/>
        </w:rPr>
        <w:t>31</w:t>
      </w:r>
      <w:r>
        <w:rPr>
          <w:rFonts w:hint="eastAsia" w:ascii="宋体" w:hAnsi="宋体" w:cs="宋体"/>
          <w:color w:val="auto"/>
          <w:highlight w:val="none"/>
        </w:rPr>
        <w:t>.</w:t>
      </w:r>
      <w:r>
        <w:rPr>
          <w:rFonts w:ascii="宋体" w:hAnsi="宋体" w:cs="宋体"/>
          <w:color w:val="auto"/>
          <w:highlight w:val="none"/>
        </w:rPr>
        <w:t>6</w:t>
      </w:r>
      <w:r>
        <w:rPr>
          <w:rFonts w:hint="eastAsia" w:ascii="宋体" w:hAnsi="宋体" w:cs="宋体"/>
          <w:color w:val="auto"/>
          <w:highlight w:val="none"/>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5C84BAAF">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32</w:t>
      </w:r>
      <w:r>
        <w:rPr>
          <w:rFonts w:hint="eastAsia" w:ascii="黑体" w:hAnsi="黑体" w:eastAsia="黑体" w:cs="宋体"/>
          <w:b/>
          <w:bCs/>
          <w:color w:val="auto"/>
          <w:sz w:val="24"/>
          <w:highlight w:val="none"/>
        </w:rPr>
        <w:t>.其他内容</w:t>
      </w:r>
    </w:p>
    <w:p w14:paraId="5E4FC6DE">
      <w:pPr>
        <w:tabs>
          <w:tab w:val="left" w:pos="2835"/>
        </w:tabs>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32</w:t>
      </w:r>
      <w:r>
        <w:rPr>
          <w:rFonts w:hint="eastAsia" w:ascii="宋体" w:hAnsi="宋体" w:cs="宋体"/>
          <w:color w:val="auto"/>
          <w:szCs w:val="21"/>
          <w:highlight w:val="none"/>
        </w:rPr>
        <w:t>.1代理服务收取标准及缴费账户详见“供应商须知前附表”，供应商为联合体的，可以由联合体中的一方或者多方共同交纳代理服务费。</w:t>
      </w:r>
    </w:p>
    <w:p w14:paraId="2A33FD40">
      <w:pPr>
        <w:tabs>
          <w:tab w:val="left" w:pos="2835"/>
        </w:tabs>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32.2</w:t>
      </w:r>
      <w:r>
        <w:rPr>
          <w:rFonts w:hint="eastAsia" w:ascii="宋体" w:hAnsi="宋体" w:cs="宋体"/>
          <w:color w:val="auto"/>
          <w:szCs w:val="21"/>
          <w:highlight w:val="none"/>
        </w:rPr>
        <w:t>代理服务费收费计算标准：</w:t>
      </w:r>
    </w:p>
    <w:tbl>
      <w:tblPr>
        <w:tblStyle w:val="44"/>
        <w:tblW w:w="820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532"/>
        <w:gridCol w:w="1546"/>
      </w:tblGrid>
      <w:tr w14:paraId="207EC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tcPr>
          <w:p w14:paraId="5E570120">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费率</w:t>
            </w:r>
          </w:p>
          <w:p w14:paraId="6D3CFED4">
            <w:pPr>
              <w:spacing w:line="360" w:lineRule="auto"/>
              <w:rPr>
                <w:rFonts w:ascii="宋体" w:hAnsi="宋体" w:cs="宋体"/>
                <w:color w:val="auto"/>
                <w:szCs w:val="21"/>
                <w:highlight w:val="none"/>
              </w:rPr>
            </w:pPr>
            <w:r>
              <w:rPr>
                <w:rFonts w:hint="eastAsia" w:ascii="宋体" w:hAnsi="宋体" w:cs="宋体"/>
                <w:color w:val="auto"/>
                <w:szCs w:val="21"/>
                <w:highlight w:val="none"/>
              </w:rPr>
              <w:t>金额（人民币）</w:t>
            </w:r>
          </w:p>
        </w:tc>
        <w:tc>
          <w:tcPr>
            <w:tcW w:w="1659" w:type="dxa"/>
            <w:vAlign w:val="center"/>
          </w:tcPr>
          <w:p w14:paraId="789BDD86">
            <w:pPr>
              <w:spacing w:line="360" w:lineRule="auto"/>
              <w:ind w:firstLine="105" w:firstLineChars="50"/>
              <w:jc w:val="center"/>
              <w:rPr>
                <w:rFonts w:ascii="宋体" w:hAnsi="宋体" w:cs="宋体"/>
                <w:color w:val="auto"/>
                <w:szCs w:val="21"/>
                <w:highlight w:val="none"/>
              </w:rPr>
            </w:pPr>
            <w:r>
              <w:rPr>
                <w:rFonts w:hint="eastAsia" w:ascii="宋体" w:hAnsi="宋体" w:cs="宋体"/>
                <w:color w:val="auto"/>
                <w:szCs w:val="21"/>
                <w:highlight w:val="none"/>
              </w:rPr>
              <w:t>货物类</w:t>
            </w:r>
          </w:p>
        </w:tc>
        <w:tc>
          <w:tcPr>
            <w:tcW w:w="1532" w:type="dxa"/>
            <w:vAlign w:val="center"/>
          </w:tcPr>
          <w:p w14:paraId="0F18DE06">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服务类</w:t>
            </w:r>
          </w:p>
        </w:tc>
        <w:tc>
          <w:tcPr>
            <w:tcW w:w="1546" w:type="dxa"/>
            <w:vAlign w:val="center"/>
          </w:tcPr>
          <w:p w14:paraId="254C3FE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工程类</w:t>
            </w:r>
          </w:p>
        </w:tc>
      </w:tr>
      <w:tr w14:paraId="02A45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7039C68F">
            <w:pPr>
              <w:spacing w:line="360" w:lineRule="auto"/>
              <w:rPr>
                <w:rFonts w:ascii="宋体" w:hAnsi="宋体" w:cs="宋体"/>
                <w:color w:val="auto"/>
                <w:szCs w:val="21"/>
                <w:highlight w:val="none"/>
              </w:rPr>
            </w:pPr>
            <w:r>
              <w:rPr>
                <w:rFonts w:hint="eastAsia" w:ascii="宋体" w:hAnsi="宋体" w:cs="宋体"/>
                <w:color w:val="auto"/>
                <w:szCs w:val="21"/>
                <w:highlight w:val="none"/>
              </w:rPr>
              <w:t>100万元以下</w:t>
            </w:r>
          </w:p>
        </w:tc>
        <w:tc>
          <w:tcPr>
            <w:tcW w:w="1659" w:type="dxa"/>
          </w:tcPr>
          <w:p w14:paraId="27DAB1F0">
            <w:pPr>
              <w:spacing w:line="360" w:lineRule="auto"/>
              <w:rPr>
                <w:rFonts w:ascii="宋体" w:hAnsi="宋体" w:cs="宋体"/>
                <w:color w:val="auto"/>
                <w:szCs w:val="21"/>
                <w:highlight w:val="none"/>
              </w:rPr>
            </w:pPr>
            <w:r>
              <w:rPr>
                <w:rFonts w:hint="eastAsia" w:ascii="宋体" w:hAnsi="宋体" w:cs="宋体"/>
                <w:color w:val="auto"/>
                <w:kern w:val="0"/>
                <w:szCs w:val="21"/>
                <w:highlight w:val="none"/>
              </w:rPr>
              <w:t xml:space="preserve">  1.5%                </w:t>
            </w:r>
          </w:p>
        </w:tc>
        <w:tc>
          <w:tcPr>
            <w:tcW w:w="1532" w:type="dxa"/>
          </w:tcPr>
          <w:p w14:paraId="529D24BC">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1.5%</w:t>
            </w:r>
          </w:p>
        </w:tc>
        <w:tc>
          <w:tcPr>
            <w:tcW w:w="1546" w:type="dxa"/>
          </w:tcPr>
          <w:p w14:paraId="7F91E6B4">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 xml:space="preserve">1.0% </w:t>
            </w:r>
          </w:p>
        </w:tc>
      </w:tr>
      <w:tr w14:paraId="48655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4FB93BB9">
            <w:pPr>
              <w:spacing w:line="360" w:lineRule="auto"/>
              <w:rPr>
                <w:rFonts w:ascii="宋体" w:hAnsi="宋体" w:cs="宋体"/>
                <w:color w:val="auto"/>
                <w:szCs w:val="21"/>
                <w:highlight w:val="none"/>
              </w:rPr>
            </w:pPr>
            <w:r>
              <w:rPr>
                <w:rFonts w:hint="eastAsia" w:ascii="宋体" w:hAnsi="宋体" w:cs="宋体"/>
                <w:color w:val="auto"/>
                <w:szCs w:val="21"/>
                <w:highlight w:val="none"/>
              </w:rPr>
              <w:t>100～500万元</w:t>
            </w:r>
          </w:p>
        </w:tc>
        <w:tc>
          <w:tcPr>
            <w:tcW w:w="1659" w:type="dxa"/>
          </w:tcPr>
          <w:p w14:paraId="67333561">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 xml:space="preserve">1.1%                 </w:t>
            </w:r>
          </w:p>
        </w:tc>
        <w:tc>
          <w:tcPr>
            <w:tcW w:w="1532" w:type="dxa"/>
          </w:tcPr>
          <w:p w14:paraId="1BD6417A">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0.8%</w:t>
            </w:r>
          </w:p>
        </w:tc>
        <w:tc>
          <w:tcPr>
            <w:tcW w:w="1546" w:type="dxa"/>
          </w:tcPr>
          <w:p w14:paraId="5A4C7ABE">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 xml:space="preserve">0.7% </w:t>
            </w:r>
          </w:p>
        </w:tc>
      </w:tr>
      <w:tr w14:paraId="3010D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6ACCA186">
            <w:pPr>
              <w:spacing w:line="360" w:lineRule="auto"/>
              <w:rPr>
                <w:rFonts w:ascii="宋体" w:hAnsi="宋体" w:cs="宋体"/>
                <w:color w:val="auto"/>
                <w:szCs w:val="21"/>
                <w:highlight w:val="none"/>
              </w:rPr>
            </w:pPr>
            <w:r>
              <w:rPr>
                <w:rFonts w:hint="eastAsia" w:ascii="宋体" w:hAnsi="宋体" w:cs="宋体"/>
                <w:color w:val="auto"/>
                <w:szCs w:val="21"/>
                <w:highlight w:val="none"/>
              </w:rPr>
              <w:t>500～1000万元</w:t>
            </w:r>
          </w:p>
        </w:tc>
        <w:tc>
          <w:tcPr>
            <w:tcW w:w="1659" w:type="dxa"/>
          </w:tcPr>
          <w:p w14:paraId="75CF0134">
            <w:pPr>
              <w:spacing w:line="360" w:lineRule="auto"/>
              <w:rPr>
                <w:rFonts w:ascii="宋体" w:hAnsi="宋体" w:cs="宋体"/>
                <w:color w:val="auto"/>
                <w:szCs w:val="21"/>
                <w:highlight w:val="none"/>
              </w:rPr>
            </w:pPr>
            <w:r>
              <w:rPr>
                <w:rFonts w:hint="eastAsia" w:ascii="宋体" w:hAnsi="宋体" w:cs="宋体"/>
                <w:color w:val="auto"/>
                <w:kern w:val="0"/>
                <w:szCs w:val="21"/>
                <w:highlight w:val="none"/>
              </w:rPr>
              <w:t xml:space="preserve">  0.8%                </w:t>
            </w:r>
          </w:p>
        </w:tc>
        <w:tc>
          <w:tcPr>
            <w:tcW w:w="1532" w:type="dxa"/>
          </w:tcPr>
          <w:p w14:paraId="54B23A80">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0.45%</w:t>
            </w:r>
          </w:p>
        </w:tc>
        <w:tc>
          <w:tcPr>
            <w:tcW w:w="1546" w:type="dxa"/>
          </w:tcPr>
          <w:p w14:paraId="7D377F5C">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0.55%</w:t>
            </w:r>
          </w:p>
        </w:tc>
      </w:tr>
      <w:tr w14:paraId="34229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1C0B9E12">
            <w:pPr>
              <w:spacing w:line="360" w:lineRule="auto"/>
              <w:rPr>
                <w:rFonts w:ascii="宋体" w:hAnsi="宋体" w:cs="宋体"/>
                <w:color w:val="auto"/>
                <w:szCs w:val="21"/>
                <w:highlight w:val="none"/>
              </w:rPr>
            </w:pPr>
            <w:r>
              <w:rPr>
                <w:rFonts w:hint="eastAsia" w:ascii="宋体" w:hAnsi="宋体" w:cs="宋体"/>
                <w:color w:val="auto"/>
                <w:szCs w:val="21"/>
                <w:highlight w:val="none"/>
              </w:rPr>
              <w:t>1000～5000万元</w:t>
            </w:r>
          </w:p>
        </w:tc>
        <w:tc>
          <w:tcPr>
            <w:tcW w:w="1659" w:type="dxa"/>
          </w:tcPr>
          <w:p w14:paraId="1B7E5FC4">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 xml:space="preserve">0.5%                </w:t>
            </w:r>
          </w:p>
        </w:tc>
        <w:tc>
          <w:tcPr>
            <w:tcW w:w="1532" w:type="dxa"/>
          </w:tcPr>
          <w:p w14:paraId="432C601D">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0.25%</w:t>
            </w:r>
          </w:p>
        </w:tc>
        <w:tc>
          <w:tcPr>
            <w:tcW w:w="1546" w:type="dxa"/>
          </w:tcPr>
          <w:p w14:paraId="01B9B096">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 xml:space="preserve">0.35% </w:t>
            </w:r>
          </w:p>
        </w:tc>
      </w:tr>
      <w:tr w14:paraId="6E9FC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00529DBF">
            <w:pPr>
              <w:spacing w:line="360" w:lineRule="auto"/>
              <w:rPr>
                <w:rFonts w:ascii="宋体" w:hAnsi="宋体" w:cs="宋体"/>
                <w:color w:val="auto"/>
                <w:szCs w:val="21"/>
                <w:highlight w:val="none"/>
              </w:rPr>
            </w:pPr>
            <w:r>
              <w:rPr>
                <w:rFonts w:hint="eastAsia" w:ascii="宋体" w:hAnsi="宋体" w:cs="宋体"/>
                <w:color w:val="auto"/>
                <w:szCs w:val="21"/>
                <w:highlight w:val="none"/>
              </w:rPr>
              <w:t>5000万元～1亿元</w:t>
            </w:r>
          </w:p>
        </w:tc>
        <w:tc>
          <w:tcPr>
            <w:tcW w:w="1659" w:type="dxa"/>
          </w:tcPr>
          <w:p w14:paraId="0E9680B9">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 xml:space="preserve">0.25%                 </w:t>
            </w:r>
          </w:p>
        </w:tc>
        <w:tc>
          <w:tcPr>
            <w:tcW w:w="1532" w:type="dxa"/>
          </w:tcPr>
          <w:p w14:paraId="60C25247">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0.1%</w:t>
            </w:r>
          </w:p>
        </w:tc>
        <w:tc>
          <w:tcPr>
            <w:tcW w:w="1546" w:type="dxa"/>
          </w:tcPr>
          <w:p w14:paraId="3DA00DDC">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0.2%</w:t>
            </w:r>
          </w:p>
        </w:tc>
      </w:tr>
      <w:tr w14:paraId="58DBC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0A7718FE">
            <w:pPr>
              <w:spacing w:line="360" w:lineRule="auto"/>
              <w:rPr>
                <w:rFonts w:ascii="宋体" w:hAnsi="宋体" w:cs="宋体"/>
                <w:color w:val="auto"/>
                <w:szCs w:val="21"/>
                <w:highlight w:val="none"/>
              </w:rPr>
            </w:pPr>
            <w:r>
              <w:rPr>
                <w:rFonts w:hint="eastAsia" w:ascii="宋体" w:hAnsi="宋体" w:cs="宋体"/>
                <w:color w:val="auto"/>
                <w:szCs w:val="21"/>
                <w:highlight w:val="none"/>
              </w:rPr>
              <w:t>1～5亿元</w:t>
            </w:r>
          </w:p>
        </w:tc>
        <w:tc>
          <w:tcPr>
            <w:tcW w:w="1659" w:type="dxa"/>
          </w:tcPr>
          <w:p w14:paraId="6DC5DD9D">
            <w:pPr>
              <w:spacing w:line="36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0.05%</w:t>
            </w:r>
          </w:p>
        </w:tc>
        <w:tc>
          <w:tcPr>
            <w:tcW w:w="1532" w:type="dxa"/>
          </w:tcPr>
          <w:p w14:paraId="655A6BD6">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0.05%</w:t>
            </w:r>
          </w:p>
        </w:tc>
        <w:tc>
          <w:tcPr>
            <w:tcW w:w="1546" w:type="dxa"/>
          </w:tcPr>
          <w:p w14:paraId="5B39E2A8">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0.05%</w:t>
            </w:r>
          </w:p>
        </w:tc>
      </w:tr>
      <w:tr w14:paraId="3E131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24E45C6D">
            <w:pPr>
              <w:spacing w:line="360" w:lineRule="auto"/>
              <w:rPr>
                <w:rFonts w:ascii="宋体" w:hAnsi="宋体" w:cs="宋体"/>
                <w:color w:val="auto"/>
                <w:szCs w:val="21"/>
                <w:highlight w:val="none"/>
              </w:rPr>
            </w:pPr>
            <w:r>
              <w:rPr>
                <w:rFonts w:hint="eastAsia" w:ascii="宋体" w:hAnsi="宋体" w:cs="宋体"/>
                <w:color w:val="auto"/>
                <w:szCs w:val="21"/>
                <w:highlight w:val="none"/>
              </w:rPr>
              <w:t>5～10亿元</w:t>
            </w:r>
          </w:p>
        </w:tc>
        <w:tc>
          <w:tcPr>
            <w:tcW w:w="1659" w:type="dxa"/>
          </w:tcPr>
          <w:p w14:paraId="126450E3">
            <w:pPr>
              <w:spacing w:line="360" w:lineRule="auto"/>
              <w:ind w:firstLine="105" w:firstLineChars="50"/>
              <w:rPr>
                <w:rFonts w:ascii="宋体" w:hAnsi="宋体" w:cs="宋体"/>
                <w:color w:val="auto"/>
                <w:szCs w:val="21"/>
                <w:highlight w:val="none"/>
              </w:rPr>
            </w:pPr>
            <w:r>
              <w:rPr>
                <w:rFonts w:hint="eastAsia" w:ascii="宋体" w:hAnsi="宋体" w:cs="宋体"/>
                <w:color w:val="auto"/>
                <w:szCs w:val="21"/>
                <w:highlight w:val="none"/>
              </w:rPr>
              <w:t>0.035%</w:t>
            </w:r>
          </w:p>
        </w:tc>
        <w:tc>
          <w:tcPr>
            <w:tcW w:w="1532" w:type="dxa"/>
          </w:tcPr>
          <w:p w14:paraId="0E8E76BE">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0.035%</w:t>
            </w:r>
          </w:p>
        </w:tc>
        <w:tc>
          <w:tcPr>
            <w:tcW w:w="1546" w:type="dxa"/>
          </w:tcPr>
          <w:p w14:paraId="2674593A">
            <w:pPr>
              <w:spacing w:line="360" w:lineRule="auto"/>
              <w:ind w:firstLine="105" w:firstLineChars="50"/>
              <w:rPr>
                <w:rFonts w:ascii="宋体" w:hAnsi="宋体" w:cs="宋体"/>
                <w:color w:val="auto"/>
                <w:szCs w:val="21"/>
                <w:highlight w:val="none"/>
              </w:rPr>
            </w:pPr>
            <w:r>
              <w:rPr>
                <w:rFonts w:hint="eastAsia" w:ascii="宋体" w:hAnsi="宋体" w:cs="宋体"/>
                <w:color w:val="auto"/>
                <w:szCs w:val="21"/>
                <w:highlight w:val="none"/>
              </w:rPr>
              <w:t>0.035%</w:t>
            </w:r>
          </w:p>
        </w:tc>
      </w:tr>
      <w:tr w14:paraId="37131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7477FAA3">
            <w:pPr>
              <w:spacing w:line="360" w:lineRule="auto"/>
              <w:rPr>
                <w:rFonts w:ascii="宋体" w:hAnsi="宋体" w:cs="宋体"/>
                <w:color w:val="auto"/>
                <w:szCs w:val="21"/>
                <w:highlight w:val="none"/>
              </w:rPr>
            </w:pPr>
            <w:r>
              <w:rPr>
                <w:rFonts w:hint="eastAsia" w:ascii="宋体" w:hAnsi="宋体" w:cs="宋体"/>
                <w:color w:val="auto"/>
                <w:szCs w:val="21"/>
                <w:highlight w:val="none"/>
              </w:rPr>
              <w:t>10～50亿元</w:t>
            </w:r>
          </w:p>
        </w:tc>
        <w:tc>
          <w:tcPr>
            <w:tcW w:w="1659" w:type="dxa"/>
          </w:tcPr>
          <w:p w14:paraId="675E1306">
            <w:pPr>
              <w:spacing w:line="360" w:lineRule="auto"/>
              <w:ind w:firstLine="105" w:firstLineChars="50"/>
              <w:rPr>
                <w:rFonts w:ascii="宋体" w:hAnsi="宋体" w:cs="宋体"/>
                <w:color w:val="auto"/>
                <w:szCs w:val="21"/>
                <w:highlight w:val="none"/>
              </w:rPr>
            </w:pPr>
            <w:r>
              <w:rPr>
                <w:rFonts w:hint="eastAsia" w:ascii="宋体" w:hAnsi="宋体" w:cs="宋体"/>
                <w:color w:val="auto"/>
                <w:szCs w:val="21"/>
                <w:highlight w:val="none"/>
              </w:rPr>
              <w:t>0.008%</w:t>
            </w:r>
          </w:p>
        </w:tc>
        <w:tc>
          <w:tcPr>
            <w:tcW w:w="1532" w:type="dxa"/>
          </w:tcPr>
          <w:p w14:paraId="7E76D9CD">
            <w:pPr>
              <w:spacing w:line="36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0.008%</w:t>
            </w:r>
          </w:p>
        </w:tc>
        <w:tc>
          <w:tcPr>
            <w:tcW w:w="1546" w:type="dxa"/>
          </w:tcPr>
          <w:p w14:paraId="77DFDFE8">
            <w:pPr>
              <w:spacing w:line="360" w:lineRule="auto"/>
              <w:ind w:firstLine="105" w:firstLineChars="50"/>
              <w:rPr>
                <w:rFonts w:ascii="宋体" w:hAnsi="宋体" w:cs="宋体"/>
                <w:color w:val="auto"/>
                <w:szCs w:val="21"/>
                <w:highlight w:val="none"/>
              </w:rPr>
            </w:pPr>
            <w:r>
              <w:rPr>
                <w:rFonts w:hint="eastAsia" w:ascii="宋体" w:hAnsi="宋体" w:cs="宋体"/>
                <w:color w:val="auto"/>
                <w:szCs w:val="21"/>
                <w:highlight w:val="none"/>
              </w:rPr>
              <w:t>0.008%</w:t>
            </w:r>
          </w:p>
        </w:tc>
      </w:tr>
      <w:tr w14:paraId="18137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134E0DA9">
            <w:pPr>
              <w:spacing w:line="360" w:lineRule="auto"/>
              <w:rPr>
                <w:rFonts w:ascii="宋体" w:hAnsi="宋体" w:cs="宋体"/>
                <w:color w:val="auto"/>
                <w:szCs w:val="21"/>
                <w:highlight w:val="none"/>
              </w:rPr>
            </w:pPr>
            <w:r>
              <w:rPr>
                <w:rFonts w:hint="eastAsia" w:ascii="宋体" w:hAnsi="宋体" w:cs="宋体"/>
                <w:color w:val="auto"/>
                <w:szCs w:val="21"/>
                <w:highlight w:val="none"/>
              </w:rPr>
              <w:t>50～100亿元</w:t>
            </w:r>
          </w:p>
        </w:tc>
        <w:tc>
          <w:tcPr>
            <w:tcW w:w="1659" w:type="dxa"/>
          </w:tcPr>
          <w:p w14:paraId="0938FAF5">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0.006%</w:t>
            </w:r>
          </w:p>
        </w:tc>
        <w:tc>
          <w:tcPr>
            <w:tcW w:w="1532" w:type="dxa"/>
          </w:tcPr>
          <w:p w14:paraId="33681DF0">
            <w:pPr>
              <w:spacing w:line="36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0.006%</w:t>
            </w:r>
          </w:p>
        </w:tc>
        <w:tc>
          <w:tcPr>
            <w:tcW w:w="1546" w:type="dxa"/>
          </w:tcPr>
          <w:p w14:paraId="0FA042FE">
            <w:pPr>
              <w:spacing w:line="360" w:lineRule="auto"/>
              <w:ind w:firstLine="105" w:firstLineChars="50"/>
              <w:rPr>
                <w:rFonts w:ascii="宋体" w:hAnsi="宋体" w:cs="宋体"/>
                <w:color w:val="auto"/>
                <w:szCs w:val="21"/>
                <w:highlight w:val="none"/>
              </w:rPr>
            </w:pPr>
            <w:r>
              <w:rPr>
                <w:rFonts w:hint="eastAsia" w:ascii="宋体" w:hAnsi="宋体" w:cs="宋体"/>
                <w:color w:val="auto"/>
                <w:szCs w:val="21"/>
                <w:highlight w:val="none"/>
              </w:rPr>
              <w:t>0.006%</w:t>
            </w:r>
          </w:p>
        </w:tc>
      </w:tr>
      <w:tr w14:paraId="0B63A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40DAE05C">
            <w:pPr>
              <w:spacing w:line="360" w:lineRule="auto"/>
              <w:rPr>
                <w:rFonts w:ascii="宋体" w:hAnsi="宋体" w:cs="宋体"/>
                <w:color w:val="auto"/>
                <w:szCs w:val="21"/>
                <w:highlight w:val="none"/>
              </w:rPr>
            </w:pPr>
            <w:r>
              <w:rPr>
                <w:rFonts w:hint="eastAsia" w:ascii="宋体" w:hAnsi="宋体" w:cs="宋体"/>
                <w:color w:val="auto"/>
                <w:szCs w:val="21"/>
                <w:highlight w:val="none"/>
              </w:rPr>
              <w:t>100亿以上</w:t>
            </w:r>
          </w:p>
        </w:tc>
        <w:tc>
          <w:tcPr>
            <w:tcW w:w="1659" w:type="dxa"/>
          </w:tcPr>
          <w:p w14:paraId="3CCC8C6C">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0.004%</w:t>
            </w:r>
          </w:p>
        </w:tc>
        <w:tc>
          <w:tcPr>
            <w:tcW w:w="1532" w:type="dxa"/>
          </w:tcPr>
          <w:p w14:paraId="55AEF358">
            <w:pPr>
              <w:spacing w:line="36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0.004%</w:t>
            </w:r>
          </w:p>
        </w:tc>
        <w:tc>
          <w:tcPr>
            <w:tcW w:w="1546" w:type="dxa"/>
          </w:tcPr>
          <w:p w14:paraId="059DD149">
            <w:pPr>
              <w:spacing w:line="360" w:lineRule="auto"/>
              <w:ind w:firstLine="105" w:firstLineChars="50"/>
              <w:rPr>
                <w:rFonts w:ascii="宋体" w:hAnsi="宋体" w:cs="宋体"/>
                <w:color w:val="auto"/>
                <w:szCs w:val="21"/>
                <w:highlight w:val="none"/>
              </w:rPr>
            </w:pPr>
            <w:r>
              <w:rPr>
                <w:rFonts w:hint="eastAsia" w:ascii="宋体" w:hAnsi="宋体" w:cs="宋体"/>
                <w:color w:val="auto"/>
                <w:szCs w:val="21"/>
                <w:highlight w:val="none"/>
              </w:rPr>
              <w:t>0.004%</w:t>
            </w:r>
          </w:p>
        </w:tc>
      </w:tr>
    </w:tbl>
    <w:p w14:paraId="4651582A">
      <w:pPr>
        <w:spacing w:line="360" w:lineRule="auto"/>
        <w:ind w:firstLine="420" w:firstLineChars="200"/>
        <w:rPr>
          <w:rFonts w:ascii="宋体" w:hAnsi="宋体" w:cs="宋体"/>
          <w:color w:val="auto"/>
          <w:highlight w:val="none"/>
        </w:rPr>
      </w:pPr>
      <w:r>
        <w:rPr>
          <w:rFonts w:ascii="宋体" w:hAnsi="宋体" w:cs="宋体"/>
          <w:color w:val="auto"/>
          <w:highlight w:val="none"/>
        </w:rPr>
        <w:t>注：</w:t>
      </w:r>
    </w:p>
    <w:p w14:paraId="2AFCBE0F">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w:t>
      </w:r>
      <w:r>
        <w:rPr>
          <w:rFonts w:ascii="宋体" w:hAnsi="宋体" w:cs="宋体"/>
          <w:color w:val="auto"/>
          <w:highlight w:val="none"/>
        </w:rPr>
        <w:t>按本表费率计算的收费为</w:t>
      </w:r>
      <w:r>
        <w:rPr>
          <w:rFonts w:hint="eastAsia" w:ascii="宋体" w:hAnsi="宋体" w:cs="宋体"/>
          <w:color w:val="auto"/>
          <w:highlight w:val="none"/>
        </w:rPr>
        <w:t>采购</w:t>
      </w:r>
      <w:r>
        <w:rPr>
          <w:rFonts w:ascii="宋体" w:hAnsi="宋体" w:cs="宋体"/>
          <w:color w:val="auto"/>
          <w:highlight w:val="none"/>
        </w:rPr>
        <w:t>代理的收费基准价格</w:t>
      </w:r>
      <w:r>
        <w:rPr>
          <w:rFonts w:hint="eastAsia" w:ascii="宋体" w:hAnsi="宋体" w:cs="宋体"/>
          <w:color w:val="auto"/>
          <w:highlight w:val="none"/>
        </w:rPr>
        <w:t>；</w:t>
      </w:r>
    </w:p>
    <w:p w14:paraId="72148E88">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（2）采购</w:t>
      </w:r>
      <w:r>
        <w:rPr>
          <w:rFonts w:ascii="宋体" w:hAnsi="宋体" w:cs="宋体"/>
          <w:color w:val="auto"/>
          <w:highlight w:val="none"/>
        </w:rPr>
        <w:t>代理收费按差额定率累进法计算。</w:t>
      </w:r>
    </w:p>
    <w:p w14:paraId="697BF24A">
      <w:pPr>
        <w:spacing w:line="360" w:lineRule="auto"/>
        <w:ind w:firstLine="420" w:firstLineChars="200"/>
        <w:rPr>
          <w:rFonts w:ascii="宋体" w:hAnsi="宋体" w:cs="宋体"/>
          <w:color w:val="auto"/>
          <w:highlight w:val="none"/>
        </w:rPr>
      </w:pPr>
      <w:r>
        <w:rPr>
          <w:rFonts w:ascii="宋体" w:hAnsi="宋体" w:cs="宋体"/>
          <w:color w:val="auto"/>
          <w:highlight w:val="none"/>
        </w:rPr>
        <w:t>例如：某</w:t>
      </w:r>
      <w:r>
        <w:rPr>
          <w:rFonts w:hint="eastAsia" w:ascii="宋体" w:hAnsi="宋体" w:cs="宋体"/>
          <w:color w:val="auto"/>
          <w:highlight w:val="none"/>
        </w:rPr>
        <w:t>工程项目采购</w:t>
      </w:r>
      <w:r>
        <w:rPr>
          <w:rFonts w:ascii="宋体" w:hAnsi="宋体" w:cs="宋体"/>
          <w:color w:val="auto"/>
          <w:highlight w:val="none"/>
        </w:rPr>
        <w:t>代理业务</w:t>
      </w:r>
      <w:r>
        <w:rPr>
          <w:rFonts w:hint="eastAsia" w:ascii="宋体" w:hAnsi="宋体" w:cs="宋体"/>
          <w:color w:val="auto"/>
          <w:highlight w:val="none"/>
        </w:rPr>
        <w:t>成交</w:t>
      </w:r>
      <w:r>
        <w:rPr>
          <w:rFonts w:ascii="宋体" w:hAnsi="宋体" w:cs="宋体"/>
          <w:color w:val="auto"/>
          <w:highlight w:val="none"/>
        </w:rPr>
        <w:t>金额为150万元，计算</w:t>
      </w:r>
      <w:r>
        <w:rPr>
          <w:rFonts w:hint="eastAsia" w:ascii="宋体" w:hAnsi="宋体" w:cs="宋体"/>
          <w:color w:val="auto"/>
          <w:highlight w:val="none"/>
        </w:rPr>
        <w:t>采购</w:t>
      </w:r>
      <w:r>
        <w:rPr>
          <w:rFonts w:ascii="宋体" w:hAnsi="宋体" w:cs="宋体"/>
          <w:color w:val="auto"/>
          <w:highlight w:val="none"/>
        </w:rPr>
        <w:t>代理收费额如下：</w:t>
      </w:r>
    </w:p>
    <w:p w14:paraId="2FB8A7C1">
      <w:pPr>
        <w:spacing w:line="360" w:lineRule="auto"/>
        <w:ind w:firstLine="420" w:firstLineChars="200"/>
        <w:rPr>
          <w:rFonts w:ascii="宋体" w:hAnsi="宋体" w:cs="宋体"/>
          <w:color w:val="auto"/>
          <w:highlight w:val="none"/>
        </w:rPr>
      </w:pPr>
      <w:r>
        <w:rPr>
          <w:rFonts w:ascii="宋体" w:hAnsi="宋体" w:cs="宋体"/>
          <w:color w:val="auto"/>
          <w:highlight w:val="none"/>
        </w:rPr>
        <w:t>100万元 ×l.</w:t>
      </w:r>
      <w:r>
        <w:rPr>
          <w:rFonts w:hint="eastAsia" w:ascii="宋体" w:hAnsi="宋体" w:cs="宋体"/>
          <w:color w:val="auto"/>
          <w:highlight w:val="none"/>
        </w:rPr>
        <w:t>0</w:t>
      </w:r>
      <w:r>
        <w:rPr>
          <w:rFonts w:ascii="宋体" w:hAnsi="宋体" w:cs="宋体"/>
          <w:color w:val="auto"/>
          <w:highlight w:val="none"/>
        </w:rPr>
        <w:t>%＝ 1.</w:t>
      </w:r>
      <w:r>
        <w:rPr>
          <w:rFonts w:hint="eastAsia" w:ascii="宋体" w:hAnsi="宋体" w:cs="宋体"/>
          <w:color w:val="auto"/>
          <w:highlight w:val="none"/>
        </w:rPr>
        <w:t>0</w:t>
      </w:r>
      <w:r>
        <w:rPr>
          <w:rFonts w:ascii="宋体" w:hAnsi="宋体" w:cs="宋体"/>
          <w:color w:val="auto"/>
          <w:highlight w:val="none"/>
        </w:rPr>
        <w:t>万元</w:t>
      </w:r>
    </w:p>
    <w:p w14:paraId="32EFF5CA">
      <w:pPr>
        <w:spacing w:line="360" w:lineRule="auto"/>
        <w:ind w:firstLine="420" w:firstLineChars="200"/>
        <w:rPr>
          <w:rFonts w:ascii="宋体" w:hAnsi="宋体" w:cs="宋体"/>
          <w:color w:val="auto"/>
          <w:highlight w:val="none"/>
        </w:rPr>
      </w:pPr>
      <w:r>
        <w:rPr>
          <w:rFonts w:ascii="宋体" w:hAnsi="宋体" w:cs="宋体"/>
          <w:color w:val="auto"/>
          <w:highlight w:val="none"/>
        </w:rPr>
        <w:t>（ 150</w:t>
      </w:r>
      <w:r>
        <w:rPr>
          <w:rFonts w:hint="eastAsia" w:ascii="宋体" w:hAnsi="宋体" w:cs="宋体"/>
          <w:color w:val="auto"/>
          <w:highlight w:val="none"/>
        </w:rPr>
        <w:t>-</w:t>
      </w:r>
      <w:r>
        <w:rPr>
          <w:rFonts w:ascii="宋体" w:hAnsi="宋体" w:cs="宋体"/>
          <w:color w:val="auto"/>
          <w:highlight w:val="none"/>
        </w:rPr>
        <w:t>100 ）万元 ×0.</w:t>
      </w:r>
      <w:r>
        <w:rPr>
          <w:rFonts w:hint="eastAsia" w:ascii="宋体" w:hAnsi="宋体" w:cs="宋体"/>
          <w:color w:val="auto"/>
          <w:highlight w:val="none"/>
        </w:rPr>
        <w:t>7</w:t>
      </w:r>
      <w:r>
        <w:rPr>
          <w:rFonts w:ascii="宋体" w:hAnsi="宋体" w:cs="宋体"/>
          <w:color w:val="auto"/>
          <w:highlight w:val="none"/>
        </w:rPr>
        <w:t>%＝ 0.</w:t>
      </w:r>
      <w:r>
        <w:rPr>
          <w:rFonts w:hint="eastAsia" w:ascii="宋体" w:hAnsi="宋体" w:cs="宋体"/>
          <w:color w:val="auto"/>
          <w:highlight w:val="none"/>
        </w:rPr>
        <w:t>35</w:t>
      </w:r>
      <w:r>
        <w:rPr>
          <w:rFonts w:ascii="宋体" w:hAnsi="宋体" w:cs="宋体"/>
          <w:color w:val="auto"/>
          <w:highlight w:val="none"/>
        </w:rPr>
        <w:t>万元</w:t>
      </w:r>
    </w:p>
    <w:p w14:paraId="07022DB9">
      <w:pPr>
        <w:spacing w:line="360" w:lineRule="auto"/>
        <w:ind w:firstLine="420" w:firstLineChars="200"/>
        <w:rPr>
          <w:rFonts w:ascii="宋体" w:hAnsi="宋体" w:cs="宋体"/>
          <w:color w:val="auto"/>
          <w:highlight w:val="none"/>
        </w:rPr>
      </w:pPr>
      <w:r>
        <w:rPr>
          <w:rFonts w:ascii="宋体" w:hAnsi="宋体" w:cs="宋体"/>
          <w:color w:val="auto"/>
          <w:highlight w:val="none"/>
        </w:rPr>
        <w:t>合计收费＝ 1.</w:t>
      </w:r>
      <w:r>
        <w:rPr>
          <w:rFonts w:hint="eastAsia" w:ascii="宋体" w:hAnsi="宋体" w:cs="宋体"/>
          <w:color w:val="auto"/>
          <w:highlight w:val="none"/>
        </w:rPr>
        <w:t xml:space="preserve">0 + </w:t>
      </w:r>
      <w:r>
        <w:rPr>
          <w:rFonts w:ascii="宋体" w:hAnsi="宋体" w:cs="宋体"/>
          <w:color w:val="auto"/>
          <w:highlight w:val="none"/>
        </w:rPr>
        <w:t>0.</w:t>
      </w:r>
      <w:r>
        <w:rPr>
          <w:rFonts w:hint="eastAsia" w:ascii="宋体" w:hAnsi="宋体" w:cs="宋体"/>
          <w:color w:val="auto"/>
          <w:highlight w:val="none"/>
        </w:rPr>
        <w:t xml:space="preserve">35 </w:t>
      </w:r>
      <w:r>
        <w:rPr>
          <w:rFonts w:ascii="宋体" w:hAnsi="宋体" w:cs="宋体"/>
          <w:color w:val="auto"/>
          <w:highlight w:val="none"/>
        </w:rPr>
        <w:t>＝ 1.</w:t>
      </w:r>
      <w:r>
        <w:rPr>
          <w:rFonts w:hint="eastAsia" w:ascii="宋体" w:hAnsi="宋体" w:cs="宋体"/>
          <w:color w:val="auto"/>
          <w:highlight w:val="none"/>
        </w:rPr>
        <w:t>35</w:t>
      </w:r>
      <w:r>
        <w:rPr>
          <w:rFonts w:ascii="宋体" w:hAnsi="宋体" w:cs="宋体"/>
          <w:color w:val="auto"/>
          <w:highlight w:val="none"/>
        </w:rPr>
        <w:t xml:space="preserve"> 万元</w:t>
      </w:r>
    </w:p>
    <w:p w14:paraId="3BE79210">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w:t>
      </w:r>
      <w:r>
        <w:rPr>
          <w:rFonts w:ascii="黑体" w:hAnsi="黑体" w:eastAsia="黑体" w:cs="宋体"/>
          <w:b/>
          <w:bCs/>
          <w:color w:val="auto"/>
          <w:sz w:val="24"/>
          <w:highlight w:val="none"/>
        </w:rPr>
        <w:t>3.需要补充的其他内容</w:t>
      </w:r>
    </w:p>
    <w:p w14:paraId="6A926E71">
      <w:pPr>
        <w:pStyle w:val="24"/>
        <w:spacing w:line="360" w:lineRule="auto"/>
        <w:ind w:firstLine="420" w:firstLineChars="200"/>
        <w:textAlignment w:val="center"/>
        <w:rPr>
          <w:rFonts w:hAnsi="宋体" w:cs="宋体"/>
          <w:color w:val="auto"/>
          <w:kern w:val="2"/>
          <w:sz w:val="21"/>
          <w:highlight w:val="none"/>
        </w:rPr>
      </w:pPr>
      <w:r>
        <w:rPr>
          <w:rFonts w:hint="eastAsia" w:hAnsi="宋体" w:cs="宋体"/>
          <w:color w:val="auto"/>
          <w:kern w:val="2"/>
          <w:sz w:val="21"/>
          <w:highlight w:val="none"/>
        </w:rPr>
        <w:t>3</w:t>
      </w:r>
      <w:r>
        <w:rPr>
          <w:rFonts w:hAnsi="宋体" w:cs="宋体"/>
          <w:color w:val="auto"/>
          <w:kern w:val="2"/>
          <w:sz w:val="21"/>
          <w:highlight w:val="none"/>
        </w:rPr>
        <w:t>3.1</w:t>
      </w:r>
      <w:r>
        <w:rPr>
          <w:rFonts w:hint="eastAsia" w:hAnsi="宋体" w:cs="宋体"/>
          <w:color w:val="auto"/>
          <w:kern w:val="2"/>
          <w:sz w:val="21"/>
          <w:highlight w:val="none"/>
        </w:rPr>
        <w:t>本磋商文件解释规则详见“供应商须知前附表”。</w:t>
      </w:r>
    </w:p>
    <w:p w14:paraId="3970E31A">
      <w:pPr>
        <w:pStyle w:val="24"/>
        <w:spacing w:line="360" w:lineRule="auto"/>
        <w:ind w:firstLine="420" w:firstLineChars="200"/>
        <w:textAlignment w:val="center"/>
        <w:rPr>
          <w:rFonts w:hAnsi="宋体" w:cs="宋体"/>
          <w:color w:val="auto"/>
          <w:kern w:val="2"/>
          <w:sz w:val="21"/>
          <w:highlight w:val="none"/>
        </w:rPr>
      </w:pPr>
      <w:r>
        <w:rPr>
          <w:rFonts w:hint="eastAsia" w:hAnsi="宋体" w:cs="宋体"/>
          <w:color w:val="auto"/>
          <w:kern w:val="2"/>
          <w:sz w:val="21"/>
          <w:highlight w:val="none"/>
        </w:rPr>
        <w:t>33.2农民工工资保证金见“供应商须知前附表”。</w:t>
      </w:r>
    </w:p>
    <w:p w14:paraId="331CB22A">
      <w:pPr>
        <w:pStyle w:val="24"/>
        <w:spacing w:line="360" w:lineRule="auto"/>
        <w:ind w:firstLine="420" w:firstLineChars="200"/>
        <w:textAlignment w:val="center"/>
        <w:rPr>
          <w:rFonts w:hAnsi="宋体" w:cs="宋体"/>
          <w:color w:val="auto"/>
          <w:kern w:val="2"/>
          <w:sz w:val="21"/>
          <w:highlight w:val="none"/>
        </w:rPr>
      </w:pPr>
      <w:r>
        <w:rPr>
          <w:rFonts w:hAnsi="宋体" w:cs="宋体"/>
          <w:color w:val="auto"/>
          <w:kern w:val="2"/>
          <w:sz w:val="21"/>
          <w:highlight w:val="none"/>
        </w:rPr>
        <w:t>33.</w:t>
      </w:r>
      <w:r>
        <w:rPr>
          <w:rFonts w:hint="eastAsia" w:hAnsi="宋体" w:cs="宋体"/>
          <w:color w:val="auto"/>
          <w:kern w:val="2"/>
          <w:sz w:val="21"/>
          <w:highlight w:val="none"/>
        </w:rPr>
        <w:t>3 其他事项详见“供应商须知前附表”。</w:t>
      </w:r>
    </w:p>
    <w:p w14:paraId="02960E30">
      <w:pPr>
        <w:pStyle w:val="24"/>
        <w:spacing w:line="360" w:lineRule="auto"/>
        <w:ind w:firstLine="420" w:firstLineChars="200"/>
        <w:textAlignment w:val="center"/>
        <w:rPr>
          <w:rFonts w:hAnsi="宋体" w:cs="宋体"/>
          <w:color w:val="auto"/>
          <w:kern w:val="2"/>
          <w:sz w:val="21"/>
          <w:highlight w:val="none"/>
        </w:rPr>
      </w:pPr>
      <w:r>
        <w:rPr>
          <w:rFonts w:hint="eastAsia" w:hAnsi="宋体" w:cs="宋体"/>
          <w:color w:val="auto"/>
          <w:kern w:val="2"/>
          <w:sz w:val="21"/>
          <w:highlight w:val="none"/>
        </w:rPr>
        <w:t>3</w:t>
      </w:r>
      <w:r>
        <w:rPr>
          <w:rFonts w:hAnsi="宋体" w:cs="宋体"/>
          <w:color w:val="auto"/>
          <w:kern w:val="2"/>
          <w:sz w:val="21"/>
          <w:highlight w:val="none"/>
        </w:rPr>
        <w:t>3.</w:t>
      </w:r>
      <w:r>
        <w:rPr>
          <w:rFonts w:hint="eastAsia" w:hAnsi="宋体" w:cs="宋体"/>
          <w:color w:val="auto"/>
          <w:kern w:val="2"/>
          <w:sz w:val="21"/>
          <w:highlight w:val="none"/>
        </w:rPr>
        <w:t>4本磋商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14:paraId="00FE4E7B">
      <w:pPr>
        <w:pStyle w:val="24"/>
        <w:spacing w:line="360" w:lineRule="auto"/>
        <w:ind w:firstLine="420" w:firstLineChars="200"/>
        <w:contextualSpacing/>
        <w:rPr>
          <w:rFonts w:hAnsi="宋体"/>
          <w:color w:val="auto"/>
          <w:sz w:val="21"/>
          <w:highlight w:val="none"/>
        </w:rPr>
      </w:pPr>
      <w:r>
        <w:rPr>
          <w:rFonts w:hint="eastAsia" w:hAnsi="宋体"/>
          <w:color w:val="auto"/>
          <w:sz w:val="21"/>
          <w:highlight w:val="none"/>
        </w:rPr>
        <w:t>（1）在货物采购项目中，货物由中小企业制造，即货物由中小企业生产且使用该中小企业商号或者注册商标，不对其中涉及的工程承建商和服务的承接商作出要求；</w:t>
      </w:r>
    </w:p>
    <w:p w14:paraId="4FF4F1F4">
      <w:pPr>
        <w:pStyle w:val="24"/>
        <w:spacing w:line="360" w:lineRule="auto"/>
        <w:ind w:firstLine="420" w:firstLineChars="200"/>
        <w:contextualSpacing/>
        <w:rPr>
          <w:rFonts w:hAnsi="宋体"/>
          <w:color w:val="auto"/>
          <w:sz w:val="21"/>
          <w:highlight w:val="none"/>
        </w:rPr>
      </w:pPr>
      <w:r>
        <w:rPr>
          <w:rFonts w:hint="eastAsia" w:hAnsi="宋体"/>
          <w:color w:val="auto"/>
          <w:sz w:val="21"/>
          <w:highlight w:val="none"/>
        </w:rPr>
        <w:t>（2）在工程采购项目中，工程由中小企业承建，即工程施工单位为中小企业，不对其中涉及的货物的制造商和服务的承接商作出要求；</w:t>
      </w:r>
    </w:p>
    <w:p w14:paraId="640AB57D">
      <w:pPr>
        <w:pStyle w:val="24"/>
        <w:spacing w:line="360" w:lineRule="auto"/>
        <w:ind w:firstLine="420" w:firstLineChars="200"/>
        <w:contextualSpacing/>
        <w:rPr>
          <w:rFonts w:hAnsi="宋体"/>
          <w:color w:val="auto"/>
          <w:sz w:val="21"/>
          <w:highlight w:val="none"/>
        </w:rPr>
      </w:pPr>
      <w:r>
        <w:rPr>
          <w:rFonts w:hint="eastAsia" w:hAnsi="宋体"/>
          <w:color w:val="auto"/>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244FCADD">
      <w:pPr>
        <w:pStyle w:val="24"/>
        <w:spacing w:line="360" w:lineRule="auto"/>
        <w:ind w:firstLine="420" w:firstLineChars="200"/>
        <w:contextualSpacing/>
        <w:rPr>
          <w:rFonts w:hAnsi="宋体"/>
          <w:color w:val="auto"/>
          <w:sz w:val="21"/>
          <w:highlight w:val="none"/>
        </w:rPr>
      </w:pPr>
      <w:r>
        <w:rPr>
          <w:rFonts w:hint="eastAsia" w:hAnsi="宋体" w:cs="宋体"/>
          <w:color w:val="auto"/>
          <w:kern w:val="2"/>
          <w:sz w:val="21"/>
          <w:highlight w:val="none"/>
        </w:rPr>
        <w:t>在货物采购项目中，供应商提供的货物既有中小企业制造货物，也有大型企业制造货物的，不享受本磋商文件规定的中小企业扶持政策。以联合体形式参加政府采购活动，联合体各方均为</w:t>
      </w:r>
      <w:r>
        <w:rPr>
          <w:rFonts w:hint="eastAsia" w:hAnsi="宋体"/>
          <w:color w:val="auto"/>
          <w:sz w:val="21"/>
          <w:highlight w:val="none"/>
        </w:rPr>
        <w:t>中小企业的，联合体视同中小企业。其中，联合体各方均为小微企业的，联合体视同小微企业。</w:t>
      </w:r>
    </w:p>
    <w:p w14:paraId="33058DE6">
      <w:pPr>
        <w:pStyle w:val="24"/>
        <w:spacing w:line="360" w:lineRule="auto"/>
        <w:ind w:firstLine="420" w:firstLineChars="200"/>
        <w:contextualSpacing/>
        <w:rPr>
          <w:rFonts w:hAnsi="宋体"/>
          <w:color w:val="auto"/>
          <w:sz w:val="21"/>
          <w:highlight w:val="none"/>
        </w:rPr>
      </w:pPr>
      <w:r>
        <w:rPr>
          <w:rFonts w:hint="eastAsia" w:hAnsi="宋体"/>
          <w:color w:val="auto"/>
          <w:sz w:val="21"/>
          <w:highlight w:val="none"/>
        </w:rPr>
        <w:t>依据本磋商文件规定享受扶持政策获得政府采购合同的，小微企业不得将合同分包给大中型企业，中型企业不得将合同分包给大型企业。</w:t>
      </w:r>
    </w:p>
    <w:p w14:paraId="41D9E38E">
      <w:pPr>
        <w:pStyle w:val="24"/>
        <w:spacing w:before="340" w:after="340" w:line="360" w:lineRule="auto"/>
        <w:ind w:firstLine="402" w:firstLineChars="200"/>
        <w:jc w:val="center"/>
        <w:textAlignment w:val="center"/>
        <w:rPr>
          <w:rFonts w:hAnsi="宋体"/>
          <w:b/>
          <w:color w:val="auto"/>
          <w:highlight w:val="none"/>
        </w:rPr>
      </w:pPr>
    </w:p>
    <w:p w14:paraId="1C617CC4">
      <w:pPr>
        <w:pStyle w:val="24"/>
        <w:spacing w:before="340" w:after="340" w:line="360" w:lineRule="auto"/>
        <w:ind w:firstLine="402" w:firstLineChars="200"/>
        <w:jc w:val="center"/>
        <w:textAlignment w:val="center"/>
        <w:rPr>
          <w:rFonts w:hAnsi="宋体"/>
          <w:b/>
          <w:color w:val="auto"/>
          <w:highlight w:val="none"/>
        </w:rPr>
      </w:pPr>
    </w:p>
    <w:p w14:paraId="048B9169">
      <w:pPr>
        <w:keepNext w:val="0"/>
        <w:keepLines w:val="0"/>
        <w:widowControl w:val="0"/>
        <w:suppressLineNumbers w:val="0"/>
        <w:spacing w:before="0" w:beforeAutospacing="0" w:after="0" w:afterAutospacing="0" w:line="528" w:lineRule="exact"/>
        <w:ind w:left="0" w:right="0"/>
        <w:jc w:val="left"/>
        <w:rPr>
          <w:rFonts w:hint="default" w:ascii="Arial Unicode MS" w:hAnsi="Arial Unicode MS" w:eastAsia="宋体" w:cs="Arial Unicode MS"/>
          <w:color w:val="auto"/>
          <w:kern w:val="2"/>
          <w:sz w:val="40"/>
          <w:szCs w:val="40"/>
          <w:highlight w:val="none"/>
        </w:rPr>
      </w:pPr>
      <w:r>
        <w:rPr>
          <w:rFonts w:hint="eastAsia" w:ascii="宋体" w:hAnsi="宋体" w:eastAsia="宋体" w:cs="宋体"/>
          <w:color w:val="auto"/>
          <w:kern w:val="2"/>
          <w:sz w:val="40"/>
          <w:szCs w:val="40"/>
          <w:highlight w:val="none"/>
          <w:lang w:val="en-US" w:eastAsia="zh-CN" w:bidi="ar"/>
        </w:rPr>
        <w:t>附件</w:t>
      </w:r>
      <w:r>
        <w:rPr>
          <w:rFonts w:hint="default" w:ascii="Arial Unicode MS" w:hAnsi="Arial Unicode MS" w:eastAsia="Arial Unicode MS" w:cs="Arial Unicode MS"/>
          <w:color w:val="auto"/>
          <w:kern w:val="2"/>
          <w:sz w:val="40"/>
          <w:szCs w:val="40"/>
          <w:highlight w:val="none"/>
          <w:lang w:val="en-US" w:eastAsia="zh-CN" w:bidi="ar"/>
        </w:rPr>
        <w:t>1</w:t>
      </w:r>
      <w:r>
        <w:rPr>
          <w:rFonts w:hint="eastAsia" w:ascii="宋体" w:hAnsi="宋体" w:eastAsia="宋体" w:cs="宋体"/>
          <w:color w:val="auto"/>
          <w:kern w:val="2"/>
          <w:sz w:val="40"/>
          <w:szCs w:val="40"/>
          <w:highlight w:val="none"/>
          <w:lang w:val="en-US" w:eastAsia="zh-CN" w:bidi="ar"/>
        </w:rPr>
        <w:t>：</w:t>
      </w:r>
    </w:p>
    <w:p w14:paraId="618E2945">
      <w:pPr>
        <w:keepNext w:val="0"/>
        <w:keepLines w:val="0"/>
        <w:widowControl w:val="0"/>
        <w:suppressLineNumbers w:val="0"/>
        <w:spacing w:before="0" w:beforeAutospacing="0" w:after="0" w:afterAutospacing="0" w:line="528" w:lineRule="exact"/>
        <w:ind w:left="1871" w:right="0" w:firstLine="800" w:firstLineChars="200"/>
        <w:jc w:val="left"/>
        <w:rPr>
          <w:rFonts w:hint="default" w:ascii="仿宋_GB2312" w:hAnsi="仿宋" w:eastAsia="仿宋_GB2312" w:cs="仿宋_GB2312"/>
          <w:bCs/>
          <w:color w:val="auto"/>
          <w:spacing w:val="10"/>
          <w:kern w:val="2"/>
          <w:sz w:val="21"/>
          <w:szCs w:val="21"/>
          <w:highlight w:val="none"/>
        </w:rPr>
      </w:pPr>
      <w:r>
        <w:rPr>
          <w:rFonts w:hint="default" w:ascii="Arial Unicode MS" w:hAnsi="Arial Unicode MS" w:eastAsia="Arial Unicode MS" w:cs="Arial Unicode MS"/>
          <w:color w:val="auto"/>
          <w:kern w:val="2"/>
          <w:sz w:val="40"/>
          <w:szCs w:val="40"/>
          <w:highlight w:val="none"/>
          <w:lang w:val="en-US" w:eastAsia="zh-CN" w:bidi="ar"/>
        </w:rPr>
        <w:t>中小微企业划型标准</w:t>
      </w:r>
    </w:p>
    <w:tbl>
      <w:tblPr>
        <w:tblStyle w:val="44"/>
        <w:tblW w:w="91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299"/>
        <w:gridCol w:w="1384"/>
        <w:gridCol w:w="913"/>
        <w:gridCol w:w="1734"/>
        <w:gridCol w:w="1637"/>
        <w:gridCol w:w="1138"/>
      </w:tblGrid>
      <w:tr w14:paraId="07F5C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2299" w:type="dxa"/>
            <w:tcBorders>
              <w:top w:val="single" w:color="auto" w:sz="4" w:space="0"/>
              <w:left w:val="single" w:color="auto" w:sz="4" w:space="0"/>
              <w:bottom w:val="single" w:color="auto" w:sz="4" w:space="0"/>
              <w:right w:val="single" w:color="auto" w:sz="4" w:space="0"/>
            </w:tcBorders>
            <w:shd w:val="clear" w:color="auto" w:fill="auto"/>
            <w:vAlign w:val="center"/>
          </w:tcPr>
          <w:p w14:paraId="41039736">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val="0"/>
                <w:color w:val="auto"/>
                <w:kern w:val="0"/>
                <w:sz w:val="24"/>
                <w:szCs w:val="24"/>
                <w:highlight w:val="none"/>
              </w:rPr>
            </w:pPr>
            <w:r>
              <w:rPr>
                <w:rFonts w:hint="default" w:ascii="仿宋_GB2312" w:hAnsi="仿宋" w:eastAsia="仿宋_GB2312" w:cs="仿宋_GB2312"/>
                <w:b/>
                <w:bCs w:val="0"/>
                <w:color w:val="auto"/>
                <w:kern w:val="0"/>
                <w:sz w:val="24"/>
                <w:szCs w:val="24"/>
                <w:highlight w:val="none"/>
                <w:lang w:val="en-US" w:eastAsia="zh-CN" w:bidi="ar"/>
              </w:rPr>
              <w:t>行业名称</w:t>
            </w:r>
          </w:p>
        </w:tc>
        <w:tc>
          <w:tcPr>
            <w:tcW w:w="1384" w:type="dxa"/>
            <w:tcBorders>
              <w:top w:val="single" w:color="auto" w:sz="4" w:space="0"/>
              <w:left w:val="nil"/>
              <w:bottom w:val="single" w:color="auto" w:sz="4" w:space="0"/>
              <w:right w:val="single" w:color="auto" w:sz="4" w:space="0"/>
            </w:tcBorders>
            <w:shd w:val="clear" w:color="auto" w:fill="auto"/>
            <w:vAlign w:val="center"/>
          </w:tcPr>
          <w:p w14:paraId="2526EF89">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val="0"/>
                <w:color w:val="auto"/>
                <w:kern w:val="0"/>
                <w:sz w:val="24"/>
                <w:szCs w:val="24"/>
                <w:highlight w:val="none"/>
              </w:rPr>
            </w:pPr>
            <w:r>
              <w:rPr>
                <w:rFonts w:hint="default" w:ascii="仿宋_GB2312" w:hAnsi="仿宋" w:eastAsia="仿宋_GB2312" w:cs="仿宋_GB2312"/>
                <w:b/>
                <w:bCs w:val="0"/>
                <w:color w:val="auto"/>
                <w:kern w:val="0"/>
                <w:sz w:val="24"/>
                <w:szCs w:val="24"/>
                <w:highlight w:val="none"/>
                <w:lang w:val="en-US" w:eastAsia="zh-CN" w:bidi="ar"/>
              </w:rPr>
              <w:t>指标名称</w:t>
            </w:r>
          </w:p>
        </w:tc>
        <w:tc>
          <w:tcPr>
            <w:tcW w:w="913" w:type="dxa"/>
            <w:tcBorders>
              <w:top w:val="single" w:color="auto" w:sz="4" w:space="0"/>
              <w:left w:val="nil"/>
              <w:bottom w:val="single" w:color="auto" w:sz="4" w:space="0"/>
              <w:right w:val="single" w:color="auto" w:sz="4" w:space="0"/>
            </w:tcBorders>
            <w:shd w:val="clear" w:color="auto" w:fill="auto"/>
            <w:vAlign w:val="center"/>
          </w:tcPr>
          <w:p w14:paraId="7BDC2545">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val="0"/>
                <w:color w:val="auto"/>
                <w:kern w:val="0"/>
                <w:sz w:val="24"/>
                <w:szCs w:val="24"/>
                <w:highlight w:val="none"/>
              </w:rPr>
            </w:pPr>
            <w:r>
              <w:rPr>
                <w:rFonts w:hint="default" w:ascii="仿宋_GB2312" w:hAnsi="仿宋" w:eastAsia="仿宋_GB2312" w:cs="仿宋_GB2312"/>
                <w:b/>
                <w:bCs w:val="0"/>
                <w:color w:val="auto"/>
                <w:kern w:val="0"/>
                <w:sz w:val="24"/>
                <w:szCs w:val="24"/>
                <w:highlight w:val="none"/>
                <w:lang w:val="en-US" w:eastAsia="zh-CN" w:bidi="ar"/>
              </w:rPr>
              <w:t>计量单位</w:t>
            </w:r>
          </w:p>
        </w:tc>
        <w:tc>
          <w:tcPr>
            <w:tcW w:w="1734" w:type="dxa"/>
            <w:tcBorders>
              <w:top w:val="single" w:color="auto" w:sz="4" w:space="0"/>
              <w:left w:val="nil"/>
              <w:bottom w:val="single" w:color="auto" w:sz="4" w:space="0"/>
              <w:right w:val="single" w:color="auto" w:sz="4" w:space="0"/>
            </w:tcBorders>
            <w:shd w:val="clear" w:color="auto" w:fill="auto"/>
            <w:vAlign w:val="center"/>
          </w:tcPr>
          <w:p w14:paraId="0827E48A">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val="0"/>
                <w:color w:val="auto"/>
                <w:kern w:val="0"/>
                <w:sz w:val="24"/>
                <w:szCs w:val="24"/>
                <w:highlight w:val="none"/>
              </w:rPr>
            </w:pPr>
            <w:r>
              <w:rPr>
                <w:rFonts w:hint="default" w:ascii="仿宋_GB2312" w:hAnsi="仿宋" w:eastAsia="仿宋_GB2312" w:cs="仿宋_GB2312"/>
                <w:b/>
                <w:bCs w:val="0"/>
                <w:color w:val="auto"/>
                <w:kern w:val="0"/>
                <w:sz w:val="24"/>
                <w:szCs w:val="24"/>
                <w:highlight w:val="none"/>
                <w:lang w:val="en-US" w:eastAsia="zh-CN" w:bidi="ar"/>
              </w:rPr>
              <w:t>中型</w:t>
            </w:r>
          </w:p>
        </w:tc>
        <w:tc>
          <w:tcPr>
            <w:tcW w:w="1637" w:type="dxa"/>
            <w:tcBorders>
              <w:top w:val="single" w:color="auto" w:sz="4" w:space="0"/>
              <w:left w:val="nil"/>
              <w:bottom w:val="single" w:color="auto" w:sz="4" w:space="0"/>
              <w:right w:val="single" w:color="auto" w:sz="4" w:space="0"/>
            </w:tcBorders>
            <w:shd w:val="clear" w:color="auto" w:fill="auto"/>
            <w:vAlign w:val="center"/>
          </w:tcPr>
          <w:p w14:paraId="0502CA86">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val="0"/>
                <w:color w:val="auto"/>
                <w:kern w:val="0"/>
                <w:sz w:val="24"/>
                <w:szCs w:val="24"/>
                <w:highlight w:val="none"/>
              </w:rPr>
            </w:pPr>
            <w:r>
              <w:rPr>
                <w:rFonts w:hint="default" w:ascii="仿宋_GB2312" w:hAnsi="仿宋" w:eastAsia="仿宋_GB2312" w:cs="仿宋_GB2312"/>
                <w:b/>
                <w:bCs w:val="0"/>
                <w:color w:val="auto"/>
                <w:kern w:val="0"/>
                <w:sz w:val="24"/>
                <w:szCs w:val="24"/>
                <w:highlight w:val="none"/>
                <w:lang w:val="en-US" w:eastAsia="zh-CN" w:bidi="ar"/>
              </w:rPr>
              <w:t>小型</w:t>
            </w:r>
          </w:p>
        </w:tc>
        <w:tc>
          <w:tcPr>
            <w:tcW w:w="1138" w:type="dxa"/>
            <w:tcBorders>
              <w:top w:val="single" w:color="auto" w:sz="4" w:space="0"/>
              <w:left w:val="nil"/>
              <w:bottom w:val="single" w:color="auto" w:sz="4" w:space="0"/>
              <w:right w:val="single" w:color="auto" w:sz="4" w:space="0"/>
            </w:tcBorders>
            <w:shd w:val="clear" w:color="auto" w:fill="auto"/>
            <w:vAlign w:val="center"/>
          </w:tcPr>
          <w:p w14:paraId="474E4F65">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val="0"/>
                <w:color w:val="auto"/>
                <w:kern w:val="0"/>
                <w:sz w:val="24"/>
                <w:szCs w:val="24"/>
                <w:highlight w:val="none"/>
              </w:rPr>
            </w:pPr>
            <w:r>
              <w:rPr>
                <w:rFonts w:hint="default" w:ascii="仿宋_GB2312" w:hAnsi="仿宋" w:eastAsia="仿宋_GB2312" w:cs="仿宋_GB2312"/>
                <w:b/>
                <w:bCs w:val="0"/>
                <w:color w:val="auto"/>
                <w:kern w:val="0"/>
                <w:sz w:val="24"/>
                <w:szCs w:val="24"/>
                <w:highlight w:val="none"/>
                <w:lang w:val="en-US" w:eastAsia="zh-CN" w:bidi="ar"/>
              </w:rPr>
              <w:t>微型</w:t>
            </w:r>
          </w:p>
        </w:tc>
      </w:tr>
      <w:tr w14:paraId="02B96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jc w:val="center"/>
        </w:trPr>
        <w:tc>
          <w:tcPr>
            <w:tcW w:w="2299" w:type="dxa"/>
            <w:tcBorders>
              <w:top w:val="nil"/>
              <w:left w:val="single" w:color="auto" w:sz="4" w:space="0"/>
              <w:bottom w:val="single" w:color="auto" w:sz="4" w:space="0"/>
              <w:right w:val="single" w:color="auto" w:sz="4" w:space="0"/>
            </w:tcBorders>
            <w:shd w:val="clear" w:color="auto" w:fill="auto"/>
            <w:vAlign w:val="center"/>
          </w:tcPr>
          <w:p w14:paraId="48A7BCF6">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农、林、牧、渔</w:t>
            </w:r>
          </w:p>
        </w:tc>
        <w:tc>
          <w:tcPr>
            <w:tcW w:w="1384" w:type="dxa"/>
            <w:tcBorders>
              <w:top w:val="nil"/>
              <w:left w:val="nil"/>
              <w:bottom w:val="single" w:color="auto" w:sz="4" w:space="0"/>
              <w:right w:val="single" w:color="auto" w:sz="4" w:space="0"/>
            </w:tcBorders>
            <w:shd w:val="clear" w:color="auto" w:fill="auto"/>
            <w:vAlign w:val="center"/>
          </w:tcPr>
          <w:p w14:paraId="4D085C5D">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39277E9D">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180186A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500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Y＜20000</w:t>
            </w:r>
          </w:p>
        </w:tc>
        <w:tc>
          <w:tcPr>
            <w:tcW w:w="1637" w:type="dxa"/>
            <w:tcBorders>
              <w:top w:val="nil"/>
              <w:left w:val="nil"/>
              <w:bottom w:val="single" w:color="auto" w:sz="4" w:space="0"/>
              <w:right w:val="single" w:color="auto" w:sz="4" w:space="0"/>
            </w:tcBorders>
            <w:shd w:val="clear" w:color="auto" w:fill="auto"/>
            <w:vAlign w:val="center"/>
          </w:tcPr>
          <w:p w14:paraId="19F9D5D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50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Y＜500</w:t>
            </w:r>
          </w:p>
        </w:tc>
        <w:tc>
          <w:tcPr>
            <w:tcW w:w="1138" w:type="dxa"/>
            <w:tcBorders>
              <w:top w:val="nil"/>
              <w:left w:val="nil"/>
              <w:bottom w:val="single" w:color="auto" w:sz="4" w:space="0"/>
              <w:right w:val="single" w:color="auto" w:sz="4" w:space="0"/>
            </w:tcBorders>
            <w:shd w:val="clear" w:color="auto" w:fill="auto"/>
            <w:vAlign w:val="center"/>
          </w:tcPr>
          <w:p w14:paraId="78F7734E">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Y＜50</w:t>
            </w:r>
          </w:p>
        </w:tc>
      </w:tr>
      <w:tr w14:paraId="6DB0B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2299" w:type="dxa"/>
            <w:vMerge w:val="restart"/>
            <w:tcBorders>
              <w:top w:val="nil"/>
              <w:left w:val="single" w:color="auto" w:sz="4" w:space="0"/>
              <w:bottom w:val="single" w:color="auto" w:sz="4" w:space="0"/>
              <w:right w:val="single" w:color="auto" w:sz="4" w:space="0"/>
            </w:tcBorders>
            <w:shd w:val="clear" w:color="auto" w:fill="auto"/>
            <w:vAlign w:val="center"/>
          </w:tcPr>
          <w:p w14:paraId="63CC4894">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工业</w:t>
            </w:r>
          </w:p>
        </w:tc>
        <w:tc>
          <w:tcPr>
            <w:tcW w:w="1384" w:type="dxa"/>
            <w:tcBorders>
              <w:top w:val="nil"/>
              <w:left w:val="nil"/>
              <w:bottom w:val="single" w:color="auto" w:sz="4" w:space="0"/>
              <w:right w:val="single" w:color="auto" w:sz="4" w:space="0"/>
            </w:tcBorders>
            <w:shd w:val="clear" w:color="auto" w:fill="auto"/>
            <w:vAlign w:val="center"/>
          </w:tcPr>
          <w:p w14:paraId="7E15E14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2A2F145F">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734" w:type="dxa"/>
            <w:tcBorders>
              <w:top w:val="nil"/>
              <w:left w:val="nil"/>
              <w:bottom w:val="single" w:color="auto" w:sz="4" w:space="0"/>
              <w:right w:val="single" w:color="auto" w:sz="4" w:space="0"/>
            </w:tcBorders>
            <w:shd w:val="clear" w:color="auto" w:fill="auto"/>
            <w:vAlign w:val="center"/>
          </w:tcPr>
          <w:p w14:paraId="5F57018E">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300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X＜1000</w:t>
            </w:r>
          </w:p>
        </w:tc>
        <w:tc>
          <w:tcPr>
            <w:tcW w:w="1637" w:type="dxa"/>
            <w:tcBorders>
              <w:top w:val="nil"/>
              <w:left w:val="nil"/>
              <w:bottom w:val="single" w:color="auto" w:sz="4" w:space="0"/>
              <w:right w:val="single" w:color="auto" w:sz="4" w:space="0"/>
            </w:tcBorders>
            <w:shd w:val="clear" w:color="auto" w:fill="auto"/>
            <w:vAlign w:val="center"/>
          </w:tcPr>
          <w:p w14:paraId="2B985165">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X＜300</w:t>
            </w:r>
          </w:p>
        </w:tc>
        <w:tc>
          <w:tcPr>
            <w:tcW w:w="1138" w:type="dxa"/>
            <w:tcBorders>
              <w:top w:val="nil"/>
              <w:left w:val="nil"/>
              <w:bottom w:val="single" w:color="auto" w:sz="4" w:space="0"/>
              <w:right w:val="single" w:color="auto" w:sz="4" w:space="0"/>
            </w:tcBorders>
            <w:shd w:val="clear" w:color="auto" w:fill="auto"/>
            <w:vAlign w:val="center"/>
          </w:tcPr>
          <w:p w14:paraId="19CA2998">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X＜20</w:t>
            </w:r>
          </w:p>
        </w:tc>
      </w:tr>
      <w:tr w14:paraId="100DD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2299" w:type="dxa"/>
            <w:vMerge w:val="continue"/>
            <w:tcBorders>
              <w:top w:val="nil"/>
              <w:left w:val="single" w:color="auto" w:sz="4" w:space="0"/>
              <w:bottom w:val="single" w:color="auto" w:sz="4" w:space="0"/>
              <w:right w:val="single" w:color="auto" w:sz="4" w:space="0"/>
            </w:tcBorders>
            <w:shd w:val="clear" w:color="auto" w:fill="auto"/>
            <w:vAlign w:val="center"/>
          </w:tcPr>
          <w:p w14:paraId="16023859">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05938088">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1439FD2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0FA8BF99">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Y＜40000</w:t>
            </w:r>
          </w:p>
        </w:tc>
        <w:tc>
          <w:tcPr>
            <w:tcW w:w="1637" w:type="dxa"/>
            <w:tcBorders>
              <w:top w:val="nil"/>
              <w:left w:val="nil"/>
              <w:bottom w:val="single" w:color="auto" w:sz="4" w:space="0"/>
              <w:right w:val="single" w:color="auto" w:sz="4" w:space="0"/>
            </w:tcBorders>
            <w:shd w:val="clear" w:color="auto" w:fill="auto"/>
            <w:vAlign w:val="center"/>
          </w:tcPr>
          <w:p w14:paraId="3197E89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300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Y＜2000</w:t>
            </w:r>
          </w:p>
        </w:tc>
        <w:tc>
          <w:tcPr>
            <w:tcW w:w="1138" w:type="dxa"/>
            <w:tcBorders>
              <w:top w:val="nil"/>
              <w:left w:val="nil"/>
              <w:bottom w:val="single" w:color="auto" w:sz="4" w:space="0"/>
              <w:right w:val="single" w:color="auto" w:sz="4" w:space="0"/>
            </w:tcBorders>
            <w:shd w:val="clear" w:color="auto" w:fill="auto"/>
            <w:vAlign w:val="center"/>
          </w:tcPr>
          <w:p w14:paraId="0B48913E">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Y＜300</w:t>
            </w:r>
          </w:p>
        </w:tc>
      </w:tr>
      <w:tr w14:paraId="395DC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jc w:val="center"/>
        </w:trPr>
        <w:tc>
          <w:tcPr>
            <w:tcW w:w="2299" w:type="dxa"/>
            <w:vMerge w:val="restart"/>
            <w:tcBorders>
              <w:top w:val="nil"/>
              <w:left w:val="single" w:color="auto" w:sz="4" w:space="0"/>
              <w:bottom w:val="single" w:color="auto" w:sz="4" w:space="0"/>
              <w:right w:val="single" w:color="auto" w:sz="4" w:space="0"/>
            </w:tcBorders>
            <w:shd w:val="clear" w:color="auto" w:fill="auto"/>
            <w:vAlign w:val="center"/>
          </w:tcPr>
          <w:p w14:paraId="459F6D74">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建筑业</w:t>
            </w:r>
          </w:p>
        </w:tc>
        <w:tc>
          <w:tcPr>
            <w:tcW w:w="1384" w:type="dxa"/>
            <w:tcBorders>
              <w:top w:val="nil"/>
              <w:left w:val="nil"/>
              <w:bottom w:val="single" w:color="auto" w:sz="4" w:space="0"/>
              <w:right w:val="single" w:color="auto" w:sz="4" w:space="0"/>
            </w:tcBorders>
            <w:shd w:val="clear" w:color="auto" w:fill="auto"/>
            <w:vAlign w:val="center"/>
          </w:tcPr>
          <w:p w14:paraId="5FE52EED">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48315552">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3892CB92">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6000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Y＜80000</w:t>
            </w:r>
          </w:p>
        </w:tc>
        <w:tc>
          <w:tcPr>
            <w:tcW w:w="1637" w:type="dxa"/>
            <w:tcBorders>
              <w:top w:val="nil"/>
              <w:left w:val="nil"/>
              <w:bottom w:val="single" w:color="auto" w:sz="4" w:space="0"/>
              <w:right w:val="single" w:color="auto" w:sz="4" w:space="0"/>
            </w:tcBorders>
            <w:shd w:val="clear" w:color="auto" w:fill="auto"/>
            <w:vAlign w:val="center"/>
          </w:tcPr>
          <w:p w14:paraId="08D7EBE6">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300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Y＜6000</w:t>
            </w:r>
          </w:p>
        </w:tc>
        <w:tc>
          <w:tcPr>
            <w:tcW w:w="1138" w:type="dxa"/>
            <w:tcBorders>
              <w:top w:val="nil"/>
              <w:left w:val="nil"/>
              <w:bottom w:val="single" w:color="auto" w:sz="4" w:space="0"/>
              <w:right w:val="single" w:color="auto" w:sz="4" w:space="0"/>
            </w:tcBorders>
            <w:shd w:val="clear" w:color="auto" w:fill="auto"/>
            <w:vAlign w:val="center"/>
          </w:tcPr>
          <w:p w14:paraId="13334AC2">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Y＜300</w:t>
            </w:r>
          </w:p>
        </w:tc>
      </w:tr>
      <w:tr w14:paraId="0EC9E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jc w:val="center"/>
        </w:trPr>
        <w:tc>
          <w:tcPr>
            <w:tcW w:w="2299" w:type="dxa"/>
            <w:vMerge w:val="continue"/>
            <w:tcBorders>
              <w:top w:val="nil"/>
              <w:left w:val="single" w:color="auto" w:sz="4" w:space="0"/>
              <w:bottom w:val="single" w:color="auto" w:sz="4" w:space="0"/>
              <w:right w:val="single" w:color="auto" w:sz="4" w:space="0"/>
            </w:tcBorders>
            <w:shd w:val="clear" w:color="auto" w:fill="auto"/>
            <w:vAlign w:val="center"/>
          </w:tcPr>
          <w:p w14:paraId="1EE0E78E">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312E8B4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资产总额（</w:t>
            </w:r>
            <w:r>
              <w:rPr>
                <w:rFonts w:hint="default" w:ascii="仿宋_GB2312" w:hAnsi="仿宋" w:eastAsia="仿宋_GB2312" w:cs="宋体"/>
                <w:color w:val="auto"/>
                <w:kern w:val="0"/>
                <w:sz w:val="18"/>
                <w:szCs w:val="18"/>
                <w:highlight w:val="none"/>
                <w:lang w:val="en-US" w:eastAsia="zh-CN" w:bidi="ar"/>
              </w:rPr>
              <w:t>Z）</w:t>
            </w:r>
          </w:p>
        </w:tc>
        <w:tc>
          <w:tcPr>
            <w:tcW w:w="913" w:type="dxa"/>
            <w:tcBorders>
              <w:top w:val="nil"/>
              <w:left w:val="nil"/>
              <w:bottom w:val="single" w:color="auto" w:sz="4" w:space="0"/>
              <w:right w:val="single" w:color="auto" w:sz="4" w:space="0"/>
            </w:tcBorders>
            <w:shd w:val="clear" w:color="auto" w:fill="auto"/>
            <w:vAlign w:val="center"/>
          </w:tcPr>
          <w:p w14:paraId="7259D95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4920072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5000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Z＜80000</w:t>
            </w:r>
          </w:p>
        </w:tc>
        <w:tc>
          <w:tcPr>
            <w:tcW w:w="1637" w:type="dxa"/>
            <w:tcBorders>
              <w:top w:val="nil"/>
              <w:left w:val="nil"/>
              <w:bottom w:val="single" w:color="auto" w:sz="4" w:space="0"/>
              <w:right w:val="single" w:color="auto" w:sz="4" w:space="0"/>
            </w:tcBorders>
            <w:shd w:val="clear" w:color="auto" w:fill="auto"/>
            <w:vAlign w:val="center"/>
          </w:tcPr>
          <w:p w14:paraId="7964936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300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Z＜5000</w:t>
            </w:r>
          </w:p>
        </w:tc>
        <w:tc>
          <w:tcPr>
            <w:tcW w:w="1138" w:type="dxa"/>
            <w:tcBorders>
              <w:top w:val="nil"/>
              <w:left w:val="nil"/>
              <w:bottom w:val="single" w:color="auto" w:sz="4" w:space="0"/>
              <w:right w:val="single" w:color="auto" w:sz="4" w:space="0"/>
            </w:tcBorders>
            <w:shd w:val="clear" w:color="auto" w:fill="auto"/>
            <w:vAlign w:val="center"/>
          </w:tcPr>
          <w:p w14:paraId="025FFACE">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Z＜300</w:t>
            </w:r>
          </w:p>
        </w:tc>
      </w:tr>
      <w:tr w14:paraId="29F8A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2299" w:type="dxa"/>
            <w:vMerge w:val="restart"/>
            <w:tcBorders>
              <w:top w:val="nil"/>
              <w:left w:val="single" w:color="auto" w:sz="4" w:space="0"/>
              <w:bottom w:val="single" w:color="auto" w:sz="4" w:space="0"/>
              <w:right w:val="single" w:color="auto" w:sz="4" w:space="0"/>
            </w:tcBorders>
            <w:shd w:val="clear" w:color="auto" w:fill="auto"/>
            <w:vAlign w:val="center"/>
          </w:tcPr>
          <w:p w14:paraId="002CADFB">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批发业</w:t>
            </w:r>
          </w:p>
        </w:tc>
        <w:tc>
          <w:tcPr>
            <w:tcW w:w="1384" w:type="dxa"/>
            <w:tcBorders>
              <w:top w:val="nil"/>
              <w:left w:val="nil"/>
              <w:bottom w:val="single" w:color="auto" w:sz="4" w:space="0"/>
              <w:right w:val="single" w:color="auto" w:sz="4" w:space="0"/>
            </w:tcBorders>
            <w:shd w:val="clear" w:color="auto" w:fill="auto"/>
            <w:vAlign w:val="center"/>
          </w:tcPr>
          <w:p w14:paraId="6D4D30C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63FD1C9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734" w:type="dxa"/>
            <w:tcBorders>
              <w:top w:val="nil"/>
              <w:left w:val="nil"/>
              <w:bottom w:val="single" w:color="auto" w:sz="4" w:space="0"/>
              <w:right w:val="single" w:color="auto" w:sz="4" w:space="0"/>
            </w:tcBorders>
            <w:shd w:val="clear" w:color="auto" w:fill="auto"/>
            <w:vAlign w:val="center"/>
          </w:tcPr>
          <w:p w14:paraId="5B2A785B">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X＜200</w:t>
            </w:r>
          </w:p>
        </w:tc>
        <w:tc>
          <w:tcPr>
            <w:tcW w:w="1637" w:type="dxa"/>
            <w:tcBorders>
              <w:top w:val="nil"/>
              <w:left w:val="nil"/>
              <w:bottom w:val="single" w:color="auto" w:sz="4" w:space="0"/>
              <w:right w:val="single" w:color="auto" w:sz="4" w:space="0"/>
            </w:tcBorders>
            <w:shd w:val="clear" w:color="auto" w:fill="auto"/>
            <w:vAlign w:val="center"/>
          </w:tcPr>
          <w:p w14:paraId="29EF408F">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5</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X＜20</w:t>
            </w:r>
          </w:p>
        </w:tc>
        <w:tc>
          <w:tcPr>
            <w:tcW w:w="1138" w:type="dxa"/>
            <w:tcBorders>
              <w:top w:val="nil"/>
              <w:left w:val="nil"/>
              <w:bottom w:val="single" w:color="auto" w:sz="4" w:space="0"/>
              <w:right w:val="single" w:color="auto" w:sz="4" w:space="0"/>
            </w:tcBorders>
            <w:shd w:val="clear" w:color="auto" w:fill="auto"/>
            <w:vAlign w:val="center"/>
          </w:tcPr>
          <w:p w14:paraId="47739D9F">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X＜5</w:t>
            </w:r>
          </w:p>
        </w:tc>
      </w:tr>
      <w:tr w14:paraId="4D1B5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jc w:val="center"/>
        </w:trPr>
        <w:tc>
          <w:tcPr>
            <w:tcW w:w="2299" w:type="dxa"/>
            <w:vMerge w:val="continue"/>
            <w:tcBorders>
              <w:top w:val="nil"/>
              <w:left w:val="single" w:color="auto" w:sz="4" w:space="0"/>
              <w:bottom w:val="single" w:color="auto" w:sz="4" w:space="0"/>
              <w:right w:val="single" w:color="auto" w:sz="4" w:space="0"/>
            </w:tcBorders>
            <w:shd w:val="clear" w:color="auto" w:fill="auto"/>
            <w:vAlign w:val="center"/>
          </w:tcPr>
          <w:p w14:paraId="0AB8F16B">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6E2CF08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0BB55384">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7ACDF2B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5000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Y＜40000</w:t>
            </w:r>
          </w:p>
        </w:tc>
        <w:tc>
          <w:tcPr>
            <w:tcW w:w="1637" w:type="dxa"/>
            <w:tcBorders>
              <w:top w:val="nil"/>
              <w:left w:val="nil"/>
              <w:bottom w:val="single" w:color="auto" w:sz="4" w:space="0"/>
              <w:right w:val="single" w:color="auto" w:sz="4" w:space="0"/>
            </w:tcBorders>
            <w:shd w:val="clear" w:color="auto" w:fill="auto"/>
            <w:vAlign w:val="center"/>
          </w:tcPr>
          <w:p w14:paraId="4FCEB165">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Y＜5000</w:t>
            </w:r>
          </w:p>
        </w:tc>
        <w:tc>
          <w:tcPr>
            <w:tcW w:w="1138" w:type="dxa"/>
            <w:tcBorders>
              <w:top w:val="nil"/>
              <w:left w:val="nil"/>
              <w:bottom w:val="single" w:color="auto" w:sz="4" w:space="0"/>
              <w:right w:val="single" w:color="auto" w:sz="4" w:space="0"/>
            </w:tcBorders>
            <w:shd w:val="clear" w:color="auto" w:fill="auto"/>
            <w:vAlign w:val="center"/>
          </w:tcPr>
          <w:p w14:paraId="0589FA4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Y＜1000</w:t>
            </w:r>
          </w:p>
        </w:tc>
      </w:tr>
      <w:tr w14:paraId="04648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 w:hRule="atLeast"/>
          <w:jc w:val="center"/>
        </w:trPr>
        <w:tc>
          <w:tcPr>
            <w:tcW w:w="2299" w:type="dxa"/>
            <w:vMerge w:val="restart"/>
            <w:tcBorders>
              <w:top w:val="nil"/>
              <w:left w:val="single" w:color="auto" w:sz="4" w:space="0"/>
              <w:bottom w:val="single" w:color="auto" w:sz="4" w:space="0"/>
              <w:right w:val="single" w:color="auto" w:sz="4" w:space="0"/>
            </w:tcBorders>
            <w:shd w:val="clear" w:color="auto" w:fill="auto"/>
            <w:vAlign w:val="center"/>
          </w:tcPr>
          <w:p w14:paraId="48502A7E">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零售业</w:t>
            </w:r>
          </w:p>
        </w:tc>
        <w:tc>
          <w:tcPr>
            <w:tcW w:w="1384" w:type="dxa"/>
            <w:tcBorders>
              <w:top w:val="nil"/>
              <w:left w:val="nil"/>
              <w:bottom w:val="single" w:color="auto" w:sz="4" w:space="0"/>
              <w:right w:val="single" w:color="auto" w:sz="4" w:space="0"/>
            </w:tcBorders>
            <w:shd w:val="clear" w:color="auto" w:fill="auto"/>
            <w:vAlign w:val="center"/>
          </w:tcPr>
          <w:p w14:paraId="1164090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3CB591E5">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734" w:type="dxa"/>
            <w:tcBorders>
              <w:top w:val="nil"/>
              <w:left w:val="nil"/>
              <w:bottom w:val="single" w:color="auto" w:sz="4" w:space="0"/>
              <w:right w:val="single" w:color="auto" w:sz="4" w:space="0"/>
            </w:tcBorders>
            <w:shd w:val="clear" w:color="auto" w:fill="auto"/>
            <w:vAlign w:val="center"/>
          </w:tcPr>
          <w:p w14:paraId="56EB21E6">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50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X＜300</w:t>
            </w:r>
          </w:p>
        </w:tc>
        <w:tc>
          <w:tcPr>
            <w:tcW w:w="1637" w:type="dxa"/>
            <w:tcBorders>
              <w:top w:val="nil"/>
              <w:left w:val="nil"/>
              <w:bottom w:val="single" w:color="auto" w:sz="4" w:space="0"/>
              <w:right w:val="single" w:color="auto" w:sz="4" w:space="0"/>
            </w:tcBorders>
            <w:shd w:val="clear" w:color="auto" w:fill="auto"/>
            <w:vAlign w:val="center"/>
          </w:tcPr>
          <w:p w14:paraId="1156DAC9">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X＜50</w:t>
            </w:r>
          </w:p>
        </w:tc>
        <w:tc>
          <w:tcPr>
            <w:tcW w:w="1138" w:type="dxa"/>
            <w:tcBorders>
              <w:top w:val="nil"/>
              <w:left w:val="nil"/>
              <w:bottom w:val="single" w:color="auto" w:sz="4" w:space="0"/>
              <w:right w:val="single" w:color="auto" w:sz="4" w:space="0"/>
            </w:tcBorders>
            <w:shd w:val="clear" w:color="auto" w:fill="auto"/>
            <w:vAlign w:val="center"/>
          </w:tcPr>
          <w:p w14:paraId="50944D72">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X＜10</w:t>
            </w:r>
          </w:p>
        </w:tc>
      </w:tr>
      <w:tr w14:paraId="13AA7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jc w:val="center"/>
        </w:trPr>
        <w:tc>
          <w:tcPr>
            <w:tcW w:w="2299" w:type="dxa"/>
            <w:vMerge w:val="continue"/>
            <w:tcBorders>
              <w:top w:val="nil"/>
              <w:left w:val="single" w:color="auto" w:sz="4" w:space="0"/>
              <w:bottom w:val="single" w:color="auto" w:sz="4" w:space="0"/>
              <w:right w:val="single" w:color="auto" w:sz="4" w:space="0"/>
            </w:tcBorders>
            <w:shd w:val="clear" w:color="auto" w:fill="auto"/>
            <w:vAlign w:val="center"/>
          </w:tcPr>
          <w:p w14:paraId="124663EC">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2085BB17">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7DD8F538">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15B57688">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500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Y＜20000</w:t>
            </w:r>
          </w:p>
        </w:tc>
        <w:tc>
          <w:tcPr>
            <w:tcW w:w="1637" w:type="dxa"/>
            <w:tcBorders>
              <w:top w:val="nil"/>
              <w:left w:val="nil"/>
              <w:bottom w:val="single" w:color="auto" w:sz="4" w:space="0"/>
              <w:right w:val="single" w:color="auto" w:sz="4" w:space="0"/>
            </w:tcBorders>
            <w:shd w:val="clear" w:color="auto" w:fill="auto"/>
            <w:vAlign w:val="center"/>
          </w:tcPr>
          <w:p w14:paraId="0917C527">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Y＜500</w:t>
            </w:r>
          </w:p>
        </w:tc>
        <w:tc>
          <w:tcPr>
            <w:tcW w:w="1138" w:type="dxa"/>
            <w:tcBorders>
              <w:top w:val="nil"/>
              <w:left w:val="nil"/>
              <w:bottom w:val="single" w:color="auto" w:sz="4" w:space="0"/>
              <w:right w:val="single" w:color="auto" w:sz="4" w:space="0"/>
            </w:tcBorders>
            <w:shd w:val="clear" w:color="auto" w:fill="auto"/>
            <w:vAlign w:val="center"/>
          </w:tcPr>
          <w:p w14:paraId="3C28966F">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Y＜100</w:t>
            </w:r>
          </w:p>
        </w:tc>
      </w:tr>
      <w:tr w14:paraId="2DD36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jc w:val="center"/>
        </w:trPr>
        <w:tc>
          <w:tcPr>
            <w:tcW w:w="2299" w:type="dxa"/>
            <w:vMerge w:val="restart"/>
            <w:tcBorders>
              <w:top w:val="nil"/>
              <w:left w:val="single" w:color="auto" w:sz="4" w:space="0"/>
              <w:bottom w:val="single" w:color="auto" w:sz="4" w:space="0"/>
              <w:right w:val="single" w:color="auto" w:sz="4" w:space="0"/>
            </w:tcBorders>
            <w:shd w:val="clear" w:color="auto" w:fill="auto"/>
            <w:vAlign w:val="center"/>
          </w:tcPr>
          <w:p w14:paraId="26EE2969">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交通运输业</w:t>
            </w:r>
          </w:p>
        </w:tc>
        <w:tc>
          <w:tcPr>
            <w:tcW w:w="1384" w:type="dxa"/>
            <w:tcBorders>
              <w:top w:val="nil"/>
              <w:left w:val="nil"/>
              <w:bottom w:val="single" w:color="auto" w:sz="4" w:space="0"/>
              <w:right w:val="single" w:color="auto" w:sz="4" w:space="0"/>
            </w:tcBorders>
            <w:shd w:val="clear" w:color="auto" w:fill="auto"/>
            <w:vAlign w:val="center"/>
          </w:tcPr>
          <w:p w14:paraId="23018BD5">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067063CB">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734" w:type="dxa"/>
            <w:tcBorders>
              <w:top w:val="nil"/>
              <w:left w:val="nil"/>
              <w:bottom w:val="single" w:color="auto" w:sz="4" w:space="0"/>
              <w:right w:val="single" w:color="auto" w:sz="4" w:space="0"/>
            </w:tcBorders>
            <w:shd w:val="clear" w:color="auto" w:fill="auto"/>
            <w:vAlign w:val="center"/>
          </w:tcPr>
          <w:p w14:paraId="754C144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300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X＜1000</w:t>
            </w:r>
          </w:p>
        </w:tc>
        <w:tc>
          <w:tcPr>
            <w:tcW w:w="1637" w:type="dxa"/>
            <w:tcBorders>
              <w:top w:val="nil"/>
              <w:left w:val="nil"/>
              <w:bottom w:val="single" w:color="auto" w:sz="4" w:space="0"/>
              <w:right w:val="single" w:color="auto" w:sz="4" w:space="0"/>
            </w:tcBorders>
            <w:shd w:val="clear" w:color="auto" w:fill="auto"/>
            <w:vAlign w:val="center"/>
          </w:tcPr>
          <w:p w14:paraId="1EAC812E">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X＜300</w:t>
            </w:r>
          </w:p>
        </w:tc>
        <w:tc>
          <w:tcPr>
            <w:tcW w:w="1138" w:type="dxa"/>
            <w:tcBorders>
              <w:top w:val="nil"/>
              <w:left w:val="nil"/>
              <w:bottom w:val="single" w:color="auto" w:sz="4" w:space="0"/>
              <w:right w:val="single" w:color="auto" w:sz="4" w:space="0"/>
            </w:tcBorders>
            <w:shd w:val="clear" w:color="auto" w:fill="auto"/>
            <w:vAlign w:val="center"/>
          </w:tcPr>
          <w:p w14:paraId="4099912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X＜20</w:t>
            </w:r>
          </w:p>
        </w:tc>
      </w:tr>
      <w:tr w14:paraId="58C8F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jc w:val="center"/>
        </w:trPr>
        <w:tc>
          <w:tcPr>
            <w:tcW w:w="2299" w:type="dxa"/>
            <w:vMerge w:val="continue"/>
            <w:tcBorders>
              <w:top w:val="nil"/>
              <w:left w:val="single" w:color="auto" w:sz="4" w:space="0"/>
              <w:bottom w:val="single" w:color="auto" w:sz="4" w:space="0"/>
              <w:right w:val="single" w:color="auto" w:sz="4" w:space="0"/>
            </w:tcBorders>
            <w:shd w:val="clear" w:color="auto" w:fill="auto"/>
            <w:vAlign w:val="center"/>
          </w:tcPr>
          <w:p w14:paraId="08888849">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7F470D25">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311235B4">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38B758A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3000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Y＜30000</w:t>
            </w:r>
          </w:p>
        </w:tc>
        <w:tc>
          <w:tcPr>
            <w:tcW w:w="1637" w:type="dxa"/>
            <w:tcBorders>
              <w:top w:val="nil"/>
              <w:left w:val="nil"/>
              <w:bottom w:val="single" w:color="auto" w:sz="4" w:space="0"/>
              <w:right w:val="single" w:color="auto" w:sz="4" w:space="0"/>
            </w:tcBorders>
            <w:shd w:val="clear" w:color="auto" w:fill="auto"/>
            <w:vAlign w:val="center"/>
          </w:tcPr>
          <w:p w14:paraId="7C7A04F7">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Y＜3000</w:t>
            </w:r>
          </w:p>
        </w:tc>
        <w:tc>
          <w:tcPr>
            <w:tcW w:w="1138" w:type="dxa"/>
            <w:tcBorders>
              <w:top w:val="nil"/>
              <w:left w:val="nil"/>
              <w:bottom w:val="single" w:color="auto" w:sz="4" w:space="0"/>
              <w:right w:val="single" w:color="auto" w:sz="4" w:space="0"/>
            </w:tcBorders>
            <w:shd w:val="clear" w:color="auto" w:fill="auto"/>
            <w:vAlign w:val="center"/>
          </w:tcPr>
          <w:p w14:paraId="0A7CE865">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Y＜200</w:t>
            </w:r>
          </w:p>
        </w:tc>
      </w:tr>
      <w:tr w14:paraId="403FF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2299" w:type="dxa"/>
            <w:vMerge w:val="restart"/>
            <w:tcBorders>
              <w:top w:val="nil"/>
              <w:left w:val="single" w:color="auto" w:sz="4" w:space="0"/>
              <w:bottom w:val="single" w:color="auto" w:sz="4" w:space="0"/>
              <w:right w:val="single" w:color="auto" w:sz="4" w:space="0"/>
            </w:tcBorders>
            <w:shd w:val="clear" w:color="auto" w:fill="auto"/>
            <w:vAlign w:val="center"/>
          </w:tcPr>
          <w:p w14:paraId="3169E157">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仓储业</w:t>
            </w:r>
          </w:p>
        </w:tc>
        <w:tc>
          <w:tcPr>
            <w:tcW w:w="1384" w:type="dxa"/>
            <w:tcBorders>
              <w:top w:val="nil"/>
              <w:left w:val="nil"/>
              <w:bottom w:val="single" w:color="auto" w:sz="4" w:space="0"/>
              <w:right w:val="single" w:color="auto" w:sz="4" w:space="0"/>
            </w:tcBorders>
            <w:shd w:val="clear" w:color="auto" w:fill="auto"/>
            <w:vAlign w:val="center"/>
          </w:tcPr>
          <w:p w14:paraId="6E51718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2CC1464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734" w:type="dxa"/>
            <w:tcBorders>
              <w:top w:val="nil"/>
              <w:left w:val="nil"/>
              <w:bottom w:val="single" w:color="auto" w:sz="4" w:space="0"/>
              <w:right w:val="single" w:color="auto" w:sz="4" w:space="0"/>
            </w:tcBorders>
            <w:shd w:val="clear" w:color="auto" w:fill="auto"/>
            <w:vAlign w:val="center"/>
          </w:tcPr>
          <w:p w14:paraId="5D423004">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X＜200</w:t>
            </w:r>
          </w:p>
        </w:tc>
        <w:tc>
          <w:tcPr>
            <w:tcW w:w="1637" w:type="dxa"/>
            <w:tcBorders>
              <w:top w:val="nil"/>
              <w:left w:val="nil"/>
              <w:bottom w:val="single" w:color="auto" w:sz="4" w:space="0"/>
              <w:right w:val="single" w:color="auto" w:sz="4" w:space="0"/>
            </w:tcBorders>
            <w:shd w:val="clear" w:color="auto" w:fill="auto"/>
            <w:vAlign w:val="center"/>
          </w:tcPr>
          <w:p w14:paraId="0E24863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w:t>
            </w:r>
          </w:p>
        </w:tc>
        <w:tc>
          <w:tcPr>
            <w:tcW w:w="1138" w:type="dxa"/>
            <w:tcBorders>
              <w:top w:val="nil"/>
              <w:left w:val="nil"/>
              <w:bottom w:val="single" w:color="auto" w:sz="4" w:space="0"/>
              <w:right w:val="single" w:color="auto" w:sz="4" w:space="0"/>
            </w:tcBorders>
            <w:shd w:val="clear" w:color="auto" w:fill="auto"/>
            <w:vAlign w:val="center"/>
          </w:tcPr>
          <w:p w14:paraId="4E9EB8E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X＜20</w:t>
            </w:r>
          </w:p>
        </w:tc>
      </w:tr>
      <w:tr w14:paraId="3AB9B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jc w:val="center"/>
        </w:trPr>
        <w:tc>
          <w:tcPr>
            <w:tcW w:w="2299" w:type="dxa"/>
            <w:vMerge w:val="continue"/>
            <w:tcBorders>
              <w:top w:val="nil"/>
              <w:left w:val="single" w:color="auto" w:sz="4" w:space="0"/>
              <w:bottom w:val="single" w:color="auto" w:sz="4" w:space="0"/>
              <w:right w:val="single" w:color="auto" w:sz="4" w:space="0"/>
            </w:tcBorders>
            <w:shd w:val="clear" w:color="auto" w:fill="auto"/>
            <w:vAlign w:val="center"/>
          </w:tcPr>
          <w:p w14:paraId="08FBA5CF">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33088ED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193C0929">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6E34B8CB">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Y＜30000</w:t>
            </w:r>
          </w:p>
        </w:tc>
        <w:tc>
          <w:tcPr>
            <w:tcW w:w="1637" w:type="dxa"/>
            <w:tcBorders>
              <w:top w:val="nil"/>
              <w:left w:val="nil"/>
              <w:bottom w:val="single" w:color="auto" w:sz="4" w:space="0"/>
              <w:right w:val="single" w:color="auto" w:sz="4" w:space="0"/>
            </w:tcBorders>
            <w:shd w:val="clear" w:color="auto" w:fill="auto"/>
            <w:vAlign w:val="center"/>
          </w:tcPr>
          <w:p w14:paraId="7760BD65">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Y＜1000</w:t>
            </w:r>
          </w:p>
        </w:tc>
        <w:tc>
          <w:tcPr>
            <w:tcW w:w="1138" w:type="dxa"/>
            <w:tcBorders>
              <w:top w:val="nil"/>
              <w:left w:val="nil"/>
              <w:bottom w:val="single" w:color="auto" w:sz="4" w:space="0"/>
              <w:right w:val="single" w:color="auto" w:sz="4" w:space="0"/>
            </w:tcBorders>
            <w:shd w:val="clear" w:color="auto" w:fill="auto"/>
            <w:vAlign w:val="center"/>
          </w:tcPr>
          <w:p w14:paraId="1C61F1BF">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Y＜100</w:t>
            </w:r>
          </w:p>
        </w:tc>
      </w:tr>
      <w:tr w14:paraId="28983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 w:hRule="atLeast"/>
          <w:jc w:val="center"/>
        </w:trPr>
        <w:tc>
          <w:tcPr>
            <w:tcW w:w="2299" w:type="dxa"/>
            <w:vMerge w:val="restart"/>
            <w:tcBorders>
              <w:top w:val="nil"/>
              <w:left w:val="single" w:color="auto" w:sz="4" w:space="0"/>
              <w:bottom w:val="single" w:color="auto" w:sz="4" w:space="0"/>
              <w:right w:val="single" w:color="auto" w:sz="4" w:space="0"/>
            </w:tcBorders>
            <w:shd w:val="clear" w:color="auto" w:fill="auto"/>
            <w:vAlign w:val="center"/>
          </w:tcPr>
          <w:p w14:paraId="73DF55B1">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邮政业</w:t>
            </w:r>
          </w:p>
        </w:tc>
        <w:tc>
          <w:tcPr>
            <w:tcW w:w="1384" w:type="dxa"/>
            <w:tcBorders>
              <w:top w:val="nil"/>
              <w:left w:val="nil"/>
              <w:bottom w:val="single" w:color="auto" w:sz="4" w:space="0"/>
              <w:right w:val="single" w:color="auto" w:sz="4" w:space="0"/>
            </w:tcBorders>
            <w:shd w:val="clear" w:color="auto" w:fill="auto"/>
            <w:vAlign w:val="center"/>
          </w:tcPr>
          <w:p w14:paraId="0D6D405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224140D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734" w:type="dxa"/>
            <w:tcBorders>
              <w:top w:val="nil"/>
              <w:left w:val="nil"/>
              <w:bottom w:val="single" w:color="auto" w:sz="4" w:space="0"/>
              <w:right w:val="single" w:color="auto" w:sz="4" w:space="0"/>
            </w:tcBorders>
            <w:shd w:val="clear" w:color="auto" w:fill="auto"/>
            <w:vAlign w:val="center"/>
          </w:tcPr>
          <w:p w14:paraId="3496976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300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X＜1000</w:t>
            </w:r>
          </w:p>
        </w:tc>
        <w:tc>
          <w:tcPr>
            <w:tcW w:w="1637" w:type="dxa"/>
            <w:tcBorders>
              <w:top w:val="nil"/>
              <w:left w:val="nil"/>
              <w:bottom w:val="single" w:color="auto" w:sz="4" w:space="0"/>
              <w:right w:val="single" w:color="auto" w:sz="4" w:space="0"/>
            </w:tcBorders>
            <w:shd w:val="clear" w:color="auto" w:fill="auto"/>
            <w:vAlign w:val="center"/>
          </w:tcPr>
          <w:p w14:paraId="68614869">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X＜300</w:t>
            </w:r>
          </w:p>
        </w:tc>
        <w:tc>
          <w:tcPr>
            <w:tcW w:w="1138" w:type="dxa"/>
            <w:tcBorders>
              <w:top w:val="nil"/>
              <w:left w:val="nil"/>
              <w:bottom w:val="single" w:color="auto" w:sz="4" w:space="0"/>
              <w:right w:val="single" w:color="auto" w:sz="4" w:space="0"/>
            </w:tcBorders>
            <w:shd w:val="clear" w:color="auto" w:fill="auto"/>
            <w:vAlign w:val="center"/>
          </w:tcPr>
          <w:p w14:paraId="4EE74C1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X＜20</w:t>
            </w:r>
          </w:p>
        </w:tc>
      </w:tr>
      <w:tr w14:paraId="0E72C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jc w:val="center"/>
        </w:trPr>
        <w:tc>
          <w:tcPr>
            <w:tcW w:w="2299" w:type="dxa"/>
            <w:vMerge w:val="continue"/>
            <w:tcBorders>
              <w:top w:val="nil"/>
              <w:left w:val="single" w:color="auto" w:sz="4" w:space="0"/>
              <w:bottom w:val="single" w:color="auto" w:sz="4" w:space="0"/>
              <w:right w:val="single" w:color="auto" w:sz="4" w:space="0"/>
            </w:tcBorders>
            <w:shd w:val="clear" w:color="auto" w:fill="auto"/>
            <w:vAlign w:val="center"/>
          </w:tcPr>
          <w:p w14:paraId="20EEE6F0">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57B727E4">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5326FD3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1E332F1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Y＜30000</w:t>
            </w:r>
          </w:p>
        </w:tc>
        <w:tc>
          <w:tcPr>
            <w:tcW w:w="1637" w:type="dxa"/>
            <w:tcBorders>
              <w:top w:val="nil"/>
              <w:left w:val="nil"/>
              <w:bottom w:val="single" w:color="auto" w:sz="4" w:space="0"/>
              <w:right w:val="single" w:color="auto" w:sz="4" w:space="0"/>
            </w:tcBorders>
            <w:shd w:val="clear" w:color="auto" w:fill="auto"/>
            <w:vAlign w:val="center"/>
          </w:tcPr>
          <w:p w14:paraId="33D1705B">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Y＜2000</w:t>
            </w:r>
          </w:p>
        </w:tc>
        <w:tc>
          <w:tcPr>
            <w:tcW w:w="1138" w:type="dxa"/>
            <w:tcBorders>
              <w:top w:val="nil"/>
              <w:left w:val="nil"/>
              <w:bottom w:val="single" w:color="auto" w:sz="4" w:space="0"/>
              <w:right w:val="single" w:color="auto" w:sz="4" w:space="0"/>
            </w:tcBorders>
            <w:shd w:val="clear" w:color="auto" w:fill="auto"/>
            <w:vAlign w:val="center"/>
          </w:tcPr>
          <w:p w14:paraId="783C700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Y＜100</w:t>
            </w:r>
          </w:p>
        </w:tc>
      </w:tr>
      <w:tr w14:paraId="18308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jc w:val="center"/>
        </w:trPr>
        <w:tc>
          <w:tcPr>
            <w:tcW w:w="2299" w:type="dxa"/>
            <w:vMerge w:val="restart"/>
            <w:tcBorders>
              <w:top w:val="nil"/>
              <w:left w:val="single" w:color="auto" w:sz="4" w:space="0"/>
              <w:bottom w:val="single" w:color="auto" w:sz="4" w:space="0"/>
              <w:right w:val="single" w:color="auto" w:sz="4" w:space="0"/>
            </w:tcBorders>
            <w:shd w:val="clear" w:color="auto" w:fill="auto"/>
            <w:vAlign w:val="center"/>
          </w:tcPr>
          <w:p w14:paraId="15C43E64">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住宿业</w:t>
            </w:r>
          </w:p>
        </w:tc>
        <w:tc>
          <w:tcPr>
            <w:tcW w:w="1384" w:type="dxa"/>
            <w:tcBorders>
              <w:top w:val="nil"/>
              <w:left w:val="nil"/>
              <w:bottom w:val="single" w:color="auto" w:sz="4" w:space="0"/>
              <w:right w:val="single" w:color="auto" w:sz="4" w:space="0"/>
            </w:tcBorders>
            <w:shd w:val="clear" w:color="auto" w:fill="auto"/>
            <w:vAlign w:val="center"/>
          </w:tcPr>
          <w:p w14:paraId="1EBAEB1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45C3CE42">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734" w:type="dxa"/>
            <w:tcBorders>
              <w:top w:val="nil"/>
              <w:left w:val="nil"/>
              <w:bottom w:val="single" w:color="auto" w:sz="4" w:space="0"/>
              <w:right w:val="single" w:color="auto" w:sz="4" w:space="0"/>
            </w:tcBorders>
            <w:shd w:val="clear" w:color="auto" w:fill="auto"/>
            <w:vAlign w:val="center"/>
          </w:tcPr>
          <w:p w14:paraId="1961EBDE">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X＜300</w:t>
            </w:r>
          </w:p>
        </w:tc>
        <w:tc>
          <w:tcPr>
            <w:tcW w:w="1637" w:type="dxa"/>
            <w:tcBorders>
              <w:top w:val="nil"/>
              <w:left w:val="nil"/>
              <w:bottom w:val="single" w:color="auto" w:sz="4" w:space="0"/>
              <w:right w:val="single" w:color="auto" w:sz="4" w:space="0"/>
            </w:tcBorders>
            <w:shd w:val="clear" w:color="auto" w:fill="auto"/>
            <w:vAlign w:val="center"/>
          </w:tcPr>
          <w:p w14:paraId="41D5CF34">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w:t>
            </w:r>
          </w:p>
        </w:tc>
        <w:tc>
          <w:tcPr>
            <w:tcW w:w="1138" w:type="dxa"/>
            <w:tcBorders>
              <w:top w:val="nil"/>
              <w:left w:val="nil"/>
              <w:bottom w:val="single" w:color="auto" w:sz="4" w:space="0"/>
              <w:right w:val="single" w:color="auto" w:sz="4" w:space="0"/>
            </w:tcBorders>
            <w:shd w:val="clear" w:color="auto" w:fill="auto"/>
            <w:vAlign w:val="center"/>
          </w:tcPr>
          <w:p w14:paraId="69F8321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X＜10</w:t>
            </w:r>
          </w:p>
        </w:tc>
      </w:tr>
      <w:tr w14:paraId="7CF6E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2299" w:type="dxa"/>
            <w:vMerge w:val="continue"/>
            <w:tcBorders>
              <w:top w:val="nil"/>
              <w:left w:val="single" w:color="auto" w:sz="4" w:space="0"/>
              <w:bottom w:val="single" w:color="auto" w:sz="4" w:space="0"/>
              <w:right w:val="single" w:color="auto" w:sz="4" w:space="0"/>
            </w:tcBorders>
            <w:shd w:val="clear" w:color="auto" w:fill="auto"/>
            <w:vAlign w:val="center"/>
          </w:tcPr>
          <w:p w14:paraId="24DB79E2">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7BA414F6">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1892882B">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3EB599D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Y＜10000</w:t>
            </w:r>
          </w:p>
        </w:tc>
        <w:tc>
          <w:tcPr>
            <w:tcW w:w="1637" w:type="dxa"/>
            <w:tcBorders>
              <w:top w:val="nil"/>
              <w:left w:val="nil"/>
              <w:bottom w:val="single" w:color="auto" w:sz="4" w:space="0"/>
              <w:right w:val="single" w:color="auto" w:sz="4" w:space="0"/>
            </w:tcBorders>
            <w:shd w:val="clear" w:color="auto" w:fill="auto"/>
            <w:vAlign w:val="center"/>
          </w:tcPr>
          <w:p w14:paraId="79BA797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Y＜2000</w:t>
            </w:r>
          </w:p>
        </w:tc>
        <w:tc>
          <w:tcPr>
            <w:tcW w:w="1138" w:type="dxa"/>
            <w:tcBorders>
              <w:top w:val="nil"/>
              <w:left w:val="nil"/>
              <w:bottom w:val="single" w:color="auto" w:sz="4" w:space="0"/>
              <w:right w:val="single" w:color="auto" w:sz="4" w:space="0"/>
            </w:tcBorders>
            <w:shd w:val="clear" w:color="auto" w:fill="auto"/>
            <w:vAlign w:val="center"/>
          </w:tcPr>
          <w:p w14:paraId="0D9527DD">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Y＜100</w:t>
            </w:r>
          </w:p>
        </w:tc>
      </w:tr>
      <w:tr w14:paraId="15402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jc w:val="center"/>
        </w:trPr>
        <w:tc>
          <w:tcPr>
            <w:tcW w:w="2299" w:type="dxa"/>
            <w:vMerge w:val="restart"/>
            <w:tcBorders>
              <w:top w:val="nil"/>
              <w:left w:val="single" w:color="auto" w:sz="4" w:space="0"/>
              <w:bottom w:val="single" w:color="auto" w:sz="4" w:space="0"/>
              <w:right w:val="single" w:color="auto" w:sz="4" w:space="0"/>
            </w:tcBorders>
            <w:shd w:val="clear" w:color="auto" w:fill="auto"/>
            <w:vAlign w:val="center"/>
          </w:tcPr>
          <w:p w14:paraId="20D42B88">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餐饮业</w:t>
            </w:r>
          </w:p>
        </w:tc>
        <w:tc>
          <w:tcPr>
            <w:tcW w:w="1384" w:type="dxa"/>
            <w:tcBorders>
              <w:top w:val="nil"/>
              <w:left w:val="nil"/>
              <w:bottom w:val="single" w:color="auto" w:sz="4" w:space="0"/>
              <w:right w:val="single" w:color="auto" w:sz="4" w:space="0"/>
            </w:tcBorders>
            <w:shd w:val="clear" w:color="auto" w:fill="auto"/>
            <w:vAlign w:val="center"/>
          </w:tcPr>
          <w:p w14:paraId="79BA6EB6">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66716789">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734" w:type="dxa"/>
            <w:tcBorders>
              <w:top w:val="nil"/>
              <w:left w:val="nil"/>
              <w:bottom w:val="single" w:color="auto" w:sz="4" w:space="0"/>
              <w:right w:val="single" w:color="auto" w:sz="4" w:space="0"/>
            </w:tcBorders>
            <w:shd w:val="clear" w:color="auto" w:fill="auto"/>
            <w:vAlign w:val="center"/>
          </w:tcPr>
          <w:p w14:paraId="62D23B1E">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X＜300</w:t>
            </w:r>
          </w:p>
        </w:tc>
        <w:tc>
          <w:tcPr>
            <w:tcW w:w="1637" w:type="dxa"/>
            <w:tcBorders>
              <w:top w:val="nil"/>
              <w:left w:val="nil"/>
              <w:bottom w:val="single" w:color="auto" w:sz="4" w:space="0"/>
              <w:right w:val="single" w:color="auto" w:sz="4" w:space="0"/>
            </w:tcBorders>
            <w:shd w:val="clear" w:color="auto" w:fill="auto"/>
            <w:vAlign w:val="center"/>
          </w:tcPr>
          <w:p w14:paraId="6503D008">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w:t>
            </w:r>
          </w:p>
        </w:tc>
        <w:tc>
          <w:tcPr>
            <w:tcW w:w="1138" w:type="dxa"/>
            <w:tcBorders>
              <w:top w:val="nil"/>
              <w:left w:val="nil"/>
              <w:bottom w:val="single" w:color="auto" w:sz="4" w:space="0"/>
              <w:right w:val="single" w:color="auto" w:sz="4" w:space="0"/>
            </w:tcBorders>
            <w:shd w:val="clear" w:color="auto" w:fill="auto"/>
            <w:vAlign w:val="center"/>
          </w:tcPr>
          <w:p w14:paraId="06EBE7B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X＜10</w:t>
            </w:r>
          </w:p>
        </w:tc>
      </w:tr>
      <w:tr w14:paraId="2CF5A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2299" w:type="dxa"/>
            <w:vMerge w:val="continue"/>
            <w:tcBorders>
              <w:top w:val="nil"/>
              <w:left w:val="single" w:color="auto" w:sz="4" w:space="0"/>
              <w:bottom w:val="single" w:color="auto" w:sz="4" w:space="0"/>
              <w:right w:val="single" w:color="auto" w:sz="4" w:space="0"/>
            </w:tcBorders>
            <w:shd w:val="clear" w:color="auto" w:fill="auto"/>
            <w:vAlign w:val="center"/>
          </w:tcPr>
          <w:p w14:paraId="64995F64">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4CACD062">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4DCBD84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0139789F">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Y＜10000</w:t>
            </w:r>
          </w:p>
        </w:tc>
        <w:tc>
          <w:tcPr>
            <w:tcW w:w="1637" w:type="dxa"/>
            <w:tcBorders>
              <w:top w:val="nil"/>
              <w:left w:val="nil"/>
              <w:bottom w:val="single" w:color="auto" w:sz="4" w:space="0"/>
              <w:right w:val="single" w:color="auto" w:sz="4" w:space="0"/>
            </w:tcBorders>
            <w:shd w:val="clear" w:color="auto" w:fill="auto"/>
            <w:vAlign w:val="center"/>
          </w:tcPr>
          <w:p w14:paraId="6C12BEBB">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Y＜2000</w:t>
            </w:r>
          </w:p>
        </w:tc>
        <w:tc>
          <w:tcPr>
            <w:tcW w:w="1138" w:type="dxa"/>
            <w:tcBorders>
              <w:top w:val="nil"/>
              <w:left w:val="nil"/>
              <w:bottom w:val="single" w:color="auto" w:sz="4" w:space="0"/>
              <w:right w:val="single" w:color="auto" w:sz="4" w:space="0"/>
            </w:tcBorders>
            <w:shd w:val="clear" w:color="auto" w:fill="auto"/>
            <w:vAlign w:val="center"/>
          </w:tcPr>
          <w:p w14:paraId="559C5DA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Y＜100</w:t>
            </w:r>
          </w:p>
        </w:tc>
      </w:tr>
      <w:tr w14:paraId="40882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2299" w:type="dxa"/>
            <w:vMerge w:val="restart"/>
            <w:tcBorders>
              <w:top w:val="nil"/>
              <w:left w:val="single" w:color="auto" w:sz="4" w:space="0"/>
              <w:bottom w:val="single" w:color="auto" w:sz="4" w:space="0"/>
              <w:right w:val="single" w:color="auto" w:sz="4" w:space="0"/>
            </w:tcBorders>
            <w:shd w:val="clear" w:color="auto" w:fill="auto"/>
            <w:vAlign w:val="center"/>
          </w:tcPr>
          <w:p w14:paraId="0B522B75">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信息传输业</w:t>
            </w:r>
          </w:p>
        </w:tc>
        <w:tc>
          <w:tcPr>
            <w:tcW w:w="1384" w:type="dxa"/>
            <w:tcBorders>
              <w:top w:val="nil"/>
              <w:left w:val="nil"/>
              <w:bottom w:val="single" w:color="auto" w:sz="4" w:space="0"/>
              <w:right w:val="single" w:color="auto" w:sz="4" w:space="0"/>
            </w:tcBorders>
            <w:shd w:val="clear" w:color="auto" w:fill="auto"/>
            <w:vAlign w:val="center"/>
          </w:tcPr>
          <w:p w14:paraId="3B2A2BB6">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264E412F">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734" w:type="dxa"/>
            <w:tcBorders>
              <w:top w:val="nil"/>
              <w:left w:val="nil"/>
              <w:bottom w:val="single" w:color="auto" w:sz="4" w:space="0"/>
              <w:right w:val="single" w:color="auto" w:sz="4" w:space="0"/>
            </w:tcBorders>
            <w:shd w:val="clear" w:color="auto" w:fill="auto"/>
            <w:vAlign w:val="center"/>
          </w:tcPr>
          <w:p w14:paraId="15DCC1B9">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X＜2000</w:t>
            </w:r>
          </w:p>
        </w:tc>
        <w:tc>
          <w:tcPr>
            <w:tcW w:w="1637" w:type="dxa"/>
            <w:tcBorders>
              <w:top w:val="nil"/>
              <w:left w:val="nil"/>
              <w:bottom w:val="single" w:color="auto" w:sz="4" w:space="0"/>
              <w:right w:val="single" w:color="auto" w:sz="4" w:space="0"/>
            </w:tcBorders>
            <w:shd w:val="clear" w:color="auto" w:fill="auto"/>
            <w:vAlign w:val="center"/>
          </w:tcPr>
          <w:p w14:paraId="51C5BB27">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w:t>
            </w:r>
          </w:p>
        </w:tc>
        <w:tc>
          <w:tcPr>
            <w:tcW w:w="1138" w:type="dxa"/>
            <w:tcBorders>
              <w:top w:val="nil"/>
              <w:left w:val="nil"/>
              <w:bottom w:val="single" w:color="auto" w:sz="4" w:space="0"/>
              <w:right w:val="single" w:color="auto" w:sz="4" w:space="0"/>
            </w:tcBorders>
            <w:shd w:val="clear" w:color="auto" w:fill="auto"/>
            <w:vAlign w:val="center"/>
          </w:tcPr>
          <w:p w14:paraId="5E5BFEF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X＜10</w:t>
            </w:r>
          </w:p>
        </w:tc>
      </w:tr>
      <w:tr w14:paraId="0EBC1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 w:hRule="atLeast"/>
          <w:jc w:val="center"/>
        </w:trPr>
        <w:tc>
          <w:tcPr>
            <w:tcW w:w="2299" w:type="dxa"/>
            <w:vMerge w:val="continue"/>
            <w:tcBorders>
              <w:top w:val="nil"/>
              <w:left w:val="single" w:color="auto" w:sz="4" w:space="0"/>
              <w:bottom w:val="single" w:color="auto" w:sz="4" w:space="0"/>
              <w:right w:val="single" w:color="auto" w:sz="4" w:space="0"/>
            </w:tcBorders>
            <w:shd w:val="clear" w:color="auto" w:fill="auto"/>
            <w:vAlign w:val="center"/>
          </w:tcPr>
          <w:p w14:paraId="25E1C1A7">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4049B808">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45CDD202">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13A14127">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Y＜100000</w:t>
            </w:r>
          </w:p>
        </w:tc>
        <w:tc>
          <w:tcPr>
            <w:tcW w:w="1637" w:type="dxa"/>
            <w:tcBorders>
              <w:top w:val="nil"/>
              <w:left w:val="nil"/>
              <w:bottom w:val="single" w:color="auto" w:sz="4" w:space="0"/>
              <w:right w:val="single" w:color="auto" w:sz="4" w:space="0"/>
            </w:tcBorders>
            <w:shd w:val="clear" w:color="auto" w:fill="auto"/>
            <w:vAlign w:val="center"/>
          </w:tcPr>
          <w:p w14:paraId="1C331B7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Y＜1000</w:t>
            </w:r>
          </w:p>
        </w:tc>
        <w:tc>
          <w:tcPr>
            <w:tcW w:w="1138" w:type="dxa"/>
            <w:tcBorders>
              <w:top w:val="nil"/>
              <w:left w:val="nil"/>
              <w:bottom w:val="single" w:color="auto" w:sz="4" w:space="0"/>
              <w:right w:val="single" w:color="auto" w:sz="4" w:space="0"/>
            </w:tcBorders>
            <w:shd w:val="clear" w:color="auto" w:fill="auto"/>
            <w:vAlign w:val="center"/>
          </w:tcPr>
          <w:p w14:paraId="0760F05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Y＜100</w:t>
            </w:r>
          </w:p>
        </w:tc>
      </w:tr>
      <w:tr w14:paraId="7F303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 w:hRule="atLeast"/>
          <w:jc w:val="center"/>
        </w:trPr>
        <w:tc>
          <w:tcPr>
            <w:tcW w:w="2299" w:type="dxa"/>
            <w:vMerge w:val="restart"/>
            <w:tcBorders>
              <w:top w:val="nil"/>
              <w:left w:val="single" w:color="auto" w:sz="4" w:space="0"/>
              <w:bottom w:val="single" w:color="auto" w:sz="4" w:space="0"/>
              <w:right w:val="single" w:color="auto" w:sz="4" w:space="0"/>
            </w:tcBorders>
            <w:shd w:val="clear" w:color="auto" w:fill="auto"/>
            <w:vAlign w:val="center"/>
          </w:tcPr>
          <w:p w14:paraId="71BADC85">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软件和信息技术服务业</w:t>
            </w:r>
          </w:p>
        </w:tc>
        <w:tc>
          <w:tcPr>
            <w:tcW w:w="1384" w:type="dxa"/>
            <w:tcBorders>
              <w:top w:val="nil"/>
              <w:left w:val="nil"/>
              <w:bottom w:val="single" w:color="auto" w:sz="4" w:space="0"/>
              <w:right w:val="single" w:color="auto" w:sz="4" w:space="0"/>
            </w:tcBorders>
            <w:shd w:val="clear" w:color="auto" w:fill="auto"/>
            <w:vAlign w:val="center"/>
          </w:tcPr>
          <w:p w14:paraId="3ED69414">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726CFEC6">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734" w:type="dxa"/>
            <w:tcBorders>
              <w:top w:val="nil"/>
              <w:left w:val="nil"/>
              <w:bottom w:val="single" w:color="auto" w:sz="4" w:space="0"/>
              <w:right w:val="single" w:color="auto" w:sz="4" w:space="0"/>
            </w:tcBorders>
            <w:shd w:val="clear" w:color="auto" w:fill="auto"/>
            <w:vAlign w:val="center"/>
          </w:tcPr>
          <w:p w14:paraId="24A1905E">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X＜300</w:t>
            </w:r>
          </w:p>
        </w:tc>
        <w:tc>
          <w:tcPr>
            <w:tcW w:w="1637" w:type="dxa"/>
            <w:tcBorders>
              <w:top w:val="nil"/>
              <w:left w:val="nil"/>
              <w:bottom w:val="single" w:color="auto" w:sz="4" w:space="0"/>
              <w:right w:val="single" w:color="auto" w:sz="4" w:space="0"/>
            </w:tcBorders>
            <w:shd w:val="clear" w:color="auto" w:fill="auto"/>
            <w:vAlign w:val="center"/>
          </w:tcPr>
          <w:p w14:paraId="58AAADA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w:t>
            </w:r>
          </w:p>
        </w:tc>
        <w:tc>
          <w:tcPr>
            <w:tcW w:w="1138" w:type="dxa"/>
            <w:tcBorders>
              <w:top w:val="nil"/>
              <w:left w:val="nil"/>
              <w:bottom w:val="single" w:color="auto" w:sz="4" w:space="0"/>
              <w:right w:val="single" w:color="auto" w:sz="4" w:space="0"/>
            </w:tcBorders>
            <w:shd w:val="clear" w:color="auto" w:fill="auto"/>
            <w:vAlign w:val="center"/>
          </w:tcPr>
          <w:p w14:paraId="290FF1A7">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X＜10</w:t>
            </w:r>
          </w:p>
        </w:tc>
      </w:tr>
      <w:tr w14:paraId="2EA63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2299" w:type="dxa"/>
            <w:vMerge w:val="continue"/>
            <w:tcBorders>
              <w:top w:val="nil"/>
              <w:left w:val="single" w:color="auto" w:sz="4" w:space="0"/>
              <w:bottom w:val="single" w:color="auto" w:sz="4" w:space="0"/>
              <w:right w:val="single" w:color="auto" w:sz="4" w:space="0"/>
            </w:tcBorders>
            <w:shd w:val="clear" w:color="auto" w:fill="auto"/>
            <w:vAlign w:val="center"/>
          </w:tcPr>
          <w:p w14:paraId="7909722A">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0F0F269D">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29E719A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4B0A7E78">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Y＜10000</w:t>
            </w:r>
          </w:p>
        </w:tc>
        <w:tc>
          <w:tcPr>
            <w:tcW w:w="1637" w:type="dxa"/>
            <w:tcBorders>
              <w:top w:val="nil"/>
              <w:left w:val="nil"/>
              <w:bottom w:val="single" w:color="auto" w:sz="4" w:space="0"/>
              <w:right w:val="single" w:color="auto" w:sz="4" w:space="0"/>
            </w:tcBorders>
            <w:shd w:val="clear" w:color="auto" w:fill="auto"/>
            <w:vAlign w:val="center"/>
          </w:tcPr>
          <w:p w14:paraId="60EFF61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50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Y＜1000</w:t>
            </w:r>
          </w:p>
        </w:tc>
        <w:tc>
          <w:tcPr>
            <w:tcW w:w="1138" w:type="dxa"/>
            <w:tcBorders>
              <w:top w:val="nil"/>
              <w:left w:val="nil"/>
              <w:bottom w:val="single" w:color="auto" w:sz="4" w:space="0"/>
              <w:right w:val="single" w:color="auto" w:sz="4" w:space="0"/>
            </w:tcBorders>
            <w:shd w:val="clear" w:color="auto" w:fill="auto"/>
            <w:vAlign w:val="center"/>
          </w:tcPr>
          <w:p w14:paraId="791575A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Y＜50</w:t>
            </w:r>
          </w:p>
        </w:tc>
      </w:tr>
      <w:tr w14:paraId="30024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jc w:val="center"/>
        </w:trPr>
        <w:tc>
          <w:tcPr>
            <w:tcW w:w="2299" w:type="dxa"/>
            <w:vMerge w:val="restart"/>
            <w:tcBorders>
              <w:top w:val="nil"/>
              <w:left w:val="single" w:color="auto" w:sz="4" w:space="0"/>
              <w:bottom w:val="single" w:color="auto" w:sz="4" w:space="0"/>
              <w:right w:val="single" w:color="auto" w:sz="4" w:space="0"/>
            </w:tcBorders>
            <w:shd w:val="clear" w:color="auto" w:fill="auto"/>
            <w:vAlign w:val="center"/>
          </w:tcPr>
          <w:p w14:paraId="6EB577BD">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房地产开发经营</w:t>
            </w:r>
          </w:p>
        </w:tc>
        <w:tc>
          <w:tcPr>
            <w:tcW w:w="1384" w:type="dxa"/>
            <w:tcBorders>
              <w:top w:val="nil"/>
              <w:left w:val="nil"/>
              <w:bottom w:val="single" w:color="auto" w:sz="4" w:space="0"/>
              <w:right w:val="single" w:color="auto" w:sz="4" w:space="0"/>
            </w:tcBorders>
            <w:shd w:val="clear" w:color="auto" w:fill="auto"/>
            <w:vAlign w:val="center"/>
          </w:tcPr>
          <w:p w14:paraId="7AE196B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3E44DBB5">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10A56D4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Y＜200000</w:t>
            </w:r>
          </w:p>
        </w:tc>
        <w:tc>
          <w:tcPr>
            <w:tcW w:w="1637" w:type="dxa"/>
            <w:tcBorders>
              <w:top w:val="nil"/>
              <w:left w:val="nil"/>
              <w:bottom w:val="single" w:color="auto" w:sz="4" w:space="0"/>
              <w:right w:val="single" w:color="auto" w:sz="4" w:space="0"/>
            </w:tcBorders>
            <w:shd w:val="clear" w:color="auto" w:fill="auto"/>
            <w:vAlign w:val="center"/>
          </w:tcPr>
          <w:p w14:paraId="0A5083CB">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X＜1000</w:t>
            </w:r>
          </w:p>
        </w:tc>
        <w:tc>
          <w:tcPr>
            <w:tcW w:w="1138" w:type="dxa"/>
            <w:tcBorders>
              <w:top w:val="nil"/>
              <w:left w:val="nil"/>
              <w:bottom w:val="single" w:color="auto" w:sz="4" w:space="0"/>
              <w:right w:val="single" w:color="auto" w:sz="4" w:space="0"/>
            </w:tcBorders>
            <w:shd w:val="clear" w:color="auto" w:fill="auto"/>
            <w:vAlign w:val="center"/>
          </w:tcPr>
          <w:p w14:paraId="339FF0B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X＜100</w:t>
            </w:r>
          </w:p>
        </w:tc>
      </w:tr>
      <w:tr w14:paraId="20FAD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jc w:val="center"/>
        </w:trPr>
        <w:tc>
          <w:tcPr>
            <w:tcW w:w="2299" w:type="dxa"/>
            <w:vMerge w:val="continue"/>
            <w:tcBorders>
              <w:top w:val="nil"/>
              <w:left w:val="single" w:color="auto" w:sz="4" w:space="0"/>
              <w:bottom w:val="single" w:color="auto" w:sz="4" w:space="0"/>
              <w:right w:val="single" w:color="auto" w:sz="4" w:space="0"/>
            </w:tcBorders>
            <w:shd w:val="clear" w:color="auto" w:fill="auto"/>
            <w:vAlign w:val="center"/>
          </w:tcPr>
          <w:p w14:paraId="3BDDB472">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47494A26">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资产总额（</w:t>
            </w:r>
            <w:r>
              <w:rPr>
                <w:rFonts w:hint="default" w:ascii="仿宋_GB2312" w:hAnsi="仿宋" w:eastAsia="仿宋_GB2312" w:cs="宋体"/>
                <w:color w:val="auto"/>
                <w:kern w:val="0"/>
                <w:sz w:val="18"/>
                <w:szCs w:val="18"/>
                <w:highlight w:val="none"/>
                <w:lang w:val="en-US" w:eastAsia="zh-CN" w:bidi="ar"/>
              </w:rPr>
              <w:t>Z）</w:t>
            </w:r>
          </w:p>
        </w:tc>
        <w:tc>
          <w:tcPr>
            <w:tcW w:w="913" w:type="dxa"/>
            <w:tcBorders>
              <w:top w:val="nil"/>
              <w:left w:val="nil"/>
              <w:bottom w:val="single" w:color="auto" w:sz="4" w:space="0"/>
              <w:right w:val="single" w:color="auto" w:sz="4" w:space="0"/>
            </w:tcBorders>
            <w:shd w:val="clear" w:color="auto" w:fill="auto"/>
            <w:vAlign w:val="center"/>
          </w:tcPr>
          <w:p w14:paraId="2A73EE5F">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76FFE7A7">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5000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Z＜10000</w:t>
            </w:r>
          </w:p>
        </w:tc>
        <w:tc>
          <w:tcPr>
            <w:tcW w:w="1637" w:type="dxa"/>
            <w:tcBorders>
              <w:top w:val="nil"/>
              <w:left w:val="nil"/>
              <w:bottom w:val="single" w:color="auto" w:sz="4" w:space="0"/>
              <w:right w:val="single" w:color="auto" w:sz="4" w:space="0"/>
            </w:tcBorders>
            <w:shd w:val="clear" w:color="auto" w:fill="auto"/>
            <w:vAlign w:val="center"/>
          </w:tcPr>
          <w:p w14:paraId="5740715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Y＜5000</w:t>
            </w:r>
          </w:p>
        </w:tc>
        <w:tc>
          <w:tcPr>
            <w:tcW w:w="1138" w:type="dxa"/>
            <w:tcBorders>
              <w:top w:val="nil"/>
              <w:left w:val="nil"/>
              <w:bottom w:val="single" w:color="auto" w:sz="4" w:space="0"/>
              <w:right w:val="single" w:color="auto" w:sz="4" w:space="0"/>
            </w:tcBorders>
            <w:shd w:val="clear" w:color="auto" w:fill="auto"/>
            <w:vAlign w:val="center"/>
          </w:tcPr>
          <w:p w14:paraId="788AC84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Y＜2000</w:t>
            </w:r>
          </w:p>
        </w:tc>
      </w:tr>
      <w:tr w14:paraId="54A30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 w:hRule="atLeast"/>
          <w:jc w:val="center"/>
        </w:trPr>
        <w:tc>
          <w:tcPr>
            <w:tcW w:w="2299" w:type="dxa"/>
            <w:vMerge w:val="restart"/>
            <w:tcBorders>
              <w:top w:val="nil"/>
              <w:left w:val="single" w:color="auto" w:sz="4" w:space="0"/>
              <w:bottom w:val="single" w:color="auto" w:sz="4" w:space="0"/>
              <w:right w:val="single" w:color="auto" w:sz="4" w:space="0"/>
            </w:tcBorders>
            <w:shd w:val="clear" w:color="auto" w:fill="auto"/>
            <w:vAlign w:val="center"/>
          </w:tcPr>
          <w:p w14:paraId="704C69FD">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物业管理</w:t>
            </w:r>
          </w:p>
        </w:tc>
        <w:tc>
          <w:tcPr>
            <w:tcW w:w="1384" w:type="dxa"/>
            <w:tcBorders>
              <w:top w:val="nil"/>
              <w:left w:val="nil"/>
              <w:bottom w:val="single" w:color="auto" w:sz="4" w:space="0"/>
              <w:right w:val="single" w:color="auto" w:sz="4" w:space="0"/>
            </w:tcBorders>
            <w:shd w:val="clear" w:color="auto" w:fill="auto"/>
            <w:vAlign w:val="center"/>
          </w:tcPr>
          <w:p w14:paraId="0F080488">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335A5E7F">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734" w:type="dxa"/>
            <w:tcBorders>
              <w:top w:val="nil"/>
              <w:left w:val="nil"/>
              <w:bottom w:val="single" w:color="auto" w:sz="4" w:space="0"/>
              <w:right w:val="single" w:color="auto" w:sz="4" w:space="0"/>
            </w:tcBorders>
            <w:shd w:val="clear" w:color="auto" w:fill="auto"/>
            <w:vAlign w:val="center"/>
          </w:tcPr>
          <w:p w14:paraId="780F574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300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X＜1000</w:t>
            </w:r>
          </w:p>
        </w:tc>
        <w:tc>
          <w:tcPr>
            <w:tcW w:w="1637" w:type="dxa"/>
            <w:tcBorders>
              <w:top w:val="nil"/>
              <w:left w:val="nil"/>
              <w:bottom w:val="single" w:color="auto" w:sz="4" w:space="0"/>
              <w:right w:val="single" w:color="auto" w:sz="4" w:space="0"/>
            </w:tcBorders>
            <w:shd w:val="clear" w:color="auto" w:fill="auto"/>
            <w:vAlign w:val="center"/>
          </w:tcPr>
          <w:p w14:paraId="52C8FA6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X＜300</w:t>
            </w:r>
          </w:p>
        </w:tc>
        <w:tc>
          <w:tcPr>
            <w:tcW w:w="1138" w:type="dxa"/>
            <w:tcBorders>
              <w:top w:val="nil"/>
              <w:left w:val="nil"/>
              <w:bottom w:val="single" w:color="auto" w:sz="4" w:space="0"/>
              <w:right w:val="single" w:color="auto" w:sz="4" w:space="0"/>
            </w:tcBorders>
            <w:shd w:val="clear" w:color="auto" w:fill="auto"/>
            <w:vAlign w:val="center"/>
          </w:tcPr>
          <w:p w14:paraId="0748DFE8">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X＜100</w:t>
            </w:r>
          </w:p>
        </w:tc>
      </w:tr>
      <w:tr w14:paraId="39F1E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 w:hRule="atLeast"/>
          <w:jc w:val="center"/>
        </w:trPr>
        <w:tc>
          <w:tcPr>
            <w:tcW w:w="2299" w:type="dxa"/>
            <w:vMerge w:val="continue"/>
            <w:tcBorders>
              <w:top w:val="nil"/>
              <w:left w:val="single" w:color="auto" w:sz="4" w:space="0"/>
              <w:bottom w:val="single" w:color="auto" w:sz="4" w:space="0"/>
              <w:right w:val="single" w:color="auto" w:sz="4" w:space="0"/>
            </w:tcBorders>
            <w:shd w:val="clear" w:color="auto" w:fill="auto"/>
            <w:vAlign w:val="center"/>
          </w:tcPr>
          <w:p w14:paraId="03763258">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171C716B">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5B31B9C6">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0DEE3164">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Y＜5000</w:t>
            </w:r>
          </w:p>
        </w:tc>
        <w:tc>
          <w:tcPr>
            <w:tcW w:w="1637" w:type="dxa"/>
            <w:tcBorders>
              <w:top w:val="nil"/>
              <w:left w:val="nil"/>
              <w:bottom w:val="single" w:color="auto" w:sz="4" w:space="0"/>
              <w:right w:val="single" w:color="auto" w:sz="4" w:space="0"/>
            </w:tcBorders>
            <w:shd w:val="clear" w:color="auto" w:fill="auto"/>
            <w:vAlign w:val="center"/>
          </w:tcPr>
          <w:p w14:paraId="691F50E5">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500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Y＜1000</w:t>
            </w:r>
          </w:p>
        </w:tc>
        <w:tc>
          <w:tcPr>
            <w:tcW w:w="1138" w:type="dxa"/>
            <w:tcBorders>
              <w:top w:val="nil"/>
              <w:left w:val="nil"/>
              <w:bottom w:val="single" w:color="auto" w:sz="4" w:space="0"/>
              <w:right w:val="single" w:color="auto" w:sz="4" w:space="0"/>
            </w:tcBorders>
            <w:shd w:val="clear" w:color="auto" w:fill="auto"/>
            <w:vAlign w:val="center"/>
          </w:tcPr>
          <w:p w14:paraId="16D0EFE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Y＜500</w:t>
            </w:r>
          </w:p>
        </w:tc>
      </w:tr>
      <w:tr w14:paraId="79DF7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2299" w:type="dxa"/>
            <w:vMerge w:val="restart"/>
            <w:tcBorders>
              <w:top w:val="nil"/>
              <w:left w:val="single" w:color="auto" w:sz="4" w:space="0"/>
              <w:bottom w:val="single" w:color="auto" w:sz="4" w:space="0"/>
              <w:right w:val="single" w:color="auto" w:sz="4" w:space="0"/>
            </w:tcBorders>
            <w:shd w:val="clear" w:color="auto" w:fill="auto"/>
            <w:vAlign w:val="center"/>
          </w:tcPr>
          <w:p w14:paraId="6817871D">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租赁和商务服务业</w:t>
            </w:r>
          </w:p>
        </w:tc>
        <w:tc>
          <w:tcPr>
            <w:tcW w:w="1384" w:type="dxa"/>
            <w:tcBorders>
              <w:top w:val="nil"/>
              <w:left w:val="nil"/>
              <w:bottom w:val="single" w:color="auto" w:sz="4" w:space="0"/>
              <w:right w:val="single" w:color="auto" w:sz="4" w:space="0"/>
            </w:tcBorders>
            <w:shd w:val="clear" w:color="auto" w:fill="auto"/>
            <w:vAlign w:val="center"/>
          </w:tcPr>
          <w:p w14:paraId="38293117">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0BAC41F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734" w:type="dxa"/>
            <w:tcBorders>
              <w:top w:val="nil"/>
              <w:left w:val="nil"/>
              <w:bottom w:val="single" w:color="auto" w:sz="4" w:space="0"/>
              <w:right w:val="single" w:color="auto" w:sz="4" w:space="0"/>
            </w:tcBorders>
            <w:shd w:val="clear" w:color="auto" w:fill="auto"/>
            <w:vAlign w:val="center"/>
          </w:tcPr>
          <w:p w14:paraId="4449467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X＜300</w:t>
            </w:r>
          </w:p>
        </w:tc>
        <w:tc>
          <w:tcPr>
            <w:tcW w:w="1637" w:type="dxa"/>
            <w:tcBorders>
              <w:top w:val="nil"/>
              <w:left w:val="nil"/>
              <w:bottom w:val="single" w:color="auto" w:sz="4" w:space="0"/>
              <w:right w:val="single" w:color="auto" w:sz="4" w:space="0"/>
            </w:tcBorders>
            <w:shd w:val="clear" w:color="auto" w:fill="auto"/>
            <w:vAlign w:val="center"/>
          </w:tcPr>
          <w:p w14:paraId="539926D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w:t>
            </w:r>
          </w:p>
        </w:tc>
        <w:tc>
          <w:tcPr>
            <w:tcW w:w="1138" w:type="dxa"/>
            <w:tcBorders>
              <w:top w:val="nil"/>
              <w:left w:val="nil"/>
              <w:bottom w:val="single" w:color="auto" w:sz="4" w:space="0"/>
              <w:right w:val="single" w:color="auto" w:sz="4" w:space="0"/>
            </w:tcBorders>
            <w:shd w:val="clear" w:color="auto" w:fill="auto"/>
            <w:vAlign w:val="center"/>
          </w:tcPr>
          <w:p w14:paraId="163E5CA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X＜10</w:t>
            </w:r>
          </w:p>
        </w:tc>
      </w:tr>
      <w:tr w14:paraId="29CC5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jc w:val="center"/>
        </w:trPr>
        <w:tc>
          <w:tcPr>
            <w:tcW w:w="2299" w:type="dxa"/>
            <w:vMerge w:val="continue"/>
            <w:tcBorders>
              <w:top w:val="nil"/>
              <w:left w:val="single" w:color="auto" w:sz="4" w:space="0"/>
              <w:bottom w:val="single" w:color="auto" w:sz="4" w:space="0"/>
              <w:right w:val="single" w:color="auto" w:sz="4" w:space="0"/>
            </w:tcBorders>
            <w:shd w:val="clear" w:color="auto" w:fill="auto"/>
            <w:vAlign w:val="center"/>
          </w:tcPr>
          <w:p w14:paraId="49CD0044">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246F722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资产总额（</w:t>
            </w:r>
            <w:r>
              <w:rPr>
                <w:rFonts w:hint="default" w:ascii="仿宋_GB2312" w:hAnsi="仿宋" w:eastAsia="仿宋_GB2312" w:cs="宋体"/>
                <w:color w:val="auto"/>
                <w:kern w:val="0"/>
                <w:sz w:val="18"/>
                <w:szCs w:val="18"/>
                <w:highlight w:val="none"/>
                <w:lang w:val="en-US" w:eastAsia="zh-CN" w:bidi="ar"/>
              </w:rPr>
              <w:t>Z）</w:t>
            </w:r>
          </w:p>
        </w:tc>
        <w:tc>
          <w:tcPr>
            <w:tcW w:w="913" w:type="dxa"/>
            <w:tcBorders>
              <w:top w:val="nil"/>
              <w:left w:val="nil"/>
              <w:bottom w:val="single" w:color="auto" w:sz="4" w:space="0"/>
              <w:right w:val="single" w:color="auto" w:sz="4" w:space="0"/>
            </w:tcBorders>
            <w:shd w:val="clear" w:color="auto" w:fill="auto"/>
            <w:vAlign w:val="center"/>
          </w:tcPr>
          <w:p w14:paraId="72034E5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6177F2A6">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8000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Z＜120000</w:t>
            </w:r>
          </w:p>
        </w:tc>
        <w:tc>
          <w:tcPr>
            <w:tcW w:w="1637" w:type="dxa"/>
            <w:tcBorders>
              <w:top w:val="nil"/>
              <w:left w:val="nil"/>
              <w:bottom w:val="single" w:color="auto" w:sz="4" w:space="0"/>
              <w:right w:val="single" w:color="auto" w:sz="4" w:space="0"/>
            </w:tcBorders>
            <w:shd w:val="clear" w:color="auto" w:fill="auto"/>
            <w:vAlign w:val="center"/>
          </w:tcPr>
          <w:p w14:paraId="25DFA32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Z＜8000</w:t>
            </w:r>
          </w:p>
        </w:tc>
        <w:tc>
          <w:tcPr>
            <w:tcW w:w="1138" w:type="dxa"/>
            <w:tcBorders>
              <w:top w:val="nil"/>
              <w:left w:val="nil"/>
              <w:bottom w:val="single" w:color="auto" w:sz="4" w:space="0"/>
              <w:right w:val="single" w:color="auto" w:sz="4" w:space="0"/>
            </w:tcBorders>
            <w:shd w:val="clear" w:color="auto" w:fill="auto"/>
            <w:vAlign w:val="center"/>
          </w:tcPr>
          <w:p w14:paraId="178A3519">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Y＜100</w:t>
            </w:r>
          </w:p>
        </w:tc>
      </w:tr>
      <w:tr w14:paraId="1D24F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jc w:val="center"/>
        </w:trPr>
        <w:tc>
          <w:tcPr>
            <w:tcW w:w="2299" w:type="dxa"/>
            <w:tcBorders>
              <w:top w:val="nil"/>
              <w:left w:val="single" w:color="auto" w:sz="4" w:space="0"/>
              <w:bottom w:val="single" w:color="auto" w:sz="4" w:space="0"/>
              <w:right w:val="single" w:color="auto" w:sz="4" w:space="0"/>
            </w:tcBorders>
            <w:shd w:val="clear" w:color="auto" w:fill="auto"/>
            <w:vAlign w:val="center"/>
          </w:tcPr>
          <w:p w14:paraId="1C221A14">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其他未列明行业</w:t>
            </w:r>
          </w:p>
        </w:tc>
        <w:tc>
          <w:tcPr>
            <w:tcW w:w="1384" w:type="dxa"/>
            <w:tcBorders>
              <w:top w:val="nil"/>
              <w:left w:val="nil"/>
              <w:bottom w:val="single" w:color="auto" w:sz="4" w:space="0"/>
              <w:right w:val="single" w:color="auto" w:sz="4" w:space="0"/>
            </w:tcBorders>
            <w:shd w:val="clear" w:color="auto" w:fill="auto"/>
            <w:vAlign w:val="center"/>
          </w:tcPr>
          <w:p w14:paraId="4D625FD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4C2431C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734" w:type="dxa"/>
            <w:tcBorders>
              <w:top w:val="nil"/>
              <w:left w:val="nil"/>
              <w:bottom w:val="single" w:color="auto" w:sz="4" w:space="0"/>
              <w:right w:val="single" w:color="auto" w:sz="4" w:space="0"/>
            </w:tcBorders>
            <w:shd w:val="clear" w:color="auto" w:fill="auto"/>
            <w:vAlign w:val="center"/>
          </w:tcPr>
          <w:p w14:paraId="30099512">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X＜300</w:t>
            </w:r>
          </w:p>
        </w:tc>
        <w:tc>
          <w:tcPr>
            <w:tcW w:w="1637" w:type="dxa"/>
            <w:tcBorders>
              <w:top w:val="nil"/>
              <w:left w:val="nil"/>
              <w:bottom w:val="single" w:color="auto" w:sz="4" w:space="0"/>
              <w:right w:val="single" w:color="auto" w:sz="4" w:space="0"/>
            </w:tcBorders>
            <w:shd w:val="clear" w:color="auto" w:fill="auto"/>
            <w:vAlign w:val="center"/>
          </w:tcPr>
          <w:p w14:paraId="5C263DBB">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w:t>
            </w:r>
          </w:p>
        </w:tc>
        <w:tc>
          <w:tcPr>
            <w:tcW w:w="1138" w:type="dxa"/>
            <w:tcBorders>
              <w:top w:val="nil"/>
              <w:left w:val="nil"/>
              <w:bottom w:val="single" w:color="auto" w:sz="4" w:space="0"/>
              <w:right w:val="single" w:color="auto" w:sz="4" w:space="0"/>
            </w:tcBorders>
            <w:shd w:val="clear" w:color="auto" w:fill="auto"/>
            <w:vAlign w:val="center"/>
          </w:tcPr>
          <w:p w14:paraId="64DEFBD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X＜10</w:t>
            </w:r>
          </w:p>
        </w:tc>
      </w:tr>
    </w:tbl>
    <w:p w14:paraId="25082680">
      <w:pPr>
        <w:pStyle w:val="40"/>
        <w:keepNext w:val="0"/>
        <w:keepLines w:val="0"/>
        <w:widowControl w:val="0"/>
        <w:suppressLineNumbers w:val="0"/>
        <w:spacing w:before="25" w:beforeAutospacing="0" w:after="25" w:afterAutospacing="0"/>
        <w:ind w:left="0" w:right="0"/>
        <w:jc w:val="left"/>
        <w:rPr>
          <w:rFonts w:hint="default" w:ascii="仿宋_GB2312" w:hAnsi="仿宋" w:eastAsia="仿宋_GB2312" w:cs="仿宋_GB2312"/>
          <w:bCs/>
          <w:color w:val="auto"/>
          <w:spacing w:val="10"/>
          <w:kern w:val="2"/>
          <w:sz w:val="21"/>
          <w:szCs w:val="21"/>
          <w:highlight w:val="none"/>
        </w:rPr>
      </w:pPr>
      <w:r>
        <w:rPr>
          <w:rFonts w:hint="default" w:ascii="仿宋_GB2312" w:hAnsi="仿宋" w:eastAsia="仿宋_GB2312" w:cs="仿宋_GB2312"/>
          <w:bCs/>
          <w:color w:val="auto"/>
          <w:spacing w:val="10"/>
          <w:kern w:val="2"/>
          <w:sz w:val="21"/>
          <w:szCs w:val="21"/>
          <w:highlight w:val="none"/>
          <w:lang w:val="en-US" w:eastAsia="zh-CN" w:bidi="ar"/>
        </w:rPr>
        <w:t xml:space="preserve"> </w:t>
      </w:r>
    </w:p>
    <w:p w14:paraId="18D5B757">
      <w:pPr>
        <w:pStyle w:val="40"/>
        <w:keepNext w:val="0"/>
        <w:keepLines w:val="0"/>
        <w:widowControl w:val="0"/>
        <w:suppressLineNumbers w:val="0"/>
        <w:spacing w:before="25" w:beforeAutospacing="0" w:after="25" w:afterAutospacing="0"/>
        <w:ind w:left="0" w:right="0"/>
        <w:jc w:val="left"/>
        <w:rPr>
          <w:rFonts w:hint="default" w:ascii="仿宋_GB2312" w:hAnsi="仿宋" w:eastAsia="仿宋_GB2312" w:cs="仿宋_GB2312"/>
          <w:bCs/>
          <w:color w:val="auto"/>
          <w:spacing w:val="10"/>
          <w:kern w:val="2"/>
          <w:sz w:val="21"/>
          <w:szCs w:val="21"/>
          <w:highlight w:val="none"/>
        </w:rPr>
      </w:pPr>
      <w:r>
        <w:rPr>
          <w:rFonts w:hint="default" w:ascii="仿宋_GB2312" w:hAnsi="仿宋" w:eastAsia="仿宋_GB2312" w:cs="仿宋_GB2312"/>
          <w:bCs/>
          <w:color w:val="auto"/>
          <w:spacing w:val="10"/>
          <w:kern w:val="0"/>
          <w:sz w:val="21"/>
          <w:szCs w:val="21"/>
          <w:highlight w:val="none"/>
          <w:lang w:val="en-US" w:eastAsia="zh-CN" w:bidi="ar"/>
        </w:rPr>
        <w:t>说明：上述标准参照《关于印发中小企业划型标准规定的通知》（工信部联企业</w:t>
      </w:r>
      <w:r>
        <w:rPr>
          <w:rFonts w:hint="default" w:ascii="仿宋_GB2312" w:hAnsi="仿宋" w:eastAsia="仿宋_GB2312" w:cs="Times New Roman"/>
          <w:bCs/>
          <w:color w:val="auto"/>
          <w:spacing w:val="10"/>
          <w:kern w:val="0"/>
          <w:sz w:val="21"/>
          <w:szCs w:val="21"/>
          <w:highlight w:val="none"/>
          <w:lang w:val="en-US" w:eastAsia="zh-CN" w:bidi="ar"/>
        </w:rPr>
        <w:t>[2011]300号），大型、中型和小型企业须同时满足所列指标的下限，否则下划一档；微型企业只须满足所列指标中的一项即可。</w:t>
      </w:r>
    </w:p>
    <w:p w14:paraId="173C1219">
      <w:pPr>
        <w:pStyle w:val="24"/>
        <w:snapToGrid w:val="0"/>
        <w:spacing w:before="120" w:after="120"/>
        <w:rPr>
          <w:rFonts w:hint="eastAsia" w:ascii="黑体" w:hAnsi="黑体" w:eastAsia="黑体" w:cs="黑体"/>
          <w:color w:val="auto"/>
          <w:kern w:val="2"/>
          <w:sz w:val="32"/>
          <w:szCs w:val="32"/>
          <w:highlight w:val="none"/>
          <w:lang w:val="zh-CN"/>
        </w:rPr>
      </w:pPr>
    </w:p>
    <w:p w14:paraId="2B42A15A">
      <w:pPr>
        <w:pStyle w:val="24"/>
        <w:snapToGrid w:val="0"/>
        <w:spacing w:before="120" w:after="120"/>
        <w:rPr>
          <w:rFonts w:hint="eastAsia" w:ascii="黑体" w:hAnsi="黑体" w:eastAsia="黑体" w:cs="黑体"/>
          <w:color w:val="auto"/>
          <w:kern w:val="2"/>
          <w:sz w:val="32"/>
          <w:szCs w:val="32"/>
          <w:highlight w:val="none"/>
          <w:lang w:val="zh-CN"/>
        </w:rPr>
      </w:pPr>
    </w:p>
    <w:p w14:paraId="036AD61E">
      <w:pPr>
        <w:pStyle w:val="24"/>
        <w:snapToGrid w:val="0"/>
        <w:spacing w:before="120" w:after="120"/>
        <w:rPr>
          <w:rFonts w:hint="eastAsia" w:hAnsi="宋体"/>
          <w:color w:val="auto"/>
          <w:highlight w:val="none"/>
        </w:rPr>
      </w:pPr>
      <w:r>
        <w:rPr>
          <w:rFonts w:hint="eastAsia" w:ascii="黑体" w:hAnsi="黑体" w:eastAsia="黑体" w:cs="黑体"/>
          <w:color w:val="auto"/>
          <w:kern w:val="2"/>
          <w:sz w:val="32"/>
          <w:szCs w:val="32"/>
          <w:highlight w:val="none"/>
          <w:lang w:val="zh-CN"/>
        </w:rPr>
        <w:t>附件</w:t>
      </w:r>
      <w:r>
        <w:rPr>
          <w:rFonts w:hint="eastAsia" w:ascii="黑体" w:hAnsi="黑体" w:eastAsia="黑体" w:cs="黑体"/>
          <w:color w:val="auto"/>
          <w:kern w:val="2"/>
          <w:sz w:val="32"/>
          <w:szCs w:val="32"/>
          <w:highlight w:val="none"/>
          <w:lang w:val="en-US" w:eastAsia="zh-CN"/>
        </w:rPr>
        <w:t>2</w:t>
      </w:r>
      <w:r>
        <w:rPr>
          <w:rFonts w:hint="eastAsia" w:ascii="黑体" w:hAnsi="黑体" w:eastAsia="黑体" w:cs="黑体"/>
          <w:color w:val="auto"/>
          <w:kern w:val="2"/>
          <w:sz w:val="32"/>
          <w:szCs w:val="32"/>
          <w:highlight w:val="none"/>
          <w:lang w:val="zh-CN"/>
        </w:rPr>
        <w:t>：</w:t>
      </w:r>
    </w:p>
    <w:p w14:paraId="2D256FC8">
      <w:pPr>
        <w:shd w:val="clear" w:color="auto" w:fill="FFFFFF"/>
        <w:spacing w:line="480" w:lineRule="atLeast"/>
        <w:jc w:val="center"/>
        <w:rPr>
          <w:rFonts w:hint="eastAsia" w:ascii="仿宋" w:hAnsi="仿宋" w:eastAsia="仿宋" w:cs="宋体"/>
          <w:color w:val="auto"/>
          <w:kern w:val="0"/>
          <w:sz w:val="32"/>
          <w:szCs w:val="32"/>
          <w:highlight w:val="none"/>
        </w:rPr>
      </w:pPr>
      <w:r>
        <w:rPr>
          <w:rFonts w:hint="eastAsia" w:ascii="黑体" w:hAnsi="黑体" w:eastAsia="黑体" w:cs="黑体"/>
          <w:color w:val="auto"/>
          <w:kern w:val="0"/>
          <w:sz w:val="32"/>
          <w:szCs w:val="32"/>
          <w:highlight w:val="none"/>
        </w:rPr>
        <w:t>广西壮族自治区政府采购项目合同验收书</w:t>
      </w:r>
      <w:r>
        <w:rPr>
          <w:rFonts w:hint="eastAsia" w:ascii="仿宋" w:hAnsi="仿宋" w:eastAsia="仿宋" w:cs="宋体"/>
          <w:color w:val="auto"/>
          <w:kern w:val="0"/>
          <w:sz w:val="32"/>
          <w:szCs w:val="32"/>
          <w:highlight w:val="none"/>
        </w:rPr>
        <w:t>（格式）</w:t>
      </w:r>
    </w:p>
    <w:p w14:paraId="4A3D1888">
      <w:pPr>
        <w:shd w:val="clear" w:color="auto" w:fill="FFFFFF"/>
        <w:spacing w:line="480" w:lineRule="atLeast"/>
        <w:jc w:val="center"/>
        <w:rPr>
          <w:rFonts w:hint="eastAsia" w:ascii="仿宋" w:hAnsi="仿宋" w:eastAsia="仿宋" w:cs="宋体"/>
          <w:color w:val="auto"/>
          <w:kern w:val="0"/>
          <w:sz w:val="32"/>
          <w:szCs w:val="32"/>
          <w:highlight w:val="none"/>
        </w:rPr>
      </w:pPr>
    </w:p>
    <w:p w14:paraId="5ABD6016">
      <w:pPr>
        <w:shd w:val="clear" w:color="auto" w:fill="FFFFFF"/>
        <w:snapToGrid w:val="0"/>
        <w:spacing w:line="320" w:lineRule="atLeast"/>
        <w:ind w:firstLine="48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根据政府采购项目（</w:t>
      </w:r>
      <w:r>
        <w:rPr>
          <w:rFonts w:hint="eastAsia" w:ascii="宋体" w:hAnsi="宋体" w:cs="宋体"/>
          <w:color w:val="auto"/>
          <w:kern w:val="0"/>
          <w:szCs w:val="21"/>
          <w:highlight w:val="none"/>
          <w:u w:val="single"/>
        </w:rPr>
        <w:t>采购合同编号：</w:t>
      </w:r>
      <w:r>
        <w:rPr>
          <w:rFonts w:hint="eastAsia" w:ascii="宋体" w:hAnsi="宋体" w:cs="宋体"/>
          <w:color w:val="auto"/>
          <w:kern w:val="0"/>
          <w:szCs w:val="21"/>
          <w:highlight w:val="none"/>
          <w:u w:val="single"/>
        </w:rPr>
        <w:softHyphen/>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）的约定，我单位对（</w:t>
      </w:r>
      <w:r>
        <w:rPr>
          <w:rFonts w:hint="eastAsia" w:ascii="宋体" w:hAnsi="宋体" w:cs="宋体"/>
          <w:color w:val="auto"/>
          <w:kern w:val="0"/>
          <w:szCs w:val="21"/>
          <w:highlight w:val="none"/>
          <w:u w:val="single"/>
        </w:rPr>
        <w:t xml:space="preserve"> 项目名称 </w:t>
      </w:r>
      <w:r>
        <w:rPr>
          <w:rFonts w:hint="eastAsia" w:ascii="宋体" w:hAnsi="宋体" w:cs="宋体"/>
          <w:color w:val="auto"/>
          <w:kern w:val="0"/>
          <w:szCs w:val="21"/>
          <w:highlight w:val="none"/>
        </w:rPr>
        <w:t>） 政府采购项目中标（或者成交）投标人（</w:t>
      </w:r>
      <w:r>
        <w:rPr>
          <w:rFonts w:hint="eastAsia" w:ascii="宋体" w:hAnsi="宋体" w:cs="宋体"/>
          <w:color w:val="auto"/>
          <w:kern w:val="0"/>
          <w:szCs w:val="21"/>
          <w:highlight w:val="none"/>
          <w:u w:val="single"/>
        </w:rPr>
        <w:t xml:space="preserve"> 公司名称 </w:t>
      </w:r>
      <w:r>
        <w:rPr>
          <w:rFonts w:hint="eastAsia" w:ascii="宋体" w:hAnsi="宋体" w:cs="宋体"/>
          <w:color w:val="auto"/>
          <w:kern w:val="0"/>
          <w:szCs w:val="21"/>
          <w:highlight w:val="none"/>
        </w:rPr>
        <w:t>） 提供的货物（或者工程、服务）进行了验收，验收情况如下：</w:t>
      </w:r>
    </w:p>
    <w:tbl>
      <w:tblPr>
        <w:tblStyle w:val="44"/>
        <w:tblW w:w="0" w:type="auto"/>
        <w:jc w:val="center"/>
        <w:tblLayout w:type="fixed"/>
        <w:tblCellMar>
          <w:top w:w="0" w:type="dxa"/>
          <w:left w:w="0" w:type="dxa"/>
          <w:bottom w:w="0" w:type="dxa"/>
          <w:right w:w="0" w:type="dxa"/>
        </w:tblCellMar>
      </w:tblPr>
      <w:tblGrid>
        <w:gridCol w:w="1331"/>
        <w:gridCol w:w="1921"/>
        <w:gridCol w:w="798"/>
        <w:gridCol w:w="102"/>
        <w:gridCol w:w="2002"/>
        <w:gridCol w:w="178"/>
        <w:gridCol w:w="685"/>
        <w:gridCol w:w="2354"/>
      </w:tblGrid>
      <w:tr w14:paraId="2D545A9C">
        <w:tblPrEx>
          <w:tblCellMar>
            <w:top w:w="0" w:type="dxa"/>
            <w:left w:w="0" w:type="dxa"/>
            <w:bottom w:w="0" w:type="dxa"/>
            <w:right w:w="0" w:type="dxa"/>
          </w:tblCellMar>
        </w:tblPrEx>
        <w:trPr>
          <w:trHeight w:val="497" w:hRule="atLeast"/>
          <w:jc w:val="center"/>
        </w:trPr>
        <w:tc>
          <w:tcPr>
            <w:tcW w:w="3252" w:type="dxa"/>
            <w:gridSpan w:val="2"/>
            <w:tcBorders>
              <w:top w:val="single" w:color="auto" w:sz="8" w:space="0"/>
              <w:left w:val="single" w:color="auto" w:sz="8" w:space="0"/>
              <w:bottom w:val="single" w:color="auto" w:sz="8" w:space="0"/>
              <w:right w:val="single" w:color="auto" w:sz="8" w:space="0"/>
            </w:tcBorders>
            <w:noWrap w:val="0"/>
            <w:vAlign w:val="center"/>
          </w:tcPr>
          <w:p w14:paraId="06F8E8FE">
            <w:pPr>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验收方式：</w:t>
            </w:r>
          </w:p>
        </w:tc>
        <w:tc>
          <w:tcPr>
            <w:tcW w:w="6119" w:type="dxa"/>
            <w:gridSpan w:val="6"/>
            <w:tcBorders>
              <w:top w:val="single" w:color="auto" w:sz="8" w:space="0"/>
              <w:left w:val="nil"/>
              <w:bottom w:val="single" w:color="auto" w:sz="8" w:space="0"/>
              <w:right w:val="single" w:color="auto" w:sz="8" w:space="0"/>
            </w:tcBorders>
            <w:noWrap w:val="0"/>
            <w:vAlign w:val="center"/>
          </w:tcPr>
          <w:p w14:paraId="55A20444">
            <w:pPr>
              <w:snapToGrid w:val="0"/>
              <w:spacing w:before="100" w:beforeAutospacing="1" w:after="100" w:afterAutospacing="1" w:line="320" w:lineRule="atLeast"/>
              <w:ind w:firstLine="480"/>
              <w:jc w:val="center"/>
              <w:rPr>
                <w:rFonts w:ascii="Verdana" w:hAnsi="Verdana" w:cs="宋体"/>
                <w:color w:val="auto"/>
                <w:kern w:val="0"/>
                <w:szCs w:val="21"/>
                <w:highlight w:val="none"/>
              </w:rPr>
            </w:pPr>
            <w:r>
              <w:rPr>
                <w:rFonts w:ascii="Verdana" w:hAnsi="Verdana" w:cs="宋体"/>
                <w:color w:val="auto"/>
                <w:kern w:val="0"/>
                <w:szCs w:val="21"/>
                <w:highlight w:val="none"/>
              </w:rPr>
              <w:t>□自行验收 □委托验收</w:t>
            </w:r>
          </w:p>
        </w:tc>
      </w:tr>
      <w:tr w14:paraId="451094C4">
        <w:tblPrEx>
          <w:tblCellMar>
            <w:top w:w="0" w:type="dxa"/>
            <w:left w:w="0" w:type="dxa"/>
            <w:bottom w:w="0" w:type="dxa"/>
            <w:right w:w="0" w:type="dxa"/>
          </w:tblCellMar>
        </w:tblPrEx>
        <w:trPr>
          <w:trHeight w:val="622" w:hRule="atLeast"/>
          <w:jc w:val="center"/>
        </w:trPr>
        <w:tc>
          <w:tcPr>
            <w:tcW w:w="1331" w:type="dxa"/>
            <w:tcBorders>
              <w:top w:val="nil"/>
              <w:left w:val="single" w:color="auto" w:sz="8" w:space="0"/>
              <w:bottom w:val="single" w:color="auto" w:sz="8" w:space="0"/>
              <w:right w:val="single" w:color="auto" w:sz="8" w:space="0"/>
            </w:tcBorders>
            <w:noWrap w:val="0"/>
            <w:vAlign w:val="center"/>
          </w:tcPr>
          <w:p w14:paraId="3C1AD8C1">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序号</w:t>
            </w:r>
          </w:p>
        </w:tc>
        <w:tc>
          <w:tcPr>
            <w:tcW w:w="1921" w:type="dxa"/>
            <w:tcBorders>
              <w:top w:val="nil"/>
              <w:left w:val="nil"/>
              <w:bottom w:val="single" w:color="auto" w:sz="8" w:space="0"/>
              <w:right w:val="single" w:color="auto" w:sz="8" w:space="0"/>
            </w:tcBorders>
            <w:noWrap w:val="0"/>
            <w:vAlign w:val="center"/>
          </w:tcPr>
          <w:p w14:paraId="1DBB1C79">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名 称</w:t>
            </w:r>
          </w:p>
        </w:tc>
        <w:tc>
          <w:tcPr>
            <w:tcW w:w="2902" w:type="dxa"/>
            <w:gridSpan w:val="3"/>
            <w:tcBorders>
              <w:top w:val="nil"/>
              <w:left w:val="nil"/>
              <w:bottom w:val="single" w:color="auto" w:sz="8" w:space="0"/>
              <w:right w:val="single" w:color="auto" w:sz="8" w:space="0"/>
            </w:tcBorders>
            <w:noWrap w:val="0"/>
            <w:vAlign w:val="center"/>
          </w:tcPr>
          <w:p w14:paraId="3C7C9F4F">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货物型号规格、标准及配置等（或者服务内容、标准）</w:t>
            </w:r>
          </w:p>
        </w:tc>
        <w:tc>
          <w:tcPr>
            <w:tcW w:w="863" w:type="dxa"/>
            <w:gridSpan w:val="2"/>
            <w:tcBorders>
              <w:top w:val="nil"/>
              <w:left w:val="nil"/>
              <w:bottom w:val="single" w:color="auto" w:sz="8" w:space="0"/>
              <w:right w:val="single" w:color="auto" w:sz="8" w:space="0"/>
            </w:tcBorders>
            <w:noWrap w:val="0"/>
            <w:vAlign w:val="center"/>
          </w:tcPr>
          <w:p w14:paraId="609D1569">
            <w:pPr>
              <w:snapToGrid w:val="0"/>
              <w:spacing w:before="100" w:beforeAutospacing="1" w:after="100" w:afterAutospacing="1" w:line="320" w:lineRule="atLeast"/>
              <w:jc w:val="center"/>
              <w:rPr>
                <w:rFonts w:ascii="Verdana" w:hAnsi="Verdana" w:cs="宋体"/>
                <w:color w:val="auto"/>
                <w:kern w:val="0"/>
                <w:szCs w:val="21"/>
                <w:highlight w:val="none"/>
              </w:rPr>
            </w:pPr>
            <w:r>
              <w:rPr>
                <w:rFonts w:ascii="Verdana" w:hAnsi="Verdana" w:cs="宋体"/>
                <w:color w:val="auto"/>
                <w:kern w:val="0"/>
                <w:szCs w:val="21"/>
                <w:highlight w:val="none"/>
              </w:rPr>
              <w:t>数量</w:t>
            </w:r>
          </w:p>
        </w:tc>
        <w:tc>
          <w:tcPr>
            <w:tcW w:w="2354" w:type="dxa"/>
            <w:tcBorders>
              <w:top w:val="nil"/>
              <w:left w:val="nil"/>
              <w:bottom w:val="single" w:color="auto" w:sz="8" w:space="0"/>
              <w:right w:val="single" w:color="auto" w:sz="8" w:space="0"/>
            </w:tcBorders>
            <w:noWrap w:val="0"/>
            <w:vAlign w:val="center"/>
          </w:tcPr>
          <w:p w14:paraId="3A8D7EE1">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金 额</w:t>
            </w:r>
          </w:p>
        </w:tc>
      </w:tr>
      <w:tr w14:paraId="183F50A1">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1D0EFC0B">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615918C8">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07C794EC">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1D44B09B">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711D6B31">
            <w:pPr>
              <w:spacing w:before="100" w:beforeAutospacing="1" w:after="100" w:afterAutospacing="1" w:line="240" w:lineRule="atLeast"/>
              <w:jc w:val="center"/>
              <w:rPr>
                <w:rFonts w:ascii="Verdana" w:hAnsi="Verdana" w:cs="宋体"/>
                <w:color w:val="auto"/>
                <w:kern w:val="0"/>
                <w:szCs w:val="21"/>
                <w:highlight w:val="none"/>
              </w:rPr>
            </w:pPr>
          </w:p>
        </w:tc>
      </w:tr>
      <w:tr w14:paraId="5C5278AC">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7C34477B">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66FF70D1">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7A0EFE20">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489D02C6">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2EC442D2">
            <w:pPr>
              <w:spacing w:before="100" w:beforeAutospacing="1" w:after="100" w:afterAutospacing="1" w:line="240" w:lineRule="atLeast"/>
              <w:jc w:val="center"/>
              <w:rPr>
                <w:rFonts w:ascii="Verdana" w:hAnsi="Verdana" w:cs="宋体"/>
                <w:color w:val="auto"/>
                <w:kern w:val="0"/>
                <w:szCs w:val="21"/>
                <w:highlight w:val="none"/>
              </w:rPr>
            </w:pPr>
          </w:p>
        </w:tc>
      </w:tr>
      <w:tr w14:paraId="4705A9A4">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740D030C">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5A300395">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4A345596">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683751FC">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409C5B0E">
            <w:pPr>
              <w:spacing w:before="100" w:beforeAutospacing="1" w:after="100" w:afterAutospacing="1" w:line="240" w:lineRule="atLeast"/>
              <w:jc w:val="center"/>
              <w:rPr>
                <w:rFonts w:ascii="Verdana" w:hAnsi="Verdana" w:cs="宋体"/>
                <w:color w:val="auto"/>
                <w:kern w:val="0"/>
                <w:szCs w:val="21"/>
                <w:highlight w:val="none"/>
              </w:rPr>
            </w:pPr>
          </w:p>
        </w:tc>
      </w:tr>
      <w:tr w14:paraId="3FC2320A">
        <w:tblPrEx>
          <w:tblCellMar>
            <w:top w:w="0" w:type="dxa"/>
            <w:left w:w="0" w:type="dxa"/>
            <w:bottom w:w="0" w:type="dxa"/>
            <w:right w:w="0" w:type="dxa"/>
          </w:tblCellMar>
        </w:tblPrEx>
        <w:trPr>
          <w:trHeight w:val="487" w:hRule="atLeast"/>
          <w:jc w:val="center"/>
        </w:trPr>
        <w:tc>
          <w:tcPr>
            <w:tcW w:w="6154" w:type="dxa"/>
            <w:gridSpan w:val="5"/>
            <w:tcBorders>
              <w:top w:val="nil"/>
              <w:left w:val="single" w:color="auto" w:sz="8" w:space="0"/>
              <w:bottom w:val="single" w:color="auto" w:sz="8" w:space="0"/>
              <w:right w:val="single" w:color="auto" w:sz="8" w:space="0"/>
            </w:tcBorders>
            <w:noWrap w:val="0"/>
            <w:vAlign w:val="center"/>
          </w:tcPr>
          <w:p w14:paraId="2F45A940">
            <w:pPr>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合 计</w:t>
            </w:r>
          </w:p>
        </w:tc>
        <w:tc>
          <w:tcPr>
            <w:tcW w:w="863" w:type="dxa"/>
            <w:gridSpan w:val="2"/>
            <w:tcBorders>
              <w:top w:val="nil"/>
              <w:left w:val="nil"/>
              <w:bottom w:val="single" w:color="auto" w:sz="8" w:space="0"/>
              <w:right w:val="single" w:color="auto" w:sz="8" w:space="0"/>
            </w:tcBorders>
            <w:noWrap w:val="0"/>
            <w:vAlign w:val="center"/>
          </w:tcPr>
          <w:p w14:paraId="26B3C3DD">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141FCD5B">
            <w:pPr>
              <w:spacing w:before="100" w:beforeAutospacing="1" w:after="100" w:afterAutospacing="1" w:line="240" w:lineRule="atLeast"/>
              <w:jc w:val="center"/>
              <w:rPr>
                <w:rFonts w:ascii="Verdana" w:hAnsi="Verdana" w:cs="宋体"/>
                <w:color w:val="auto"/>
                <w:kern w:val="0"/>
                <w:szCs w:val="21"/>
                <w:highlight w:val="none"/>
              </w:rPr>
            </w:pPr>
          </w:p>
        </w:tc>
      </w:tr>
      <w:tr w14:paraId="7B3D07D1">
        <w:tblPrEx>
          <w:tblCellMar>
            <w:top w:w="0" w:type="dxa"/>
            <w:left w:w="0" w:type="dxa"/>
            <w:bottom w:w="0" w:type="dxa"/>
            <w:right w:w="0" w:type="dxa"/>
          </w:tblCellMar>
        </w:tblPrEx>
        <w:trPr>
          <w:trHeight w:val="641" w:hRule="atLeast"/>
          <w:jc w:val="center"/>
        </w:trPr>
        <w:tc>
          <w:tcPr>
            <w:tcW w:w="9371" w:type="dxa"/>
            <w:gridSpan w:val="8"/>
            <w:tcBorders>
              <w:top w:val="nil"/>
              <w:left w:val="single" w:color="auto" w:sz="8" w:space="0"/>
              <w:bottom w:val="single" w:color="auto" w:sz="8" w:space="0"/>
              <w:right w:val="single" w:color="auto" w:sz="8" w:space="0"/>
            </w:tcBorders>
            <w:noWrap w:val="0"/>
            <w:vAlign w:val="center"/>
          </w:tcPr>
          <w:p w14:paraId="39DD798C">
            <w:pPr>
              <w:snapToGrid w:val="0"/>
              <w:spacing w:before="100" w:beforeAutospacing="1" w:after="100" w:afterAutospacing="1" w:line="320" w:lineRule="atLeast"/>
              <w:ind w:firstLine="2"/>
              <w:jc w:val="left"/>
              <w:rPr>
                <w:rFonts w:ascii="Verdana" w:hAnsi="Verdana" w:cs="宋体"/>
                <w:color w:val="auto"/>
                <w:kern w:val="0"/>
                <w:szCs w:val="21"/>
                <w:highlight w:val="none"/>
              </w:rPr>
            </w:pPr>
            <w:r>
              <w:rPr>
                <w:rFonts w:ascii="Verdana" w:hAnsi="Verdana" w:cs="宋体"/>
                <w:color w:val="auto"/>
                <w:kern w:val="0"/>
                <w:szCs w:val="21"/>
                <w:highlight w:val="none"/>
              </w:rPr>
              <w:t xml:space="preserve">合计大写金额： </w:t>
            </w:r>
            <w:r>
              <w:rPr>
                <w:rFonts w:hint="eastAsia" w:ascii="Verdana" w:hAnsi="Verdana" w:cs="宋体"/>
                <w:color w:val="auto"/>
                <w:kern w:val="0"/>
                <w:szCs w:val="21"/>
                <w:highlight w:val="none"/>
              </w:rPr>
              <w:t xml:space="preserve">亿 </w:t>
            </w:r>
            <w:r>
              <w:rPr>
                <w:rFonts w:ascii="Verdana" w:hAnsi="Verdana" w:cs="宋体"/>
                <w:color w:val="auto"/>
                <w:kern w:val="0"/>
                <w:szCs w:val="21"/>
                <w:highlight w:val="none"/>
              </w:rPr>
              <w:t>仟 佰 拾 万 仟 佰 拾 元</w:t>
            </w:r>
          </w:p>
        </w:tc>
      </w:tr>
      <w:tr w14:paraId="1EF948EC">
        <w:tblPrEx>
          <w:tblCellMar>
            <w:top w:w="0" w:type="dxa"/>
            <w:left w:w="0" w:type="dxa"/>
            <w:bottom w:w="0" w:type="dxa"/>
            <w:right w:w="0" w:type="dxa"/>
          </w:tblCellMar>
        </w:tblPrEx>
        <w:trPr>
          <w:trHeight w:val="641" w:hRule="atLeast"/>
          <w:jc w:val="center"/>
        </w:trPr>
        <w:tc>
          <w:tcPr>
            <w:tcW w:w="1331" w:type="dxa"/>
            <w:tcBorders>
              <w:top w:val="nil"/>
              <w:left w:val="single" w:color="auto" w:sz="8" w:space="0"/>
              <w:bottom w:val="single" w:color="auto" w:sz="8" w:space="0"/>
              <w:right w:val="single" w:color="auto" w:sz="8" w:space="0"/>
            </w:tcBorders>
            <w:noWrap w:val="0"/>
            <w:vAlign w:val="center"/>
          </w:tcPr>
          <w:p w14:paraId="4A6CEEB8">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实际供货日期</w:t>
            </w:r>
          </w:p>
        </w:tc>
        <w:tc>
          <w:tcPr>
            <w:tcW w:w="2719" w:type="dxa"/>
            <w:gridSpan w:val="2"/>
            <w:tcBorders>
              <w:top w:val="nil"/>
              <w:left w:val="nil"/>
              <w:bottom w:val="single" w:color="auto" w:sz="8" w:space="0"/>
              <w:right w:val="single" w:color="auto" w:sz="8" w:space="0"/>
            </w:tcBorders>
            <w:noWrap w:val="0"/>
            <w:vAlign w:val="center"/>
          </w:tcPr>
          <w:p w14:paraId="6F8AFFB9">
            <w:pPr>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noWrap w:val="0"/>
            <w:vAlign w:val="center"/>
          </w:tcPr>
          <w:p w14:paraId="354C331B">
            <w:pPr>
              <w:snapToGrid w:val="0"/>
              <w:spacing w:before="100" w:beforeAutospacing="1" w:after="100" w:afterAutospacing="1" w:line="320" w:lineRule="atLeast"/>
              <w:ind w:firstLine="46"/>
              <w:jc w:val="center"/>
              <w:rPr>
                <w:rFonts w:ascii="Verdana" w:hAnsi="Verdana" w:cs="宋体"/>
                <w:color w:val="auto"/>
                <w:kern w:val="0"/>
                <w:szCs w:val="21"/>
                <w:highlight w:val="none"/>
              </w:rPr>
            </w:pPr>
            <w:r>
              <w:rPr>
                <w:rFonts w:ascii="Verdana" w:hAnsi="Verdana" w:cs="宋体"/>
                <w:color w:val="auto"/>
                <w:kern w:val="0"/>
                <w:szCs w:val="21"/>
                <w:highlight w:val="none"/>
              </w:rPr>
              <w:t>合同交货验收日期</w:t>
            </w:r>
          </w:p>
        </w:tc>
        <w:tc>
          <w:tcPr>
            <w:tcW w:w="3039" w:type="dxa"/>
            <w:gridSpan w:val="2"/>
            <w:tcBorders>
              <w:top w:val="nil"/>
              <w:left w:val="nil"/>
              <w:bottom w:val="single" w:color="auto" w:sz="8" w:space="0"/>
              <w:right w:val="single" w:color="auto" w:sz="8" w:space="0"/>
            </w:tcBorders>
            <w:noWrap w:val="0"/>
            <w:vAlign w:val="center"/>
          </w:tcPr>
          <w:p w14:paraId="3C16A58D">
            <w:pPr>
              <w:spacing w:before="100" w:beforeAutospacing="1" w:after="100" w:afterAutospacing="1" w:line="240" w:lineRule="atLeast"/>
              <w:jc w:val="center"/>
              <w:rPr>
                <w:rFonts w:ascii="Verdana" w:hAnsi="Verdana" w:cs="宋体"/>
                <w:color w:val="auto"/>
                <w:kern w:val="0"/>
                <w:szCs w:val="21"/>
                <w:highlight w:val="none"/>
              </w:rPr>
            </w:pPr>
          </w:p>
        </w:tc>
      </w:tr>
      <w:tr w14:paraId="23A9E72C">
        <w:tblPrEx>
          <w:tblCellMar>
            <w:top w:w="0" w:type="dxa"/>
            <w:left w:w="0" w:type="dxa"/>
            <w:bottom w:w="0" w:type="dxa"/>
            <w:right w:w="0" w:type="dxa"/>
          </w:tblCellMar>
        </w:tblPrEx>
        <w:trPr>
          <w:trHeight w:val="394" w:hRule="atLeast"/>
          <w:jc w:val="center"/>
        </w:trPr>
        <w:tc>
          <w:tcPr>
            <w:tcW w:w="1331" w:type="dxa"/>
            <w:tcBorders>
              <w:top w:val="nil"/>
              <w:left w:val="single" w:color="auto" w:sz="8" w:space="0"/>
              <w:bottom w:val="single" w:color="auto" w:sz="8" w:space="0"/>
              <w:right w:val="single" w:color="auto" w:sz="8" w:space="0"/>
            </w:tcBorders>
            <w:noWrap w:val="0"/>
            <w:vAlign w:val="center"/>
          </w:tcPr>
          <w:p w14:paraId="0F86EE84">
            <w:pPr>
              <w:spacing w:before="100" w:beforeAutospacing="1" w:after="100" w:afterAutospacing="1" w:line="240" w:lineRule="atLeast"/>
              <w:jc w:val="center"/>
              <w:rPr>
                <w:rFonts w:ascii="Verdana" w:hAnsi="Verdana" w:cs="宋体"/>
                <w:color w:val="auto"/>
                <w:kern w:val="0"/>
                <w:szCs w:val="21"/>
                <w:highlight w:val="none"/>
              </w:rPr>
            </w:pPr>
          </w:p>
        </w:tc>
        <w:tc>
          <w:tcPr>
            <w:tcW w:w="2719" w:type="dxa"/>
            <w:gridSpan w:val="2"/>
            <w:tcBorders>
              <w:top w:val="nil"/>
              <w:left w:val="nil"/>
              <w:bottom w:val="single" w:color="auto" w:sz="8" w:space="0"/>
              <w:right w:val="single" w:color="auto" w:sz="8" w:space="0"/>
            </w:tcBorders>
            <w:noWrap w:val="0"/>
            <w:vAlign w:val="center"/>
          </w:tcPr>
          <w:p w14:paraId="4B04C9EB">
            <w:pPr>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noWrap w:val="0"/>
            <w:vAlign w:val="center"/>
          </w:tcPr>
          <w:p w14:paraId="38B344AF">
            <w:pPr>
              <w:spacing w:before="100" w:beforeAutospacing="1" w:after="100" w:afterAutospacing="1" w:line="240" w:lineRule="atLeast"/>
              <w:jc w:val="center"/>
              <w:rPr>
                <w:rFonts w:ascii="Verdana" w:hAnsi="Verdana" w:cs="宋体"/>
                <w:color w:val="auto"/>
                <w:kern w:val="0"/>
                <w:szCs w:val="21"/>
                <w:highlight w:val="none"/>
              </w:rPr>
            </w:pPr>
          </w:p>
        </w:tc>
        <w:tc>
          <w:tcPr>
            <w:tcW w:w="3039" w:type="dxa"/>
            <w:gridSpan w:val="2"/>
            <w:tcBorders>
              <w:top w:val="nil"/>
              <w:left w:val="nil"/>
              <w:bottom w:val="single" w:color="auto" w:sz="8" w:space="0"/>
              <w:right w:val="single" w:color="auto" w:sz="8" w:space="0"/>
            </w:tcBorders>
            <w:noWrap w:val="0"/>
            <w:vAlign w:val="center"/>
          </w:tcPr>
          <w:p w14:paraId="740723AA">
            <w:pPr>
              <w:spacing w:before="100" w:beforeAutospacing="1" w:after="100" w:afterAutospacing="1" w:line="240" w:lineRule="atLeast"/>
              <w:jc w:val="center"/>
              <w:rPr>
                <w:rFonts w:ascii="Verdana" w:hAnsi="Verdana" w:cs="宋体"/>
                <w:color w:val="auto"/>
                <w:kern w:val="0"/>
                <w:szCs w:val="21"/>
                <w:highlight w:val="none"/>
              </w:rPr>
            </w:pPr>
          </w:p>
        </w:tc>
      </w:tr>
      <w:tr w14:paraId="39294CBF">
        <w:tblPrEx>
          <w:tblCellMar>
            <w:top w:w="0" w:type="dxa"/>
            <w:left w:w="0" w:type="dxa"/>
            <w:bottom w:w="0" w:type="dxa"/>
            <w:right w:w="0" w:type="dxa"/>
          </w:tblCellMar>
        </w:tblPrEx>
        <w:trPr>
          <w:trHeight w:val="693" w:hRule="atLeast"/>
          <w:jc w:val="center"/>
        </w:trPr>
        <w:tc>
          <w:tcPr>
            <w:tcW w:w="1331"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6332DF47">
            <w:pPr>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验收具体内容</w:t>
            </w:r>
          </w:p>
        </w:tc>
        <w:tc>
          <w:tcPr>
            <w:tcW w:w="8040" w:type="dxa"/>
            <w:gridSpan w:val="7"/>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17FDC902">
            <w:pPr>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应按采购合同、采购文件、投标文件及验收方案等进行验收；并核对中标或者成交投标人在安装调试等方面是否违反合同约定或者服务规范要求、提供的质量保证证明材料是否齐全、应有的配件及附件是否达到合同约定等。可附件)</w:t>
            </w:r>
          </w:p>
        </w:tc>
      </w:tr>
      <w:tr w14:paraId="6B228B92">
        <w:tblPrEx>
          <w:tblCellMar>
            <w:top w:w="0" w:type="dxa"/>
            <w:left w:w="0" w:type="dxa"/>
            <w:bottom w:w="0" w:type="dxa"/>
            <w:right w:w="0" w:type="dxa"/>
          </w:tblCellMar>
        </w:tblPrEx>
        <w:trPr>
          <w:trHeight w:val="1281" w:hRule="atLeast"/>
          <w:jc w:val="center"/>
        </w:trPr>
        <w:tc>
          <w:tcPr>
            <w:tcW w:w="1331"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08EBFB21">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验收小组意见</w:t>
            </w:r>
          </w:p>
        </w:tc>
        <w:tc>
          <w:tcPr>
            <w:tcW w:w="8040" w:type="dxa"/>
            <w:gridSpan w:val="7"/>
            <w:tcBorders>
              <w:top w:val="nil"/>
              <w:left w:val="nil"/>
              <w:bottom w:val="single" w:color="auto" w:sz="8" w:space="0"/>
              <w:right w:val="single" w:color="auto" w:sz="8" w:space="0"/>
            </w:tcBorders>
            <w:noWrap w:val="0"/>
            <w:vAlign w:val="center"/>
          </w:tcPr>
          <w:p w14:paraId="42255948">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验收结论性意见：</w:t>
            </w:r>
          </w:p>
        </w:tc>
      </w:tr>
      <w:tr w14:paraId="19118157">
        <w:tblPrEx>
          <w:tblCellMar>
            <w:top w:w="0" w:type="dxa"/>
            <w:left w:w="0" w:type="dxa"/>
            <w:bottom w:w="0" w:type="dxa"/>
            <w:right w:w="0" w:type="dxa"/>
          </w:tblCellMar>
        </w:tblPrEx>
        <w:trPr>
          <w:trHeight w:val="607" w:hRule="atLeast"/>
          <w:jc w:val="center"/>
        </w:trPr>
        <w:tc>
          <w:tcPr>
            <w:tcW w:w="1331" w:type="dxa"/>
            <w:vMerge w:val="continue"/>
            <w:tcBorders>
              <w:top w:val="nil"/>
              <w:left w:val="single" w:color="auto" w:sz="8" w:space="0"/>
              <w:bottom w:val="single" w:color="auto" w:sz="8" w:space="0"/>
              <w:right w:val="single" w:color="auto" w:sz="8" w:space="0"/>
            </w:tcBorders>
            <w:noWrap w:val="0"/>
            <w:vAlign w:val="center"/>
          </w:tcPr>
          <w:p w14:paraId="28867BF7">
            <w:pPr>
              <w:jc w:val="left"/>
              <w:rPr>
                <w:rFonts w:ascii="Verdana" w:hAnsi="Verdana" w:cs="宋体"/>
                <w:color w:val="auto"/>
                <w:kern w:val="0"/>
                <w:szCs w:val="21"/>
                <w:highlight w:val="none"/>
              </w:rPr>
            </w:pPr>
          </w:p>
        </w:tc>
        <w:tc>
          <w:tcPr>
            <w:tcW w:w="8040" w:type="dxa"/>
            <w:gridSpan w:val="7"/>
            <w:tcBorders>
              <w:top w:val="nil"/>
              <w:left w:val="nil"/>
              <w:bottom w:val="single" w:color="auto" w:sz="8" w:space="0"/>
              <w:right w:val="single" w:color="auto" w:sz="8" w:space="0"/>
            </w:tcBorders>
            <w:noWrap w:val="0"/>
            <w:vAlign w:val="center"/>
          </w:tcPr>
          <w:p w14:paraId="6CA0CA99">
            <w:pPr>
              <w:spacing w:before="100" w:beforeAutospacing="1" w:after="100" w:afterAutospacing="1" w:line="320" w:lineRule="atLeast"/>
              <w:ind w:firstLine="96"/>
              <w:jc w:val="left"/>
              <w:rPr>
                <w:rFonts w:ascii="Verdana" w:hAnsi="Verdana" w:cs="宋体"/>
                <w:color w:val="auto"/>
                <w:kern w:val="0"/>
                <w:szCs w:val="21"/>
                <w:highlight w:val="none"/>
              </w:rPr>
            </w:pPr>
            <w:r>
              <w:rPr>
                <w:rFonts w:ascii="Verdana" w:hAnsi="Verdana" w:cs="宋体"/>
                <w:color w:val="auto"/>
                <w:kern w:val="0"/>
                <w:szCs w:val="21"/>
                <w:highlight w:val="none"/>
              </w:rPr>
              <w:t>有异议的意见和说明理由：</w:t>
            </w:r>
          </w:p>
          <w:p w14:paraId="2789556B">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签字：</w:t>
            </w:r>
          </w:p>
        </w:tc>
      </w:tr>
      <w:tr w14:paraId="007ECFE1">
        <w:tblPrEx>
          <w:tblCellMar>
            <w:top w:w="0" w:type="dxa"/>
            <w:left w:w="0" w:type="dxa"/>
            <w:bottom w:w="0" w:type="dxa"/>
            <w:right w:w="0" w:type="dxa"/>
          </w:tblCellMar>
        </w:tblPrEx>
        <w:trPr>
          <w:trHeight w:val="507"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2BC99BAF">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验收小组成员签字：</w:t>
            </w:r>
          </w:p>
        </w:tc>
      </w:tr>
      <w:tr w14:paraId="50305E34">
        <w:tblPrEx>
          <w:tblCellMar>
            <w:top w:w="0" w:type="dxa"/>
            <w:left w:w="0" w:type="dxa"/>
            <w:bottom w:w="0" w:type="dxa"/>
            <w:right w:w="0" w:type="dxa"/>
          </w:tblCellMar>
        </w:tblPrEx>
        <w:trPr>
          <w:trHeight w:val="736"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2B2593EC">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监督人员或者其他相关人员签字：</w:t>
            </w:r>
          </w:p>
          <w:p w14:paraId="7EFEF159">
            <w:pPr>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或者受邀机构的意见（盖章）：</w:t>
            </w:r>
          </w:p>
        </w:tc>
      </w:tr>
      <w:tr w14:paraId="25D6EC9A">
        <w:tblPrEx>
          <w:tblCellMar>
            <w:top w:w="0" w:type="dxa"/>
            <w:left w:w="0" w:type="dxa"/>
            <w:bottom w:w="0" w:type="dxa"/>
            <w:right w:w="0" w:type="dxa"/>
          </w:tblCellMar>
        </w:tblPrEx>
        <w:trPr>
          <w:trHeight w:val="758" w:hRule="atLeast"/>
          <w:jc w:val="center"/>
        </w:trPr>
        <w:tc>
          <w:tcPr>
            <w:tcW w:w="4152" w:type="dxa"/>
            <w:gridSpan w:val="4"/>
            <w:tcBorders>
              <w:top w:val="nil"/>
              <w:left w:val="single" w:color="auto" w:sz="8" w:space="0"/>
              <w:bottom w:val="single" w:color="auto" w:sz="8" w:space="0"/>
              <w:right w:val="nil"/>
            </w:tcBorders>
            <w:noWrap w:val="0"/>
            <w:tcMar>
              <w:top w:w="0" w:type="dxa"/>
              <w:left w:w="108" w:type="dxa"/>
              <w:bottom w:w="0" w:type="dxa"/>
              <w:right w:w="108" w:type="dxa"/>
            </w:tcMar>
            <w:vAlign w:val="center"/>
          </w:tcPr>
          <w:p w14:paraId="63950DFF">
            <w:pPr>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中标或者成交人负责人签字或者盖章：</w:t>
            </w:r>
          </w:p>
          <w:p w14:paraId="54DBCF13">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 年 月 日</w:t>
            </w:r>
          </w:p>
        </w:tc>
        <w:tc>
          <w:tcPr>
            <w:tcW w:w="5219" w:type="dxa"/>
            <w:gridSpan w:val="4"/>
            <w:tcBorders>
              <w:top w:val="nil"/>
              <w:left w:val="nil"/>
              <w:bottom w:val="single" w:color="auto" w:sz="8" w:space="0"/>
              <w:right w:val="single" w:color="auto" w:sz="8" w:space="0"/>
            </w:tcBorders>
            <w:noWrap w:val="0"/>
            <w:vAlign w:val="center"/>
          </w:tcPr>
          <w:p w14:paraId="74B1D672">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采购人或者受托机构的意见（盖章）：</w:t>
            </w:r>
          </w:p>
          <w:p w14:paraId="743EE918">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 年 月 日</w:t>
            </w:r>
          </w:p>
        </w:tc>
      </w:tr>
    </w:tbl>
    <w:p w14:paraId="2FF5EDC3">
      <w:pPr>
        <w:jc w:val="left"/>
        <w:rPr>
          <w:rFonts w:hint="eastAsia" w:hAnsi="宋体"/>
          <w:color w:val="auto"/>
          <w:highlight w:val="none"/>
        </w:rPr>
      </w:pPr>
      <w:r>
        <w:rPr>
          <w:rFonts w:hAnsi="宋体"/>
          <w:color w:val="auto"/>
          <w:highlight w:val="none"/>
        </w:rPr>
        <w:br w:type="page"/>
      </w:r>
      <w:r>
        <w:rPr>
          <w:rFonts w:hint="eastAsia" w:ascii="黑体" w:hAnsi="黑体" w:eastAsia="黑体" w:cs="黑体"/>
          <w:color w:val="auto"/>
          <w:sz w:val="32"/>
          <w:szCs w:val="32"/>
          <w:highlight w:val="none"/>
          <w:lang w:val="zh-CN"/>
        </w:rPr>
        <w:t>附件</w:t>
      </w:r>
      <w:r>
        <w:rPr>
          <w:rFonts w:hint="eastAsia" w:ascii="黑体" w:hAnsi="黑体" w:eastAsia="黑体" w:cs="黑体"/>
          <w:color w:val="auto"/>
          <w:sz w:val="32"/>
          <w:szCs w:val="32"/>
          <w:highlight w:val="none"/>
          <w:lang w:val="en-US" w:eastAsia="zh-CN"/>
        </w:rPr>
        <w:t>3</w:t>
      </w:r>
      <w:r>
        <w:rPr>
          <w:rFonts w:hint="eastAsia" w:ascii="黑体" w:hAnsi="黑体" w:eastAsia="黑体" w:cs="黑体"/>
          <w:color w:val="auto"/>
          <w:sz w:val="32"/>
          <w:szCs w:val="32"/>
          <w:highlight w:val="none"/>
          <w:lang w:val="zh-CN"/>
        </w:rPr>
        <w:t>：</w:t>
      </w:r>
    </w:p>
    <w:p w14:paraId="061E406A">
      <w:pPr>
        <w:jc w:val="center"/>
        <w:rPr>
          <w:rFonts w:hint="eastAsia" w:ascii="黑体" w:hAnsi="黑体" w:eastAsia="黑体"/>
          <w:color w:val="auto"/>
          <w:sz w:val="32"/>
          <w:szCs w:val="32"/>
          <w:highlight w:val="none"/>
        </w:rPr>
      </w:pPr>
      <w:r>
        <w:rPr>
          <w:rFonts w:hint="eastAsia" w:ascii="黑体" w:hAnsi="黑体" w:eastAsia="黑体"/>
          <w:color w:val="auto"/>
          <w:sz w:val="32"/>
          <w:szCs w:val="32"/>
          <w:highlight w:val="none"/>
        </w:rPr>
        <w:t>政府采购项目履约保证金退付意见书（参考）</w:t>
      </w:r>
    </w:p>
    <w:p w14:paraId="3869FA75">
      <w:pPr>
        <w:jc w:val="center"/>
        <w:rPr>
          <w:rFonts w:hint="eastAsia" w:ascii="黑体" w:hAnsi="黑体" w:eastAsia="黑体"/>
          <w:color w:val="auto"/>
          <w:sz w:val="36"/>
          <w:szCs w:val="36"/>
          <w:highlight w:val="none"/>
        </w:rPr>
      </w:pP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8456"/>
      </w:tblGrid>
      <w:tr w14:paraId="79CC6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1008" w:type="dxa"/>
            <w:vMerge w:val="restart"/>
            <w:noWrap w:val="0"/>
            <w:vAlign w:val="center"/>
          </w:tcPr>
          <w:p w14:paraId="7EAA5223">
            <w:pPr>
              <w:jc w:val="center"/>
              <w:rPr>
                <w:rFonts w:hint="eastAsia"/>
                <w:color w:val="auto"/>
                <w:sz w:val="24"/>
                <w:highlight w:val="none"/>
              </w:rPr>
            </w:pPr>
            <w:r>
              <w:rPr>
                <w:rFonts w:hint="eastAsia"/>
                <w:color w:val="auto"/>
                <w:sz w:val="24"/>
                <w:highlight w:val="none"/>
              </w:rPr>
              <w:t>供</w:t>
            </w:r>
          </w:p>
          <w:p w14:paraId="4F66B1B8">
            <w:pPr>
              <w:jc w:val="center"/>
              <w:rPr>
                <w:rFonts w:hint="eastAsia"/>
                <w:color w:val="auto"/>
                <w:sz w:val="24"/>
                <w:highlight w:val="none"/>
              </w:rPr>
            </w:pPr>
            <w:r>
              <w:rPr>
                <w:rFonts w:hint="eastAsia"/>
                <w:color w:val="auto"/>
                <w:sz w:val="24"/>
                <w:highlight w:val="none"/>
              </w:rPr>
              <w:t>应</w:t>
            </w:r>
          </w:p>
          <w:p w14:paraId="781B589A">
            <w:pPr>
              <w:jc w:val="center"/>
              <w:rPr>
                <w:rFonts w:hint="eastAsia"/>
                <w:color w:val="auto"/>
                <w:sz w:val="24"/>
                <w:highlight w:val="none"/>
              </w:rPr>
            </w:pPr>
            <w:r>
              <w:rPr>
                <w:rFonts w:hint="eastAsia"/>
                <w:color w:val="auto"/>
                <w:sz w:val="24"/>
                <w:highlight w:val="none"/>
              </w:rPr>
              <w:t>商</w:t>
            </w:r>
          </w:p>
          <w:p w14:paraId="2BD7F31E">
            <w:pPr>
              <w:jc w:val="center"/>
              <w:rPr>
                <w:rFonts w:hint="eastAsia"/>
                <w:color w:val="auto"/>
                <w:sz w:val="24"/>
                <w:highlight w:val="none"/>
              </w:rPr>
            </w:pPr>
            <w:r>
              <w:rPr>
                <w:rFonts w:hint="eastAsia"/>
                <w:color w:val="auto"/>
                <w:sz w:val="24"/>
                <w:highlight w:val="none"/>
              </w:rPr>
              <w:t>申</w:t>
            </w:r>
          </w:p>
          <w:p w14:paraId="0817387C">
            <w:pPr>
              <w:jc w:val="center"/>
              <w:rPr>
                <w:rFonts w:hint="eastAsia"/>
                <w:color w:val="auto"/>
                <w:sz w:val="24"/>
                <w:highlight w:val="none"/>
              </w:rPr>
            </w:pPr>
            <w:r>
              <w:rPr>
                <w:rFonts w:hint="eastAsia"/>
                <w:color w:val="auto"/>
                <w:sz w:val="24"/>
                <w:highlight w:val="none"/>
              </w:rPr>
              <w:t>请</w:t>
            </w:r>
          </w:p>
        </w:tc>
        <w:tc>
          <w:tcPr>
            <w:tcW w:w="8456" w:type="dxa"/>
            <w:noWrap w:val="0"/>
            <w:vAlign w:val="center"/>
          </w:tcPr>
          <w:p w14:paraId="31C20714">
            <w:pPr>
              <w:rPr>
                <w:rFonts w:hint="eastAsia"/>
                <w:color w:val="auto"/>
                <w:sz w:val="24"/>
                <w:highlight w:val="none"/>
              </w:rPr>
            </w:pPr>
            <w:r>
              <w:rPr>
                <w:rFonts w:hint="eastAsia"/>
                <w:color w:val="auto"/>
                <w:sz w:val="24"/>
                <w:highlight w:val="none"/>
              </w:rPr>
              <w:t>项目编号：</w:t>
            </w:r>
          </w:p>
        </w:tc>
      </w:tr>
      <w:tr w14:paraId="2CA3D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1008" w:type="dxa"/>
            <w:vMerge w:val="continue"/>
            <w:noWrap w:val="0"/>
            <w:vAlign w:val="center"/>
          </w:tcPr>
          <w:p w14:paraId="5E4F563C">
            <w:pPr>
              <w:rPr>
                <w:rFonts w:hint="eastAsia"/>
                <w:color w:val="auto"/>
                <w:sz w:val="24"/>
                <w:highlight w:val="none"/>
              </w:rPr>
            </w:pPr>
          </w:p>
        </w:tc>
        <w:tc>
          <w:tcPr>
            <w:tcW w:w="8456" w:type="dxa"/>
            <w:noWrap w:val="0"/>
            <w:vAlign w:val="center"/>
          </w:tcPr>
          <w:p w14:paraId="184B059D">
            <w:pPr>
              <w:rPr>
                <w:rFonts w:hint="eastAsia"/>
                <w:color w:val="auto"/>
                <w:sz w:val="24"/>
                <w:highlight w:val="none"/>
              </w:rPr>
            </w:pPr>
            <w:r>
              <w:rPr>
                <w:rFonts w:hint="eastAsia"/>
                <w:color w:val="auto"/>
                <w:sz w:val="24"/>
                <w:highlight w:val="none"/>
              </w:rPr>
              <w:t>项目名称：</w:t>
            </w:r>
          </w:p>
        </w:tc>
      </w:tr>
      <w:tr w14:paraId="710EF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08" w:type="dxa"/>
            <w:vMerge w:val="continue"/>
            <w:noWrap w:val="0"/>
            <w:vAlign w:val="top"/>
          </w:tcPr>
          <w:p w14:paraId="08B1828A">
            <w:pPr>
              <w:rPr>
                <w:rFonts w:hint="eastAsia"/>
                <w:color w:val="auto"/>
                <w:sz w:val="24"/>
                <w:highlight w:val="none"/>
              </w:rPr>
            </w:pPr>
          </w:p>
        </w:tc>
        <w:tc>
          <w:tcPr>
            <w:tcW w:w="8456" w:type="dxa"/>
            <w:noWrap w:val="0"/>
            <w:vAlign w:val="top"/>
          </w:tcPr>
          <w:p w14:paraId="115349CA">
            <w:pPr>
              <w:rPr>
                <w:rFonts w:hint="eastAsia"/>
                <w:color w:val="auto"/>
                <w:sz w:val="24"/>
                <w:highlight w:val="none"/>
              </w:rPr>
            </w:pPr>
            <w:r>
              <w:rPr>
                <w:rFonts w:hint="eastAsia"/>
                <w:color w:val="auto"/>
                <w:sz w:val="24"/>
                <w:highlight w:val="none"/>
              </w:rPr>
              <w:t xml:space="preserve">  </w:t>
            </w:r>
          </w:p>
          <w:p w14:paraId="429C738D">
            <w:pPr>
              <w:spacing w:line="400" w:lineRule="exact"/>
              <w:ind w:firstLine="480" w:firstLineChars="200"/>
              <w:rPr>
                <w:rFonts w:hint="eastAsia"/>
                <w:color w:val="auto"/>
                <w:sz w:val="24"/>
                <w:highlight w:val="none"/>
              </w:rPr>
            </w:pPr>
            <w:r>
              <w:rPr>
                <w:rFonts w:hint="eastAsia"/>
                <w:color w:val="auto"/>
                <w:sz w:val="24"/>
                <w:highlight w:val="none"/>
              </w:rPr>
              <w:t>该项目已于</w:t>
            </w:r>
            <w:r>
              <w:rPr>
                <w:rFonts w:hint="eastAsia"/>
                <w:color w:val="auto"/>
                <w:sz w:val="24"/>
                <w:highlight w:val="none"/>
                <w:u w:val="single"/>
              </w:rPr>
              <w:t xml:space="preserve">       </w:t>
            </w:r>
            <w:r>
              <w:rPr>
                <w:rFonts w:hint="eastAsia"/>
                <w:color w:val="auto"/>
                <w:sz w:val="24"/>
                <w:highlight w:val="none"/>
              </w:rPr>
              <w:t>年</w:t>
            </w:r>
            <w:r>
              <w:rPr>
                <w:rFonts w:hint="eastAsia"/>
                <w:color w:val="auto"/>
                <w:sz w:val="24"/>
                <w:highlight w:val="none"/>
                <w:u w:val="single"/>
              </w:rPr>
              <w:t xml:space="preserve">     </w:t>
            </w:r>
            <w:r>
              <w:rPr>
                <w:rFonts w:hint="eastAsia"/>
                <w:color w:val="auto"/>
                <w:sz w:val="24"/>
                <w:highlight w:val="none"/>
              </w:rPr>
              <w:t>月</w:t>
            </w:r>
            <w:r>
              <w:rPr>
                <w:rFonts w:hint="eastAsia"/>
                <w:color w:val="auto"/>
                <w:sz w:val="24"/>
                <w:highlight w:val="none"/>
                <w:u w:val="single"/>
              </w:rPr>
              <w:t xml:space="preserve">     </w:t>
            </w:r>
            <w:r>
              <w:rPr>
                <w:rFonts w:hint="eastAsia"/>
                <w:color w:val="auto"/>
                <w:sz w:val="24"/>
                <w:highlight w:val="none"/>
              </w:rPr>
              <w:t>日验收并交付使用。根据合同规定，该项目的履约保证金期限于</w:t>
            </w:r>
            <w:r>
              <w:rPr>
                <w:rFonts w:hint="eastAsia"/>
                <w:color w:val="auto"/>
                <w:sz w:val="24"/>
                <w:highlight w:val="none"/>
                <w:u w:val="single"/>
              </w:rPr>
              <w:t xml:space="preserve">         </w:t>
            </w:r>
            <w:r>
              <w:rPr>
                <w:rFonts w:hint="eastAsia"/>
                <w:color w:val="auto"/>
                <w:sz w:val="24"/>
                <w:highlight w:val="none"/>
              </w:rPr>
              <w:t>年</w:t>
            </w:r>
            <w:r>
              <w:rPr>
                <w:rFonts w:hint="eastAsia"/>
                <w:color w:val="auto"/>
                <w:sz w:val="24"/>
                <w:highlight w:val="none"/>
                <w:u w:val="single"/>
              </w:rPr>
              <w:t xml:space="preserve">      </w:t>
            </w:r>
            <w:r>
              <w:rPr>
                <w:rFonts w:hint="eastAsia"/>
                <w:color w:val="auto"/>
                <w:sz w:val="24"/>
                <w:highlight w:val="none"/>
              </w:rPr>
              <w:t>月</w:t>
            </w:r>
            <w:r>
              <w:rPr>
                <w:rFonts w:hint="eastAsia"/>
                <w:color w:val="auto"/>
                <w:sz w:val="24"/>
                <w:highlight w:val="none"/>
                <w:u w:val="single"/>
              </w:rPr>
              <w:t xml:space="preserve">       </w:t>
            </w:r>
            <w:r>
              <w:rPr>
                <w:rFonts w:hint="eastAsia"/>
                <w:color w:val="auto"/>
                <w:sz w:val="24"/>
                <w:highlight w:val="none"/>
              </w:rPr>
              <w:t>日已满，请将履约保证金</w:t>
            </w:r>
          </w:p>
          <w:p w14:paraId="2AC483CA">
            <w:pPr>
              <w:spacing w:line="400" w:lineRule="exact"/>
              <w:rPr>
                <w:rFonts w:hint="eastAsia"/>
                <w:color w:val="auto"/>
                <w:sz w:val="24"/>
                <w:highlight w:val="none"/>
              </w:rPr>
            </w:pPr>
            <w:r>
              <w:rPr>
                <w:rFonts w:hint="eastAsia"/>
                <w:color w:val="auto"/>
                <w:sz w:val="24"/>
                <w:highlight w:val="none"/>
                <w:u w:val="single"/>
              </w:rPr>
              <w:t xml:space="preserve">                                        </w:t>
            </w:r>
            <w:r>
              <w:rPr>
                <w:rFonts w:hint="eastAsia"/>
                <w:color w:val="auto"/>
                <w:sz w:val="24"/>
                <w:highlight w:val="none"/>
              </w:rPr>
              <w:t>（大写）￥</w:t>
            </w:r>
            <w:r>
              <w:rPr>
                <w:rFonts w:hint="eastAsia"/>
                <w:color w:val="auto"/>
                <w:sz w:val="24"/>
                <w:highlight w:val="none"/>
                <w:u w:val="single"/>
              </w:rPr>
              <w:t xml:space="preserve">          </w:t>
            </w:r>
            <w:r>
              <w:rPr>
                <w:rFonts w:hint="eastAsia"/>
                <w:color w:val="auto"/>
                <w:sz w:val="24"/>
                <w:highlight w:val="none"/>
              </w:rPr>
              <w:t>（小写）退付到达以下帐户。</w:t>
            </w:r>
          </w:p>
          <w:p w14:paraId="13B2F8B6">
            <w:pPr>
              <w:spacing w:line="400" w:lineRule="exact"/>
              <w:ind w:firstLine="705"/>
              <w:rPr>
                <w:rFonts w:hint="eastAsia"/>
                <w:color w:val="auto"/>
                <w:sz w:val="24"/>
                <w:highlight w:val="none"/>
              </w:rPr>
            </w:pPr>
            <w:r>
              <w:rPr>
                <w:rFonts w:hint="eastAsia"/>
                <w:color w:val="auto"/>
                <w:sz w:val="24"/>
                <w:highlight w:val="none"/>
              </w:rPr>
              <w:t>单位名称：</w:t>
            </w:r>
          </w:p>
          <w:p w14:paraId="58EB356D">
            <w:pPr>
              <w:spacing w:line="400" w:lineRule="exact"/>
              <w:ind w:firstLine="705"/>
              <w:rPr>
                <w:rFonts w:hint="eastAsia"/>
                <w:color w:val="auto"/>
                <w:sz w:val="24"/>
                <w:highlight w:val="none"/>
              </w:rPr>
            </w:pPr>
            <w:r>
              <w:rPr>
                <w:rFonts w:hint="eastAsia"/>
                <w:color w:val="auto"/>
                <w:sz w:val="24"/>
                <w:highlight w:val="none"/>
              </w:rPr>
              <w:t>开户银行：</w:t>
            </w:r>
          </w:p>
          <w:p w14:paraId="14C98290">
            <w:pPr>
              <w:spacing w:line="400" w:lineRule="exact"/>
              <w:ind w:firstLine="705"/>
              <w:rPr>
                <w:rFonts w:hint="eastAsia"/>
                <w:color w:val="auto"/>
                <w:sz w:val="24"/>
                <w:highlight w:val="none"/>
              </w:rPr>
            </w:pPr>
            <w:r>
              <w:rPr>
                <w:rFonts w:hint="eastAsia"/>
                <w:color w:val="auto"/>
                <w:sz w:val="24"/>
                <w:highlight w:val="none"/>
              </w:rPr>
              <w:t>帐   号：</w:t>
            </w:r>
          </w:p>
          <w:p w14:paraId="72A8027C">
            <w:pPr>
              <w:spacing w:line="400" w:lineRule="exact"/>
              <w:rPr>
                <w:rFonts w:hint="eastAsia"/>
                <w:color w:val="auto"/>
                <w:sz w:val="24"/>
                <w:highlight w:val="none"/>
              </w:rPr>
            </w:pPr>
            <w:r>
              <w:rPr>
                <w:rFonts w:hint="eastAsia"/>
                <w:color w:val="auto"/>
                <w:sz w:val="24"/>
                <w:highlight w:val="none"/>
              </w:rPr>
              <w:t>联系人及电话：</w:t>
            </w:r>
          </w:p>
          <w:p w14:paraId="327A5D0E">
            <w:pPr>
              <w:spacing w:line="400" w:lineRule="exact"/>
              <w:rPr>
                <w:rFonts w:hint="eastAsia"/>
                <w:color w:val="auto"/>
                <w:sz w:val="24"/>
                <w:highlight w:val="none"/>
              </w:rPr>
            </w:pPr>
          </w:p>
          <w:p w14:paraId="2E0CAF64">
            <w:pPr>
              <w:spacing w:line="520" w:lineRule="exact"/>
              <w:jc w:val="center"/>
              <w:rPr>
                <w:rFonts w:hint="eastAsia"/>
                <w:color w:val="auto"/>
                <w:sz w:val="24"/>
                <w:highlight w:val="none"/>
              </w:rPr>
            </w:pPr>
            <w:r>
              <w:rPr>
                <w:rFonts w:hint="eastAsia"/>
                <w:color w:val="auto"/>
                <w:sz w:val="24"/>
                <w:highlight w:val="none"/>
              </w:rPr>
              <w:t xml:space="preserve">         投标人签章：</w:t>
            </w:r>
          </w:p>
          <w:p w14:paraId="6B1EE308">
            <w:pPr>
              <w:spacing w:line="520" w:lineRule="exact"/>
              <w:jc w:val="center"/>
              <w:rPr>
                <w:rFonts w:hint="eastAsia"/>
                <w:color w:val="auto"/>
                <w:sz w:val="24"/>
                <w:highlight w:val="none"/>
              </w:rPr>
            </w:pPr>
            <w:r>
              <w:rPr>
                <w:rFonts w:hint="eastAsia"/>
                <w:color w:val="auto"/>
                <w:sz w:val="24"/>
                <w:highlight w:val="none"/>
              </w:rPr>
              <w:t xml:space="preserve">                           年    月     日</w:t>
            </w:r>
          </w:p>
        </w:tc>
      </w:tr>
      <w:tr w14:paraId="01BEE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6" w:hRule="atLeast"/>
          <w:jc w:val="center"/>
        </w:trPr>
        <w:tc>
          <w:tcPr>
            <w:tcW w:w="1008" w:type="dxa"/>
            <w:noWrap w:val="0"/>
            <w:vAlign w:val="center"/>
          </w:tcPr>
          <w:p w14:paraId="5AA370EC">
            <w:pPr>
              <w:jc w:val="center"/>
              <w:rPr>
                <w:rFonts w:hint="eastAsia"/>
                <w:color w:val="auto"/>
                <w:sz w:val="24"/>
                <w:highlight w:val="none"/>
              </w:rPr>
            </w:pPr>
            <w:r>
              <w:rPr>
                <w:rFonts w:hint="eastAsia"/>
                <w:color w:val="auto"/>
                <w:sz w:val="24"/>
                <w:highlight w:val="none"/>
              </w:rPr>
              <w:t>采</w:t>
            </w:r>
          </w:p>
          <w:p w14:paraId="1D475144">
            <w:pPr>
              <w:jc w:val="center"/>
              <w:rPr>
                <w:rFonts w:hint="eastAsia"/>
                <w:color w:val="auto"/>
                <w:sz w:val="24"/>
                <w:highlight w:val="none"/>
              </w:rPr>
            </w:pPr>
            <w:r>
              <w:rPr>
                <w:rFonts w:hint="eastAsia"/>
                <w:color w:val="auto"/>
                <w:sz w:val="24"/>
                <w:highlight w:val="none"/>
              </w:rPr>
              <w:t>购</w:t>
            </w:r>
          </w:p>
          <w:p w14:paraId="5C266822">
            <w:pPr>
              <w:jc w:val="center"/>
              <w:rPr>
                <w:rFonts w:hint="eastAsia"/>
                <w:color w:val="auto"/>
                <w:sz w:val="24"/>
                <w:highlight w:val="none"/>
              </w:rPr>
            </w:pPr>
            <w:r>
              <w:rPr>
                <w:rFonts w:hint="eastAsia"/>
                <w:color w:val="auto"/>
                <w:sz w:val="24"/>
                <w:highlight w:val="none"/>
              </w:rPr>
              <w:t>人</w:t>
            </w:r>
          </w:p>
          <w:p w14:paraId="023049AC">
            <w:pPr>
              <w:jc w:val="center"/>
              <w:rPr>
                <w:rFonts w:hint="eastAsia"/>
                <w:color w:val="auto"/>
                <w:sz w:val="24"/>
                <w:highlight w:val="none"/>
              </w:rPr>
            </w:pPr>
            <w:r>
              <w:rPr>
                <w:rFonts w:hint="eastAsia"/>
                <w:color w:val="auto"/>
                <w:sz w:val="24"/>
                <w:highlight w:val="none"/>
              </w:rPr>
              <w:t>意</w:t>
            </w:r>
          </w:p>
          <w:p w14:paraId="6AFB4547">
            <w:pPr>
              <w:jc w:val="center"/>
              <w:rPr>
                <w:rFonts w:hint="eastAsia"/>
                <w:color w:val="auto"/>
                <w:sz w:val="24"/>
                <w:highlight w:val="none"/>
              </w:rPr>
            </w:pPr>
            <w:r>
              <w:rPr>
                <w:rFonts w:hint="eastAsia"/>
                <w:color w:val="auto"/>
                <w:sz w:val="24"/>
                <w:highlight w:val="none"/>
              </w:rPr>
              <w:t>见</w:t>
            </w:r>
          </w:p>
        </w:tc>
        <w:tc>
          <w:tcPr>
            <w:tcW w:w="8456" w:type="dxa"/>
            <w:noWrap w:val="0"/>
            <w:vAlign w:val="top"/>
          </w:tcPr>
          <w:p w14:paraId="366D34EE">
            <w:pPr>
              <w:rPr>
                <w:rFonts w:hint="eastAsia"/>
                <w:color w:val="auto"/>
                <w:sz w:val="24"/>
                <w:highlight w:val="none"/>
              </w:rPr>
            </w:pPr>
          </w:p>
          <w:p w14:paraId="75E2E607">
            <w:pPr>
              <w:rPr>
                <w:rFonts w:hint="eastAsia"/>
                <w:color w:val="auto"/>
                <w:sz w:val="24"/>
                <w:highlight w:val="none"/>
              </w:rPr>
            </w:pPr>
            <w:r>
              <w:rPr>
                <w:rFonts w:hint="eastAsia"/>
                <w:color w:val="auto"/>
                <w:sz w:val="24"/>
                <w:highlight w:val="none"/>
              </w:rPr>
              <w:t>退付意见：（是否同意退付履约保证金及退付金额）</w:t>
            </w:r>
          </w:p>
          <w:p w14:paraId="28596A20">
            <w:pPr>
              <w:rPr>
                <w:rFonts w:hint="eastAsia"/>
                <w:color w:val="auto"/>
                <w:sz w:val="24"/>
                <w:highlight w:val="none"/>
              </w:rPr>
            </w:pPr>
          </w:p>
          <w:p w14:paraId="6F827FE4">
            <w:pPr>
              <w:rPr>
                <w:rFonts w:hint="eastAsia"/>
                <w:color w:val="auto"/>
                <w:sz w:val="24"/>
                <w:highlight w:val="none"/>
              </w:rPr>
            </w:pPr>
          </w:p>
          <w:p w14:paraId="02A8301A">
            <w:pPr>
              <w:rPr>
                <w:rFonts w:hint="eastAsia"/>
                <w:color w:val="auto"/>
                <w:sz w:val="24"/>
                <w:highlight w:val="none"/>
              </w:rPr>
            </w:pPr>
          </w:p>
          <w:p w14:paraId="585E2C32">
            <w:pPr>
              <w:rPr>
                <w:rFonts w:hint="eastAsia"/>
                <w:color w:val="auto"/>
                <w:sz w:val="24"/>
                <w:highlight w:val="none"/>
              </w:rPr>
            </w:pPr>
          </w:p>
          <w:p w14:paraId="6188C985">
            <w:pPr>
              <w:spacing w:line="520" w:lineRule="exact"/>
              <w:rPr>
                <w:rFonts w:hint="eastAsia"/>
                <w:color w:val="auto"/>
                <w:sz w:val="24"/>
                <w:highlight w:val="none"/>
              </w:rPr>
            </w:pPr>
            <w:r>
              <w:rPr>
                <w:rFonts w:hint="eastAsia"/>
                <w:color w:val="auto"/>
                <w:sz w:val="24"/>
                <w:highlight w:val="none"/>
              </w:rPr>
              <w:t>联系人及电话：                         采购人签章</w:t>
            </w:r>
          </w:p>
          <w:p w14:paraId="7DF3747A">
            <w:pPr>
              <w:spacing w:line="520" w:lineRule="exact"/>
              <w:jc w:val="center"/>
              <w:rPr>
                <w:rFonts w:hint="eastAsia"/>
                <w:color w:val="auto"/>
                <w:sz w:val="24"/>
                <w:highlight w:val="none"/>
              </w:rPr>
            </w:pPr>
            <w:r>
              <w:rPr>
                <w:rFonts w:hint="eastAsia"/>
                <w:color w:val="auto"/>
                <w:sz w:val="24"/>
                <w:highlight w:val="none"/>
              </w:rPr>
              <w:t xml:space="preserve">                                        年    月     日</w:t>
            </w:r>
          </w:p>
        </w:tc>
      </w:tr>
      <w:tr w14:paraId="7777F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1008" w:type="dxa"/>
            <w:noWrap w:val="0"/>
            <w:vAlign w:val="center"/>
          </w:tcPr>
          <w:p w14:paraId="1E192EC3">
            <w:pPr>
              <w:jc w:val="center"/>
              <w:rPr>
                <w:rFonts w:hint="eastAsia"/>
                <w:color w:val="auto"/>
                <w:sz w:val="24"/>
                <w:highlight w:val="none"/>
              </w:rPr>
            </w:pPr>
            <w:r>
              <w:rPr>
                <w:rFonts w:hint="eastAsia"/>
                <w:color w:val="auto"/>
                <w:sz w:val="24"/>
                <w:highlight w:val="none"/>
              </w:rPr>
              <w:t>备注</w:t>
            </w:r>
          </w:p>
        </w:tc>
        <w:tc>
          <w:tcPr>
            <w:tcW w:w="8456" w:type="dxa"/>
            <w:noWrap w:val="0"/>
            <w:vAlign w:val="top"/>
          </w:tcPr>
          <w:p w14:paraId="3A25CBFE">
            <w:pPr>
              <w:rPr>
                <w:rFonts w:hint="eastAsia"/>
                <w:color w:val="auto"/>
                <w:sz w:val="24"/>
                <w:highlight w:val="none"/>
              </w:rPr>
            </w:pPr>
          </w:p>
        </w:tc>
      </w:tr>
    </w:tbl>
    <w:p w14:paraId="3C58FA01">
      <w:pPr>
        <w:pStyle w:val="18"/>
        <w:ind w:left="420" w:leftChars="114" w:hanging="181" w:hangingChars="100"/>
        <w:rPr>
          <w:rFonts w:hint="eastAsia" w:ascii="宋体"/>
          <w:b/>
          <w:bCs/>
          <w:color w:val="auto"/>
          <w:sz w:val="18"/>
          <w:highlight w:val="none"/>
        </w:rPr>
      </w:pPr>
      <w:r>
        <w:rPr>
          <w:rFonts w:hint="eastAsia" w:ascii="宋体"/>
          <w:b/>
          <w:bCs/>
          <w:color w:val="auto"/>
          <w:sz w:val="18"/>
          <w:highlight w:val="none"/>
        </w:rPr>
        <w:t>注：投标人凭经采购人审批的退付意见书到保证金收取单位办理履约保证金退付事宜。</w:t>
      </w:r>
    </w:p>
    <w:p w14:paraId="4A45ACD9">
      <w:pPr>
        <w:pStyle w:val="24"/>
        <w:snapToGrid w:val="0"/>
        <w:spacing w:before="120" w:after="120"/>
        <w:rPr>
          <w:rFonts w:hint="eastAsia" w:hAnsi="宋体"/>
          <w:color w:val="auto"/>
          <w:highlight w:val="none"/>
        </w:rPr>
      </w:pPr>
    </w:p>
    <w:p w14:paraId="0820ACE6">
      <w:pPr>
        <w:widowControl/>
        <w:spacing w:line="720" w:lineRule="exact"/>
        <w:jc w:val="left"/>
        <w:rPr>
          <w:rFonts w:hint="eastAsia" w:ascii="黑体" w:hAnsi="黑体" w:eastAsia="黑体" w:cs="黑体"/>
          <w:color w:val="auto"/>
          <w:sz w:val="32"/>
          <w:szCs w:val="32"/>
          <w:highlight w:val="none"/>
        </w:rPr>
      </w:pPr>
      <w:r>
        <w:rPr>
          <w:rFonts w:hAnsi="宋体"/>
          <w:color w:val="auto"/>
          <w:highlight w:val="none"/>
        </w:rPr>
        <w:br w:type="page"/>
      </w:r>
      <w:r>
        <w:rPr>
          <w:rFonts w:hint="eastAsia" w:ascii="黑体" w:hAnsi="黑体" w:eastAsia="黑体" w:cs="黑体"/>
          <w:color w:val="auto"/>
          <w:sz w:val="32"/>
          <w:szCs w:val="32"/>
          <w:highlight w:val="none"/>
          <w:lang w:val="zh-CN"/>
        </w:rPr>
        <w:t>附件</w:t>
      </w:r>
      <w:r>
        <w:rPr>
          <w:rFonts w:hint="eastAsia" w:ascii="黑体" w:hAnsi="黑体" w:eastAsia="黑体" w:cs="黑体"/>
          <w:color w:val="auto"/>
          <w:sz w:val="32"/>
          <w:szCs w:val="32"/>
          <w:highlight w:val="none"/>
          <w:lang w:val="en-US" w:eastAsia="zh-CN"/>
        </w:rPr>
        <w:t>4</w:t>
      </w:r>
      <w:r>
        <w:rPr>
          <w:rFonts w:hint="eastAsia" w:ascii="黑体" w:hAnsi="黑体" w:eastAsia="黑体" w:cs="黑体"/>
          <w:color w:val="auto"/>
          <w:sz w:val="32"/>
          <w:szCs w:val="32"/>
          <w:highlight w:val="none"/>
          <w:lang w:val="zh-CN"/>
        </w:rPr>
        <w:t>：</w:t>
      </w:r>
    </w:p>
    <w:p w14:paraId="027695D2">
      <w:pPr>
        <w:pStyle w:val="160"/>
        <w:ind w:firstLine="480"/>
        <w:rPr>
          <w:rFonts w:hint="eastAsia"/>
          <w:color w:val="auto"/>
          <w:highlight w:val="none"/>
        </w:rPr>
      </w:pPr>
    </w:p>
    <w:p w14:paraId="575BF06E">
      <w:pPr>
        <w:spacing w:line="580" w:lineRule="exact"/>
        <w:jc w:val="center"/>
        <w:rPr>
          <w:rFonts w:hint="eastAsia" w:ascii="方正小标宋_GBK" w:eastAsia="方正小标宋_GBK"/>
          <w:color w:val="auto"/>
          <w:sz w:val="44"/>
          <w:szCs w:val="44"/>
          <w:highlight w:val="none"/>
        </w:rPr>
      </w:pPr>
      <w:r>
        <w:rPr>
          <w:rFonts w:hint="eastAsia" w:ascii="方正小标宋_GBK" w:eastAsia="方正小标宋_GBK"/>
          <w:color w:val="auto"/>
          <w:sz w:val="44"/>
          <w:szCs w:val="44"/>
          <w:highlight w:val="none"/>
        </w:rPr>
        <w:t>崇左市线上“政采贷”政策告知函</w:t>
      </w:r>
    </w:p>
    <w:p w14:paraId="117A3883">
      <w:pPr>
        <w:spacing w:line="580" w:lineRule="exact"/>
        <w:ind w:firstLine="420" w:firstLineChars="200"/>
        <w:rPr>
          <w:color w:val="auto"/>
          <w:szCs w:val="32"/>
          <w:highlight w:val="none"/>
        </w:rPr>
      </w:pPr>
    </w:p>
    <w:p w14:paraId="468E72B5">
      <w:pPr>
        <w:spacing w:line="580" w:lineRule="exact"/>
        <w:rPr>
          <w:rFonts w:hint="eastAsia"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各供应商：</w:t>
      </w:r>
    </w:p>
    <w:p w14:paraId="3089DC44">
      <w:pPr>
        <w:spacing w:line="580" w:lineRule="exact"/>
        <w:ind w:firstLine="420" w:firstLineChars="200"/>
        <w:rPr>
          <w:rFonts w:hint="eastAsia"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欢迎贵公司参与崇左市政府采购活动！</w:t>
      </w:r>
    </w:p>
    <w:p w14:paraId="69EFCB69">
      <w:pPr>
        <w:spacing w:line="580" w:lineRule="exact"/>
        <w:ind w:firstLine="420" w:firstLineChars="200"/>
        <w:rPr>
          <w:rFonts w:hint="eastAsia"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w:t>
      </w:r>
      <w:r>
        <w:rPr>
          <w:rFonts w:hint="eastAsia" w:ascii="仿宋_GB2312" w:hAnsi="仿宋_GB2312" w:eastAsia="仿宋_GB2312" w:cs="仿宋_GB2312"/>
          <w:color w:val="auto"/>
          <w:sz w:val="32"/>
          <w:szCs w:val="32"/>
          <w:highlight w:val="none"/>
        </w:rPr>
        <w:t>银行业金融机构</w:t>
      </w:r>
      <w:r>
        <w:rPr>
          <w:rFonts w:hint="eastAsia" w:ascii="仿宋_GB2312" w:hAnsi="仿宋_GB2312" w:eastAsia="仿宋_GB2312" w:cs="仿宋_GB2312"/>
          <w:color w:val="auto"/>
          <w:szCs w:val="32"/>
          <w:highlight w:val="none"/>
        </w:rPr>
        <w:t>申请贷款，融资机构将根据《中国人民银行南宁中心支行 广西壮族自治区财政厅关于推广线上“政采贷”融资模式的通知》（南宁银发〔2021〕258号），按照双方自愿的原则提供便捷、优惠的贷款服务。</w:t>
      </w:r>
    </w:p>
    <w:p w14:paraId="2DF6B314">
      <w:pPr>
        <w:spacing w:line="580" w:lineRule="exact"/>
        <w:ind w:firstLine="420" w:firstLineChars="200"/>
        <w:rPr>
          <w:rFonts w:hint="eastAsia"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相关金融产品和</w:t>
      </w:r>
      <w:r>
        <w:rPr>
          <w:rFonts w:hint="eastAsia" w:ascii="仿宋_GB2312" w:hAnsi="仿宋_GB2312" w:eastAsia="仿宋_GB2312" w:cs="仿宋_GB2312"/>
          <w:color w:val="auto"/>
          <w:sz w:val="32"/>
          <w:szCs w:val="32"/>
          <w:highlight w:val="none"/>
        </w:rPr>
        <w:t>银行业金融机构</w:t>
      </w:r>
      <w:r>
        <w:rPr>
          <w:rFonts w:hint="eastAsia" w:ascii="仿宋_GB2312" w:hAnsi="仿宋_GB2312" w:eastAsia="仿宋_GB2312" w:cs="仿宋_GB2312"/>
          <w:color w:val="auto"/>
          <w:szCs w:val="32"/>
          <w:highlight w:val="none"/>
        </w:rPr>
        <w:t>联系方式，可在中征应收账款融资服务平台查询（网址：</w:t>
      </w:r>
      <w:r>
        <w:rPr>
          <w:rFonts w:hint="eastAsia" w:ascii="仿宋_GB2312" w:hAnsi="仿宋_GB2312" w:eastAsia="仿宋_GB2312" w:cs="仿宋_GB2312"/>
          <w:color w:val="auto"/>
          <w:szCs w:val="32"/>
          <w:highlight w:val="none"/>
        </w:rPr>
        <w:fldChar w:fldCharType="begin"/>
      </w:r>
      <w:r>
        <w:rPr>
          <w:rFonts w:hint="eastAsia" w:ascii="仿宋_GB2312" w:hAnsi="仿宋_GB2312" w:eastAsia="仿宋_GB2312" w:cs="仿宋_GB2312"/>
          <w:color w:val="auto"/>
          <w:szCs w:val="32"/>
          <w:highlight w:val="none"/>
        </w:rPr>
        <w:instrText xml:space="preserve"> HYPERLINK "https://www.crcrfsp.com/" </w:instrText>
      </w:r>
      <w:r>
        <w:rPr>
          <w:rFonts w:hint="eastAsia" w:ascii="仿宋_GB2312" w:hAnsi="仿宋_GB2312" w:eastAsia="仿宋_GB2312" w:cs="仿宋_GB2312"/>
          <w:color w:val="auto"/>
          <w:szCs w:val="32"/>
          <w:highlight w:val="none"/>
        </w:rPr>
        <w:fldChar w:fldCharType="separate"/>
      </w:r>
      <w:r>
        <w:rPr>
          <w:rStyle w:val="50"/>
          <w:rFonts w:hint="eastAsia" w:ascii="仿宋_GB2312" w:hAnsi="仿宋_GB2312" w:eastAsia="仿宋_GB2312" w:cs="仿宋_GB2312"/>
          <w:color w:val="auto"/>
          <w:szCs w:val="32"/>
          <w:highlight w:val="none"/>
        </w:rPr>
        <w:t>https://www.crcrfsp.com/</w:t>
      </w:r>
      <w:r>
        <w:rPr>
          <w:rFonts w:hint="eastAsia" w:ascii="仿宋_GB2312" w:hAnsi="仿宋_GB2312" w:eastAsia="仿宋_GB2312" w:cs="仿宋_GB2312"/>
          <w:color w:val="auto"/>
          <w:szCs w:val="32"/>
          <w:highlight w:val="none"/>
        </w:rPr>
        <w:fldChar w:fldCharType="end"/>
      </w:r>
      <w:r>
        <w:rPr>
          <w:rFonts w:hint="eastAsia" w:ascii="仿宋_GB2312" w:hAnsi="仿宋_GB2312" w:eastAsia="仿宋_GB2312" w:cs="仿宋_GB2312"/>
          <w:color w:val="auto"/>
          <w:szCs w:val="32"/>
          <w:highlight w:val="none"/>
        </w:rPr>
        <w:t>，客服电话：400-009-0001）。</w:t>
      </w:r>
    </w:p>
    <w:p w14:paraId="1611CEF4">
      <w:pPr>
        <w:pStyle w:val="160"/>
        <w:ind w:firstLine="480"/>
        <w:rPr>
          <w:rFonts w:hint="eastAsia" w:ascii="仿宋_GB2312" w:hAnsi="仿宋_GB2312" w:eastAsia="仿宋_GB2312" w:cs="仿宋_GB2312"/>
          <w:color w:val="auto"/>
          <w:szCs w:val="32"/>
          <w:highlight w:val="none"/>
        </w:rPr>
      </w:pPr>
    </w:p>
    <w:p w14:paraId="63093435">
      <w:pPr>
        <w:rPr>
          <w:rFonts w:hint="eastAsia" w:ascii="仿宋_GB2312" w:hAnsi="仿宋_GB2312" w:cs="仿宋_GB2312"/>
          <w:color w:val="auto"/>
          <w:szCs w:val="32"/>
          <w:highlight w:val="none"/>
        </w:rPr>
      </w:pPr>
    </w:p>
    <w:p w14:paraId="6A09B796">
      <w:pPr>
        <w:pStyle w:val="160"/>
        <w:ind w:firstLine="480"/>
        <w:rPr>
          <w:rFonts w:hint="eastAsia" w:ascii="仿宋_GB2312" w:hAnsi="仿宋_GB2312" w:cs="仿宋_GB2312"/>
          <w:color w:val="auto"/>
          <w:szCs w:val="32"/>
          <w:highlight w:val="none"/>
        </w:rPr>
      </w:pPr>
    </w:p>
    <w:p w14:paraId="1ECEAE0F">
      <w:pPr>
        <w:rPr>
          <w:rFonts w:hint="eastAsia" w:ascii="仿宋_GB2312" w:hAnsi="仿宋_GB2312" w:cs="仿宋_GB2312"/>
          <w:color w:val="auto"/>
          <w:szCs w:val="32"/>
          <w:highlight w:val="none"/>
        </w:rPr>
      </w:pPr>
    </w:p>
    <w:p w14:paraId="59FFA25D">
      <w:pPr>
        <w:rPr>
          <w:rFonts w:hint="eastAsia" w:ascii="仿宋_GB2312" w:hAnsi="仿宋_GB2312" w:cs="仿宋_GB2312"/>
          <w:color w:val="auto"/>
          <w:szCs w:val="32"/>
          <w:highlight w:val="none"/>
        </w:rPr>
      </w:pPr>
    </w:p>
    <w:p w14:paraId="3BD42FA6">
      <w:pPr>
        <w:pStyle w:val="160"/>
        <w:ind w:firstLine="480"/>
        <w:rPr>
          <w:rFonts w:hint="eastAsia" w:ascii="仿宋_GB2312" w:hAnsi="仿宋_GB2312" w:cs="仿宋_GB2312"/>
          <w:color w:val="auto"/>
          <w:szCs w:val="32"/>
          <w:highlight w:val="none"/>
        </w:rPr>
      </w:pPr>
    </w:p>
    <w:p w14:paraId="5E36F975">
      <w:pPr>
        <w:spacing w:line="540" w:lineRule="exact"/>
        <w:rPr>
          <w:rFonts w:hint="eastAsia" w:ascii="黑体" w:hAnsi="黑体" w:eastAsia="黑体" w:cs="黑体"/>
          <w:color w:val="auto"/>
          <w:szCs w:val="32"/>
          <w:highlight w:val="none"/>
        </w:rPr>
      </w:pPr>
    </w:p>
    <w:p w14:paraId="573618CB">
      <w:pPr>
        <w:pStyle w:val="160"/>
        <w:ind w:firstLine="480"/>
        <w:rPr>
          <w:rFonts w:hint="eastAsia" w:ascii="黑体" w:hAnsi="黑体" w:eastAsia="黑体" w:cs="黑体"/>
          <w:color w:val="auto"/>
          <w:szCs w:val="32"/>
          <w:highlight w:val="none"/>
        </w:rPr>
      </w:pPr>
    </w:p>
    <w:p w14:paraId="55340F04">
      <w:pPr>
        <w:rPr>
          <w:rFonts w:hint="eastAsia" w:ascii="黑体" w:hAnsi="黑体" w:eastAsia="黑体" w:cs="黑体"/>
          <w:color w:val="auto"/>
          <w:szCs w:val="32"/>
          <w:highlight w:val="none"/>
        </w:rPr>
      </w:pPr>
    </w:p>
    <w:p w14:paraId="17E70045">
      <w:pPr>
        <w:pStyle w:val="63"/>
        <w:rPr>
          <w:rFonts w:hint="eastAsia"/>
          <w:color w:val="auto"/>
        </w:rPr>
      </w:pPr>
    </w:p>
    <w:p w14:paraId="1B49F618">
      <w:pPr>
        <w:pStyle w:val="160"/>
        <w:ind w:firstLine="480"/>
        <w:rPr>
          <w:rFonts w:hint="eastAsia" w:ascii="黑体" w:hAnsi="黑体" w:eastAsia="黑体" w:cs="黑体"/>
          <w:color w:val="auto"/>
          <w:szCs w:val="32"/>
          <w:highlight w:val="none"/>
        </w:rPr>
      </w:pPr>
    </w:p>
    <w:p w14:paraId="7AE186F9">
      <w:pPr>
        <w:rPr>
          <w:rFonts w:hint="eastAsia"/>
          <w:color w:val="auto"/>
          <w:highlight w:val="none"/>
        </w:rPr>
      </w:pPr>
    </w:p>
    <w:p w14:paraId="503968F9">
      <w:pPr>
        <w:spacing w:line="540" w:lineRule="exact"/>
        <w:rPr>
          <w:rFonts w:hint="eastAsia" w:ascii="黑体" w:hAnsi="黑体" w:eastAsia="黑体" w:cs="黑体"/>
          <w:color w:val="auto"/>
          <w:szCs w:val="32"/>
          <w:highlight w:val="none"/>
        </w:rPr>
      </w:pPr>
    </w:p>
    <w:p w14:paraId="0D6408A9">
      <w:pPr>
        <w:spacing w:line="540" w:lineRule="exact"/>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val="zh-CN"/>
        </w:rPr>
        <w:t>附件</w:t>
      </w:r>
      <w:r>
        <w:rPr>
          <w:rFonts w:hint="eastAsia" w:ascii="黑体" w:hAnsi="黑体" w:eastAsia="黑体" w:cs="黑体"/>
          <w:color w:val="auto"/>
          <w:sz w:val="32"/>
          <w:szCs w:val="32"/>
          <w:highlight w:val="none"/>
          <w:lang w:val="en-US" w:eastAsia="zh-CN"/>
        </w:rPr>
        <w:t>5</w:t>
      </w:r>
    </w:p>
    <w:p w14:paraId="409DDB6C">
      <w:pPr>
        <w:pStyle w:val="160"/>
        <w:ind w:firstLine="480"/>
        <w:rPr>
          <w:color w:val="auto"/>
          <w:highlight w:val="none"/>
        </w:rPr>
      </w:pPr>
    </w:p>
    <w:p w14:paraId="7B4983AD">
      <w:pPr>
        <w:spacing w:line="600" w:lineRule="exact"/>
        <w:jc w:val="center"/>
        <w:rPr>
          <w:rFonts w:hint="eastAsia" w:ascii="黑体" w:hAnsi="黑体" w:eastAsia="黑体" w:cs="黑体"/>
          <w:color w:val="auto"/>
          <w:sz w:val="44"/>
          <w:szCs w:val="44"/>
          <w:highlight w:val="none"/>
        </w:rPr>
      </w:pPr>
      <w:r>
        <w:rPr>
          <w:rFonts w:hint="eastAsia" w:ascii="方正小标宋_GBK" w:eastAsia="方正小标宋_GBK"/>
          <w:color w:val="auto"/>
          <w:sz w:val="44"/>
          <w:szCs w:val="44"/>
          <w:highlight w:val="none"/>
        </w:rPr>
        <w:t>崇左市线上“政采贷”业务流程图</w:t>
      </w:r>
    </w:p>
    <w:p w14:paraId="1398694C">
      <w:pPr>
        <w:rPr>
          <w:rFonts w:hint="eastAsia"/>
          <w:color w:val="auto"/>
          <w:highlight w:val="none"/>
        </w:rPr>
      </w:pPr>
      <w:r>
        <w:rPr>
          <w:rFonts w:hint="eastAsia" w:eastAsia="仿宋_GB2312"/>
          <w:color w:val="auto"/>
          <w:highlight w:val="none"/>
        </w:rPr>
        <w:drawing>
          <wp:inline distT="0" distB="0" distL="114300" distR="114300">
            <wp:extent cx="4926965" cy="7002780"/>
            <wp:effectExtent l="0" t="0" r="6985" b="7620"/>
            <wp:docPr id="1" name="图片 1" descr="流程图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流程图1011"/>
                    <pic:cNvPicPr>
                      <a:picLocks noChangeAspect="1"/>
                    </pic:cNvPicPr>
                  </pic:nvPicPr>
                  <pic:blipFill>
                    <a:blip r:embed="rId17"/>
                    <a:stretch>
                      <a:fillRect/>
                    </a:stretch>
                  </pic:blipFill>
                  <pic:spPr>
                    <a:xfrm>
                      <a:off x="0" y="0"/>
                      <a:ext cx="4926965" cy="7002780"/>
                    </a:xfrm>
                    <a:prstGeom prst="rect">
                      <a:avLst/>
                    </a:prstGeom>
                    <a:noFill/>
                    <a:ln>
                      <a:noFill/>
                    </a:ln>
                  </pic:spPr>
                </pic:pic>
              </a:graphicData>
            </a:graphic>
          </wp:inline>
        </w:drawing>
      </w:r>
    </w:p>
    <w:p w14:paraId="24F3ED55">
      <w:pPr>
        <w:widowControl/>
        <w:ind w:firstLine="420" w:firstLineChars="200"/>
        <w:rPr>
          <w:rFonts w:hint="eastAsia"/>
          <w:color w:val="auto"/>
          <w:highlight w:val="none"/>
        </w:rPr>
      </w:pPr>
    </w:p>
    <w:p w14:paraId="3D1560D3">
      <w:pPr>
        <w:spacing w:line="540" w:lineRule="exact"/>
        <w:rPr>
          <w:rFonts w:hint="eastAsia" w:ascii="黑体" w:hAnsi="黑体" w:eastAsia="黑体" w:cs="黑体"/>
          <w:color w:val="auto"/>
          <w:sz w:val="32"/>
          <w:szCs w:val="32"/>
          <w:highlight w:val="none"/>
          <w:lang w:val="zh-CN"/>
        </w:rPr>
      </w:pPr>
    </w:p>
    <w:p w14:paraId="032D3809">
      <w:pPr>
        <w:spacing w:line="540" w:lineRule="exact"/>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val="zh-CN"/>
        </w:rPr>
        <w:t>附件</w:t>
      </w:r>
      <w:r>
        <w:rPr>
          <w:rFonts w:hint="eastAsia" w:ascii="黑体" w:hAnsi="黑体" w:eastAsia="黑体" w:cs="黑体"/>
          <w:color w:val="auto"/>
          <w:sz w:val="32"/>
          <w:szCs w:val="32"/>
          <w:highlight w:val="none"/>
          <w:lang w:val="en-US" w:eastAsia="zh-CN"/>
        </w:rPr>
        <w:t>6</w:t>
      </w:r>
    </w:p>
    <w:p w14:paraId="3501E383">
      <w:pPr>
        <w:pStyle w:val="160"/>
        <w:ind w:firstLine="720"/>
        <w:jc w:val="center"/>
        <w:rPr>
          <w:rFonts w:ascii="方正小标宋_GBK" w:hAnsi="方正小标宋_GBK" w:eastAsia="方正小标宋_GBK" w:cs="方正小标宋_GBK"/>
          <w:color w:val="auto"/>
          <w:sz w:val="36"/>
          <w:szCs w:val="36"/>
          <w:highlight w:val="none"/>
        </w:rPr>
      </w:pPr>
      <w:r>
        <w:rPr>
          <w:rFonts w:hint="eastAsia" w:ascii="方正小标宋_GBK" w:hAnsi="方正小标宋_GBK" w:eastAsia="方正小标宋_GBK" w:cs="方正小标宋_GBK"/>
          <w:color w:val="auto"/>
          <w:sz w:val="36"/>
          <w:szCs w:val="36"/>
          <w:highlight w:val="none"/>
        </w:rPr>
        <w:t>崇左市金融机构线上“政采贷”业务办理联络表</w:t>
      </w:r>
    </w:p>
    <w:tbl>
      <w:tblPr>
        <w:tblStyle w:val="44"/>
        <w:tblW w:w="8314" w:type="dxa"/>
        <w:jc w:val="center"/>
        <w:tblLayout w:type="fixed"/>
        <w:tblCellMar>
          <w:top w:w="0" w:type="dxa"/>
          <w:left w:w="108" w:type="dxa"/>
          <w:bottom w:w="0" w:type="dxa"/>
          <w:right w:w="108" w:type="dxa"/>
        </w:tblCellMar>
      </w:tblPr>
      <w:tblGrid>
        <w:gridCol w:w="2674"/>
        <w:gridCol w:w="3515"/>
        <w:gridCol w:w="2125"/>
      </w:tblGrid>
      <w:tr w14:paraId="3B7C7CEF">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0"/>
            <w:vAlign w:val="center"/>
          </w:tcPr>
          <w:p w14:paraId="119A492E">
            <w:pPr>
              <w:widowControl/>
              <w:spacing w:line="400" w:lineRule="exact"/>
              <w:jc w:val="center"/>
              <w:textAlignment w:val="center"/>
              <w:rPr>
                <w:rFonts w:hint="eastAsia" w:ascii="宋体" w:hAnsi="宋体" w:cs="宋体"/>
                <w:b/>
                <w:bCs/>
                <w:color w:val="auto"/>
                <w:sz w:val="28"/>
                <w:szCs w:val="28"/>
                <w:highlight w:val="none"/>
              </w:rPr>
            </w:pPr>
            <w:r>
              <w:rPr>
                <w:rFonts w:hint="eastAsia" w:ascii="宋体" w:hAnsi="宋体" w:cs="宋体"/>
                <w:b/>
                <w:bCs/>
                <w:color w:val="auto"/>
                <w:kern w:val="0"/>
                <w:sz w:val="28"/>
                <w:szCs w:val="28"/>
                <w:highlight w:val="none"/>
                <w:lang w:bidi="ar"/>
              </w:rPr>
              <w:t>金融机构名称</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A8E1B20">
            <w:pPr>
              <w:widowControl/>
              <w:spacing w:line="400" w:lineRule="exact"/>
              <w:jc w:val="center"/>
              <w:textAlignment w:val="center"/>
              <w:rPr>
                <w:rFonts w:hint="eastAsia" w:ascii="宋体" w:hAnsi="宋体" w:cs="宋体"/>
                <w:b/>
                <w:bCs/>
                <w:color w:val="auto"/>
                <w:sz w:val="28"/>
                <w:szCs w:val="28"/>
                <w:highlight w:val="none"/>
              </w:rPr>
            </w:pPr>
            <w:r>
              <w:rPr>
                <w:rFonts w:hint="eastAsia" w:ascii="宋体" w:hAnsi="宋体" w:cs="宋体"/>
                <w:b/>
                <w:bCs/>
                <w:color w:val="auto"/>
                <w:kern w:val="0"/>
                <w:sz w:val="28"/>
                <w:szCs w:val="28"/>
                <w:highlight w:val="none"/>
                <w:lang w:bidi="ar"/>
              </w:rPr>
              <w:t>地址</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5C95BEA">
            <w:pPr>
              <w:widowControl/>
              <w:spacing w:line="400" w:lineRule="exact"/>
              <w:jc w:val="center"/>
              <w:textAlignment w:val="center"/>
              <w:rPr>
                <w:rFonts w:hint="eastAsia" w:ascii="宋体" w:hAnsi="宋体" w:cs="宋体"/>
                <w:b/>
                <w:bCs/>
                <w:color w:val="auto"/>
                <w:sz w:val="28"/>
                <w:szCs w:val="28"/>
                <w:highlight w:val="none"/>
              </w:rPr>
            </w:pPr>
            <w:r>
              <w:rPr>
                <w:rFonts w:hint="eastAsia" w:cs="宋体"/>
                <w:b/>
                <w:bCs/>
                <w:color w:val="auto"/>
                <w:kern w:val="0"/>
                <w:sz w:val="28"/>
                <w:szCs w:val="28"/>
                <w:highlight w:val="none"/>
                <w:lang w:bidi="ar"/>
              </w:rPr>
              <w:t>业务</w:t>
            </w:r>
            <w:r>
              <w:rPr>
                <w:rFonts w:hint="eastAsia" w:ascii="宋体" w:hAnsi="宋体" w:cs="宋体"/>
                <w:b/>
                <w:bCs/>
                <w:color w:val="auto"/>
                <w:kern w:val="0"/>
                <w:sz w:val="28"/>
                <w:szCs w:val="28"/>
                <w:highlight w:val="none"/>
                <w:lang w:bidi="ar"/>
              </w:rPr>
              <w:t>咨询电话</w:t>
            </w:r>
          </w:p>
        </w:tc>
      </w:tr>
      <w:tr w14:paraId="470B4C8F">
        <w:tblPrEx>
          <w:tblCellMar>
            <w:top w:w="0" w:type="dxa"/>
            <w:left w:w="108" w:type="dxa"/>
            <w:bottom w:w="0" w:type="dxa"/>
            <w:right w:w="108" w:type="dxa"/>
          </w:tblCellMar>
        </w:tblPrEx>
        <w:trPr>
          <w:trHeight w:val="365"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4356C0EB">
            <w:pPr>
              <w:widowControl/>
              <w:jc w:val="left"/>
              <w:textAlignment w:val="center"/>
              <w:rPr>
                <w:rFonts w:hint="eastAsia" w:cs="宋体"/>
                <w:color w:val="auto"/>
                <w:szCs w:val="21"/>
                <w:highlight w:val="none"/>
              </w:rPr>
            </w:pPr>
            <w:r>
              <w:rPr>
                <w:rFonts w:hint="eastAsia" w:cs="宋体"/>
                <w:b/>
                <w:bCs/>
                <w:color w:val="auto"/>
                <w:szCs w:val="21"/>
                <w:highlight w:val="none"/>
              </w:rPr>
              <w:t>崇左市本级及江州区</w:t>
            </w:r>
          </w:p>
        </w:tc>
      </w:tr>
      <w:tr w14:paraId="0AF57BE9">
        <w:tblPrEx>
          <w:tblCellMar>
            <w:top w:w="0" w:type="dxa"/>
            <w:left w:w="108" w:type="dxa"/>
            <w:bottom w:w="0" w:type="dxa"/>
            <w:right w:w="108" w:type="dxa"/>
          </w:tblCellMar>
        </w:tblPrEx>
        <w:trPr>
          <w:trHeight w:val="35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04257CD">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工商银行崇左分行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E8FF76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崇左市骆越大道6号（东盟国际城）裙楼2号楼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7DC2E2C">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0771-7820436 0771-7820439</w:t>
            </w:r>
          </w:p>
        </w:tc>
      </w:tr>
      <w:tr w14:paraId="14C4337C">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367860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1BF339D">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江州区友谊大道26号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B9B261">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0771-7917212</w:t>
            </w:r>
          </w:p>
        </w:tc>
      </w:tr>
      <w:tr w14:paraId="4819B0F5">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D881A46">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1D7E96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江州区江南路48号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DD3DD44">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0771-7917054</w:t>
            </w:r>
          </w:p>
        </w:tc>
      </w:tr>
      <w:tr w14:paraId="2C4DD7A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768422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5FB594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崇左市江州区江南路73号建行大厦</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593654A">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0771-7831103</w:t>
            </w:r>
          </w:p>
        </w:tc>
      </w:tr>
      <w:tr w14:paraId="3267ECA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24242E9">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中国银行崇左分行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245BE6E">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崇左市江州区龙胤大厦五楼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FCB87DD">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0771-7928650 0771-7920613</w:t>
            </w:r>
          </w:p>
        </w:tc>
      </w:tr>
      <w:tr w14:paraId="6F5CE1B6">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B7647D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崇左农商行授信审批部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D1D364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崇左市城西路109号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7B01029">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0771-7925660</w:t>
            </w:r>
          </w:p>
        </w:tc>
      </w:tr>
      <w:tr w14:paraId="6639D2F6">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CD92C93">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中国邮政储蓄银行崇左市分行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636BB3D">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崇左市江州区骆越大道2号中国邮政储蓄银行崇左市分行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1878455">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0771-7968699</w:t>
            </w:r>
          </w:p>
        </w:tc>
      </w:tr>
      <w:tr w14:paraId="1FCE0DB8">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0CB624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桂林银行崇左分行营业部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863084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广西壮族自治区崇左市江州区友谊大道中段龙胤·财富广场101商铺（龙胤大厦六楼营业部）</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F68DF5F">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0771-7916636</w:t>
            </w:r>
          </w:p>
        </w:tc>
      </w:tr>
      <w:tr w14:paraId="5CEF6343">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57F0553">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687BB1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崇左市江州区建设路41号桂林银行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B42BF67">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0771-7988895</w:t>
            </w:r>
          </w:p>
        </w:tc>
      </w:tr>
      <w:tr w14:paraId="424A0E53">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116FC0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0EA94FD">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崇左市友谊大道中段西侧龙胤财富广场三期财富中心122号商铺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2A808D4">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0771-7960855</w:t>
            </w:r>
          </w:p>
        </w:tc>
      </w:tr>
      <w:tr w14:paraId="505B6684">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9471BD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广西北部湾银行崇左市中泰产业园支行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BA4D436">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广西壮族自治区崇左市江州区中泰产业园企业总部基地企业服务中心一楼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67F5751">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0771-7821126</w:t>
            </w:r>
          </w:p>
        </w:tc>
      </w:tr>
      <w:tr w14:paraId="48F844EC">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55EA12B">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广西北部湾银行崇左市丽江支行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1AC178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崇左市江州区丽江路丽江明珠滨江花苑三期106-109号商铺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67336A5">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0771-7831866</w:t>
            </w:r>
          </w:p>
        </w:tc>
      </w:tr>
      <w:tr w14:paraId="1D96DD96">
        <w:tblPrEx>
          <w:tblCellMar>
            <w:top w:w="0" w:type="dxa"/>
            <w:left w:w="108" w:type="dxa"/>
            <w:bottom w:w="0" w:type="dxa"/>
            <w:right w:w="108" w:type="dxa"/>
          </w:tblCellMar>
        </w:tblPrEx>
        <w:trPr>
          <w:trHeight w:val="350"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69B934E9">
            <w:pPr>
              <w:widowControl/>
              <w:jc w:val="left"/>
              <w:textAlignment w:val="center"/>
              <w:rPr>
                <w:rFonts w:hint="eastAsia" w:ascii="宋体" w:hAnsi="宋体" w:cs="宋体"/>
                <w:color w:val="auto"/>
                <w:szCs w:val="21"/>
                <w:highlight w:val="none"/>
              </w:rPr>
            </w:pPr>
            <w:r>
              <w:rPr>
                <w:rFonts w:hint="eastAsia" w:ascii="宋体" w:hAnsi="宋体" w:cs="宋体"/>
                <w:b/>
                <w:bCs/>
                <w:color w:val="auto"/>
                <w:szCs w:val="21"/>
                <w:highlight w:val="none"/>
              </w:rPr>
              <w:t>扶绥县</w:t>
            </w:r>
          </w:p>
        </w:tc>
      </w:tr>
      <w:tr w14:paraId="20578922">
        <w:tblPrEx>
          <w:tblCellMar>
            <w:top w:w="0" w:type="dxa"/>
            <w:left w:w="108" w:type="dxa"/>
            <w:bottom w:w="0" w:type="dxa"/>
            <w:right w:w="108" w:type="dxa"/>
          </w:tblCellMar>
        </w:tblPrEx>
        <w:trPr>
          <w:trHeight w:val="38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410B97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工商银行扶绥县支行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538D09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扶绥县新宁镇同正大道94号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A65D1C8">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0771-7535612</w:t>
            </w:r>
          </w:p>
        </w:tc>
      </w:tr>
      <w:tr w14:paraId="7DCD70D5">
        <w:tblPrEx>
          <w:tblCellMar>
            <w:top w:w="0" w:type="dxa"/>
            <w:left w:w="108" w:type="dxa"/>
            <w:bottom w:w="0" w:type="dxa"/>
            <w:right w:w="108" w:type="dxa"/>
          </w:tblCellMar>
        </w:tblPrEx>
        <w:trPr>
          <w:trHeight w:val="44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8F70BF6">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1E4137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扶绥县新宁镇新华路126号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07F305F">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0771-7917330</w:t>
            </w:r>
          </w:p>
        </w:tc>
      </w:tr>
      <w:tr w14:paraId="037D3607">
        <w:tblPrEx>
          <w:tblCellMar>
            <w:top w:w="0" w:type="dxa"/>
            <w:left w:w="108" w:type="dxa"/>
            <w:bottom w:w="0" w:type="dxa"/>
            <w:right w:w="108" w:type="dxa"/>
          </w:tblCellMar>
        </w:tblPrEx>
        <w:trPr>
          <w:trHeight w:val="749"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151FAFB">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D9D162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扶绥县南密路6号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7D2B0B4">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0771-7516511 0771-7531157</w:t>
            </w:r>
          </w:p>
        </w:tc>
      </w:tr>
      <w:tr w14:paraId="135B0794">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3B1A2F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建行扶绥空港支行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CC6295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扶绥县双拥路3号东信华府18号楼一层</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E0F3740">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0771-7525822</w:t>
            </w:r>
          </w:p>
        </w:tc>
      </w:tr>
      <w:tr w14:paraId="246F4DE3">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CA3EBF3">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中国银行扶绥支行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D01E77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扶绥县-扶绥大道16号山水城市广场一层商铺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79FF5BA">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0771-5025887</w:t>
            </w:r>
          </w:p>
        </w:tc>
      </w:tr>
      <w:tr w14:paraId="213F804F">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08FA589">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43CE3D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扶绥县新宁镇永宁路2-1号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5A3D1E6">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0771-7533041</w:t>
            </w:r>
          </w:p>
        </w:tc>
      </w:tr>
      <w:tr w14:paraId="560CC298">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A06613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中国邮政储蓄银行扶绥县支行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DC15A2E">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扶绥县松江路138号中国邮政储蓄银行扶绥县支行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A6AD895">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0771-7536178 0771-7536177</w:t>
            </w:r>
          </w:p>
        </w:tc>
      </w:tr>
      <w:tr w14:paraId="762EEF66">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1A901F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桂林银行崇左扶绥支行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A90850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广西崇左市扶绥县新宁镇松江路20号（桂林银行崇左扶绥支行）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C5A529F">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0771-7661101</w:t>
            </w:r>
          </w:p>
        </w:tc>
      </w:tr>
      <w:tr w14:paraId="5FF213B0">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465A9BE">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5E455A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崇左市扶绥县新宁镇同正大道333号碧园·未来城商业综合体13号楼一楼1050、1051号商铺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112175F">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0771-7500768</w:t>
            </w:r>
          </w:p>
        </w:tc>
      </w:tr>
      <w:tr w14:paraId="463220C7">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3E9F75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扶绥深通村镇银行业发部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09502C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扶绥县大景城1号楼正门旁</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AA416E9">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0771-7525678</w:t>
            </w:r>
          </w:p>
        </w:tc>
      </w:tr>
      <w:tr w14:paraId="307FFF6F">
        <w:tblPrEx>
          <w:tblCellMar>
            <w:top w:w="0" w:type="dxa"/>
            <w:left w:w="108" w:type="dxa"/>
            <w:bottom w:w="0" w:type="dxa"/>
            <w:right w:w="108" w:type="dxa"/>
          </w:tblCellMar>
        </w:tblPrEx>
        <w:trPr>
          <w:trHeight w:val="47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F044FA8">
            <w:pPr>
              <w:widowControl/>
              <w:jc w:val="left"/>
              <w:textAlignment w:val="center"/>
              <w:rPr>
                <w:rFonts w:hint="eastAsia" w:ascii="宋体" w:hAnsi="宋体" w:cs="宋体"/>
                <w:color w:val="auto"/>
                <w:szCs w:val="21"/>
                <w:highlight w:val="none"/>
              </w:rPr>
            </w:pPr>
            <w:r>
              <w:rPr>
                <w:rFonts w:hint="eastAsia" w:ascii="宋体" w:hAnsi="宋体" w:cs="宋体"/>
                <w:b/>
                <w:bCs/>
                <w:color w:val="auto"/>
                <w:szCs w:val="21"/>
                <w:highlight w:val="none"/>
              </w:rPr>
              <w:t>宁明县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920CF89">
            <w:pPr>
              <w:widowControl/>
              <w:jc w:val="left"/>
              <w:textAlignment w:val="center"/>
              <w:rPr>
                <w:rFonts w:hint="eastAsia" w:ascii="宋体" w:hAnsi="宋体" w:cs="宋体"/>
                <w:color w:val="auto"/>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5E9CC08">
            <w:pPr>
              <w:widowControl/>
              <w:jc w:val="center"/>
              <w:textAlignment w:val="center"/>
              <w:rPr>
                <w:rFonts w:hint="eastAsia" w:ascii="宋体" w:hAnsi="宋体" w:cs="宋体"/>
                <w:color w:val="auto"/>
                <w:szCs w:val="21"/>
                <w:highlight w:val="none"/>
              </w:rPr>
            </w:pPr>
          </w:p>
        </w:tc>
      </w:tr>
      <w:tr w14:paraId="3A4FABE9">
        <w:tblPrEx>
          <w:tblCellMar>
            <w:top w:w="0" w:type="dxa"/>
            <w:left w:w="108" w:type="dxa"/>
            <w:bottom w:w="0" w:type="dxa"/>
            <w:right w:w="108" w:type="dxa"/>
          </w:tblCellMar>
        </w:tblPrEx>
        <w:trPr>
          <w:trHeight w:val="36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C5FD53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工商银行宁明县支行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51F1F2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宁明县城中镇兴远街70号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18B84AF">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0771-8620729</w:t>
            </w:r>
          </w:p>
        </w:tc>
      </w:tr>
      <w:tr w14:paraId="4AEDB16C">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1E6092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9C2061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宁明县城中镇明阳街11号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43F3A5D">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0771-7917093</w:t>
            </w:r>
          </w:p>
        </w:tc>
      </w:tr>
      <w:tr w14:paraId="7ADDC624">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6BF8D23">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58DF78C">
            <w:pPr>
              <w:widowControl/>
              <w:spacing w:after="90" w:line="23" w:lineRule="atLeast"/>
              <w:jc w:val="left"/>
              <w:rPr>
                <w:rFonts w:hint="eastAsia" w:ascii="宋体" w:hAnsi="宋体" w:cs="宋体"/>
                <w:color w:val="auto"/>
                <w:szCs w:val="21"/>
                <w:highlight w:val="none"/>
              </w:rPr>
            </w:pPr>
            <w:r>
              <w:rPr>
                <w:rFonts w:hint="eastAsia" w:ascii="宋体" w:hAnsi="宋体" w:cs="宋体"/>
                <w:color w:val="auto"/>
                <w:kern w:val="0"/>
                <w:szCs w:val="21"/>
                <w:highlight w:val="none"/>
                <w:lang w:bidi="ar"/>
              </w:rPr>
              <w:t>宁明县城中镇兴宁大道77号明江财富广场一层1-13号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DAC56B1">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0771-8629006</w:t>
            </w:r>
          </w:p>
        </w:tc>
      </w:tr>
      <w:tr w14:paraId="2BF62625">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5E9478D">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宁明农商行三农零售与乡村振兴金融部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1507D2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宁明县城中镇明阳街3号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7C9AADD">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0771-8628166</w:t>
            </w:r>
          </w:p>
        </w:tc>
      </w:tr>
      <w:tr w14:paraId="5E73D4C9">
        <w:tblPrEx>
          <w:tblCellMar>
            <w:top w:w="0" w:type="dxa"/>
            <w:left w:w="108" w:type="dxa"/>
            <w:bottom w:w="0" w:type="dxa"/>
            <w:right w:w="108" w:type="dxa"/>
          </w:tblCellMar>
        </w:tblPrEx>
        <w:trPr>
          <w:trHeight w:val="439"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A02E81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桂林银行崇左宁明支行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4E0E74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宁明县城中镇兴宁大道中70号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3483253">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0771-8630787</w:t>
            </w:r>
          </w:p>
        </w:tc>
      </w:tr>
      <w:tr w14:paraId="2FE29C15">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DCDAB6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FB817D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崇左市宁明县城中镇兴宁大道中79号（明都大酒店）A幢楼1楼铺面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1277362">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0771-8622237</w:t>
            </w:r>
          </w:p>
        </w:tc>
      </w:tr>
      <w:tr w14:paraId="6B4815A2">
        <w:tblPrEx>
          <w:tblCellMar>
            <w:top w:w="0" w:type="dxa"/>
            <w:left w:w="108" w:type="dxa"/>
            <w:bottom w:w="0" w:type="dxa"/>
            <w:right w:w="108" w:type="dxa"/>
          </w:tblCellMar>
        </w:tblPrEx>
        <w:trPr>
          <w:trHeight w:val="377"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2E8F8117">
            <w:pPr>
              <w:widowControl/>
              <w:jc w:val="left"/>
              <w:textAlignment w:val="center"/>
              <w:rPr>
                <w:rFonts w:hint="eastAsia" w:ascii="宋体" w:hAnsi="宋体" w:cs="宋体"/>
                <w:color w:val="auto"/>
                <w:szCs w:val="21"/>
                <w:highlight w:val="none"/>
              </w:rPr>
            </w:pPr>
            <w:r>
              <w:rPr>
                <w:rFonts w:hint="eastAsia" w:ascii="宋体" w:hAnsi="宋体" w:cs="宋体"/>
                <w:b/>
                <w:bCs/>
                <w:color w:val="auto"/>
                <w:szCs w:val="21"/>
                <w:highlight w:val="none"/>
              </w:rPr>
              <w:t>大新县</w:t>
            </w:r>
          </w:p>
        </w:tc>
      </w:tr>
      <w:tr w14:paraId="05C8804F">
        <w:tblPrEx>
          <w:tblCellMar>
            <w:top w:w="0" w:type="dxa"/>
            <w:left w:w="108" w:type="dxa"/>
            <w:bottom w:w="0" w:type="dxa"/>
            <w:right w:w="108" w:type="dxa"/>
          </w:tblCellMar>
        </w:tblPrEx>
        <w:trPr>
          <w:trHeight w:val="391"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E496767">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szCs w:val="21"/>
                <w:highlight w:val="none"/>
              </w:rPr>
              <w:t>工商银行大新县支行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90CB2B4">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大新县桃城镇民生街98号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02B315E">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0771-3628078</w:t>
            </w:r>
          </w:p>
        </w:tc>
      </w:tr>
      <w:tr w14:paraId="0BE03126">
        <w:tblPrEx>
          <w:tblCellMar>
            <w:top w:w="0" w:type="dxa"/>
            <w:left w:w="108" w:type="dxa"/>
            <w:bottom w:w="0" w:type="dxa"/>
            <w:right w:w="108" w:type="dxa"/>
          </w:tblCellMar>
        </w:tblPrEx>
        <w:trPr>
          <w:trHeight w:val="458"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5AAEBF4">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szCs w:val="21"/>
                <w:highlight w:val="none"/>
              </w:rPr>
              <w:t>农业银行大新县支行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5446C4A">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szCs w:val="21"/>
                <w:highlight w:val="none"/>
              </w:rPr>
              <w:t>大新县桃城镇伦理路223号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ECE30D6">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0771-</w:t>
            </w:r>
            <w:r>
              <w:rPr>
                <w:rFonts w:hint="eastAsia" w:ascii="宋体" w:hAnsi="宋体" w:cs="宋体"/>
                <w:color w:val="auto"/>
                <w:szCs w:val="21"/>
                <w:highlight w:val="none"/>
              </w:rPr>
              <w:t>7917015</w:t>
            </w:r>
          </w:p>
        </w:tc>
      </w:tr>
      <w:tr w14:paraId="056C2306">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D9D1F07">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建行大新支行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877F393">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大新县民生街7号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98BD716">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0771-3689766</w:t>
            </w:r>
          </w:p>
        </w:tc>
      </w:tr>
      <w:tr w14:paraId="5C8F1F90">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30591F2">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大新农商行三农零售与乡村振兴金融部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3845C06">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大新县城养利路131号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0A6D5A1">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0771-3623887</w:t>
            </w:r>
          </w:p>
        </w:tc>
      </w:tr>
      <w:tr w14:paraId="5FC56626">
        <w:tblPrEx>
          <w:tblCellMar>
            <w:top w:w="0" w:type="dxa"/>
            <w:left w:w="108" w:type="dxa"/>
            <w:bottom w:w="0" w:type="dxa"/>
            <w:right w:w="108" w:type="dxa"/>
          </w:tblCellMar>
        </w:tblPrEx>
        <w:trPr>
          <w:trHeight w:val="6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788056A">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szCs w:val="21"/>
                <w:highlight w:val="none"/>
              </w:rPr>
              <w:t>桂林银行崇左大新支行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8A4CD6E">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崇左市大新县桃城镇民生街7号东盟商业广场1楼桂林银行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64D2B0C">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0771-3621996</w:t>
            </w:r>
          </w:p>
        </w:tc>
      </w:tr>
      <w:tr w14:paraId="25A8617C">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DCF4C70">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szCs w:val="21"/>
                <w:highlight w:val="none"/>
              </w:rPr>
              <w:t>广西北部湾银行大新支行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BC6597C">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崇左市大新县桃城镇伦理路230号1楼铺面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ACFA4C6">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szCs w:val="21"/>
                <w:highlight w:val="none"/>
              </w:rPr>
              <w:t>0771-3628366</w:t>
            </w:r>
          </w:p>
        </w:tc>
      </w:tr>
      <w:tr w14:paraId="6B7F1588">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1DEE641">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崇左大新长江村镇银行营业部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FA627AF">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大新县桃城镇德天大道74-1号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1ED784A">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0771-3698002</w:t>
            </w:r>
          </w:p>
        </w:tc>
      </w:tr>
      <w:tr w14:paraId="676EA66C">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9B5D7A4">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崇左大新长江村镇银行百汇支行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45F96F2">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大新县桃城镇伦那路8号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8AC3354">
            <w:pPr>
              <w:widowControl/>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0771-3626199</w:t>
            </w:r>
          </w:p>
        </w:tc>
      </w:tr>
      <w:tr w14:paraId="71B20352">
        <w:tblPrEx>
          <w:tblCellMar>
            <w:top w:w="0" w:type="dxa"/>
            <w:left w:w="108" w:type="dxa"/>
            <w:bottom w:w="0" w:type="dxa"/>
            <w:right w:w="108" w:type="dxa"/>
          </w:tblCellMar>
        </w:tblPrEx>
        <w:trPr>
          <w:trHeight w:val="35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C08E60B">
            <w:pPr>
              <w:widowControl/>
              <w:jc w:val="left"/>
              <w:textAlignment w:val="center"/>
              <w:rPr>
                <w:rFonts w:hint="eastAsia" w:ascii="宋体" w:hAnsi="宋体" w:cs="宋体"/>
                <w:color w:val="auto"/>
                <w:szCs w:val="21"/>
                <w:highlight w:val="none"/>
              </w:rPr>
            </w:pPr>
            <w:r>
              <w:rPr>
                <w:rFonts w:hint="eastAsia" w:ascii="宋体" w:hAnsi="宋体" w:cs="宋体"/>
                <w:b/>
                <w:bCs/>
                <w:color w:val="auto"/>
                <w:szCs w:val="21"/>
                <w:highlight w:val="none"/>
              </w:rPr>
              <w:t>龙州县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5ED63F5">
            <w:pPr>
              <w:widowControl/>
              <w:jc w:val="left"/>
              <w:textAlignment w:val="center"/>
              <w:rPr>
                <w:rFonts w:hint="eastAsia" w:ascii="宋体" w:hAnsi="宋体" w:cs="宋体"/>
                <w:color w:val="auto"/>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86282A6">
            <w:pPr>
              <w:widowControl/>
              <w:jc w:val="center"/>
              <w:textAlignment w:val="center"/>
              <w:rPr>
                <w:rFonts w:hint="eastAsia" w:ascii="宋体" w:hAnsi="宋体" w:cs="宋体"/>
                <w:color w:val="auto"/>
                <w:szCs w:val="21"/>
                <w:highlight w:val="none"/>
              </w:rPr>
            </w:pPr>
          </w:p>
        </w:tc>
      </w:tr>
      <w:tr w14:paraId="2E6E2066">
        <w:tblPrEx>
          <w:tblCellMar>
            <w:top w:w="0" w:type="dxa"/>
            <w:left w:w="108" w:type="dxa"/>
            <w:bottom w:w="0" w:type="dxa"/>
            <w:right w:w="108" w:type="dxa"/>
          </w:tblCellMar>
        </w:tblPrEx>
        <w:trPr>
          <w:trHeight w:val="428"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448286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工商银行龙州县支行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0D7657B">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龙州县龙江街60号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5F2B574">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0771-8868619</w:t>
            </w:r>
          </w:p>
        </w:tc>
      </w:tr>
      <w:tr w14:paraId="5539723C">
        <w:tblPrEx>
          <w:tblCellMar>
            <w:top w:w="0" w:type="dxa"/>
            <w:left w:w="108" w:type="dxa"/>
            <w:bottom w:w="0" w:type="dxa"/>
            <w:right w:w="108" w:type="dxa"/>
          </w:tblCellMar>
        </w:tblPrEx>
        <w:trPr>
          <w:trHeight w:val="544"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D9CB35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8EA1FF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龙州县龙州镇康平街26号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FA72C81">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0771-8812504</w:t>
            </w:r>
          </w:p>
        </w:tc>
      </w:tr>
      <w:tr w14:paraId="370E3B9E">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080F36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2EADFC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龙州县龙夏路2号龙州商业广场D栋1号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C9093C4">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0771-8820525</w:t>
            </w:r>
          </w:p>
        </w:tc>
      </w:tr>
      <w:tr w14:paraId="5FE95871">
        <w:tblPrEx>
          <w:tblCellMar>
            <w:top w:w="0" w:type="dxa"/>
            <w:left w:w="108" w:type="dxa"/>
            <w:bottom w:w="0" w:type="dxa"/>
            <w:right w:w="108" w:type="dxa"/>
          </w:tblCellMar>
        </w:tblPrEx>
        <w:trPr>
          <w:trHeight w:val="41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D7E7966">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龙州农商行公司机构金融</w:t>
            </w:r>
            <w:r>
              <w:rPr>
                <w:rFonts w:hint="eastAsia" w:cs="宋体"/>
                <w:color w:val="auto"/>
                <w:szCs w:val="21"/>
                <w:highlight w:val="none"/>
              </w:rPr>
              <w:t>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F9150F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龙州县龙州镇独山路172号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954D05B">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0771-8813013</w:t>
            </w:r>
          </w:p>
        </w:tc>
      </w:tr>
      <w:tr w14:paraId="3207F266">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BD019B3">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桂林银行崇左龙州支行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FD208D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龙州县龙州镇同顾大道1号同顾·中央公园20栋10号—13号房</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FC7384D">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0771-8871021</w:t>
            </w:r>
          </w:p>
        </w:tc>
      </w:tr>
      <w:tr w14:paraId="4C55286C">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A39F29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EE28103">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崇左市龙州县龙州镇龙夏路1号、3号、5号（南湖商务酒店）一楼铺面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CDCBFB2">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0771-8811533</w:t>
            </w:r>
          </w:p>
        </w:tc>
      </w:tr>
      <w:tr w14:paraId="6CD4C433">
        <w:tblPrEx>
          <w:tblCellMar>
            <w:top w:w="0" w:type="dxa"/>
            <w:left w:w="108" w:type="dxa"/>
            <w:bottom w:w="0" w:type="dxa"/>
            <w:right w:w="108" w:type="dxa"/>
          </w:tblCellMar>
        </w:tblPrEx>
        <w:trPr>
          <w:trHeight w:val="48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3DFAADB">
            <w:pPr>
              <w:widowControl/>
              <w:textAlignment w:val="center"/>
              <w:rPr>
                <w:rFonts w:hint="eastAsia" w:ascii="宋体" w:hAnsi="宋体" w:cs="宋体"/>
                <w:color w:val="auto"/>
                <w:szCs w:val="21"/>
                <w:highlight w:val="none"/>
              </w:rPr>
            </w:pPr>
            <w:r>
              <w:rPr>
                <w:rFonts w:hint="eastAsia" w:ascii="宋体" w:hAnsi="宋体" w:cs="宋体"/>
                <w:b/>
                <w:bCs/>
                <w:color w:val="auto"/>
                <w:szCs w:val="21"/>
                <w:highlight w:val="none"/>
              </w:rPr>
              <w:t>天等县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3AFBA2D">
            <w:pPr>
              <w:widowControl/>
              <w:jc w:val="left"/>
              <w:textAlignment w:val="center"/>
              <w:rPr>
                <w:rFonts w:hint="eastAsia" w:ascii="宋体" w:hAnsi="宋体" w:cs="宋体"/>
                <w:color w:val="auto"/>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7E39F41">
            <w:pPr>
              <w:widowControl/>
              <w:jc w:val="center"/>
              <w:textAlignment w:val="center"/>
              <w:rPr>
                <w:rFonts w:hint="eastAsia" w:ascii="宋体" w:hAnsi="宋体" w:cs="宋体"/>
                <w:color w:val="auto"/>
                <w:szCs w:val="21"/>
                <w:highlight w:val="none"/>
              </w:rPr>
            </w:pPr>
          </w:p>
        </w:tc>
      </w:tr>
      <w:tr w14:paraId="607B9572">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B5F8B49">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工商银行天等县支行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47E2AA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天等县天等镇朝阳东路054号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4ED281C">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0771-3532211</w:t>
            </w:r>
          </w:p>
        </w:tc>
      </w:tr>
      <w:tr w14:paraId="6C34AA0E">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E9D702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D9F2A3D">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 xml:space="preserve"> 天等县天等镇天宝北路007号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26271D1">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0771-7917046</w:t>
            </w:r>
          </w:p>
        </w:tc>
      </w:tr>
      <w:tr w14:paraId="2DB46E5D">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2825F7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天等农商行公司机构金融部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C52B31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天等县天等镇仕民路48号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C825D86">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0771-3521361</w:t>
            </w:r>
          </w:p>
        </w:tc>
      </w:tr>
      <w:tr w14:paraId="434CD422">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B0DE65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桂林银行崇左天等支行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415DCFD">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广西崇左市天等县天等镇天宝北路天府中央城5号楼115号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8E20045">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0771-3522157</w:t>
            </w:r>
          </w:p>
        </w:tc>
      </w:tr>
      <w:tr w14:paraId="1E984C6B">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47065B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8567FB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崇左市天等县天宝南路002号天富商业广场28栋一层商铺6-17号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C149B83">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0771-3528688</w:t>
            </w:r>
          </w:p>
        </w:tc>
      </w:tr>
      <w:tr w14:paraId="2335B3A4">
        <w:tblPrEx>
          <w:tblCellMar>
            <w:top w:w="0" w:type="dxa"/>
            <w:left w:w="108" w:type="dxa"/>
            <w:bottom w:w="0" w:type="dxa"/>
            <w:right w:w="108" w:type="dxa"/>
          </w:tblCellMar>
        </w:tblPrEx>
        <w:trPr>
          <w:trHeight w:val="335"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685AA34C">
            <w:pPr>
              <w:widowControl/>
              <w:jc w:val="left"/>
              <w:textAlignment w:val="center"/>
              <w:rPr>
                <w:rFonts w:hint="eastAsia" w:ascii="宋体" w:hAnsi="宋体" w:cs="宋体"/>
                <w:color w:val="auto"/>
                <w:szCs w:val="21"/>
                <w:highlight w:val="none"/>
              </w:rPr>
            </w:pPr>
            <w:r>
              <w:rPr>
                <w:rFonts w:hint="eastAsia" w:ascii="宋体" w:hAnsi="宋体" w:cs="宋体"/>
                <w:b/>
                <w:bCs/>
                <w:color w:val="auto"/>
                <w:szCs w:val="21"/>
                <w:highlight w:val="none"/>
              </w:rPr>
              <w:t>凭祥市</w:t>
            </w:r>
          </w:p>
        </w:tc>
      </w:tr>
      <w:tr w14:paraId="51CCB484">
        <w:tblPrEx>
          <w:tblCellMar>
            <w:top w:w="0" w:type="dxa"/>
            <w:left w:w="108" w:type="dxa"/>
            <w:bottom w:w="0" w:type="dxa"/>
            <w:right w:w="108" w:type="dxa"/>
          </w:tblCellMar>
        </w:tblPrEx>
        <w:trPr>
          <w:trHeight w:val="44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21E84B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工商银行凭祥分行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60C5A8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凭祥市新华路5号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5EA1DF1">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0771-8529259</w:t>
            </w:r>
          </w:p>
        </w:tc>
      </w:tr>
      <w:tr w14:paraId="234D0B90">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410B95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30C7BB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凭祥市北大路216号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260DE06">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0771-7917258</w:t>
            </w:r>
          </w:p>
        </w:tc>
      </w:tr>
      <w:tr w14:paraId="6BDDC9D6">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7AA6A5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8BA402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凭祥市屏山路138号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1CBF1F6">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0771-8525068</w:t>
            </w:r>
            <w:r>
              <w:rPr>
                <w:rFonts w:hint="eastAsia" w:cs="宋体"/>
                <w:color w:val="auto"/>
                <w:szCs w:val="21"/>
                <w:highlight w:val="none"/>
              </w:rPr>
              <w:t xml:space="preserve"> </w:t>
            </w:r>
            <w:r>
              <w:rPr>
                <w:rFonts w:hint="eastAsia" w:ascii="宋体" w:hAnsi="宋体" w:cs="宋体"/>
                <w:color w:val="auto"/>
                <w:szCs w:val="21"/>
                <w:highlight w:val="none"/>
              </w:rPr>
              <w:t>0771-8536852</w:t>
            </w:r>
          </w:p>
        </w:tc>
      </w:tr>
      <w:tr w14:paraId="60B59C41">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A2939F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建行凭祥中区支行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530F69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凭祥市金象大道香格里拉3幢3-01至3-03号商铺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B9B4557">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0771-8551161</w:t>
            </w:r>
          </w:p>
        </w:tc>
      </w:tr>
      <w:tr w14:paraId="40467B4C">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23FDF8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建行凭祥浦寨支行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972A7A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凭祥市浦寨商业城万泰一楼8-9号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4D88477">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0771-8561665</w:t>
            </w:r>
          </w:p>
        </w:tc>
      </w:tr>
      <w:tr w14:paraId="11CAAC7F">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6C02AC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中国银行凭祥支行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1EC12E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凭祥市-北环路112号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1B61518">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0771-8520356</w:t>
            </w:r>
          </w:p>
        </w:tc>
      </w:tr>
      <w:tr w14:paraId="75C8C3D0">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6DEE43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凭祥农商行业务拓展部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179BD5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凭祥市友谊关大道13号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56C7553">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0771-8535667</w:t>
            </w:r>
          </w:p>
        </w:tc>
      </w:tr>
      <w:tr w14:paraId="2E2E39D1">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B9A83B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D19B1C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凭祥市北大路一支40号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6168024">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0771-8520550</w:t>
            </w:r>
          </w:p>
        </w:tc>
      </w:tr>
      <w:tr w14:paraId="3E355F23">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54950E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71AC7E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凭祥市北大路一支60-1号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FCAD64E">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0771-8556667</w:t>
            </w:r>
          </w:p>
        </w:tc>
      </w:tr>
    </w:tbl>
    <w:p w14:paraId="1C0066AA">
      <w:pPr>
        <w:pStyle w:val="24"/>
        <w:spacing w:before="340" w:after="340" w:line="360" w:lineRule="auto"/>
        <w:jc w:val="both"/>
        <w:textAlignment w:val="center"/>
        <w:rPr>
          <w:rFonts w:hAnsi="宋体"/>
          <w:b/>
          <w:color w:val="auto"/>
          <w:highlight w:val="none"/>
        </w:rPr>
      </w:pPr>
    </w:p>
    <w:p w14:paraId="0A56C82D">
      <w:pPr>
        <w:pStyle w:val="2"/>
        <w:spacing w:after="340" w:line="360" w:lineRule="auto"/>
        <w:jc w:val="center"/>
        <w:rPr>
          <w:rFonts w:hint="default" w:ascii="宋体" w:hAnsi="宋体" w:eastAsia="宋体"/>
          <w:color w:val="auto"/>
          <w:szCs w:val="21"/>
          <w:highlight w:val="none"/>
          <w:lang w:val="en-US" w:eastAsia="zh-CN"/>
        </w:rPr>
      </w:pPr>
      <w:r>
        <w:rPr>
          <w:rFonts w:hAnsi="宋体"/>
          <w:b/>
          <w:color w:val="auto"/>
          <w:highlight w:val="none"/>
        </w:rPr>
        <w:br w:type="page"/>
      </w:r>
      <w:bookmarkStart w:id="91" w:name="_Toc29381"/>
      <w:r>
        <w:rPr>
          <w:rFonts w:hint="eastAsia"/>
          <w:color w:val="auto"/>
          <w:highlight w:val="none"/>
        </w:rPr>
        <w:t>第</w:t>
      </w:r>
      <w:r>
        <w:rPr>
          <w:rFonts w:hint="eastAsia"/>
          <w:color w:val="auto"/>
          <w:highlight w:val="none"/>
          <w:lang w:val="en-US" w:eastAsia="zh-CN"/>
        </w:rPr>
        <w:t>三</w:t>
      </w:r>
      <w:r>
        <w:rPr>
          <w:rFonts w:hint="eastAsia"/>
          <w:color w:val="auto"/>
          <w:highlight w:val="none"/>
        </w:rPr>
        <w:t>章</w:t>
      </w:r>
      <w:r>
        <w:rPr>
          <w:rFonts w:hint="eastAsia"/>
          <w:color w:val="auto"/>
          <w:highlight w:val="none"/>
          <w:lang w:val="en-US" w:eastAsia="zh-CN"/>
        </w:rPr>
        <w:t xml:space="preserve"> 采购需求</w:t>
      </w:r>
      <w:bookmarkEnd w:id="91"/>
    </w:p>
    <w:p w14:paraId="686D900A">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说明：</w:t>
      </w:r>
    </w:p>
    <w:p w14:paraId="4B037027">
      <w:pPr>
        <w:spacing w:line="360" w:lineRule="auto"/>
        <w:ind w:firstLine="424" w:firstLineChars="202"/>
        <w:jc w:val="left"/>
        <w:rPr>
          <w:rFonts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.“实质性要求”是指磋商文件中已经指明不满足则响应文件按无效响应处理的条款，或者不能负偏离的条款，或者采购需求中带“▲”的条款。</w:t>
      </w:r>
    </w:p>
    <w:p w14:paraId="62CA1C59">
      <w:pPr>
        <w:spacing w:line="360" w:lineRule="auto"/>
        <w:ind w:firstLine="424" w:firstLineChars="202"/>
        <w:jc w:val="left"/>
        <w:rPr>
          <w:rFonts w:ascii="宋体" w:hAnsi="宋体" w:cs="Arial"/>
          <w:bCs/>
          <w:color w:val="auto"/>
          <w:szCs w:val="21"/>
          <w:highlight w:val="none"/>
          <w:u w:val="singl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w:t>
      </w:r>
      <w:r>
        <w:rPr>
          <w:rFonts w:hint="eastAsia"/>
          <w:color w:val="auto"/>
          <w:highlight w:val="none"/>
        </w:rPr>
        <w:t>供应商必须自行为其竞标产品侵犯他人的知识产权或者专利成果的行为承担相应法律责任。</w:t>
      </w:r>
    </w:p>
    <w:p w14:paraId="3885F592">
      <w:pPr>
        <w:spacing w:line="360" w:lineRule="auto"/>
        <w:ind w:firstLine="310" w:firstLineChars="147"/>
        <w:jc w:val="left"/>
        <w:rPr>
          <w:rFonts w:hint="eastAsia" w:ascii="宋体" w:hAnsi="宋体"/>
          <w:color w:val="auto"/>
          <w:szCs w:val="21"/>
          <w:highlight w:val="none"/>
          <w:u w:val="single"/>
        </w:rPr>
      </w:pPr>
      <w:r>
        <w:rPr>
          <w:rFonts w:hint="eastAsia" w:ascii="宋体" w:hAnsi="宋体"/>
          <w:b/>
          <w:color w:val="auto"/>
          <w:szCs w:val="21"/>
          <w:highlight w:val="none"/>
        </w:rPr>
        <w:t xml:space="preserve">  采购预算：</w:t>
      </w:r>
      <w:r>
        <w:rPr>
          <w:rFonts w:hint="eastAsia" w:ascii="宋体" w:hAnsi="宋体"/>
          <w:color w:val="auto"/>
          <w:szCs w:val="21"/>
          <w:highlight w:val="none"/>
          <w:u w:val="single"/>
          <w:lang w:val="en-US" w:eastAsia="zh-CN"/>
        </w:rPr>
        <w:t>198.1318万</w:t>
      </w:r>
      <w:r>
        <w:rPr>
          <w:rFonts w:hint="eastAsia" w:ascii="宋体" w:hAnsi="宋体"/>
          <w:color w:val="auto"/>
          <w:szCs w:val="21"/>
          <w:highlight w:val="none"/>
          <w:u w:val="single"/>
        </w:rPr>
        <w:t>元。</w:t>
      </w:r>
    </w:p>
    <w:p w14:paraId="05BC6A0A">
      <w:pPr>
        <w:spacing w:line="360" w:lineRule="auto"/>
        <w:ind w:firstLine="521" w:firstLineChars="247"/>
        <w:jc w:val="left"/>
        <w:rPr>
          <w:rFonts w:ascii="宋体" w:hAnsi="宋体" w:cs="Arial"/>
          <w:bCs/>
          <w:color w:val="auto"/>
          <w:szCs w:val="21"/>
          <w:highlight w:val="none"/>
          <w:u w:val="single"/>
        </w:rPr>
      </w:pPr>
      <w:r>
        <w:rPr>
          <w:rFonts w:hint="eastAsia" w:ascii="宋体" w:hAnsi="宋体" w:cs="Arial"/>
          <w:b/>
          <w:bCs/>
          <w:color w:val="auto"/>
          <w:szCs w:val="21"/>
          <w:highlight w:val="none"/>
        </w:rPr>
        <w:t>最高限价</w:t>
      </w:r>
      <w:r>
        <w:rPr>
          <w:rFonts w:hint="eastAsia" w:ascii="宋体" w:hAnsi="宋体" w:cs="Arial"/>
          <w:bCs/>
          <w:color w:val="auto"/>
          <w:szCs w:val="21"/>
          <w:highlight w:val="none"/>
        </w:rPr>
        <w:t>：</w:t>
      </w:r>
      <w:r>
        <w:rPr>
          <w:rFonts w:hint="eastAsia" w:ascii="宋体" w:hAnsi="宋体"/>
          <w:color w:val="auto"/>
          <w:szCs w:val="21"/>
          <w:highlight w:val="none"/>
          <w:u w:val="single"/>
          <w:lang w:val="en-US" w:eastAsia="zh-CN"/>
        </w:rPr>
        <w:t>198.1318万元。</w:t>
      </w:r>
    </w:p>
    <w:tbl>
      <w:tblPr>
        <w:tblStyle w:val="44"/>
        <w:tblW w:w="88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2"/>
        <w:gridCol w:w="1558"/>
        <w:gridCol w:w="77"/>
        <w:gridCol w:w="780"/>
        <w:gridCol w:w="1080"/>
        <w:gridCol w:w="4768"/>
      </w:tblGrid>
      <w:tr w14:paraId="4D2A0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9" w:hRule="atLeast"/>
          <w:jc w:val="center"/>
        </w:trPr>
        <w:tc>
          <w:tcPr>
            <w:tcW w:w="542" w:type="dxa"/>
            <w:vAlign w:val="center"/>
          </w:tcPr>
          <w:p w14:paraId="24EA3215">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35" w:type="dxa"/>
            <w:gridSpan w:val="2"/>
            <w:vAlign w:val="center"/>
          </w:tcPr>
          <w:p w14:paraId="6C9BE3BC">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标的的名称</w:t>
            </w:r>
          </w:p>
        </w:tc>
        <w:tc>
          <w:tcPr>
            <w:tcW w:w="780" w:type="dxa"/>
            <w:vAlign w:val="center"/>
          </w:tcPr>
          <w:p w14:paraId="67ECE4F7">
            <w:pPr>
              <w:keepNext w:val="0"/>
              <w:keepLines w:val="0"/>
              <w:pageBreakBefore w:val="0"/>
              <w:widowControl w:val="0"/>
              <w:tabs>
                <w:tab w:val="left" w:pos="180"/>
                <w:tab w:val="left" w:pos="1620"/>
              </w:tabs>
              <w:kinsoku/>
              <w:wordWrap/>
              <w:overflowPunct/>
              <w:topLinePunct w:val="0"/>
              <w:autoSpaceDE/>
              <w:autoSpaceDN/>
              <w:bidi w:val="0"/>
              <w:adjustRightInd/>
              <w:snapToGrid/>
              <w:spacing w:line="312"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数量及单位</w:t>
            </w:r>
          </w:p>
        </w:tc>
        <w:tc>
          <w:tcPr>
            <w:tcW w:w="1080" w:type="dxa"/>
            <w:vAlign w:val="center"/>
          </w:tcPr>
          <w:p w14:paraId="386B3405">
            <w:pPr>
              <w:keepNext w:val="0"/>
              <w:keepLines w:val="0"/>
              <w:pageBreakBefore w:val="0"/>
              <w:widowControl w:val="0"/>
              <w:tabs>
                <w:tab w:val="left" w:pos="180"/>
                <w:tab w:val="left" w:pos="1620"/>
              </w:tabs>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 xml:space="preserve">中小企业 </w:t>
            </w:r>
          </w:p>
          <w:p w14:paraId="7280CD17">
            <w:pPr>
              <w:keepNext w:val="0"/>
              <w:keepLines w:val="0"/>
              <w:pageBreakBefore w:val="0"/>
              <w:widowControl w:val="0"/>
              <w:tabs>
                <w:tab w:val="left" w:pos="180"/>
                <w:tab w:val="left" w:pos="1620"/>
              </w:tabs>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 xml:space="preserve">划分标准 </w:t>
            </w:r>
          </w:p>
          <w:p w14:paraId="35E0E515">
            <w:pPr>
              <w:keepNext w:val="0"/>
              <w:keepLines w:val="0"/>
              <w:pageBreakBefore w:val="0"/>
              <w:widowControl w:val="0"/>
              <w:tabs>
                <w:tab w:val="left" w:pos="180"/>
                <w:tab w:val="left" w:pos="1620"/>
              </w:tabs>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 xml:space="preserve">所属行业 </w:t>
            </w:r>
          </w:p>
          <w:p w14:paraId="68B1C3B1">
            <w:pPr>
              <w:keepNext w:val="0"/>
              <w:keepLines w:val="0"/>
              <w:pageBreakBefore w:val="0"/>
              <w:widowControl w:val="0"/>
              <w:tabs>
                <w:tab w:val="left" w:pos="180"/>
                <w:tab w:val="left" w:pos="1620"/>
              </w:tabs>
              <w:kinsoku/>
              <w:wordWrap/>
              <w:overflowPunct/>
              <w:topLinePunct w:val="0"/>
              <w:autoSpaceDE/>
              <w:autoSpaceDN/>
              <w:bidi w:val="0"/>
              <w:adjustRightInd/>
              <w:snapToGrid/>
              <w:spacing w:line="312" w:lineRule="auto"/>
              <w:jc w:val="center"/>
              <w:textAlignment w:val="auto"/>
              <w:rPr>
                <w:rFonts w:ascii="宋体" w:hAnsi="宋体" w:cs="宋体"/>
                <w:color w:val="auto"/>
                <w:szCs w:val="21"/>
                <w:highlight w:val="none"/>
              </w:rPr>
            </w:pPr>
            <w:r>
              <w:rPr>
                <w:rFonts w:hint="eastAsia" w:ascii="宋体" w:hAnsi="宋体" w:eastAsia="宋体" w:cs="宋体"/>
                <w:color w:val="auto"/>
                <w:szCs w:val="21"/>
                <w:highlight w:val="none"/>
                <w:lang w:val="en-US" w:eastAsia="zh-CN"/>
              </w:rPr>
              <w:t>名称</w:t>
            </w:r>
          </w:p>
        </w:tc>
        <w:tc>
          <w:tcPr>
            <w:tcW w:w="4768" w:type="dxa"/>
            <w:vAlign w:val="center"/>
          </w:tcPr>
          <w:p w14:paraId="69165417">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▲技术要求</w:t>
            </w:r>
          </w:p>
        </w:tc>
      </w:tr>
      <w:tr w14:paraId="4C1E4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5" w:hRule="atLeast"/>
          <w:jc w:val="center"/>
        </w:trPr>
        <w:tc>
          <w:tcPr>
            <w:tcW w:w="542" w:type="dxa"/>
            <w:vAlign w:val="center"/>
          </w:tcPr>
          <w:p w14:paraId="6834E099">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1635" w:type="dxa"/>
            <w:gridSpan w:val="2"/>
            <w:vAlign w:val="center"/>
          </w:tcPr>
          <w:p w14:paraId="469D8208">
            <w:pPr>
              <w:tabs>
                <w:tab w:val="left" w:pos="180"/>
                <w:tab w:val="left" w:pos="1620"/>
              </w:tabs>
              <w:spacing w:line="360" w:lineRule="auto"/>
              <w:jc w:val="center"/>
              <w:rPr>
                <w:rFonts w:hint="eastAsia" w:ascii="宋体" w:hAnsi="宋体" w:eastAsia="宋体" w:cs="宋体"/>
                <w:color w:val="auto"/>
                <w:szCs w:val="21"/>
                <w:highlight w:val="none"/>
                <w:lang w:eastAsia="zh-CN"/>
              </w:rPr>
            </w:pPr>
            <w:r>
              <w:rPr>
                <w:rFonts w:hint="eastAsia" w:cs="Times New Roman"/>
                <w:color w:val="auto"/>
                <w:highlight w:val="none"/>
                <w:lang w:eastAsia="zh-CN"/>
              </w:rPr>
              <w:t>2024年那堪至龙州公路安防工程</w:t>
            </w:r>
          </w:p>
        </w:tc>
        <w:tc>
          <w:tcPr>
            <w:tcW w:w="780" w:type="dxa"/>
            <w:vAlign w:val="center"/>
          </w:tcPr>
          <w:p w14:paraId="41179F28">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1项</w:t>
            </w:r>
          </w:p>
        </w:tc>
        <w:tc>
          <w:tcPr>
            <w:tcW w:w="1080" w:type="dxa"/>
            <w:vAlign w:val="center"/>
          </w:tcPr>
          <w:p w14:paraId="07FB0150">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建筑业</w:t>
            </w:r>
          </w:p>
        </w:tc>
        <w:tc>
          <w:tcPr>
            <w:tcW w:w="4768" w:type="dxa"/>
            <w:vAlign w:val="center"/>
          </w:tcPr>
          <w:p w14:paraId="72020775">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ascii="宋体" w:hAnsi="宋体"/>
                <w:color w:val="auto"/>
                <w:szCs w:val="21"/>
                <w:highlight w:val="none"/>
              </w:rPr>
            </w:pPr>
            <w:r>
              <w:rPr>
                <w:rFonts w:hint="eastAsia" w:ascii="宋体" w:hAnsi="宋体"/>
                <w:color w:val="auto"/>
                <w:szCs w:val="21"/>
                <w:highlight w:val="none"/>
                <w:lang w:val="en-US" w:eastAsia="zh-CN"/>
              </w:rPr>
              <w:t>1、</w:t>
            </w:r>
            <w:r>
              <w:rPr>
                <w:rFonts w:hint="eastAsia" w:ascii="宋体" w:hAnsi="宋体"/>
                <w:color w:val="auto"/>
                <w:szCs w:val="21"/>
                <w:highlight w:val="none"/>
              </w:rPr>
              <w:t>项目概况</w:t>
            </w:r>
            <w:r>
              <w:rPr>
                <w:rFonts w:ascii="宋体" w:hAnsi="宋体"/>
                <w:color w:val="auto"/>
                <w:szCs w:val="21"/>
                <w:highlight w:val="none"/>
              </w:rPr>
              <w:t>：</w:t>
            </w:r>
          </w:p>
          <w:p w14:paraId="09CCA7F6">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（1）项目名称：</w:t>
            </w:r>
            <w:r>
              <w:rPr>
                <w:rFonts w:hint="eastAsia" w:cs="Times New Roman"/>
                <w:color w:val="auto"/>
                <w:highlight w:val="none"/>
                <w:lang w:eastAsia="zh-CN"/>
              </w:rPr>
              <w:t>2024年那堪至龙州公路安防工程</w:t>
            </w:r>
          </w:p>
          <w:p w14:paraId="21AE669B">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（2）建设地点：</w:t>
            </w:r>
            <w:r>
              <w:rPr>
                <w:rFonts w:hint="eastAsia" w:cs="Times New Roman"/>
                <w:color w:val="auto"/>
                <w:highlight w:val="none"/>
                <w:lang w:val="en-US" w:eastAsia="zh-CN"/>
              </w:rPr>
              <w:t>龙州县</w:t>
            </w:r>
          </w:p>
          <w:p w14:paraId="014BB5DB">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eastAsia="宋体" w:cs="Times New Roman"/>
                <w:color w:val="auto"/>
                <w:highlight w:val="none"/>
                <w:lang w:val="zh-CN" w:eastAsia="zh-CN"/>
              </w:rPr>
            </w:pPr>
            <w:r>
              <w:rPr>
                <w:rFonts w:hint="eastAsia" w:ascii="Times New Roman" w:hAnsi="Times New Roman" w:eastAsia="宋体" w:cs="Times New Roman"/>
                <w:color w:val="auto"/>
                <w:highlight w:val="none"/>
              </w:rPr>
              <w:t>（3）建设规模：</w:t>
            </w:r>
            <w:r>
              <w:rPr>
                <w:rFonts w:hint="eastAsia" w:eastAsia="宋体" w:cs="Times New Roman"/>
                <w:color w:val="auto"/>
                <w:highlight w:val="none"/>
                <w:lang w:val="en-US" w:eastAsia="zh-CN"/>
              </w:rPr>
              <w:t>2024年那堪至龙州公路安防工程，完善交通安全设施，具体内容详见工程量清单及图纸</w:t>
            </w:r>
            <w:r>
              <w:rPr>
                <w:rFonts w:hint="eastAsia" w:eastAsia="宋体" w:cs="Times New Roman"/>
                <w:color w:val="auto"/>
                <w:highlight w:val="none"/>
                <w:lang w:val="zh-CN" w:eastAsia="zh-CN"/>
              </w:rPr>
              <w:t>。</w:t>
            </w:r>
          </w:p>
          <w:p w14:paraId="5F2C4A7B">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auto"/>
                <w:highlight w:val="none"/>
                <w:lang w:val="zh-CN" w:eastAsia="zh-CN"/>
              </w:rPr>
            </w:pPr>
            <w:r>
              <w:rPr>
                <w:rFonts w:hint="eastAsia"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lang w:val="zh-CN" w:eastAsia="zh-CN"/>
              </w:rPr>
              <w:t>采购范围：详见工程量清单及图纸。</w:t>
            </w:r>
          </w:p>
          <w:p w14:paraId="51304506">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auto"/>
                <w:highlight w:val="none"/>
                <w:lang w:val="zh-CN" w:eastAsia="zh-CN"/>
              </w:rPr>
            </w:pPr>
            <w:r>
              <w:rPr>
                <w:rFonts w:hint="eastAsia" w:ascii="Times New Roman" w:hAnsi="Times New Roman" w:eastAsia="宋体" w:cs="Times New Roman"/>
                <w:color w:val="auto"/>
                <w:highlight w:val="none"/>
                <w:lang w:val="en-US" w:eastAsia="zh-CN"/>
              </w:rPr>
              <w:t>3、</w:t>
            </w:r>
            <w:r>
              <w:rPr>
                <w:rFonts w:hint="eastAsia" w:ascii="Times New Roman" w:hAnsi="Times New Roman" w:eastAsia="宋体" w:cs="Times New Roman"/>
                <w:color w:val="auto"/>
                <w:highlight w:val="none"/>
                <w:lang w:val="zh-CN" w:eastAsia="zh-CN"/>
              </w:rPr>
              <w:t>技术标准和要求：符合国家现行的工程建设标准、技术规范及强制性标准条文，以及施工图纸载明的其他有关规范标准。</w:t>
            </w:r>
          </w:p>
          <w:p w14:paraId="545B9CEC">
            <w:pPr>
              <w:keepNext w:val="0"/>
              <w:keepLines w:val="0"/>
              <w:widowControl/>
              <w:suppressLineNumbers w:val="0"/>
              <w:jc w:val="left"/>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w:t>
            </w:r>
            <w:r>
              <w:rPr>
                <w:rFonts w:hint="eastAsia"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zh-CN" w:eastAsia="zh-CN"/>
              </w:rPr>
              <w:t>承包方式：</w:t>
            </w:r>
            <w:r>
              <w:rPr>
                <w:rFonts w:hint="eastAsia" w:ascii="Times New Roman" w:hAnsi="Times New Roman" w:eastAsia="宋体" w:cs="Times New Roman"/>
                <w:color w:val="auto"/>
                <w:highlight w:val="none"/>
                <w:lang w:val="en-US" w:eastAsia="zh-CN"/>
              </w:rPr>
              <w:t>包工包料，综合单价包干。</w:t>
            </w:r>
          </w:p>
          <w:p w14:paraId="3A60920D">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auto"/>
                <w:highlight w:val="none"/>
                <w:lang w:val="zh-CN" w:eastAsia="zh-CN"/>
              </w:rPr>
            </w:pPr>
            <w:r>
              <w:rPr>
                <w:rFonts w:hint="eastAsia" w:cs="Times New Roman"/>
                <w:color w:val="auto"/>
                <w:highlight w:val="none"/>
                <w:lang w:val="en-US" w:eastAsia="zh-CN"/>
              </w:rPr>
              <w:t>5</w:t>
            </w:r>
            <w:r>
              <w:rPr>
                <w:rFonts w:hint="eastAsia"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zh-CN" w:eastAsia="zh-CN"/>
              </w:rPr>
              <w:t>开工日期：以签订合同后采购人书面通知为准。</w:t>
            </w:r>
          </w:p>
          <w:p w14:paraId="4DFD99D1">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auto"/>
                <w:highlight w:val="none"/>
                <w:lang w:val="zh-CN" w:eastAsia="zh-CN"/>
              </w:rPr>
            </w:pPr>
            <w:r>
              <w:rPr>
                <w:rFonts w:hint="eastAsia" w:cs="Times New Roman"/>
                <w:color w:val="auto"/>
                <w:highlight w:val="none"/>
                <w:lang w:val="en-US" w:eastAsia="zh-CN"/>
              </w:rPr>
              <w:t>6</w:t>
            </w:r>
            <w:r>
              <w:rPr>
                <w:rFonts w:hint="eastAsia" w:ascii="Times New Roman" w:hAnsi="Times New Roman" w:eastAsia="宋体" w:cs="Times New Roman"/>
                <w:color w:val="auto"/>
                <w:highlight w:val="none"/>
                <w:lang w:val="en-US" w:eastAsia="zh-CN"/>
              </w:rPr>
              <w:t>、技术要求：本工程严格执行国家现行行业验收标准、各专业相关的现行标准和技术规范。</w:t>
            </w:r>
            <w:r>
              <w:rPr>
                <w:rFonts w:hint="eastAsia" w:ascii="宋体" w:hAnsi="宋体" w:eastAsia="宋体" w:cs="宋体"/>
                <w:b/>
                <w:bCs/>
                <w:color w:val="auto"/>
                <w:kern w:val="0"/>
                <w:sz w:val="21"/>
                <w:szCs w:val="21"/>
                <w:highlight w:val="none"/>
                <w:lang w:val="en-US" w:eastAsia="zh-CN" w:bidi="ar"/>
              </w:rPr>
              <w:t xml:space="preserve"> </w:t>
            </w:r>
          </w:p>
        </w:tc>
      </w:tr>
      <w:tr w14:paraId="191A69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805" w:type="dxa"/>
            <w:gridSpan w:val="6"/>
            <w:tcBorders>
              <w:top w:val="single" w:color="auto" w:sz="4" w:space="0"/>
              <w:left w:val="single" w:color="auto" w:sz="4" w:space="0"/>
              <w:bottom w:val="single" w:color="auto" w:sz="4" w:space="0"/>
              <w:right w:val="single" w:color="auto" w:sz="4" w:space="0"/>
            </w:tcBorders>
            <w:vAlign w:val="center"/>
          </w:tcPr>
          <w:p w14:paraId="6547ED91">
            <w:pPr>
              <w:spacing w:line="360" w:lineRule="auto"/>
              <w:jc w:val="both"/>
              <w:rPr>
                <w:rFonts w:ascii="宋体" w:hAnsi="宋体"/>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商务要求</w:t>
            </w:r>
          </w:p>
        </w:tc>
      </w:tr>
      <w:tr w14:paraId="247D44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2"/>
            <w:tcBorders>
              <w:top w:val="single" w:color="auto" w:sz="4" w:space="0"/>
              <w:left w:val="single" w:color="auto" w:sz="4" w:space="0"/>
              <w:bottom w:val="single" w:color="auto" w:sz="4" w:space="0"/>
              <w:right w:val="single" w:color="auto" w:sz="4" w:space="0"/>
            </w:tcBorders>
            <w:vAlign w:val="center"/>
          </w:tcPr>
          <w:p w14:paraId="00B5EDAC">
            <w:pPr>
              <w:spacing w:line="360" w:lineRule="auto"/>
              <w:jc w:val="both"/>
              <w:rPr>
                <w:rFonts w:ascii="宋体" w:hAnsi="宋体"/>
                <w:b/>
                <w:color w:val="auto"/>
                <w:szCs w:val="21"/>
                <w:highlight w:val="none"/>
              </w:rPr>
            </w:pPr>
            <w:r>
              <w:rPr>
                <w:rFonts w:hint="eastAsia" w:ascii="宋体" w:hAnsi="宋体"/>
                <w:color w:val="auto"/>
                <w:szCs w:val="21"/>
                <w:highlight w:val="none"/>
              </w:rPr>
              <w:t>合同签订时间</w:t>
            </w:r>
          </w:p>
        </w:tc>
        <w:tc>
          <w:tcPr>
            <w:tcW w:w="6705" w:type="dxa"/>
            <w:gridSpan w:val="4"/>
            <w:tcBorders>
              <w:top w:val="single" w:color="auto" w:sz="4" w:space="0"/>
              <w:left w:val="single" w:color="auto" w:sz="4" w:space="0"/>
              <w:bottom w:val="single" w:color="auto" w:sz="4" w:space="0"/>
              <w:right w:val="single" w:color="auto" w:sz="4" w:space="0"/>
            </w:tcBorders>
            <w:vAlign w:val="center"/>
          </w:tcPr>
          <w:p w14:paraId="65454983">
            <w:pPr>
              <w:spacing w:line="360" w:lineRule="auto"/>
              <w:jc w:val="both"/>
              <w:rPr>
                <w:rFonts w:hint="eastAsia" w:ascii="宋体" w:hAnsi="宋体" w:eastAsia="宋体"/>
                <w:b/>
                <w:color w:val="auto"/>
                <w:szCs w:val="21"/>
                <w:highlight w:val="none"/>
                <w:lang w:eastAsia="zh-CN"/>
              </w:rPr>
            </w:pPr>
            <w:r>
              <w:rPr>
                <w:rFonts w:hint="eastAsia" w:ascii="宋体" w:hAnsi="宋体" w:eastAsia="宋体" w:cs="宋体"/>
                <w:color w:val="auto"/>
                <w:kern w:val="0"/>
                <w:sz w:val="21"/>
                <w:szCs w:val="21"/>
                <w:highlight w:val="none"/>
                <w:lang w:val="en-US" w:eastAsia="zh-CN" w:bidi="ar"/>
              </w:rPr>
              <w:t>自中标通知书发出之日起15日内，因不可抗力原因延迟签订合同的，自不可以抗力事由消除之日起5个工作日内完成合同签订事宜。</w:t>
            </w:r>
          </w:p>
        </w:tc>
      </w:tr>
      <w:tr w14:paraId="6F8D22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2"/>
            <w:tcBorders>
              <w:top w:val="single" w:color="auto" w:sz="4" w:space="0"/>
              <w:left w:val="single" w:color="auto" w:sz="4" w:space="0"/>
              <w:bottom w:val="single" w:color="auto" w:sz="4" w:space="0"/>
              <w:right w:val="single" w:color="auto" w:sz="4" w:space="0"/>
            </w:tcBorders>
            <w:vAlign w:val="center"/>
          </w:tcPr>
          <w:p w14:paraId="32F3DA00">
            <w:pPr>
              <w:spacing w:line="360" w:lineRule="auto"/>
              <w:jc w:val="both"/>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合同签订地点</w:t>
            </w:r>
          </w:p>
        </w:tc>
        <w:tc>
          <w:tcPr>
            <w:tcW w:w="6705" w:type="dxa"/>
            <w:gridSpan w:val="4"/>
            <w:tcBorders>
              <w:top w:val="single" w:color="auto" w:sz="4" w:space="0"/>
              <w:left w:val="single" w:color="auto" w:sz="4" w:space="0"/>
              <w:bottom w:val="single" w:color="auto" w:sz="4" w:space="0"/>
              <w:right w:val="single" w:color="auto" w:sz="4" w:space="0"/>
            </w:tcBorders>
            <w:vAlign w:val="center"/>
          </w:tcPr>
          <w:p w14:paraId="216E59F5">
            <w:pPr>
              <w:spacing w:line="360" w:lineRule="auto"/>
              <w:jc w:val="both"/>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采购人指定地点。</w:t>
            </w:r>
          </w:p>
        </w:tc>
      </w:tr>
      <w:tr w14:paraId="18520C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2"/>
            <w:tcBorders>
              <w:top w:val="single" w:color="auto" w:sz="4" w:space="0"/>
              <w:left w:val="single" w:color="auto" w:sz="4" w:space="0"/>
              <w:bottom w:val="single" w:color="auto" w:sz="4" w:space="0"/>
              <w:right w:val="single" w:color="auto" w:sz="4" w:space="0"/>
            </w:tcBorders>
            <w:vAlign w:val="center"/>
          </w:tcPr>
          <w:p w14:paraId="7AA0B454">
            <w:pPr>
              <w:spacing w:line="360" w:lineRule="auto"/>
              <w:jc w:val="both"/>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施工工期</w:t>
            </w:r>
          </w:p>
        </w:tc>
        <w:tc>
          <w:tcPr>
            <w:tcW w:w="6705" w:type="dxa"/>
            <w:gridSpan w:val="4"/>
            <w:tcBorders>
              <w:top w:val="single" w:color="auto" w:sz="4" w:space="0"/>
              <w:left w:val="single" w:color="auto" w:sz="4" w:space="0"/>
              <w:bottom w:val="single" w:color="auto" w:sz="4" w:space="0"/>
              <w:right w:val="single" w:color="auto" w:sz="4" w:space="0"/>
            </w:tcBorders>
            <w:vAlign w:val="center"/>
          </w:tcPr>
          <w:p w14:paraId="1A6517F6">
            <w:pPr>
              <w:spacing w:line="360" w:lineRule="auto"/>
              <w:jc w:val="both"/>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90日历天。</w:t>
            </w:r>
          </w:p>
        </w:tc>
      </w:tr>
      <w:tr w14:paraId="2F3B30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2"/>
            <w:tcBorders>
              <w:top w:val="single" w:color="auto" w:sz="4" w:space="0"/>
              <w:left w:val="single" w:color="auto" w:sz="4" w:space="0"/>
              <w:bottom w:val="single" w:color="auto" w:sz="4" w:space="0"/>
              <w:right w:val="single" w:color="auto" w:sz="4" w:space="0"/>
            </w:tcBorders>
            <w:vAlign w:val="center"/>
          </w:tcPr>
          <w:p w14:paraId="2439EB81">
            <w:pPr>
              <w:spacing w:line="360" w:lineRule="auto"/>
              <w:jc w:val="both"/>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建设地点</w:t>
            </w:r>
          </w:p>
        </w:tc>
        <w:tc>
          <w:tcPr>
            <w:tcW w:w="6705" w:type="dxa"/>
            <w:gridSpan w:val="4"/>
            <w:tcBorders>
              <w:top w:val="single" w:color="auto" w:sz="4" w:space="0"/>
              <w:left w:val="single" w:color="auto" w:sz="4" w:space="0"/>
              <w:bottom w:val="single" w:color="auto" w:sz="4" w:space="0"/>
              <w:right w:val="single" w:color="auto" w:sz="4" w:space="0"/>
            </w:tcBorders>
            <w:vAlign w:val="center"/>
          </w:tcPr>
          <w:p w14:paraId="033B71E1">
            <w:pPr>
              <w:spacing w:line="360" w:lineRule="auto"/>
              <w:jc w:val="both"/>
              <w:rPr>
                <w:rFonts w:hint="eastAsia" w:ascii="宋体" w:hAnsi="宋体" w:eastAsia="宋体" w:cs="Times New Roman"/>
                <w:color w:val="auto"/>
                <w:kern w:val="2"/>
                <w:sz w:val="21"/>
                <w:szCs w:val="21"/>
                <w:highlight w:val="none"/>
                <w:lang w:val="en-US" w:eastAsia="zh-CN" w:bidi="ar-SA"/>
              </w:rPr>
            </w:pPr>
            <w:r>
              <w:rPr>
                <w:rFonts w:hint="eastAsia" w:cs="Times New Roman"/>
                <w:color w:val="auto"/>
                <w:highlight w:val="none"/>
                <w:lang w:val="en-US" w:eastAsia="zh-CN"/>
              </w:rPr>
              <w:t>龙州</w:t>
            </w:r>
            <w:r>
              <w:rPr>
                <w:rFonts w:hint="eastAsia" w:ascii="Times New Roman" w:hAnsi="Times New Roman" w:eastAsia="宋体" w:cs="Times New Roman"/>
                <w:color w:val="auto"/>
                <w:highlight w:val="none"/>
              </w:rPr>
              <w:t>县</w:t>
            </w:r>
            <w:r>
              <w:rPr>
                <w:rFonts w:hint="eastAsia" w:cs="Times New Roman"/>
                <w:color w:val="auto"/>
                <w:highlight w:val="none"/>
                <w:lang w:eastAsia="zh-CN"/>
              </w:rPr>
              <w:t>。</w:t>
            </w:r>
          </w:p>
        </w:tc>
      </w:tr>
      <w:tr w14:paraId="339452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2"/>
            <w:tcBorders>
              <w:top w:val="single" w:color="auto" w:sz="4" w:space="0"/>
              <w:left w:val="single" w:color="auto" w:sz="4" w:space="0"/>
              <w:bottom w:val="single" w:color="auto" w:sz="4" w:space="0"/>
              <w:right w:val="single" w:color="auto" w:sz="4" w:space="0"/>
            </w:tcBorders>
            <w:vAlign w:val="center"/>
          </w:tcPr>
          <w:p w14:paraId="6B63E420">
            <w:pPr>
              <w:spacing w:line="360" w:lineRule="auto"/>
              <w:jc w:val="both"/>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质量标准</w:t>
            </w:r>
          </w:p>
        </w:tc>
        <w:tc>
          <w:tcPr>
            <w:tcW w:w="6705" w:type="dxa"/>
            <w:gridSpan w:val="4"/>
            <w:tcBorders>
              <w:top w:val="single" w:color="auto" w:sz="4" w:space="0"/>
              <w:left w:val="single" w:color="auto" w:sz="4" w:space="0"/>
              <w:bottom w:val="single" w:color="auto" w:sz="4" w:space="0"/>
              <w:right w:val="single" w:color="auto" w:sz="4" w:space="0"/>
            </w:tcBorders>
            <w:vAlign w:val="center"/>
          </w:tcPr>
          <w:p w14:paraId="5C0B6770">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合格。</w:t>
            </w:r>
          </w:p>
        </w:tc>
      </w:tr>
      <w:tr w14:paraId="6D5AEC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2"/>
            <w:tcBorders>
              <w:top w:val="single" w:color="auto" w:sz="4" w:space="0"/>
              <w:left w:val="single" w:color="auto" w:sz="4" w:space="0"/>
              <w:bottom w:val="single" w:color="auto" w:sz="4" w:space="0"/>
              <w:right w:val="single" w:color="auto" w:sz="4" w:space="0"/>
            </w:tcBorders>
            <w:vAlign w:val="center"/>
          </w:tcPr>
          <w:p w14:paraId="3185ED97">
            <w:pPr>
              <w:spacing w:line="360" w:lineRule="auto"/>
              <w:jc w:val="both"/>
              <w:rPr>
                <w:rFonts w:ascii="宋体" w:hAnsi="宋体"/>
                <w:color w:val="auto"/>
                <w:szCs w:val="21"/>
                <w:highlight w:val="none"/>
              </w:rPr>
            </w:pPr>
            <w:r>
              <w:rPr>
                <w:rFonts w:hint="eastAsia" w:ascii="宋体" w:hAnsi="宋体"/>
                <w:color w:val="auto"/>
                <w:szCs w:val="21"/>
                <w:highlight w:val="none"/>
              </w:rPr>
              <w:t>验收标准</w:t>
            </w:r>
          </w:p>
        </w:tc>
        <w:tc>
          <w:tcPr>
            <w:tcW w:w="6705" w:type="dxa"/>
            <w:gridSpan w:val="4"/>
            <w:tcBorders>
              <w:top w:val="single" w:color="auto" w:sz="4" w:space="0"/>
              <w:left w:val="single" w:color="auto" w:sz="4" w:space="0"/>
              <w:bottom w:val="single" w:color="auto" w:sz="4" w:space="0"/>
              <w:right w:val="single" w:color="auto" w:sz="4" w:space="0"/>
            </w:tcBorders>
            <w:vAlign w:val="center"/>
          </w:tcPr>
          <w:p w14:paraId="7B6C7112">
            <w:pPr>
              <w:spacing w:line="360" w:lineRule="auto"/>
              <w:jc w:val="both"/>
              <w:rPr>
                <w:rFonts w:ascii="宋体" w:hAnsi="宋体"/>
                <w:color w:val="auto"/>
                <w:szCs w:val="21"/>
                <w:highlight w:val="none"/>
              </w:rPr>
            </w:pPr>
            <w:r>
              <w:rPr>
                <w:rFonts w:hint="eastAsia" w:ascii="宋体" w:hAnsi="宋体"/>
                <w:color w:val="auto"/>
                <w:szCs w:val="21"/>
                <w:highlight w:val="none"/>
              </w:rPr>
              <w:t>按国家现行规范合格标准执行。</w:t>
            </w:r>
          </w:p>
        </w:tc>
      </w:tr>
      <w:tr w14:paraId="03E216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49" w:hRule="atLeast"/>
          <w:jc w:val="center"/>
        </w:trPr>
        <w:tc>
          <w:tcPr>
            <w:tcW w:w="2100" w:type="dxa"/>
            <w:gridSpan w:val="2"/>
            <w:tcBorders>
              <w:top w:val="single" w:color="auto" w:sz="4" w:space="0"/>
              <w:left w:val="single" w:color="auto" w:sz="4" w:space="0"/>
              <w:bottom w:val="single" w:color="auto" w:sz="4" w:space="0"/>
              <w:right w:val="single" w:color="auto" w:sz="4" w:space="0"/>
            </w:tcBorders>
            <w:vAlign w:val="center"/>
          </w:tcPr>
          <w:p w14:paraId="657728FB">
            <w:pPr>
              <w:spacing w:line="360" w:lineRule="auto"/>
              <w:rPr>
                <w:rFonts w:ascii="宋体" w:hAnsi="宋体"/>
                <w:b/>
                <w:color w:val="auto"/>
                <w:szCs w:val="21"/>
                <w:highlight w:val="none"/>
              </w:rPr>
            </w:pPr>
            <w:r>
              <w:rPr>
                <w:rFonts w:hint="eastAsia" w:ascii="宋体" w:hAnsi="宋体"/>
                <w:color w:val="auto"/>
                <w:szCs w:val="21"/>
                <w:highlight w:val="none"/>
              </w:rPr>
              <w:t>付款条件（进度和方式）</w:t>
            </w:r>
          </w:p>
        </w:tc>
        <w:tc>
          <w:tcPr>
            <w:tcW w:w="6705" w:type="dxa"/>
            <w:gridSpan w:val="4"/>
            <w:tcBorders>
              <w:top w:val="single" w:color="auto" w:sz="4" w:space="0"/>
              <w:left w:val="single" w:color="auto" w:sz="4" w:space="0"/>
              <w:bottom w:val="single" w:color="auto" w:sz="4" w:space="0"/>
              <w:right w:val="single" w:color="auto" w:sz="4" w:space="0"/>
            </w:tcBorders>
            <w:vAlign w:val="center"/>
          </w:tcPr>
          <w:p w14:paraId="605D075B">
            <w:pPr>
              <w:spacing w:line="360" w:lineRule="auto"/>
              <w:ind w:firstLine="420" w:firstLineChars="200"/>
              <w:jc w:val="left"/>
              <w:rPr>
                <w:rFonts w:hint="default" w:ascii="Times New Roman" w:hAnsi="宋体" w:eastAsia="宋体" w:cs="宋体"/>
                <w:color w:val="auto"/>
                <w:highlight w:val="none"/>
                <w:u w:val="none"/>
                <w:lang w:val="en-US" w:eastAsia="zh-CN"/>
              </w:rPr>
            </w:pPr>
            <w:r>
              <w:rPr>
                <w:rFonts w:hint="eastAsia" w:ascii="Times New Roman" w:hAnsi="宋体" w:eastAsia="宋体" w:cs="宋体"/>
                <w:color w:val="auto"/>
                <w:highlight w:val="none"/>
                <w:u w:val="none"/>
              </w:rPr>
              <w:fldChar w:fldCharType="begin"/>
            </w:r>
            <w:r>
              <w:rPr>
                <w:rFonts w:hint="eastAsia" w:ascii="Times New Roman" w:hAnsi="宋体" w:eastAsia="宋体" w:cs="宋体"/>
                <w:color w:val="auto"/>
                <w:highlight w:val="none"/>
                <w:u w:val="none"/>
              </w:rPr>
              <w:instrText xml:space="preserve"> = 1 \* GB3 </w:instrText>
            </w:r>
            <w:r>
              <w:rPr>
                <w:rFonts w:hint="eastAsia" w:ascii="Times New Roman" w:hAnsi="宋体" w:eastAsia="宋体" w:cs="宋体"/>
                <w:color w:val="auto"/>
                <w:highlight w:val="none"/>
                <w:u w:val="none"/>
              </w:rPr>
              <w:fldChar w:fldCharType="separate"/>
            </w:r>
            <w:r>
              <w:rPr>
                <w:rFonts w:hint="eastAsia" w:ascii="Times New Roman" w:hAnsi="宋体" w:eastAsia="宋体" w:cs="宋体"/>
                <w:color w:val="auto"/>
                <w:highlight w:val="none"/>
                <w:u w:val="none"/>
              </w:rPr>
              <w:t>①</w:t>
            </w:r>
            <w:r>
              <w:rPr>
                <w:rFonts w:hint="eastAsia" w:ascii="Times New Roman" w:hAnsi="宋体" w:eastAsia="宋体" w:cs="宋体"/>
                <w:color w:val="auto"/>
                <w:highlight w:val="none"/>
                <w:u w:val="none"/>
              </w:rPr>
              <w:fldChar w:fldCharType="end"/>
            </w:r>
            <w:r>
              <w:rPr>
                <w:rFonts w:hint="eastAsia" w:ascii="Times New Roman" w:hAnsi="宋体" w:eastAsia="宋体" w:cs="宋体"/>
                <w:color w:val="auto"/>
                <w:highlight w:val="none"/>
                <w:u w:val="none"/>
              </w:rPr>
              <w:t>预付款支付比例或金额：</w:t>
            </w:r>
            <w:r>
              <w:rPr>
                <w:rFonts w:hint="eastAsia" w:hAnsi="宋体" w:cs="宋体"/>
                <w:color w:val="auto"/>
                <w:highlight w:val="none"/>
                <w:u w:val="none"/>
                <w:lang w:val="en-US" w:eastAsia="zh-CN"/>
              </w:rPr>
              <w:t>合同价款的30%</w:t>
            </w:r>
          </w:p>
          <w:p w14:paraId="6ED90468">
            <w:pPr>
              <w:snapToGrid w:val="0"/>
              <w:spacing w:line="360" w:lineRule="auto"/>
              <w:ind w:firstLine="420" w:firstLineChars="200"/>
              <w:rPr>
                <w:rFonts w:hint="eastAsia" w:ascii="Times New Roman" w:hAnsi="宋体" w:eastAsia="宋体" w:cs="宋体"/>
                <w:color w:val="auto"/>
                <w:highlight w:val="none"/>
                <w:u w:val="none"/>
              </w:rPr>
            </w:pPr>
            <w:r>
              <w:rPr>
                <w:rFonts w:hint="eastAsia" w:ascii="Times New Roman" w:hAnsi="宋体" w:eastAsia="宋体" w:cs="宋体"/>
                <w:color w:val="auto"/>
                <w:highlight w:val="none"/>
                <w:u w:val="none"/>
              </w:rPr>
              <w:fldChar w:fldCharType="begin"/>
            </w:r>
            <w:r>
              <w:rPr>
                <w:rFonts w:hint="eastAsia" w:ascii="Times New Roman" w:hAnsi="宋体" w:eastAsia="宋体" w:cs="宋体"/>
                <w:color w:val="auto"/>
                <w:highlight w:val="none"/>
                <w:u w:val="none"/>
              </w:rPr>
              <w:instrText xml:space="preserve"> = 2 \* GB3 </w:instrText>
            </w:r>
            <w:r>
              <w:rPr>
                <w:rFonts w:hint="eastAsia" w:ascii="Times New Roman" w:hAnsi="宋体" w:eastAsia="宋体" w:cs="宋体"/>
                <w:color w:val="auto"/>
                <w:highlight w:val="none"/>
                <w:u w:val="none"/>
              </w:rPr>
              <w:fldChar w:fldCharType="separate"/>
            </w:r>
            <w:r>
              <w:rPr>
                <w:rFonts w:hint="eastAsia" w:ascii="Times New Roman" w:hAnsi="宋体" w:eastAsia="宋体" w:cs="宋体"/>
                <w:color w:val="auto"/>
                <w:highlight w:val="none"/>
                <w:u w:val="none"/>
              </w:rPr>
              <w:t>②</w:t>
            </w:r>
            <w:r>
              <w:rPr>
                <w:rFonts w:hint="eastAsia" w:ascii="Times New Roman" w:hAnsi="宋体" w:eastAsia="宋体" w:cs="宋体"/>
                <w:color w:val="auto"/>
                <w:highlight w:val="none"/>
                <w:u w:val="none"/>
              </w:rPr>
              <w:fldChar w:fldCharType="end"/>
            </w:r>
            <w:r>
              <w:rPr>
                <w:rFonts w:hint="eastAsia" w:ascii="Times New Roman" w:hAnsi="宋体" w:eastAsia="宋体" w:cs="宋体"/>
                <w:color w:val="auto"/>
                <w:highlight w:val="none"/>
                <w:u w:val="none"/>
                <w:lang w:val="en-US" w:eastAsia="zh-CN"/>
              </w:rPr>
              <w:t>支付周期：</w:t>
            </w:r>
            <w:r>
              <w:rPr>
                <w:rFonts w:hint="eastAsia" w:ascii="Times New Roman" w:hAnsi="宋体" w:eastAsia="宋体" w:cs="宋体"/>
                <w:color w:val="auto"/>
                <w:highlight w:val="none"/>
                <w:u w:val="none"/>
              </w:rPr>
              <w:t>合同内进度款支付限额为已完成工程量的80%，工程变更部分进度款支付限额为已完成工程量的60%；待工程完工验收达到质量要求，支付至合同价的80%。</w:t>
            </w:r>
          </w:p>
          <w:p w14:paraId="13E1077F">
            <w:pPr>
              <w:snapToGrid w:val="0"/>
              <w:spacing w:line="360" w:lineRule="auto"/>
              <w:ind w:firstLine="420" w:firstLineChars="200"/>
              <w:rPr>
                <w:rFonts w:hint="eastAsia" w:ascii="Times New Roman" w:hAnsi="宋体" w:eastAsia="宋体" w:cs="宋体"/>
                <w:color w:val="auto"/>
                <w:highlight w:val="none"/>
                <w:u w:val="none"/>
              </w:rPr>
            </w:pPr>
            <w:r>
              <w:rPr>
                <w:rFonts w:hint="eastAsia" w:ascii="Times New Roman" w:hAnsi="宋体" w:eastAsia="宋体" w:cs="宋体"/>
                <w:color w:val="auto"/>
                <w:highlight w:val="none"/>
                <w:u w:val="none"/>
              </w:rPr>
              <w:t>③预付款、进度款根据财政资金到位情况进行支付，支付不超过预付款、进度款限额比例。</w:t>
            </w:r>
          </w:p>
          <w:p w14:paraId="7930FBDA">
            <w:pPr>
              <w:snapToGrid w:val="0"/>
              <w:spacing w:line="360" w:lineRule="auto"/>
              <w:ind w:firstLine="420" w:firstLineChars="200"/>
              <w:rPr>
                <w:rFonts w:hint="eastAsia" w:ascii="Times New Roman" w:hAnsi="宋体" w:eastAsia="宋体" w:cs="宋体"/>
                <w:color w:val="auto"/>
                <w:highlight w:val="none"/>
                <w:u w:val="none"/>
              </w:rPr>
            </w:pPr>
            <w:r>
              <w:rPr>
                <w:rFonts w:hint="eastAsia" w:ascii="Times New Roman" w:hAnsi="宋体" w:eastAsia="宋体" w:cs="宋体"/>
                <w:color w:val="auto"/>
                <w:highlight w:val="none"/>
                <w:u w:val="none"/>
              </w:rPr>
              <w:t>④结算经审计后并有完整的备案验收资料，工程款支付至结算总价的97%（扣除已支付合同款）；</w:t>
            </w:r>
            <w:r>
              <w:rPr>
                <w:rFonts w:hint="eastAsia" w:ascii="Times New Roman" w:hAnsi="宋体" w:eastAsia="宋体" w:cs="宋体"/>
                <w:color w:val="auto"/>
                <w:highlight w:val="none"/>
                <w:u w:val="none"/>
                <w:lang w:eastAsia="zh-CN"/>
              </w:rPr>
              <w:t>甲方</w:t>
            </w:r>
            <w:r>
              <w:rPr>
                <w:rFonts w:hint="eastAsia" w:ascii="Times New Roman" w:hAnsi="宋体" w:eastAsia="宋体" w:cs="宋体"/>
                <w:color w:val="auto"/>
                <w:highlight w:val="none"/>
                <w:u w:val="none"/>
              </w:rPr>
              <w:t>按工程价款结算总额的3%预留工程质量保修金，待工程质量保修期满后返还（工程验收合格后一年内为保修期）。每次付款前，</w:t>
            </w:r>
            <w:r>
              <w:rPr>
                <w:rFonts w:hint="eastAsia" w:ascii="Times New Roman" w:hAnsi="宋体" w:eastAsia="宋体" w:cs="宋体"/>
                <w:color w:val="auto"/>
                <w:highlight w:val="none"/>
                <w:u w:val="none"/>
                <w:lang w:eastAsia="zh-CN"/>
              </w:rPr>
              <w:t>乙方</w:t>
            </w:r>
            <w:r>
              <w:rPr>
                <w:rFonts w:hint="eastAsia" w:ascii="Times New Roman" w:hAnsi="宋体" w:eastAsia="宋体" w:cs="宋体"/>
                <w:color w:val="auto"/>
                <w:highlight w:val="none"/>
                <w:u w:val="none"/>
              </w:rPr>
              <w:t>应提供相应数额的增值税发票，</w:t>
            </w:r>
            <w:r>
              <w:rPr>
                <w:rFonts w:hint="eastAsia" w:ascii="Times New Roman" w:hAnsi="宋体" w:eastAsia="宋体" w:cs="宋体"/>
                <w:color w:val="auto"/>
                <w:highlight w:val="none"/>
                <w:u w:val="none"/>
                <w:lang w:eastAsia="zh-CN"/>
              </w:rPr>
              <w:t>甲方</w:t>
            </w:r>
            <w:r>
              <w:rPr>
                <w:rFonts w:hint="eastAsia" w:ascii="Times New Roman" w:hAnsi="宋体" w:eastAsia="宋体" w:cs="宋体"/>
                <w:color w:val="auto"/>
                <w:highlight w:val="none"/>
                <w:u w:val="none"/>
              </w:rPr>
              <w:t>收到发票后30日内进行资金支付。</w:t>
            </w:r>
          </w:p>
          <w:p w14:paraId="42FFD9D6">
            <w:pPr>
              <w:spacing w:line="360" w:lineRule="auto"/>
              <w:ind w:firstLine="420" w:firstLineChars="200"/>
              <w:jc w:val="left"/>
              <w:rPr>
                <w:rFonts w:hint="eastAsia"/>
                <w:color w:val="auto"/>
                <w:highlight w:val="none"/>
              </w:rPr>
            </w:pPr>
          </w:p>
        </w:tc>
      </w:tr>
    </w:tbl>
    <w:p w14:paraId="2B1CBB31">
      <w:pPr>
        <w:tabs>
          <w:tab w:val="left" w:pos="180"/>
          <w:tab w:val="left" w:pos="1620"/>
        </w:tabs>
        <w:spacing w:line="360" w:lineRule="auto"/>
        <w:ind w:firstLine="422" w:firstLineChars="200"/>
        <w:rPr>
          <w:rFonts w:ascii="宋体" w:hAnsi="宋体" w:cs="宋体"/>
          <w:b/>
          <w:bCs/>
          <w:color w:val="auto"/>
          <w:szCs w:val="21"/>
          <w:highlight w:val="none"/>
        </w:rPr>
      </w:pPr>
    </w:p>
    <w:p w14:paraId="52F3C242">
      <w:pPr>
        <w:pStyle w:val="24"/>
        <w:spacing w:before="340" w:after="340" w:line="360" w:lineRule="auto"/>
        <w:ind w:firstLine="883" w:firstLineChars="200"/>
        <w:jc w:val="center"/>
        <w:textAlignment w:val="center"/>
        <w:rPr>
          <w:rFonts w:hint="eastAsia"/>
          <w:b/>
          <w:color w:val="auto"/>
          <w:sz w:val="44"/>
          <w:szCs w:val="44"/>
          <w:highlight w:val="none"/>
        </w:rPr>
      </w:pPr>
    </w:p>
    <w:p w14:paraId="436E9F1D">
      <w:pPr>
        <w:pStyle w:val="24"/>
        <w:spacing w:before="340" w:after="340" w:line="360" w:lineRule="auto"/>
        <w:ind w:firstLine="883" w:firstLineChars="200"/>
        <w:jc w:val="center"/>
        <w:textAlignment w:val="center"/>
        <w:rPr>
          <w:rFonts w:hint="eastAsia"/>
          <w:b/>
          <w:color w:val="auto"/>
          <w:sz w:val="44"/>
          <w:szCs w:val="44"/>
          <w:highlight w:val="none"/>
        </w:rPr>
      </w:pPr>
    </w:p>
    <w:p w14:paraId="39A008B4">
      <w:pPr>
        <w:pStyle w:val="24"/>
        <w:spacing w:before="340" w:after="340" w:line="360" w:lineRule="auto"/>
        <w:ind w:firstLine="883" w:firstLineChars="200"/>
        <w:jc w:val="center"/>
        <w:textAlignment w:val="center"/>
        <w:rPr>
          <w:rFonts w:hint="eastAsia"/>
          <w:b/>
          <w:color w:val="auto"/>
          <w:sz w:val="44"/>
          <w:szCs w:val="44"/>
          <w:highlight w:val="none"/>
        </w:rPr>
      </w:pPr>
    </w:p>
    <w:p w14:paraId="490C19C3">
      <w:pPr>
        <w:pStyle w:val="24"/>
        <w:spacing w:before="340" w:after="340" w:line="360" w:lineRule="auto"/>
        <w:ind w:firstLine="883" w:firstLineChars="200"/>
        <w:jc w:val="center"/>
        <w:textAlignment w:val="center"/>
        <w:rPr>
          <w:rFonts w:hint="eastAsia"/>
          <w:b/>
          <w:color w:val="auto"/>
          <w:sz w:val="44"/>
          <w:szCs w:val="44"/>
          <w:highlight w:val="none"/>
        </w:rPr>
      </w:pPr>
    </w:p>
    <w:p w14:paraId="77269273">
      <w:pPr>
        <w:pStyle w:val="24"/>
        <w:spacing w:before="340" w:after="340" w:line="360" w:lineRule="auto"/>
        <w:ind w:firstLine="883" w:firstLineChars="200"/>
        <w:jc w:val="center"/>
        <w:textAlignment w:val="center"/>
        <w:rPr>
          <w:rFonts w:hint="eastAsia"/>
          <w:b/>
          <w:color w:val="auto"/>
          <w:sz w:val="44"/>
          <w:szCs w:val="44"/>
          <w:highlight w:val="none"/>
        </w:rPr>
      </w:pPr>
    </w:p>
    <w:p w14:paraId="7EDAC05A">
      <w:pPr>
        <w:pStyle w:val="24"/>
        <w:spacing w:before="340" w:after="340" w:line="360" w:lineRule="auto"/>
        <w:ind w:firstLine="883" w:firstLineChars="200"/>
        <w:jc w:val="center"/>
        <w:textAlignment w:val="center"/>
        <w:rPr>
          <w:rFonts w:hint="eastAsia"/>
          <w:b/>
          <w:color w:val="auto"/>
          <w:sz w:val="44"/>
          <w:szCs w:val="44"/>
          <w:highlight w:val="none"/>
        </w:rPr>
      </w:pPr>
    </w:p>
    <w:p w14:paraId="65B96E3A">
      <w:pPr>
        <w:pStyle w:val="24"/>
        <w:spacing w:before="340" w:after="340" w:line="360" w:lineRule="auto"/>
        <w:ind w:firstLine="883" w:firstLineChars="200"/>
        <w:jc w:val="center"/>
        <w:textAlignment w:val="center"/>
        <w:rPr>
          <w:rFonts w:hint="eastAsia"/>
          <w:b/>
          <w:color w:val="auto"/>
          <w:sz w:val="44"/>
          <w:szCs w:val="44"/>
          <w:highlight w:val="none"/>
        </w:rPr>
      </w:pPr>
    </w:p>
    <w:p w14:paraId="0CB71AAE">
      <w:pPr>
        <w:pStyle w:val="24"/>
        <w:spacing w:before="340" w:after="340" w:line="360" w:lineRule="auto"/>
        <w:jc w:val="both"/>
        <w:textAlignment w:val="center"/>
        <w:rPr>
          <w:rFonts w:hint="eastAsia"/>
          <w:b/>
          <w:color w:val="auto"/>
          <w:sz w:val="44"/>
          <w:szCs w:val="44"/>
          <w:highlight w:val="none"/>
        </w:rPr>
      </w:pPr>
    </w:p>
    <w:p w14:paraId="0D02D437">
      <w:pPr>
        <w:pStyle w:val="2"/>
        <w:spacing w:after="340" w:line="360" w:lineRule="auto"/>
        <w:jc w:val="center"/>
        <w:rPr>
          <w:rFonts w:ascii="宋体" w:hAnsi="宋体"/>
          <w:color w:val="auto"/>
          <w:szCs w:val="21"/>
          <w:highlight w:val="none"/>
        </w:rPr>
      </w:pPr>
      <w:bookmarkStart w:id="92" w:name="_Toc15306"/>
      <w:r>
        <w:rPr>
          <w:rFonts w:hint="eastAsia"/>
          <w:color w:val="auto"/>
          <w:highlight w:val="none"/>
        </w:rPr>
        <w:t>第</w:t>
      </w:r>
      <w:r>
        <w:rPr>
          <w:rFonts w:hint="eastAsia"/>
          <w:color w:val="auto"/>
          <w:highlight w:val="none"/>
          <w:lang w:val="en-US" w:eastAsia="zh-CN"/>
        </w:rPr>
        <w:t>四</w:t>
      </w:r>
      <w:r>
        <w:rPr>
          <w:rFonts w:hint="eastAsia"/>
          <w:color w:val="auto"/>
          <w:highlight w:val="none"/>
        </w:rPr>
        <w:t>章</w:t>
      </w:r>
      <w:r>
        <w:rPr>
          <w:rFonts w:hint="eastAsia"/>
          <w:color w:val="auto"/>
          <w:highlight w:val="none"/>
          <w:lang w:val="en-US" w:eastAsia="zh-CN"/>
        </w:rPr>
        <w:t xml:space="preserve"> </w:t>
      </w:r>
      <w:r>
        <w:rPr>
          <w:rFonts w:hint="eastAsia" w:ascii="Times New Roman" w:hAnsi="Times New Roman" w:eastAsia="宋体" w:cs="Times New Roman"/>
          <w:b/>
          <w:bCs/>
          <w:color w:val="auto"/>
          <w:kern w:val="44"/>
          <w:sz w:val="44"/>
          <w:szCs w:val="44"/>
          <w:highlight w:val="none"/>
          <w:lang w:val="en-US" w:eastAsia="zh-CN" w:bidi="ar-SA"/>
        </w:rPr>
        <w:t>评审程序、评审方法和评审标准</w:t>
      </w:r>
      <w:bookmarkEnd w:id="92"/>
    </w:p>
    <w:p w14:paraId="6F8F2FEF">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一、评审程序和评审方法</w:t>
      </w:r>
    </w:p>
    <w:p w14:paraId="30053EDA">
      <w:pPr>
        <w:spacing w:line="360" w:lineRule="auto"/>
        <w:ind w:firstLine="354" w:firstLineChars="147"/>
        <w:jc w:val="left"/>
        <w:rPr>
          <w:rFonts w:ascii="黑体" w:hAnsi="黑体" w:eastAsia="黑体" w:cs="宋体"/>
          <w:b/>
          <w:bCs/>
          <w:color w:val="auto"/>
          <w:sz w:val="24"/>
          <w:highlight w:val="none"/>
        </w:rPr>
      </w:pPr>
      <w:r>
        <w:rPr>
          <w:rFonts w:ascii="黑体" w:hAnsi="黑体" w:eastAsia="黑体" w:cs="宋体"/>
          <w:b/>
          <w:bCs/>
          <w:color w:val="auto"/>
          <w:sz w:val="24"/>
          <w:highlight w:val="none"/>
        </w:rPr>
        <w:t>1</w:t>
      </w:r>
      <w:r>
        <w:rPr>
          <w:rFonts w:hint="eastAsia" w:ascii="黑体" w:hAnsi="黑体" w:eastAsia="黑体" w:cs="宋体"/>
          <w:b/>
          <w:bCs/>
          <w:color w:val="auto"/>
          <w:sz w:val="24"/>
          <w:highlight w:val="none"/>
        </w:rPr>
        <w:t>.资格审查</w:t>
      </w:r>
    </w:p>
    <w:p w14:paraId="7C241A0A">
      <w:pPr>
        <w:snapToGrid w:val="0"/>
        <w:spacing w:line="360" w:lineRule="auto"/>
        <w:ind w:firstLine="420" w:firstLineChars="200"/>
        <w:rPr>
          <w:rFonts w:ascii="宋体" w:hAnsi="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.1</w:t>
      </w:r>
      <w:r>
        <w:rPr>
          <w:rFonts w:hint="eastAsia" w:ascii="宋体" w:hAnsi="宋体"/>
          <w:color w:val="auto"/>
          <w:szCs w:val="21"/>
          <w:highlight w:val="none"/>
        </w:rPr>
        <w:t>响应文件开启后，磋商小组依法对供应商的资格证明文件进行审查。</w:t>
      </w:r>
    </w:p>
    <w:p w14:paraId="5D5E4433">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注：</w:t>
      </w:r>
      <w:r>
        <w:rPr>
          <w:rFonts w:hint="eastAsia"/>
          <w:color w:val="auto"/>
          <w:highlight w:val="none"/>
        </w:rPr>
        <w:t>磋商小组</w:t>
      </w:r>
      <w:r>
        <w:rPr>
          <w:rFonts w:hint="eastAsia" w:ascii="宋体" w:hAnsi="宋体" w:cs="宋体"/>
          <w:color w:val="auto"/>
          <w:szCs w:val="21"/>
          <w:highlight w:val="none"/>
        </w:rPr>
        <w:t>在资格审查结束前，对供应商进行信用查询。</w:t>
      </w:r>
    </w:p>
    <w:p w14:paraId="56DBF551">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（1）查询渠道：广西政府采购云平台“信用中国”网站（www.creditchina.gov.cn）、中国政府采购网（www.ccgp.gov.cn）链接入口。</w:t>
      </w:r>
    </w:p>
    <w:p w14:paraId="0189E86F">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2E123420">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（3）查询记录和证据留存方式：在查询网站中直接查询，截图另存为电子文档作为评审资料保存。</w:t>
      </w:r>
    </w:p>
    <w:p w14:paraId="72F45D71">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信用信息使用规则：对在“信用中国”网站（www.creditchina.gov.cn）、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w:t>
      </w: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r>
        <w:rPr>
          <w:rFonts w:hint="eastAsia" w:ascii="宋体" w:hAnsi="宋体" w:cs="宋体"/>
          <w:color w:val="auto"/>
          <w:szCs w:val="21"/>
          <w:highlight w:val="none"/>
        </w:rPr>
        <w:t>。</w:t>
      </w:r>
    </w:p>
    <w:p w14:paraId="33D141D6">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.2资格审查标准为本磋商文件中载明对供应商资格要求的条件。资格审查采用合格制，凡符合磋商文件规定的供应商资格要求的响应文件均通过资格审查。</w:t>
      </w:r>
    </w:p>
    <w:p w14:paraId="746C9EDC">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.3供应商有下列情形之一的，资格审查不通过，其响应文件按无效处理：</w:t>
      </w:r>
    </w:p>
    <w:p w14:paraId="2DE1672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1</w:t>
      </w:r>
      <w:r>
        <w:rPr>
          <w:rFonts w:hint="eastAsia" w:ascii="宋体" w:hAnsi="宋体" w:cs="宋体"/>
          <w:color w:val="auto"/>
          <w:szCs w:val="21"/>
          <w:highlight w:val="none"/>
        </w:rPr>
        <w:t>）不具备磋商文件中规定的资格要求的；</w:t>
      </w:r>
    </w:p>
    <w:p w14:paraId="71A9FF3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（2）未按磋商文件规定的方式获取本磋商文件的供应商；</w:t>
      </w:r>
    </w:p>
    <w:p w14:paraId="608B1B2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）响应文件的资格证明文件缺少任一项“供应商须知前附表”资格证明文件规定的“必须提供”的文件资料的；</w:t>
      </w:r>
    </w:p>
    <w:p w14:paraId="0FFB7AE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4</w:t>
      </w:r>
      <w:r>
        <w:rPr>
          <w:rFonts w:hint="eastAsia" w:ascii="宋体" w:hAnsi="宋体" w:cs="宋体"/>
          <w:color w:val="auto"/>
          <w:szCs w:val="21"/>
          <w:highlight w:val="none"/>
        </w:rPr>
        <w:t>）响应文件中的资格证明文件出现任一项不符合“供应商须知前附表”资格证明文件规定的“必须提供”的文件资料要求或者无效的；</w:t>
      </w:r>
    </w:p>
    <w:p w14:paraId="18058EA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）同一合同项下的不同供应商，单位负责人为同一人或者存在直接控股、管理关系的；为本项目提供过整体设计、规范编制或者项目管理、监理、检测等服务的供应商，再参加该采购项目的其他采购活动的。</w:t>
      </w:r>
    </w:p>
    <w:p w14:paraId="47E9BD51">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.4通过资格审查的合格供应商不足3家的，不得进入符合性审查环节，</w:t>
      </w:r>
      <w:r>
        <w:rPr>
          <w:rFonts w:hint="eastAsia" w:ascii="宋体" w:hAnsi="宋体"/>
          <w:color w:val="auto"/>
          <w:szCs w:val="21"/>
          <w:highlight w:val="none"/>
        </w:rPr>
        <w:t>应当重新开展采购活动。</w:t>
      </w:r>
    </w:p>
    <w:p w14:paraId="15363DA3">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w:t>
      </w:r>
      <w:r>
        <w:rPr>
          <w:rFonts w:hint="eastAsia" w:ascii="黑体" w:hAnsi="黑体" w:eastAsia="黑体" w:cs="宋体"/>
          <w:b/>
          <w:bCs/>
          <w:color w:val="auto"/>
          <w:sz w:val="24"/>
          <w:highlight w:val="none"/>
        </w:rPr>
        <w:t>.符合性审查</w:t>
      </w:r>
    </w:p>
    <w:p w14:paraId="61F1A598">
      <w:pPr>
        <w:spacing w:line="360" w:lineRule="auto"/>
        <w:ind w:firstLine="420" w:firstLineChars="200"/>
        <w:rPr>
          <w:rFonts w:ascii="宋体" w:hAnsi="宋体" w:cs="宋体"/>
          <w:color w:val="auto"/>
          <w:szCs w:val="21"/>
          <w:highlight w:val="none"/>
        </w:rPr>
      </w:pPr>
      <w:bookmarkStart w:id="93" w:name="_Hlk42528882"/>
      <w:r>
        <w:rPr>
          <w:rFonts w:ascii="宋体" w:hAnsi="宋体" w:cs="宋体"/>
          <w:color w:val="auto"/>
          <w:szCs w:val="21"/>
          <w:highlight w:val="none"/>
        </w:rPr>
        <w:t>2.1</w:t>
      </w:r>
      <w:r>
        <w:rPr>
          <w:rFonts w:hint="eastAsia" w:ascii="宋体" w:hAnsi="宋体" w:cs="宋体"/>
          <w:color w:val="auto"/>
          <w:szCs w:val="21"/>
          <w:highlight w:val="none"/>
        </w:rPr>
        <w:t>磋商小组对</w:t>
      </w:r>
      <w:r>
        <w:rPr>
          <w:rFonts w:hint="eastAsia" w:ascii="宋体" w:hAnsi="宋体"/>
          <w:color w:val="auto"/>
          <w:szCs w:val="21"/>
          <w:highlight w:val="none"/>
        </w:rPr>
        <w:t>通过资格审查的合格供应商</w:t>
      </w:r>
      <w:r>
        <w:rPr>
          <w:rFonts w:hint="eastAsia" w:ascii="宋体" w:hAnsi="宋体" w:cs="宋体"/>
          <w:color w:val="auto"/>
          <w:szCs w:val="21"/>
          <w:highlight w:val="none"/>
        </w:rPr>
        <w:t>的响应文件的竞标报价、商务、技术等实质性要求进行符合性审查，以确定其是否满足磋商文件的实质性要求。</w:t>
      </w:r>
    </w:p>
    <w:bookmarkEnd w:id="93"/>
    <w:p w14:paraId="1446100A">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2.2</w:t>
      </w:r>
      <w:r>
        <w:rPr>
          <w:rFonts w:hint="eastAsia" w:ascii="宋体" w:hAnsi="宋体" w:cs="宋体"/>
          <w:color w:val="auto"/>
          <w:szCs w:val="21"/>
          <w:highlight w:val="none"/>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5DEEB361">
      <w:pPr>
        <w:spacing w:line="360" w:lineRule="auto"/>
        <w:ind w:firstLine="420" w:firstLineChars="200"/>
        <w:rPr>
          <w:rFonts w:ascii="宋体" w:hAnsi="宋体" w:cs="宋体"/>
          <w:color w:val="auto"/>
          <w:spacing w:val="-6"/>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磋商小组要求供应商澄清、说明或者更正响应文件应当以电子澄清函形式作出。供应商的澄清、说明或者更正应当</w:t>
      </w:r>
      <w:r>
        <w:rPr>
          <w:rFonts w:hint="eastAsia" w:ascii="宋体" w:hAnsi="宋体" w:cs="宋体"/>
          <w:color w:val="auto"/>
          <w:szCs w:val="21"/>
          <w:highlight w:val="none"/>
          <w:lang w:val="en-US" w:eastAsia="zh-CN"/>
        </w:rPr>
        <w:t>以</w:t>
      </w:r>
      <w:r>
        <w:rPr>
          <w:rFonts w:hint="eastAsia" w:ascii="宋体" w:hAnsi="宋体" w:cs="宋体"/>
          <w:color w:val="auto"/>
          <w:szCs w:val="21"/>
          <w:highlight w:val="none"/>
        </w:rPr>
        <w:t>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w:t>
      </w:r>
      <w:r>
        <w:rPr>
          <w:rFonts w:hint="eastAsia" w:hAnsi="宋体"/>
          <w:color w:val="auto"/>
          <w:highlight w:val="none"/>
        </w:rPr>
        <w:t>签章</w:t>
      </w:r>
      <w:r>
        <w:rPr>
          <w:rFonts w:hint="eastAsia" w:ascii="宋体" w:hAnsi="宋体" w:cs="宋体"/>
          <w:color w:val="auto"/>
          <w:spacing w:val="-6"/>
          <w:szCs w:val="21"/>
          <w:highlight w:val="none"/>
        </w:rPr>
        <w:t>。</w:t>
      </w:r>
    </w:p>
    <w:p w14:paraId="5D550502">
      <w:pPr>
        <w:spacing w:line="360" w:lineRule="auto"/>
        <w:ind w:firstLine="420" w:firstLineChars="200"/>
        <w:rPr>
          <w:rFonts w:ascii="宋体" w:hAnsi="宋体" w:cs="宋体"/>
          <w:color w:val="auto"/>
          <w:spacing w:val="-6"/>
          <w:szCs w:val="21"/>
          <w:highlight w:val="none"/>
        </w:rPr>
      </w:pPr>
      <w:r>
        <w:rPr>
          <w:rFonts w:hint="eastAsia" w:ascii="宋体" w:hAnsi="宋体" w:cs="Courier New"/>
          <w:color w:val="auto"/>
          <w:szCs w:val="21"/>
          <w:highlight w:val="none"/>
        </w:rPr>
        <w:t>异常情况处理：如遇无法正常使用线上发送澄清函的情况，将启动书面形式办理。启动书面形式办理的情况下，磋商小组以书面形式要求供应商在规定时间内作出必要的澄清、说明或者补正。供应商的澄清、说明或者补正必须采用书面形式，并加盖公章，或者由法定代表人或者其授权的代表签字。</w:t>
      </w:r>
    </w:p>
    <w:p w14:paraId="4DCF44CF">
      <w:pPr>
        <w:spacing w:line="360" w:lineRule="auto"/>
        <w:ind w:firstLine="396" w:firstLineChars="200"/>
        <w:rPr>
          <w:rFonts w:ascii="宋体" w:hAnsi="宋体" w:cs="宋体"/>
          <w:color w:val="auto"/>
          <w:szCs w:val="21"/>
          <w:highlight w:val="none"/>
        </w:rPr>
      </w:pPr>
      <w:r>
        <w:rPr>
          <w:rFonts w:ascii="宋体" w:hAnsi="宋体" w:cs="宋体"/>
          <w:color w:val="auto"/>
          <w:spacing w:val="-6"/>
          <w:szCs w:val="21"/>
          <w:highlight w:val="none"/>
        </w:rPr>
        <w:t>2.4</w:t>
      </w:r>
      <w:r>
        <w:rPr>
          <w:rFonts w:hint="eastAsia" w:ascii="宋体" w:hAnsi="宋体" w:cs="宋体"/>
          <w:color w:val="auto"/>
          <w:szCs w:val="21"/>
          <w:highlight w:val="none"/>
        </w:rPr>
        <w:t xml:space="preserve">首次响应文件报价出现前后不一致的，按照下列规定修正： </w:t>
      </w:r>
    </w:p>
    <w:p w14:paraId="64FD1CA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2EF8F7B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6E07415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64CB367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4C6D1E0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同时出现两种以上不一致的，按照以上（1）-（4）规定的顺序逐条进行修正。修正后的报价经供应商确认后产生约束力，供应商不确认的，其响应文件按无效处理。</w:t>
      </w:r>
    </w:p>
    <w:p w14:paraId="4D229000">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商务技术报价评审</w:t>
      </w:r>
    </w:p>
    <w:p w14:paraId="3747B9D5">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在评审时，如发现下列情形之一的，将被视为响应文件无效处理：</w:t>
      </w:r>
    </w:p>
    <w:p w14:paraId="28E05A5A">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（1）商务技术评审</w:t>
      </w:r>
    </w:p>
    <w:p w14:paraId="4ACF466E">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1）响应文件未按磋商文件要求签署、盖章的；</w:t>
      </w:r>
    </w:p>
    <w:p w14:paraId="043184B1">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 xml:space="preserve">2）委托代理人未能出具有效身份证或者出具的身份证与授权委托书中的信息不符的； </w:t>
      </w:r>
    </w:p>
    <w:p w14:paraId="30A787F0">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3）提交的磋商保证金无效的或者未按照磋商文件的规定提交磋商保证金的；</w:t>
      </w:r>
    </w:p>
    <w:p w14:paraId="712E35A4">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4）响应文件未提供任一项“供应商须知前附表”商务技术文件中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“必须提供”或者“委托时必须提供”文件资料要求的规定或者提供的商务技术文件无效的。</w:t>
      </w:r>
    </w:p>
    <w:p w14:paraId="46516852">
      <w:pPr>
        <w:spacing w:line="360" w:lineRule="auto"/>
        <w:ind w:firstLine="422" w:firstLineChars="200"/>
        <w:rPr>
          <w:rFonts w:hint="eastAsia" w:ascii="宋体" w:hAnsi="宋体" w:cs="宋体"/>
          <w:b/>
          <w:bCs w:val="0"/>
          <w:color w:val="auto"/>
          <w:szCs w:val="21"/>
          <w:highlight w:val="none"/>
        </w:rPr>
      </w:pPr>
      <w:r>
        <w:rPr>
          <w:rFonts w:hint="eastAsia" w:ascii="宋体" w:hAnsi="宋体" w:cs="宋体"/>
          <w:b/>
          <w:bCs w:val="0"/>
          <w:color w:val="auto"/>
          <w:szCs w:val="21"/>
          <w:highlight w:val="none"/>
        </w:rPr>
        <w:t>5）商务条款中标“▲”的条款发生负偏离的或者允许负偏离的条款数超过“供应商须知前附表”规定项数的或者标明实质性的要求发生负偏离；</w:t>
      </w:r>
    </w:p>
    <w:p w14:paraId="3F2362A8">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6）未对竞标有效期作出响应或者响应文件承诺的竞标有效期不满足磋商文件要求的；</w:t>
      </w:r>
    </w:p>
    <w:p w14:paraId="4F2F4B3B">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7）响应文件的实质性内容未使用中文表述、使用计量单位不符合磋商文件要求的；</w:t>
      </w:r>
    </w:p>
    <w:p w14:paraId="0B25642F">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8）响应文件中的文件资料因填写不齐全或者内容虚假或者出现其他情形而导致被磋商小组认定无效的；</w:t>
      </w:r>
    </w:p>
    <w:p w14:paraId="566BB296">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9）响应文件含有采购人不能接受的附加条件的；</w:t>
      </w:r>
    </w:p>
    <w:p w14:paraId="35630FFB">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10）属于“供应商须知正文”第7.</w:t>
      </w:r>
      <w:r>
        <w:rPr>
          <w:rFonts w:ascii="宋体" w:hAnsi="宋体" w:cs="宋体"/>
          <w:b/>
          <w:color w:val="auto"/>
          <w:szCs w:val="21"/>
          <w:highlight w:val="none"/>
        </w:rPr>
        <w:t>5</w:t>
      </w:r>
      <w:r>
        <w:rPr>
          <w:rFonts w:hint="eastAsia" w:ascii="宋体" w:hAnsi="宋体" w:cs="宋体"/>
          <w:b/>
          <w:color w:val="auto"/>
          <w:szCs w:val="21"/>
          <w:highlight w:val="none"/>
        </w:rPr>
        <w:t>条情形的；</w:t>
      </w:r>
    </w:p>
    <w:p w14:paraId="5514E31A">
      <w:pPr>
        <w:spacing w:line="360" w:lineRule="auto"/>
        <w:ind w:firstLine="422" w:firstLineChars="200"/>
        <w:rPr>
          <w:rFonts w:hint="eastAsia"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1）技术要求</w:t>
      </w:r>
      <w:r>
        <w:rPr>
          <w:rFonts w:hint="eastAsia" w:ascii="宋体" w:hAnsi="宋体" w:cs="宋体"/>
          <w:b/>
          <w:bCs w:val="0"/>
          <w:color w:val="auto"/>
          <w:szCs w:val="21"/>
          <w:highlight w:val="none"/>
        </w:rPr>
        <w:t>中标“▲”的条款发生负偏离的或者允许负偏离的条款数超过“供应商须知前附表”规定项数的或者标明实质性的要求发生负偏离；</w:t>
      </w:r>
    </w:p>
    <w:p w14:paraId="533C036D">
      <w:pPr>
        <w:spacing w:line="360" w:lineRule="auto"/>
        <w:ind w:firstLine="422" w:firstLineChars="200"/>
        <w:rPr>
          <w:rFonts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2）虚假竞标，或者出现其他情形而导致被磋商小组认定无效的；</w:t>
      </w:r>
    </w:p>
    <w:p w14:paraId="69323DE9">
      <w:pPr>
        <w:spacing w:line="360" w:lineRule="auto"/>
        <w:ind w:firstLine="422" w:firstLineChars="200"/>
        <w:rPr>
          <w:rFonts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3）</w:t>
      </w:r>
      <w:bookmarkStart w:id="94" w:name="_Hlk71704147"/>
      <w:r>
        <w:rPr>
          <w:rFonts w:hint="eastAsia" w:ascii="宋体" w:hAnsi="宋体" w:cs="宋体"/>
          <w:b/>
          <w:color w:val="auto"/>
          <w:szCs w:val="21"/>
          <w:highlight w:val="none"/>
        </w:rPr>
        <w:t>磋商文件未载明允许提供备选（替代）竞标方案或明确不允许提供备选（替代）竞标方案时，供应商提供了备选（替代）竞标方案的；</w:t>
      </w:r>
      <w:bookmarkEnd w:id="94"/>
    </w:p>
    <w:p w14:paraId="5D2735A9">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w:t>
      </w:r>
      <w:r>
        <w:rPr>
          <w:rFonts w:hint="eastAsia" w:ascii="宋体" w:hAnsi="宋体" w:cs="宋体"/>
          <w:b/>
          <w:color w:val="auto"/>
          <w:szCs w:val="21"/>
          <w:highlight w:val="none"/>
          <w:lang w:val="en-US" w:eastAsia="zh-CN"/>
        </w:rPr>
        <w:t>4</w:t>
      </w:r>
      <w:r>
        <w:rPr>
          <w:rFonts w:hint="eastAsia" w:ascii="宋体" w:hAnsi="宋体" w:cs="宋体"/>
          <w:b/>
          <w:color w:val="auto"/>
          <w:szCs w:val="21"/>
          <w:highlight w:val="none"/>
        </w:rPr>
        <w:t>）</w:t>
      </w:r>
      <w:r>
        <w:rPr>
          <w:rFonts w:hint="eastAsia" w:ascii="宋体" w:hAnsi="宋体"/>
          <w:b/>
          <w:color w:val="auto"/>
          <w:szCs w:val="21"/>
          <w:highlight w:val="none"/>
        </w:rPr>
        <w:t>竞争性磋商文件明确不允许分包，响应文件拟分包的；</w:t>
      </w:r>
    </w:p>
    <w:p w14:paraId="78183EAB">
      <w:pPr>
        <w:spacing w:line="360" w:lineRule="auto"/>
        <w:ind w:firstLine="422" w:firstLineChars="200"/>
        <w:rPr>
          <w:rFonts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lang w:val="en-US" w:eastAsia="zh-CN"/>
        </w:rPr>
        <w:t>5</w:t>
      </w:r>
      <w:r>
        <w:rPr>
          <w:rFonts w:hint="eastAsia" w:ascii="宋体" w:hAnsi="宋体" w:cs="宋体"/>
          <w:b/>
          <w:color w:val="auto"/>
          <w:szCs w:val="21"/>
          <w:highlight w:val="none"/>
        </w:rPr>
        <w:t>）未响应磋商文件实质性要求的；</w:t>
      </w:r>
    </w:p>
    <w:p w14:paraId="438AA88F">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w:t>
      </w:r>
      <w:r>
        <w:rPr>
          <w:rFonts w:hint="eastAsia" w:ascii="宋体" w:hAnsi="宋体" w:cs="宋体"/>
          <w:b/>
          <w:color w:val="auto"/>
          <w:szCs w:val="21"/>
          <w:highlight w:val="none"/>
          <w:lang w:val="en-US" w:eastAsia="zh-CN"/>
        </w:rPr>
        <w:t>6</w:t>
      </w:r>
      <w:r>
        <w:rPr>
          <w:rFonts w:hint="eastAsia" w:ascii="宋体" w:hAnsi="宋体" w:cs="宋体"/>
          <w:b/>
          <w:color w:val="auto"/>
          <w:szCs w:val="21"/>
          <w:highlight w:val="none"/>
        </w:rPr>
        <w:t>）法律、法规和磋商文件规定的其他无效情形。</w:t>
      </w:r>
    </w:p>
    <w:p w14:paraId="2D5DD669">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w:t>
      </w:r>
      <w:r>
        <w:rPr>
          <w:rFonts w:ascii="宋体" w:hAnsi="宋体" w:cs="宋体"/>
          <w:b/>
          <w:color w:val="auto"/>
          <w:szCs w:val="21"/>
          <w:highlight w:val="none"/>
        </w:rPr>
        <w:t>2</w:t>
      </w:r>
      <w:r>
        <w:rPr>
          <w:rFonts w:hint="eastAsia" w:ascii="宋体" w:hAnsi="宋体" w:cs="宋体"/>
          <w:b/>
          <w:color w:val="auto"/>
          <w:szCs w:val="21"/>
          <w:highlight w:val="none"/>
        </w:rPr>
        <w:t>）报价评审</w:t>
      </w:r>
    </w:p>
    <w:p w14:paraId="2B896220">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1）响应文件未提供“供应商须知前附表” 报价文件中规定的“竞标报价表”的；</w:t>
      </w:r>
    </w:p>
    <w:p w14:paraId="185C3E94">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2）未采用人民币报价或者未按照磋商文件标明的币种报价的；</w:t>
      </w:r>
    </w:p>
    <w:p w14:paraId="0AB678B1">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3）供应商未就所竞标分标进行报价或者存在漏项报价；供应商未就所竞标分标的单项内容作唯一报价；供应商未就所竞标分标的全部内容作完整唯一总价报价；供应商响应文件中存在有选择、有条件报价的（磋商文件允许有备选方案或者其他约定的除外）；</w:t>
      </w:r>
    </w:p>
    <w:p w14:paraId="229B9E34">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4）竞标报价（包含首次报价、最后报价）超过所竞标分标规定的采购预算金额或者最高限价的（如本项目公布了最高限价）；竞标报价（包含首次报价、最后报价）超过磋商文件分项采购预算金额或者最高限价的（如本项目公布了最高限价）；</w:t>
      </w:r>
    </w:p>
    <w:p w14:paraId="7C40A82D">
      <w:pPr>
        <w:spacing w:line="360" w:lineRule="auto"/>
        <w:ind w:firstLine="422" w:firstLineChars="200"/>
        <w:rPr>
          <w:rFonts w:hint="eastAsia" w:ascii="宋体" w:hAnsi="宋体" w:cs="宋体"/>
          <w:color w:val="auto"/>
          <w:szCs w:val="21"/>
          <w:highlight w:val="none"/>
        </w:rPr>
      </w:pPr>
      <w:r>
        <w:rPr>
          <w:rFonts w:hint="eastAsia" w:ascii="宋体" w:hAnsi="宋体" w:cs="宋体"/>
          <w:b/>
          <w:color w:val="auto"/>
          <w:szCs w:val="21"/>
          <w:highlight w:val="none"/>
        </w:rPr>
        <w:t>5）修正后的报价，供应商不确认的；或者经供应商确认修正后的竞标报价（包含首次报价、最后报价）超过所竞标分标规定的采购预算金额或者最高限价（如本项目公布了最高限价）；或者经供应商确认修正后竞标报价（包含首次报价、最后报价）超过磋商文件分项采购预算金额或者最高限价的（如本项目公布了最高限价）。</w:t>
      </w:r>
    </w:p>
    <w:p w14:paraId="297753E2">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6）在单价合同工程中供应商采用总价优惠或以总价百分比优惠的方式进行竞标报价的；</w:t>
      </w:r>
    </w:p>
    <w:p w14:paraId="4EB8D1F6">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7）竞标总报价与已标价工程量清单汇总表不一致的；</w:t>
      </w:r>
    </w:p>
    <w:p w14:paraId="1D89A42B">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8）安全文明施工费和规费、增值税不按广西壮族自治区费用定额及造价管理相关文件规定报价的（园林绿化及仿古建筑工程除外）；（适用于房屋建筑和市政工程项目）</w:t>
      </w:r>
    </w:p>
    <w:p w14:paraId="619E1C89">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 xml:space="preserve">9）供应商已标价工程量清单的项目编码（12位）、计量单位、工程量任何一处与工程量清单不一致的； </w:t>
      </w:r>
    </w:p>
    <w:p w14:paraId="411737BC">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10）供应商已标价工程量清单的项目名称或项目特征与工程量清单不一致，评标委员会要求澄清、说明或补正，但供应商拒绝澄清、说明或补正的；（适用于房屋建筑和市政工程项目）</w:t>
      </w:r>
    </w:p>
    <w:p w14:paraId="2442908A">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11）设有暂估价、暂列金额的，竞标时未按工程量清单给出的暂估价总价、暂列金额总价计入竞标总报价中的；</w:t>
      </w:r>
    </w:p>
    <w:p w14:paraId="31389B9B">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12）供应商对工程量清单内容进行增减或对竞标范围进行调整的；</w:t>
      </w:r>
    </w:p>
    <w:p w14:paraId="4B6E8082">
      <w:pPr>
        <w:spacing w:line="360" w:lineRule="auto"/>
        <w:ind w:firstLine="422" w:firstLineChars="200"/>
        <w:rPr>
          <w:rFonts w:ascii="宋体" w:hAnsi="宋体"/>
          <w:b/>
          <w:color w:val="auto"/>
          <w:szCs w:val="21"/>
          <w:highlight w:val="none"/>
        </w:rPr>
      </w:pPr>
      <w:r>
        <w:rPr>
          <w:rFonts w:hint="eastAsia" w:ascii="宋体" w:hAnsi="宋体" w:cs="宋体"/>
          <w:b/>
          <w:color w:val="auto"/>
          <w:szCs w:val="21"/>
          <w:highlight w:val="none"/>
        </w:rPr>
        <w:t>13）</w:t>
      </w:r>
      <w:r>
        <w:rPr>
          <w:rFonts w:hint="eastAsia" w:ascii="宋体" w:hAnsi="宋体"/>
          <w:b/>
          <w:color w:val="auto"/>
          <w:szCs w:val="21"/>
          <w:highlight w:val="none"/>
        </w:rPr>
        <w:t>响应文件响应的标的数量及单位与竞争性磋商采购文件要求实质性不一致的；</w:t>
      </w:r>
    </w:p>
    <w:p w14:paraId="1CEEF347">
      <w:pPr>
        <w:spacing w:line="360" w:lineRule="auto"/>
        <w:ind w:firstLine="422" w:firstLineChars="200"/>
        <w:rPr>
          <w:rFonts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4）未响应磋商文件实质性要求的。</w:t>
      </w:r>
    </w:p>
    <w:p w14:paraId="778AD4A0">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2.6</w:t>
      </w:r>
      <w:r>
        <w:rPr>
          <w:rFonts w:hint="eastAsia" w:ascii="宋体" w:hAnsi="宋体" w:cs="宋体"/>
          <w:color w:val="auto"/>
          <w:szCs w:val="21"/>
          <w:highlight w:val="none"/>
        </w:rPr>
        <w:t>磋商小组对响应文件进行评审，未实质性响应磋商文件的响应文件按无效处理，由磋商小组告知有关供应商。磋商小组从符合磋商文件规定的相应资格条件的供应商名单中确定不少于3家的供应商参加磋商。</w:t>
      </w:r>
    </w:p>
    <w:p w14:paraId="4843E140">
      <w:pPr>
        <w:spacing w:line="360" w:lineRule="auto"/>
        <w:ind w:firstLine="420" w:firstLineChars="200"/>
        <w:rPr>
          <w:rFonts w:hint="eastAsia" w:ascii="宋体" w:hAnsi="宋体"/>
          <w:color w:val="auto"/>
          <w:szCs w:val="21"/>
          <w:highlight w:val="none"/>
        </w:rPr>
      </w:pPr>
      <w:r>
        <w:rPr>
          <w:rFonts w:ascii="宋体" w:hAnsi="宋体" w:cs="宋体"/>
          <w:color w:val="auto"/>
          <w:szCs w:val="21"/>
          <w:highlight w:val="none"/>
        </w:rPr>
        <w:t>2.7</w:t>
      </w:r>
      <w:r>
        <w:rPr>
          <w:rFonts w:hint="eastAsia" w:ascii="宋体" w:hAnsi="宋体"/>
          <w:color w:val="auto"/>
          <w:szCs w:val="21"/>
          <w:highlight w:val="none"/>
        </w:rPr>
        <w:t>通过符合性审查的合格供应商不足3家的，不得进入磋商环节，采购人或者采购代理机构应当重新开展采购活动。</w:t>
      </w:r>
    </w:p>
    <w:p w14:paraId="17C0E2AD">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w:t>
      </w:r>
      <w:r>
        <w:rPr>
          <w:rFonts w:hint="eastAsia" w:ascii="黑体" w:hAnsi="黑体" w:eastAsia="黑体" w:cs="宋体"/>
          <w:b/>
          <w:bCs/>
          <w:color w:val="auto"/>
          <w:sz w:val="24"/>
          <w:highlight w:val="none"/>
        </w:rPr>
        <w:t>.磋商程序</w:t>
      </w:r>
    </w:p>
    <w:p w14:paraId="122C32B9">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w:t>
      </w:r>
      <w:r>
        <w:rPr>
          <w:rFonts w:ascii="宋体" w:hAnsi="宋体" w:cs="宋体"/>
          <w:color w:val="auto"/>
          <w:kern w:val="0"/>
          <w:szCs w:val="21"/>
          <w:highlight w:val="none"/>
        </w:rPr>
        <w:t>.1</w:t>
      </w:r>
      <w:r>
        <w:rPr>
          <w:rFonts w:hint="eastAsia" w:ascii="宋体" w:hAnsi="宋体" w:cs="宋体"/>
          <w:color w:val="auto"/>
          <w:kern w:val="0"/>
          <w:szCs w:val="21"/>
          <w:highlight w:val="none"/>
        </w:rPr>
        <w:t>磋商小组</w:t>
      </w:r>
      <w:r>
        <w:rPr>
          <w:rFonts w:hint="eastAsia" w:ascii="宋体" w:hAnsi="宋体" w:cs="宋体"/>
          <w:color w:val="auto"/>
          <w:szCs w:val="21"/>
          <w:highlight w:val="none"/>
        </w:rPr>
        <w:t>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处理。</w:t>
      </w:r>
    </w:p>
    <w:p w14:paraId="24F54121">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3.2</w:t>
      </w:r>
      <w:r>
        <w:rPr>
          <w:rFonts w:hint="eastAsia" w:ascii="宋体" w:hAnsi="宋体" w:cs="宋体"/>
          <w:color w:val="auto"/>
          <w:szCs w:val="21"/>
          <w:highlight w:val="none"/>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675F625D">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3.3</w:t>
      </w:r>
      <w:r>
        <w:rPr>
          <w:rFonts w:hint="eastAsia" w:ascii="宋体" w:hAnsi="宋体" w:cs="宋体"/>
          <w:color w:val="auto"/>
          <w:szCs w:val="21"/>
          <w:highlight w:val="none"/>
        </w:rPr>
        <w:t>对磋商文件作出的实质性变动是磋商文件的有效组成部分，由磋商小组及时以电子澄清函形式同时通知所有参加磋商的供应商。</w:t>
      </w:r>
    </w:p>
    <w:p w14:paraId="5B039ABE">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3.4</w:t>
      </w:r>
      <w:r>
        <w:rPr>
          <w:rFonts w:hint="eastAsia" w:ascii="宋体" w:hAnsi="宋体" w:cs="宋体"/>
          <w:color w:val="auto"/>
          <w:szCs w:val="21"/>
          <w:highlight w:val="none"/>
        </w:rPr>
        <w:t>供应商必须按照磋商文件的变动情况和磋商小组的要求以回函的形式重新提交响应文件，并加盖电子签章。参加磋商的供应商未在规定时间内重新提交响应文件的，视同退出磋商，其响应文件按无效处理。</w:t>
      </w:r>
    </w:p>
    <w:p w14:paraId="28F937C0">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3.5</w:t>
      </w:r>
      <w:r>
        <w:rPr>
          <w:rFonts w:hint="eastAsia" w:ascii="宋体" w:hAnsi="宋体" w:cs="宋体"/>
          <w:color w:val="auto"/>
          <w:szCs w:val="21"/>
          <w:highlight w:val="none"/>
        </w:rPr>
        <w:t>磋商中，磋商的任何一方不得透露与磋商有关的其他供应商的技术资料、价格和其他信息</w:t>
      </w:r>
      <w:r>
        <w:rPr>
          <w:rFonts w:hint="eastAsia" w:ascii="宋体" w:hAnsi="宋体" w:cs="宋体"/>
          <w:color w:val="auto"/>
          <w:spacing w:val="-6"/>
          <w:szCs w:val="21"/>
          <w:highlight w:val="none"/>
        </w:rPr>
        <w:t>。</w:t>
      </w:r>
    </w:p>
    <w:p w14:paraId="4602A87B">
      <w:pPr>
        <w:widowControl/>
        <w:tabs>
          <w:tab w:val="left" w:pos="540"/>
        </w:tabs>
        <w:spacing w:line="360" w:lineRule="auto"/>
        <w:ind w:firstLine="420" w:firstLineChars="200"/>
        <w:jc w:val="left"/>
        <w:rPr>
          <w:rFonts w:hint="eastAsia" w:ascii="宋体" w:hAnsi="宋体" w:cs="宋体"/>
          <w:color w:val="auto"/>
          <w:szCs w:val="21"/>
          <w:highlight w:val="none"/>
        </w:rPr>
      </w:pPr>
      <w:r>
        <w:rPr>
          <w:rFonts w:ascii="宋体" w:hAnsi="宋体" w:cs="宋体"/>
          <w:color w:val="auto"/>
          <w:szCs w:val="21"/>
          <w:highlight w:val="none"/>
        </w:rPr>
        <w:t>3.6</w:t>
      </w:r>
      <w:r>
        <w:rPr>
          <w:rFonts w:hint="eastAsia" w:ascii="宋体" w:hAnsi="宋体" w:cs="宋体"/>
          <w:color w:val="auto"/>
          <w:szCs w:val="21"/>
          <w:highlight w:val="none"/>
        </w:rPr>
        <w:t>采购代理机构对磋商过程和磋商内容进行记录。</w:t>
      </w:r>
    </w:p>
    <w:p w14:paraId="13C70C16">
      <w:pPr>
        <w:widowControl/>
        <w:tabs>
          <w:tab w:val="left" w:pos="540"/>
        </w:tabs>
        <w:spacing w:line="360" w:lineRule="auto"/>
        <w:ind w:firstLine="420" w:firstLineChars="200"/>
        <w:jc w:val="left"/>
        <w:rPr>
          <w:rFonts w:ascii="宋体" w:hAnsi="宋体" w:cs="宋体"/>
          <w:color w:val="auto"/>
          <w:szCs w:val="21"/>
          <w:highlight w:val="none"/>
        </w:rPr>
      </w:pPr>
      <w:r>
        <w:rPr>
          <w:rFonts w:ascii="宋体" w:hAnsi="宋体" w:cs="宋体"/>
          <w:color w:val="auto"/>
          <w:szCs w:val="21"/>
          <w:highlight w:val="none"/>
        </w:rPr>
        <w:t>3.7</w:t>
      </w:r>
      <w:r>
        <w:rPr>
          <w:rFonts w:hint="eastAsia" w:ascii="宋体" w:hAnsi="宋体" w:cs="宋体"/>
          <w:color w:val="auto"/>
          <w:szCs w:val="21"/>
          <w:highlight w:val="none"/>
        </w:rPr>
        <w:t>磋商过程中重新提交的响应文件，供应商可以在开启前补充、修改。</w:t>
      </w:r>
    </w:p>
    <w:p w14:paraId="1145D05E">
      <w:pPr>
        <w:widowControl/>
        <w:tabs>
          <w:tab w:val="left" w:pos="540"/>
        </w:tabs>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w:t>
      </w:r>
      <w:r>
        <w:rPr>
          <w:rFonts w:hint="eastAsia" w:ascii="宋体" w:hAnsi="宋体" w:cs="宋体"/>
          <w:color w:val="auto"/>
          <w:szCs w:val="21"/>
          <w:highlight w:val="none"/>
          <w:lang w:val="en-US" w:eastAsia="zh-CN"/>
        </w:rPr>
        <w:t>8</w:t>
      </w:r>
      <w:r>
        <w:rPr>
          <w:color w:val="auto"/>
          <w:highlight w:val="none"/>
        </w:rPr>
        <w:t>根据</w:t>
      </w:r>
      <w:r>
        <w:rPr>
          <w:rFonts w:hint="eastAsia"/>
          <w:color w:val="auto"/>
          <w:highlight w:val="none"/>
        </w:rPr>
        <w:t>《</w:t>
      </w:r>
      <w:r>
        <w:rPr>
          <w:rFonts w:ascii="宋体" w:hAnsi="宋体"/>
          <w:color w:val="auto"/>
          <w:highlight w:val="none"/>
        </w:rPr>
        <w:t>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0D4C5A53">
      <w:pPr>
        <w:tabs>
          <w:tab w:val="left" w:pos="2835"/>
        </w:tabs>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lang w:val="en-US" w:eastAsia="zh-CN"/>
        </w:rPr>
        <w:t>9</w:t>
      </w:r>
      <w:r>
        <w:rPr>
          <w:rFonts w:ascii="宋体" w:hAnsi="宋体" w:cs="宋体"/>
          <w:color w:val="auto"/>
          <w:szCs w:val="21"/>
          <w:highlight w:val="none"/>
        </w:rPr>
        <w:t>除</w:t>
      </w:r>
      <w:r>
        <w:rPr>
          <w:rFonts w:ascii="宋体" w:hAnsi="宋体"/>
          <w:color w:val="auto"/>
          <w:highlight w:val="none"/>
        </w:rPr>
        <w:t>本章第3.</w:t>
      </w:r>
      <w:r>
        <w:rPr>
          <w:rFonts w:hint="eastAsia" w:ascii="宋体" w:hAnsi="宋体"/>
          <w:color w:val="auto"/>
          <w:highlight w:val="none"/>
          <w:lang w:val="en-US" w:eastAsia="zh-CN"/>
        </w:rPr>
        <w:t>8</w:t>
      </w:r>
      <w:r>
        <w:rPr>
          <w:rFonts w:ascii="宋体" w:hAnsi="宋体"/>
          <w:color w:val="auto"/>
          <w:highlight w:val="none"/>
        </w:rPr>
        <w:t>条</w:t>
      </w:r>
      <w:r>
        <w:rPr>
          <w:rFonts w:hint="eastAsia" w:ascii="宋体" w:hAnsi="宋体"/>
          <w:color w:val="auto"/>
          <w:highlight w:val="none"/>
        </w:rPr>
        <w:t>规定的</w:t>
      </w:r>
      <w:r>
        <w:rPr>
          <w:rFonts w:ascii="宋体" w:hAnsi="宋体"/>
          <w:color w:val="auto"/>
          <w:highlight w:val="none"/>
        </w:rPr>
        <w:t>情形</w:t>
      </w:r>
      <w:r>
        <w:rPr>
          <w:rFonts w:hint="eastAsia" w:ascii="宋体" w:hAnsi="宋体"/>
          <w:color w:val="auto"/>
          <w:highlight w:val="none"/>
        </w:rPr>
        <w:t>外，</w:t>
      </w:r>
      <w:r>
        <w:rPr>
          <w:rFonts w:hint="eastAsia" w:ascii="宋体" w:hAnsi="宋体"/>
          <w:color w:val="auto"/>
          <w:szCs w:val="21"/>
          <w:highlight w:val="none"/>
        </w:rPr>
        <w:t>对磋商过程提交的响应文件进行有效性、完整性和响应程度审查，通过审查的合格供应商不足3家的，应当重新开展采购活动。</w:t>
      </w:r>
    </w:p>
    <w:p w14:paraId="1B550BB7">
      <w:pPr>
        <w:spacing w:line="360" w:lineRule="auto"/>
        <w:ind w:firstLine="482" w:firstLineChars="200"/>
        <w:rPr>
          <w:rFonts w:ascii="宋体" w:hAnsi="宋体" w:cs="宋体"/>
          <w:color w:val="auto"/>
          <w:szCs w:val="21"/>
          <w:highlight w:val="none"/>
        </w:rPr>
      </w:pPr>
      <w:r>
        <w:rPr>
          <w:rFonts w:ascii="黑体" w:hAnsi="黑体" w:eastAsia="黑体" w:cs="宋体"/>
          <w:b/>
          <w:bCs/>
          <w:color w:val="auto"/>
          <w:sz w:val="24"/>
          <w:highlight w:val="none"/>
        </w:rPr>
        <w:t>4.</w:t>
      </w:r>
      <w:r>
        <w:rPr>
          <w:rFonts w:hint="eastAsia" w:ascii="黑体" w:hAnsi="黑体" w:eastAsia="黑体" w:cs="宋体"/>
          <w:b/>
          <w:bCs/>
          <w:color w:val="auto"/>
          <w:sz w:val="24"/>
          <w:highlight w:val="none"/>
        </w:rPr>
        <w:t xml:space="preserve"> 最后报价</w:t>
      </w:r>
    </w:p>
    <w:p w14:paraId="4B7CE9C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.1</w:t>
      </w:r>
      <w:r>
        <w:rPr>
          <w:rFonts w:hint="eastAsia" w:ascii="宋体" w:hAnsi="宋体" w:cs="宋体"/>
          <w:color w:val="auto"/>
          <w:szCs w:val="21"/>
          <w:highlight w:val="none"/>
        </w:rPr>
        <w:t>磋商文件能够详细列明采购标的的技术、服务要求的，磋商结束后，磋商小组应当要求所有继续参加磋商的供应商在规定时间内在广西政府采购云平台开标大厅提交加盖供应商电子签章的最后报价，除本章第</w:t>
      </w:r>
      <w:r>
        <w:rPr>
          <w:rFonts w:ascii="宋体" w:hAnsi="宋体" w:cs="宋体"/>
          <w:color w:val="auto"/>
          <w:szCs w:val="21"/>
          <w:highlight w:val="none"/>
        </w:rPr>
        <w:t>4.3</w:t>
      </w:r>
      <w:r>
        <w:rPr>
          <w:rFonts w:hint="eastAsia" w:ascii="宋体" w:hAnsi="宋体" w:cs="宋体"/>
          <w:color w:val="auto"/>
          <w:szCs w:val="21"/>
          <w:highlight w:val="none"/>
        </w:rPr>
        <w:t>条规定的情形外，提交最后报价的供应商不得少于3家，否则应当重新</w:t>
      </w:r>
      <w:r>
        <w:rPr>
          <w:rFonts w:hint="eastAsia" w:ascii="宋体" w:hAnsi="宋体"/>
          <w:color w:val="auto"/>
          <w:szCs w:val="21"/>
          <w:highlight w:val="none"/>
        </w:rPr>
        <w:t>开展采购活动</w:t>
      </w:r>
      <w:r>
        <w:rPr>
          <w:rFonts w:hint="eastAsia" w:ascii="宋体" w:hAnsi="宋体" w:cs="宋体"/>
          <w:color w:val="auto"/>
          <w:szCs w:val="21"/>
          <w:highlight w:val="none"/>
        </w:rPr>
        <w:t>。</w:t>
      </w:r>
    </w:p>
    <w:p w14:paraId="3A92FDF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.2</w:t>
      </w:r>
      <w:r>
        <w:rPr>
          <w:rFonts w:hint="eastAsia" w:ascii="宋体" w:hAnsi="宋体" w:cs="宋体"/>
          <w:color w:val="auto"/>
          <w:szCs w:val="21"/>
          <w:highlight w:val="none"/>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在广西政府采购云平台开标大厅提交最后报价。</w:t>
      </w:r>
      <w:r>
        <w:rPr>
          <w:rFonts w:hint="eastAsia" w:ascii="宋体" w:hAnsi="宋体" w:cs="宋体"/>
          <w:b/>
          <w:color w:val="auto"/>
          <w:szCs w:val="21"/>
          <w:highlight w:val="none"/>
        </w:rPr>
        <w:t>如果供应商的最后报价与首次报价不一致的，不能只报竞标总报价，必须同时提供“已标价工程量清单”，否则做无效响应处理。</w:t>
      </w:r>
    </w:p>
    <w:p w14:paraId="550E50C2">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4.3</w:t>
      </w:r>
      <w:r>
        <w:rPr>
          <w:rFonts w:hint="eastAsia" w:ascii="宋体" w:hAnsi="宋体" w:cs="宋体"/>
          <w:color w:val="auto"/>
          <w:szCs w:val="21"/>
          <w:highlight w:val="none"/>
        </w:rPr>
        <w:t xml:space="preserve"> 最后报价是供应商响应文件的有效组成部分。符合《政府采购竞争性磋商采购方式管理暂行办法》（财库〔2014〕214号）第三条第四项“市场竞争不充分的科研项目，以及需要扶持的科技成果转化项目”和</w:t>
      </w:r>
      <w:r>
        <w:rPr>
          <w:color w:val="auto"/>
          <w:highlight w:val="none"/>
        </w:rPr>
        <w:t>本章</w:t>
      </w:r>
      <w:r>
        <w:rPr>
          <w:rFonts w:ascii="宋体" w:hAnsi="宋体"/>
          <w:color w:val="auto"/>
          <w:highlight w:val="none"/>
        </w:rPr>
        <w:t>第3.7条</w:t>
      </w:r>
      <w:r>
        <w:rPr>
          <w:rFonts w:hint="eastAsia" w:ascii="宋体" w:hAnsi="宋体" w:cs="宋体"/>
          <w:color w:val="auto"/>
          <w:szCs w:val="21"/>
          <w:highlight w:val="none"/>
        </w:rPr>
        <w:t>规定</w:t>
      </w:r>
      <w:r>
        <w:rPr>
          <w:color w:val="auto"/>
          <w:highlight w:val="none"/>
        </w:rPr>
        <w:t>情形的，</w:t>
      </w:r>
      <w:r>
        <w:rPr>
          <w:rFonts w:hint="eastAsia" w:ascii="宋体" w:hAnsi="宋体" w:cs="宋体"/>
          <w:color w:val="auto"/>
          <w:szCs w:val="21"/>
          <w:highlight w:val="none"/>
        </w:rPr>
        <w:t>提交最后报价的供应商可以为2家。</w:t>
      </w:r>
    </w:p>
    <w:p w14:paraId="7517C836">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4.4</w:t>
      </w:r>
      <w:r>
        <w:rPr>
          <w:rFonts w:hint="eastAsia" w:ascii="宋体" w:hAnsi="宋体" w:cs="宋体"/>
          <w:color w:val="auto"/>
          <w:szCs w:val="21"/>
          <w:highlight w:val="none"/>
        </w:rPr>
        <w:t>已经提交响应文件的供应商，在提交最后报价之前，可以根据磋商情况退出磋商，退出磋商的供应商的响应文件按无效处理。采购人、采购代理机构将退还退出磋商的供应商的保证金。</w:t>
      </w:r>
    </w:p>
    <w:p w14:paraId="491DBA83">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4.5</w:t>
      </w:r>
      <w:r>
        <w:rPr>
          <w:rFonts w:hint="eastAsia" w:ascii="宋体" w:hAnsi="宋体" w:cs="宋体"/>
          <w:color w:val="auto"/>
          <w:szCs w:val="21"/>
          <w:highlight w:val="none"/>
        </w:rPr>
        <w:t>供应商未在规定时间内提交最后报价的，视同退出磋商，其响应文件按无效处理。</w:t>
      </w:r>
    </w:p>
    <w:p w14:paraId="147530FD">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4.6</w:t>
      </w:r>
      <w:r>
        <w:rPr>
          <w:rFonts w:hint="eastAsia" w:ascii="宋体" w:hAnsi="宋体" w:cs="宋体"/>
          <w:color w:val="auto"/>
          <w:szCs w:val="21"/>
          <w:highlight w:val="none"/>
        </w:rPr>
        <w:t>最后报价统一开启后，磋商小组对最后报价进行有效性、完整性和响应程度的审查。</w:t>
      </w:r>
    </w:p>
    <w:p w14:paraId="2D7758F3">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4.7</w:t>
      </w:r>
      <w:r>
        <w:rPr>
          <w:rFonts w:hint="eastAsia" w:ascii="宋体" w:hAnsi="宋体" w:cs="宋体"/>
          <w:color w:val="auto"/>
          <w:szCs w:val="21"/>
          <w:highlight w:val="none"/>
        </w:rPr>
        <w:t>最后报价出现前后不一致的，按照本章第</w:t>
      </w:r>
      <w:r>
        <w:rPr>
          <w:rFonts w:ascii="宋体" w:hAnsi="宋体" w:cs="宋体"/>
          <w:color w:val="auto"/>
          <w:szCs w:val="21"/>
          <w:highlight w:val="none"/>
        </w:rPr>
        <w:t>2.4</w:t>
      </w:r>
      <w:r>
        <w:rPr>
          <w:rFonts w:hint="eastAsia" w:ascii="宋体" w:hAnsi="宋体" w:cs="宋体"/>
          <w:color w:val="auto"/>
          <w:szCs w:val="21"/>
          <w:highlight w:val="none"/>
        </w:rPr>
        <w:t xml:space="preserve">条的规定修正。 </w:t>
      </w:r>
    </w:p>
    <w:p w14:paraId="551D7891">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4.8</w:t>
      </w:r>
      <w:r>
        <w:rPr>
          <w:rFonts w:hint="eastAsia" w:ascii="宋体" w:hAnsi="宋体" w:cs="宋体"/>
          <w:color w:val="auto"/>
          <w:szCs w:val="21"/>
          <w:highlight w:val="none"/>
        </w:rPr>
        <w:t>修正后的报价出现下列情形的，按无效响应处理：</w:t>
      </w:r>
    </w:p>
    <w:p w14:paraId="28562FB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0AFBCB6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（2）经供应商确认修正后的竞标报价（包含首次报价、最后报价）超过所竞标分标规定的采购预算金额或者最高限价的（如本项目公布了最高限价）；</w:t>
      </w:r>
    </w:p>
    <w:p w14:paraId="40B3959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（3）经供应商确认修正后的竞标报价（包含首次报价、最后报价）超过分项采购预算金额或者最高限价的（如本项目公布了最高限价）。</w:t>
      </w:r>
    </w:p>
    <w:p w14:paraId="64228DC1">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4.9</w:t>
      </w:r>
      <w:r>
        <w:rPr>
          <w:rFonts w:hint="eastAsia" w:ascii="宋体" w:hAnsi="宋体" w:cs="宋体"/>
          <w:color w:val="auto"/>
          <w:szCs w:val="21"/>
          <w:highlight w:val="none"/>
        </w:rPr>
        <w:t>经供应商确认修正后的最后报价作为评审及签订合同的依据。</w:t>
      </w:r>
    </w:p>
    <w:p w14:paraId="0AC8005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4.10供应商出现最后报价按无效响应处理或者响应文件按无效处理时</w:t>
      </w:r>
      <w:r>
        <w:rPr>
          <w:rFonts w:hint="eastAsia" w:ascii="宋体" w:hAnsi="宋体"/>
          <w:color w:val="auto"/>
          <w:sz w:val="22"/>
          <w:szCs w:val="22"/>
          <w:highlight w:val="none"/>
        </w:rPr>
        <w:t>，磋商小组应当告知有关供应商</w:t>
      </w:r>
      <w:r>
        <w:rPr>
          <w:rFonts w:hint="eastAsia" w:ascii="宋体" w:hAnsi="宋体" w:cs="宋体"/>
          <w:color w:val="auto"/>
          <w:szCs w:val="21"/>
          <w:highlight w:val="none"/>
        </w:rPr>
        <w:t>。</w:t>
      </w:r>
    </w:p>
    <w:p w14:paraId="1A1A491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.1</w:t>
      </w:r>
      <w:r>
        <w:rPr>
          <w:rFonts w:hint="eastAsia" w:ascii="宋体" w:hAnsi="宋体" w:cs="宋体"/>
          <w:color w:val="auto"/>
          <w:szCs w:val="21"/>
          <w:highlight w:val="none"/>
        </w:rPr>
        <w:t>1最后报价结束后，磋商小组不得再与供应商进行任何形式的商谈。</w:t>
      </w:r>
    </w:p>
    <w:p w14:paraId="146C39B4">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5</w:t>
      </w:r>
      <w:r>
        <w:rPr>
          <w:rFonts w:ascii="黑体" w:hAnsi="黑体" w:eastAsia="黑体" w:cs="宋体"/>
          <w:b/>
          <w:bCs/>
          <w:color w:val="auto"/>
          <w:sz w:val="24"/>
          <w:highlight w:val="none"/>
        </w:rPr>
        <w:t>.</w:t>
      </w:r>
      <w:r>
        <w:rPr>
          <w:rFonts w:hint="eastAsia" w:ascii="黑体" w:hAnsi="黑体" w:eastAsia="黑体" w:cs="宋体"/>
          <w:b/>
          <w:bCs/>
          <w:color w:val="auto"/>
          <w:sz w:val="24"/>
          <w:highlight w:val="none"/>
        </w:rPr>
        <w:t>比较与评价</w:t>
      </w:r>
    </w:p>
    <w:p w14:paraId="252AB3B8">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5.1</w:t>
      </w:r>
      <w:r>
        <w:rPr>
          <w:rFonts w:hint="eastAsia" w:ascii="宋体" w:hAnsi="宋体" w:cs="宋体"/>
          <w:color w:val="auto"/>
          <w:szCs w:val="21"/>
          <w:highlight w:val="none"/>
        </w:rPr>
        <w:t>评审方法：综合评分法。</w:t>
      </w:r>
    </w:p>
    <w:p w14:paraId="3EBA11C0">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5.2</w:t>
      </w:r>
      <w:r>
        <w:rPr>
          <w:rFonts w:hint="eastAsia" w:ascii="宋体" w:hAnsi="宋体" w:cs="宋体"/>
          <w:color w:val="auto"/>
          <w:szCs w:val="21"/>
          <w:highlight w:val="none"/>
        </w:rPr>
        <w:t>经磋商确定最终采购需求和提交最后报价的供应商后，由磋商小组采用综合评分法对提交最后报价的供应商的响应文件和最后报价进行综合评分。</w:t>
      </w:r>
    </w:p>
    <w:p w14:paraId="2392A23A">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5.3</w:t>
      </w:r>
      <w:r>
        <w:rPr>
          <w:rFonts w:hint="eastAsia" w:ascii="宋体" w:hAnsi="宋体" w:cs="宋体"/>
          <w:color w:val="auto"/>
          <w:szCs w:val="21"/>
          <w:highlight w:val="none"/>
        </w:rPr>
        <w:t>评审时，磋商小组各成员应当独立对每个有效响应的文件进行评价、打分，然后汇总每个供应商每项评分因素的得分。</w:t>
      </w:r>
    </w:p>
    <w:p w14:paraId="2883BA0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（1）磋商小组按照磋商文件中规定的评审标准计算各供应商的报价得分。项目评审过程中，不得去掉最后报价中的最高报价和最低报价。</w:t>
      </w:r>
    </w:p>
    <w:p w14:paraId="5DFF078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（2）各供应商的得分为磋商小组所有成员的有效评分的算术平均数。</w:t>
      </w:r>
    </w:p>
    <w:p w14:paraId="72989733">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5.4</w:t>
      </w:r>
      <w:r>
        <w:rPr>
          <w:rFonts w:hint="eastAsia" w:ascii="宋体" w:hAnsi="宋体" w:cs="宋体"/>
          <w:color w:val="auto"/>
          <w:szCs w:val="21"/>
          <w:highlight w:val="none"/>
        </w:rPr>
        <w:t>评审</w:t>
      </w:r>
      <w:r>
        <w:rPr>
          <w:rFonts w:hint="eastAsia" w:ascii="宋体" w:hAnsi="宋体" w:cs="宋体"/>
          <w:color w:val="auto"/>
          <w:szCs w:val="21"/>
          <w:highlight w:val="none"/>
          <w:lang w:val="en-US" w:eastAsia="zh-CN"/>
        </w:rPr>
        <w:t>报</w:t>
      </w:r>
      <w:r>
        <w:rPr>
          <w:rFonts w:hint="eastAsia" w:ascii="宋体" w:hAnsi="宋体" w:cs="宋体"/>
          <w:color w:val="auto"/>
          <w:szCs w:val="21"/>
          <w:highlight w:val="none"/>
        </w:rPr>
        <w:t>价为供应商的最后报价进行政策性扣除后的价格，评审</w:t>
      </w:r>
      <w:r>
        <w:rPr>
          <w:rFonts w:hint="eastAsia" w:ascii="宋体" w:hAnsi="宋体" w:cs="宋体"/>
          <w:color w:val="auto"/>
          <w:szCs w:val="21"/>
          <w:highlight w:val="none"/>
          <w:lang w:val="en-US" w:eastAsia="zh-CN"/>
        </w:rPr>
        <w:t>报</w:t>
      </w:r>
      <w:r>
        <w:rPr>
          <w:rFonts w:hint="eastAsia" w:ascii="宋体" w:hAnsi="宋体" w:cs="宋体"/>
          <w:color w:val="auto"/>
          <w:szCs w:val="21"/>
          <w:highlight w:val="none"/>
        </w:rPr>
        <w:t>价只是作为评审时使用。最终成交供应商的成交金额等于最后报价（如有修正，以确认修正后的最后报价为准）。</w:t>
      </w:r>
    </w:p>
    <w:p w14:paraId="3BC84DBA">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6. 成交供应商推荐原则</w:t>
      </w:r>
    </w:p>
    <w:p w14:paraId="7763BCA8">
      <w:pPr>
        <w:spacing w:line="360" w:lineRule="auto"/>
        <w:ind w:firstLine="420" w:firstLineChars="200"/>
        <w:rPr>
          <w:rFonts w:ascii="宋体" w:hAnsi="宋体"/>
          <w:color w:val="auto"/>
          <w:kern w:val="0"/>
          <w:szCs w:val="21"/>
          <w:highlight w:val="none"/>
        </w:rPr>
      </w:pPr>
      <w:r>
        <w:rPr>
          <w:rFonts w:hint="eastAsia" w:ascii="宋体" w:hAnsi="宋体" w:cs="宋体"/>
          <w:color w:val="auto"/>
          <w:szCs w:val="21"/>
          <w:highlight w:val="none"/>
        </w:rPr>
        <w:t>6</w:t>
      </w:r>
      <w:r>
        <w:rPr>
          <w:rFonts w:ascii="宋体" w:hAnsi="宋体" w:cs="宋体"/>
          <w:color w:val="auto"/>
          <w:szCs w:val="21"/>
          <w:highlight w:val="none"/>
        </w:rPr>
        <w:t>.</w:t>
      </w:r>
      <w:r>
        <w:rPr>
          <w:rFonts w:hint="eastAsia" w:ascii="宋体" w:hAnsi="宋体" w:cs="宋体"/>
          <w:color w:val="auto"/>
          <w:szCs w:val="21"/>
          <w:highlight w:val="none"/>
        </w:rPr>
        <w:t>1</w:t>
      </w:r>
      <w:r>
        <w:rPr>
          <w:rFonts w:hint="eastAsia" w:ascii="宋体" w:hAnsi="宋体"/>
          <w:bCs/>
          <w:color w:val="auto"/>
          <w:szCs w:val="21"/>
          <w:highlight w:val="none"/>
        </w:rPr>
        <w:t>由磋商小组根据综合评分情况，按照评审得分由高到低顺序推荐3名以上成交候选供应商，并编写评审报告，</w:t>
      </w:r>
      <w:r>
        <w:rPr>
          <w:rFonts w:hint="eastAsia" w:ascii="宋体" w:hAnsi="宋体" w:cs="宋体"/>
          <w:color w:val="auto"/>
          <w:highlight w:val="none"/>
        </w:rPr>
        <w:t>评审报告</w:t>
      </w:r>
      <w:r>
        <w:rPr>
          <w:rFonts w:hint="eastAsia" w:hAnsi="宋体"/>
          <w:color w:val="auto"/>
          <w:highlight w:val="none"/>
        </w:rPr>
        <w:t>通过电子交易平台向采购人、采购代理机构提交。</w:t>
      </w:r>
      <w:r>
        <w:rPr>
          <w:rFonts w:hint="eastAsia" w:ascii="宋体" w:hAnsi="宋体"/>
          <w:bCs/>
          <w:color w:val="auto"/>
          <w:szCs w:val="21"/>
          <w:highlight w:val="none"/>
        </w:rPr>
        <w:t>符合本章第</w:t>
      </w:r>
      <w:r>
        <w:rPr>
          <w:rFonts w:ascii="宋体" w:hAnsi="宋体"/>
          <w:bCs/>
          <w:color w:val="auto"/>
          <w:szCs w:val="21"/>
          <w:highlight w:val="none"/>
        </w:rPr>
        <w:t>4.3</w:t>
      </w:r>
      <w:r>
        <w:rPr>
          <w:rFonts w:hint="eastAsia" w:ascii="宋体" w:hAnsi="宋体"/>
          <w:bCs/>
          <w:color w:val="auto"/>
          <w:szCs w:val="21"/>
          <w:highlight w:val="none"/>
        </w:rPr>
        <w:t>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技术要求偏离分由高到低排序）。评审得分、最后报价（不计算价格折扣）、技术得分、技术要求偏离分均相同的，由磋商小组随机抽取推荐</w:t>
      </w:r>
      <w:r>
        <w:rPr>
          <w:rFonts w:hint="eastAsia" w:ascii="宋体" w:hAnsi="宋体"/>
          <w:color w:val="auto"/>
          <w:kern w:val="0"/>
          <w:szCs w:val="21"/>
          <w:highlight w:val="none"/>
        </w:rPr>
        <w:t>。</w:t>
      </w:r>
    </w:p>
    <w:p w14:paraId="18D38C75">
      <w:pPr>
        <w:spacing w:line="360" w:lineRule="auto"/>
        <w:ind w:firstLine="420" w:firstLineChars="200"/>
        <w:rPr>
          <w:rFonts w:ascii="宋体" w:hAnsi="宋体" w:cs="宋体"/>
          <w:color w:val="auto"/>
          <w:szCs w:val="21"/>
          <w:highlight w:val="none"/>
        </w:rPr>
      </w:pPr>
      <w:r>
        <w:rPr>
          <w:rFonts w:hint="eastAsia" w:ascii="宋体" w:hAnsi="宋体"/>
          <w:color w:val="auto"/>
          <w:kern w:val="0"/>
          <w:szCs w:val="21"/>
          <w:highlight w:val="none"/>
        </w:rPr>
        <w:t>6</w:t>
      </w:r>
      <w:r>
        <w:rPr>
          <w:rFonts w:ascii="宋体" w:hAnsi="宋体"/>
          <w:color w:val="auto"/>
          <w:kern w:val="0"/>
          <w:szCs w:val="21"/>
          <w:highlight w:val="none"/>
        </w:rPr>
        <w:t>.</w:t>
      </w:r>
      <w:r>
        <w:rPr>
          <w:rFonts w:hint="eastAsia" w:ascii="宋体" w:hAnsi="宋体"/>
          <w:color w:val="auto"/>
          <w:kern w:val="0"/>
          <w:szCs w:val="21"/>
          <w:highlight w:val="none"/>
        </w:rPr>
        <w:t>2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2E2C0612">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二、评审标准</w:t>
      </w:r>
    </w:p>
    <w:p w14:paraId="7D319591">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7</w:t>
      </w:r>
      <w:r>
        <w:rPr>
          <w:rFonts w:ascii="宋体" w:hAnsi="宋体"/>
          <w:bCs/>
          <w:color w:val="auto"/>
          <w:szCs w:val="21"/>
          <w:highlight w:val="none"/>
        </w:rPr>
        <w:t>.</w:t>
      </w:r>
      <w:r>
        <w:rPr>
          <w:rFonts w:hint="eastAsia" w:ascii="宋体" w:hAnsi="宋体"/>
          <w:bCs/>
          <w:color w:val="auto"/>
          <w:szCs w:val="21"/>
          <w:highlight w:val="none"/>
        </w:rPr>
        <w:t>评审依据：磋商小组以磋商文件为评审依据，对供应商的报价、技术</w:t>
      </w:r>
      <w:r>
        <w:rPr>
          <w:rFonts w:hint="eastAsia" w:ascii="宋体" w:hAnsi="宋体"/>
          <w:bCs/>
          <w:color w:val="auto"/>
          <w:szCs w:val="21"/>
          <w:highlight w:val="none"/>
          <w:lang w:eastAsia="zh-CN"/>
        </w:rPr>
        <w:t>、</w:t>
      </w:r>
      <w:r>
        <w:rPr>
          <w:rFonts w:hint="eastAsia" w:ascii="宋体" w:hAnsi="宋体"/>
          <w:bCs/>
          <w:color w:val="auto"/>
          <w:szCs w:val="21"/>
          <w:highlight w:val="none"/>
          <w:lang w:val="en-US" w:eastAsia="zh-CN"/>
        </w:rPr>
        <w:t>商务</w:t>
      </w:r>
      <w:r>
        <w:rPr>
          <w:rFonts w:hint="eastAsia" w:ascii="宋体" w:hAnsi="宋体"/>
          <w:bCs/>
          <w:color w:val="auto"/>
          <w:szCs w:val="21"/>
          <w:highlight w:val="none"/>
        </w:rPr>
        <w:t>等方面内容按百分制打分。（计分方法按四舍五入取至百分位）</w:t>
      </w:r>
    </w:p>
    <w:tbl>
      <w:tblPr>
        <w:tblStyle w:val="44"/>
        <w:tblW w:w="9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480"/>
        <w:gridCol w:w="938"/>
        <w:gridCol w:w="6286"/>
        <w:gridCol w:w="853"/>
      </w:tblGrid>
      <w:tr w14:paraId="56C32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vAlign w:val="center"/>
          </w:tcPr>
          <w:p w14:paraId="0A69128D">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序号</w:t>
            </w:r>
          </w:p>
        </w:tc>
        <w:tc>
          <w:tcPr>
            <w:tcW w:w="1418" w:type="dxa"/>
            <w:gridSpan w:val="2"/>
            <w:vAlign w:val="center"/>
          </w:tcPr>
          <w:p w14:paraId="23DE9902">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评审因素</w:t>
            </w:r>
          </w:p>
        </w:tc>
        <w:tc>
          <w:tcPr>
            <w:tcW w:w="6286" w:type="dxa"/>
            <w:vAlign w:val="center"/>
          </w:tcPr>
          <w:p w14:paraId="24FDD1EE">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评审标准</w:t>
            </w:r>
          </w:p>
        </w:tc>
        <w:tc>
          <w:tcPr>
            <w:tcW w:w="853" w:type="dxa"/>
            <w:vAlign w:val="center"/>
          </w:tcPr>
          <w:p w14:paraId="42908F74">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分值</w:t>
            </w:r>
          </w:p>
        </w:tc>
      </w:tr>
      <w:tr w14:paraId="1D087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vAlign w:val="center"/>
          </w:tcPr>
          <w:p w14:paraId="5E801756">
            <w:pPr>
              <w:widowControl/>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rPr>
              <w:t>1</w:t>
            </w:r>
          </w:p>
        </w:tc>
        <w:tc>
          <w:tcPr>
            <w:tcW w:w="1418" w:type="dxa"/>
            <w:gridSpan w:val="2"/>
            <w:vAlign w:val="center"/>
          </w:tcPr>
          <w:p w14:paraId="2FE21E4E">
            <w:pPr>
              <w:widowControl/>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rPr>
              <w:t>价格分</w:t>
            </w:r>
          </w:p>
        </w:tc>
        <w:tc>
          <w:tcPr>
            <w:tcW w:w="6286" w:type="dxa"/>
          </w:tcPr>
          <w:p w14:paraId="65DE818D">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ascii="宋体" w:hAnsi="宋体"/>
                <w:color w:val="auto"/>
                <w:szCs w:val="21"/>
                <w:highlight w:val="none"/>
              </w:rPr>
            </w:pPr>
            <w:r>
              <w:rPr>
                <w:rFonts w:hint="eastAsia" w:ascii="宋体" w:hAnsi="宋体" w:cs="Courier New"/>
                <w:bCs/>
                <w:color w:val="auto"/>
                <w:szCs w:val="21"/>
                <w:highlight w:val="none"/>
              </w:rPr>
              <w:t>（1）</w:t>
            </w:r>
            <w:r>
              <w:rPr>
                <w:rFonts w:hint="eastAsia" w:ascii="宋体" w:hAnsi="宋体"/>
                <w:color w:val="auto"/>
                <w:szCs w:val="21"/>
                <w:highlight w:val="none"/>
              </w:rPr>
              <w:t>评审价为供应商的最后报价，最终成交供应商的成交金额等于最后报价（如有修正，以确认修正后的最后报价为准）。</w:t>
            </w:r>
          </w:p>
          <w:p w14:paraId="6EFF24F9">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（2）本项目为专门面向</w:t>
            </w:r>
            <w:r>
              <w:rPr>
                <w:rFonts w:hint="eastAsia" w:ascii="宋体" w:hAnsi="宋体" w:cs="Times New Roman"/>
                <w:color w:val="auto"/>
                <w:szCs w:val="21"/>
                <w:highlight w:val="none"/>
                <w:lang w:val="en-US" w:eastAsia="zh-CN"/>
              </w:rPr>
              <w:t>中</w:t>
            </w:r>
            <w:r>
              <w:rPr>
                <w:rFonts w:hint="eastAsia" w:ascii="宋体" w:hAnsi="宋体" w:eastAsia="宋体" w:cs="Times New Roman"/>
                <w:color w:val="auto"/>
                <w:szCs w:val="21"/>
                <w:highlight w:val="none"/>
                <w:lang w:val="en-US" w:eastAsia="zh-CN"/>
              </w:rPr>
              <w:t>小微</w:t>
            </w:r>
            <w:r>
              <w:rPr>
                <w:rFonts w:hint="eastAsia" w:ascii="宋体" w:hAnsi="宋体" w:eastAsia="宋体" w:cs="Times New Roman"/>
                <w:color w:val="auto"/>
                <w:szCs w:val="21"/>
                <w:highlight w:val="none"/>
              </w:rPr>
              <w:t>企业采购的项目，参加本项目磋商的供应商必须为</w:t>
            </w:r>
            <w:r>
              <w:rPr>
                <w:rFonts w:hint="eastAsia" w:ascii="宋体" w:hAnsi="宋体" w:cs="Times New Roman"/>
                <w:color w:val="auto"/>
                <w:szCs w:val="21"/>
                <w:highlight w:val="none"/>
                <w:lang w:val="en-US" w:eastAsia="zh-CN"/>
              </w:rPr>
              <w:t>中</w:t>
            </w:r>
            <w:r>
              <w:rPr>
                <w:rFonts w:hint="eastAsia" w:ascii="宋体" w:hAnsi="宋体" w:eastAsia="宋体" w:cs="Times New Roman"/>
                <w:color w:val="auto"/>
                <w:szCs w:val="21"/>
                <w:highlight w:val="none"/>
              </w:rPr>
              <w:t>小微企业，或监狱企业，或残疾人福利性单位，否则竞标无效。价格评审时，参加本次项目竞标的供应商</w:t>
            </w:r>
            <w:r>
              <w:rPr>
                <w:rFonts w:hint="eastAsia" w:ascii="宋体" w:hAnsi="宋体" w:eastAsia="宋体" w:cs="Times New Roman"/>
                <w:color w:val="auto"/>
                <w:szCs w:val="21"/>
                <w:highlight w:val="none"/>
                <w:lang w:val="en-US" w:eastAsia="zh-CN"/>
              </w:rPr>
              <w:t>不再执行价格评审优惠的扶持政策</w:t>
            </w:r>
            <w:r>
              <w:rPr>
                <w:rFonts w:hint="eastAsia" w:ascii="宋体" w:hAnsi="宋体" w:eastAsia="宋体" w:cs="Times New Roman"/>
                <w:color w:val="auto"/>
                <w:szCs w:val="21"/>
                <w:highlight w:val="none"/>
              </w:rPr>
              <w:t>，其评审价=</w:t>
            </w:r>
            <w:r>
              <w:rPr>
                <w:rFonts w:hint="eastAsia" w:ascii="宋体" w:hAnsi="宋体" w:eastAsia="宋体" w:cs="Times New Roman"/>
                <w:color w:val="auto"/>
                <w:szCs w:val="21"/>
                <w:highlight w:val="none"/>
                <w:lang w:val="en-US" w:eastAsia="zh-CN"/>
              </w:rPr>
              <w:t>最后报价</w:t>
            </w:r>
            <w:r>
              <w:rPr>
                <w:rFonts w:hint="eastAsia" w:ascii="宋体" w:hAnsi="宋体" w:eastAsia="宋体" w:cs="Times New Roman"/>
                <w:color w:val="auto"/>
                <w:szCs w:val="21"/>
                <w:highlight w:val="none"/>
              </w:rPr>
              <w:t>。</w:t>
            </w:r>
          </w:p>
          <w:p w14:paraId="0C7AC9A6">
            <w:pPr>
              <w:pStyle w:val="24"/>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Ansi="宋体" w:cs="Courier New"/>
                <w:bCs/>
                <w:color w:val="auto"/>
                <w:kern w:val="2"/>
                <w:sz w:val="21"/>
                <w:highlight w:val="none"/>
              </w:rPr>
            </w:pPr>
            <w:r>
              <w:rPr>
                <w:rFonts w:hint="eastAsia" w:hAnsi="宋体" w:cs="Courier New"/>
                <w:bCs/>
                <w:color w:val="auto"/>
                <w:kern w:val="2"/>
                <w:sz w:val="21"/>
                <w:highlight w:val="none"/>
              </w:rPr>
              <w:t>（</w:t>
            </w:r>
            <w:r>
              <w:rPr>
                <w:rFonts w:hint="eastAsia" w:hAnsi="宋体" w:cs="Courier New"/>
                <w:bCs/>
                <w:color w:val="auto"/>
                <w:kern w:val="2"/>
                <w:sz w:val="21"/>
                <w:highlight w:val="none"/>
                <w:lang w:val="en-US" w:eastAsia="zh-CN"/>
              </w:rPr>
              <w:t>3</w:t>
            </w:r>
            <w:r>
              <w:rPr>
                <w:rFonts w:hint="eastAsia" w:hAnsi="宋体" w:cs="Courier New"/>
                <w:bCs/>
                <w:color w:val="auto"/>
                <w:kern w:val="2"/>
                <w:sz w:val="21"/>
                <w:highlight w:val="none"/>
              </w:rPr>
              <w:t>）以进入比较与评价环节的最低的评审价为基准价，基准价得分为</w:t>
            </w:r>
            <w:r>
              <w:rPr>
                <w:rFonts w:hint="eastAsia" w:hAnsi="宋体" w:cs="Courier New"/>
                <w:bCs/>
                <w:color w:val="auto"/>
                <w:kern w:val="2"/>
                <w:sz w:val="21"/>
                <w:highlight w:val="none"/>
                <w:u w:val="single"/>
                <w:lang w:val="en-US" w:eastAsia="zh-CN"/>
              </w:rPr>
              <w:t>3</w:t>
            </w:r>
            <w:r>
              <w:rPr>
                <w:rFonts w:hAnsi="宋体" w:cs="Courier New"/>
                <w:bCs/>
                <w:color w:val="auto"/>
                <w:kern w:val="2"/>
                <w:sz w:val="21"/>
                <w:highlight w:val="none"/>
                <w:u w:val="single"/>
              </w:rPr>
              <w:t>0</w:t>
            </w:r>
            <w:r>
              <w:rPr>
                <w:rFonts w:hint="eastAsia" w:hAnsi="宋体" w:cs="Courier New"/>
                <w:bCs/>
                <w:color w:val="auto"/>
                <w:kern w:val="2"/>
                <w:sz w:val="21"/>
                <w:highlight w:val="none"/>
              </w:rPr>
              <w:t>分。</w:t>
            </w:r>
          </w:p>
          <w:p w14:paraId="6DEFFB4F">
            <w:pPr>
              <w:pStyle w:val="24"/>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Ansi="宋体" w:cs="Courier New"/>
                <w:bCs/>
                <w:color w:val="auto"/>
                <w:kern w:val="2"/>
                <w:sz w:val="21"/>
                <w:highlight w:val="none"/>
              </w:rPr>
            </w:pPr>
            <w:r>
              <w:rPr>
                <w:rFonts w:hint="eastAsia" w:hAnsi="宋体" w:cs="Courier New"/>
                <w:bCs/>
                <w:color w:val="auto"/>
                <w:kern w:val="2"/>
                <w:sz w:val="21"/>
                <w:highlight w:val="none"/>
              </w:rPr>
              <w:t>（</w:t>
            </w:r>
            <w:r>
              <w:rPr>
                <w:rFonts w:hAnsi="宋体" w:cs="Courier New"/>
                <w:bCs/>
                <w:color w:val="auto"/>
                <w:kern w:val="2"/>
                <w:sz w:val="21"/>
                <w:highlight w:val="none"/>
              </w:rPr>
              <w:t>6</w:t>
            </w:r>
            <w:r>
              <w:rPr>
                <w:rFonts w:hint="eastAsia" w:hAnsi="宋体" w:cs="Courier New"/>
                <w:bCs/>
                <w:color w:val="auto"/>
                <w:kern w:val="2"/>
                <w:sz w:val="21"/>
                <w:highlight w:val="none"/>
              </w:rPr>
              <w:t>）价格分计算公式：</w:t>
            </w:r>
          </w:p>
          <w:p w14:paraId="7F9DE936">
            <w:pPr>
              <w:pStyle w:val="24"/>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Ansi="宋体" w:cs="Courier New"/>
                <w:bCs/>
                <w:color w:val="auto"/>
                <w:kern w:val="2"/>
                <w:sz w:val="21"/>
                <w:highlight w:val="none"/>
              </w:rPr>
            </w:pPr>
            <w:r>
              <w:rPr>
                <w:rFonts w:hint="eastAsia" w:hAnsi="宋体" w:cs="Courier New"/>
                <w:bCs/>
                <w:color w:val="auto"/>
                <w:kern w:val="2"/>
                <w:sz w:val="21"/>
                <w:highlight w:val="none"/>
              </w:rPr>
              <w:t>报价得分=（基准价/最后报价）×</w:t>
            </w:r>
            <w:r>
              <w:rPr>
                <w:rFonts w:hint="eastAsia" w:hAnsi="宋体" w:cs="Courier New"/>
                <w:bCs/>
                <w:color w:val="auto"/>
                <w:kern w:val="2"/>
                <w:sz w:val="21"/>
                <w:highlight w:val="none"/>
                <w:u w:val="single"/>
                <w:lang w:val="en-US" w:eastAsia="zh-CN"/>
              </w:rPr>
              <w:t>3</w:t>
            </w:r>
            <w:r>
              <w:rPr>
                <w:rFonts w:hint="eastAsia" w:hAnsi="宋体" w:cs="Courier New"/>
                <w:bCs/>
                <w:color w:val="auto"/>
                <w:kern w:val="2"/>
                <w:sz w:val="21"/>
                <w:highlight w:val="none"/>
                <w:u w:val="single"/>
              </w:rPr>
              <w:t>0</w:t>
            </w:r>
            <w:r>
              <w:rPr>
                <w:rFonts w:hint="eastAsia" w:hAnsi="宋体" w:cs="Courier New"/>
                <w:bCs/>
                <w:color w:val="auto"/>
                <w:kern w:val="2"/>
                <w:sz w:val="21"/>
                <w:highlight w:val="none"/>
              </w:rPr>
              <w:t>分</w:t>
            </w:r>
          </w:p>
        </w:tc>
        <w:tc>
          <w:tcPr>
            <w:tcW w:w="853" w:type="dxa"/>
            <w:vAlign w:val="center"/>
          </w:tcPr>
          <w:p w14:paraId="0973DDB1">
            <w:pPr>
              <w:widowControl/>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lang w:val="en-US" w:eastAsia="zh-CN"/>
              </w:rPr>
              <w:t>3</w:t>
            </w:r>
            <w:r>
              <w:rPr>
                <w:rFonts w:hint="eastAsia" w:ascii="宋体" w:hAnsi="宋体" w:cs="Tahoma"/>
                <w:color w:val="auto"/>
                <w:kern w:val="0"/>
                <w:szCs w:val="21"/>
                <w:highlight w:val="none"/>
              </w:rPr>
              <w:t>0分</w:t>
            </w:r>
          </w:p>
        </w:tc>
      </w:tr>
      <w:tr w14:paraId="210FA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Align w:val="center"/>
          </w:tcPr>
          <w:p w14:paraId="0FC11885">
            <w:pPr>
              <w:widowControl/>
              <w:spacing w:line="360" w:lineRule="auto"/>
              <w:jc w:val="center"/>
              <w:rPr>
                <w:rFonts w:ascii="宋体" w:hAnsi="宋体" w:cs="Tahoma"/>
                <w:color w:val="auto"/>
                <w:kern w:val="0"/>
                <w:szCs w:val="21"/>
                <w:highlight w:val="none"/>
              </w:rPr>
            </w:pPr>
            <w:r>
              <w:rPr>
                <w:rFonts w:hint="eastAsia" w:ascii="宋体" w:hAnsi="宋体"/>
                <w:bCs/>
                <w:color w:val="auto"/>
                <w:kern w:val="0"/>
                <w:szCs w:val="21"/>
                <w:highlight w:val="none"/>
              </w:rPr>
              <w:t>2</w:t>
            </w:r>
          </w:p>
        </w:tc>
        <w:tc>
          <w:tcPr>
            <w:tcW w:w="1418" w:type="dxa"/>
            <w:gridSpan w:val="2"/>
            <w:vAlign w:val="center"/>
          </w:tcPr>
          <w:p w14:paraId="02C2A8A9">
            <w:pPr>
              <w:widowControl/>
              <w:spacing w:line="360" w:lineRule="auto"/>
              <w:jc w:val="center"/>
              <w:rPr>
                <w:rFonts w:ascii="宋体" w:hAnsi="宋体" w:cs="Tahoma"/>
                <w:color w:val="auto"/>
                <w:kern w:val="0"/>
                <w:szCs w:val="21"/>
                <w:highlight w:val="none"/>
              </w:rPr>
            </w:pPr>
            <w:r>
              <w:rPr>
                <w:rFonts w:hint="eastAsia" w:ascii="宋体" w:hAnsi="宋体"/>
                <w:bCs/>
                <w:color w:val="auto"/>
                <w:kern w:val="0"/>
                <w:szCs w:val="21"/>
                <w:highlight w:val="none"/>
              </w:rPr>
              <w:t>技术分</w:t>
            </w:r>
          </w:p>
        </w:tc>
        <w:tc>
          <w:tcPr>
            <w:tcW w:w="6286" w:type="dxa"/>
            <w:vAlign w:val="center"/>
          </w:tcPr>
          <w:p w14:paraId="2A6F69AF">
            <w:pPr>
              <w:spacing w:line="360" w:lineRule="auto"/>
              <w:jc w:val="center"/>
              <w:rPr>
                <w:rFonts w:ascii="宋体" w:hAnsi="宋体" w:cs="Tahoma"/>
                <w:color w:val="auto"/>
                <w:kern w:val="0"/>
                <w:szCs w:val="21"/>
                <w:highlight w:val="none"/>
              </w:rPr>
            </w:pPr>
            <w:r>
              <w:rPr>
                <w:rFonts w:hint="eastAsia" w:hAnsi="宋体"/>
                <w:bCs/>
                <w:color w:val="auto"/>
                <w:highlight w:val="none"/>
              </w:rPr>
              <w:t>评审标准</w:t>
            </w:r>
          </w:p>
        </w:tc>
        <w:tc>
          <w:tcPr>
            <w:tcW w:w="853" w:type="dxa"/>
            <w:vAlign w:val="center"/>
          </w:tcPr>
          <w:p w14:paraId="7CEF412A">
            <w:pPr>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lang w:val="en-US" w:eastAsia="zh-CN"/>
              </w:rPr>
              <w:t>68</w:t>
            </w:r>
            <w:r>
              <w:rPr>
                <w:rFonts w:hint="eastAsia" w:ascii="宋体" w:hAnsi="宋体" w:cs="Tahoma"/>
                <w:color w:val="auto"/>
                <w:kern w:val="0"/>
                <w:szCs w:val="21"/>
                <w:highlight w:val="none"/>
              </w:rPr>
              <w:t>分</w:t>
            </w:r>
          </w:p>
        </w:tc>
      </w:tr>
      <w:tr w14:paraId="4B719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33" w:type="dxa"/>
            <w:vMerge w:val="restart"/>
            <w:vAlign w:val="center"/>
          </w:tcPr>
          <w:p w14:paraId="6B3BC415">
            <w:pPr>
              <w:adjustRightInd w:val="0"/>
              <w:spacing w:line="360" w:lineRule="auto"/>
              <w:ind w:left="-105" w:leftChars="-50" w:right="-105" w:rightChars="-50"/>
              <w:jc w:val="center"/>
              <w:textAlignment w:val="baseline"/>
              <w:rPr>
                <w:rFonts w:hint="default" w:ascii="宋体" w:hAnsi="宋体"/>
                <w:bCs/>
                <w:color w:val="auto"/>
                <w:kern w:val="0"/>
                <w:szCs w:val="21"/>
                <w:highlight w:val="none"/>
                <w:lang w:val="en-US" w:eastAsia="zh-CN"/>
              </w:rPr>
            </w:pPr>
            <w:r>
              <w:rPr>
                <w:rFonts w:hint="eastAsia" w:ascii="宋体" w:hAnsi="宋体"/>
                <w:bCs/>
                <w:color w:val="auto"/>
                <w:kern w:val="0"/>
                <w:szCs w:val="21"/>
                <w:highlight w:val="none"/>
                <w:lang w:val="en-US" w:eastAsia="zh-CN"/>
              </w:rPr>
              <w:t>2.1</w:t>
            </w:r>
          </w:p>
        </w:tc>
        <w:tc>
          <w:tcPr>
            <w:tcW w:w="480" w:type="dxa"/>
            <w:vMerge w:val="restart"/>
            <w:vAlign w:val="center"/>
          </w:tcPr>
          <w:p w14:paraId="0C82FE00">
            <w:pPr>
              <w:spacing w:line="360" w:lineRule="auto"/>
              <w:jc w:val="left"/>
              <w:rPr>
                <w:rFonts w:hint="eastAsia" w:cs="宋体"/>
                <w:color w:val="auto"/>
                <w:highlight w:val="none"/>
              </w:rPr>
            </w:pPr>
            <w:r>
              <w:rPr>
                <w:rFonts w:hint="eastAsia" w:ascii="宋体" w:hAnsi="宋体" w:eastAsia="宋体" w:cs="Times New Roman"/>
                <w:bCs/>
                <w:color w:val="auto"/>
                <w:kern w:val="0"/>
                <w:szCs w:val="21"/>
                <w:highlight w:val="none"/>
              </w:rPr>
              <w:t>项目管理机构</w:t>
            </w:r>
          </w:p>
        </w:tc>
        <w:tc>
          <w:tcPr>
            <w:tcW w:w="938" w:type="dxa"/>
            <w:vAlign w:val="center"/>
          </w:tcPr>
          <w:p w14:paraId="17B32EFF">
            <w:pPr>
              <w:spacing w:line="360" w:lineRule="auto"/>
              <w:jc w:val="center"/>
              <w:rPr>
                <w:rFonts w:hint="default"/>
                <w:color w:val="auto"/>
                <w:highlight w:val="none"/>
                <w:lang w:val="en-US" w:eastAsia="zh-CN"/>
              </w:rPr>
            </w:pPr>
            <w:r>
              <w:rPr>
                <w:rFonts w:hint="eastAsia"/>
                <w:color w:val="auto"/>
                <w:highlight w:val="none"/>
                <w:lang w:val="en-US" w:eastAsia="zh-CN"/>
              </w:rPr>
              <w:t>项目经理情况</w:t>
            </w:r>
          </w:p>
        </w:tc>
        <w:tc>
          <w:tcPr>
            <w:tcW w:w="6286" w:type="dxa"/>
            <w:vAlign w:val="center"/>
          </w:tcPr>
          <w:p w14:paraId="6C2E686A">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int="eastAsia"/>
                <w:color w:val="auto"/>
                <w:highlight w:val="none"/>
                <w:lang w:val="en-US" w:eastAsia="zh-CN"/>
              </w:rPr>
            </w:pPr>
            <w:r>
              <w:rPr>
                <w:rFonts w:hint="eastAsia"/>
                <w:color w:val="auto"/>
                <w:lang w:val="en-US" w:eastAsia="zh-CN"/>
              </w:rPr>
              <w:t>项目经理具备公路工程专业贰级（含）或市政公用工程专业贰级（含）以上注册建造师资格的得2分，</w:t>
            </w:r>
            <w:r>
              <w:rPr>
                <w:rFonts w:hint="eastAsia"/>
                <w:color w:val="auto"/>
                <w:highlight w:val="none"/>
                <w:lang w:val="en-US" w:eastAsia="zh-CN"/>
              </w:rPr>
              <w:t>中级及以上职称的得2分。</w:t>
            </w:r>
          </w:p>
          <w:p w14:paraId="48324F11">
            <w:pPr>
              <w:pStyle w:val="31"/>
              <w:keepNext w:val="0"/>
              <w:keepLines w:val="0"/>
              <w:pageBreakBefore w:val="0"/>
              <w:widowControl w:val="0"/>
              <w:kinsoku/>
              <w:wordWrap/>
              <w:overflowPunct/>
              <w:topLinePunct w:val="0"/>
              <w:autoSpaceDE/>
              <w:autoSpaceDN/>
              <w:bidi w:val="0"/>
              <w:adjustRightInd/>
              <w:snapToGrid/>
              <w:spacing w:line="344" w:lineRule="auto"/>
              <w:textAlignment w:val="auto"/>
              <w:rPr>
                <w:rFonts w:hint="eastAsia"/>
                <w:color w:val="auto"/>
                <w:highlight w:val="none"/>
                <w:lang w:val="en-US" w:eastAsia="zh-CN"/>
              </w:rPr>
            </w:pPr>
            <w:r>
              <w:rPr>
                <w:rFonts w:hint="eastAsia" w:ascii="Times New Roman" w:hAnsi="Times New Roman" w:eastAsia="宋体" w:cs="Times New Roman"/>
                <w:color w:val="auto"/>
                <w:kern w:val="2"/>
                <w:sz w:val="21"/>
                <w:szCs w:val="24"/>
                <w:highlight w:val="none"/>
                <w:lang w:val="en-US" w:eastAsia="zh-CN" w:bidi="ar-SA"/>
              </w:rPr>
              <w:t>注：未提供本单位为其依法缴纳的近1个月（202</w:t>
            </w:r>
            <w:r>
              <w:rPr>
                <w:rFonts w:hint="eastAsia" w:cs="Times New Roman"/>
                <w:color w:val="auto"/>
                <w:kern w:val="2"/>
                <w:sz w:val="21"/>
                <w:szCs w:val="24"/>
                <w:highlight w:val="none"/>
                <w:lang w:val="en-US" w:eastAsia="zh-CN" w:bidi="ar-SA"/>
              </w:rPr>
              <w:t>5</w:t>
            </w:r>
            <w:r>
              <w:rPr>
                <w:rFonts w:hint="eastAsia" w:ascii="Times New Roman" w:hAnsi="Times New Roman" w:eastAsia="宋体" w:cs="Times New Roman"/>
                <w:color w:val="auto"/>
                <w:kern w:val="2"/>
                <w:sz w:val="21"/>
                <w:szCs w:val="24"/>
                <w:highlight w:val="none"/>
                <w:lang w:val="en-US" w:eastAsia="zh-CN" w:bidi="ar-SA"/>
              </w:rPr>
              <w:t>年1月至响应文件截止时间止任意一个月社保）的社会保险缴纳情况的不予计分。</w:t>
            </w:r>
          </w:p>
        </w:tc>
        <w:tc>
          <w:tcPr>
            <w:tcW w:w="853" w:type="dxa"/>
            <w:vAlign w:val="center"/>
          </w:tcPr>
          <w:p w14:paraId="1086FC22">
            <w:pPr>
              <w:spacing w:line="360" w:lineRule="auto"/>
              <w:jc w:val="center"/>
              <w:rPr>
                <w:rFonts w:hint="default" w:ascii="宋体" w:hAnsi="宋体" w:cs="Tahoma"/>
                <w:color w:val="auto"/>
                <w:kern w:val="0"/>
                <w:szCs w:val="21"/>
                <w:highlight w:val="none"/>
                <w:lang w:val="en-US" w:eastAsia="zh-CN"/>
              </w:rPr>
            </w:pPr>
            <w:r>
              <w:rPr>
                <w:rFonts w:hint="eastAsia" w:ascii="宋体" w:hAnsi="宋体" w:cs="Tahoma"/>
                <w:color w:val="auto"/>
                <w:kern w:val="0"/>
                <w:szCs w:val="21"/>
                <w:highlight w:val="none"/>
                <w:lang w:val="en-US" w:eastAsia="zh-CN"/>
              </w:rPr>
              <w:t>4分</w:t>
            </w:r>
          </w:p>
        </w:tc>
      </w:tr>
      <w:tr w14:paraId="794A3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vAlign w:val="center"/>
          </w:tcPr>
          <w:p w14:paraId="671AADBD">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vAlign w:val="center"/>
          </w:tcPr>
          <w:p w14:paraId="7A67E5AE">
            <w:pPr>
              <w:spacing w:line="360" w:lineRule="auto"/>
              <w:jc w:val="left"/>
              <w:rPr>
                <w:color w:val="auto"/>
                <w:highlight w:val="none"/>
              </w:rPr>
            </w:pPr>
          </w:p>
        </w:tc>
        <w:tc>
          <w:tcPr>
            <w:tcW w:w="938" w:type="dxa"/>
            <w:vAlign w:val="center"/>
          </w:tcPr>
          <w:p w14:paraId="2E413C34">
            <w:pPr>
              <w:spacing w:line="360" w:lineRule="auto"/>
              <w:jc w:val="left"/>
              <w:rPr>
                <w:color w:val="auto"/>
                <w:highlight w:val="none"/>
              </w:rPr>
            </w:pPr>
            <w:r>
              <w:rPr>
                <w:color w:val="auto"/>
                <w:highlight w:val="none"/>
              </w:rPr>
              <w:t>拟投入本工程管理人员情况</w:t>
            </w:r>
          </w:p>
        </w:tc>
        <w:tc>
          <w:tcPr>
            <w:tcW w:w="6286" w:type="dxa"/>
            <w:vAlign w:val="center"/>
          </w:tcPr>
          <w:p w14:paraId="7808703A">
            <w:pPr>
              <w:spacing w:line="360" w:lineRule="auto"/>
              <w:jc w:val="left"/>
              <w:rPr>
                <w:rFonts w:hint="eastAsia" w:ascii="Calibri" w:hAnsi="Calibri" w:eastAsia="宋体" w:cs="宋体"/>
                <w:color w:val="auto"/>
                <w:kern w:val="0"/>
                <w:sz w:val="21"/>
                <w:szCs w:val="22"/>
                <w:highlight w:val="none"/>
                <w:shd w:val="clear" w:color="auto" w:fill="auto"/>
                <w:lang w:val="en-US" w:eastAsia="zh-CN" w:bidi="ar-SA"/>
              </w:rPr>
            </w:pPr>
            <w:r>
              <w:rPr>
                <w:rFonts w:hint="eastAsia" w:asciiTheme="minorEastAsia" w:hAnsiTheme="minorEastAsia" w:eastAsiaTheme="minorEastAsia" w:cstheme="minorEastAsia"/>
                <w:color w:val="auto"/>
                <w:szCs w:val="21"/>
                <w:highlight w:val="none"/>
                <w:lang w:eastAsia="zh-CN"/>
              </w:rPr>
              <w:t>至少需投入</w:t>
            </w:r>
            <w:r>
              <w:rPr>
                <w:rFonts w:hint="eastAsia" w:ascii="宋体" w:hAnsi="宋体" w:eastAsia="宋体" w:cs="Times New Roman"/>
                <w:color w:val="auto"/>
                <w:szCs w:val="21"/>
                <w:highlight w:val="none"/>
              </w:rPr>
              <w:t>施工员、质量员、材料员</w:t>
            </w: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lang w:val="en-US" w:eastAsia="zh-CN"/>
              </w:rPr>
              <w:t>安全员</w:t>
            </w:r>
            <w:r>
              <w:rPr>
                <w:rFonts w:hint="eastAsia" w:asciiTheme="minorEastAsia" w:hAnsiTheme="minorEastAsia" w:eastAsiaTheme="minorEastAsia" w:cstheme="minorEastAsia"/>
                <w:color w:val="auto"/>
                <w:szCs w:val="21"/>
                <w:highlight w:val="none"/>
                <w:lang w:eastAsia="zh-CN"/>
              </w:rPr>
              <w:t>各</w:t>
            </w:r>
            <w:r>
              <w:rPr>
                <w:rFonts w:hint="eastAsia" w:asciiTheme="minorEastAsia" w:hAnsiTheme="minorEastAsia" w:eastAsiaTheme="minorEastAsia" w:cstheme="minorEastAsia"/>
                <w:color w:val="auto"/>
                <w:szCs w:val="21"/>
                <w:highlight w:val="none"/>
                <w:lang w:val="en-US" w:eastAsia="zh-CN"/>
              </w:rPr>
              <w:t>1名</w:t>
            </w:r>
            <w:r>
              <w:rPr>
                <w:rFonts w:hint="eastAsia" w:ascii="宋体" w:hAnsi="宋体" w:eastAsia="宋体" w:cs="Times New Roman"/>
                <w:color w:val="auto"/>
                <w:szCs w:val="21"/>
                <w:highlight w:val="none"/>
              </w:rPr>
              <w:t>（施工员、质量员、材料员应具有有效</w:t>
            </w:r>
            <w:r>
              <w:rPr>
                <w:rFonts w:hint="eastAsia" w:ascii="宋体" w:hAnsi="宋体" w:eastAsia="宋体" w:cs="Times New Roman"/>
                <w:color w:val="auto"/>
                <w:szCs w:val="21"/>
                <w:highlight w:val="none"/>
                <w:lang w:eastAsia="zh-CN"/>
              </w:rPr>
              <w:t>的</w:t>
            </w:r>
            <w:r>
              <w:rPr>
                <w:rFonts w:hint="eastAsia" w:ascii="宋体" w:hAnsi="宋体" w:eastAsia="宋体" w:cs="Times New Roman"/>
                <w:color w:val="auto"/>
                <w:szCs w:val="21"/>
                <w:highlight w:val="none"/>
              </w:rPr>
              <w:t>相应施工现场专业人员职业培训合格证书，</w:t>
            </w:r>
            <w:r>
              <w:rPr>
                <w:rFonts w:hint="eastAsia" w:cs="宋体"/>
                <w:color w:val="auto"/>
                <w:kern w:val="0"/>
                <w:highlight w:val="none"/>
                <w:shd w:val="clear" w:color="auto" w:fill="auto"/>
              </w:rPr>
              <w:t>专职安全生产管理人员需有</w:t>
            </w:r>
            <w:r>
              <w:rPr>
                <w:rFonts w:hint="eastAsia" w:ascii="宋体" w:hAnsi="宋体" w:eastAsia="宋体" w:cs="Times New Roman"/>
                <w:color w:val="auto"/>
                <w:kern w:val="2"/>
                <w:sz w:val="21"/>
                <w:szCs w:val="21"/>
                <w:highlight w:val="none"/>
                <w:lang w:val="en-US" w:eastAsia="zh-CN" w:bidi="ar-SA"/>
              </w:rPr>
              <w:t>有效的安全生产考核合格证书（C类））</w:t>
            </w:r>
            <w:r>
              <w:rPr>
                <w:rFonts w:hint="eastAsia" w:asciiTheme="minorEastAsia" w:hAnsiTheme="minorEastAsia" w:eastAsiaTheme="minorEastAsia" w:cstheme="minorEastAsia"/>
                <w:color w:val="auto"/>
                <w:szCs w:val="21"/>
                <w:highlight w:val="none"/>
                <w:lang w:eastAsia="zh-CN"/>
              </w:rPr>
              <w:t>，得</w:t>
            </w:r>
            <w:r>
              <w:rPr>
                <w:rFonts w:hint="eastAsia" w:asciiTheme="minorEastAsia" w:hAnsiTheme="minorEastAsia" w:eastAsiaTheme="minorEastAsia" w:cstheme="minorEastAsia"/>
                <w:color w:val="auto"/>
                <w:szCs w:val="21"/>
                <w:highlight w:val="none"/>
                <w:lang w:val="en-US" w:eastAsia="zh-CN"/>
              </w:rPr>
              <w:t>4</w:t>
            </w:r>
            <w:r>
              <w:rPr>
                <w:rFonts w:hint="eastAsia" w:asciiTheme="minorEastAsia" w:hAnsiTheme="minorEastAsia" w:eastAsiaTheme="minorEastAsia" w:cstheme="minorEastAsia"/>
                <w:color w:val="auto"/>
                <w:szCs w:val="21"/>
                <w:highlight w:val="none"/>
                <w:lang w:eastAsia="zh-CN"/>
              </w:rPr>
              <w:t>分。</w:t>
            </w:r>
            <w:r>
              <w:rPr>
                <w:rFonts w:hint="eastAsia" w:asciiTheme="minorEastAsia" w:hAnsiTheme="minorEastAsia" w:eastAsiaTheme="minorEastAsia" w:cstheme="minorEastAsia"/>
                <w:b/>
                <w:bCs/>
                <w:color w:val="auto"/>
                <w:szCs w:val="21"/>
                <w:highlight w:val="none"/>
              </w:rPr>
              <w:t>缺少任意岗位人员或人员缺少岗位证明材料的</w:t>
            </w:r>
            <w:r>
              <w:rPr>
                <w:rFonts w:hint="eastAsia" w:asciiTheme="minorEastAsia" w:hAnsiTheme="minorEastAsia" w:eastAsiaTheme="minorEastAsia" w:cstheme="minorEastAsia"/>
                <w:b/>
                <w:bCs/>
                <w:color w:val="auto"/>
                <w:szCs w:val="21"/>
                <w:highlight w:val="none"/>
                <w:lang w:val="en-US" w:eastAsia="zh-CN"/>
              </w:rPr>
              <w:t>均不得分</w:t>
            </w:r>
            <w:r>
              <w:rPr>
                <w:rFonts w:hint="eastAsia" w:asciiTheme="minorEastAsia" w:hAnsiTheme="minorEastAsia" w:eastAsiaTheme="minorEastAsia" w:cstheme="minorEastAsia"/>
                <w:b/>
                <w:bCs/>
                <w:color w:val="auto"/>
                <w:szCs w:val="21"/>
                <w:highlight w:val="none"/>
              </w:rPr>
              <w:t>。</w:t>
            </w:r>
          </w:p>
          <w:p w14:paraId="6505AA6B">
            <w:pPr>
              <w:spacing w:line="360" w:lineRule="auto"/>
              <w:jc w:val="left"/>
              <w:rPr>
                <w:rFonts w:hint="eastAsia" w:ascii="Calibri" w:hAnsi="Calibri" w:eastAsia="宋体" w:cs="宋体"/>
                <w:color w:val="auto"/>
                <w:kern w:val="0"/>
                <w:sz w:val="21"/>
                <w:szCs w:val="22"/>
                <w:highlight w:val="none"/>
                <w:shd w:val="clear" w:color="auto" w:fill="auto"/>
                <w:lang w:val="en-US" w:eastAsia="zh-CN" w:bidi="ar-SA"/>
              </w:rPr>
            </w:pPr>
            <w:r>
              <w:rPr>
                <w:rFonts w:hint="eastAsia" w:ascii="Calibri" w:hAnsi="Calibri" w:eastAsia="宋体" w:cs="宋体"/>
                <w:color w:val="auto"/>
                <w:kern w:val="0"/>
                <w:sz w:val="21"/>
                <w:szCs w:val="22"/>
                <w:highlight w:val="none"/>
                <w:shd w:val="clear" w:color="auto" w:fill="auto"/>
                <w:lang w:val="en-US" w:eastAsia="zh-CN" w:bidi="ar-SA"/>
              </w:rPr>
              <w:t>备注：未提供本单位为上述人员缴纳的近1个月（202</w:t>
            </w:r>
            <w:r>
              <w:rPr>
                <w:rFonts w:hint="eastAsia" w:ascii="Calibri" w:hAnsi="Calibri" w:cs="宋体"/>
                <w:color w:val="auto"/>
                <w:kern w:val="0"/>
                <w:sz w:val="21"/>
                <w:szCs w:val="22"/>
                <w:highlight w:val="none"/>
                <w:shd w:val="clear" w:color="auto" w:fill="auto"/>
                <w:lang w:val="en-US" w:eastAsia="zh-CN" w:bidi="ar-SA"/>
              </w:rPr>
              <w:t>5</w:t>
            </w:r>
            <w:r>
              <w:rPr>
                <w:rFonts w:hint="eastAsia" w:ascii="Calibri" w:hAnsi="Calibri" w:eastAsia="宋体" w:cs="宋体"/>
                <w:color w:val="auto"/>
                <w:kern w:val="0"/>
                <w:sz w:val="21"/>
                <w:szCs w:val="22"/>
                <w:highlight w:val="none"/>
                <w:shd w:val="clear" w:color="auto" w:fill="auto"/>
                <w:lang w:val="en-US" w:eastAsia="zh-CN" w:bidi="ar-SA"/>
              </w:rPr>
              <w:t>年1月至响应文件截止时间止任意一个月社保）的社会保险缴纳情况的不予计分。</w:t>
            </w:r>
          </w:p>
        </w:tc>
        <w:tc>
          <w:tcPr>
            <w:tcW w:w="853" w:type="dxa"/>
            <w:vAlign w:val="center"/>
          </w:tcPr>
          <w:p w14:paraId="0FAC0773">
            <w:pPr>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lang w:val="en-US" w:eastAsia="zh-CN"/>
              </w:rPr>
              <w:t>4</w:t>
            </w:r>
            <w:r>
              <w:rPr>
                <w:rFonts w:hint="eastAsia" w:ascii="宋体" w:hAnsi="宋体" w:cs="Tahoma"/>
                <w:color w:val="auto"/>
                <w:kern w:val="0"/>
                <w:szCs w:val="21"/>
                <w:highlight w:val="none"/>
              </w:rPr>
              <w:t>分</w:t>
            </w:r>
          </w:p>
        </w:tc>
      </w:tr>
      <w:tr w14:paraId="27622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restart"/>
            <w:vAlign w:val="center"/>
          </w:tcPr>
          <w:p w14:paraId="271D4416">
            <w:pPr>
              <w:adjustRightInd w:val="0"/>
              <w:spacing w:line="360" w:lineRule="auto"/>
              <w:ind w:left="-105" w:leftChars="-50" w:right="-105" w:rightChars="-50"/>
              <w:jc w:val="center"/>
              <w:textAlignment w:val="baseline"/>
              <w:rPr>
                <w:rFonts w:ascii="宋体" w:hAnsi="宋体"/>
                <w:bCs/>
                <w:color w:val="auto"/>
                <w:kern w:val="0"/>
                <w:szCs w:val="21"/>
                <w:highlight w:val="none"/>
              </w:rPr>
            </w:pPr>
            <w:r>
              <w:rPr>
                <w:rFonts w:hint="eastAsia" w:ascii="宋体" w:hAnsi="宋体"/>
                <w:bCs/>
                <w:color w:val="auto"/>
                <w:kern w:val="0"/>
                <w:szCs w:val="21"/>
                <w:highlight w:val="none"/>
              </w:rPr>
              <w:t>2.</w:t>
            </w:r>
            <w:r>
              <w:rPr>
                <w:rFonts w:ascii="宋体" w:hAnsi="宋体"/>
                <w:bCs/>
                <w:color w:val="auto"/>
                <w:kern w:val="0"/>
                <w:szCs w:val="21"/>
                <w:highlight w:val="none"/>
              </w:rPr>
              <w:t>2</w:t>
            </w:r>
          </w:p>
        </w:tc>
        <w:tc>
          <w:tcPr>
            <w:tcW w:w="480" w:type="dxa"/>
            <w:vMerge w:val="restart"/>
            <w:vAlign w:val="center"/>
          </w:tcPr>
          <w:p w14:paraId="07E06DA3">
            <w:pPr>
              <w:adjustRightInd w:val="0"/>
              <w:spacing w:line="360" w:lineRule="auto"/>
              <w:jc w:val="center"/>
              <w:textAlignment w:val="baseline"/>
              <w:rPr>
                <w:rFonts w:ascii="宋体" w:hAnsi="宋体"/>
                <w:bCs/>
                <w:color w:val="auto"/>
                <w:kern w:val="0"/>
                <w:szCs w:val="21"/>
                <w:highlight w:val="none"/>
              </w:rPr>
            </w:pPr>
            <w:r>
              <w:rPr>
                <w:rFonts w:hint="eastAsia" w:ascii="宋体" w:hAnsi="宋体"/>
                <w:bCs/>
                <w:color w:val="auto"/>
                <w:kern w:val="0"/>
                <w:szCs w:val="21"/>
                <w:highlight w:val="none"/>
              </w:rPr>
              <w:t>施工组织</w:t>
            </w:r>
            <w:r>
              <w:rPr>
                <w:rFonts w:ascii="宋体" w:hAnsi="宋体"/>
                <w:bCs/>
                <w:color w:val="auto"/>
                <w:kern w:val="0"/>
                <w:szCs w:val="21"/>
                <w:highlight w:val="none"/>
              </w:rPr>
              <w:t>设计</w:t>
            </w:r>
          </w:p>
        </w:tc>
        <w:tc>
          <w:tcPr>
            <w:tcW w:w="938" w:type="dxa"/>
            <w:vAlign w:val="center"/>
          </w:tcPr>
          <w:p w14:paraId="00728B7E">
            <w:pPr>
              <w:pStyle w:val="242"/>
              <w:spacing w:line="360" w:lineRule="auto"/>
              <w:jc w:val="center"/>
              <w:rPr>
                <w:color w:val="auto"/>
                <w:highlight w:val="none"/>
              </w:rPr>
            </w:pPr>
            <w:r>
              <w:rPr>
                <w:rFonts w:ascii="宋体" w:hAnsi="宋体" w:eastAsia="宋体" w:cs="宋体"/>
                <w:color w:val="auto"/>
                <w:sz w:val="21"/>
                <w:highlight w:val="none"/>
              </w:rPr>
              <w:t>主要施工方法</w:t>
            </w:r>
          </w:p>
        </w:tc>
        <w:tc>
          <w:tcPr>
            <w:tcW w:w="6286" w:type="dxa"/>
            <w:vAlign w:val="center"/>
          </w:tcPr>
          <w:p w14:paraId="39BC3A14">
            <w:pPr>
              <w:pStyle w:val="238"/>
              <w:keepNext w:val="0"/>
              <w:keepLines w:val="0"/>
              <w:pageBreakBefore w:val="0"/>
              <w:widowControl/>
              <w:kinsoku/>
              <w:wordWrap/>
              <w:overflowPunct/>
              <w:topLinePunct w:val="0"/>
              <w:autoSpaceDE/>
              <w:autoSpaceDN/>
              <w:bidi w:val="0"/>
              <w:adjustRightInd/>
              <w:snapToGrid/>
              <w:spacing w:line="356" w:lineRule="auto"/>
              <w:jc w:val="left"/>
              <w:textAlignment w:val="auto"/>
              <w:rPr>
                <w:rFonts w:hint="eastAsia" w:ascii="Calibri" w:hAnsi="Calibri" w:eastAsia="宋体" w:cs="宋体"/>
                <w:color w:val="auto"/>
                <w:kern w:val="0"/>
                <w:sz w:val="21"/>
                <w:szCs w:val="22"/>
                <w:highlight w:val="none"/>
                <w:shd w:val="clear" w:color="auto" w:fill="auto"/>
                <w:lang w:val="en-US" w:eastAsia="zh-CN" w:bidi="ar-SA"/>
              </w:rPr>
            </w:pPr>
            <w:r>
              <w:rPr>
                <w:rFonts w:ascii="宋体" w:hAnsi="宋体" w:eastAsia="宋体" w:cs="宋体"/>
                <w:color w:val="auto"/>
                <w:sz w:val="21"/>
                <w:highlight w:val="none"/>
              </w:rPr>
              <w:t>一档（</w:t>
            </w:r>
            <w:r>
              <w:rPr>
                <w:rFonts w:hint="eastAsia" w:ascii="宋体" w:hAnsi="宋体" w:eastAsia="宋体" w:cs="宋体"/>
                <w:color w:val="auto"/>
                <w:sz w:val="21"/>
                <w:highlight w:val="none"/>
                <w:lang w:val="en-US" w:eastAsia="zh-CN"/>
              </w:rPr>
              <w:t>10</w:t>
            </w:r>
            <w:r>
              <w:rPr>
                <w:rFonts w:ascii="宋体" w:hAnsi="宋体" w:eastAsia="宋体" w:cs="宋体"/>
                <w:color w:val="auto"/>
                <w:sz w:val="21"/>
                <w:highlight w:val="none"/>
              </w:rPr>
              <w:t>分）</w:t>
            </w:r>
            <w:r>
              <w:rPr>
                <w:rFonts w:hint="eastAsia" w:ascii="Calibri" w:hAnsi="Calibri" w:eastAsia="宋体" w:cs="宋体"/>
                <w:color w:val="auto"/>
                <w:kern w:val="0"/>
                <w:sz w:val="21"/>
                <w:szCs w:val="22"/>
                <w:highlight w:val="none"/>
                <w:shd w:val="clear" w:color="auto" w:fill="auto"/>
                <w:lang w:val="en-US" w:eastAsia="zh-CN" w:bidi="ar-SA"/>
              </w:rPr>
              <w:t xml:space="preserve">：各主要分部施工方法符合项目实际，有详尽的施工技术方案，工艺先进、方法科学合理、可行，能指导具体施工并确保安全。 </w:t>
            </w:r>
          </w:p>
          <w:p w14:paraId="74B19872">
            <w:pPr>
              <w:pStyle w:val="238"/>
              <w:keepNext w:val="0"/>
              <w:keepLines w:val="0"/>
              <w:pageBreakBefore w:val="0"/>
              <w:widowControl/>
              <w:kinsoku/>
              <w:wordWrap/>
              <w:overflowPunct/>
              <w:topLinePunct w:val="0"/>
              <w:autoSpaceDE/>
              <w:autoSpaceDN/>
              <w:bidi w:val="0"/>
              <w:adjustRightInd/>
              <w:snapToGrid/>
              <w:spacing w:line="356" w:lineRule="auto"/>
              <w:jc w:val="left"/>
              <w:textAlignment w:val="auto"/>
              <w:rPr>
                <w:rFonts w:hint="eastAsia" w:ascii="Calibri" w:hAnsi="Calibri" w:eastAsia="宋体" w:cs="宋体"/>
                <w:color w:val="auto"/>
                <w:kern w:val="0"/>
                <w:sz w:val="21"/>
                <w:szCs w:val="22"/>
                <w:highlight w:val="none"/>
                <w:shd w:val="clear" w:color="auto" w:fill="auto"/>
                <w:lang w:val="en-US" w:eastAsia="zh-CN" w:bidi="ar-SA"/>
              </w:rPr>
            </w:pPr>
            <w:r>
              <w:rPr>
                <w:rFonts w:hint="eastAsia" w:ascii="宋体" w:hAnsi="宋体" w:eastAsia="宋体" w:cs="宋体"/>
                <w:color w:val="auto"/>
                <w:sz w:val="21"/>
                <w:highlight w:val="none"/>
                <w:lang w:val="en-US" w:eastAsia="zh-CN"/>
              </w:rPr>
              <w:t>二</w:t>
            </w:r>
            <w:r>
              <w:rPr>
                <w:rFonts w:ascii="宋体" w:hAnsi="宋体" w:eastAsia="宋体" w:cs="宋体"/>
                <w:color w:val="auto"/>
                <w:sz w:val="21"/>
                <w:highlight w:val="none"/>
              </w:rPr>
              <w:t>档（</w:t>
            </w:r>
            <w:r>
              <w:rPr>
                <w:rFonts w:hint="eastAsia" w:ascii="宋体" w:hAnsi="宋体" w:eastAsia="宋体" w:cs="宋体"/>
                <w:color w:val="auto"/>
                <w:sz w:val="21"/>
                <w:highlight w:val="none"/>
                <w:lang w:val="en-US" w:eastAsia="zh-CN"/>
              </w:rPr>
              <w:t>8</w:t>
            </w:r>
            <w:r>
              <w:rPr>
                <w:rFonts w:ascii="宋体" w:hAnsi="宋体" w:eastAsia="宋体" w:cs="宋体"/>
                <w:color w:val="auto"/>
                <w:sz w:val="21"/>
                <w:highlight w:val="none"/>
              </w:rPr>
              <w:t>分）</w:t>
            </w:r>
            <w:r>
              <w:rPr>
                <w:rFonts w:hint="eastAsia" w:ascii="Calibri" w:hAnsi="Calibri" w:eastAsia="宋体" w:cs="宋体"/>
                <w:color w:val="auto"/>
                <w:kern w:val="0"/>
                <w:sz w:val="21"/>
                <w:szCs w:val="22"/>
                <w:highlight w:val="none"/>
                <w:shd w:val="clear" w:color="auto" w:fill="auto"/>
                <w:lang w:val="en-US" w:eastAsia="zh-CN" w:bidi="ar-SA"/>
              </w:rPr>
              <w:t xml:space="preserve">：各主要分部施工方法符合项目实际，有较详尽的施工技术方案，能指导具体施工并确保安全。 </w:t>
            </w:r>
          </w:p>
          <w:p w14:paraId="6CF3D881">
            <w:pPr>
              <w:pStyle w:val="238"/>
              <w:keepNext w:val="0"/>
              <w:keepLines w:val="0"/>
              <w:pageBreakBefore w:val="0"/>
              <w:widowControl/>
              <w:kinsoku/>
              <w:wordWrap/>
              <w:overflowPunct/>
              <w:topLinePunct w:val="0"/>
              <w:autoSpaceDE/>
              <w:autoSpaceDN/>
              <w:bidi w:val="0"/>
              <w:adjustRightInd/>
              <w:snapToGrid/>
              <w:spacing w:line="356" w:lineRule="auto"/>
              <w:jc w:val="left"/>
              <w:textAlignment w:val="auto"/>
              <w:rPr>
                <w:rFonts w:hint="eastAsia" w:ascii="Calibri" w:hAnsi="Calibri" w:eastAsia="宋体" w:cs="宋体"/>
                <w:color w:val="auto"/>
                <w:kern w:val="0"/>
                <w:sz w:val="21"/>
                <w:szCs w:val="22"/>
                <w:highlight w:val="none"/>
                <w:shd w:val="clear" w:color="auto" w:fill="auto"/>
                <w:lang w:val="en-US" w:eastAsia="zh-CN" w:bidi="ar-SA"/>
              </w:rPr>
            </w:pPr>
            <w:r>
              <w:rPr>
                <w:rFonts w:hint="eastAsia" w:ascii="宋体" w:hAnsi="宋体" w:eastAsia="宋体" w:cs="宋体"/>
                <w:color w:val="auto"/>
                <w:sz w:val="21"/>
                <w:highlight w:val="none"/>
                <w:lang w:val="en-US" w:eastAsia="zh-CN"/>
              </w:rPr>
              <w:t>三</w:t>
            </w:r>
            <w:r>
              <w:rPr>
                <w:rFonts w:ascii="宋体" w:hAnsi="宋体" w:eastAsia="宋体" w:cs="宋体"/>
                <w:color w:val="auto"/>
                <w:sz w:val="21"/>
                <w:highlight w:val="none"/>
              </w:rPr>
              <w:t>档（</w:t>
            </w:r>
            <w:r>
              <w:rPr>
                <w:rFonts w:hint="eastAsia" w:ascii="宋体" w:hAnsi="宋体" w:eastAsia="宋体" w:cs="宋体"/>
                <w:color w:val="auto"/>
                <w:sz w:val="21"/>
                <w:highlight w:val="none"/>
                <w:lang w:val="en-US" w:eastAsia="zh-CN"/>
              </w:rPr>
              <w:t>6</w:t>
            </w:r>
            <w:r>
              <w:rPr>
                <w:rFonts w:ascii="宋体" w:hAnsi="宋体" w:eastAsia="宋体" w:cs="宋体"/>
                <w:color w:val="auto"/>
                <w:sz w:val="21"/>
                <w:highlight w:val="none"/>
              </w:rPr>
              <w:t>分）</w:t>
            </w:r>
            <w:r>
              <w:rPr>
                <w:rFonts w:hint="eastAsia" w:ascii="Calibri" w:hAnsi="Calibri" w:eastAsia="宋体" w:cs="宋体"/>
                <w:color w:val="auto"/>
                <w:kern w:val="0"/>
                <w:sz w:val="21"/>
                <w:szCs w:val="22"/>
                <w:highlight w:val="none"/>
                <w:shd w:val="clear" w:color="auto" w:fill="auto"/>
                <w:lang w:val="en-US" w:eastAsia="zh-CN" w:bidi="ar-SA"/>
              </w:rPr>
              <w:t xml:space="preserve">：各主要分部施工方法基本符合项目实际，有基本详尽的施工技术方案，基本能指导具体施工施工并确保安全。 </w:t>
            </w:r>
          </w:p>
          <w:p w14:paraId="22857DF9">
            <w:pPr>
              <w:pStyle w:val="238"/>
              <w:keepNext w:val="0"/>
              <w:keepLines w:val="0"/>
              <w:pageBreakBefore w:val="0"/>
              <w:widowControl/>
              <w:kinsoku/>
              <w:wordWrap/>
              <w:overflowPunct/>
              <w:topLinePunct w:val="0"/>
              <w:autoSpaceDE/>
              <w:autoSpaceDN/>
              <w:bidi w:val="0"/>
              <w:adjustRightInd/>
              <w:snapToGrid/>
              <w:spacing w:line="356" w:lineRule="auto"/>
              <w:jc w:val="left"/>
              <w:textAlignment w:val="auto"/>
              <w:rPr>
                <w:rFonts w:hint="eastAsia" w:ascii="Calibri" w:hAnsi="Calibri" w:eastAsia="宋体" w:cs="宋体"/>
                <w:color w:val="auto"/>
                <w:kern w:val="0"/>
                <w:sz w:val="21"/>
                <w:szCs w:val="22"/>
                <w:highlight w:val="none"/>
                <w:shd w:val="clear" w:color="auto" w:fill="auto"/>
                <w:lang w:val="en-US" w:eastAsia="zh-CN" w:bidi="ar-SA"/>
              </w:rPr>
            </w:pPr>
            <w:r>
              <w:rPr>
                <w:rFonts w:hint="eastAsia" w:ascii="宋体" w:hAnsi="宋体" w:eastAsia="宋体" w:cs="宋体"/>
                <w:color w:val="auto"/>
                <w:sz w:val="21"/>
                <w:highlight w:val="none"/>
                <w:lang w:val="en-US" w:eastAsia="zh-CN"/>
              </w:rPr>
              <w:t>四</w:t>
            </w:r>
            <w:r>
              <w:rPr>
                <w:rFonts w:ascii="宋体" w:hAnsi="宋体" w:eastAsia="宋体" w:cs="宋体"/>
                <w:color w:val="auto"/>
                <w:sz w:val="21"/>
                <w:highlight w:val="none"/>
              </w:rPr>
              <w:t>档（</w:t>
            </w:r>
            <w:r>
              <w:rPr>
                <w:rFonts w:hint="eastAsia" w:ascii="宋体" w:hAnsi="宋体" w:eastAsia="宋体" w:cs="宋体"/>
                <w:color w:val="auto"/>
                <w:sz w:val="21"/>
                <w:highlight w:val="none"/>
                <w:lang w:val="en-US" w:eastAsia="zh-CN"/>
              </w:rPr>
              <w:t>4</w:t>
            </w:r>
            <w:r>
              <w:rPr>
                <w:rFonts w:ascii="宋体" w:hAnsi="宋体" w:eastAsia="宋体" w:cs="宋体"/>
                <w:color w:val="auto"/>
                <w:sz w:val="21"/>
                <w:highlight w:val="none"/>
              </w:rPr>
              <w:t>分）</w:t>
            </w:r>
            <w:r>
              <w:rPr>
                <w:rFonts w:hint="eastAsia" w:ascii="Calibri" w:hAnsi="Calibri" w:eastAsia="宋体" w:cs="宋体"/>
                <w:color w:val="auto"/>
                <w:kern w:val="0"/>
                <w:sz w:val="21"/>
                <w:szCs w:val="22"/>
                <w:highlight w:val="none"/>
                <w:shd w:val="clear" w:color="auto" w:fill="auto"/>
                <w:lang w:val="en-US" w:eastAsia="zh-CN" w:bidi="ar-SA"/>
              </w:rPr>
              <w:t xml:space="preserve">：各主要分部施工方法基本符合项目实际，基本能指导具体施工施工并确保安全。 </w:t>
            </w:r>
          </w:p>
          <w:p w14:paraId="0FE06198">
            <w:pPr>
              <w:pStyle w:val="242"/>
              <w:keepNext w:val="0"/>
              <w:keepLines w:val="0"/>
              <w:pageBreakBefore w:val="0"/>
              <w:widowControl/>
              <w:kinsoku/>
              <w:wordWrap/>
              <w:overflowPunct/>
              <w:topLinePunct w:val="0"/>
              <w:autoSpaceDE/>
              <w:autoSpaceDN/>
              <w:bidi w:val="0"/>
              <w:adjustRightInd/>
              <w:snapToGrid/>
              <w:spacing w:line="356" w:lineRule="auto"/>
              <w:textAlignment w:val="auto"/>
              <w:rPr>
                <w:rFonts w:hint="eastAsia" w:ascii="Calibri" w:hAnsi="Calibri" w:eastAsia="宋体" w:cs="宋体"/>
                <w:color w:val="auto"/>
                <w:kern w:val="0"/>
                <w:sz w:val="21"/>
                <w:szCs w:val="22"/>
                <w:highlight w:val="none"/>
                <w:shd w:val="clear" w:color="auto" w:fill="auto"/>
                <w:lang w:val="en-US" w:eastAsia="zh-CN" w:bidi="ar-SA"/>
              </w:rPr>
            </w:pPr>
            <w:r>
              <w:rPr>
                <w:rFonts w:hint="eastAsia" w:ascii="宋体" w:hAnsi="宋体" w:eastAsia="宋体" w:cs="宋体"/>
                <w:color w:val="auto"/>
                <w:sz w:val="21"/>
                <w:highlight w:val="none"/>
                <w:lang w:val="en-US" w:eastAsia="zh-CN"/>
              </w:rPr>
              <w:t>五</w:t>
            </w:r>
            <w:r>
              <w:rPr>
                <w:rFonts w:ascii="宋体" w:hAnsi="宋体" w:eastAsia="宋体" w:cs="宋体"/>
                <w:color w:val="auto"/>
                <w:sz w:val="21"/>
                <w:highlight w:val="none"/>
              </w:rPr>
              <w:t>档（</w:t>
            </w:r>
            <w:r>
              <w:rPr>
                <w:rFonts w:hint="eastAsia" w:ascii="宋体" w:hAnsi="宋体" w:eastAsia="宋体" w:cs="宋体"/>
                <w:color w:val="auto"/>
                <w:sz w:val="21"/>
                <w:highlight w:val="none"/>
                <w:lang w:val="en-US" w:eastAsia="zh-CN"/>
              </w:rPr>
              <w:t>2</w:t>
            </w:r>
            <w:r>
              <w:rPr>
                <w:rFonts w:ascii="宋体" w:hAnsi="宋体" w:eastAsia="宋体" w:cs="宋体"/>
                <w:color w:val="auto"/>
                <w:sz w:val="21"/>
                <w:highlight w:val="none"/>
              </w:rPr>
              <w:t>分）</w:t>
            </w:r>
            <w:r>
              <w:rPr>
                <w:rFonts w:hint="eastAsia" w:ascii="Calibri" w:hAnsi="Calibri" w:eastAsia="宋体" w:cs="宋体"/>
                <w:color w:val="auto"/>
                <w:kern w:val="0"/>
                <w:sz w:val="21"/>
                <w:szCs w:val="22"/>
                <w:highlight w:val="none"/>
                <w:shd w:val="clear" w:color="auto" w:fill="auto"/>
                <w:lang w:val="en-US" w:eastAsia="zh-CN" w:bidi="ar-SA"/>
              </w:rPr>
              <w:t>：各主要分部施工方法不符合项目实际，无详尽的施工技术方案，不能指导具体施工并确保安全。</w:t>
            </w:r>
          </w:p>
        </w:tc>
        <w:tc>
          <w:tcPr>
            <w:tcW w:w="853" w:type="dxa"/>
            <w:vAlign w:val="center"/>
          </w:tcPr>
          <w:p w14:paraId="1124275C">
            <w:pPr>
              <w:spacing w:line="360" w:lineRule="auto"/>
              <w:jc w:val="center"/>
              <w:rPr>
                <w:color w:val="auto"/>
                <w:highlight w:val="none"/>
              </w:rPr>
            </w:pPr>
            <w:r>
              <w:rPr>
                <w:rFonts w:hint="eastAsia" w:ascii="宋体" w:hAnsi="宋体" w:cs="Tahoma"/>
                <w:color w:val="auto"/>
                <w:kern w:val="0"/>
                <w:szCs w:val="21"/>
                <w:highlight w:val="none"/>
                <w:lang w:val="en-US" w:eastAsia="zh-CN"/>
              </w:rPr>
              <w:t>10</w:t>
            </w:r>
            <w:r>
              <w:rPr>
                <w:rFonts w:hint="eastAsia" w:ascii="宋体" w:hAnsi="宋体" w:cs="Tahoma"/>
                <w:color w:val="auto"/>
                <w:kern w:val="0"/>
                <w:szCs w:val="21"/>
                <w:highlight w:val="none"/>
              </w:rPr>
              <w:t>分</w:t>
            </w:r>
          </w:p>
        </w:tc>
      </w:tr>
      <w:tr w14:paraId="78EC0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vAlign w:val="center"/>
          </w:tcPr>
          <w:p w14:paraId="2924B1FA">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vAlign w:val="center"/>
          </w:tcPr>
          <w:p w14:paraId="655659C9">
            <w:pPr>
              <w:adjustRightInd w:val="0"/>
              <w:spacing w:line="360" w:lineRule="auto"/>
              <w:jc w:val="center"/>
              <w:textAlignment w:val="baseline"/>
              <w:rPr>
                <w:rFonts w:ascii="宋体" w:hAnsi="宋体"/>
                <w:bCs/>
                <w:color w:val="auto"/>
                <w:kern w:val="0"/>
                <w:szCs w:val="21"/>
                <w:highlight w:val="none"/>
              </w:rPr>
            </w:pPr>
          </w:p>
        </w:tc>
        <w:tc>
          <w:tcPr>
            <w:tcW w:w="938" w:type="dxa"/>
            <w:vAlign w:val="center"/>
          </w:tcPr>
          <w:p w14:paraId="11575C2A">
            <w:pPr>
              <w:pStyle w:val="242"/>
              <w:spacing w:line="360" w:lineRule="auto"/>
              <w:jc w:val="center"/>
              <w:rPr>
                <w:color w:val="auto"/>
                <w:highlight w:val="none"/>
              </w:rPr>
            </w:pPr>
            <w:r>
              <w:rPr>
                <w:rFonts w:ascii="宋体" w:hAnsi="宋体" w:eastAsia="宋体" w:cs="宋体"/>
                <w:color w:val="auto"/>
                <w:sz w:val="21"/>
                <w:highlight w:val="none"/>
              </w:rPr>
              <w:t>拟投入的主要物资计划</w:t>
            </w:r>
          </w:p>
        </w:tc>
        <w:tc>
          <w:tcPr>
            <w:tcW w:w="6286" w:type="dxa"/>
            <w:vAlign w:val="center"/>
          </w:tcPr>
          <w:p w14:paraId="12DC6695">
            <w:pPr>
              <w:pStyle w:val="242"/>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一档（</w:t>
            </w:r>
            <w:r>
              <w:rPr>
                <w:rFonts w:hint="eastAsia" w:ascii="宋体" w:hAnsi="宋体" w:eastAsia="宋体" w:cs="宋体"/>
                <w:color w:val="auto"/>
                <w:sz w:val="21"/>
                <w:highlight w:val="none"/>
                <w:lang w:val="en-US" w:eastAsia="zh-CN"/>
              </w:rPr>
              <w:t>10</w:t>
            </w:r>
            <w:r>
              <w:rPr>
                <w:rFonts w:ascii="宋体" w:hAnsi="宋体" w:eastAsia="宋体" w:cs="宋体"/>
                <w:color w:val="auto"/>
                <w:sz w:val="21"/>
                <w:highlight w:val="none"/>
              </w:rPr>
              <w:t>分）：投入的施工材料有详细的组织计划且计划完整周密，数量、选型配置、进场时间安排科学合理，与施工进度相匹配，完全满足施工需要。</w:t>
            </w:r>
          </w:p>
          <w:p w14:paraId="3D2D399C">
            <w:pPr>
              <w:pStyle w:val="242"/>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二档（</w:t>
            </w:r>
            <w:r>
              <w:rPr>
                <w:rFonts w:hint="eastAsia" w:ascii="宋体" w:hAnsi="宋体" w:eastAsia="宋体" w:cs="宋体"/>
                <w:color w:val="auto"/>
                <w:sz w:val="21"/>
                <w:highlight w:val="none"/>
                <w:lang w:val="en-US" w:eastAsia="zh-CN"/>
              </w:rPr>
              <w:t>8</w:t>
            </w:r>
            <w:r>
              <w:rPr>
                <w:rFonts w:ascii="宋体" w:hAnsi="宋体" w:eastAsia="宋体" w:cs="宋体"/>
                <w:color w:val="auto"/>
                <w:sz w:val="21"/>
                <w:highlight w:val="none"/>
              </w:rPr>
              <w:t>分）：投入的施工材料有组织计划且计划周密，数量、选型配置、进场时间安排较好满足施工需要。</w:t>
            </w:r>
          </w:p>
          <w:p w14:paraId="5B7C4287">
            <w:pPr>
              <w:pStyle w:val="242"/>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三档（</w:t>
            </w:r>
            <w:r>
              <w:rPr>
                <w:rFonts w:hint="eastAsia" w:ascii="宋体" w:hAnsi="宋体" w:eastAsia="宋体" w:cs="宋体"/>
                <w:color w:val="auto"/>
                <w:sz w:val="21"/>
                <w:highlight w:val="none"/>
                <w:lang w:val="en-US" w:eastAsia="zh-CN"/>
              </w:rPr>
              <w:t>6</w:t>
            </w:r>
            <w:r>
              <w:rPr>
                <w:rFonts w:ascii="宋体" w:hAnsi="宋体" w:eastAsia="宋体" w:cs="宋体"/>
                <w:color w:val="auto"/>
                <w:sz w:val="21"/>
                <w:highlight w:val="none"/>
              </w:rPr>
              <w:t>分）：投入的施工材料有组织计划</w:t>
            </w:r>
            <w:r>
              <w:rPr>
                <w:rFonts w:hint="eastAsia" w:ascii="宋体" w:hAnsi="宋体" w:eastAsia="宋体" w:cs="宋体"/>
                <w:color w:val="auto"/>
                <w:sz w:val="21"/>
                <w:highlight w:val="none"/>
              </w:rPr>
              <w:t>但</w:t>
            </w:r>
            <w:r>
              <w:rPr>
                <w:rFonts w:ascii="宋体" w:hAnsi="宋体" w:eastAsia="宋体" w:cs="宋体"/>
                <w:color w:val="auto"/>
                <w:sz w:val="21"/>
                <w:highlight w:val="none"/>
              </w:rPr>
              <w:t>计划</w:t>
            </w:r>
            <w:r>
              <w:rPr>
                <w:rFonts w:hint="eastAsia" w:ascii="宋体" w:hAnsi="宋体" w:eastAsia="宋体" w:cs="宋体"/>
                <w:color w:val="auto"/>
                <w:sz w:val="21"/>
                <w:highlight w:val="none"/>
              </w:rPr>
              <w:t>简单</w:t>
            </w:r>
            <w:r>
              <w:rPr>
                <w:rFonts w:ascii="宋体" w:hAnsi="宋体" w:eastAsia="宋体" w:cs="宋体"/>
                <w:color w:val="auto"/>
                <w:sz w:val="21"/>
                <w:highlight w:val="none"/>
              </w:rPr>
              <w:t>，数量、选型配置、进场时间安排基本合理，满足施工需要。</w:t>
            </w:r>
          </w:p>
          <w:p w14:paraId="51220876">
            <w:pPr>
              <w:pStyle w:val="242"/>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四档（</w:t>
            </w:r>
            <w:r>
              <w:rPr>
                <w:rFonts w:hint="eastAsia" w:ascii="宋体" w:hAnsi="宋体" w:eastAsia="宋体" w:cs="宋体"/>
                <w:color w:val="auto"/>
                <w:sz w:val="21"/>
                <w:highlight w:val="none"/>
                <w:lang w:val="en-US" w:eastAsia="zh-CN"/>
              </w:rPr>
              <w:t>4</w:t>
            </w:r>
            <w:r>
              <w:rPr>
                <w:rFonts w:ascii="宋体" w:hAnsi="宋体" w:eastAsia="宋体" w:cs="宋体"/>
                <w:color w:val="auto"/>
                <w:sz w:val="21"/>
                <w:highlight w:val="none"/>
              </w:rPr>
              <w:t>分）：投入的施工材料有组织计划</w:t>
            </w:r>
            <w:r>
              <w:rPr>
                <w:rFonts w:hint="eastAsia" w:ascii="宋体" w:hAnsi="宋体" w:eastAsia="宋体" w:cs="宋体"/>
                <w:color w:val="auto"/>
                <w:sz w:val="21"/>
                <w:highlight w:val="none"/>
              </w:rPr>
              <w:t>但</w:t>
            </w:r>
            <w:r>
              <w:rPr>
                <w:rFonts w:ascii="宋体" w:hAnsi="宋体" w:eastAsia="宋体" w:cs="宋体"/>
                <w:color w:val="auto"/>
                <w:sz w:val="21"/>
                <w:highlight w:val="none"/>
              </w:rPr>
              <w:t>计划</w:t>
            </w:r>
            <w:r>
              <w:rPr>
                <w:rFonts w:hint="eastAsia" w:ascii="宋体" w:hAnsi="宋体" w:eastAsia="宋体" w:cs="宋体"/>
                <w:color w:val="auto"/>
                <w:sz w:val="21"/>
                <w:highlight w:val="none"/>
              </w:rPr>
              <w:t>简单</w:t>
            </w:r>
            <w:r>
              <w:rPr>
                <w:rFonts w:ascii="宋体" w:hAnsi="宋体" w:eastAsia="宋体" w:cs="宋体"/>
                <w:color w:val="auto"/>
                <w:sz w:val="21"/>
                <w:highlight w:val="none"/>
              </w:rPr>
              <w:t>，数量、选型配置、进场时间安排</w:t>
            </w:r>
            <w:r>
              <w:rPr>
                <w:rFonts w:hint="eastAsia" w:ascii="宋体" w:hAnsi="宋体" w:eastAsia="宋体" w:cs="宋体"/>
                <w:color w:val="auto"/>
                <w:sz w:val="21"/>
                <w:highlight w:val="none"/>
              </w:rPr>
              <w:t>没有完全</w:t>
            </w:r>
            <w:r>
              <w:rPr>
                <w:rFonts w:ascii="宋体" w:hAnsi="宋体" w:eastAsia="宋体" w:cs="宋体"/>
                <w:color w:val="auto"/>
                <w:sz w:val="21"/>
                <w:highlight w:val="none"/>
              </w:rPr>
              <w:t>和项目进度协调，但基本满足施工需要。</w:t>
            </w:r>
          </w:p>
          <w:p w14:paraId="0E1F6890">
            <w:pPr>
              <w:pStyle w:val="242"/>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五档（</w:t>
            </w:r>
            <w:r>
              <w:rPr>
                <w:rFonts w:hint="eastAsia" w:ascii="宋体" w:hAnsi="宋体" w:eastAsia="宋体" w:cs="宋体"/>
                <w:color w:val="auto"/>
                <w:sz w:val="21"/>
                <w:highlight w:val="none"/>
                <w:lang w:val="en-US" w:eastAsia="zh-CN"/>
              </w:rPr>
              <w:t>2</w:t>
            </w:r>
            <w:r>
              <w:rPr>
                <w:rFonts w:ascii="宋体" w:hAnsi="宋体" w:eastAsia="宋体" w:cs="宋体"/>
                <w:color w:val="auto"/>
                <w:sz w:val="21"/>
                <w:highlight w:val="none"/>
              </w:rPr>
              <w:t>分）：投入的施工材料无详细的组织计划，数量、选型配置、进场时间安排不合理，不能满足施工需要。</w:t>
            </w:r>
          </w:p>
        </w:tc>
        <w:tc>
          <w:tcPr>
            <w:tcW w:w="853" w:type="dxa"/>
            <w:vAlign w:val="center"/>
          </w:tcPr>
          <w:p w14:paraId="0675E8E3">
            <w:pPr>
              <w:spacing w:line="360" w:lineRule="auto"/>
              <w:jc w:val="center"/>
              <w:rPr>
                <w:color w:val="auto"/>
                <w:highlight w:val="none"/>
              </w:rPr>
            </w:pPr>
            <w:r>
              <w:rPr>
                <w:rFonts w:hint="eastAsia" w:ascii="宋体" w:hAnsi="宋体" w:cs="Tahoma"/>
                <w:color w:val="auto"/>
                <w:kern w:val="0"/>
                <w:szCs w:val="21"/>
                <w:highlight w:val="none"/>
                <w:lang w:val="en-US" w:eastAsia="zh-CN"/>
              </w:rPr>
              <w:t>10</w:t>
            </w:r>
            <w:r>
              <w:rPr>
                <w:rFonts w:hint="eastAsia" w:ascii="宋体" w:hAnsi="宋体" w:cs="Tahoma"/>
                <w:color w:val="auto"/>
                <w:kern w:val="0"/>
                <w:szCs w:val="21"/>
                <w:highlight w:val="none"/>
              </w:rPr>
              <w:t>分</w:t>
            </w:r>
          </w:p>
        </w:tc>
      </w:tr>
      <w:tr w14:paraId="31F49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vAlign w:val="center"/>
          </w:tcPr>
          <w:p w14:paraId="125E8284">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vAlign w:val="center"/>
          </w:tcPr>
          <w:p w14:paraId="08524E04">
            <w:pPr>
              <w:adjustRightInd w:val="0"/>
              <w:spacing w:line="360" w:lineRule="auto"/>
              <w:jc w:val="center"/>
              <w:textAlignment w:val="baseline"/>
              <w:rPr>
                <w:rFonts w:ascii="宋体" w:hAnsi="宋体"/>
                <w:bCs/>
                <w:color w:val="auto"/>
                <w:kern w:val="0"/>
                <w:szCs w:val="21"/>
                <w:highlight w:val="none"/>
              </w:rPr>
            </w:pPr>
          </w:p>
        </w:tc>
        <w:tc>
          <w:tcPr>
            <w:tcW w:w="938" w:type="dxa"/>
            <w:vAlign w:val="center"/>
          </w:tcPr>
          <w:p w14:paraId="4A2D1F08">
            <w:pPr>
              <w:pStyle w:val="242"/>
              <w:spacing w:line="360" w:lineRule="auto"/>
              <w:jc w:val="center"/>
              <w:rPr>
                <w:color w:val="auto"/>
                <w:highlight w:val="none"/>
              </w:rPr>
            </w:pPr>
            <w:r>
              <w:rPr>
                <w:rFonts w:ascii="宋体" w:hAnsi="宋体" w:eastAsia="宋体" w:cs="宋体"/>
                <w:color w:val="auto"/>
                <w:sz w:val="21"/>
                <w:highlight w:val="none"/>
              </w:rPr>
              <w:t>劳动力安排计划</w:t>
            </w:r>
          </w:p>
        </w:tc>
        <w:tc>
          <w:tcPr>
            <w:tcW w:w="6286" w:type="dxa"/>
            <w:vAlign w:val="center"/>
          </w:tcPr>
          <w:p w14:paraId="1D19EE7E">
            <w:pPr>
              <w:pStyle w:val="242"/>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一档（</w:t>
            </w:r>
            <w:r>
              <w:rPr>
                <w:rFonts w:hint="eastAsia" w:ascii="宋体" w:hAnsi="宋体" w:eastAsia="宋体" w:cs="宋体"/>
                <w:color w:val="auto"/>
                <w:sz w:val="21"/>
                <w:highlight w:val="none"/>
                <w:lang w:val="en-US" w:eastAsia="zh-CN"/>
              </w:rPr>
              <w:t>5</w:t>
            </w:r>
            <w:r>
              <w:rPr>
                <w:rFonts w:ascii="宋体" w:hAnsi="宋体" w:eastAsia="宋体" w:cs="宋体"/>
                <w:color w:val="auto"/>
                <w:sz w:val="21"/>
                <w:highlight w:val="none"/>
              </w:rPr>
              <w:t>分）：各主要施工工序有非常详细周密的劳动力安排计划，有非常详细周密的各工种劳动力安排计划，劳动力投入的时间、人数、工种与项目进度要求相匹配，科学合理，完全满足施工需要。</w:t>
            </w:r>
          </w:p>
          <w:p w14:paraId="56805408">
            <w:pPr>
              <w:pStyle w:val="242"/>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二档（</w:t>
            </w:r>
            <w:r>
              <w:rPr>
                <w:rFonts w:hint="eastAsia" w:ascii="宋体" w:hAnsi="宋体" w:eastAsia="宋体" w:cs="宋体"/>
                <w:color w:val="auto"/>
                <w:sz w:val="21"/>
                <w:highlight w:val="none"/>
                <w:lang w:val="en-US" w:eastAsia="zh-CN"/>
              </w:rPr>
              <w:t>4</w:t>
            </w:r>
            <w:r>
              <w:rPr>
                <w:rFonts w:ascii="宋体" w:hAnsi="宋体" w:eastAsia="宋体" w:cs="宋体"/>
                <w:color w:val="auto"/>
                <w:sz w:val="21"/>
                <w:highlight w:val="none"/>
              </w:rPr>
              <w:t>分）：各主要施工工序有较详细周</w:t>
            </w:r>
            <w:r>
              <w:rPr>
                <w:rFonts w:hint="eastAsia" w:ascii="宋体" w:hAnsi="宋体" w:eastAsia="宋体" w:cs="宋体"/>
                <w:color w:val="auto"/>
                <w:sz w:val="21"/>
                <w:highlight w:val="none"/>
              </w:rPr>
              <w:t>密的</w:t>
            </w:r>
            <w:r>
              <w:rPr>
                <w:rFonts w:ascii="宋体" w:hAnsi="宋体" w:eastAsia="宋体" w:cs="宋体"/>
                <w:color w:val="auto"/>
                <w:sz w:val="21"/>
                <w:highlight w:val="none"/>
              </w:rPr>
              <w:t>劳动力安排计划，有较详细周密的各工种劳动力安排计划，劳动力投入的时间、人数、工种</w:t>
            </w:r>
            <w:r>
              <w:rPr>
                <w:rFonts w:hint="eastAsia" w:ascii="宋体" w:hAnsi="宋体" w:eastAsia="宋体" w:cs="宋体"/>
                <w:color w:val="auto"/>
                <w:sz w:val="21"/>
                <w:highlight w:val="none"/>
              </w:rPr>
              <w:t>满足</w:t>
            </w:r>
            <w:r>
              <w:rPr>
                <w:rFonts w:ascii="宋体" w:hAnsi="宋体" w:eastAsia="宋体" w:cs="宋体"/>
                <w:color w:val="auto"/>
                <w:sz w:val="21"/>
                <w:highlight w:val="none"/>
              </w:rPr>
              <w:t>项目进度要求，基本满足施工需要。</w:t>
            </w:r>
          </w:p>
          <w:p w14:paraId="535C75AC">
            <w:pPr>
              <w:pStyle w:val="242"/>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三档（</w:t>
            </w:r>
            <w:r>
              <w:rPr>
                <w:rFonts w:hint="eastAsia" w:ascii="宋体" w:hAnsi="宋体" w:eastAsia="宋体" w:cs="宋体"/>
                <w:color w:val="auto"/>
                <w:sz w:val="21"/>
                <w:highlight w:val="none"/>
                <w:lang w:val="en-US" w:eastAsia="zh-CN"/>
              </w:rPr>
              <w:t>3</w:t>
            </w:r>
            <w:r>
              <w:rPr>
                <w:rFonts w:ascii="宋体" w:hAnsi="宋体" w:eastAsia="宋体" w:cs="宋体"/>
                <w:color w:val="auto"/>
                <w:sz w:val="21"/>
                <w:highlight w:val="none"/>
              </w:rPr>
              <w:t>分）：各主要施工工序有劳动力安排计划，有各工种劳动力安排计划，劳动力投入的时间、人数、工种</w:t>
            </w:r>
            <w:r>
              <w:rPr>
                <w:rFonts w:hint="eastAsia" w:ascii="宋体" w:hAnsi="宋体" w:eastAsia="宋体" w:cs="宋体"/>
                <w:color w:val="auto"/>
                <w:sz w:val="21"/>
                <w:highlight w:val="none"/>
              </w:rPr>
              <w:t>没有结合</w:t>
            </w:r>
            <w:r>
              <w:rPr>
                <w:rFonts w:ascii="宋体" w:hAnsi="宋体" w:eastAsia="宋体" w:cs="宋体"/>
                <w:color w:val="auto"/>
                <w:sz w:val="21"/>
                <w:highlight w:val="none"/>
              </w:rPr>
              <w:t>项目进度要求，基本满足施工需要。</w:t>
            </w:r>
          </w:p>
          <w:p w14:paraId="487331F2">
            <w:pPr>
              <w:pStyle w:val="242"/>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四档（</w:t>
            </w:r>
            <w:r>
              <w:rPr>
                <w:rFonts w:hint="eastAsia" w:ascii="宋体" w:hAnsi="宋体" w:eastAsia="宋体" w:cs="宋体"/>
                <w:color w:val="auto"/>
                <w:sz w:val="21"/>
                <w:highlight w:val="none"/>
                <w:lang w:val="en-US" w:eastAsia="zh-CN"/>
              </w:rPr>
              <w:t>2</w:t>
            </w:r>
            <w:r>
              <w:rPr>
                <w:rFonts w:ascii="宋体" w:hAnsi="宋体" w:eastAsia="宋体" w:cs="宋体"/>
                <w:color w:val="auto"/>
                <w:sz w:val="21"/>
                <w:highlight w:val="none"/>
              </w:rPr>
              <w:t>分）：各主要施工工序有劳动力安排计划，有各工种劳动力安排计划，勉强满足施工需要。</w:t>
            </w:r>
          </w:p>
          <w:p w14:paraId="3A5FE581">
            <w:pPr>
              <w:pStyle w:val="242"/>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五档（</w:t>
            </w:r>
            <w:r>
              <w:rPr>
                <w:rFonts w:hint="eastAsia" w:ascii="宋体" w:hAnsi="宋体" w:eastAsia="宋体" w:cs="宋体"/>
                <w:color w:val="auto"/>
                <w:sz w:val="21"/>
                <w:highlight w:val="none"/>
                <w:lang w:val="en-US" w:eastAsia="zh-CN"/>
              </w:rPr>
              <w:t>1</w:t>
            </w:r>
            <w:r>
              <w:rPr>
                <w:rFonts w:ascii="宋体" w:hAnsi="宋体" w:eastAsia="宋体" w:cs="宋体"/>
                <w:color w:val="auto"/>
                <w:sz w:val="21"/>
                <w:highlight w:val="none"/>
              </w:rPr>
              <w:t>分）：各主要施工工序无劳动力安排计划，无各工种劳动力安排计划，劳动力投入不合理，不能满足施工需要。</w:t>
            </w:r>
          </w:p>
        </w:tc>
        <w:tc>
          <w:tcPr>
            <w:tcW w:w="853" w:type="dxa"/>
            <w:vAlign w:val="center"/>
          </w:tcPr>
          <w:p w14:paraId="10FC55F2">
            <w:pPr>
              <w:spacing w:line="360" w:lineRule="auto"/>
              <w:jc w:val="center"/>
              <w:rPr>
                <w:color w:val="auto"/>
                <w:highlight w:val="none"/>
              </w:rPr>
            </w:pPr>
            <w:r>
              <w:rPr>
                <w:rFonts w:hint="eastAsia" w:ascii="宋体" w:hAnsi="宋体" w:cs="Tahoma"/>
                <w:color w:val="auto"/>
                <w:kern w:val="0"/>
                <w:szCs w:val="21"/>
                <w:highlight w:val="none"/>
                <w:lang w:val="en-US" w:eastAsia="zh-CN"/>
              </w:rPr>
              <w:t>5</w:t>
            </w:r>
            <w:r>
              <w:rPr>
                <w:rFonts w:hint="eastAsia" w:ascii="宋体" w:hAnsi="宋体" w:cs="Tahoma"/>
                <w:color w:val="auto"/>
                <w:kern w:val="0"/>
                <w:szCs w:val="21"/>
                <w:highlight w:val="none"/>
              </w:rPr>
              <w:t>分</w:t>
            </w:r>
          </w:p>
        </w:tc>
      </w:tr>
      <w:tr w14:paraId="717D9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vAlign w:val="center"/>
          </w:tcPr>
          <w:p w14:paraId="63B126E7">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vAlign w:val="center"/>
          </w:tcPr>
          <w:p w14:paraId="23A4C333">
            <w:pPr>
              <w:adjustRightInd w:val="0"/>
              <w:spacing w:line="360" w:lineRule="auto"/>
              <w:jc w:val="center"/>
              <w:textAlignment w:val="baseline"/>
              <w:rPr>
                <w:rFonts w:ascii="宋体" w:hAnsi="宋体"/>
                <w:bCs/>
                <w:color w:val="auto"/>
                <w:kern w:val="0"/>
                <w:szCs w:val="21"/>
                <w:highlight w:val="none"/>
              </w:rPr>
            </w:pPr>
          </w:p>
        </w:tc>
        <w:tc>
          <w:tcPr>
            <w:tcW w:w="938" w:type="dxa"/>
            <w:vAlign w:val="center"/>
          </w:tcPr>
          <w:p w14:paraId="78A1542E">
            <w:pPr>
              <w:pStyle w:val="242"/>
              <w:spacing w:line="360" w:lineRule="auto"/>
              <w:jc w:val="center"/>
              <w:rPr>
                <w:color w:val="auto"/>
                <w:highlight w:val="none"/>
              </w:rPr>
            </w:pPr>
            <w:r>
              <w:rPr>
                <w:rFonts w:ascii="宋体" w:hAnsi="宋体" w:eastAsia="宋体" w:cs="宋体"/>
                <w:color w:val="auto"/>
                <w:sz w:val="21"/>
                <w:highlight w:val="none"/>
              </w:rPr>
              <w:t>确保工程质量的技术组织措施</w:t>
            </w:r>
          </w:p>
        </w:tc>
        <w:tc>
          <w:tcPr>
            <w:tcW w:w="6286" w:type="dxa"/>
            <w:vAlign w:val="center"/>
          </w:tcPr>
          <w:p w14:paraId="52052F02">
            <w:pPr>
              <w:pStyle w:val="242"/>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一档（</w:t>
            </w:r>
            <w:r>
              <w:rPr>
                <w:rFonts w:hint="eastAsia" w:ascii="宋体" w:hAnsi="宋体" w:eastAsia="宋体" w:cs="宋体"/>
                <w:color w:val="auto"/>
                <w:sz w:val="21"/>
                <w:highlight w:val="none"/>
                <w:lang w:val="en-US" w:eastAsia="zh-CN"/>
              </w:rPr>
              <w:t>10</w:t>
            </w:r>
            <w:r>
              <w:rPr>
                <w:rFonts w:ascii="宋体" w:hAnsi="宋体" w:eastAsia="宋体" w:cs="宋体"/>
                <w:color w:val="auto"/>
                <w:sz w:val="21"/>
                <w:highlight w:val="none"/>
              </w:rPr>
              <w:t>分）：有专门且专业的质量技术管理班子和制度，且人员配备科学合理，制度科学合理健全。主要工序质量技术保证措施和手段科学合理，自控体系完整，能有效保证技术质量，达到承诺的质量标准。</w:t>
            </w:r>
          </w:p>
          <w:p w14:paraId="48B49396">
            <w:pPr>
              <w:pStyle w:val="242"/>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二档（</w:t>
            </w:r>
            <w:r>
              <w:rPr>
                <w:rFonts w:hint="eastAsia" w:ascii="宋体" w:hAnsi="宋体" w:eastAsia="宋体" w:cs="宋体"/>
                <w:color w:val="auto"/>
                <w:sz w:val="21"/>
                <w:highlight w:val="none"/>
                <w:lang w:val="en-US" w:eastAsia="zh-CN"/>
              </w:rPr>
              <w:t>8</w:t>
            </w:r>
            <w:r>
              <w:rPr>
                <w:rFonts w:ascii="宋体" w:hAnsi="宋体" w:eastAsia="宋体" w:cs="宋体"/>
                <w:color w:val="auto"/>
                <w:sz w:val="21"/>
                <w:highlight w:val="none"/>
              </w:rPr>
              <w:t>分）：有专门的质量技术管理班子和制度，且人员配备合理，制度合理健全。主要工序的质量技术保证措施和手段合理，自控体系完整，保证技术质量，达到承诺的质量标准。</w:t>
            </w:r>
          </w:p>
          <w:p w14:paraId="115C4CDC">
            <w:pPr>
              <w:pStyle w:val="242"/>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三档（</w:t>
            </w:r>
            <w:r>
              <w:rPr>
                <w:rFonts w:hint="eastAsia" w:ascii="宋体" w:hAnsi="宋体" w:eastAsia="宋体" w:cs="宋体"/>
                <w:color w:val="auto"/>
                <w:sz w:val="21"/>
                <w:highlight w:val="none"/>
                <w:lang w:val="en-US" w:eastAsia="zh-CN"/>
              </w:rPr>
              <w:t>6</w:t>
            </w:r>
            <w:r>
              <w:rPr>
                <w:rFonts w:ascii="宋体" w:hAnsi="宋体" w:eastAsia="宋体" w:cs="宋体"/>
                <w:color w:val="auto"/>
                <w:sz w:val="21"/>
                <w:highlight w:val="none"/>
              </w:rPr>
              <w:t>分）：有专门的质量技术管理班子和制度，且人员配备合理，制度健全。主要工序的质量技术保证措施和手段</w:t>
            </w:r>
            <w:r>
              <w:rPr>
                <w:rFonts w:hint="eastAsia" w:ascii="宋体" w:hAnsi="宋体" w:eastAsia="宋体" w:cs="宋体"/>
                <w:color w:val="auto"/>
                <w:sz w:val="21"/>
                <w:highlight w:val="none"/>
              </w:rPr>
              <w:t>部分与本项目无关但基本满足要求</w:t>
            </w:r>
            <w:r>
              <w:rPr>
                <w:rFonts w:ascii="宋体" w:hAnsi="宋体" w:eastAsia="宋体" w:cs="宋体"/>
                <w:color w:val="auto"/>
                <w:sz w:val="21"/>
                <w:highlight w:val="none"/>
              </w:rPr>
              <w:t>，自控体系</w:t>
            </w:r>
            <w:r>
              <w:rPr>
                <w:rFonts w:hint="eastAsia" w:ascii="宋体" w:hAnsi="宋体" w:eastAsia="宋体" w:cs="宋体"/>
                <w:color w:val="auto"/>
                <w:sz w:val="21"/>
                <w:highlight w:val="none"/>
              </w:rPr>
              <w:t>表述</w:t>
            </w:r>
            <w:r>
              <w:rPr>
                <w:rFonts w:ascii="宋体" w:hAnsi="宋体" w:eastAsia="宋体" w:cs="宋体"/>
                <w:color w:val="auto"/>
                <w:sz w:val="21"/>
                <w:highlight w:val="none"/>
              </w:rPr>
              <w:t>简单，基本保证技术质量，达到承诺的质量标准。</w:t>
            </w:r>
          </w:p>
          <w:p w14:paraId="4F4E3323">
            <w:pPr>
              <w:pStyle w:val="242"/>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四档（</w:t>
            </w:r>
            <w:r>
              <w:rPr>
                <w:rFonts w:hint="eastAsia" w:ascii="宋体" w:hAnsi="宋体" w:eastAsia="宋体" w:cs="宋体"/>
                <w:color w:val="auto"/>
                <w:sz w:val="21"/>
                <w:highlight w:val="none"/>
                <w:lang w:val="en-US" w:eastAsia="zh-CN"/>
              </w:rPr>
              <w:t>4</w:t>
            </w:r>
            <w:r>
              <w:rPr>
                <w:rFonts w:ascii="宋体" w:hAnsi="宋体" w:eastAsia="宋体" w:cs="宋体"/>
                <w:color w:val="auto"/>
                <w:sz w:val="21"/>
                <w:highlight w:val="none"/>
              </w:rPr>
              <w:t>分）：有专门的质量技术管理班子和制度，且人员配备基本合理，</w:t>
            </w:r>
            <w:r>
              <w:rPr>
                <w:rFonts w:hint="eastAsia" w:ascii="宋体" w:hAnsi="宋体" w:eastAsia="宋体" w:cs="宋体"/>
                <w:color w:val="auto"/>
                <w:sz w:val="21"/>
                <w:highlight w:val="none"/>
              </w:rPr>
              <w:t>有</w:t>
            </w:r>
            <w:r>
              <w:rPr>
                <w:rFonts w:ascii="宋体" w:hAnsi="宋体" w:eastAsia="宋体" w:cs="宋体"/>
                <w:color w:val="auto"/>
                <w:sz w:val="21"/>
                <w:highlight w:val="none"/>
              </w:rPr>
              <w:t>基本的制度。主要工序的质量技术保证措施和手段</w:t>
            </w:r>
            <w:r>
              <w:rPr>
                <w:rFonts w:hint="eastAsia" w:ascii="宋体" w:hAnsi="宋体" w:eastAsia="宋体" w:cs="宋体"/>
                <w:color w:val="auto"/>
                <w:sz w:val="21"/>
                <w:highlight w:val="none"/>
              </w:rPr>
              <w:t>有</w:t>
            </w:r>
            <w:r>
              <w:rPr>
                <w:rFonts w:ascii="宋体" w:hAnsi="宋体" w:eastAsia="宋体" w:cs="宋体"/>
                <w:color w:val="auto"/>
                <w:sz w:val="21"/>
                <w:highlight w:val="none"/>
              </w:rPr>
              <w:t>缺项，自控体系</w:t>
            </w:r>
            <w:r>
              <w:rPr>
                <w:rFonts w:hint="eastAsia" w:ascii="宋体" w:hAnsi="宋体" w:eastAsia="宋体" w:cs="宋体"/>
                <w:color w:val="auto"/>
                <w:sz w:val="21"/>
                <w:highlight w:val="none"/>
              </w:rPr>
              <w:t>表述</w:t>
            </w:r>
            <w:r>
              <w:rPr>
                <w:rFonts w:ascii="宋体" w:hAnsi="宋体" w:eastAsia="宋体" w:cs="宋体"/>
                <w:color w:val="auto"/>
                <w:sz w:val="21"/>
                <w:highlight w:val="none"/>
              </w:rPr>
              <w:t>简单，基本保证技术质量，达到承诺的质量标准。</w:t>
            </w:r>
          </w:p>
          <w:p w14:paraId="622B111F">
            <w:pPr>
              <w:pStyle w:val="242"/>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五档（</w:t>
            </w:r>
            <w:r>
              <w:rPr>
                <w:rFonts w:hint="eastAsia" w:ascii="宋体" w:hAnsi="宋体" w:eastAsia="宋体" w:cs="宋体"/>
                <w:color w:val="auto"/>
                <w:sz w:val="21"/>
                <w:highlight w:val="none"/>
                <w:lang w:val="en-US" w:eastAsia="zh-CN"/>
              </w:rPr>
              <w:t>2</w:t>
            </w:r>
            <w:r>
              <w:rPr>
                <w:rFonts w:ascii="宋体" w:hAnsi="宋体" w:eastAsia="宋体" w:cs="宋体"/>
                <w:color w:val="auto"/>
                <w:sz w:val="21"/>
                <w:highlight w:val="none"/>
              </w:rPr>
              <w:t>分）：有专门的质量技术管理班子和制度，人员配备不合理，制度不健全。主要工序无质量技术保证措施和手段，自控体系不完整，不能有效保证技术质量，达不到承诺的质量标准。</w:t>
            </w:r>
          </w:p>
        </w:tc>
        <w:tc>
          <w:tcPr>
            <w:tcW w:w="853" w:type="dxa"/>
            <w:vAlign w:val="center"/>
          </w:tcPr>
          <w:p w14:paraId="7E08F331">
            <w:pPr>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lang w:val="en-US" w:eastAsia="zh-CN"/>
              </w:rPr>
              <w:t>10</w:t>
            </w:r>
            <w:r>
              <w:rPr>
                <w:rFonts w:hint="eastAsia" w:ascii="宋体" w:hAnsi="宋体" w:cs="Tahoma"/>
                <w:color w:val="auto"/>
                <w:kern w:val="0"/>
                <w:szCs w:val="21"/>
                <w:highlight w:val="none"/>
              </w:rPr>
              <w:t>分</w:t>
            </w:r>
          </w:p>
        </w:tc>
      </w:tr>
      <w:tr w14:paraId="4ED79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vAlign w:val="center"/>
          </w:tcPr>
          <w:p w14:paraId="3D4C7805">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vAlign w:val="center"/>
          </w:tcPr>
          <w:p w14:paraId="7CAC1FF6">
            <w:pPr>
              <w:adjustRightInd w:val="0"/>
              <w:spacing w:line="360" w:lineRule="auto"/>
              <w:jc w:val="center"/>
              <w:textAlignment w:val="baseline"/>
              <w:rPr>
                <w:rFonts w:ascii="宋体" w:hAnsi="宋体"/>
                <w:bCs/>
                <w:color w:val="auto"/>
                <w:kern w:val="0"/>
                <w:szCs w:val="21"/>
                <w:highlight w:val="none"/>
              </w:rPr>
            </w:pPr>
          </w:p>
        </w:tc>
        <w:tc>
          <w:tcPr>
            <w:tcW w:w="938" w:type="dxa"/>
            <w:vAlign w:val="center"/>
          </w:tcPr>
          <w:p w14:paraId="0E129795">
            <w:pPr>
              <w:pStyle w:val="242"/>
              <w:spacing w:line="360" w:lineRule="auto"/>
              <w:jc w:val="center"/>
              <w:rPr>
                <w:color w:val="auto"/>
                <w:highlight w:val="none"/>
              </w:rPr>
            </w:pPr>
            <w:r>
              <w:rPr>
                <w:rFonts w:ascii="宋体" w:hAnsi="宋体" w:eastAsia="宋体" w:cs="宋体"/>
                <w:color w:val="auto"/>
                <w:sz w:val="21"/>
                <w:highlight w:val="none"/>
              </w:rPr>
              <w:t>确保安全生产的技术组织措施</w:t>
            </w:r>
          </w:p>
        </w:tc>
        <w:tc>
          <w:tcPr>
            <w:tcW w:w="6286" w:type="dxa"/>
            <w:vAlign w:val="center"/>
          </w:tcPr>
          <w:p w14:paraId="14D9A347">
            <w:pPr>
              <w:pStyle w:val="242"/>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一档（</w:t>
            </w:r>
            <w:r>
              <w:rPr>
                <w:rFonts w:hint="eastAsia" w:ascii="宋体" w:hAnsi="宋体" w:eastAsia="宋体" w:cs="宋体"/>
                <w:color w:val="auto"/>
                <w:sz w:val="21"/>
                <w:highlight w:val="none"/>
              </w:rPr>
              <w:t>5</w:t>
            </w:r>
            <w:r>
              <w:rPr>
                <w:rFonts w:ascii="宋体" w:hAnsi="宋体" w:eastAsia="宋体" w:cs="宋体"/>
                <w:color w:val="auto"/>
                <w:sz w:val="21"/>
                <w:highlight w:val="none"/>
              </w:rPr>
              <w:t>分）：有专门的专业安全管理人员和制度，且人员配备科学合理，制度科学、合理、健全，各道工序安全技术措施针对性强，确保工程质量的技术组织措施符合实际且满足有关安全技术标准要求。现场防火、应急救援、社会治安安全措施得力。</w:t>
            </w:r>
          </w:p>
          <w:p w14:paraId="2A450357">
            <w:pPr>
              <w:pStyle w:val="242"/>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二档（</w:t>
            </w:r>
            <w:r>
              <w:rPr>
                <w:rFonts w:hint="eastAsia" w:ascii="宋体" w:hAnsi="宋体" w:eastAsia="宋体" w:cs="宋体"/>
                <w:color w:val="auto"/>
                <w:sz w:val="21"/>
                <w:highlight w:val="none"/>
              </w:rPr>
              <w:t>4</w:t>
            </w:r>
            <w:r>
              <w:rPr>
                <w:rFonts w:ascii="宋体" w:hAnsi="宋体" w:eastAsia="宋体" w:cs="宋体"/>
                <w:color w:val="auto"/>
                <w:sz w:val="21"/>
                <w:highlight w:val="none"/>
              </w:rPr>
              <w:t>分）：有专门的专业安全管理人员和制度，且人员配备科学合理，制度健全、合理，各道工序安全技术措施符合实际，确保工程质量的技术组织措施符合实际且基本满足有关安全技术标准要求。现场防火、应急救援、社会治安安全措施</w:t>
            </w:r>
            <w:r>
              <w:rPr>
                <w:rFonts w:hint="eastAsia" w:ascii="宋体" w:hAnsi="宋体" w:eastAsia="宋体" w:cs="宋体"/>
                <w:color w:val="auto"/>
                <w:sz w:val="21"/>
                <w:highlight w:val="none"/>
              </w:rPr>
              <w:t>符合</w:t>
            </w:r>
            <w:r>
              <w:rPr>
                <w:rFonts w:ascii="宋体" w:hAnsi="宋体" w:eastAsia="宋体" w:cs="宋体"/>
                <w:color w:val="auto"/>
                <w:sz w:val="21"/>
                <w:highlight w:val="none"/>
              </w:rPr>
              <w:t>项目要求。</w:t>
            </w:r>
          </w:p>
          <w:p w14:paraId="7E8DD3EA">
            <w:pPr>
              <w:pStyle w:val="242"/>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三档（</w:t>
            </w:r>
            <w:r>
              <w:rPr>
                <w:rFonts w:hint="eastAsia" w:ascii="宋体" w:hAnsi="宋体" w:eastAsia="宋体" w:cs="宋体"/>
                <w:color w:val="auto"/>
                <w:sz w:val="21"/>
                <w:highlight w:val="none"/>
              </w:rPr>
              <w:t>3</w:t>
            </w:r>
            <w:r>
              <w:rPr>
                <w:rFonts w:ascii="宋体" w:hAnsi="宋体" w:eastAsia="宋体" w:cs="宋体"/>
                <w:color w:val="auto"/>
                <w:sz w:val="21"/>
                <w:highlight w:val="none"/>
              </w:rPr>
              <w:t>分）：有专门的安全管理人员和制度，且人员配备合理，制度健全，各道工序安全技术措施</w:t>
            </w:r>
            <w:r>
              <w:rPr>
                <w:rFonts w:hint="eastAsia" w:ascii="宋体" w:hAnsi="宋体" w:eastAsia="宋体" w:cs="宋体"/>
                <w:color w:val="auto"/>
                <w:sz w:val="21"/>
                <w:highlight w:val="none"/>
              </w:rPr>
              <w:t>基本</w:t>
            </w:r>
            <w:r>
              <w:rPr>
                <w:rFonts w:ascii="宋体" w:hAnsi="宋体" w:eastAsia="宋体" w:cs="宋体"/>
                <w:color w:val="auto"/>
                <w:sz w:val="21"/>
                <w:highlight w:val="none"/>
              </w:rPr>
              <w:t>符合项目实际，确保工程质量的技术组织措施符合实际且基本满足有关安全技术标准要求。现场防火、应急救援、社会治安安全措施</w:t>
            </w:r>
            <w:r>
              <w:rPr>
                <w:rFonts w:hint="eastAsia" w:ascii="宋体" w:hAnsi="宋体" w:eastAsia="宋体" w:cs="宋体"/>
                <w:color w:val="auto"/>
                <w:sz w:val="21"/>
                <w:highlight w:val="none"/>
              </w:rPr>
              <w:t>符合</w:t>
            </w:r>
            <w:r>
              <w:rPr>
                <w:rFonts w:ascii="宋体" w:hAnsi="宋体" w:eastAsia="宋体" w:cs="宋体"/>
                <w:color w:val="auto"/>
                <w:sz w:val="21"/>
                <w:highlight w:val="none"/>
              </w:rPr>
              <w:t>项目要求。</w:t>
            </w:r>
          </w:p>
          <w:p w14:paraId="43ADDC53">
            <w:pPr>
              <w:pStyle w:val="242"/>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四档（</w:t>
            </w:r>
            <w:r>
              <w:rPr>
                <w:rFonts w:hint="eastAsia" w:ascii="宋体" w:hAnsi="宋体" w:eastAsia="宋体" w:cs="宋体"/>
                <w:color w:val="auto"/>
                <w:sz w:val="21"/>
                <w:highlight w:val="none"/>
              </w:rPr>
              <w:t>2</w:t>
            </w:r>
            <w:r>
              <w:rPr>
                <w:rFonts w:ascii="宋体" w:hAnsi="宋体" w:eastAsia="宋体" w:cs="宋体"/>
                <w:color w:val="auto"/>
                <w:sz w:val="21"/>
                <w:highlight w:val="none"/>
              </w:rPr>
              <w:t>分）：有专门的安全管理人员和制度，人员配备基本合理，制度内容</w:t>
            </w:r>
            <w:r>
              <w:rPr>
                <w:rFonts w:hint="eastAsia" w:ascii="宋体" w:hAnsi="宋体" w:eastAsia="宋体" w:cs="宋体"/>
                <w:color w:val="auto"/>
                <w:sz w:val="21"/>
                <w:highlight w:val="none"/>
              </w:rPr>
              <w:t>简单</w:t>
            </w:r>
            <w:r>
              <w:rPr>
                <w:rFonts w:ascii="宋体" w:hAnsi="宋体" w:eastAsia="宋体" w:cs="宋体"/>
                <w:color w:val="auto"/>
                <w:sz w:val="21"/>
                <w:highlight w:val="none"/>
              </w:rPr>
              <w:t>，各道工序安全技术措施针对性</w:t>
            </w:r>
            <w:r>
              <w:rPr>
                <w:rFonts w:hint="eastAsia" w:ascii="宋体" w:hAnsi="宋体" w:eastAsia="宋体" w:cs="宋体"/>
                <w:color w:val="auto"/>
                <w:sz w:val="21"/>
                <w:highlight w:val="none"/>
              </w:rPr>
              <w:t>不强</w:t>
            </w:r>
            <w:r>
              <w:rPr>
                <w:rFonts w:ascii="宋体" w:hAnsi="宋体" w:eastAsia="宋体" w:cs="宋体"/>
                <w:color w:val="auto"/>
                <w:sz w:val="21"/>
                <w:highlight w:val="none"/>
              </w:rPr>
              <w:t>，确保工程质量的技术组织措施符合实际且基本满足有关安全技术标准要求。现场防火、应急救援、社会治安安全措施</w:t>
            </w:r>
            <w:r>
              <w:rPr>
                <w:rFonts w:hint="eastAsia" w:ascii="宋体" w:hAnsi="宋体" w:eastAsia="宋体" w:cs="宋体"/>
                <w:color w:val="auto"/>
                <w:sz w:val="21"/>
                <w:highlight w:val="none"/>
              </w:rPr>
              <w:t>不具体</w:t>
            </w:r>
            <w:r>
              <w:rPr>
                <w:rFonts w:ascii="宋体" w:hAnsi="宋体" w:eastAsia="宋体" w:cs="宋体"/>
                <w:color w:val="auto"/>
                <w:sz w:val="21"/>
                <w:highlight w:val="none"/>
              </w:rPr>
              <w:t>。</w:t>
            </w:r>
          </w:p>
          <w:p w14:paraId="6227F42B">
            <w:pPr>
              <w:pStyle w:val="242"/>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五档（</w:t>
            </w:r>
            <w:r>
              <w:rPr>
                <w:rFonts w:hint="eastAsia" w:ascii="宋体" w:hAnsi="宋体" w:eastAsia="宋体" w:cs="宋体"/>
                <w:color w:val="auto"/>
                <w:sz w:val="21"/>
                <w:highlight w:val="none"/>
              </w:rPr>
              <w:t>1</w:t>
            </w:r>
            <w:r>
              <w:rPr>
                <w:rFonts w:ascii="宋体" w:hAnsi="宋体" w:eastAsia="宋体" w:cs="宋体"/>
                <w:color w:val="auto"/>
                <w:sz w:val="21"/>
                <w:highlight w:val="none"/>
              </w:rPr>
              <w:t>分）：有专门的安全管理人员和制度，人员配备不合理，制度不健全，各道工序安全技术措施无针对性，不满足有关安全技术标准要求。现场防火、应急救援、社会治安安全措施不得力。</w:t>
            </w:r>
          </w:p>
        </w:tc>
        <w:tc>
          <w:tcPr>
            <w:tcW w:w="853" w:type="dxa"/>
            <w:vAlign w:val="center"/>
          </w:tcPr>
          <w:p w14:paraId="2F5EC1E5">
            <w:pPr>
              <w:spacing w:line="360" w:lineRule="auto"/>
              <w:jc w:val="center"/>
              <w:rPr>
                <w:color w:val="auto"/>
                <w:highlight w:val="none"/>
              </w:rPr>
            </w:pPr>
            <w:r>
              <w:rPr>
                <w:rFonts w:hint="eastAsia" w:ascii="宋体" w:hAnsi="宋体" w:cs="Tahoma"/>
                <w:color w:val="auto"/>
                <w:kern w:val="0"/>
                <w:szCs w:val="21"/>
                <w:highlight w:val="none"/>
              </w:rPr>
              <w:t>5分</w:t>
            </w:r>
          </w:p>
        </w:tc>
      </w:tr>
      <w:tr w14:paraId="7EA0B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vAlign w:val="center"/>
          </w:tcPr>
          <w:p w14:paraId="4CCEFD43">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vAlign w:val="center"/>
          </w:tcPr>
          <w:p w14:paraId="786CAF89">
            <w:pPr>
              <w:adjustRightInd w:val="0"/>
              <w:spacing w:line="360" w:lineRule="auto"/>
              <w:jc w:val="center"/>
              <w:textAlignment w:val="baseline"/>
              <w:rPr>
                <w:rFonts w:ascii="宋体" w:hAnsi="宋体"/>
                <w:bCs/>
                <w:color w:val="auto"/>
                <w:kern w:val="0"/>
                <w:szCs w:val="21"/>
                <w:highlight w:val="none"/>
              </w:rPr>
            </w:pPr>
          </w:p>
        </w:tc>
        <w:tc>
          <w:tcPr>
            <w:tcW w:w="938" w:type="dxa"/>
            <w:vAlign w:val="center"/>
          </w:tcPr>
          <w:p w14:paraId="38E54B12">
            <w:pPr>
              <w:pStyle w:val="242"/>
              <w:spacing w:line="360" w:lineRule="auto"/>
              <w:jc w:val="center"/>
              <w:rPr>
                <w:color w:val="auto"/>
                <w:highlight w:val="none"/>
              </w:rPr>
            </w:pPr>
            <w:r>
              <w:rPr>
                <w:rFonts w:ascii="宋体" w:hAnsi="宋体" w:eastAsia="宋体" w:cs="宋体"/>
                <w:color w:val="auto"/>
                <w:sz w:val="21"/>
                <w:highlight w:val="none"/>
              </w:rPr>
              <w:t>确保工期的技术组织措施</w:t>
            </w:r>
          </w:p>
        </w:tc>
        <w:tc>
          <w:tcPr>
            <w:tcW w:w="6286" w:type="dxa"/>
            <w:vAlign w:val="center"/>
          </w:tcPr>
          <w:p w14:paraId="38DBB204">
            <w:pPr>
              <w:pStyle w:val="242"/>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一档（</w:t>
            </w:r>
            <w:r>
              <w:rPr>
                <w:rFonts w:hint="eastAsia" w:ascii="宋体" w:hAnsi="宋体" w:eastAsia="宋体" w:cs="宋体"/>
                <w:color w:val="auto"/>
                <w:sz w:val="21"/>
                <w:highlight w:val="none"/>
              </w:rPr>
              <w:t>5</w:t>
            </w:r>
            <w:r>
              <w:rPr>
                <w:rFonts w:ascii="宋体" w:hAnsi="宋体" w:eastAsia="宋体" w:cs="宋体"/>
                <w:color w:val="auto"/>
                <w:sz w:val="21"/>
                <w:highlight w:val="none"/>
              </w:rPr>
              <w:t>分）：在施工工艺、施工方法、材料选用、劳动力安排、技术等方面有保证工期的具体措施且措施得当，针对赶工措施有具体的表述，赶工措施合理科学，可操作性高。有控制工期的施工进度计划。有施工总进度表或施工网络图，各项计划图表编制完善，安排科学合理，符合本项目施工实</w:t>
            </w:r>
            <w:r>
              <w:rPr>
                <w:rFonts w:hint="eastAsia" w:ascii="宋体" w:hAnsi="宋体" w:eastAsia="宋体" w:cs="宋体"/>
                <w:color w:val="auto"/>
                <w:sz w:val="21"/>
                <w:highlight w:val="none"/>
              </w:rPr>
              <w:t>际要</w:t>
            </w:r>
            <w:r>
              <w:rPr>
                <w:rFonts w:ascii="宋体" w:hAnsi="宋体" w:eastAsia="宋体" w:cs="宋体"/>
                <w:color w:val="auto"/>
                <w:sz w:val="21"/>
                <w:highlight w:val="none"/>
              </w:rPr>
              <w:t>求。</w:t>
            </w:r>
          </w:p>
          <w:p w14:paraId="3FFDC183">
            <w:pPr>
              <w:pStyle w:val="242"/>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二档（</w:t>
            </w:r>
            <w:r>
              <w:rPr>
                <w:rFonts w:hint="eastAsia" w:ascii="宋体" w:hAnsi="宋体" w:eastAsia="宋体" w:cs="宋体"/>
                <w:color w:val="auto"/>
                <w:sz w:val="21"/>
                <w:highlight w:val="none"/>
              </w:rPr>
              <w:t>4</w:t>
            </w:r>
            <w:r>
              <w:rPr>
                <w:rFonts w:ascii="宋体" w:hAnsi="宋体" w:eastAsia="宋体" w:cs="宋体"/>
                <w:color w:val="auto"/>
                <w:sz w:val="21"/>
                <w:highlight w:val="none"/>
              </w:rPr>
              <w:t>分）：在施工工艺、施工方法、材料选用、劳动力安排、技术等方面有保证工期的措施，有赶工措施。有控制工期的施工进度计划。有施工总进度表或施工网络图，各项计划图表编制</w:t>
            </w:r>
            <w:r>
              <w:rPr>
                <w:rFonts w:hint="eastAsia" w:ascii="宋体" w:hAnsi="宋体" w:eastAsia="宋体" w:cs="宋体"/>
                <w:color w:val="auto"/>
                <w:sz w:val="21"/>
                <w:highlight w:val="none"/>
              </w:rPr>
              <w:t>要素</w:t>
            </w:r>
            <w:r>
              <w:rPr>
                <w:rFonts w:ascii="宋体" w:hAnsi="宋体" w:eastAsia="宋体" w:cs="宋体"/>
                <w:color w:val="auto"/>
                <w:sz w:val="21"/>
                <w:highlight w:val="none"/>
              </w:rPr>
              <w:t>基本齐全，安排合理，基本符合本项目施工实际要求。</w:t>
            </w:r>
          </w:p>
          <w:p w14:paraId="006E2A11">
            <w:pPr>
              <w:pStyle w:val="242"/>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三档（</w:t>
            </w:r>
            <w:r>
              <w:rPr>
                <w:rFonts w:hint="eastAsia" w:ascii="宋体" w:hAnsi="宋体" w:eastAsia="宋体" w:cs="宋体"/>
                <w:color w:val="auto"/>
                <w:sz w:val="21"/>
                <w:highlight w:val="none"/>
              </w:rPr>
              <w:t>3</w:t>
            </w:r>
            <w:r>
              <w:rPr>
                <w:rFonts w:ascii="宋体" w:hAnsi="宋体" w:eastAsia="宋体" w:cs="宋体"/>
                <w:color w:val="auto"/>
                <w:sz w:val="21"/>
                <w:highlight w:val="none"/>
              </w:rPr>
              <w:t>分）：在施工工艺、施工方法、材料选用、劳动力安排、技术等方面有保证工期的措施但措施基本可行，</w:t>
            </w:r>
            <w:r>
              <w:rPr>
                <w:rFonts w:hint="eastAsia" w:ascii="宋体" w:hAnsi="宋体" w:eastAsia="宋体" w:cs="宋体"/>
                <w:color w:val="auto"/>
                <w:sz w:val="21"/>
                <w:highlight w:val="none"/>
              </w:rPr>
              <w:t>没有</w:t>
            </w:r>
            <w:r>
              <w:rPr>
                <w:rFonts w:ascii="宋体" w:hAnsi="宋体" w:eastAsia="宋体" w:cs="宋体"/>
                <w:color w:val="auto"/>
                <w:sz w:val="21"/>
                <w:highlight w:val="none"/>
              </w:rPr>
              <w:t>赶工措施。有控制工期的施工进度计划但不科学。有施工总进度表或施工网络图，各项计划图表编制</w:t>
            </w:r>
            <w:r>
              <w:rPr>
                <w:rFonts w:hint="eastAsia" w:ascii="宋体" w:hAnsi="宋体" w:eastAsia="宋体" w:cs="宋体"/>
                <w:color w:val="auto"/>
                <w:sz w:val="21"/>
                <w:highlight w:val="none"/>
              </w:rPr>
              <w:t>简单</w:t>
            </w:r>
            <w:r>
              <w:rPr>
                <w:rFonts w:ascii="宋体" w:hAnsi="宋体" w:eastAsia="宋体" w:cs="宋体"/>
                <w:color w:val="auto"/>
                <w:sz w:val="21"/>
                <w:highlight w:val="none"/>
              </w:rPr>
              <w:t>，安排基本合理，仅基本符合本项目施工实际要求。</w:t>
            </w:r>
          </w:p>
          <w:p w14:paraId="743ED105">
            <w:pPr>
              <w:pStyle w:val="242"/>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四档（</w:t>
            </w:r>
            <w:r>
              <w:rPr>
                <w:rFonts w:hint="eastAsia" w:ascii="宋体" w:hAnsi="宋体" w:eastAsia="宋体" w:cs="宋体"/>
                <w:color w:val="auto"/>
                <w:sz w:val="21"/>
                <w:highlight w:val="none"/>
              </w:rPr>
              <w:t>2</w:t>
            </w:r>
            <w:r>
              <w:rPr>
                <w:rFonts w:ascii="宋体" w:hAnsi="宋体" w:eastAsia="宋体" w:cs="宋体"/>
                <w:color w:val="auto"/>
                <w:sz w:val="21"/>
                <w:highlight w:val="none"/>
              </w:rPr>
              <w:t>分）：在施工工艺、施工方法、材料选用、劳动力安排、技术等方面有保证工期的措施</w:t>
            </w:r>
            <w:r>
              <w:rPr>
                <w:rFonts w:hint="eastAsia" w:ascii="宋体" w:hAnsi="宋体" w:eastAsia="宋体" w:cs="宋体"/>
                <w:color w:val="auto"/>
                <w:sz w:val="21"/>
                <w:highlight w:val="none"/>
              </w:rPr>
              <w:t>有</w:t>
            </w:r>
            <w:r>
              <w:rPr>
                <w:rFonts w:ascii="宋体" w:hAnsi="宋体" w:eastAsia="宋体" w:cs="宋体"/>
                <w:color w:val="auto"/>
                <w:sz w:val="21"/>
                <w:highlight w:val="none"/>
              </w:rPr>
              <w:t>缺陷但勉强</w:t>
            </w:r>
            <w:r>
              <w:rPr>
                <w:rFonts w:hint="eastAsia" w:ascii="宋体" w:hAnsi="宋体" w:eastAsia="宋体" w:cs="宋体"/>
                <w:color w:val="auto"/>
                <w:sz w:val="21"/>
                <w:highlight w:val="none"/>
              </w:rPr>
              <w:t>符合项目实际</w:t>
            </w:r>
            <w:r>
              <w:rPr>
                <w:rFonts w:ascii="宋体" w:hAnsi="宋体" w:eastAsia="宋体" w:cs="宋体"/>
                <w:color w:val="auto"/>
                <w:sz w:val="21"/>
                <w:highlight w:val="none"/>
              </w:rPr>
              <w:t>。有控制工期的施工进度计划但不科学。有施工总进度表或施工网络图，各项计划图表编制</w:t>
            </w:r>
            <w:r>
              <w:rPr>
                <w:rFonts w:hint="eastAsia" w:ascii="宋体" w:hAnsi="宋体" w:eastAsia="宋体" w:cs="宋体"/>
                <w:color w:val="auto"/>
                <w:sz w:val="21"/>
                <w:highlight w:val="none"/>
              </w:rPr>
              <w:t>简单</w:t>
            </w:r>
            <w:r>
              <w:rPr>
                <w:rFonts w:ascii="宋体" w:hAnsi="宋体" w:eastAsia="宋体" w:cs="宋体"/>
                <w:color w:val="auto"/>
                <w:sz w:val="21"/>
                <w:highlight w:val="none"/>
              </w:rPr>
              <w:t>且有错漏，安排基本合理，仅基本符合本项目施工实际要求。</w:t>
            </w:r>
          </w:p>
          <w:p w14:paraId="4B651B30">
            <w:pPr>
              <w:pStyle w:val="242"/>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五档（</w:t>
            </w:r>
            <w:r>
              <w:rPr>
                <w:rFonts w:hint="eastAsia" w:ascii="宋体" w:hAnsi="宋体" w:eastAsia="宋体" w:cs="宋体"/>
                <w:color w:val="auto"/>
                <w:sz w:val="21"/>
                <w:highlight w:val="none"/>
              </w:rPr>
              <w:t>1</w:t>
            </w:r>
            <w:r>
              <w:rPr>
                <w:rFonts w:ascii="宋体" w:hAnsi="宋体" w:eastAsia="宋体" w:cs="宋体"/>
                <w:color w:val="auto"/>
                <w:sz w:val="21"/>
                <w:highlight w:val="none"/>
              </w:rPr>
              <w:t>分）：在施工工艺、施工方法、材料选用、劳动力安排、技术等方面有保证工期的措施但措施差。无控制工期的施工进度计划。无施工总进度表或施工网络图，不符合本项目施工实际要求。</w:t>
            </w:r>
          </w:p>
        </w:tc>
        <w:tc>
          <w:tcPr>
            <w:tcW w:w="853" w:type="dxa"/>
            <w:vAlign w:val="center"/>
          </w:tcPr>
          <w:p w14:paraId="496A8BB9">
            <w:pPr>
              <w:spacing w:line="360" w:lineRule="auto"/>
              <w:jc w:val="center"/>
              <w:rPr>
                <w:color w:val="auto"/>
                <w:highlight w:val="none"/>
              </w:rPr>
            </w:pPr>
            <w:r>
              <w:rPr>
                <w:rFonts w:hint="eastAsia" w:ascii="宋体" w:hAnsi="宋体" w:cs="Tahoma"/>
                <w:color w:val="auto"/>
                <w:kern w:val="0"/>
                <w:szCs w:val="21"/>
                <w:highlight w:val="none"/>
              </w:rPr>
              <w:t>5分</w:t>
            </w:r>
          </w:p>
        </w:tc>
      </w:tr>
      <w:tr w14:paraId="67D24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vAlign w:val="center"/>
          </w:tcPr>
          <w:p w14:paraId="0E90EC7A">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vAlign w:val="center"/>
          </w:tcPr>
          <w:p w14:paraId="43A30C56">
            <w:pPr>
              <w:adjustRightInd w:val="0"/>
              <w:spacing w:line="360" w:lineRule="auto"/>
              <w:jc w:val="center"/>
              <w:textAlignment w:val="baseline"/>
              <w:rPr>
                <w:rFonts w:ascii="宋体" w:hAnsi="宋体"/>
                <w:bCs/>
                <w:color w:val="auto"/>
                <w:kern w:val="0"/>
                <w:szCs w:val="21"/>
                <w:highlight w:val="none"/>
              </w:rPr>
            </w:pPr>
          </w:p>
        </w:tc>
        <w:tc>
          <w:tcPr>
            <w:tcW w:w="938" w:type="dxa"/>
            <w:vAlign w:val="center"/>
          </w:tcPr>
          <w:p w14:paraId="0123E759">
            <w:pPr>
              <w:pStyle w:val="242"/>
              <w:spacing w:line="360" w:lineRule="auto"/>
              <w:jc w:val="center"/>
              <w:rPr>
                <w:color w:val="auto"/>
                <w:highlight w:val="none"/>
              </w:rPr>
            </w:pPr>
            <w:r>
              <w:rPr>
                <w:rFonts w:ascii="宋体" w:hAnsi="宋体" w:eastAsia="宋体" w:cs="宋体"/>
                <w:color w:val="auto"/>
                <w:sz w:val="21"/>
                <w:highlight w:val="none"/>
              </w:rPr>
              <w:t>确保文明施工的技术组织措施</w:t>
            </w:r>
          </w:p>
        </w:tc>
        <w:tc>
          <w:tcPr>
            <w:tcW w:w="6286" w:type="dxa"/>
            <w:vAlign w:val="center"/>
          </w:tcPr>
          <w:p w14:paraId="0ECDE921">
            <w:pPr>
              <w:pStyle w:val="242"/>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hint="eastAsia" w:ascii="宋体" w:hAnsi="宋体" w:eastAsia="宋体" w:cs="宋体"/>
                <w:color w:val="auto"/>
                <w:sz w:val="21"/>
                <w:highlight w:val="none"/>
                <w:lang w:val="en-US" w:eastAsia="zh-CN"/>
              </w:rPr>
              <w:t>一档</w:t>
            </w:r>
            <w:r>
              <w:rPr>
                <w:rFonts w:ascii="宋体" w:hAnsi="宋体" w:eastAsia="宋体" w:cs="宋体"/>
                <w:color w:val="auto"/>
                <w:sz w:val="21"/>
                <w:highlight w:val="none"/>
              </w:rPr>
              <w:t>（</w:t>
            </w:r>
            <w:r>
              <w:rPr>
                <w:rFonts w:hint="eastAsia" w:ascii="宋体" w:hAnsi="宋体" w:eastAsia="宋体" w:cs="宋体"/>
                <w:color w:val="auto"/>
                <w:sz w:val="21"/>
                <w:highlight w:val="none"/>
                <w:lang w:val="en-US" w:eastAsia="zh-CN"/>
              </w:rPr>
              <w:t>5</w:t>
            </w:r>
            <w:r>
              <w:rPr>
                <w:rFonts w:ascii="宋体" w:hAnsi="宋体" w:eastAsia="宋体" w:cs="宋体"/>
                <w:color w:val="auto"/>
                <w:sz w:val="21"/>
                <w:highlight w:val="none"/>
              </w:rPr>
              <w:t xml:space="preserve"> 分）：现场文明施工、环境保护措施和内容达到相关施工安 全生产标准或文明施工等要求；承诺创建自治区级及以上文明工地 和标准化工地，而且各项措施周全、具体、有效的。</w:t>
            </w:r>
          </w:p>
          <w:p w14:paraId="6E0FBF64">
            <w:pPr>
              <w:pStyle w:val="242"/>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hint="eastAsia" w:ascii="宋体" w:hAnsi="宋体" w:eastAsia="宋体" w:cs="宋体"/>
                <w:color w:val="auto"/>
                <w:sz w:val="21"/>
                <w:highlight w:val="none"/>
                <w:lang w:val="en-US" w:eastAsia="zh-CN"/>
              </w:rPr>
              <w:t>二挡</w:t>
            </w:r>
            <w:r>
              <w:rPr>
                <w:rFonts w:ascii="宋体" w:hAnsi="宋体" w:eastAsia="宋体" w:cs="宋体"/>
                <w:color w:val="auto"/>
                <w:sz w:val="21"/>
                <w:highlight w:val="none"/>
              </w:rPr>
              <w:t>（</w:t>
            </w:r>
            <w:r>
              <w:rPr>
                <w:rFonts w:hint="eastAsia" w:ascii="宋体" w:hAnsi="宋体" w:eastAsia="宋体" w:cs="宋体"/>
                <w:color w:val="auto"/>
                <w:sz w:val="21"/>
                <w:highlight w:val="none"/>
                <w:lang w:val="en-US" w:eastAsia="zh-CN"/>
              </w:rPr>
              <w:t>4</w:t>
            </w:r>
            <w:r>
              <w:rPr>
                <w:rFonts w:ascii="宋体" w:hAnsi="宋体" w:eastAsia="宋体" w:cs="宋体"/>
                <w:color w:val="auto"/>
                <w:sz w:val="21"/>
                <w:highlight w:val="none"/>
              </w:rPr>
              <w:t xml:space="preserve"> 分）：现场文明施工、环境保护措施和内容达到相关施工安 全生产标准或文明施工要求的；承诺创建市级文明工地和标准化工 地，而且各项措施周全、具体、有效的。</w:t>
            </w:r>
          </w:p>
          <w:p w14:paraId="50A293A8">
            <w:pPr>
              <w:pStyle w:val="242"/>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hint="eastAsia" w:ascii="宋体" w:hAnsi="宋体" w:eastAsia="宋体" w:cs="宋体"/>
                <w:color w:val="auto"/>
                <w:sz w:val="21"/>
                <w:highlight w:val="none"/>
                <w:lang w:val="en-US" w:eastAsia="zh-CN"/>
              </w:rPr>
              <w:t>三挡</w:t>
            </w:r>
            <w:r>
              <w:rPr>
                <w:rFonts w:ascii="宋体" w:hAnsi="宋体" w:eastAsia="宋体" w:cs="宋体"/>
                <w:color w:val="auto"/>
                <w:sz w:val="21"/>
                <w:highlight w:val="none"/>
              </w:rPr>
              <w:t>（</w:t>
            </w:r>
            <w:r>
              <w:rPr>
                <w:rFonts w:hint="eastAsia" w:ascii="宋体" w:hAnsi="宋体" w:eastAsia="宋体" w:cs="宋体"/>
                <w:color w:val="auto"/>
                <w:sz w:val="21"/>
                <w:highlight w:val="none"/>
                <w:lang w:val="en-US" w:eastAsia="zh-CN"/>
              </w:rPr>
              <w:t>3</w:t>
            </w:r>
            <w:r>
              <w:rPr>
                <w:rFonts w:ascii="宋体" w:hAnsi="宋体" w:eastAsia="宋体" w:cs="宋体"/>
                <w:color w:val="auto"/>
                <w:sz w:val="21"/>
                <w:highlight w:val="none"/>
              </w:rPr>
              <w:t xml:space="preserve"> 分）：现场文明施工、环境保护措施和内容基本达到相关施 工安全生产标准或文明施工要求的；有具体实现现场文明施工目标 的承诺，而且各项措施基本周全、具体、有效的。</w:t>
            </w:r>
          </w:p>
          <w:p w14:paraId="1BACFDEB">
            <w:pPr>
              <w:pStyle w:val="242"/>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hint="eastAsia" w:ascii="宋体" w:hAnsi="宋体" w:eastAsia="宋体" w:cs="宋体"/>
                <w:color w:val="auto"/>
                <w:sz w:val="21"/>
                <w:highlight w:val="none"/>
                <w:lang w:val="en-US" w:eastAsia="zh-CN"/>
              </w:rPr>
              <w:t>四挡</w:t>
            </w:r>
            <w:r>
              <w:rPr>
                <w:rFonts w:ascii="宋体" w:hAnsi="宋体" w:eastAsia="宋体" w:cs="宋体"/>
                <w:color w:val="auto"/>
                <w:sz w:val="21"/>
                <w:highlight w:val="none"/>
              </w:rPr>
              <w:t>（2 分）：现场文明施工、环境保护措施和内容与相关施工安全 生产标准或文明施工要求的的要求偏差大，有监督的现场文明施工 目标的承诺。</w:t>
            </w:r>
          </w:p>
          <w:p w14:paraId="560E0E2B">
            <w:pPr>
              <w:pStyle w:val="242"/>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五档（</w:t>
            </w:r>
            <w:r>
              <w:rPr>
                <w:rFonts w:hint="eastAsia" w:ascii="宋体" w:hAnsi="宋体" w:eastAsia="宋体" w:cs="宋体"/>
                <w:color w:val="auto"/>
                <w:sz w:val="21"/>
                <w:highlight w:val="none"/>
              </w:rPr>
              <w:t>1</w:t>
            </w:r>
            <w:r>
              <w:rPr>
                <w:rFonts w:ascii="宋体" w:hAnsi="宋体" w:eastAsia="宋体" w:cs="宋体"/>
                <w:color w:val="auto"/>
                <w:sz w:val="21"/>
                <w:highlight w:val="none"/>
              </w:rPr>
              <w:t>分）：</w:t>
            </w:r>
            <w:r>
              <w:rPr>
                <w:rFonts w:hint="eastAsia" w:ascii="宋体" w:hAnsi="宋体" w:eastAsia="宋体" w:cs="宋体"/>
                <w:color w:val="auto"/>
                <w:sz w:val="21"/>
                <w:highlight w:val="none"/>
              </w:rPr>
              <w:t>没</w:t>
            </w:r>
            <w:r>
              <w:rPr>
                <w:rFonts w:ascii="宋体" w:hAnsi="宋体" w:eastAsia="宋体" w:cs="宋体"/>
                <w:color w:val="auto"/>
                <w:sz w:val="21"/>
                <w:highlight w:val="none"/>
              </w:rPr>
              <w:t>有现场文明施工、环境保护措施。无具体实现现场文明施工目标的承诺。</w:t>
            </w:r>
          </w:p>
        </w:tc>
        <w:tc>
          <w:tcPr>
            <w:tcW w:w="853" w:type="dxa"/>
            <w:vAlign w:val="center"/>
          </w:tcPr>
          <w:p w14:paraId="5A674E9A">
            <w:pPr>
              <w:spacing w:line="360" w:lineRule="auto"/>
              <w:jc w:val="center"/>
              <w:rPr>
                <w:color w:val="auto"/>
                <w:highlight w:val="none"/>
              </w:rPr>
            </w:pPr>
            <w:r>
              <w:rPr>
                <w:rFonts w:hint="eastAsia" w:ascii="宋体" w:hAnsi="宋体" w:cs="Tahoma"/>
                <w:color w:val="auto"/>
                <w:kern w:val="0"/>
                <w:szCs w:val="21"/>
                <w:highlight w:val="none"/>
              </w:rPr>
              <w:t>5分</w:t>
            </w:r>
          </w:p>
        </w:tc>
      </w:tr>
      <w:tr w14:paraId="2C802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vAlign w:val="center"/>
          </w:tcPr>
          <w:p w14:paraId="2F5AA6F8">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vAlign w:val="center"/>
          </w:tcPr>
          <w:p w14:paraId="57C5A032">
            <w:pPr>
              <w:adjustRightInd w:val="0"/>
              <w:spacing w:line="360" w:lineRule="auto"/>
              <w:jc w:val="center"/>
              <w:textAlignment w:val="baseline"/>
              <w:rPr>
                <w:rFonts w:ascii="宋体" w:hAnsi="宋体"/>
                <w:bCs/>
                <w:color w:val="auto"/>
                <w:kern w:val="0"/>
                <w:szCs w:val="21"/>
                <w:highlight w:val="none"/>
              </w:rPr>
            </w:pPr>
          </w:p>
        </w:tc>
        <w:tc>
          <w:tcPr>
            <w:tcW w:w="938" w:type="dxa"/>
            <w:vAlign w:val="center"/>
          </w:tcPr>
          <w:p w14:paraId="3DF8DCCE">
            <w:pPr>
              <w:pStyle w:val="242"/>
              <w:spacing w:line="360" w:lineRule="auto"/>
              <w:jc w:val="center"/>
              <w:rPr>
                <w:color w:val="auto"/>
                <w:highlight w:val="none"/>
              </w:rPr>
            </w:pPr>
            <w:r>
              <w:rPr>
                <w:rFonts w:ascii="宋体" w:hAnsi="宋体" w:eastAsia="宋体" w:cs="宋体"/>
                <w:color w:val="auto"/>
                <w:sz w:val="21"/>
                <w:highlight w:val="none"/>
              </w:rPr>
              <w:t>工程施工的重点和难点及保证措施</w:t>
            </w:r>
          </w:p>
        </w:tc>
        <w:tc>
          <w:tcPr>
            <w:tcW w:w="6286" w:type="dxa"/>
            <w:vAlign w:val="center"/>
          </w:tcPr>
          <w:p w14:paraId="7060E51D">
            <w:pPr>
              <w:pStyle w:val="242"/>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一档（</w:t>
            </w:r>
            <w:r>
              <w:rPr>
                <w:rFonts w:hint="eastAsia" w:ascii="宋体" w:hAnsi="宋体" w:eastAsia="宋体" w:cs="宋体"/>
                <w:color w:val="auto"/>
                <w:sz w:val="21"/>
                <w:highlight w:val="none"/>
              </w:rPr>
              <w:t>5</w:t>
            </w:r>
            <w:r>
              <w:rPr>
                <w:rFonts w:ascii="宋体" w:hAnsi="宋体" w:eastAsia="宋体" w:cs="宋体"/>
                <w:color w:val="auto"/>
                <w:sz w:val="21"/>
                <w:highlight w:val="none"/>
              </w:rPr>
              <w:t>分）：针对本工程的特点，阐述本工程的重点和难点，解决重点和难点问题的方法科学合理且全面。</w:t>
            </w:r>
          </w:p>
          <w:p w14:paraId="00908F3E">
            <w:pPr>
              <w:pStyle w:val="242"/>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二档（</w:t>
            </w:r>
            <w:r>
              <w:rPr>
                <w:rFonts w:hint="eastAsia" w:ascii="宋体" w:hAnsi="宋体" w:eastAsia="宋体" w:cs="宋体"/>
                <w:color w:val="auto"/>
                <w:sz w:val="21"/>
                <w:highlight w:val="none"/>
              </w:rPr>
              <w:t>4</w:t>
            </w:r>
            <w:r>
              <w:rPr>
                <w:rFonts w:ascii="宋体" w:hAnsi="宋体" w:eastAsia="宋体" w:cs="宋体"/>
                <w:color w:val="auto"/>
                <w:sz w:val="21"/>
                <w:highlight w:val="none"/>
              </w:rPr>
              <w:t>分）：针对本工程的特点，阐述本工程的重点和难点，解决重点和难点问题的方法合理。</w:t>
            </w:r>
          </w:p>
          <w:p w14:paraId="01C6FE3D">
            <w:pPr>
              <w:pStyle w:val="242"/>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三档（</w:t>
            </w:r>
            <w:r>
              <w:rPr>
                <w:rFonts w:hint="eastAsia" w:ascii="宋体" w:hAnsi="宋体" w:eastAsia="宋体" w:cs="宋体"/>
                <w:color w:val="auto"/>
                <w:sz w:val="21"/>
                <w:highlight w:val="none"/>
              </w:rPr>
              <w:t>3</w:t>
            </w:r>
            <w:r>
              <w:rPr>
                <w:rFonts w:ascii="宋体" w:hAnsi="宋体" w:eastAsia="宋体" w:cs="宋体"/>
                <w:color w:val="auto"/>
                <w:sz w:val="21"/>
                <w:highlight w:val="none"/>
              </w:rPr>
              <w:t>分）：针对本工程的特点，阐述本工程的重点和难点，解决重点和难点问题的方法</w:t>
            </w:r>
            <w:r>
              <w:rPr>
                <w:rFonts w:hint="eastAsia" w:ascii="宋体" w:hAnsi="宋体" w:eastAsia="宋体" w:cs="宋体"/>
                <w:color w:val="auto"/>
                <w:sz w:val="21"/>
                <w:highlight w:val="none"/>
              </w:rPr>
              <w:t>简单</w:t>
            </w:r>
            <w:r>
              <w:rPr>
                <w:rFonts w:ascii="宋体" w:hAnsi="宋体" w:eastAsia="宋体" w:cs="宋体"/>
                <w:color w:val="auto"/>
                <w:sz w:val="21"/>
                <w:highlight w:val="none"/>
              </w:rPr>
              <w:t>但基本合理。</w:t>
            </w:r>
          </w:p>
          <w:p w14:paraId="3BB7BA2C">
            <w:pPr>
              <w:pStyle w:val="242"/>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四档（</w:t>
            </w:r>
            <w:r>
              <w:rPr>
                <w:rFonts w:hint="eastAsia" w:ascii="宋体" w:hAnsi="宋体" w:eastAsia="宋体" w:cs="宋体"/>
                <w:color w:val="auto"/>
                <w:sz w:val="21"/>
                <w:highlight w:val="none"/>
              </w:rPr>
              <w:t>2</w:t>
            </w:r>
            <w:r>
              <w:rPr>
                <w:rFonts w:ascii="宋体" w:hAnsi="宋体" w:eastAsia="宋体" w:cs="宋体"/>
                <w:color w:val="auto"/>
                <w:sz w:val="21"/>
                <w:highlight w:val="none"/>
              </w:rPr>
              <w:t>分）：针对本工程的特点，阐述本工程的重点和难点，解决重点和难点问题的方法</w:t>
            </w:r>
            <w:r>
              <w:rPr>
                <w:rFonts w:hint="eastAsia" w:ascii="宋体" w:hAnsi="宋体" w:eastAsia="宋体" w:cs="宋体"/>
                <w:color w:val="auto"/>
                <w:sz w:val="21"/>
                <w:highlight w:val="none"/>
              </w:rPr>
              <w:t>有</w:t>
            </w:r>
            <w:r>
              <w:rPr>
                <w:rFonts w:ascii="宋体" w:hAnsi="宋体" w:eastAsia="宋体" w:cs="宋体"/>
                <w:color w:val="auto"/>
                <w:sz w:val="21"/>
                <w:highlight w:val="none"/>
              </w:rPr>
              <w:t>缺陷。</w:t>
            </w:r>
          </w:p>
          <w:p w14:paraId="0E9C5365">
            <w:pPr>
              <w:pStyle w:val="242"/>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五档（</w:t>
            </w:r>
            <w:r>
              <w:rPr>
                <w:rFonts w:hint="eastAsia" w:ascii="宋体" w:hAnsi="宋体" w:eastAsia="宋体" w:cs="宋体"/>
                <w:color w:val="auto"/>
                <w:sz w:val="21"/>
                <w:highlight w:val="none"/>
              </w:rPr>
              <w:t>1</w:t>
            </w:r>
            <w:r>
              <w:rPr>
                <w:rFonts w:ascii="宋体" w:hAnsi="宋体" w:eastAsia="宋体" w:cs="宋体"/>
                <w:color w:val="auto"/>
                <w:sz w:val="21"/>
                <w:highlight w:val="none"/>
              </w:rPr>
              <w:t>分）：未针对本工程的特点，阐述本工程的重点和难点，解决重点和难点问题的方法不合理。</w:t>
            </w:r>
          </w:p>
        </w:tc>
        <w:tc>
          <w:tcPr>
            <w:tcW w:w="853" w:type="dxa"/>
            <w:vAlign w:val="center"/>
          </w:tcPr>
          <w:p w14:paraId="22BDC12D">
            <w:pPr>
              <w:spacing w:line="360" w:lineRule="auto"/>
              <w:jc w:val="center"/>
              <w:rPr>
                <w:color w:val="auto"/>
                <w:highlight w:val="none"/>
              </w:rPr>
            </w:pPr>
            <w:r>
              <w:rPr>
                <w:rFonts w:hint="eastAsia" w:ascii="宋体" w:hAnsi="宋体" w:cs="Tahoma"/>
                <w:color w:val="auto"/>
                <w:kern w:val="0"/>
                <w:szCs w:val="21"/>
                <w:highlight w:val="none"/>
              </w:rPr>
              <w:t>5分</w:t>
            </w:r>
          </w:p>
        </w:tc>
      </w:tr>
      <w:tr w14:paraId="03B6F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vAlign w:val="center"/>
          </w:tcPr>
          <w:p w14:paraId="70C35F41">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vAlign w:val="center"/>
          </w:tcPr>
          <w:p w14:paraId="66236476">
            <w:pPr>
              <w:adjustRightInd w:val="0"/>
              <w:spacing w:line="360" w:lineRule="auto"/>
              <w:jc w:val="center"/>
              <w:textAlignment w:val="baseline"/>
              <w:rPr>
                <w:rFonts w:ascii="宋体" w:hAnsi="宋体"/>
                <w:bCs/>
                <w:color w:val="auto"/>
                <w:kern w:val="0"/>
                <w:szCs w:val="21"/>
                <w:highlight w:val="none"/>
              </w:rPr>
            </w:pPr>
          </w:p>
        </w:tc>
        <w:tc>
          <w:tcPr>
            <w:tcW w:w="938" w:type="dxa"/>
            <w:vAlign w:val="center"/>
          </w:tcPr>
          <w:p w14:paraId="65B06E92">
            <w:pPr>
              <w:pStyle w:val="242"/>
              <w:spacing w:line="360" w:lineRule="auto"/>
              <w:jc w:val="center"/>
              <w:rPr>
                <w:color w:val="auto"/>
                <w:highlight w:val="none"/>
              </w:rPr>
            </w:pPr>
            <w:r>
              <w:rPr>
                <w:rFonts w:ascii="宋体" w:hAnsi="宋体" w:eastAsia="宋体" w:cs="宋体"/>
                <w:color w:val="auto"/>
                <w:sz w:val="21"/>
                <w:highlight w:val="none"/>
              </w:rPr>
              <w:t>施工总平面布置图</w:t>
            </w:r>
          </w:p>
        </w:tc>
        <w:tc>
          <w:tcPr>
            <w:tcW w:w="6286" w:type="dxa"/>
            <w:vAlign w:val="center"/>
          </w:tcPr>
          <w:p w14:paraId="5D64CFB4">
            <w:pPr>
              <w:pStyle w:val="242"/>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一档（</w:t>
            </w:r>
            <w:r>
              <w:rPr>
                <w:rFonts w:hint="eastAsia" w:ascii="宋体" w:hAnsi="宋体" w:eastAsia="宋体" w:cs="宋体"/>
                <w:color w:val="auto"/>
                <w:sz w:val="21"/>
                <w:highlight w:val="none"/>
              </w:rPr>
              <w:t>5</w:t>
            </w:r>
            <w:r>
              <w:rPr>
                <w:rFonts w:ascii="宋体" w:hAnsi="宋体" w:eastAsia="宋体" w:cs="宋体"/>
                <w:color w:val="auto"/>
                <w:sz w:val="21"/>
                <w:highlight w:val="none"/>
              </w:rPr>
              <w:t>分）：有施工总平面布置图，各功能分区详细、界线明确。安排科学合理，完全符合本项目施工实际要求。</w:t>
            </w:r>
          </w:p>
          <w:p w14:paraId="08D0BF17">
            <w:pPr>
              <w:pStyle w:val="242"/>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二档（</w:t>
            </w:r>
            <w:r>
              <w:rPr>
                <w:rFonts w:hint="eastAsia" w:ascii="宋体" w:hAnsi="宋体" w:eastAsia="宋体" w:cs="宋体"/>
                <w:color w:val="auto"/>
                <w:sz w:val="21"/>
                <w:highlight w:val="none"/>
              </w:rPr>
              <w:t>4</w:t>
            </w:r>
            <w:r>
              <w:rPr>
                <w:rFonts w:ascii="宋体" w:hAnsi="宋体" w:eastAsia="宋体" w:cs="宋体"/>
                <w:color w:val="auto"/>
                <w:sz w:val="21"/>
                <w:highlight w:val="none"/>
              </w:rPr>
              <w:t>分）：有施工总平面布置图，各功能分区</w:t>
            </w:r>
            <w:r>
              <w:rPr>
                <w:rFonts w:hint="eastAsia" w:ascii="宋体" w:hAnsi="宋体" w:eastAsia="宋体" w:cs="宋体"/>
                <w:color w:val="auto"/>
                <w:sz w:val="21"/>
                <w:highlight w:val="none"/>
              </w:rPr>
              <w:t>基本</w:t>
            </w:r>
            <w:r>
              <w:rPr>
                <w:rFonts w:ascii="宋体" w:hAnsi="宋体" w:eastAsia="宋体" w:cs="宋体"/>
                <w:color w:val="auto"/>
                <w:sz w:val="21"/>
                <w:highlight w:val="none"/>
              </w:rPr>
              <w:t>明确。安排合理，仅符合本项目施工实际要求。</w:t>
            </w:r>
          </w:p>
          <w:p w14:paraId="4ED7A1F0">
            <w:pPr>
              <w:pStyle w:val="242"/>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三档（</w:t>
            </w:r>
            <w:r>
              <w:rPr>
                <w:rFonts w:hint="eastAsia" w:ascii="宋体" w:hAnsi="宋体" w:eastAsia="宋体" w:cs="宋体"/>
                <w:color w:val="auto"/>
                <w:sz w:val="21"/>
                <w:highlight w:val="none"/>
              </w:rPr>
              <w:t>3</w:t>
            </w:r>
            <w:r>
              <w:rPr>
                <w:rFonts w:ascii="宋体" w:hAnsi="宋体" w:eastAsia="宋体" w:cs="宋体"/>
                <w:color w:val="auto"/>
                <w:sz w:val="21"/>
                <w:highlight w:val="none"/>
              </w:rPr>
              <w:t>分）：有施工总平面布置图，安排基本合理，基本符合本项目施工实际要求。</w:t>
            </w:r>
          </w:p>
          <w:p w14:paraId="17EDD332">
            <w:pPr>
              <w:pStyle w:val="242"/>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四档（</w:t>
            </w:r>
            <w:r>
              <w:rPr>
                <w:rFonts w:hint="eastAsia" w:ascii="宋体" w:hAnsi="宋体" w:eastAsia="宋体" w:cs="宋体"/>
                <w:color w:val="auto"/>
                <w:sz w:val="21"/>
                <w:highlight w:val="none"/>
              </w:rPr>
              <w:t>2</w:t>
            </w:r>
            <w:r>
              <w:rPr>
                <w:rFonts w:ascii="宋体" w:hAnsi="宋体" w:eastAsia="宋体" w:cs="宋体"/>
                <w:color w:val="auto"/>
                <w:sz w:val="21"/>
                <w:highlight w:val="none"/>
              </w:rPr>
              <w:t>分）：有施工总平面布置图，各功能分区比较混乱，勉强符合本项目施工实际要求。</w:t>
            </w:r>
          </w:p>
          <w:p w14:paraId="27B8CDAD">
            <w:pPr>
              <w:pStyle w:val="242"/>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五档（</w:t>
            </w:r>
            <w:r>
              <w:rPr>
                <w:rFonts w:hint="eastAsia" w:ascii="宋体" w:hAnsi="宋体" w:eastAsia="宋体" w:cs="宋体"/>
                <w:color w:val="auto"/>
                <w:sz w:val="21"/>
                <w:highlight w:val="none"/>
              </w:rPr>
              <w:t>1</w:t>
            </w:r>
            <w:r>
              <w:rPr>
                <w:rFonts w:ascii="宋体" w:hAnsi="宋体" w:eastAsia="宋体" w:cs="宋体"/>
                <w:color w:val="auto"/>
                <w:sz w:val="21"/>
                <w:highlight w:val="none"/>
              </w:rPr>
              <w:t>分）：无施工总平面布置图，安排不合理，不符合本项目施工实际要求。</w:t>
            </w:r>
          </w:p>
        </w:tc>
        <w:tc>
          <w:tcPr>
            <w:tcW w:w="853" w:type="dxa"/>
            <w:vAlign w:val="center"/>
          </w:tcPr>
          <w:p w14:paraId="3743E21C">
            <w:pPr>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rPr>
              <w:t>5分</w:t>
            </w:r>
          </w:p>
        </w:tc>
      </w:tr>
      <w:tr w14:paraId="5966A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533" w:type="dxa"/>
            <w:vAlign w:val="center"/>
          </w:tcPr>
          <w:p w14:paraId="1A6E73AE">
            <w:pPr>
              <w:adjustRightInd w:val="0"/>
              <w:spacing w:line="360" w:lineRule="auto"/>
              <w:ind w:left="-105" w:leftChars="-50" w:right="-105" w:rightChars="-50"/>
              <w:jc w:val="center"/>
              <w:textAlignment w:val="baseline"/>
              <w:rPr>
                <w:rFonts w:hint="eastAsia" w:ascii="宋体" w:hAnsi="宋体" w:eastAsia="宋体"/>
                <w:bCs/>
                <w:color w:val="auto"/>
                <w:kern w:val="0"/>
                <w:szCs w:val="21"/>
                <w:highlight w:val="none"/>
                <w:lang w:val="en-US" w:eastAsia="zh-CN"/>
              </w:rPr>
            </w:pPr>
            <w:r>
              <w:rPr>
                <w:rFonts w:hint="eastAsia" w:ascii="宋体" w:hAnsi="宋体"/>
                <w:bCs/>
                <w:color w:val="auto"/>
                <w:kern w:val="0"/>
                <w:szCs w:val="21"/>
                <w:highlight w:val="none"/>
                <w:lang w:val="en-US" w:eastAsia="zh-CN"/>
              </w:rPr>
              <w:t>3</w:t>
            </w:r>
          </w:p>
        </w:tc>
        <w:tc>
          <w:tcPr>
            <w:tcW w:w="1418" w:type="dxa"/>
            <w:gridSpan w:val="2"/>
            <w:vAlign w:val="center"/>
          </w:tcPr>
          <w:p w14:paraId="1117D5E8">
            <w:pPr>
              <w:pStyle w:val="242"/>
              <w:spacing w:line="360" w:lineRule="auto"/>
              <w:jc w:val="center"/>
              <w:rPr>
                <w:rFonts w:hint="default"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商务分</w:t>
            </w:r>
          </w:p>
        </w:tc>
        <w:tc>
          <w:tcPr>
            <w:tcW w:w="6286" w:type="dxa"/>
            <w:vAlign w:val="center"/>
          </w:tcPr>
          <w:p w14:paraId="0FBCBCD8">
            <w:pPr>
              <w:pStyle w:val="242"/>
              <w:spacing w:line="360" w:lineRule="auto"/>
              <w:jc w:val="center"/>
              <w:rPr>
                <w:rFonts w:hint="default"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评审标准</w:t>
            </w:r>
          </w:p>
        </w:tc>
        <w:tc>
          <w:tcPr>
            <w:tcW w:w="853" w:type="dxa"/>
            <w:vAlign w:val="center"/>
          </w:tcPr>
          <w:p w14:paraId="5410DF61">
            <w:pPr>
              <w:spacing w:line="360" w:lineRule="auto"/>
              <w:jc w:val="center"/>
              <w:rPr>
                <w:rFonts w:hint="default" w:ascii="宋体" w:hAnsi="宋体" w:eastAsia="宋体" w:cs="Tahoma"/>
                <w:color w:val="auto"/>
                <w:kern w:val="0"/>
                <w:szCs w:val="21"/>
                <w:highlight w:val="none"/>
                <w:lang w:val="en-US" w:eastAsia="zh-CN"/>
              </w:rPr>
            </w:pPr>
            <w:r>
              <w:rPr>
                <w:rFonts w:hint="eastAsia" w:ascii="宋体" w:hAnsi="宋体" w:cs="Tahoma"/>
                <w:color w:val="auto"/>
                <w:kern w:val="0"/>
                <w:szCs w:val="21"/>
                <w:highlight w:val="none"/>
                <w:lang w:val="en-US" w:eastAsia="zh-CN"/>
              </w:rPr>
              <w:t>2分</w:t>
            </w:r>
          </w:p>
        </w:tc>
      </w:tr>
      <w:tr w14:paraId="5B2E1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Align w:val="center"/>
          </w:tcPr>
          <w:p w14:paraId="57CC14FD">
            <w:pPr>
              <w:adjustRightInd w:val="0"/>
              <w:spacing w:line="360" w:lineRule="auto"/>
              <w:ind w:left="-105" w:leftChars="-50" w:right="-105" w:rightChars="-50"/>
              <w:jc w:val="center"/>
              <w:textAlignment w:val="baseline"/>
              <w:rPr>
                <w:rFonts w:hint="default" w:ascii="宋体" w:hAnsi="宋体" w:eastAsia="宋体"/>
                <w:bCs/>
                <w:color w:val="auto"/>
                <w:kern w:val="0"/>
                <w:szCs w:val="21"/>
                <w:highlight w:val="none"/>
                <w:lang w:val="en-US" w:eastAsia="zh-CN"/>
              </w:rPr>
            </w:pPr>
            <w:r>
              <w:rPr>
                <w:rFonts w:hint="eastAsia" w:ascii="宋体" w:hAnsi="宋体"/>
                <w:bCs/>
                <w:color w:val="auto"/>
                <w:kern w:val="0"/>
                <w:szCs w:val="21"/>
                <w:highlight w:val="none"/>
                <w:lang w:val="en-US" w:eastAsia="zh-CN"/>
              </w:rPr>
              <w:t>3.1</w:t>
            </w:r>
          </w:p>
        </w:tc>
        <w:tc>
          <w:tcPr>
            <w:tcW w:w="7704" w:type="dxa"/>
            <w:gridSpan w:val="3"/>
            <w:vAlign w:val="center"/>
          </w:tcPr>
          <w:p w14:paraId="6B6836A2">
            <w:pPr>
              <w:pStyle w:val="242"/>
              <w:spacing w:line="360" w:lineRule="auto"/>
              <w:rPr>
                <w:rFonts w:ascii="宋体" w:hAnsi="宋体" w:eastAsia="宋体" w:cs="宋体"/>
                <w:color w:val="auto"/>
                <w:sz w:val="21"/>
                <w:highlight w:val="none"/>
              </w:rPr>
            </w:pPr>
            <w:r>
              <w:rPr>
                <w:rFonts w:ascii="宋体" w:hAnsi="宋体" w:eastAsia="宋体" w:cs="宋体"/>
                <w:color w:val="auto"/>
                <w:sz w:val="21"/>
                <w:highlight w:val="none"/>
              </w:rPr>
              <w:t>从202</w:t>
            </w:r>
            <w:r>
              <w:rPr>
                <w:rFonts w:hint="eastAsia" w:ascii="宋体" w:hAnsi="宋体" w:eastAsia="宋体" w:cs="宋体"/>
                <w:color w:val="auto"/>
                <w:sz w:val="21"/>
                <w:highlight w:val="none"/>
                <w:lang w:val="en-US" w:eastAsia="zh-CN"/>
              </w:rPr>
              <w:t>1</w:t>
            </w:r>
            <w:r>
              <w:rPr>
                <w:rFonts w:ascii="宋体" w:hAnsi="宋体" w:eastAsia="宋体" w:cs="宋体"/>
                <w:color w:val="auto"/>
                <w:sz w:val="21"/>
                <w:highlight w:val="none"/>
              </w:rPr>
              <w:t>年1月1日至</w:t>
            </w:r>
            <w:r>
              <w:rPr>
                <w:rFonts w:hint="eastAsia" w:ascii="宋体" w:hAnsi="宋体" w:eastAsia="宋体" w:cs="宋体"/>
                <w:color w:val="auto"/>
                <w:sz w:val="21"/>
                <w:highlight w:val="none"/>
                <w:lang w:val="en-US" w:eastAsia="zh-CN"/>
              </w:rPr>
              <w:t>响应文件提交</w:t>
            </w:r>
            <w:r>
              <w:rPr>
                <w:rFonts w:ascii="宋体" w:hAnsi="宋体" w:eastAsia="宋体" w:cs="宋体"/>
                <w:color w:val="auto"/>
                <w:sz w:val="21"/>
                <w:highlight w:val="none"/>
              </w:rPr>
              <w:t>截止时间止</w:t>
            </w:r>
            <w:r>
              <w:rPr>
                <w:rFonts w:hint="eastAsia" w:ascii="宋体" w:hAnsi="宋体" w:eastAsia="宋体" w:cs="宋体"/>
                <w:color w:val="auto"/>
                <w:sz w:val="21"/>
                <w:highlight w:val="none"/>
                <w:lang w:val="en-US" w:eastAsia="zh-CN"/>
              </w:rPr>
              <w:t>承接</w:t>
            </w:r>
            <w:r>
              <w:rPr>
                <w:rFonts w:ascii="宋体" w:hAnsi="宋体" w:eastAsia="宋体" w:cs="宋体"/>
                <w:color w:val="auto"/>
                <w:sz w:val="21"/>
                <w:highlight w:val="none"/>
              </w:rPr>
              <w:t>过</w:t>
            </w:r>
            <w:r>
              <w:rPr>
                <w:rFonts w:hint="eastAsia" w:ascii="宋体" w:hAnsi="宋体" w:eastAsia="宋体" w:cs="宋体"/>
                <w:color w:val="auto"/>
                <w:sz w:val="21"/>
                <w:highlight w:val="none"/>
                <w:lang w:val="en-US" w:eastAsia="zh-CN"/>
              </w:rPr>
              <w:t>公路安防工程施工项目</w:t>
            </w:r>
            <w:r>
              <w:rPr>
                <w:rFonts w:ascii="宋体" w:hAnsi="宋体" w:eastAsia="宋体" w:cs="宋体"/>
                <w:color w:val="auto"/>
                <w:sz w:val="21"/>
                <w:highlight w:val="none"/>
              </w:rPr>
              <w:t>的，每提供1个有效业绩得</w:t>
            </w:r>
            <w:r>
              <w:rPr>
                <w:rFonts w:hint="eastAsia" w:ascii="宋体" w:hAnsi="宋体" w:eastAsia="宋体" w:cs="宋体"/>
                <w:color w:val="auto"/>
                <w:sz w:val="21"/>
                <w:highlight w:val="none"/>
                <w:lang w:val="en-US" w:eastAsia="zh-CN"/>
              </w:rPr>
              <w:t>1</w:t>
            </w:r>
            <w:r>
              <w:rPr>
                <w:rFonts w:ascii="宋体" w:hAnsi="宋体" w:eastAsia="宋体" w:cs="宋体"/>
                <w:color w:val="auto"/>
                <w:sz w:val="21"/>
                <w:highlight w:val="none"/>
              </w:rPr>
              <w:t>分，最高得</w:t>
            </w:r>
            <w:r>
              <w:rPr>
                <w:rFonts w:hint="eastAsia" w:ascii="宋体" w:hAnsi="宋体" w:eastAsia="宋体" w:cs="宋体"/>
                <w:color w:val="auto"/>
                <w:sz w:val="21"/>
                <w:highlight w:val="none"/>
                <w:lang w:val="en-US" w:eastAsia="zh-CN"/>
              </w:rPr>
              <w:t>2</w:t>
            </w:r>
            <w:r>
              <w:rPr>
                <w:rFonts w:ascii="宋体" w:hAnsi="宋体" w:eastAsia="宋体" w:cs="宋体"/>
                <w:color w:val="auto"/>
                <w:sz w:val="21"/>
                <w:highlight w:val="none"/>
              </w:rPr>
              <w:t>分。</w:t>
            </w:r>
          </w:p>
          <w:p w14:paraId="70F37265">
            <w:pPr>
              <w:pStyle w:val="242"/>
              <w:spacing w:line="360" w:lineRule="auto"/>
              <w:rPr>
                <w:rFonts w:ascii="宋体" w:hAnsi="宋体" w:eastAsia="宋体" w:cs="宋体"/>
                <w:color w:val="auto"/>
                <w:sz w:val="21"/>
                <w:highlight w:val="none"/>
              </w:rPr>
            </w:pPr>
            <w:r>
              <w:rPr>
                <w:rFonts w:hint="eastAsia" w:ascii="宋体" w:hAnsi="宋体" w:eastAsia="宋体" w:cs="宋体"/>
                <w:color w:val="auto"/>
                <w:sz w:val="21"/>
                <w:highlight w:val="none"/>
                <w:lang w:val="en-US" w:eastAsia="zh-CN"/>
              </w:rPr>
              <w:t>注：需提供</w:t>
            </w:r>
            <w:r>
              <w:rPr>
                <w:rFonts w:ascii="宋体" w:hAnsi="宋体" w:eastAsia="宋体" w:cs="宋体"/>
                <w:color w:val="auto"/>
                <w:sz w:val="21"/>
                <w:highlight w:val="none"/>
              </w:rPr>
              <w:t>中标通知书或工程合同协议书</w:t>
            </w:r>
            <w:r>
              <w:rPr>
                <w:rFonts w:hint="eastAsia" w:ascii="宋体" w:hAnsi="宋体" w:eastAsia="宋体" w:cs="宋体"/>
                <w:color w:val="auto"/>
                <w:sz w:val="21"/>
                <w:highlight w:val="none"/>
                <w:lang w:val="en-US" w:eastAsia="zh-CN"/>
              </w:rPr>
              <w:t>或竣工验收报告证明文件</w:t>
            </w:r>
            <w:r>
              <w:rPr>
                <w:rFonts w:ascii="宋体" w:hAnsi="宋体" w:eastAsia="宋体" w:cs="宋体"/>
                <w:color w:val="auto"/>
                <w:sz w:val="21"/>
                <w:highlight w:val="none"/>
              </w:rPr>
              <w:t>。</w:t>
            </w:r>
          </w:p>
        </w:tc>
        <w:tc>
          <w:tcPr>
            <w:tcW w:w="853" w:type="dxa"/>
            <w:vAlign w:val="center"/>
          </w:tcPr>
          <w:p w14:paraId="7E721414">
            <w:pPr>
              <w:spacing w:line="360" w:lineRule="auto"/>
              <w:jc w:val="center"/>
              <w:rPr>
                <w:rFonts w:hint="default" w:ascii="宋体" w:hAnsi="宋体" w:eastAsia="宋体" w:cs="Tahoma"/>
                <w:color w:val="auto"/>
                <w:kern w:val="0"/>
                <w:szCs w:val="21"/>
                <w:highlight w:val="none"/>
                <w:lang w:val="en-US" w:eastAsia="zh-CN"/>
              </w:rPr>
            </w:pPr>
            <w:r>
              <w:rPr>
                <w:rFonts w:hint="eastAsia" w:ascii="宋体" w:hAnsi="宋体" w:cs="Tahoma"/>
                <w:color w:val="auto"/>
                <w:kern w:val="0"/>
                <w:szCs w:val="21"/>
                <w:highlight w:val="none"/>
                <w:lang w:val="en-US" w:eastAsia="zh-CN"/>
              </w:rPr>
              <w:t>2分</w:t>
            </w:r>
          </w:p>
        </w:tc>
      </w:tr>
      <w:tr w14:paraId="2270E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8237" w:type="dxa"/>
            <w:gridSpan w:val="4"/>
          </w:tcPr>
          <w:p w14:paraId="1C7A41EA">
            <w:pPr>
              <w:pStyle w:val="24"/>
              <w:spacing w:line="360" w:lineRule="auto"/>
              <w:rPr>
                <w:rFonts w:hAnsi="宋体" w:cs="Courier New"/>
                <w:bCs/>
                <w:color w:val="auto"/>
                <w:kern w:val="2"/>
                <w:sz w:val="21"/>
                <w:highlight w:val="none"/>
              </w:rPr>
            </w:pPr>
            <w:r>
              <w:rPr>
                <w:rFonts w:hint="eastAsia" w:ascii="Times New Roman" w:hAnsi="Times New Roman" w:eastAsia="宋体" w:cs="Times New Roman"/>
                <w:color w:val="auto"/>
                <w:kern w:val="2"/>
                <w:sz w:val="21"/>
                <w:szCs w:val="24"/>
                <w:highlight w:val="none"/>
                <w:lang w:val="en-US" w:eastAsia="zh-CN" w:bidi="ar-SA"/>
              </w:rPr>
              <w:t>总得分＝1＋2+3项得分</w:t>
            </w:r>
          </w:p>
        </w:tc>
        <w:tc>
          <w:tcPr>
            <w:tcW w:w="853" w:type="dxa"/>
            <w:vAlign w:val="center"/>
          </w:tcPr>
          <w:p w14:paraId="1DF9EF6A">
            <w:pPr>
              <w:widowControl/>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rPr>
              <w:t>100分</w:t>
            </w:r>
          </w:p>
        </w:tc>
      </w:tr>
      <w:tr w14:paraId="231A2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090" w:type="dxa"/>
            <w:gridSpan w:val="5"/>
          </w:tcPr>
          <w:p w14:paraId="66437F67">
            <w:pPr>
              <w:widowControl/>
              <w:spacing w:line="360" w:lineRule="auto"/>
              <w:jc w:val="both"/>
              <w:rPr>
                <w:rFonts w:ascii="宋体" w:hAnsi="宋体" w:cs="Tahoma"/>
                <w:color w:val="auto"/>
                <w:kern w:val="0"/>
                <w:szCs w:val="21"/>
                <w:highlight w:val="none"/>
              </w:rPr>
            </w:pPr>
            <w:r>
              <w:rPr>
                <w:color w:val="auto"/>
                <w:highlight w:val="none"/>
              </w:rPr>
              <w:t>本</w:t>
            </w:r>
            <w:r>
              <w:rPr>
                <w:rFonts w:hint="eastAsia"/>
                <w:color w:val="auto"/>
                <w:highlight w:val="none"/>
              </w:rPr>
              <w:t>项目为</w:t>
            </w:r>
            <w:r>
              <w:rPr>
                <w:rFonts w:hint="eastAsia"/>
                <w:color w:val="auto"/>
                <w:highlight w:val="none"/>
                <w:lang w:val="en-US" w:eastAsia="zh-CN"/>
              </w:rPr>
              <w:t>工程类项目</w:t>
            </w:r>
            <w:r>
              <w:rPr>
                <w:color w:val="auto"/>
                <w:highlight w:val="none"/>
              </w:rPr>
              <w:t>，不涉及政策功能的节能，环保分</w:t>
            </w:r>
            <w:r>
              <w:rPr>
                <w:rFonts w:hint="eastAsia"/>
                <w:color w:val="auto"/>
                <w:highlight w:val="none"/>
              </w:rPr>
              <w:t>加分</w:t>
            </w:r>
            <w:r>
              <w:rPr>
                <w:color w:val="auto"/>
                <w:highlight w:val="none"/>
              </w:rPr>
              <w:t>。</w:t>
            </w:r>
          </w:p>
        </w:tc>
      </w:tr>
    </w:tbl>
    <w:p w14:paraId="72739050">
      <w:pPr>
        <w:pStyle w:val="2"/>
        <w:keepNext/>
        <w:keepLines/>
        <w:pageBreakBefore w:val="0"/>
        <w:widowControl w:val="0"/>
        <w:numPr>
          <w:ilvl w:val="0"/>
          <w:numId w:val="5"/>
        </w:numPr>
        <w:kinsoku/>
        <w:wordWrap/>
        <w:overflowPunct/>
        <w:topLinePunct w:val="0"/>
        <w:autoSpaceDE/>
        <w:autoSpaceDN/>
        <w:bidi w:val="0"/>
        <w:adjustRightInd/>
        <w:snapToGrid/>
        <w:spacing w:before="100" w:after="10" w:line="480" w:lineRule="auto"/>
        <w:jc w:val="center"/>
        <w:textAlignment w:val="auto"/>
        <w:rPr>
          <w:rFonts w:hint="eastAsia"/>
          <w:color w:val="auto"/>
          <w:highlight w:val="none"/>
        </w:rPr>
      </w:pPr>
      <w:r>
        <w:rPr>
          <w:rFonts w:ascii="宋体" w:hAnsi="宋体" w:cs="宋体"/>
          <w:color w:val="auto"/>
          <w:highlight w:val="none"/>
        </w:rPr>
        <w:br w:type="page"/>
      </w:r>
      <w:bookmarkStart w:id="95" w:name="_Toc21245"/>
      <w:r>
        <w:rPr>
          <w:rFonts w:hint="eastAsia"/>
          <w:color w:val="auto"/>
          <w:highlight w:val="none"/>
        </w:rPr>
        <w:t>工程量清单</w:t>
      </w:r>
      <w:bookmarkEnd w:id="95"/>
    </w:p>
    <w:p w14:paraId="6AFE0CDC">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left"/>
        <w:textAlignment w:val="auto"/>
        <w:rPr>
          <w:rFonts w:hint="eastAsia" w:ascii="宋体" w:hAnsi="宋体" w:eastAsia="宋体" w:cs="宋体"/>
          <w:b/>
          <w:bCs/>
          <w:color w:val="auto"/>
          <w:kern w:val="0"/>
          <w:sz w:val="28"/>
          <w:szCs w:val="28"/>
          <w:highlight w:val="none"/>
          <w:lang w:val="en-US" w:eastAsia="zh-CN" w:bidi="ar"/>
        </w:rPr>
      </w:pPr>
      <w:r>
        <w:rPr>
          <w:rFonts w:hint="eastAsia" w:ascii="宋体" w:hAnsi="宋体" w:eastAsia="宋体" w:cs="宋体"/>
          <w:b/>
          <w:bCs/>
          <w:color w:val="auto"/>
          <w:kern w:val="0"/>
          <w:sz w:val="28"/>
          <w:szCs w:val="28"/>
          <w:highlight w:val="none"/>
          <w:lang w:val="en-US" w:eastAsia="zh-CN" w:bidi="ar"/>
        </w:rPr>
        <w:t xml:space="preserve">1. 工程量清单说明 </w:t>
      </w:r>
    </w:p>
    <w:p w14:paraId="3920BA8C">
      <w:pPr>
        <w:keepNext w:val="0"/>
        <w:keepLines w:val="0"/>
        <w:pageBreakBefore w:val="0"/>
        <w:widowControl/>
        <w:suppressLineNumbers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1.1 本工程量清单是根据采购文件中包括的有合同约束力的工程量清单计量规则、图纸以及有关工程量清单的国家标准、行业标准、合同条款中约定的其他规则编制。约定计量规则中没有的子目，其工程量按照有合同约束力的图纸所标示尺寸的理论净量计算。计量采用中华人民共和国法定计量单位。 </w:t>
      </w:r>
    </w:p>
    <w:p w14:paraId="21C4ECA2">
      <w:pPr>
        <w:keepNext w:val="0"/>
        <w:keepLines w:val="0"/>
        <w:pageBreakBefore w:val="0"/>
        <w:widowControl/>
        <w:suppressLineNumbers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1.2 本工程量清单应与采购文件中的供应商须知、通用合同条款、专用合同条款、工程量清单计量规则、技术规范及图纸等一起阅读和理解。 </w:t>
      </w:r>
    </w:p>
    <w:p w14:paraId="0971B78D">
      <w:pPr>
        <w:keepNext w:val="0"/>
        <w:keepLines w:val="0"/>
        <w:pageBreakBefore w:val="0"/>
        <w:widowControl/>
        <w:suppressLineNumbers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1.3 本工程量清单中所列工程数量是估算的或设计的预计数量，仅作为投标报价的共同基础，不能作为最终结算与支付的依据。实际支付应按实际完成的工程量，由承包人按工程量清单计量规则规定的计量方法，以监理人认可的尺寸、断面计量，按本工程量清单的单价和总额价计算支付金额；或根据具体情况，按合同条款的规定，按监理人确定的单价或总额价计算支付额。 </w:t>
      </w:r>
    </w:p>
    <w:p w14:paraId="54F3A0BD">
      <w:pPr>
        <w:keepNext w:val="0"/>
        <w:keepLines w:val="0"/>
        <w:pageBreakBefore w:val="0"/>
        <w:widowControl/>
        <w:suppressLineNumbers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1.4 工程量清单各章是按第八章“工程量清单计量规则”、第七章“技术规范”的相应章次编号的，因此，工程量清单中各章的工程子目的范围与计量等应与“工程量清单计量规则” “技术规范”相应章节的范围、计量与支付条款结合起来理解或解释。 </w:t>
      </w:r>
    </w:p>
    <w:p w14:paraId="251F8EB1">
      <w:pPr>
        <w:keepNext w:val="0"/>
        <w:keepLines w:val="0"/>
        <w:pageBreakBefore w:val="0"/>
        <w:widowControl/>
        <w:suppressLineNumbers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1.5 对作业和材料的一般说明或规定，未重复写入工程量清单内，在给工程量清单各子目标价前，应参阅第七章“技术规范”的有关内容。 </w:t>
      </w:r>
    </w:p>
    <w:p w14:paraId="39299068">
      <w:pPr>
        <w:keepNext w:val="0"/>
        <w:keepLines w:val="0"/>
        <w:pageBreakBefore w:val="0"/>
        <w:widowControl/>
        <w:suppressLineNumbers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1.6 工程量清单中所列工程量的变动，丝毫不会降低或影响合同条款的效力，也不免除承包人按规定的标准进行施工和修复缺陷的责任。 </w:t>
      </w:r>
    </w:p>
    <w:p w14:paraId="2F7CFC28">
      <w:pPr>
        <w:keepNext w:val="0"/>
        <w:keepLines w:val="0"/>
        <w:pageBreakBefore w:val="0"/>
        <w:widowControl/>
        <w:suppressLineNumbers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1.7 图纸中所列的工程数量表及数量汇总表仅是提供资料，不是工程量清单的外延。当图纸与工程量清单所列数量不一致时，以工程量清单所列数量作为报价的依据。 </w:t>
      </w:r>
    </w:p>
    <w:p w14:paraId="12C56651">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left"/>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kern w:val="0"/>
          <w:sz w:val="28"/>
          <w:szCs w:val="28"/>
          <w:highlight w:val="none"/>
          <w:lang w:val="en-US" w:eastAsia="zh-CN" w:bidi="ar"/>
        </w:rPr>
        <w:t xml:space="preserve">2. 竞标报价说明 </w:t>
      </w:r>
    </w:p>
    <w:p w14:paraId="56C7AA28">
      <w:pPr>
        <w:keepNext w:val="0"/>
        <w:keepLines w:val="0"/>
        <w:pageBreakBefore w:val="0"/>
        <w:widowControl/>
        <w:suppressLineNumbers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2.1 工程量清单中的每一子目须填入单价或价格，且只允许有一个报价。 </w:t>
      </w:r>
    </w:p>
    <w:p w14:paraId="7AA60704">
      <w:pPr>
        <w:keepNext w:val="0"/>
        <w:keepLines w:val="0"/>
        <w:pageBreakBefore w:val="0"/>
        <w:widowControl/>
        <w:suppressLineNumbers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2.2 除非合同另有规定，工程量清单中有标价的单价和总额价均已包括了为实施和完成合同工程所需的劳务、材料、机械、质检（自检）、安装、缺陷修复、管理、保险、税费、利润等费用，以及合同明示或暗示的所有责任、义务和一般风险。 </w:t>
      </w:r>
    </w:p>
    <w:p w14:paraId="612F570F">
      <w:pPr>
        <w:keepNext w:val="0"/>
        <w:keepLines w:val="0"/>
        <w:pageBreakBefore w:val="0"/>
        <w:widowControl/>
        <w:suppressLineNumbers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2.3 工程量清单中竞标人没有填入单价或价格的子目，其费用视为已分摊在工程量清单中其他相关子目的单价或价格之中。承包人必须按监理人指令完成工程量清单中未填入单价或价格的子目，但不能得到结算与支付。</w:t>
      </w:r>
    </w:p>
    <w:p w14:paraId="69B2E80F">
      <w:pPr>
        <w:keepNext w:val="0"/>
        <w:keepLines w:val="0"/>
        <w:pageBreakBefore w:val="0"/>
        <w:widowControl/>
        <w:suppressLineNumbers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2.4 符合合同条款规定的全部费用应认为已被计入有标价的工程量清单所列各子目之中，未列子目不予计量的工作，其费用应视为已分摊在本合同工程的有关子目的单价或总额价之中。 </w:t>
      </w:r>
    </w:p>
    <w:p w14:paraId="491CDB59">
      <w:pPr>
        <w:keepNext w:val="0"/>
        <w:keepLines w:val="0"/>
        <w:pageBreakBefore w:val="0"/>
        <w:widowControl/>
        <w:suppressLineNumbers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2.5 承包人用于本合同工程的各类装备的提供、运输、维护、拆卸、拼装等支付的费用，已包括在工程量清单的单价与总额价之中。 </w:t>
      </w:r>
    </w:p>
    <w:p w14:paraId="74A0B43F">
      <w:pPr>
        <w:keepNext w:val="0"/>
        <w:keepLines w:val="0"/>
        <w:pageBreakBefore w:val="0"/>
        <w:widowControl/>
        <w:suppressLineNumbers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b/>
          <w:bCs/>
          <w:color w:val="auto"/>
          <w:kern w:val="0"/>
          <w:sz w:val="28"/>
          <w:szCs w:val="28"/>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2.6 工程量清单中各项金额均以人民币（元）结算。 </w:t>
      </w:r>
    </w:p>
    <w:p w14:paraId="097DA340">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left"/>
        <w:textAlignment w:val="auto"/>
        <w:rPr>
          <w:rFonts w:hint="default" w:ascii="宋体" w:hAnsi="宋体" w:eastAsia="宋体" w:cs="宋体"/>
          <w:b/>
          <w:bCs/>
          <w:color w:val="auto"/>
          <w:kern w:val="0"/>
          <w:sz w:val="28"/>
          <w:szCs w:val="28"/>
          <w:highlight w:val="none"/>
          <w:lang w:val="en-US" w:eastAsia="zh-CN" w:bidi="ar"/>
        </w:rPr>
      </w:pPr>
      <w:r>
        <w:rPr>
          <w:rFonts w:hint="eastAsia" w:ascii="宋体" w:hAnsi="宋体" w:cs="宋体"/>
          <w:b/>
          <w:bCs/>
          <w:color w:val="auto"/>
          <w:kern w:val="0"/>
          <w:sz w:val="28"/>
          <w:szCs w:val="28"/>
          <w:highlight w:val="none"/>
          <w:lang w:val="en-US" w:eastAsia="zh-CN" w:bidi="ar"/>
        </w:rPr>
        <w:t>3</w:t>
      </w:r>
      <w:r>
        <w:rPr>
          <w:rFonts w:hint="eastAsia" w:ascii="宋体" w:hAnsi="宋体" w:eastAsia="宋体" w:cs="宋体"/>
          <w:b/>
          <w:bCs/>
          <w:color w:val="auto"/>
          <w:kern w:val="0"/>
          <w:sz w:val="28"/>
          <w:szCs w:val="28"/>
          <w:highlight w:val="none"/>
          <w:lang w:val="en-US" w:eastAsia="zh-CN" w:bidi="ar"/>
        </w:rPr>
        <w:t>. 工程量清单（另册）</w:t>
      </w:r>
    </w:p>
    <w:p w14:paraId="34A41E09">
      <w:pPr>
        <w:rPr>
          <w:rFonts w:hint="eastAsia"/>
          <w:color w:val="auto"/>
          <w:highlight w:val="none"/>
        </w:rPr>
      </w:pPr>
    </w:p>
    <w:p w14:paraId="53B18C5D">
      <w:pPr>
        <w:rPr>
          <w:rFonts w:hint="eastAsia"/>
          <w:color w:val="auto"/>
          <w:highlight w:val="none"/>
        </w:rPr>
      </w:pPr>
    </w:p>
    <w:p w14:paraId="49661845">
      <w:pPr>
        <w:rPr>
          <w:rFonts w:hint="eastAsia"/>
          <w:color w:val="auto"/>
          <w:highlight w:val="none"/>
        </w:rPr>
      </w:pPr>
    </w:p>
    <w:p w14:paraId="3D68AA53">
      <w:pPr>
        <w:rPr>
          <w:rFonts w:hint="eastAsia"/>
          <w:color w:val="auto"/>
          <w:highlight w:val="none"/>
        </w:rPr>
      </w:pPr>
    </w:p>
    <w:p w14:paraId="7152AF8C">
      <w:pPr>
        <w:rPr>
          <w:rFonts w:hint="eastAsia"/>
          <w:color w:val="auto"/>
          <w:highlight w:val="none"/>
        </w:rPr>
      </w:pPr>
    </w:p>
    <w:p w14:paraId="500DCD2E">
      <w:pPr>
        <w:rPr>
          <w:rFonts w:hint="eastAsia"/>
          <w:color w:val="auto"/>
          <w:highlight w:val="none"/>
        </w:rPr>
      </w:pPr>
    </w:p>
    <w:p w14:paraId="7C189081">
      <w:pPr>
        <w:rPr>
          <w:rFonts w:hint="eastAsia"/>
          <w:color w:val="auto"/>
          <w:highlight w:val="none"/>
        </w:rPr>
      </w:pPr>
    </w:p>
    <w:p w14:paraId="0C6D6C0B">
      <w:pPr>
        <w:rPr>
          <w:rFonts w:hint="eastAsia"/>
          <w:color w:val="auto"/>
          <w:highlight w:val="none"/>
        </w:rPr>
      </w:pPr>
    </w:p>
    <w:p w14:paraId="5A8ACB12">
      <w:pPr>
        <w:rPr>
          <w:rFonts w:hint="eastAsia"/>
          <w:color w:val="auto"/>
          <w:highlight w:val="none"/>
        </w:rPr>
      </w:pPr>
    </w:p>
    <w:p w14:paraId="40B2355C">
      <w:pPr>
        <w:pStyle w:val="18"/>
        <w:rPr>
          <w:rFonts w:hint="eastAsia"/>
          <w:color w:val="auto"/>
          <w:highlight w:val="none"/>
        </w:rPr>
      </w:pPr>
    </w:p>
    <w:p w14:paraId="736B9FBC">
      <w:pPr>
        <w:pStyle w:val="38"/>
        <w:rPr>
          <w:rFonts w:hint="eastAsia"/>
          <w:color w:val="auto"/>
          <w:highlight w:val="none"/>
        </w:rPr>
      </w:pPr>
    </w:p>
    <w:p w14:paraId="49C0D2CD">
      <w:pPr>
        <w:pStyle w:val="18"/>
        <w:rPr>
          <w:rFonts w:hint="eastAsia"/>
          <w:color w:val="auto"/>
          <w:highlight w:val="none"/>
        </w:rPr>
      </w:pPr>
    </w:p>
    <w:p w14:paraId="2A883AFB">
      <w:pPr>
        <w:pStyle w:val="38"/>
        <w:rPr>
          <w:rFonts w:hint="eastAsia"/>
          <w:color w:val="auto"/>
          <w:highlight w:val="none"/>
        </w:rPr>
      </w:pPr>
    </w:p>
    <w:p w14:paraId="7B684678">
      <w:pPr>
        <w:pStyle w:val="18"/>
        <w:rPr>
          <w:rFonts w:hint="eastAsia"/>
          <w:color w:val="auto"/>
          <w:highlight w:val="none"/>
        </w:rPr>
      </w:pPr>
    </w:p>
    <w:p w14:paraId="3CC3471B">
      <w:pPr>
        <w:pStyle w:val="38"/>
        <w:rPr>
          <w:rFonts w:hint="eastAsia"/>
          <w:color w:val="auto"/>
          <w:highlight w:val="none"/>
        </w:rPr>
      </w:pPr>
    </w:p>
    <w:p w14:paraId="146BB517">
      <w:pPr>
        <w:pStyle w:val="18"/>
        <w:rPr>
          <w:rFonts w:hint="eastAsia"/>
          <w:color w:val="auto"/>
          <w:highlight w:val="none"/>
        </w:rPr>
      </w:pPr>
    </w:p>
    <w:p w14:paraId="603126DE">
      <w:pPr>
        <w:pStyle w:val="38"/>
        <w:rPr>
          <w:rFonts w:hint="eastAsia"/>
          <w:color w:val="auto"/>
          <w:highlight w:val="none"/>
        </w:rPr>
      </w:pPr>
    </w:p>
    <w:p w14:paraId="679FCE4F">
      <w:pPr>
        <w:pStyle w:val="18"/>
        <w:rPr>
          <w:rFonts w:hint="eastAsia"/>
          <w:color w:val="auto"/>
          <w:highlight w:val="none"/>
        </w:rPr>
      </w:pPr>
    </w:p>
    <w:p w14:paraId="5B2B2AFF">
      <w:pPr>
        <w:pStyle w:val="38"/>
        <w:rPr>
          <w:rFonts w:hint="eastAsia"/>
          <w:color w:val="auto"/>
          <w:highlight w:val="none"/>
        </w:rPr>
      </w:pPr>
    </w:p>
    <w:p w14:paraId="4A3E4964">
      <w:pPr>
        <w:pStyle w:val="18"/>
        <w:rPr>
          <w:rFonts w:hint="eastAsia"/>
          <w:color w:val="auto"/>
          <w:highlight w:val="none"/>
        </w:rPr>
      </w:pPr>
    </w:p>
    <w:p w14:paraId="3D7DF17F">
      <w:pPr>
        <w:pStyle w:val="38"/>
        <w:rPr>
          <w:rFonts w:hint="eastAsia"/>
          <w:color w:val="auto"/>
          <w:highlight w:val="none"/>
        </w:rPr>
      </w:pPr>
    </w:p>
    <w:p w14:paraId="414EB328">
      <w:pPr>
        <w:pStyle w:val="18"/>
        <w:rPr>
          <w:rFonts w:hint="eastAsia"/>
          <w:color w:val="auto"/>
          <w:highlight w:val="none"/>
        </w:rPr>
      </w:pPr>
    </w:p>
    <w:p w14:paraId="028D0F2D">
      <w:pPr>
        <w:pStyle w:val="38"/>
        <w:rPr>
          <w:rFonts w:hint="eastAsia"/>
          <w:color w:val="auto"/>
          <w:highlight w:val="none"/>
        </w:rPr>
      </w:pPr>
    </w:p>
    <w:p w14:paraId="42B3729B">
      <w:pPr>
        <w:pStyle w:val="2"/>
        <w:keepNext/>
        <w:keepLines/>
        <w:pageBreakBefore w:val="0"/>
        <w:widowControl w:val="0"/>
        <w:numPr>
          <w:ilvl w:val="0"/>
          <w:numId w:val="5"/>
        </w:numPr>
        <w:kinsoku/>
        <w:wordWrap/>
        <w:overflowPunct/>
        <w:topLinePunct w:val="0"/>
        <w:autoSpaceDE/>
        <w:autoSpaceDN/>
        <w:bidi w:val="0"/>
        <w:adjustRightInd/>
        <w:snapToGrid/>
        <w:spacing w:after="10" w:line="480" w:lineRule="auto"/>
        <w:jc w:val="center"/>
        <w:textAlignment w:val="auto"/>
        <w:rPr>
          <w:rFonts w:hint="default" w:eastAsia="宋体"/>
          <w:color w:val="auto"/>
          <w:highlight w:val="none"/>
          <w:lang w:val="en-US" w:eastAsia="zh-CN"/>
        </w:rPr>
      </w:pPr>
      <w:bookmarkStart w:id="96" w:name="_Toc4683"/>
      <w:r>
        <w:rPr>
          <w:rFonts w:hint="eastAsia"/>
          <w:color w:val="auto"/>
          <w:highlight w:val="none"/>
          <w:lang w:val="en-US" w:eastAsia="zh-CN"/>
        </w:rPr>
        <w:t>图纸</w:t>
      </w:r>
      <w:bookmarkEnd w:id="96"/>
    </w:p>
    <w:p w14:paraId="58333AE9">
      <w:pPr>
        <w:rPr>
          <w:rFonts w:hint="eastAsia"/>
          <w:color w:val="auto"/>
          <w:highlight w:val="none"/>
          <w:lang w:val="en-US" w:eastAsia="zh-CN"/>
        </w:rPr>
      </w:pPr>
    </w:p>
    <w:p w14:paraId="2B9C2FA9">
      <w:pPr>
        <w:spacing w:line="25" w:lineRule="atLeast"/>
        <w:jc w:val="center"/>
        <w:rPr>
          <w:rFonts w:ascii="宋体" w:hAnsi="宋体"/>
          <w:b/>
          <w:color w:val="auto"/>
          <w:sz w:val="36"/>
          <w:highlight w:val="none"/>
        </w:rPr>
      </w:pPr>
      <w:r>
        <w:rPr>
          <w:rFonts w:hint="eastAsia" w:ascii="宋体" w:hAnsi="宋体"/>
          <w:b/>
          <w:color w:val="auto"/>
          <w:sz w:val="36"/>
          <w:highlight w:val="none"/>
        </w:rPr>
        <w:t>（如有，另册发放）</w:t>
      </w:r>
    </w:p>
    <w:p w14:paraId="095921B3">
      <w:pPr>
        <w:ind w:firstLine="1556" w:firstLineChars="500"/>
        <w:rPr>
          <w:rFonts w:hint="eastAsia" w:ascii="宋体" w:hAnsi="宋体" w:eastAsia="宋体" w:cs="宋体"/>
          <w:b/>
          <w:bCs/>
          <w:color w:val="auto"/>
          <w:kern w:val="0"/>
          <w:sz w:val="31"/>
          <w:szCs w:val="31"/>
          <w:highlight w:val="none"/>
          <w:lang w:val="en-US" w:eastAsia="zh-CN" w:bidi="ar"/>
        </w:rPr>
      </w:pPr>
    </w:p>
    <w:p w14:paraId="10FBD589">
      <w:pPr>
        <w:rPr>
          <w:rFonts w:hint="default" w:ascii="宋体" w:hAnsi="宋体" w:eastAsia="宋体" w:cs="宋体"/>
          <w:b/>
          <w:bCs/>
          <w:color w:val="auto"/>
          <w:kern w:val="0"/>
          <w:sz w:val="31"/>
          <w:szCs w:val="31"/>
          <w:highlight w:val="none"/>
          <w:lang w:val="en-US" w:eastAsia="zh-CN" w:bidi="ar"/>
        </w:rPr>
      </w:pPr>
    </w:p>
    <w:p w14:paraId="5B8735BD">
      <w:pPr>
        <w:pStyle w:val="2"/>
        <w:keepNext/>
        <w:keepLines/>
        <w:pageBreakBefore w:val="0"/>
        <w:widowControl w:val="0"/>
        <w:numPr>
          <w:ilvl w:val="0"/>
          <w:numId w:val="5"/>
        </w:numPr>
        <w:kinsoku/>
        <w:wordWrap/>
        <w:overflowPunct/>
        <w:topLinePunct w:val="0"/>
        <w:autoSpaceDE/>
        <w:autoSpaceDN/>
        <w:bidi w:val="0"/>
        <w:adjustRightInd/>
        <w:snapToGrid/>
        <w:spacing w:after="10" w:line="480" w:lineRule="auto"/>
        <w:jc w:val="center"/>
        <w:textAlignment w:val="auto"/>
        <w:rPr>
          <w:rFonts w:hint="default" w:eastAsia="宋体"/>
          <w:color w:val="auto"/>
          <w:highlight w:val="none"/>
          <w:lang w:val="en-US" w:eastAsia="zh-CN"/>
        </w:rPr>
      </w:pPr>
      <w:bookmarkStart w:id="97" w:name="_Toc29341"/>
      <w:r>
        <w:rPr>
          <w:rFonts w:hint="eastAsia"/>
          <w:color w:val="auto"/>
          <w:highlight w:val="none"/>
          <w:lang w:val="en-US" w:eastAsia="zh-CN"/>
        </w:rPr>
        <w:t>技术规范</w:t>
      </w:r>
      <w:bookmarkEnd w:id="97"/>
    </w:p>
    <w:p w14:paraId="1CC27757">
      <w:pPr>
        <w:ind w:firstLine="1556" w:firstLineChars="500"/>
        <w:rPr>
          <w:rFonts w:hint="default" w:ascii="宋体" w:hAnsi="宋体" w:eastAsia="宋体" w:cs="宋体"/>
          <w:b/>
          <w:bCs/>
          <w:color w:val="auto"/>
          <w:kern w:val="0"/>
          <w:sz w:val="31"/>
          <w:szCs w:val="31"/>
          <w:highlight w:val="none"/>
          <w:lang w:val="en-US" w:eastAsia="zh-CN" w:bidi="ar"/>
        </w:rPr>
      </w:pPr>
    </w:p>
    <w:p w14:paraId="0005558D">
      <w:pPr>
        <w:pStyle w:val="19"/>
        <w:spacing w:line="360" w:lineRule="auto"/>
        <w:ind w:left="0" w:leftChars="0" w:firstLine="480"/>
        <w:rPr>
          <w:rFonts w:hint="eastAsia" w:ascii="宋体" w:hAnsi="宋体" w:eastAsia="宋体" w:cs="宋体"/>
          <w:color w:val="auto"/>
          <w:kern w:val="0"/>
          <w:sz w:val="24"/>
          <w:szCs w:val="24"/>
          <w:highlight w:val="none"/>
          <w:lang w:val="en-US" w:eastAsia="zh-CN" w:bidi="ar"/>
        </w:rPr>
      </w:pPr>
      <w:bookmarkStart w:id="98" w:name="_Toc9477"/>
      <w:r>
        <w:rPr>
          <w:rFonts w:hint="eastAsia" w:ascii="宋体" w:hAnsi="宋体" w:eastAsia="宋体" w:cs="宋体"/>
          <w:color w:val="auto"/>
          <w:kern w:val="0"/>
          <w:sz w:val="24"/>
          <w:szCs w:val="24"/>
          <w:highlight w:val="none"/>
          <w:lang w:val="en-US" w:eastAsia="zh-CN" w:bidi="ar"/>
        </w:rPr>
        <w:t>1、技术规范专用条款是《技术规范》条款中明确指出要在技术规范专用条款中予以具体规定的信息或与工程所在地具体情况有关的规定，是必备的配套条款。</w:t>
      </w:r>
    </w:p>
    <w:p w14:paraId="3C4579F5">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2、技术规范专用条款是根据本工程具体情况对《技术规范》条款的补充、删改或具体化，阅读时应与交通运输部《公路工程标准施工招标文件》（2018年版）同时阅读。</w:t>
      </w:r>
    </w:p>
    <w:p w14:paraId="268356EA">
      <w:pPr>
        <w:pStyle w:val="3"/>
        <w:spacing w:before="0" w:after="0" w:line="360" w:lineRule="auto"/>
        <w:rPr>
          <w:rFonts w:hint="eastAsia" w:cs="黑体"/>
          <w:color w:val="auto"/>
          <w:highlight w:val="none"/>
        </w:rPr>
      </w:pPr>
    </w:p>
    <w:p w14:paraId="47E28D51">
      <w:pPr>
        <w:rPr>
          <w:rFonts w:hint="eastAsia" w:cs="黑体"/>
          <w:color w:val="auto"/>
          <w:highlight w:val="none"/>
        </w:rPr>
      </w:pPr>
    </w:p>
    <w:p w14:paraId="095F76BC">
      <w:pPr>
        <w:rPr>
          <w:rFonts w:hint="eastAsia" w:cs="黑体"/>
          <w:color w:val="auto"/>
          <w:highlight w:val="none"/>
        </w:rPr>
      </w:pPr>
    </w:p>
    <w:bookmarkEnd w:id="98"/>
    <w:p w14:paraId="236C792C">
      <w:pPr>
        <w:pStyle w:val="2"/>
        <w:keepNext/>
        <w:keepLines/>
        <w:pageBreakBefore w:val="0"/>
        <w:widowControl w:val="0"/>
        <w:numPr>
          <w:ilvl w:val="0"/>
          <w:numId w:val="5"/>
        </w:numPr>
        <w:kinsoku/>
        <w:wordWrap/>
        <w:overflowPunct/>
        <w:topLinePunct w:val="0"/>
        <w:autoSpaceDE/>
        <w:autoSpaceDN/>
        <w:bidi w:val="0"/>
        <w:adjustRightInd/>
        <w:snapToGrid/>
        <w:spacing w:after="10" w:line="480" w:lineRule="auto"/>
        <w:jc w:val="center"/>
        <w:textAlignment w:val="auto"/>
        <w:rPr>
          <w:rFonts w:hint="default" w:eastAsia="宋体"/>
          <w:color w:val="auto"/>
          <w:highlight w:val="none"/>
          <w:lang w:val="en-US" w:eastAsia="zh-CN"/>
        </w:rPr>
      </w:pPr>
      <w:bookmarkStart w:id="99" w:name="_Toc12323"/>
      <w:r>
        <w:rPr>
          <w:rFonts w:hint="eastAsia"/>
          <w:color w:val="auto"/>
          <w:highlight w:val="none"/>
          <w:lang w:val="en-US" w:eastAsia="zh-CN"/>
        </w:rPr>
        <w:t>工程量清单计量规则</w:t>
      </w:r>
      <w:bookmarkEnd w:id="99"/>
    </w:p>
    <w:p w14:paraId="114854D9">
      <w:pPr>
        <w:pStyle w:val="3"/>
        <w:spacing w:before="0" w:after="0" w:line="360" w:lineRule="auto"/>
        <w:jc w:val="center"/>
        <w:rPr>
          <w:rFonts w:cs="黑体"/>
          <w:color w:val="auto"/>
          <w:highlight w:val="none"/>
        </w:rPr>
      </w:pPr>
    </w:p>
    <w:p w14:paraId="75C8EF22">
      <w:pPr>
        <w:keepNext w:val="0"/>
        <w:keepLines w:val="0"/>
        <w:widowControl/>
        <w:suppressLineNumbers w:val="0"/>
        <w:spacing w:line="360" w:lineRule="auto"/>
        <w:ind w:firstLine="480" w:firstLineChars="200"/>
        <w:jc w:val="left"/>
        <w:rPr>
          <w:color w:val="auto"/>
          <w:highlight w:val="none"/>
        </w:rPr>
      </w:pPr>
      <w:r>
        <w:rPr>
          <w:rFonts w:hint="eastAsia" w:ascii="宋体" w:hAnsi="宋体" w:eastAsia="宋体" w:cs="宋体"/>
          <w:color w:val="auto"/>
          <w:kern w:val="0"/>
          <w:sz w:val="24"/>
          <w:szCs w:val="24"/>
          <w:highlight w:val="none"/>
          <w:lang w:val="en-US" w:eastAsia="zh-CN" w:bidi="ar"/>
        </w:rPr>
        <w:t>“工程量清单计量规则”不加修改地采用中华人民共和国交通运输部《公路工程标准施工招标文件》（</w:t>
      </w:r>
      <w:r>
        <w:rPr>
          <w:rFonts w:ascii="Calibri" w:hAnsi="Calibri" w:eastAsia="宋体" w:cs="Calibri"/>
          <w:color w:val="auto"/>
          <w:kern w:val="0"/>
          <w:sz w:val="24"/>
          <w:szCs w:val="24"/>
          <w:highlight w:val="none"/>
          <w:lang w:val="en-US" w:eastAsia="zh-CN" w:bidi="ar"/>
        </w:rPr>
        <w:t>2018</w:t>
      </w:r>
      <w:r>
        <w:rPr>
          <w:rFonts w:hint="eastAsia" w:ascii="宋体" w:hAnsi="宋体" w:eastAsia="宋体" w:cs="宋体"/>
          <w:color w:val="auto"/>
          <w:kern w:val="0"/>
          <w:sz w:val="24"/>
          <w:szCs w:val="24"/>
          <w:highlight w:val="none"/>
          <w:lang w:val="en-US" w:eastAsia="zh-CN" w:bidi="ar"/>
        </w:rPr>
        <w:t xml:space="preserve">年版）第三册《第八章 工程量清单计量规则》中所列的内容。 </w:t>
      </w:r>
    </w:p>
    <w:p w14:paraId="7D4BC6E3">
      <w:pPr>
        <w:keepNext w:val="0"/>
        <w:keepLines w:val="0"/>
        <w:widowControl/>
        <w:suppressLineNumbers w:val="0"/>
        <w:spacing w:line="360" w:lineRule="auto"/>
        <w:ind w:firstLine="480" w:firstLineChars="200"/>
        <w:jc w:val="left"/>
        <w:rPr>
          <w:color w:val="auto"/>
          <w:highlight w:val="none"/>
        </w:rPr>
      </w:pPr>
      <w:r>
        <w:rPr>
          <w:rFonts w:hint="eastAsia" w:ascii="宋体" w:hAnsi="宋体" w:eastAsia="宋体" w:cs="宋体"/>
          <w:color w:val="auto"/>
          <w:kern w:val="0"/>
          <w:sz w:val="24"/>
          <w:szCs w:val="24"/>
          <w:highlight w:val="none"/>
          <w:lang w:val="en-US" w:eastAsia="zh-CN" w:bidi="ar"/>
        </w:rPr>
        <w:t>注：中华人民共和国交通运输部《公路工程标准施工招标文件》（</w:t>
      </w:r>
      <w:r>
        <w:rPr>
          <w:rFonts w:hint="default" w:ascii="Calibri" w:hAnsi="Calibri" w:eastAsia="宋体" w:cs="Calibri"/>
          <w:color w:val="auto"/>
          <w:kern w:val="0"/>
          <w:sz w:val="24"/>
          <w:szCs w:val="24"/>
          <w:highlight w:val="none"/>
          <w:lang w:val="en-US" w:eastAsia="zh-CN" w:bidi="ar"/>
        </w:rPr>
        <w:t xml:space="preserve">2018 </w:t>
      </w:r>
      <w:r>
        <w:rPr>
          <w:rFonts w:hint="eastAsia" w:ascii="宋体" w:hAnsi="宋体" w:eastAsia="宋体" w:cs="宋体"/>
          <w:color w:val="auto"/>
          <w:kern w:val="0"/>
          <w:sz w:val="24"/>
          <w:szCs w:val="24"/>
          <w:highlight w:val="none"/>
          <w:lang w:val="en-US" w:eastAsia="zh-CN" w:bidi="ar"/>
        </w:rPr>
        <w:t>年版）第三册《第八章 工程量清单计量规则》由供应商自行查阅。</w:t>
      </w:r>
      <w:r>
        <w:rPr>
          <w:rFonts w:hint="eastAsia" w:ascii="宋体" w:hAnsi="宋体" w:eastAsia="宋体" w:cs="宋体"/>
          <w:b/>
          <w:bCs/>
          <w:color w:val="auto"/>
          <w:kern w:val="0"/>
          <w:sz w:val="31"/>
          <w:szCs w:val="31"/>
          <w:highlight w:val="none"/>
          <w:lang w:val="en-US" w:eastAsia="zh-CN" w:bidi="ar"/>
        </w:rPr>
        <w:t xml:space="preserve"> </w:t>
      </w:r>
    </w:p>
    <w:p w14:paraId="2745ADEC">
      <w:pPr>
        <w:pStyle w:val="3"/>
        <w:spacing w:before="0" w:after="0" w:line="360" w:lineRule="auto"/>
        <w:jc w:val="center"/>
        <w:rPr>
          <w:color w:val="auto"/>
          <w:highlight w:val="none"/>
        </w:rPr>
      </w:pPr>
      <w:r>
        <w:rPr>
          <w:rFonts w:cs="黑体"/>
          <w:color w:val="auto"/>
          <w:highlight w:val="none"/>
        </w:rPr>
        <w:br w:type="page"/>
      </w:r>
    </w:p>
    <w:p w14:paraId="5734DF57">
      <w:pPr>
        <w:pStyle w:val="4"/>
        <w:spacing w:before="0" w:after="0" w:line="360" w:lineRule="auto"/>
        <w:rPr>
          <w:color w:val="auto"/>
          <w:highlight w:val="none"/>
        </w:rPr>
      </w:pPr>
    </w:p>
    <w:p w14:paraId="0A794861">
      <w:pPr>
        <w:rPr>
          <w:color w:val="auto"/>
          <w:highlight w:val="none"/>
        </w:rPr>
      </w:pPr>
    </w:p>
    <w:p w14:paraId="3E052C69">
      <w:pPr>
        <w:rPr>
          <w:color w:val="auto"/>
          <w:highlight w:val="none"/>
        </w:rPr>
      </w:pPr>
    </w:p>
    <w:p w14:paraId="4A046B52">
      <w:pPr>
        <w:rPr>
          <w:color w:val="auto"/>
          <w:highlight w:val="none"/>
        </w:rPr>
      </w:pPr>
    </w:p>
    <w:p w14:paraId="0F916BCA">
      <w:pPr>
        <w:rPr>
          <w:color w:val="auto"/>
          <w:highlight w:val="none"/>
        </w:rPr>
      </w:pPr>
    </w:p>
    <w:p w14:paraId="42D743D8">
      <w:pPr>
        <w:rPr>
          <w:color w:val="auto"/>
          <w:highlight w:val="none"/>
        </w:rPr>
      </w:pPr>
    </w:p>
    <w:p w14:paraId="3F0612F2">
      <w:pPr>
        <w:rPr>
          <w:color w:val="auto"/>
          <w:highlight w:val="none"/>
        </w:rPr>
      </w:pPr>
    </w:p>
    <w:p w14:paraId="70A75E86">
      <w:pPr>
        <w:rPr>
          <w:color w:val="auto"/>
          <w:highlight w:val="none"/>
        </w:rPr>
      </w:pPr>
    </w:p>
    <w:p w14:paraId="4D41D929">
      <w:pPr>
        <w:rPr>
          <w:color w:val="auto"/>
          <w:highlight w:val="none"/>
        </w:rPr>
      </w:pPr>
    </w:p>
    <w:p w14:paraId="3328A92B">
      <w:pPr>
        <w:rPr>
          <w:color w:val="auto"/>
          <w:highlight w:val="none"/>
        </w:rPr>
      </w:pPr>
    </w:p>
    <w:p w14:paraId="1F8280FE">
      <w:pPr>
        <w:rPr>
          <w:color w:val="auto"/>
          <w:highlight w:val="none"/>
        </w:rPr>
      </w:pPr>
    </w:p>
    <w:p w14:paraId="2F3EB5CE">
      <w:pPr>
        <w:rPr>
          <w:color w:val="auto"/>
          <w:highlight w:val="none"/>
        </w:rPr>
      </w:pPr>
    </w:p>
    <w:p w14:paraId="6DE00944">
      <w:pPr>
        <w:rPr>
          <w:color w:val="auto"/>
          <w:highlight w:val="none"/>
        </w:rPr>
      </w:pPr>
    </w:p>
    <w:p w14:paraId="2A8D5A65">
      <w:pPr>
        <w:rPr>
          <w:color w:val="auto"/>
          <w:highlight w:val="none"/>
        </w:rPr>
      </w:pPr>
    </w:p>
    <w:p w14:paraId="4F9E682C">
      <w:pPr>
        <w:pStyle w:val="2"/>
        <w:jc w:val="center"/>
        <w:rPr>
          <w:color w:val="auto"/>
          <w:highlight w:val="none"/>
        </w:rPr>
      </w:pPr>
      <w:bookmarkStart w:id="100" w:name="_Toc28817"/>
      <w:r>
        <w:rPr>
          <w:rFonts w:hint="eastAsia"/>
          <w:color w:val="auto"/>
          <w:highlight w:val="none"/>
        </w:rPr>
        <w:t>第</w:t>
      </w:r>
      <w:r>
        <w:rPr>
          <w:rFonts w:hint="eastAsia"/>
          <w:color w:val="auto"/>
          <w:highlight w:val="none"/>
          <w:lang w:val="en-US" w:eastAsia="zh-CN"/>
        </w:rPr>
        <w:t>九</w:t>
      </w:r>
      <w:r>
        <w:rPr>
          <w:rFonts w:hint="eastAsia"/>
          <w:color w:val="auto"/>
          <w:highlight w:val="none"/>
        </w:rPr>
        <w:t>章</w:t>
      </w:r>
      <w:r>
        <w:rPr>
          <w:rFonts w:hint="eastAsia"/>
          <w:color w:val="auto"/>
          <w:highlight w:val="none"/>
          <w:lang w:val="en-US" w:eastAsia="zh-CN"/>
        </w:rPr>
        <w:t xml:space="preserve"> </w:t>
      </w:r>
      <w:r>
        <w:rPr>
          <w:rFonts w:hint="eastAsia"/>
          <w:color w:val="auto"/>
          <w:highlight w:val="none"/>
        </w:rPr>
        <w:t>响应文件格式</w:t>
      </w:r>
      <w:bookmarkEnd w:id="100"/>
    </w:p>
    <w:p w14:paraId="1F5EDD92">
      <w:pPr>
        <w:spacing w:line="240" w:lineRule="atLeast"/>
        <w:rPr>
          <w:rFonts w:ascii="宋体" w:hAnsi="宋体"/>
          <w:b/>
          <w:color w:val="auto"/>
          <w:sz w:val="32"/>
          <w:szCs w:val="32"/>
          <w:highlight w:val="none"/>
        </w:rPr>
      </w:pPr>
    </w:p>
    <w:p w14:paraId="358579D2">
      <w:pPr>
        <w:spacing w:line="240" w:lineRule="atLeast"/>
        <w:rPr>
          <w:rFonts w:ascii="宋体" w:hAnsi="宋体"/>
          <w:b/>
          <w:color w:val="auto"/>
          <w:sz w:val="32"/>
          <w:szCs w:val="32"/>
          <w:highlight w:val="none"/>
        </w:rPr>
      </w:pPr>
    </w:p>
    <w:p w14:paraId="1426C73D">
      <w:pPr>
        <w:spacing w:line="240" w:lineRule="atLeast"/>
        <w:rPr>
          <w:rFonts w:ascii="宋体" w:hAnsi="宋体"/>
          <w:b/>
          <w:color w:val="auto"/>
          <w:sz w:val="32"/>
          <w:szCs w:val="32"/>
          <w:highlight w:val="none"/>
        </w:rPr>
      </w:pPr>
    </w:p>
    <w:p w14:paraId="2BC4C089">
      <w:pPr>
        <w:spacing w:line="240" w:lineRule="atLeast"/>
        <w:rPr>
          <w:rFonts w:ascii="宋体" w:hAnsi="宋体"/>
          <w:b/>
          <w:color w:val="auto"/>
          <w:sz w:val="32"/>
          <w:szCs w:val="32"/>
          <w:highlight w:val="none"/>
        </w:rPr>
      </w:pPr>
    </w:p>
    <w:p w14:paraId="72B29CC0">
      <w:pPr>
        <w:spacing w:line="240" w:lineRule="atLeast"/>
        <w:rPr>
          <w:rFonts w:ascii="宋体" w:hAnsi="宋体"/>
          <w:b/>
          <w:color w:val="auto"/>
          <w:sz w:val="32"/>
          <w:szCs w:val="32"/>
          <w:highlight w:val="none"/>
        </w:rPr>
      </w:pPr>
    </w:p>
    <w:p w14:paraId="4508271F">
      <w:pPr>
        <w:spacing w:line="240" w:lineRule="atLeast"/>
        <w:rPr>
          <w:rFonts w:ascii="宋体" w:hAnsi="宋体"/>
          <w:b/>
          <w:color w:val="auto"/>
          <w:sz w:val="32"/>
          <w:szCs w:val="32"/>
          <w:highlight w:val="none"/>
        </w:rPr>
      </w:pPr>
    </w:p>
    <w:p w14:paraId="582911B0">
      <w:pPr>
        <w:spacing w:line="240" w:lineRule="atLeast"/>
        <w:rPr>
          <w:rFonts w:ascii="宋体" w:hAnsi="宋体"/>
          <w:b/>
          <w:color w:val="auto"/>
          <w:sz w:val="32"/>
          <w:szCs w:val="32"/>
          <w:highlight w:val="none"/>
        </w:rPr>
      </w:pPr>
    </w:p>
    <w:p w14:paraId="7058599D">
      <w:pPr>
        <w:spacing w:line="240" w:lineRule="atLeast"/>
        <w:rPr>
          <w:rFonts w:ascii="宋体" w:hAnsi="宋体"/>
          <w:b/>
          <w:color w:val="auto"/>
          <w:sz w:val="32"/>
          <w:szCs w:val="32"/>
          <w:highlight w:val="none"/>
        </w:rPr>
      </w:pPr>
    </w:p>
    <w:p w14:paraId="0F52FA6D">
      <w:pPr>
        <w:spacing w:line="240" w:lineRule="atLeast"/>
        <w:rPr>
          <w:rFonts w:ascii="宋体" w:hAnsi="宋体"/>
          <w:b/>
          <w:color w:val="auto"/>
          <w:sz w:val="32"/>
          <w:szCs w:val="32"/>
          <w:highlight w:val="none"/>
        </w:rPr>
      </w:pPr>
    </w:p>
    <w:p w14:paraId="7FBAABA8">
      <w:pPr>
        <w:spacing w:line="240" w:lineRule="atLeast"/>
        <w:rPr>
          <w:rFonts w:ascii="宋体" w:hAnsi="宋体"/>
          <w:b/>
          <w:color w:val="auto"/>
          <w:sz w:val="32"/>
          <w:szCs w:val="32"/>
          <w:highlight w:val="none"/>
        </w:rPr>
      </w:pPr>
    </w:p>
    <w:p w14:paraId="2B588D98">
      <w:pPr>
        <w:spacing w:line="240" w:lineRule="atLeast"/>
        <w:rPr>
          <w:rFonts w:ascii="宋体" w:hAnsi="宋体"/>
          <w:b/>
          <w:color w:val="auto"/>
          <w:sz w:val="32"/>
          <w:szCs w:val="32"/>
          <w:highlight w:val="none"/>
        </w:rPr>
      </w:pPr>
    </w:p>
    <w:p w14:paraId="17140C31">
      <w:pPr>
        <w:snapToGrid w:val="0"/>
        <w:spacing w:before="50" w:after="50"/>
        <w:outlineLvl w:val="1"/>
        <w:rPr>
          <w:rFonts w:ascii="宋体" w:hAnsi="宋体"/>
          <w:b/>
          <w:bCs/>
          <w:color w:val="auto"/>
          <w:sz w:val="24"/>
          <w:highlight w:val="none"/>
        </w:rPr>
      </w:pPr>
    </w:p>
    <w:p w14:paraId="6A9E8CCA">
      <w:pPr>
        <w:snapToGrid w:val="0"/>
        <w:spacing w:before="120" w:beforeLines="50" w:after="50"/>
        <w:jc w:val="center"/>
        <w:rPr>
          <w:rFonts w:ascii="仿宋_GB2312" w:hAnsi="仿宋_GB2312" w:eastAsia="仿宋_GB2312" w:cs="仿宋_GB2312"/>
          <w:bCs/>
          <w:color w:val="auto"/>
          <w:sz w:val="32"/>
          <w:szCs w:val="32"/>
          <w:highlight w:val="none"/>
        </w:rPr>
      </w:pPr>
      <w:r>
        <w:rPr>
          <w:rFonts w:ascii="仿宋_GB2312" w:hAnsi="仿宋_GB2312" w:eastAsia="仿宋_GB2312" w:cs="仿宋_GB2312"/>
          <w:bCs/>
          <w:color w:val="auto"/>
          <w:sz w:val="32"/>
          <w:szCs w:val="32"/>
          <w:highlight w:val="none"/>
        </w:rPr>
        <w:br w:type="page"/>
      </w:r>
    </w:p>
    <w:p w14:paraId="3F0BFB4C">
      <w:pPr>
        <w:rPr>
          <w:b/>
          <w:color w:val="auto"/>
          <w:sz w:val="32"/>
          <w:szCs w:val="32"/>
          <w:highlight w:val="none"/>
        </w:rPr>
      </w:pPr>
      <w:bookmarkStart w:id="101" w:name="_Toc31728084"/>
      <w:bookmarkStart w:id="102" w:name="_Toc31723070"/>
      <w:bookmarkStart w:id="103" w:name="_Toc44229899"/>
      <w:bookmarkStart w:id="104" w:name="_Toc35611438"/>
      <w:bookmarkStart w:id="105" w:name="_Toc71366186"/>
      <w:bookmarkStart w:id="106" w:name="_Toc35611516"/>
      <w:r>
        <w:rPr>
          <w:rFonts w:hint="eastAsia"/>
          <w:b/>
          <w:color w:val="auto"/>
          <w:sz w:val="32"/>
          <w:szCs w:val="32"/>
          <w:highlight w:val="none"/>
        </w:rPr>
        <w:t>一、资格证明文件格式</w:t>
      </w:r>
      <w:bookmarkEnd w:id="101"/>
      <w:bookmarkEnd w:id="102"/>
      <w:bookmarkEnd w:id="103"/>
      <w:bookmarkEnd w:id="104"/>
      <w:bookmarkEnd w:id="105"/>
      <w:bookmarkEnd w:id="106"/>
    </w:p>
    <w:p w14:paraId="1AF30590">
      <w:pPr>
        <w:snapToGrid w:val="0"/>
        <w:spacing w:before="120" w:beforeLines="50" w:after="50" w:line="360" w:lineRule="auto"/>
        <w:jc w:val="left"/>
        <w:rPr>
          <w:rFonts w:ascii="宋体" w:hAnsi="宋体"/>
          <w:b/>
          <w:color w:val="auto"/>
          <w:sz w:val="24"/>
          <w:highlight w:val="none"/>
        </w:rPr>
      </w:pPr>
      <w:r>
        <w:rPr>
          <w:rFonts w:hint="eastAsia" w:ascii="宋体" w:hAnsi="宋体"/>
          <w:b/>
          <w:color w:val="auto"/>
          <w:sz w:val="32"/>
          <w:szCs w:val="32"/>
          <w:highlight w:val="none"/>
        </w:rPr>
        <w:t>1.资格证明文件封面格式：</w:t>
      </w:r>
    </w:p>
    <w:p w14:paraId="5AFDCD67">
      <w:pPr>
        <w:snapToGrid w:val="0"/>
        <w:spacing w:before="120" w:beforeLines="50" w:after="50"/>
        <w:jc w:val="center"/>
        <w:rPr>
          <w:rFonts w:ascii="宋体" w:hAnsi="宋体"/>
          <w:color w:val="auto"/>
          <w:sz w:val="44"/>
          <w:szCs w:val="44"/>
          <w:highlight w:val="none"/>
        </w:rPr>
      </w:pPr>
    </w:p>
    <w:p w14:paraId="6D3D741B">
      <w:pPr>
        <w:snapToGrid w:val="0"/>
        <w:spacing w:before="120" w:beforeLines="50" w:after="50"/>
        <w:jc w:val="center"/>
        <w:rPr>
          <w:rFonts w:ascii="宋体" w:hAnsi="宋体"/>
          <w:color w:val="auto"/>
          <w:sz w:val="44"/>
          <w:szCs w:val="44"/>
          <w:highlight w:val="none"/>
        </w:rPr>
      </w:pPr>
      <w:r>
        <w:rPr>
          <w:rFonts w:hint="eastAsia" w:ascii="宋体" w:hAnsi="宋体"/>
          <w:color w:val="auto"/>
          <w:sz w:val="44"/>
          <w:szCs w:val="44"/>
          <w:highlight w:val="none"/>
        </w:rPr>
        <w:t>电 子 响 应 文 件</w:t>
      </w:r>
    </w:p>
    <w:p w14:paraId="6B90515B">
      <w:pPr>
        <w:snapToGrid w:val="0"/>
        <w:spacing w:before="120" w:beforeLines="50" w:after="50"/>
        <w:rPr>
          <w:rFonts w:ascii="宋体" w:hAnsi="宋体"/>
          <w:color w:val="auto"/>
          <w:sz w:val="24"/>
          <w:szCs w:val="20"/>
          <w:highlight w:val="none"/>
        </w:rPr>
      </w:pPr>
    </w:p>
    <w:p w14:paraId="02F8E98C">
      <w:pPr>
        <w:snapToGrid w:val="0"/>
        <w:spacing w:before="120"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w:t>
      </w:r>
    </w:p>
    <w:p w14:paraId="26DE6C2A">
      <w:pPr>
        <w:snapToGrid w:val="0"/>
        <w:spacing w:before="120" w:beforeLines="50" w:after="50"/>
        <w:rPr>
          <w:rFonts w:ascii="宋体" w:hAnsi="宋体"/>
          <w:bCs/>
          <w:color w:val="auto"/>
          <w:sz w:val="24"/>
          <w:szCs w:val="20"/>
          <w:highlight w:val="none"/>
        </w:rPr>
      </w:pPr>
    </w:p>
    <w:p w14:paraId="255E1500">
      <w:pPr>
        <w:snapToGrid w:val="0"/>
        <w:spacing w:before="120" w:beforeLines="50" w:after="50"/>
        <w:rPr>
          <w:rFonts w:ascii="宋体" w:hAnsi="宋体"/>
          <w:bCs/>
          <w:color w:val="auto"/>
          <w:sz w:val="24"/>
          <w:szCs w:val="20"/>
          <w:highlight w:val="none"/>
        </w:rPr>
      </w:pPr>
    </w:p>
    <w:p w14:paraId="4544AE83">
      <w:pPr>
        <w:snapToGrid w:val="0"/>
        <w:spacing w:before="120" w:beforeLines="50" w:after="50"/>
        <w:rPr>
          <w:rFonts w:ascii="宋体" w:hAnsi="宋体"/>
          <w:bCs/>
          <w:color w:val="auto"/>
          <w:sz w:val="24"/>
          <w:szCs w:val="20"/>
          <w:highlight w:val="none"/>
        </w:rPr>
      </w:pPr>
    </w:p>
    <w:p w14:paraId="5419AF33">
      <w:pPr>
        <w:snapToGrid w:val="0"/>
        <w:spacing w:before="120" w:beforeLines="50" w:after="50"/>
        <w:rPr>
          <w:rFonts w:ascii="宋体" w:hAnsi="宋体"/>
          <w:bCs/>
          <w:color w:val="auto"/>
          <w:sz w:val="24"/>
          <w:szCs w:val="20"/>
          <w:highlight w:val="none"/>
        </w:rPr>
      </w:pPr>
    </w:p>
    <w:p w14:paraId="5F152977">
      <w:pPr>
        <w:snapToGrid w:val="0"/>
        <w:spacing w:before="120" w:beforeLines="50" w:after="50"/>
        <w:rPr>
          <w:rFonts w:ascii="宋体" w:hAnsi="宋体"/>
          <w:bCs/>
          <w:color w:val="auto"/>
          <w:sz w:val="24"/>
          <w:szCs w:val="20"/>
          <w:highlight w:val="none"/>
        </w:rPr>
      </w:pPr>
    </w:p>
    <w:p w14:paraId="044117DC">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23A04EA7">
      <w:pPr>
        <w:snapToGrid w:val="0"/>
        <w:spacing w:before="120" w:beforeLines="50" w:after="50"/>
        <w:ind w:firstLine="720" w:firstLineChars="225"/>
        <w:rPr>
          <w:rFonts w:ascii="宋体" w:hAnsi="宋体" w:cs="仿宋_GB2312"/>
          <w:bCs/>
          <w:color w:val="auto"/>
          <w:sz w:val="32"/>
          <w:szCs w:val="32"/>
          <w:highlight w:val="none"/>
        </w:rPr>
      </w:pPr>
    </w:p>
    <w:p w14:paraId="1CDCF5B3">
      <w:pPr>
        <w:snapToGrid w:val="0"/>
        <w:spacing w:before="120"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56E0CA67">
      <w:pPr>
        <w:snapToGrid w:val="0"/>
        <w:spacing w:before="120" w:beforeLines="50" w:after="50"/>
        <w:ind w:firstLine="720" w:firstLineChars="225"/>
        <w:rPr>
          <w:rFonts w:ascii="宋体" w:hAnsi="宋体" w:cs="仿宋_GB2312"/>
          <w:bCs/>
          <w:color w:val="auto"/>
          <w:sz w:val="32"/>
          <w:szCs w:val="32"/>
          <w:highlight w:val="none"/>
        </w:rPr>
      </w:pPr>
    </w:p>
    <w:p w14:paraId="31070AB8">
      <w:pPr>
        <w:snapToGrid w:val="0"/>
        <w:spacing w:before="120"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7E738FE7">
      <w:pPr>
        <w:snapToGrid w:val="0"/>
        <w:spacing w:before="120" w:beforeLines="50" w:after="50"/>
        <w:ind w:firstLine="720" w:firstLineChars="225"/>
        <w:rPr>
          <w:rFonts w:ascii="宋体" w:hAnsi="宋体" w:cs="仿宋_GB2312"/>
          <w:bCs/>
          <w:color w:val="auto"/>
          <w:sz w:val="32"/>
          <w:szCs w:val="32"/>
          <w:highlight w:val="none"/>
        </w:rPr>
      </w:pPr>
    </w:p>
    <w:p w14:paraId="4975D605">
      <w:pPr>
        <w:pStyle w:val="7"/>
        <w:snapToGrid w:val="0"/>
        <w:spacing w:before="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7B1500F8">
      <w:pPr>
        <w:snapToGrid w:val="0"/>
        <w:spacing w:before="120" w:beforeLines="50" w:after="50"/>
        <w:ind w:firstLine="640" w:firstLineChars="200"/>
        <w:rPr>
          <w:rFonts w:ascii="宋体" w:hAnsi="宋体" w:cs="仿宋_GB2312"/>
          <w:bCs/>
          <w:color w:val="auto"/>
          <w:sz w:val="32"/>
          <w:szCs w:val="32"/>
          <w:highlight w:val="none"/>
        </w:rPr>
      </w:pPr>
    </w:p>
    <w:p w14:paraId="50920912">
      <w:pPr>
        <w:pStyle w:val="7"/>
        <w:snapToGrid w:val="0"/>
        <w:spacing w:before="50" w:after="50"/>
        <w:ind w:firstLine="720" w:firstLineChars="225"/>
        <w:rPr>
          <w:rFonts w:ascii="宋体" w:hAnsi="宋体" w:cs="仿宋_GB2312"/>
          <w:bCs/>
          <w:color w:val="auto"/>
          <w:sz w:val="32"/>
          <w:szCs w:val="32"/>
          <w:highlight w:val="none"/>
        </w:rPr>
      </w:pPr>
    </w:p>
    <w:p w14:paraId="3DC87E65">
      <w:pPr>
        <w:pStyle w:val="7"/>
        <w:snapToGrid w:val="0"/>
        <w:spacing w:before="50" w:after="50"/>
        <w:ind w:firstLine="720" w:firstLineChars="225"/>
        <w:rPr>
          <w:rFonts w:ascii="宋体" w:hAnsi="宋体" w:cs="仿宋_GB2312"/>
          <w:bCs/>
          <w:color w:val="auto"/>
          <w:sz w:val="32"/>
          <w:szCs w:val="32"/>
          <w:highlight w:val="none"/>
        </w:rPr>
      </w:pPr>
    </w:p>
    <w:p w14:paraId="7B718673">
      <w:pPr>
        <w:pStyle w:val="7"/>
        <w:snapToGrid w:val="0"/>
        <w:spacing w:before="50" w:after="50"/>
        <w:ind w:firstLine="1280" w:firstLineChars="400"/>
        <w:rPr>
          <w:rFonts w:ascii="宋体" w:hAnsi="宋体" w:cs="仿宋_GB2312"/>
          <w:bCs/>
          <w:color w:val="auto"/>
          <w:sz w:val="32"/>
          <w:szCs w:val="32"/>
          <w:highlight w:val="none"/>
        </w:rPr>
      </w:pPr>
    </w:p>
    <w:p w14:paraId="2F87DE2D">
      <w:pPr>
        <w:snapToGrid w:val="0"/>
        <w:spacing w:before="120"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354AAAC1">
      <w:pPr>
        <w:snapToGrid w:val="0"/>
        <w:spacing w:before="120" w:beforeLines="50" w:after="50" w:line="360" w:lineRule="auto"/>
        <w:ind w:left="142"/>
        <w:jc w:val="left"/>
        <w:rPr>
          <w:rFonts w:ascii="宋体" w:hAnsi="宋体"/>
          <w:b/>
          <w:bCs/>
          <w:color w:val="auto"/>
          <w:sz w:val="32"/>
          <w:szCs w:val="32"/>
          <w:highlight w:val="none"/>
        </w:rPr>
      </w:pPr>
      <w:r>
        <w:rPr>
          <w:rFonts w:ascii="宋体" w:hAnsi="宋体"/>
          <w:color w:val="auto"/>
          <w:sz w:val="24"/>
          <w:highlight w:val="none"/>
        </w:rPr>
        <w:br w:type="page"/>
      </w:r>
      <w:r>
        <w:rPr>
          <w:rFonts w:hint="eastAsia" w:ascii="宋体" w:hAnsi="宋体"/>
          <w:b/>
          <w:bCs/>
          <w:color w:val="auto"/>
          <w:sz w:val="32"/>
          <w:szCs w:val="32"/>
          <w:highlight w:val="none"/>
        </w:rPr>
        <w:t>2.资格证明文件目录</w:t>
      </w:r>
    </w:p>
    <w:p w14:paraId="5F2065E9">
      <w:pPr>
        <w:snapToGrid w:val="0"/>
        <w:spacing w:before="120" w:beforeLines="50" w:after="50" w:line="360" w:lineRule="auto"/>
        <w:ind w:firstLine="645"/>
        <w:rPr>
          <w:rFonts w:ascii="宋体" w:hAnsi="宋体"/>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p>
    <w:p w14:paraId="308A5B43">
      <w:pPr>
        <w:snapToGrid w:val="0"/>
        <w:spacing w:before="120" w:beforeLines="50" w:after="50"/>
        <w:rPr>
          <w:rFonts w:ascii="宋体" w:hAnsi="宋体"/>
          <w:color w:val="auto"/>
          <w:sz w:val="24"/>
          <w:szCs w:val="20"/>
          <w:highlight w:val="none"/>
        </w:rPr>
      </w:pPr>
    </w:p>
    <w:p w14:paraId="57A64A81">
      <w:pPr>
        <w:spacing w:line="300" w:lineRule="auto"/>
        <w:rPr>
          <w:rFonts w:ascii="宋体" w:hAnsi="宋体"/>
          <w:color w:val="auto"/>
          <w:szCs w:val="21"/>
          <w:highlight w:val="none"/>
        </w:rPr>
      </w:pPr>
    </w:p>
    <w:p w14:paraId="171C6B98">
      <w:pPr>
        <w:spacing w:line="300" w:lineRule="auto"/>
        <w:rPr>
          <w:rFonts w:ascii="宋体" w:hAnsi="宋体"/>
          <w:color w:val="auto"/>
          <w:szCs w:val="21"/>
          <w:highlight w:val="none"/>
        </w:rPr>
      </w:pPr>
    </w:p>
    <w:p w14:paraId="71169103">
      <w:pPr>
        <w:spacing w:line="300" w:lineRule="auto"/>
        <w:rPr>
          <w:rFonts w:ascii="宋体" w:hAnsi="宋体"/>
          <w:color w:val="auto"/>
          <w:szCs w:val="21"/>
          <w:highlight w:val="none"/>
        </w:rPr>
      </w:pPr>
    </w:p>
    <w:p w14:paraId="7335E300">
      <w:pPr>
        <w:spacing w:line="300" w:lineRule="auto"/>
        <w:rPr>
          <w:rFonts w:ascii="宋体" w:hAnsi="宋体"/>
          <w:color w:val="auto"/>
          <w:szCs w:val="21"/>
          <w:highlight w:val="none"/>
        </w:rPr>
      </w:pPr>
    </w:p>
    <w:p w14:paraId="1F37D8BA">
      <w:pPr>
        <w:spacing w:line="300" w:lineRule="auto"/>
        <w:rPr>
          <w:rFonts w:ascii="宋体" w:hAnsi="宋体"/>
          <w:color w:val="auto"/>
          <w:szCs w:val="21"/>
          <w:highlight w:val="none"/>
        </w:rPr>
      </w:pPr>
    </w:p>
    <w:p w14:paraId="6685C81A">
      <w:pPr>
        <w:spacing w:line="300" w:lineRule="auto"/>
        <w:rPr>
          <w:rFonts w:ascii="宋体" w:hAnsi="宋体"/>
          <w:color w:val="auto"/>
          <w:szCs w:val="21"/>
          <w:highlight w:val="none"/>
        </w:rPr>
      </w:pPr>
    </w:p>
    <w:p w14:paraId="60F81313">
      <w:pPr>
        <w:spacing w:line="300" w:lineRule="auto"/>
        <w:rPr>
          <w:rFonts w:ascii="宋体" w:hAnsi="宋体"/>
          <w:color w:val="auto"/>
          <w:szCs w:val="21"/>
          <w:highlight w:val="none"/>
        </w:rPr>
      </w:pPr>
    </w:p>
    <w:p w14:paraId="6CECFB28">
      <w:pPr>
        <w:spacing w:line="300" w:lineRule="auto"/>
        <w:rPr>
          <w:rFonts w:ascii="宋体" w:hAnsi="宋体"/>
          <w:color w:val="auto"/>
          <w:szCs w:val="21"/>
          <w:highlight w:val="none"/>
        </w:rPr>
      </w:pPr>
    </w:p>
    <w:p w14:paraId="5C624D90">
      <w:pPr>
        <w:spacing w:line="300" w:lineRule="auto"/>
        <w:rPr>
          <w:rFonts w:ascii="宋体" w:hAnsi="宋体"/>
          <w:color w:val="auto"/>
          <w:szCs w:val="21"/>
          <w:highlight w:val="none"/>
        </w:rPr>
      </w:pPr>
    </w:p>
    <w:p w14:paraId="063C8297">
      <w:pPr>
        <w:spacing w:line="300" w:lineRule="auto"/>
        <w:rPr>
          <w:rFonts w:ascii="宋体" w:hAnsi="宋体"/>
          <w:color w:val="auto"/>
          <w:szCs w:val="21"/>
          <w:highlight w:val="none"/>
        </w:rPr>
      </w:pPr>
    </w:p>
    <w:p w14:paraId="5B5723BE">
      <w:pPr>
        <w:spacing w:line="300" w:lineRule="auto"/>
        <w:rPr>
          <w:rFonts w:ascii="宋体" w:hAnsi="宋体"/>
          <w:color w:val="auto"/>
          <w:szCs w:val="21"/>
          <w:highlight w:val="none"/>
        </w:rPr>
      </w:pPr>
    </w:p>
    <w:p w14:paraId="15760A22">
      <w:pPr>
        <w:spacing w:line="300" w:lineRule="auto"/>
        <w:rPr>
          <w:rFonts w:ascii="宋体" w:hAnsi="宋体"/>
          <w:color w:val="auto"/>
          <w:szCs w:val="21"/>
          <w:highlight w:val="none"/>
        </w:rPr>
      </w:pPr>
    </w:p>
    <w:p w14:paraId="232421F9">
      <w:pPr>
        <w:spacing w:line="300" w:lineRule="auto"/>
        <w:rPr>
          <w:rFonts w:ascii="宋体" w:hAnsi="宋体"/>
          <w:color w:val="auto"/>
          <w:szCs w:val="21"/>
          <w:highlight w:val="none"/>
        </w:rPr>
      </w:pPr>
    </w:p>
    <w:p w14:paraId="7EAE0F0B">
      <w:pPr>
        <w:spacing w:line="300" w:lineRule="auto"/>
        <w:rPr>
          <w:rFonts w:ascii="宋体" w:hAnsi="宋体"/>
          <w:color w:val="auto"/>
          <w:szCs w:val="21"/>
          <w:highlight w:val="none"/>
        </w:rPr>
      </w:pPr>
    </w:p>
    <w:p w14:paraId="4B141F73">
      <w:pPr>
        <w:spacing w:line="300" w:lineRule="auto"/>
        <w:rPr>
          <w:rFonts w:ascii="宋体" w:hAnsi="宋体"/>
          <w:color w:val="auto"/>
          <w:szCs w:val="21"/>
          <w:highlight w:val="none"/>
        </w:rPr>
      </w:pPr>
    </w:p>
    <w:p w14:paraId="0235DBA7">
      <w:pPr>
        <w:spacing w:line="320" w:lineRule="exact"/>
        <w:jc w:val="left"/>
        <w:rPr>
          <w:rFonts w:ascii="宋体" w:hAnsi="宋体"/>
          <w:color w:val="auto"/>
          <w:szCs w:val="21"/>
          <w:highlight w:val="none"/>
        </w:rPr>
      </w:pPr>
      <w:r>
        <w:rPr>
          <w:rFonts w:ascii="宋体" w:hAnsi="宋体"/>
          <w:color w:val="auto"/>
          <w:szCs w:val="21"/>
          <w:highlight w:val="none"/>
        </w:rPr>
        <w:br w:type="page"/>
      </w:r>
    </w:p>
    <w:p w14:paraId="6880AE24">
      <w:pPr>
        <w:snapToGrid w:val="0"/>
        <w:spacing w:before="50" w:after="120" w:afterLines="50" w:line="360" w:lineRule="auto"/>
        <w:jc w:val="center"/>
        <w:rPr>
          <w:rFonts w:hint="eastAsia" w:ascii="仿宋_GB2312" w:hAnsi="仿宋_GB2312" w:eastAsia="仿宋_GB2312" w:cs="仿宋_GB2312"/>
          <w:color w:val="auto"/>
          <w:kern w:val="0"/>
          <w:sz w:val="32"/>
          <w:szCs w:val="32"/>
          <w:highlight w:val="none"/>
          <w:lang w:bidi="ar"/>
        </w:rPr>
      </w:pPr>
      <w:r>
        <w:rPr>
          <w:rFonts w:hint="eastAsia" w:ascii="宋体" w:hAnsi="宋体"/>
          <w:b/>
          <w:color w:val="auto"/>
          <w:sz w:val="32"/>
          <w:szCs w:val="32"/>
          <w:highlight w:val="none"/>
        </w:rPr>
        <w:t>崇左市政府采购供应商信用承诺函</w:t>
      </w:r>
    </w:p>
    <w:p w14:paraId="7500E006">
      <w:pPr>
        <w:widowControl/>
        <w:spacing w:line="440" w:lineRule="exact"/>
        <w:rPr>
          <w:rFonts w:hint="eastAsia" w:ascii="宋体" w:hAnsi="宋体" w:cs="宋体"/>
          <w:color w:val="auto"/>
          <w:sz w:val="24"/>
          <w:highlight w:val="none"/>
          <w:u w:val="single"/>
        </w:rPr>
      </w:pPr>
      <w:r>
        <w:rPr>
          <w:rFonts w:hint="eastAsia" w:ascii="宋体" w:hAnsi="宋体" w:cs="宋体"/>
          <w:color w:val="auto"/>
          <w:kern w:val="0"/>
          <w:sz w:val="24"/>
          <w:highlight w:val="none"/>
          <w:lang w:bidi="ar"/>
        </w:rPr>
        <w:t>致</w:t>
      </w:r>
      <w:r>
        <w:rPr>
          <w:rFonts w:hint="eastAsia" w:ascii="宋体" w:hAnsi="宋体" w:cs="宋体"/>
          <w:color w:val="auto"/>
          <w:kern w:val="0"/>
          <w:sz w:val="24"/>
          <w:highlight w:val="none"/>
          <w:u w:val="single"/>
          <w:lang w:bidi="ar"/>
        </w:rPr>
        <w:t>（采购代理机构名称）</w:t>
      </w:r>
      <w:r>
        <w:rPr>
          <w:rFonts w:hint="eastAsia" w:ascii="宋体" w:hAnsi="宋体" w:cs="宋体"/>
          <w:color w:val="auto"/>
          <w:kern w:val="0"/>
          <w:sz w:val="24"/>
          <w:highlight w:val="none"/>
          <w:lang w:bidi="ar"/>
        </w:rPr>
        <w:t>:</w:t>
      </w:r>
    </w:p>
    <w:p w14:paraId="7D9ECEA1">
      <w:pPr>
        <w:widowControl/>
        <w:spacing w:line="440" w:lineRule="exact"/>
        <w:ind w:firstLine="480" w:firstLineChars="200"/>
        <w:rPr>
          <w:rFonts w:hint="eastAsia" w:ascii="宋体" w:hAnsi="宋体" w:cs="宋体"/>
          <w:color w:val="auto"/>
          <w:spacing w:val="-6"/>
          <w:sz w:val="24"/>
          <w:highlight w:val="none"/>
        </w:rPr>
      </w:pPr>
      <w:r>
        <w:rPr>
          <w:rFonts w:hint="eastAsia" w:ascii="宋体" w:hAnsi="宋体" w:cs="宋体"/>
          <w:color w:val="auto"/>
          <w:kern w:val="0"/>
          <w:sz w:val="24"/>
          <w:highlight w:val="none"/>
          <w:lang w:bidi="ar"/>
        </w:rPr>
        <w:t>我方自愿参加</w:t>
      </w:r>
      <w:r>
        <w:rPr>
          <w:rFonts w:hint="eastAsia" w:ascii="宋体" w:hAnsi="宋体" w:cs="宋体"/>
          <w:color w:val="auto"/>
          <w:kern w:val="0"/>
          <w:sz w:val="24"/>
          <w:highlight w:val="none"/>
          <w:u w:val="single"/>
          <w:lang w:bidi="ar"/>
        </w:rPr>
        <w:t xml:space="preserve"> （项目名称） </w:t>
      </w:r>
      <w:r>
        <w:rPr>
          <w:rFonts w:hint="eastAsia" w:ascii="宋体" w:hAnsi="宋体" w:cs="宋体"/>
          <w:color w:val="auto"/>
          <w:kern w:val="0"/>
          <w:sz w:val="24"/>
          <w:highlight w:val="none"/>
          <w:lang w:bidi="ar"/>
        </w:rPr>
        <w:t>项目</w:t>
      </w:r>
      <w:r>
        <w:rPr>
          <w:rFonts w:hint="eastAsia" w:ascii="宋体" w:hAnsi="宋体" w:cs="宋体"/>
          <w:color w:val="auto"/>
          <w:spacing w:val="6"/>
          <w:sz w:val="24"/>
          <w:highlight w:val="none"/>
        </w:rPr>
        <w:t>（项目编号：</w:t>
      </w:r>
      <w:r>
        <w:rPr>
          <w:rFonts w:hint="eastAsia" w:ascii="宋体" w:hAnsi="宋体" w:cs="宋体"/>
          <w:color w:val="auto"/>
          <w:spacing w:val="6"/>
          <w:sz w:val="24"/>
          <w:highlight w:val="none"/>
          <w:u w:val="single"/>
        </w:rPr>
        <w:t xml:space="preserve">         </w:t>
      </w:r>
      <w:r>
        <w:rPr>
          <w:rFonts w:hint="eastAsia" w:ascii="宋体" w:hAnsi="宋体" w:cs="宋体"/>
          <w:color w:val="auto"/>
          <w:spacing w:val="6"/>
          <w:sz w:val="24"/>
          <w:highlight w:val="none"/>
        </w:rPr>
        <w:t>）</w:t>
      </w:r>
      <w:r>
        <w:rPr>
          <w:rFonts w:hint="eastAsia" w:ascii="宋体" w:hAnsi="宋体" w:cs="宋体"/>
          <w:color w:val="auto"/>
          <w:kern w:val="0"/>
          <w:sz w:val="24"/>
          <w:highlight w:val="none"/>
          <w:lang w:bidi="ar"/>
        </w:rPr>
        <w:t>的政府采购活动，严格遵守《中华人民共和国政府采购法》及相关法律法规，依法诚信经营，无条件遵守本次政府采购活动的各项规定，并郑重承诺</w:t>
      </w:r>
      <w:r>
        <w:rPr>
          <w:rFonts w:hint="eastAsia" w:ascii="宋体" w:hAnsi="宋体" w:cs="宋体"/>
          <w:color w:val="auto"/>
          <w:spacing w:val="-6"/>
          <w:kern w:val="0"/>
          <w:sz w:val="24"/>
          <w:highlight w:val="none"/>
          <w:lang w:bidi="ar"/>
        </w:rPr>
        <w:t xml:space="preserve">： </w:t>
      </w:r>
    </w:p>
    <w:p w14:paraId="20DC8316">
      <w:pPr>
        <w:widowControl/>
        <w:spacing w:line="440" w:lineRule="exact"/>
        <w:ind w:firstLine="480" w:firstLineChars="200"/>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1.我方</w:t>
      </w:r>
      <w:r>
        <w:rPr>
          <w:rFonts w:hint="eastAsia" w:ascii="宋体" w:hAnsi="宋体" w:cs="宋体"/>
          <w:color w:val="auto"/>
          <w:spacing w:val="6"/>
          <w:sz w:val="24"/>
          <w:highlight w:val="none"/>
        </w:rPr>
        <w:t>具有独立承担民事责任的能力或我方属于银行、保险、石油石化、电力、电信等有行业特殊情况的法人的分支机构在参加本次政府采购活动前已取得总公司的授权。</w:t>
      </w:r>
    </w:p>
    <w:p w14:paraId="1607855A">
      <w:pPr>
        <w:widowControl/>
        <w:spacing w:line="440" w:lineRule="exact"/>
        <w:ind w:firstLine="480" w:firstLineChars="200"/>
        <w:rPr>
          <w:rFonts w:hint="eastAsia" w:ascii="宋体" w:hAnsi="宋体" w:cs="宋体"/>
          <w:color w:val="auto"/>
          <w:sz w:val="24"/>
          <w:highlight w:val="none"/>
        </w:rPr>
      </w:pPr>
      <w:r>
        <w:rPr>
          <w:rFonts w:hint="eastAsia" w:ascii="宋体" w:hAnsi="宋体" w:cs="宋体"/>
          <w:color w:val="auto"/>
          <w:kern w:val="0"/>
          <w:sz w:val="24"/>
          <w:highlight w:val="none"/>
          <w:lang w:bidi="ar"/>
        </w:rPr>
        <w:t xml:space="preserve">2.我方具有符合采购文件资格要求的财务状况报告。 </w:t>
      </w:r>
    </w:p>
    <w:p w14:paraId="67328F3A">
      <w:pPr>
        <w:widowControl/>
        <w:spacing w:line="440" w:lineRule="exact"/>
        <w:ind w:firstLine="456" w:firstLineChars="200"/>
        <w:rPr>
          <w:rFonts w:hint="eastAsia" w:ascii="宋体" w:hAnsi="宋体" w:cs="宋体"/>
          <w:color w:val="auto"/>
          <w:spacing w:val="-17"/>
          <w:sz w:val="24"/>
          <w:highlight w:val="none"/>
        </w:rPr>
      </w:pPr>
      <w:r>
        <w:rPr>
          <w:rFonts w:hint="eastAsia" w:ascii="宋体" w:hAnsi="宋体" w:cs="宋体"/>
          <w:color w:val="auto"/>
          <w:spacing w:val="-6"/>
          <w:kern w:val="0"/>
          <w:sz w:val="24"/>
          <w:highlight w:val="none"/>
          <w:lang w:bidi="ar"/>
        </w:rPr>
        <w:t>3.我方具有符合采购文件资格要求的依法缴纳税收和社会保障资金的良好记录。</w:t>
      </w:r>
      <w:r>
        <w:rPr>
          <w:rFonts w:hint="eastAsia" w:ascii="宋体" w:hAnsi="宋体" w:cs="宋体"/>
          <w:color w:val="auto"/>
          <w:spacing w:val="-17"/>
          <w:kern w:val="0"/>
          <w:sz w:val="24"/>
          <w:highlight w:val="none"/>
          <w:lang w:bidi="ar"/>
        </w:rPr>
        <w:t xml:space="preserve"> </w:t>
      </w:r>
    </w:p>
    <w:p w14:paraId="48460EFB">
      <w:pPr>
        <w:widowControl/>
        <w:spacing w:line="440" w:lineRule="exact"/>
        <w:ind w:firstLine="480" w:firstLineChars="200"/>
        <w:rPr>
          <w:rFonts w:hint="eastAsia" w:ascii="宋体" w:hAnsi="宋体" w:cs="宋体"/>
          <w:color w:val="auto"/>
          <w:sz w:val="24"/>
          <w:highlight w:val="none"/>
        </w:rPr>
      </w:pPr>
      <w:r>
        <w:rPr>
          <w:rFonts w:hint="eastAsia" w:ascii="宋体" w:hAnsi="宋体" w:cs="宋体"/>
          <w:color w:val="auto"/>
          <w:kern w:val="0"/>
          <w:sz w:val="24"/>
          <w:highlight w:val="none"/>
          <w:lang w:bidi="ar"/>
        </w:rPr>
        <w:t xml:space="preserve">4.我方具有符合采购文件资格要求履行合同所必需的设备和专业技术能力。 </w:t>
      </w:r>
    </w:p>
    <w:p w14:paraId="341A792D">
      <w:pPr>
        <w:widowControl/>
        <w:spacing w:line="440" w:lineRule="exact"/>
        <w:ind w:firstLine="480" w:firstLineChars="200"/>
        <w:rPr>
          <w:rFonts w:hint="eastAsia" w:ascii="宋体" w:hAnsi="宋体" w:cs="宋体"/>
          <w:color w:val="auto"/>
          <w:sz w:val="24"/>
          <w:highlight w:val="none"/>
        </w:rPr>
      </w:pPr>
      <w:r>
        <w:rPr>
          <w:rFonts w:hint="eastAsia" w:ascii="宋体" w:hAnsi="宋体" w:cs="宋体"/>
          <w:color w:val="auto"/>
          <w:kern w:val="0"/>
          <w:sz w:val="24"/>
          <w:highlight w:val="none"/>
          <w:lang w:bidi="ar"/>
        </w:rPr>
        <w:t xml:space="preserve">5.我方参加政府采购活动前3年内在经营活动中没有重大违法记录。 </w:t>
      </w:r>
    </w:p>
    <w:p w14:paraId="2DF6334F">
      <w:pPr>
        <w:widowControl/>
        <w:spacing w:line="440" w:lineRule="exact"/>
        <w:ind w:firstLine="480" w:firstLineChars="200"/>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我方对以上承诺内容的真实性负责。如有虚假，将依法承担相应责任。</w:t>
      </w:r>
    </w:p>
    <w:p w14:paraId="585BF25C">
      <w:pPr>
        <w:widowControl/>
        <w:spacing w:line="440" w:lineRule="exact"/>
        <w:ind w:firstLine="480" w:firstLineChars="200"/>
        <w:rPr>
          <w:rFonts w:hint="eastAsia" w:ascii="宋体" w:hAnsi="宋体" w:cs="宋体"/>
          <w:color w:val="auto"/>
          <w:kern w:val="0"/>
          <w:sz w:val="24"/>
          <w:highlight w:val="none"/>
          <w:lang w:bidi="ar"/>
        </w:rPr>
      </w:pPr>
    </w:p>
    <w:p w14:paraId="1387D4AD">
      <w:pPr>
        <w:widowControl/>
        <w:spacing w:line="440" w:lineRule="exact"/>
        <w:ind w:firstLine="480" w:firstLineChars="200"/>
        <w:rPr>
          <w:rFonts w:hint="eastAsia" w:ascii="宋体" w:hAnsi="宋体" w:cs="宋体"/>
          <w:color w:val="auto"/>
          <w:kern w:val="0"/>
          <w:sz w:val="24"/>
          <w:highlight w:val="none"/>
          <w:lang w:bidi="ar"/>
        </w:rPr>
      </w:pPr>
    </w:p>
    <w:p w14:paraId="49DB290E">
      <w:pPr>
        <w:widowControl/>
        <w:spacing w:line="360" w:lineRule="auto"/>
        <w:ind w:firstLine="4080" w:firstLineChars="1700"/>
        <w:jc w:val="left"/>
        <w:rPr>
          <w:rFonts w:hint="eastAsia" w:ascii="宋体" w:hAnsi="宋体" w:cs="宋体"/>
          <w:color w:val="auto"/>
          <w:sz w:val="24"/>
          <w:highlight w:val="none"/>
        </w:rPr>
      </w:pPr>
      <w:r>
        <w:rPr>
          <w:rFonts w:hint="eastAsia" w:ascii="宋体" w:hAnsi="宋体" w:cs="宋体"/>
          <w:color w:val="auto"/>
          <w:kern w:val="0"/>
          <w:sz w:val="24"/>
          <w:highlight w:val="none"/>
          <w:lang w:bidi="ar"/>
        </w:rPr>
        <w:t xml:space="preserve">供应商（电子签章）： </w:t>
      </w:r>
    </w:p>
    <w:p w14:paraId="6F6307E9">
      <w:pPr>
        <w:spacing w:line="360" w:lineRule="auto"/>
        <w:ind w:firstLine="480" w:firstLineChars="200"/>
        <w:contextualSpacing/>
        <w:jc w:val="center"/>
        <w:rPr>
          <w:rFonts w:hint="eastAsia" w:ascii="宋体" w:hAnsi="宋体" w:cs="宋体"/>
          <w:color w:val="auto"/>
          <w:kern w:val="0"/>
          <w:sz w:val="24"/>
          <w:highlight w:val="none"/>
          <w:lang w:bidi="ar"/>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年    月    日</w:t>
      </w:r>
    </w:p>
    <w:p w14:paraId="0E25811F">
      <w:pPr>
        <w:pStyle w:val="40"/>
        <w:wordWrap w:val="0"/>
        <w:spacing w:before="0" w:beforeAutospacing="0" w:after="0" w:afterAutospacing="0" w:line="560" w:lineRule="exact"/>
        <w:jc w:val="both"/>
        <w:rPr>
          <w:rFonts w:hint="eastAsia" w:ascii="仿宋_GB2312" w:hAnsi="仿宋_GB2312" w:eastAsia="仿宋_GB2312" w:cs="仿宋_GB2312"/>
          <w:color w:val="auto"/>
          <w:sz w:val="22"/>
          <w:szCs w:val="22"/>
          <w:highlight w:val="none"/>
          <w:lang w:bidi="ar"/>
        </w:rPr>
      </w:pPr>
    </w:p>
    <w:p w14:paraId="75E75765">
      <w:pPr>
        <w:pStyle w:val="40"/>
        <w:wordWrap w:val="0"/>
        <w:spacing w:before="0" w:beforeAutospacing="0" w:after="0" w:afterAutospacing="0" w:line="400" w:lineRule="exact"/>
        <w:jc w:val="both"/>
        <w:rPr>
          <w:rFonts w:hint="eastAsia" w:cs="宋体"/>
          <w:color w:val="auto"/>
          <w:spacing w:val="6"/>
          <w:sz w:val="22"/>
          <w:szCs w:val="22"/>
          <w:highlight w:val="none"/>
        </w:rPr>
      </w:pPr>
      <w:r>
        <w:rPr>
          <w:rFonts w:hint="eastAsia" w:cs="宋体"/>
          <w:color w:val="auto"/>
          <w:sz w:val="22"/>
          <w:szCs w:val="22"/>
          <w:highlight w:val="none"/>
          <w:lang w:bidi="ar"/>
        </w:rPr>
        <w:t>注：1.</w:t>
      </w:r>
      <w:r>
        <w:rPr>
          <w:rFonts w:hint="eastAsia" w:cs="宋体"/>
          <w:color w:val="auto"/>
          <w:sz w:val="22"/>
          <w:szCs w:val="22"/>
          <w:highlight w:val="none"/>
        </w:rPr>
        <w:t>参与政府采购活动的供应商可按第1点的内容：“</w:t>
      </w:r>
      <w:r>
        <w:rPr>
          <w:rFonts w:hint="eastAsia" w:cs="宋体"/>
          <w:color w:val="auto"/>
          <w:sz w:val="22"/>
          <w:szCs w:val="22"/>
          <w:highlight w:val="none"/>
          <w:lang w:bidi="ar"/>
        </w:rPr>
        <w:t>我方</w:t>
      </w:r>
      <w:r>
        <w:rPr>
          <w:rFonts w:hint="eastAsia" w:cs="宋体"/>
          <w:color w:val="auto"/>
          <w:spacing w:val="6"/>
          <w:sz w:val="22"/>
          <w:szCs w:val="22"/>
          <w:highlight w:val="none"/>
        </w:rPr>
        <w:t>具有独立承担民事责任的能力或我方属于银行、保险、石油石化、电力、电信等有行业特殊情况的法人的分支机构在参加本次政府采购活动前已取得总公司的授权。”进行承诺，也可以根据自身的真实情况选择以下2种方式进行承诺：一是“</w:t>
      </w:r>
      <w:r>
        <w:rPr>
          <w:rFonts w:hint="eastAsia" w:cs="宋体"/>
          <w:color w:val="auto"/>
          <w:sz w:val="22"/>
          <w:szCs w:val="22"/>
          <w:highlight w:val="none"/>
          <w:lang w:bidi="ar"/>
        </w:rPr>
        <w:t>我方</w:t>
      </w:r>
      <w:r>
        <w:rPr>
          <w:rFonts w:hint="eastAsia" w:cs="宋体"/>
          <w:color w:val="auto"/>
          <w:spacing w:val="6"/>
          <w:sz w:val="22"/>
          <w:szCs w:val="22"/>
          <w:highlight w:val="none"/>
        </w:rPr>
        <w:t>具有独立承担民事责任的能力”进行承诺；二是“我方属于银行、保险、石油石化、电力、电信等有行业特殊情况的法人的分支机构在参加本次政府采购活动前已取得总公司的授权”进行承诺。参加政府采购活动的供应商只要第1点承诺的内容包含有：具有独立承担民事责任的能力、在参加本次政府采购活动前已取得总公司的授权等内容的即为有效的承诺。2.第1点所指的行业特殊情况使用了“等”字表示列举未尽，即行业特殊情况包含但不限于银行、保险、石油石化、电力、电信。</w:t>
      </w:r>
    </w:p>
    <w:p w14:paraId="44DBA268">
      <w:pPr>
        <w:wordWrap w:val="0"/>
        <w:spacing w:before="120" w:beforeLines="50" w:after="50" w:line="320" w:lineRule="exact"/>
        <w:ind w:right="482" w:firstLine="210" w:firstLineChars="100"/>
        <w:contextualSpacing/>
        <w:jc w:val="center"/>
        <w:rPr>
          <w:rFonts w:ascii="宋体" w:hAnsi="宋体"/>
          <w:color w:val="auto"/>
          <w:szCs w:val="21"/>
          <w:highlight w:val="none"/>
        </w:rPr>
      </w:pPr>
    </w:p>
    <w:p w14:paraId="3923A9A6">
      <w:pPr>
        <w:spacing w:line="320" w:lineRule="exact"/>
        <w:jc w:val="center"/>
        <w:rPr>
          <w:rFonts w:hint="eastAsia" w:ascii="宋体" w:hAnsi="宋体"/>
          <w:b/>
          <w:color w:val="auto"/>
          <w:sz w:val="32"/>
          <w:szCs w:val="32"/>
          <w:highlight w:val="none"/>
        </w:rPr>
      </w:pPr>
    </w:p>
    <w:p w14:paraId="4475896B">
      <w:pPr>
        <w:spacing w:line="320" w:lineRule="exact"/>
        <w:jc w:val="center"/>
        <w:rPr>
          <w:rFonts w:hint="eastAsia" w:ascii="宋体" w:hAnsi="宋体"/>
          <w:b/>
          <w:color w:val="auto"/>
          <w:sz w:val="32"/>
          <w:szCs w:val="32"/>
          <w:highlight w:val="none"/>
        </w:rPr>
      </w:pPr>
    </w:p>
    <w:p w14:paraId="52D37ABD">
      <w:pPr>
        <w:spacing w:line="320" w:lineRule="exact"/>
        <w:jc w:val="center"/>
        <w:rPr>
          <w:rFonts w:hint="eastAsia" w:ascii="宋体" w:hAnsi="宋体"/>
          <w:b/>
          <w:color w:val="auto"/>
          <w:sz w:val="32"/>
          <w:szCs w:val="32"/>
          <w:highlight w:val="none"/>
        </w:rPr>
      </w:pPr>
    </w:p>
    <w:p w14:paraId="2E7F3944">
      <w:pPr>
        <w:spacing w:line="320" w:lineRule="exact"/>
        <w:jc w:val="center"/>
        <w:rPr>
          <w:rFonts w:hint="eastAsia" w:ascii="宋体" w:hAnsi="宋体" w:eastAsia="宋体"/>
          <w:b/>
          <w:color w:val="auto"/>
          <w:sz w:val="32"/>
          <w:szCs w:val="32"/>
          <w:highlight w:val="none"/>
          <w:lang w:eastAsia="zh-CN"/>
        </w:rPr>
      </w:pPr>
    </w:p>
    <w:p w14:paraId="450165BA">
      <w:pPr>
        <w:spacing w:line="320" w:lineRule="exact"/>
        <w:jc w:val="center"/>
        <w:rPr>
          <w:rFonts w:hint="eastAsia" w:ascii="宋体" w:hAnsi="宋体" w:eastAsia="宋体"/>
          <w:b/>
          <w:color w:val="auto"/>
          <w:sz w:val="32"/>
          <w:szCs w:val="32"/>
          <w:highlight w:val="none"/>
          <w:lang w:eastAsia="zh-CN"/>
        </w:rPr>
      </w:pPr>
    </w:p>
    <w:p w14:paraId="26F2BF6F">
      <w:pPr>
        <w:spacing w:line="320" w:lineRule="exact"/>
        <w:jc w:val="center"/>
        <w:rPr>
          <w:rFonts w:hint="eastAsia" w:ascii="宋体" w:hAnsi="宋体" w:eastAsia="宋体"/>
          <w:b/>
          <w:color w:val="auto"/>
          <w:sz w:val="32"/>
          <w:szCs w:val="32"/>
          <w:highlight w:val="none"/>
          <w:lang w:eastAsia="zh-CN"/>
        </w:rPr>
      </w:pPr>
    </w:p>
    <w:p w14:paraId="6FC73768">
      <w:pPr>
        <w:spacing w:line="320" w:lineRule="exact"/>
        <w:jc w:val="center"/>
        <w:rPr>
          <w:rFonts w:hint="eastAsia" w:ascii="宋体" w:hAnsi="宋体" w:eastAsia="宋体"/>
          <w:b/>
          <w:color w:val="auto"/>
          <w:sz w:val="32"/>
          <w:szCs w:val="32"/>
          <w:highlight w:val="none"/>
          <w:lang w:eastAsia="zh-CN"/>
        </w:rPr>
      </w:pPr>
    </w:p>
    <w:p w14:paraId="6E7F2F7C">
      <w:pPr>
        <w:spacing w:line="320" w:lineRule="exact"/>
        <w:jc w:val="center"/>
        <w:rPr>
          <w:rFonts w:hint="eastAsia" w:ascii="宋体" w:hAnsi="宋体" w:eastAsia="宋体"/>
          <w:b/>
          <w:color w:val="auto"/>
          <w:sz w:val="32"/>
          <w:szCs w:val="32"/>
          <w:highlight w:val="none"/>
          <w:lang w:eastAsia="zh-CN"/>
        </w:rPr>
      </w:pPr>
    </w:p>
    <w:p w14:paraId="7AC39C65">
      <w:pPr>
        <w:spacing w:line="320" w:lineRule="exact"/>
        <w:jc w:val="center"/>
        <w:rPr>
          <w:rFonts w:hint="eastAsia" w:ascii="宋体" w:hAnsi="宋体" w:eastAsia="宋体"/>
          <w:b/>
          <w:color w:val="auto"/>
          <w:sz w:val="32"/>
          <w:szCs w:val="32"/>
          <w:highlight w:val="none"/>
          <w:lang w:eastAsia="zh-CN"/>
        </w:rPr>
      </w:pPr>
    </w:p>
    <w:p w14:paraId="2D303C32">
      <w:pPr>
        <w:spacing w:line="320" w:lineRule="exact"/>
        <w:jc w:val="center"/>
        <w:rPr>
          <w:rFonts w:hint="eastAsia" w:ascii="宋体" w:hAnsi="宋体" w:eastAsia="宋体"/>
          <w:b/>
          <w:color w:val="auto"/>
          <w:sz w:val="32"/>
          <w:szCs w:val="32"/>
          <w:highlight w:val="none"/>
          <w:lang w:eastAsia="zh-CN"/>
        </w:rPr>
      </w:pPr>
    </w:p>
    <w:p w14:paraId="32491A4A">
      <w:pPr>
        <w:spacing w:line="320" w:lineRule="exact"/>
        <w:jc w:val="center"/>
        <w:rPr>
          <w:rFonts w:hint="eastAsia" w:ascii="宋体" w:hAnsi="宋体" w:eastAsia="宋体"/>
          <w:b/>
          <w:color w:val="auto"/>
          <w:sz w:val="32"/>
          <w:szCs w:val="32"/>
          <w:highlight w:val="none"/>
          <w:lang w:eastAsia="zh-CN"/>
        </w:rPr>
      </w:pPr>
    </w:p>
    <w:p w14:paraId="18149416">
      <w:pPr>
        <w:spacing w:line="320" w:lineRule="exact"/>
        <w:jc w:val="center"/>
        <w:rPr>
          <w:rFonts w:ascii="宋体" w:hAnsi="宋体"/>
          <w:b/>
          <w:color w:val="auto"/>
          <w:sz w:val="32"/>
          <w:szCs w:val="32"/>
          <w:highlight w:val="none"/>
        </w:rPr>
      </w:pPr>
      <w:r>
        <w:rPr>
          <w:rFonts w:hint="eastAsia" w:ascii="宋体" w:hAnsi="宋体"/>
          <w:b/>
          <w:color w:val="auto"/>
          <w:sz w:val="32"/>
          <w:szCs w:val="32"/>
          <w:highlight w:val="none"/>
        </w:rPr>
        <w:t>供应商直接控股、管理关系信息表</w:t>
      </w:r>
    </w:p>
    <w:p w14:paraId="3BD1C2AA">
      <w:pPr>
        <w:snapToGrid w:val="0"/>
        <w:spacing w:before="120" w:beforeLines="50" w:after="50" w:line="360" w:lineRule="auto"/>
        <w:jc w:val="center"/>
        <w:rPr>
          <w:rFonts w:ascii="宋体" w:hAnsi="宋体"/>
          <w:b/>
          <w:color w:val="auto"/>
          <w:sz w:val="24"/>
          <w:highlight w:val="none"/>
        </w:rPr>
      </w:pPr>
    </w:p>
    <w:p w14:paraId="3B8083BB">
      <w:pPr>
        <w:spacing w:line="360" w:lineRule="auto"/>
        <w:contextualSpacing/>
        <w:jc w:val="center"/>
        <w:rPr>
          <w:rFonts w:ascii="宋体" w:hAnsi="宋体"/>
          <w:b/>
          <w:color w:val="auto"/>
          <w:sz w:val="32"/>
          <w:szCs w:val="32"/>
          <w:highlight w:val="none"/>
        </w:rPr>
      </w:pPr>
      <w:r>
        <w:rPr>
          <w:rFonts w:hint="eastAsia" w:ascii="宋体" w:hAnsi="宋体"/>
          <w:b/>
          <w:color w:val="auto"/>
          <w:sz w:val="32"/>
          <w:szCs w:val="32"/>
          <w:highlight w:val="none"/>
        </w:rPr>
        <w:t>供应商直接控股股东信息表</w:t>
      </w:r>
    </w:p>
    <w:p w14:paraId="58F4D6D1">
      <w:pPr>
        <w:spacing w:line="360" w:lineRule="auto"/>
        <w:contextualSpacing/>
        <w:jc w:val="center"/>
        <w:rPr>
          <w:rFonts w:ascii="宋体" w:hAnsi="宋体"/>
          <w:b/>
          <w:color w:val="auto"/>
          <w:sz w:val="24"/>
          <w:highlight w:val="none"/>
        </w:rPr>
      </w:pPr>
    </w:p>
    <w:tbl>
      <w:tblPr>
        <w:tblStyle w:val="44"/>
        <w:tblW w:w="10147" w:type="dxa"/>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42F54487">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9E56178">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0E1C333">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F541444">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61518BC">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2B8B00A">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4BA72978">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C97B933">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1781670">
            <w:pPr>
              <w:widowControl/>
              <w:spacing w:line="360" w:lineRule="auto"/>
              <w:contextualSpacing/>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F7FAFC2">
            <w:pPr>
              <w:widowControl/>
              <w:spacing w:line="360" w:lineRule="auto"/>
              <w:contextualSpacing/>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E981EB8">
            <w:pPr>
              <w:widowControl/>
              <w:spacing w:line="360" w:lineRule="auto"/>
              <w:contextualSpacing/>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98F60F9">
            <w:pPr>
              <w:widowControl/>
              <w:spacing w:line="360" w:lineRule="auto"/>
              <w:contextualSpacing/>
              <w:jc w:val="center"/>
              <w:rPr>
                <w:rFonts w:ascii="宋体" w:hAnsi="宋体" w:cs="宋体"/>
                <w:color w:val="auto"/>
                <w:kern w:val="0"/>
                <w:sz w:val="24"/>
                <w:highlight w:val="none"/>
              </w:rPr>
            </w:pPr>
          </w:p>
        </w:tc>
      </w:tr>
      <w:tr w14:paraId="727EF911">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B22B851">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8112152">
            <w:pPr>
              <w:widowControl/>
              <w:spacing w:line="360" w:lineRule="auto"/>
              <w:contextualSpacing/>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02788B9">
            <w:pPr>
              <w:widowControl/>
              <w:spacing w:line="360" w:lineRule="auto"/>
              <w:contextualSpacing/>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C82F27E">
            <w:pPr>
              <w:widowControl/>
              <w:spacing w:line="360" w:lineRule="auto"/>
              <w:contextualSpacing/>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1920E32">
            <w:pPr>
              <w:widowControl/>
              <w:spacing w:line="360" w:lineRule="auto"/>
              <w:contextualSpacing/>
              <w:jc w:val="center"/>
              <w:rPr>
                <w:rFonts w:ascii="宋体" w:hAnsi="宋体" w:cs="宋体"/>
                <w:color w:val="auto"/>
                <w:kern w:val="0"/>
                <w:sz w:val="24"/>
                <w:highlight w:val="none"/>
              </w:rPr>
            </w:pPr>
          </w:p>
        </w:tc>
      </w:tr>
      <w:tr w14:paraId="32A8351C">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5A1BF36">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C665BA1">
            <w:pPr>
              <w:widowControl/>
              <w:spacing w:line="360" w:lineRule="auto"/>
              <w:contextualSpacing/>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CB64582">
            <w:pPr>
              <w:widowControl/>
              <w:spacing w:line="360" w:lineRule="auto"/>
              <w:contextualSpacing/>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606FFBB">
            <w:pPr>
              <w:widowControl/>
              <w:spacing w:line="360" w:lineRule="auto"/>
              <w:contextualSpacing/>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095C9C8">
            <w:pPr>
              <w:widowControl/>
              <w:spacing w:line="360" w:lineRule="auto"/>
              <w:contextualSpacing/>
              <w:jc w:val="center"/>
              <w:rPr>
                <w:rFonts w:ascii="宋体" w:hAnsi="宋体" w:cs="宋体"/>
                <w:color w:val="auto"/>
                <w:kern w:val="0"/>
                <w:sz w:val="24"/>
                <w:highlight w:val="none"/>
              </w:rPr>
            </w:pPr>
          </w:p>
        </w:tc>
      </w:tr>
      <w:tr w14:paraId="2EA87E26">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6D83AF5">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50C54F8">
            <w:pPr>
              <w:widowControl/>
              <w:spacing w:line="360" w:lineRule="auto"/>
              <w:contextualSpacing/>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A173051">
            <w:pPr>
              <w:widowControl/>
              <w:spacing w:line="360" w:lineRule="auto"/>
              <w:contextualSpacing/>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FD38CC6">
            <w:pPr>
              <w:widowControl/>
              <w:spacing w:line="360" w:lineRule="auto"/>
              <w:contextualSpacing/>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0F37AE2">
            <w:pPr>
              <w:widowControl/>
              <w:spacing w:line="360" w:lineRule="auto"/>
              <w:contextualSpacing/>
              <w:jc w:val="center"/>
              <w:rPr>
                <w:rFonts w:ascii="宋体" w:hAnsi="宋体" w:cs="宋体"/>
                <w:color w:val="auto"/>
                <w:kern w:val="0"/>
                <w:sz w:val="24"/>
                <w:highlight w:val="none"/>
              </w:rPr>
            </w:pPr>
          </w:p>
        </w:tc>
      </w:tr>
    </w:tbl>
    <w:p w14:paraId="014D5311">
      <w:pPr>
        <w:spacing w:line="360" w:lineRule="auto"/>
        <w:contextualSpacing/>
        <w:jc w:val="left"/>
        <w:rPr>
          <w:rFonts w:ascii="宋体" w:hAnsi="宋体" w:cs="宋体"/>
          <w:color w:val="auto"/>
          <w:sz w:val="24"/>
          <w:highlight w:val="none"/>
        </w:rPr>
      </w:pPr>
      <w:r>
        <w:rPr>
          <w:rFonts w:hint="eastAsia" w:ascii="宋体" w:hAnsi="宋体" w:cs="宋体"/>
          <w:color w:val="auto"/>
          <w:sz w:val="24"/>
          <w:highlight w:val="none"/>
        </w:rPr>
        <w:t>注：</w:t>
      </w:r>
    </w:p>
    <w:p w14:paraId="42E0A59F">
      <w:pPr>
        <w:spacing w:line="360" w:lineRule="auto"/>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23508DF8">
      <w:pPr>
        <w:spacing w:line="360" w:lineRule="auto"/>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2.本表所指的控股关系仅限于直接控股关系，不包括间接的控股关系。公司实际控制人与公司之间的关系不属于本表所指的直接控股关系。</w:t>
      </w:r>
    </w:p>
    <w:p w14:paraId="1D3E865C">
      <w:pPr>
        <w:spacing w:line="360" w:lineRule="auto"/>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3.供应商不存在直接控股股东的，</w:t>
      </w:r>
      <w:r>
        <w:rPr>
          <w:rFonts w:hint="eastAsia" w:ascii="宋体" w:hAnsi="宋体"/>
          <w:color w:val="auto"/>
          <w:sz w:val="24"/>
          <w:highlight w:val="none"/>
        </w:rPr>
        <w:t>则在“直接控股股东名称”填“无”</w:t>
      </w:r>
      <w:r>
        <w:rPr>
          <w:rFonts w:hint="eastAsia" w:ascii="宋体" w:hAnsi="宋体" w:cs="宋体"/>
          <w:color w:val="auto"/>
          <w:sz w:val="24"/>
          <w:highlight w:val="none"/>
        </w:rPr>
        <w:t>。</w:t>
      </w:r>
    </w:p>
    <w:p w14:paraId="5600B8C2">
      <w:pPr>
        <w:spacing w:line="360" w:lineRule="auto"/>
        <w:ind w:firstLine="420" w:firstLineChars="200"/>
        <w:contextualSpacing/>
        <w:jc w:val="left"/>
        <w:rPr>
          <w:rFonts w:ascii="宋体" w:hAnsi="宋体" w:cs="宋体"/>
          <w:color w:val="auto"/>
          <w:szCs w:val="21"/>
          <w:highlight w:val="none"/>
        </w:rPr>
      </w:pPr>
    </w:p>
    <w:p w14:paraId="2F99B531">
      <w:pPr>
        <w:spacing w:line="360" w:lineRule="auto"/>
        <w:ind w:firstLine="560" w:firstLineChars="200"/>
        <w:contextualSpacing/>
        <w:jc w:val="left"/>
        <w:rPr>
          <w:rFonts w:ascii="宋体" w:hAnsi="宋体" w:cs="宋体"/>
          <w:color w:val="auto"/>
          <w:sz w:val="28"/>
          <w:szCs w:val="28"/>
          <w:highlight w:val="none"/>
        </w:rPr>
      </w:pPr>
    </w:p>
    <w:p w14:paraId="493D4BDE">
      <w:pPr>
        <w:spacing w:line="360" w:lineRule="auto"/>
        <w:ind w:right="480"/>
        <w:contextualSpacing/>
        <w:jc w:val="center"/>
        <w:rPr>
          <w:rFonts w:ascii="宋体" w:hAnsi="宋体" w:cs="宋体"/>
          <w:color w:val="auto"/>
          <w:sz w:val="24"/>
          <w:highlight w:val="none"/>
          <w:u w:val="single"/>
        </w:rPr>
      </w:pPr>
      <w:r>
        <w:rPr>
          <w:rFonts w:hint="eastAsia" w:ascii="宋体" w:hAnsi="宋体" w:cs="宋体"/>
          <w:color w:val="auto"/>
          <w:sz w:val="24"/>
          <w:highlight w:val="none"/>
        </w:rPr>
        <w:t>法定代表人或者委托代理人</w:t>
      </w:r>
      <w:r>
        <w:rPr>
          <w:rFonts w:hint="eastAsia" w:ascii="宋体" w:hAnsi="宋体"/>
          <w:color w:val="auto"/>
          <w:sz w:val="24"/>
          <w:highlight w:val="none"/>
        </w:rPr>
        <w:t>（签字或者电子签名）</w:t>
      </w:r>
      <w:r>
        <w:rPr>
          <w:rFonts w:hint="eastAsia" w:ascii="宋体" w:hAnsi="宋体" w:cs="宋体"/>
          <w:color w:val="auto"/>
          <w:sz w:val="24"/>
          <w:highlight w:val="none"/>
        </w:rPr>
        <w:t>：</w:t>
      </w:r>
    </w:p>
    <w:p w14:paraId="24BAFC88">
      <w:pPr>
        <w:spacing w:line="360" w:lineRule="auto"/>
        <w:ind w:right="480" w:firstLine="3000" w:firstLineChars="1250"/>
        <w:contextualSpacing/>
        <w:rPr>
          <w:rFonts w:ascii="宋体" w:hAnsi="宋体" w:cs="宋体"/>
          <w:color w:val="auto"/>
          <w:sz w:val="24"/>
          <w:highlight w:val="none"/>
          <w:u w:val="single"/>
        </w:rPr>
      </w:pPr>
      <w:r>
        <w:rPr>
          <w:rFonts w:hint="eastAsia" w:ascii="宋体" w:hAnsi="宋体" w:cs="宋体"/>
          <w:color w:val="auto"/>
          <w:sz w:val="24"/>
          <w:highlight w:val="none"/>
        </w:rPr>
        <w:t>供应商</w:t>
      </w:r>
      <w:r>
        <w:rPr>
          <w:rFonts w:hint="eastAsia" w:ascii="宋体" w:hAnsi="宋体"/>
          <w:color w:val="auto"/>
          <w:sz w:val="24"/>
          <w:highlight w:val="none"/>
        </w:rPr>
        <w:t>（电子签章）</w:t>
      </w:r>
      <w:r>
        <w:rPr>
          <w:rFonts w:hint="eastAsia" w:ascii="宋体" w:hAnsi="宋体" w:cs="宋体"/>
          <w:color w:val="auto"/>
          <w:sz w:val="24"/>
          <w:highlight w:val="none"/>
        </w:rPr>
        <w:t xml:space="preserve">： </w:t>
      </w:r>
    </w:p>
    <w:p w14:paraId="67F44C40">
      <w:pPr>
        <w:spacing w:line="360" w:lineRule="auto"/>
        <w:ind w:firstLine="480" w:firstLineChars="200"/>
        <w:contextualSpacing/>
        <w:jc w:val="center"/>
        <w:rPr>
          <w:rFonts w:ascii="宋体" w:hAnsi="宋体" w:cs="宋体"/>
          <w:color w:val="auto"/>
          <w:sz w:val="28"/>
          <w:szCs w:val="28"/>
          <w:highlight w:val="none"/>
        </w:rPr>
      </w:pPr>
      <w:r>
        <w:rPr>
          <w:rFonts w:hint="eastAsia" w:ascii="宋体" w:hAnsi="宋体" w:cs="宋体"/>
          <w:color w:val="auto"/>
          <w:sz w:val="24"/>
          <w:highlight w:val="none"/>
        </w:rPr>
        <w:t>年    月    日</w:t>
      </w:r>
    </w:p>
    <w:p w14:paraId="503129E4">
      <w:pPr>
        <w:snapToGrid w:val="0"/>
        <w:jc w:val="center"/>
        <w:rPr>
          <w:rFonts w:ascii="宋体" w:hAnsi="宋体"/>
          <w:b/>
          <w:color w:val="auto"/>
          <w:sz w:val="28"/>
          <w:szCs w:val="28"/>
          <w:highlight w:val="none"/>
        </w:rPr>
      </w:pPr>
      <w:r>
        <w:rPr>
          <w:rFonts w:ascii="宋体" w:hAnsi="宋体"/>
          <w:b/>
          <w:color w:val="auto"/>
          <w:sz w:val="28"/>
          <w:szCs w:val="28"/>
          <w:highlight w:val="none"/>
        </w:rPr>
        <w:br w:type="page"/>
      </w:r>
    </w:p>
    <w:p w14:paraId="03812F41">
      <w:pPr>
        <w:spacing w:line="320" w:lineRule="exact"/>
        <w:jc w:val="center"/>
        <w:rPr>
          <w:rFonts w:ascii="宋体" w:hAnsi="宋体"/>
          <w:b/>
          <w:color w:val="auto"/>
          <w:sz w:val="32"/>
          <w:szCs w:val="32"/>
          <w:highlight w:val="none"/>
        </w:rPr>
      </w:pPr>
      <w:r>
        <w:rPr>
          <w:rFonts w:hint="eastAsia" w:ascii="宋体" w:hAnsi="宋体"/>
          <w:b/>
          <w:color w:val="auto"/>
          <w:sz w:val="32"/>
          <w:szCs w:val="32"/>
          <w:highlight w:val="none"/>
        </w:rPr>
        <w:t>供应商直接管理关系信息表</w:t>
      </w:r>
    </w:p>
    <w:p w14:paraId="62A4DDD8">
      <w:pPr>
        <w:snapToGrid w:val="0"/>
        <w:spacing w:line="360" w:lineRule="auto"/>
        <w:jc w:val="center"/>
        <w:rPr>
          <w:rFonts w:ascii="宋体" w:hAnsi="宋体"/>
          <w:b/>
          <w:color w:val="auto"/>
          <w:sz w:val="24"/>
          <w:highlight w:val="none"/>
        </w:rPr>
      </w:pPr>
    </w:p>
    <w:tbl>
      <w:tblPr>
        <w:tblStyle w:val="44"/>
        <w:tblW w:w="9652" w:type="dxa"/>
        <w:jc w:val="center"/>
        <w:shd w:val="clear" w:color="auto" w:fill="FBFBFB"/>
        <w:tblLayout w:type="fixed"/>
        <w:tblCellMar>
          <w:top w:w="0" w:type="dxa"/>
          <w:left w:w="0" w:type="dxa"/>
          <w:bottom w:w="0" w:type="dxa"/>
          <w:right w:w="0" w:type="dxa"/>
        </w:tblCellMar>
      </w:tblPr>
      <w:tblGrid>
        <w:gridCol w:w="808"/>
        <w:gridCol w:w="3600"/>
        <w:gridCol w:w="3555"/>
        <w:gridCol w:w="1689"/>
      </w:tblGrid>
      <w:tr w14:paraId="33C6D7CA">
        <w:tblPrEx>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CFCC0B6">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7DF2D35">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F81A441">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DA15E6B">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相互关系</w:t>
            </w:r>
          </w:p>
        </w:tc>
      </w:tr>
      <w:tr w14:paraId="4BBA907A">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C163D0E">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1DE648D">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BFCA4D4">
            <w:pPr>
              <w:widowControl/>
              <w:spacing w:line="360" w:lineRule="auto"/>
              <w:contextualSpacing/>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4D66091">
            <w:pPr>
              <w:widowControl/>
              <w:spacing w:line="360" w:lineRule="auto"/>
              <w:contextualSpacing/>
              <w:jc w:val="center"/>
              <w:rPr>
                <w:rFonts w:ascii="宋体" w:hAnsi="宋体" w:cs="宋体"/>
                <w:color w:val="auto"/>
                <w:kern w:val="0"/>
                <w:sz w:val="24"/>
                <w:highlight w:val="none"/>
              </w:rPr>
            </w:pPr>
          </w:p>
        </w:tc>
      </w:tr>
      <w:tr w14:paraId="30BABA43">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F84445B">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4B39E40">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9511248">
            <w:pPr>
              <w:widowControl/>
              <w:spacing w:line="360" w:lineRule="auto"/>
              <w:contextualSpacing/>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2DDF6CE">
            <w:pPr>
              <w:widowControl/>
              <w:spacing w:line="360" w:lineRule="auto"/>
              <w:contextualSpacing/>
              <w:jc w:val="center"/>
              <w:rPr>
                <w:rFonts w:ascii="宋体" w:hAnsi="宋体" w:cs="宋体"/>
                <w:color w:val="auto"/>
                <w:kern w:val="0"/>
                <w:sz w:val="24"/>
                <w:highlight w:val="none"/>
              </w:rPr>
            </w:pPr>
          </w:p>
        </w:tc>
      </w:tr>
      <w:tr w14:paraId="4B3A9B43">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CA35F11">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A4F2775">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A63C120">
            <w:pPr>
              <w:widowControl/>
              <w:spacing w:line="360" w:lineRule="auto"/>
              <w:contextualSpacing/>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9CD4D76">
            <w:pPr>
              <w:widowControl/>
              <w:spacing w:line="360" w:lineRule="auto"/>
              <w:contextualSpacing/>
              <w:jc w:val="center"/>
              <w:rPr>
                <w:rFonts w:ascii="宋体" w:hAnsi="宋体" w:cs="宋体"/>
                <w:color w:val="auto"/>
                <w:kern w:val="0"/>
                <w:sz w:val="24"/>
                <w:highlight w:val="none"/>
              </w:rPr>
            </w:pPr>
          </w:p>
        </w:tc>
      </w:tr>
      <w:tr w14:paraId="52058657">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6602887">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54B6CD6">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28F07B2">
            <w:pPr>
              <w:widowControl/>
              <w:spacing w:line="360" w:lineRule="auto"/>
              <w:contextualSpacing/>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4B123ED">
            <w:pPr>
              <w:widowControl/>
              <w:spacing w:line="360" w:lineRule="auto"/>
              <w:contextualSpacing/>
              <w:jc w:val="center"/>
              <w:rPr>
                <w:rFonts w:ascii="宋体" w:hAnsi="宋体" w:cs="宋体"/>
                <w:color w:val="auto"/>
                <w:kern w:val="0"/>
                <w:sz w:val="24"/>
                <w:highlight w:val="none"/>
              </w:rPr>
            </w:pPr>
          </w:p>
        </w:tc>
      </w:tr>
    </w:tbl>
    <w:p w14:paraId="3BFE8C9D">
      <w:pPr>
        <w:spacing w:line="360" w:lineRule="auto"/>
        <w:contextualSpacing/>
        <w:jc w:val="left"/>
        <w:rPr>
          <w:rFonts w:ascii="宋体" w:hAnsi="宋体"/>
          <w:color w:val="auto"/>
          <w:sz w:val="24"/>
          <w:highlight w:val="none"/>
        </w:rPr>
      </w:pPr>
      <w:r>
        <w:rPr>
          <w:rFonts w:hint="eastAsia" w:ascii="宋体" w:hAnsi="宋体"/>
          <w:color w:val="auto"/>
          <w:sz w:val="24"/>
          <w:highlight w:val="none"/>
        </w:rPr>
        <w:t>注：</w:t>
      </w:r>
    </w:p>
    <w:p w14:paraId="60FFE76E">
      <w:pPr>
        <w:spacing w:line="360" w:lineRule="auto"/>
        <w:ind w:firstLine="480" w:firstLineChars="200"/>
        <w:contextualSpacing/>
        <w:jc w:val="left"/>
        <w:rPr>
          <w:rFonts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41713558">
      <w:pPr>
        <w:spacing w:line="360" w:lineRule="auto"/>
        <w:ind w:firstLine="480" w:firstLineChars="200"/>
        <w:contextualSpacing/>
        <w:jc w:val="left"/>
        <w:rPr>
          <w:rFonts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0AC8FE4A">
      <w:pPr>
        <w:spacing w:line="360" w:lineRule="auto"/>
        <w:ind w:firstLine="480" w:firstLineChars="200"/>
        <w:contextualSpacing/>
        <w:jc w:val="left"/>
        <w:rPr>
          <w:rFonts w:ascii="宋体" w:hAnsi="宋体"/>
          <w:color w:val="auto"/>
          <w:sz w:val="24"/>
          <w:highlight w:val="none"/>
        </w:rPr>
      </w:pPr>
      <w:r>
        <w:rPr>
          <w:rFonts w:hint="eastAsia" w:ascii="宋体" w:hAnsi="宋体"/>
          <w:color w:val="auto"/>
          <w:sz w:val="24"/>
          <w:highlight w:val="none"/>
        </w:rPr>
        <w:t>3.供应商不存在直接管理关系的，则在“直接管理关系单位名称”填“无”。</w:t>
      </w:r>
    </w:p>
    <w:p w14:paraId="23774FB9">
      <w:pPr>
        <w:spacing w:line="360" w:lineRule="auto"/>
        <w:contextualSpacing/>
        <w:jc w:val="left"/>
        <w:rPr>
          <w:rFonts w:ascii="宋体" w:hAnsi="宋体"/>
          <w:color w:val="auto"/>
          <w:sz w:val="28"/>
          <w:szCs w:val="28"/>
          <w:highlight w:val="none"/>
        </w:rPr>
      </w:pPr>
    </w:p>
    <w:p w14:paraId="64A4BB89">
      <w:pPr>
        <w:spacing w:line="360" w:lineRule="auto"/>
        <w:contextualSpacing/>
        <w:jc w:val="left"/>
        <w:rPr>
          <w:rFonts w:ascii="宋体" w:hAnsi="宋体"/>
          <w:color w:val="auto"/>
          <w:sz w:val="28"/>
          <w:szCs w:val="28"/>
          <w:highlight w:val="none"/>
        </w:rPr>
      </w:pPr>
    </w:p>
    <w:p w14:paraId="0F79BA13">
      <w:pPr>
        <w:spacing w:line="360" w:lineRule="auto"/>
        <w:contextualSpacing/>
        <w:jc w:val="left"/>
        <w:rPr>
          <w:color w:val="auto"/>
          <w:sz w:val="28"/>
          <w:szCs w:val="28"/>
          <w:highlight w:val="none"/>
        </w:rPr>
      </w:pPr>
    </w:p>
    <w:p w14:paraId="30D98239">
      <w:pPr>
        <w:spacing w:line="360" w:lineRule="auto"/>
        <w:contextualSpacing/>
        <w:jc w:val="left"/>
        <w:rPr>
          <w:color w:val="auto"/>
          <w:sz w:val="28"/>
          <w:szCs w:val="28"/>
          <w:highlight w:val="none"/>
        </w:rPr>
      </w:pPr>
    </w:p>
    <w:p w14:paraId="4EF65ACD">
      <w:pPr>
        <w:spacing w:line="360" w:lineRule="auto"/>
        <w:contextualSpacing/>
        <w:jc w:val="left"/>
        <w:rPr>
          <w:color w:val="auto"/>
          <w:sz w:val="28"/>
          <w:szCs w:val="28"/>
          <w:highlight w:val="none"/>
        </w:rPr>
      </w:pPr>
    </w:p>
    <w:p w14:paraId="4C177CCE">
      <w:pPr>
        <w:spacing w:line="360" w:lineRule="auto"/>
        <w:contextualSpacing/>
        <w:jc w:val="left"/>
        <w:rPr>
          <w:rFonts w:ascii="宋体" w:hAnsi="宋体"/>
          <w:color w:val="auto"/>
          <w:sz w:val="28"/>
          <w:szCs w:val="28"/>
          <w:highlight w:val="none"/>
        </w:rPr>
      </w:pPr>
    </w:p>
    <w:p w14:paraId="0E52EAB2">
      <w:pPr>
        <w:spacing w:line="360" w:lineRule="auto"/>
        <w:ind w:right="480"/>
        <w:contextualSpacing/>
        <w:jc w:val="center"/>
        <w:rPr>
          <w:rFonts w:ascii="宋体" w:hAnsi="宋体"/>
          <w:color w:val="auto"/>
          <w:sz w:val="24"/>
          <w:highlight w:val="none"/>
          <w:u w:val="single"/>
        </w:rPr>
      </w:pPr>
      <w:r>
        <w:rPr>
          <w:rFonts w:hint="eastAsia" w:ascii="宋体" w:hAnsi="宋体"/>
          <w:color w:val="auto"/>
          <w:sz w:val="24"/>
          <w:highlight w:val="none"/>
        </w:rPr>
        <w:t>法定代表人或者委托代理人（签字或者电子签名）：</w:t>
      </w:r>
    </w:p>
    <w:p w14:paraId="15B11DC4">
      <w:pPr>
        <w:spacing w:line="360" w:lineRule="auto"/>
        <w:ind w:right="480" w:firstLine="3360" w:firstLineChars="1400"/>
        <w:contextualSpacing/>
        <w:rPr>
          <w:rFonts w:ascii="宋体" w:hAnsi="宋体"/>
          <w:color w:val="auto"/>
          <w:sz w:val="24"/>
          <w:highlight w:val="none"/>
        </w:rPr>
      </w:pPr>
      <w:r>
        <w:rPr>
          <w:rFonts w:hint="eastAsia" w:ascii="宋体" w:hAnsi="宋体"/>
          <w:color w:val="auto"/>
          <w:sz w:val="24"/>
          <w:highlight w:val="none"/>
        </w:rPr>
        <w:t>供应商（电子签章）：</w:t>
      </w:r>
    </w:p>
    <w:p w14:paraId="2421345A">
      <w:pPr>
        <w:spacing w:line="360" w:lineRule="auto"/>
        <w:ind w:firstLine="480" w:firstLineChars="200"/>
        <w:contextualSpacing/>
        <w:jc w:val="left"/>
        <w:rPr>
          <w:rFonts w:ascii="宋体" w:hAnsi="宋体"/>
          <w:color w:val="auto"/>
          <w:sz w:val="28"/>
          <w:szCs w:val="28"/>
          <w:highlight w:val="none"/>
        </w:rPr>
      </w:pPr>
      <w:r>
        <w:rPr>
          <w:rFonts w:hint="eastAsia" w:ascii="宋体" w:hAnsi="宋体"/>
          <w:color w:val="auto"/>
          <w:sz w:val="24"/>
          <w:highlight w:val="none"/>
        </w:rPr>
        <w:t xml:space="preserve">                                        年    月    日</w:t>
      </w:r>
    </w:p>
    <w:p w14:paraId="32981CD0">
      <w:pPr>
        <w:spacing w:line="320" w:lineRule="exact"/>
        <w:jc w:val="center"/>
        <w:rPr>
          <w:rFonts w:ascii="宋体" w:hAnsi="宋体"/>
          <w:b/>
          <w:color w:val="auto"/>
          <w:sz w:val="32"/>
          <w:szCs w:val="32"/>
          <w:highlight w:val="none"/>
        </w:rPr>
      </w:pPr>
      <w:r>
        <w:rPr>
          <w:rFonts w:ascii="宋体" w:hAnsi="宋体"/>
          <w:color w:val="auto"/>
          <w:sz w:val="28"/>
          <w:szCs w:val="28"/>
          <w:highlight w:val="none"/>
        </w:rPr>
        <w:br w:type="page"/>
      </w:r>
      <w:r>
        <w:rPr>
          <w:rFonts w:hint="eastAsia" w:ascii="宋体" w:hAnsi="宋体"/>
          <w:b/>
          <w:color w:val="auto"/>
          <w:sz w:val="32"/>
          <w:szCs w:val="32"/>
          <w:highlight w:val="none"/>
        </w:rPr>
        <w:t>竞标声明</w:t>
      </w:r>
    </w:p>
    <w:p w14:paraId="45D810F8">
      <w:pPr>
        <w:spacing w:line="320" w:lineRule="exact"/>
        <w:jc w:val="center"/>
        <w:rPr>
          <w:rFonts w:ascii="宋体" w:hAnsi="宋体"/>
          <w:color w:val="auto"/>
          <w:sz w:val="24"/>
          <w:szCs w:val="20"/>
          <w:highlight w:val="none"/>
        </w:rPr>
      </w:pPr>
    </w:p>
    <w:p w14:paraId="7D4F001E">
      <w:pPr>
        <w:spacing w:line="440" w:lineRule="exact"/>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（采购人名称）</w:t>
      </w:r>
      <w:r>
        <w:rPr>
          <w:rFonts w:hint="eastAsia" w:ascii="宋体" w:hAnsi="宋体" w:cs="宋体"/>
          <w:color w:val="auto"/>
          <w:sz w:val="24"/>
          <w:highlight w:val="none"/>
        </w:rPr>
        <w:t>：</w:t>
      </w:r>
    </w:p>
    <w:p w14:paraId="348208FA">
      <w:pPr>
        <w:spacing w:line="440" w:lineRule="exact"/>
        <w:ind w:firstLine="480" w:firstLineChars="200"/>
        <w:rPr>
          <w:rFonts w:hint="default" w:ascii="宋体" w:hAnsi="宋体" w:eastAsia="宋体" w:cs="宋体"/>
          <w:color w:val="auto"/>
          <w:sz w:val="24"/>
          <w:highlight w:val="none"/>
          <w:u w:val="single"/>
          <w:lang w:val="en-US" w:eastAsia="zh-CN"/>
        </w:rPr>
      </w:pPr>
      <w:r>
        <w:rPr>
          <w:rFonts w:hint="eastAsia" w:ascii="宋体" w:hAnsi="宋体" w:cs="宋体"/>
          <w:color w:val="auto"/>
          <w:sz w:val="24"/>
          <w:highlight w:val="none"/>
          <w:lang w:val="en-US" w:eastAsia="zh-CN"/>
        </w:rPr>
        <w:t>我方</w:t>
      </w:r>
      <w:r>
        <w:rPr>
          <w:rFonts w:hint="eastAsia" w:ascii="宋体" w:hAnsi="宋体" w:cs="宋体"/>
          <w:color w:val="auto"/>
          <w:sz w:val="24"/>
          <w:highlight w:val="none"/>
          <w:u w:val="single"/>
          <w:lang w:val="en-US" w:eastAsia="zh-CN"/>
        </w:rPr>
        <w:t xml:space="preserve"> （供应商名称）  </w:t>
      </w:r>
      <w:r>
        <w:rPr>
          <w:rFonts w:hint="eastAsia" w:ascii="宋体" w:hAnsi="宋体" w:cs="宋体"/>
          <w:color w:val="auto"/>
          <w:sz w:val="24"/>
          <w:highlight w:val="none"/>
          <w:lang w:val="en-US" w:eastAsia="zh-CN"/>
        </w:rPr>
        <w:t>系中华人民共和国合法供应商，经营地址</w:t>
      </w:r>
      <w:r>
        <w:rPr>
          <w:rFonts w:hint="eastAsia" w:ascii="宋体" w:hAnsi="宋体" w:cs="宋体"/>
          <w:color w:val="auto"/>
          <w:sz w:val="24"/>
          <w:highlight w:val="none"/>
          <w:u w:val="single"/>
          <w:lang w:val="en-US" w:eastAsia="zh-CN"/>
        </w:rPr>
        <w:t xml:space="preserve">              。</w:t>
      </w:r>
    </w:p>
    <w:p w14:paraId="64F3D355">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我方愿意参加贵方组织的</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（项目名称/项目编号）</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项目的竞争性磋商，为便于贵方公正、择优地确定成交供应商及其服务，我方就本次竞争性磋商有关事项郑重声明如下：</w:t>
      </w:r>
    </w:p>
    <w:p w14:paraId="4411FC30">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1.我方向贵方提交的所有响应文件、资料都是准确的和真实的。</w:t>
      </w:r>
    </w:p>
    <w:p w14:paraId="3A56EC22">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olor w:val="auto"/>
          <w:sz w:val="24"/>
          <w:highlight w:val="none"/>
        </w:rPr>
        <w:t>我方不是为本次采购项目提供整体设计、规范编制或者项目管理、监理、检测等服务的供应商</w:t>
      </w:r>
      <w:r>
        <w:rPr>
          <w:rFonts w:hint="eastAsia" w:ascii="宋体" w:hAnsi="宋体" w:cs="宋体"/>
          <w:color w:val="auto"/>
          <w:sz w:val="24"/>
          <w:highlight w:val="none"/>
        </w:rPr>
        <w:t>。</w:t>
      </w:r>
    </w:p>
    <w:p w14:paraId="63F040D4">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3.在此，我方宣布同意如下：</w:t>
      </w:r>
    </w:p>
    <w:p w14:paraId="16687386">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（1）将按磋商文件的约定履行合同责任和义务；</w:t>
      </w:r>
    </w:p>
    <w:p w14:paraId="56CD329C">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（2）已详细审查全部磋商文件，包括澄清或者更正公告（如有）；</w:t>
      </w:r>
    </w:p>
    <w:p w14:paraId="38085F61">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（3）同意提供按照贵方可能要求的与磋商有关的一切数据或者资料；</w:t>
      </w:r>
    </w:p>
    <w:p w14:paraId="126E48D9">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（4）响应磋商文件规定的竞争性磋商有效期。</w:t>
      </w:r>
    </w:p>
    <w:p w14:paraId="574FBDCE">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4.我方承诺符合《中华人民共和国政府采购法》第二十二条规定：</w:t>
      </w:r>
    </w:p>
    <w:p w14:paraId="4FE1C860">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5AEA21C1">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14:paraId="71E91D67">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573B2DC2">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0F59CF5E">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0CAC67B1">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（6）法律、行政法规规定的其他条件。</w:t>
      </w:r>
    </w:p>
    <w:p w14:paraId="4AE05919">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314E5572">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7238BC77">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内容中</w:t>
      </w:r>
      <w:r>
        <w:rPr>
          <w:rFonts w:hint="eastAsia" w:ascii="宋体" w:hAnsi="宋体" w:cs="宋体"/>
          <w:color w:val="auto"/>
          <w:sz w:val="24"/>
          <w:highlight w:val="none"/>
        </w:rPr>
        <w:t>未</w:t>
      </w:r>
      <w:r>
        <w:rPr>
          <w:rFonts w:hint="eastAsia" w:ascii="宋体" w:hAnsi="宋体" w:cs="宋体"/>
          <w:color w:val="auto"/>
          <w:kern w:val="0"/>
          <w:sz w:val="24"/>
          <w:highlight w:val="none"/>
        </w:rPr>
        <w:t>涉及商业秘密；</w:t>
      </w:r>
    </w:p>
    <w:p w14:paraId="320C744F">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涉及商业秘密的内容有：</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1046A954">
      <w:pPr>
        <w:pStyle w:val="24"/>
        <w:spacing w:line="440" w:lineRule="exact"/>
        <w:ind w:firstLine="480" w:firstLineChars="200"/>
        <w:rPr>
          <w:rFonts w:hAnsi="宋体" w:cs="宋体"/>
          <w:color w:val="auto"/>
          <w:sz w:val="24"/>
          <w:szCs w:val="24"/>
          <w:highlight w:val="none"/>
          <w:u w:val="single"/>
        </w:rPr>
      </w:pPr>
      <w:r>
        <w:rPr>
          <w:rFonts w:hint="eastAsia" w:hAnsi="宋体" w:cs="宋体"/>
          <w:color w:val="auto"/>
          <w:sz w:val="24"/>
          <w:szCs w:val="24"/>
          <w:highlight w:val="none"/>
        </w:rPr>
        <w:t>7.与本磋商有关的一切正式往来信函请寄：</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邮政编号：</w:t>
      </w:r>
      <w:r>
        <w:rPr>
          <w:rFonts w:hint="eastAsia" w:hAnsi="宋体" w:cs="宋体"/>
          <w:color w:val="auto"/>
          <w:sz w:val="24"/>
          <w:szCs w:val="24"/>
          <w:highlight w:val="none"/>
          <w:u w:val="single"/>
        </w:rPr>
        <w:t xml:space="preserve">        </w:t>
      </w:r>
    </w:p>
    <w:p w14:paraId="5F355520">
      <w:pPr>
        <w:pStyle w:val="24"/>
        <w:spacing w:line="44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电话/传真：</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电子邮箱：</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w:t>
      </w:r>
    </w:p>
    <w:p w14:paraId="6F81750A">
      <w:pPr>
        <w:pStyle w:val="20"/>
        <w:tabs>
          <w:tab w:val="left" w:pos="939"/>
        </w:tabs>
        <w:spacing w:line="440" w:lineRule="exact"/>
        <w:ind w:left="141" w:leftChars="67" w:firstLine="360" w:firstLineChars="150"/>
        <w:rPr>
          <w:rFonts w:ascii="宋体" w:hAnsi="宋体" w:cs="宋体"/>
          <w:color w:val="auto"/>
          <w:sz w:val="24"/>
          <w:highlight w:val="none"/>
        </w:rPr>
      </w:pPr>
      <w:r>
        <w:rPr>
          <w:rFonts w:hint="eastAsia" w:ascii="宋体" w:hAnsi="宋体" w:cs="宋体"/>
          <w:color w:val="auto"/>
          <w:sz w:val="24"/>
          <w:highlight w:val="none"/>
        </w:rPr>
        <w:t>开户银行：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帐号：</w:t>
      </w:r>
      <w:r>
        <w:rPr>
          <w:rFonts w:hint="eastAsia" w:ascii="宋体" w:hAnsi="宋体" w:cs="宋体"/>
          <w:color w:val="auto"/>
          <w:sz w:val="24"/>
          <w:highlight w:val="none"/>
          <w:u w:val="single"/>
        </w:rPr>
        <w:t xml:space="preserve">                               </w:t>
      </w:r>
    </w:p>
    <w:p w14:paraId="47D99F50">
      <w:pPr>
        <w:pStyle w:val="20"/>
        <w:tabs>
          <w:tab w:val="left" w:pos="939"/>
        </w:tabs>
        <w:spacing w:line="440" w:lineRule="exact"/>
        <w:ind w:left="0" w:leftChars="0" w:firstLine="480" w:firstLineChars="200"/>
        <w:rPr>
          <w:rFonts w:ascii="宋体" w:hAnsi="宋体" w:cs="宋体"/>
          <w:color w:val="auto"/>
          <w:sz w:val="24"/>
          <w:highlight w:val="none"/>
        </w:rPr>
      </w:pPr>
      <w:r>
        <w:rPr>
          <w:rFonts w:hint="eastAsia" w:ascii="宋体" w:hAnsi="宋体" w:cs="宋体"/>
          <w:color w:val="auto"/>
          <w:sz w:val="24"/>
          <w:highlight w:val="none"/>
        </w:rPr>
        <w:t>8.我方若竞争性磋商成功，除非发生不可抗力，承诺与采购人及时签订《合同书》。如果放弃，自愿按照本文件之《供应商须知正文》第29.3条的要求承担法律责任和失信惩戒。</w:t>
      </w:r>
    </w:p>
    <w:p w14:paraId="705DB402">
      <w:pPr>
        <w:pStyle w:val="20"/>
        <w:tabs>
          <w:tab w:val="left" w:pos="939"/>
        </w:tabs>
        <w:spacing w:line="440" w:lineRule="exact"/>
        <w:ind w:left="0" w:leftChars="0" w:firstLine="480" w:firstLineChars="200"/>
        <w:rPr>
          <w:rFonts w:ascii="宋体" w:hAnsi="宋体" w:cs="宋体"/>
          <w:color w:val="auto"/>
          <w:sz w:val="24"/>
          <w:highlight w:val="none"/>
        </w:rPr>
      </w:pPr>
      <w:r>
        <w:rPr>
          <w:rFonts w:hint="eastAsia" w:ascii="宋体" w:hAnsi="宋体" w:cs="宋体"/>
          <w:color w:val="auto"/>
          <w:sz w:val="24"/>
          <w:highlight w:val="none"/>
        </w:rPr>
        <w:t>9.以上事项如有虚假或者隐瞒，我方愿意承担一切后果，并不再寻求任何旨在减轻或者免除法律责任的辩解。</w:t>
      </w:r>
    </w:p>
    <w:p w14:paraId="142D57CB">
      <w:pPr>
        <w:pStyle w:val="20"/>
        <w:tabs>
          <w:tab w:val="left" w:pos="939"/>
        </w:tabs>
        <w:spacing w:line="440" w:lineRule="exact"/>
        <w:ind w:left="141" w:leftChars="67" w:firstLine="360" w:firstLineChars="150"/>
        <w:rPr>
          <w:rFonts w:ascii="宋体" w:hAnsi="宋体" w:cs="宋体"/>
          <w:color w:val="auto"/>
          <w:sz w:val="24"/>
          <w:highlight w:val="none"/>
        </w:rPr>
      </w:pPr>
      <w:r>
        <w:rPr>
          <w:rFonts w:hint="eastAsia" w:ascii="宋体" w:hAnsi="宋体" w:cs="宋体"/>
          <w:color w:val="auto"/>
          <w:sz w:val="24"/>
          <w:highlight w:val="none"/>
        </w:rPr>
        <w:t>特此承诺。</w:t>
      </w:r>
    </w:p>
    <w:p w14:paraId="2448937E">
      <w:pPr>
        <w:spacing w:line="440" w:lineRule="exact"/>
        <w:ind w:firstLine="482" w:firstLineChars="200"/>
        <w:jc w:val="left"/>
        <w:rPr>
          <w:rFonts w:hint="eastAsia" w:ascii="楷体" w:hAnsi="楷体" w:eastAsia="楷体"/>
          <w:b/>
          <w:color w:val="auto"/>
          <w:sz w:val="24"/>
          <w:highlight w:val="none"/>
        </w:rPr>
      </w:pPr>
      <w:r>
        <w:rPr>
          <w:rFonts w:hint="eastAsia" w:ascii="楷体" w:hAnsi="楷体" w:eastAsia="楷体"/>
          <w:b/>
          <w:color w:val="auto"/>
          <w:sz w:val="24"/>
          <w:highlight w:val="none"/>
        </w:rPr>
        <w:t>注：如为联合体竞标，盖章处须加盖联合体牵头人电子签章并由联合体牵头人法定代表人分别签字或者盖章或者电子签名，否则响应文件按无效处理。</w:t>
      </w:r>
    </w:p>
    <w:p w14:paraId="57FB9B42">
      <w:pPr>
        <w:spacing w:line="440" w:lineRule="exact"/>
        <w:jc w:val="left"/>
        <w:rPr>
          <w:rFonts w:ascii="宋体" w:hAnsi="宋体" w:cs="宋体"/>
          <w:color w:val="auto"/>
          <w:szCs w:val="21"/>
          <w:highlight w:val="none"/>
        </w:rPr>
      </w:pPr>
    </w:p>
    <w:p w14:paraId="4185F71D">
      <w:pPr>
        <w:spacing w:line="360" w:lineRule="auto"/>
        <w:ind w:right="480"/>
        <w:contextualSpacing/>
        <w:jc w:val="center"/>
        <w:rPr>
          <w:rFonts w:hint="eastAsia" w:ascii="宋体" w:hAnsi="宋体"/>
          <w:color w:val="auto"/>
          <w:sz w:val="24"/>
          <w:highlight w:val="none"/>
        </w:rPr>
      </w:pPr>
    </w:p>
    <w:p w14:paraId="39345E5B">
      <w:pPr>
        <w:spacing w:line="360" w:lineRule="auto"/>
        <w:ind w:right="480"/>
        <w:contextualSpacing/>
        <w:jc w:val="center"/>
        <w:rPr>
          <w:rFonts w:hint="eastAsia" w:ascii="宋体" w:hAnsi="宋体"/>
          <w:color w:val="auto"/>
          <w:sz w:val="24"/>
          <w:highlight w:val="none"/>
        </w:rPr>
      </w:pPr>
    </w:p>
    <w:p w14:paraId="3DDE7586">
      <w:pPr>
        <w:spacing w:line="360" w:lineRule="auto"/>
        <w:ind w:right="480"/>
        <w:contextualSpacing/>
        <w:jc w:val="center"/>
        <w:rPr>
          <w:rFonts w:ascii="宋体" w:hAnsi="宋体"/>
          <w:color w:val="auto"/>
          <w:sz w:val="24"/>
          <w:highlight w:val="none"/>
          <w:u w:val="single"/>
        </w:rPr>
      </w:pPr>
      <w:r>
        <w:rPr>
          <w:rFonts w:hint="eastAsia" w:ascii="宋体" w:hAnsi="宋体"/>
          <w:color w:val="auto"/>
          <w:sz w:val="24"/>
          <w:highlight w:val="none"/>
        </w:rPr>
        <w:t>法</w:t>
      </w:r>
      <w:r>
        <w:rPr>
          <w:rFonts w:hint="eastAsia" w:ascii="宋体" w:hAnsi="宋体" w:cs="Times New Roman"/>
          <w:color w:val="auto"/>
          <w:sz w:val="24"/>
          <w:highlight w:val="none"/>
        </w:rPr>
        <w:t>定代表人（签字或者盖章或者电子</w:t>
      </w:r>
      <w:r>
        <w:rPr>
          <w:rFonts w:hint="eastAsia" w:ascii="宋体" w:hAnsi="宋体"/>
          <w:color w:val="auto"/>
          <w:sz w:val="24"/>
          <w:highlight w:val="none"/>
        </w:rPr>
        <w:t>签名）：</w:t>
      </w:r>
    </w:p>
    <w:p w14:paraId="7B84691C">
      <w:pPr>
        <w:spacing w:line="360" w:lineRule="auto"/>
        <w:ind w:right="480" w:firstLine="3360" w:firstLineChars="1400"/>
        <w:contextualSpacing/>
        <w:rPr>
          <w:rFonts w:ascii="宋体" w:hAnsi="宋体"/>
          <w:color w:val="auto"/>
          <w:sz w:val="24"/>
          <w:highlight w:val="none"/>
        </w:rPr>
      </w:pPr>
      <w:r>
        <w:rPr>
          <w:rFonts w:hint="eastAsia" w:ascii="宋体" w:hAnsi="宋体"/>
          <w:color w:val="auto"/>
          <w:sz w:val="24"/>
          <w:highlight w:val="none"/>
        </w:rPr>
        <w:t>供应商（电子签章）：</w:t>
      </w:r>
    </w:p>
    <w:p w14:paraId="22F42DCC">
      <w:pPr>
        <w:spacing w:line="360" w:lineRule="auto"/>
        <w:ind w:firstLine="480" w:firstLineChars="200"/>
        <w:contextualSpacing/>
        <w:jc w:val="left"/>
        <w:rPr>
          <w:rFonts w:ascii="宋体" w:hAnsi="宋体"/>
          <w:color w:val="auto"/>
          <w:sz w:val="28"/>
          <w:szCs w:val="28"/>
          <w:highlight w:val="none"/>
        </w:rPr>
      </w:pPr>
      <w:r>
        <w:rPr>
          <w:rFonts w:hint="eastAsia" w:ascii="宋体" w:hAnsi="宋体"/>
          <w:color w:val="auto"/>
          <w:sz w:val="24"/>
          <w:highlight w:val="none"/>
        </w:rPr>
        <w:t xml:space="preserve">                                        年    月    日</w:t>
      </w:r>
    </w:p>
    <w:p w14:paraId="55A834F2">
      <w:pPr>
        <w:spacing w:line="360" w:lineRule="auto"/>
        <w:ind w:firstLine="240" w:firstLineChars="100"/>
        <w:contextualSpacing/>
        <w:jc w:val="center"/>
        <w:rPr>
          <w:rFonts w:ascii="宋体" w:hAnsi="宋体"/>
          <w:b/>
          <w:color w:val="auto"/>
          <w:sz w:val="32"/>
          <w:szCs w:val="32"/>
          <w:highlight w:val="none"/>
        </w:rPr>
      </w:pPr>
      <w:r>
        <w:rPr>
          <w:rFonts w:hint="eastAsia"/>
          <w:color w:val="auto"/>
          <w:sz w:val="24"/>
          <w:highlight w:val="none"/>
        </w:rPr>
        <w:br w:type="page"/>
      </w:r>
      <w:r>
        <w:rPr>
          <w:rFonts w:hint="eastAsia" w:ascii="宋体" w:hAnsi="宋体"/>
          <w:b/>
          <w:bCs/>
          <w:color w:val="auto"/>
          <w:sz w:val="32"/>
          <w:szCs w:val="32"/>
          <w:highlight w:val="none"/>
        </w:rPr>
        <w:t>二、</w:t>
      </w:r>
      <w:r>
        <w:rPr>
          <w:rFonts w:hint="eastAsia" w:ascii="宋体" w:hAnsi="宋体"/>
          <w:b/>
          <w:color w:val="auto"/>
          <w:sz w:val="32"/>
          <w:szCs w:val="32"/>
          <w:highlight w:val="none"/>
        </w:rPr>
        <w:t xml:space="preserve">报价文件格式 </w:t>
      </w:r>
    </w:p>
    <w:p w14:paraId="3120FC2B">
      <w:pPr>
        <w:snapToGrid w:val="0"/>
        <w:spacing w:before="120" w:beforeLines="50" w:after="50" w:line="360" w:lineRule="auto"/>
        <w:jc w:val="left"/>
        <w:rPr>
          <w:rFonts w:ascii="宋体" w:hAnsi="宋体"/>
          <w:b/>
          <w:color w:val="auto"/>
          <w:sz w:val="32"/>
          <w:szCs w:val="32"/>
          <w:highlight w:val="none"/>
        </w:rPr>
      </w:pPr>
      <w:r>
        <w:rPr>
          <w:rFonts w:hint="eastAsia" w:ascii="宋体" w:hAnsi="宋体"/>
          <w:b/>
          <w:color w:val="auto"/>
          <w:sz w:val="32"/>
          <w:szCs w:val="32"/>
          <w:highlight w:val="none"/>
        </w:rPr>
        <w:t>1.报价文件封面格式</w:t>
      </w:r>
    </w:p>
    <w:p w14:paraId="1D5BA1F2">
      <w:pPr>
        <w:snapToGrid w:val="0"/>
        <w:spacing w:before="120" w:beforeLines="50" w:after="50"/>
        <w:rPr>
          <w:rFonts w:ascii="宋体" w:hAnsi="宋体"/>
          <w:bCs/>
          <w:color w:val="auto"/>
          <w:sz w:val="32"/>
          <w:szCs w:val="20"/>
          <w:highlight w:val="none"/>
        </w:rPr>
      </w:pPr>
    </w:p>
    <w:p w14:paraId="384E3993">
      <w:pPr>
        <w:snapToGrid w:val="0"/>
        <w:spacing w:before="120" w:beforeLines="50" w:after="50"/>
        <w:jc w:val="center"/>
        <w:rPr>
          <w:rFonts w:ascii="宋体" w:hAnsi="宋体"/>
          <w:color w:val="auto"/>
          <w:sz w:val="24"/>
          <w:szCs w:val="20"/>
          <w:highlight w:val="none"/>
        </w:rPr>
      </w:pPr>
      <w:r>
        <w:rPr>
          <w:rFonts w:hint="eastAsia" w:ascii="宋体" w:hAnsi="宋体"/>
          <w:color w:val="auto"/>
          <w:sz w:val="44"/>
          <w:szCs w:val="44"/>
          <w:highlight w:val="none"/>
        </w:rPr>
        <w:t>电 子 响 应 文 件</w:t>
      </w:r>
    </w:p>
    <w:p w14:paraId="36F1FFB7">
      <w:pPr>
        <w:snapToGrid w:val="0"/>
        <w:spacing w:before="120" w:beforeLines="50" w:after="50"/>
        <w:rPr>
          <w:rFonts w:ascii="宋体" w:hAnsi="宋体"/>
          <w:color w:val="auto"/>
          <w:sz w:val="24"/>
          <w:szCs w:val="20"/>
          <w:highlight w:val="none"/>
        </w:rPr>
      </w:pPr>
    </w:p>
    <w:p w14:paraId="0E874DE0">
      <w:pPr>
        <w:snapToGrid w:val="0"/>
        <w:spacing w:before="120" w:beforeLines="50" w:after="50"/>
        <w:rPr>
          <w:rFonts w:ascii="宋体" w:hAnsi="宋体"/>
          <w:color w:val="auto"/>
          <w:sz w:val="24"/>
          <w:szCs w:val="20"/>
          <w:highlight w:val="none"/>
        </w:rPr>
      </w:pPr>
    </w:p>
    <w:p w14:paraId="5BA050F7">
      <w:pPr>
        <w:snapToGrid w:val="0"/>
        <w:spacing w:before="120"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报  价  文  件</w:t>
      </w:r>
    </w:p>
    <w:p w14:paraId="450C30E0">
      <w:pPr>
        <w:snapToGrid w:val="0"/>
        <w:spacing w:before="120" w:beforeLines="50" w:after="50"/>
        <w:rPr>
          <w:rFonts w:ascii="宋体" w:hAnsi="宋体"/>
          <w:bCs/>
          <w:color w:val="auto"/>
          <w:sz w:val="24"/>
          <w:szCs w:val="20"/>
          <w:highlight w:val="none"/>
        </w:rPr>
      </w:pPr>
    </w:p>
    <w:p w14:paraId="3AD5B0BC">
      <w:pPr>
        <w:snapToGrid w:val="0"/>
        <w:spacing w:before="120" w:beforeLines="50" w:after="50"/>
        <w:rPr>
          <w:rFonts w:ascii="宋体" w:hAnsi="宋体"/>
          <w:bCs/>
          <w:color w:val="auto"/>
          <w:sz w:val="24"/>
          <w:szCs w:val="20"/>
          <w:highlight w:val="none"/>
        </w:rPr>
      </w:pPr>
    </w:p>
    <w:p w14:paraId="443F3135">
      <w:pPr>
        <w:snapToGrid w:val="0"/>
        <w:spacing w:before="120" w:beforeLines="50" w:after="50"/>
        <w:rPr>
          <w:rFonts w:ascii="宋体" w:hAnsi="宋体"/>
          <w:bCs/>
          <w:color w:val="auto"/>
          <w:sz w:val="24"/>
          <w:szCs w:val="20"/>
          <w:highlight w:val="none"/>
        </w:rPr>
      </w:pPr>
    </w:p>
    <w:p w14:paraId="7F3657BB">
      <w:pPr>
        <w:snapToGrid w:val="0"/>
        <w:spacing w:before="120" w:beforeLines="50" w:after="50"/>
        <w:rPr>
          <w:rFonts w:ascii="宋体" w:hAnsi="宋体"/>
          <w:bCs/>
          <w:color w:val="auto"/>
          <w:sz w:val="24"/>
          <w:szCs w:val="20"/>
          <w:highlight w:val="none"/>
        </w:rPr>
      </w:pPr>
    </w:p>
    <w:p w14:paraId="779C8982">
      <w:pPr>
        <w:snapToGrid w:val="0"/>
        <w:spacing w:before="120" w:beforeLines="50" w:after="50"/>
        <w:rPr>
          <w:rFonts w:ascii="宋体" w:hAnsi="宋体"/>
          <w:bCs/>
          <w:color w:val="auto"/>
          <w:sz w:val="24"/>
          <w:szCs w:val="20"/>
          <w:highlight w:val="none"/>
        </w:rPr>
      </w:pPr>
    </w:p>
    <w:p w14:paraId="23E76F15">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1C1FD872">
      <w:pPr>
        <w:snapToGrid w:val="0"/>
        <w:spacing w:before="120" w:beforeLines="50" w:after="50"/>
        <w:ind w:firstLine="720" w:firstLineChars="225"/>
        <w:rPr>
          <w:rFonts w:ascii="宋体" w:hAnsi="宋体" w:cs="仿宋_GB2312"/>
          <w:bCs/>
          <w:color w:val="auto"/>
          <w:sz w:val="32"/>
          <w:szCs w:val="32"/>
          <w:highlight w:val="none"/>
        </w:rPr>
      </w:pPr>
    </w:p>
    <w:p w14:paraId="177C4645">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55CCA1AD">
      <w:pPr>
        <w:snapToGrid w:val="0"/>
        <w:spacing w:before="120" w:beforeLines="50" w:after="50"/>
        <w:ind w:firstLine="720" w:firstLineChars="225"/>
        <w:rPr>
          <w:rFonts w:ascii="宋体" w:hAnsi="宋体" w:cs="仿宋_GB2312"/>
          <w:bCs/>
          <w:color w:val="auto"/>
          <w:sz w:val="32"/>
          <w:szCs w:val="32"/>
          <w:highlight w:val="none"/>
        </w:rPr>
      </w:pPr>
    </w:p>
    <w:p w14:paraId="7BB35D3A">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578EB134">
      <w:pPr>
        <w:snapToGrid w:val="0"/>
        <w:spacing w:before="120" w:beforeLines="50" w:after="50"/>
        <w:ind w:firstLine="720" w:firstLineChars="225"/>
        <w:rPr>
          <w:rFonts w:ascii="宋体" w:hAnsi="宋体" w:cs="仿宋_GB2312"/>
          <w:bCs/>
          <w:color w:val="auto"/>
          <w:sz w:val="32"/>
          <w:szCs w:val="32"/>
          <w:highlight w:val="none"/>
        </w:rPr>
      </w:pPr>
    </w:p>
    <w:p w14:paraId="7DB6A2E5">
      <w:pPr>
        <w:pStyle w:val="7"/>
        <w:snapToGrid w:val="0"/>
        <w:spacing w:before="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39B70023">
      <w:pPr>
        <w:pStyle w:val="7"/>
        <w:snapToGrid w:val="0"/>
        <w:spacing w:before="50" w:after="50"/>
        <w:ind w:firstLine="640" w:firstLineChars="200"/>
        <w:rPr>
          <w:rFonts w:ascii="宋体" w:hAnsi="宋体" w:cs="仿宋_GB2312"/>
          <w:bCs/>
          <w:color w:val="auto"/>
          <w:sz w:val="32"/>
          <w:szCs w:val="32"/>
          <w:highlight w:val="none"/>
        </w:rPr>
      </w:pPr>
    </w:p>
    <w:p w14:paraId="37C71268">
      <w:pPr>
        <w:pStyle w:val="7"/>
        <w:snapToGrid w:val="0"/>
        <w:spacing w:before="50" w:after="50"/>
        <w:ind w:firstLine="720" w:firstLineChars="225"/>
        <w:rPr>
          <w:rFonts w:ascii="宋体" w:hAnsi="宋体" w:cs="仿宋_GB2312"/>
          <w:bCs/>
          <w:color w:val="auto"/>
          <w:sz w:val="32"/>
          <w:szCs w:val="32"/>
          <w:highlight w:val="none"/>
        </w:rPr>
      </w:pPr>
    </w:p>
    <w:p w14:paraId="423CC31F">
      <w:pPr>
        <w:pStyle w:val="7"/>
        <w:snapToGrid w:val="0"/>
        <w:spacing w:before="50" w:after="50"/>
        <w:ind w:firstLine="0"/>
        <w:rPr>
          <w:rFonts w:ascii="宋体" w:hAnsi="宋体" w:cs="仿宋_GB2312"/>
          <w:bCs/>
          <w:color w:val="auto"/>
          <w:sz w:val="32"/>
          <w:szCs w:val="32"/>
          <w:highlight w:val="none"/>
        </w:rPr>
      </w:pPr>
    </w:p>
    <w:p w14:paraId="4B26F0C4">
      <w:pPr>
        <w:pStyle w:val="7"/>
        <w:snapToGrid w:val="0"/>
        <w:spacing w:before="50" w:after="50"/>
        <w:ind w:firstLine="1280" w:firstLineChars="400"/>
        <w:rPr>
          <w:rFonts w:ascii="宋体" w:hAnsi="宋体" w:cs="仿宋_GB2312"/>
          <w:bCs/>
          <w:color w:val="auto"/>
          <w:sz w:val="32"/>
          <w:szCs w:val="32"/>
          <w:highlight w:val="none"/>
        </w:rPr>
      </w:pPr>
    </w:p>
    <w:p w14:paraId="6F26CFB3">
      <w:pPr>
        <w:snapToGrid w:val="0"/>
        <w:spacing w:before="120"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0315F2B3">
      <w:pPr>
        <w:snapToGrid w:val="0"/>
        <w:spacing w:before="120" w:beforeLines="50" w:after="50" w:line="360" w:lineRule="auto"/>
        <w:ind w:left="142"/>
        <w:jc w:val="left"/>
        <w:rPr>
          <w:rFonts w:ascii="宋体" w:hAnsi="宋体"/>
          <w:b/>
          <w:bCs/>
          <w:color w:val="auto"/>
          <w:sz w:val="24"/>
          <w:highlight w:val="none"/>
        </w:rPr>
      </w:pPr>
      <w:r>
        <w:rPr>
          <w:rFonts w:hint="eastAsia" w:ascii="宋体" w:hAnsi="宋体"/>
          <w:color w:val="auto"/>
          <w:szCs w:val="21"/>
          <w:highlight w:val="none"/>
        </w:rPr>
        <w:br w:type="page"/>
      </w:r>
      <w:r>
        <w:rPr>
          <w:rFonts w:hint="eastAsia" w:ascii="宋体" w:hAnsi="宋体"/>
          <w:b/>
          <w:bCs/>
          <w:color w:val="auto"/>
          <w:sz w:val="32"/>
          <w:szCs w:val="32"/>
          <w:highlight w:val="none"/>
        </w:rPr>
        <w:t>2.报价文件目录</w:t>
      </w:r>
    </w:p>
    <w:p w14:paraId="07FA0B49">
      <w:pPr>
        <w:spacing w:line="520" w:lineRule="exact"/>
        <w:jc w:val="center"/>
        <w:rPr>
          <w:rFonts w:ascii="宋体" w:hAnsi="宋体" w:cs="方正小标宋简体"/>
          <w:b/>
          <w:bCs/>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r>
        <w:rPr>
          <w:rFonts w:ascii="宋体" w:hAnsi="宋体"/>
          <w:b/>
          <w:bCs/>
          <w:color w:val="auto"/>
          <w:sz w:val="32"/>
          <w:szCs w:val="32"/>
          <w:highlight w:val="none"/>
        </w:rPr>
        <w:br w:type="page"/>
      </w:r>
      <w:r>
        <w:rPr>
          <w:rFonts w:hint="eastAsia" w:ascii="宋体" w:hAnsi="宋体" w:cs="方正小标宋简体"/>
          <w:b/>
          <w:bCs/>
          <w:color w:val="auto"/>
          <w:sz w:val="32"/>
          <w:szCs w:val="32"/>
          <w:highlight w:val="none"/>
        </w:rPr>
        <w:t>竞标函及竞标函附录</w:t>
      </w:r>
    </w:p>
    <w:p w14:paraId="5026368E">
      <w:pPr>
        <w:spacing w:line="520" w:lineRule="exact"/>
        <w:jc w:val="center"/>
        <w:rPr>
          <w:rFonts w:ascii="宋体" w:hAnsi="宋体" w:cs="方正小标宋简体"/>
          <w:b/>
          <w:bCs/>
          <w:color w:val="auto"/>
          <w:sz w:val="32"/>
          <w:szCs w:val="32"/>
          <w:highlight w:val="none"/>
        </w:rPr>
      </w:pPr>
    </w:p>
    <w:p w14:paraId="7E01FFF5">
      <w:pPr>
        <w:spacing w:line="520" w:lineRule="exact"/>
        <w:jc w:val="center"/>
        <w:rPr>
          <w:rFonts w:ascii="宋体" w:hAnsi="宋体" w:cs="方正小标宋简体"/>
          <w:b/>
          <w:bCs/>
          <w:color w:val="auto"/>
          <w:sz w:val="32"/>
          <w:szCs w:val="32"/>
          <w:highlight w:val="none"/>
        </w:rPr>
      </w:pPr>
      <w:r>
        <w:rPr>
          <w:rFonts w:hint="eastAsia" w:ascii="宋体" w:hAnsi="宋体" w:cs="方正小标宋简体"/>
          <w:b/>
          <w:bCs/>
          <w:color w:val="auto"/>
          <w:sz w:val="32"/>
          <w:szCs w:val="32"/>
          <w:highlight w:val="none"/>
        </w:rPr>
        <w:t>（一）竞标函</w:t>
      </w:r>
    </w:p>
    <w:p w14:paraId="3905A1C7">
      <w:pPr>
        <w:spacing w:line="440" w:lineRule="exact"/>
        <w:rPr>
          <w:rFonts w:hint="eastAsia" w:ascii="宋体" w:hAnsi="宋体"/>
          <w:color w:val="auto"/>
          <w:sz w:val="24"/>
          <w:highlight w:val="none"/>
          <w:u w:val="single"/>
        </w:rPr>
      </w:pPr>
    </w:p>
    <w:p w14:paraId="6696336B">
      <w:pPr>
        <w:spacing w:line="440" w:lineRule="exact"/>
        <w:rPr>
          <w:rFonts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w:t>
      </w:r>
      <w:r>
        <w:rPr>
          <w:rFonts w:hint="eastAsia" w:ascii="宋体" w:hAnsi="宋体"/>
          <w:color w:val="auto"/>
          <w:sz w:val="24"/>
          <w:highlight w:val="none"/>
          <w:lang w:val="zh-CN" w:bidi="zh-CN"/>
        </w:rPr>
        <w:t>采购人名称</w:t>
      </w:r>
      <w:r>
        <w:rPr>
          <w:rFonts w:hint="eastAsia" w:ascii="宋体" w:hAnsi="宋体"/>
          <w:color w:val="auto"/>
          <w:sz w:val="24"/>
          <w:highlight w:val="none"/>
        </w:rPr>
        <w:t>）：</w:t>
      </w:r>
    </w:p>
    <w:p w14:paraId="0DE243F6">
      <w:pPr>
        <w:pStyle w:val="16"/>
        <w:numPr>
          <w:ilvl w:val="0"/>
          <w:numId w:val="6"/>
        </w:numPr>
        <w:spacing w:line="440" w:lineRule="exact"/>
        <w:ind w:firstLine="480" w:firstLineChars="200"/>
        <w:rPr>
          <w:color w:val="auto"/>
          <w:sz w:val="24"/>
          <w:highlight w:val="none"/>
        </w:rPr>
      </w:pPr>
      <w:r>
        <w:rPr>
          <w:rFonts w:hint="eastAsia"/>
          <w:color w:val="auto"/>
          <w:sz w:val="24"/>
          <w:highlight w:val="none"/>
        </w:rPr>
        <w:t>我方已仔细研究了</w:t>
      </w:r>
      <w:r>
        <w:rPr>
          <w:color w:val="auto"/>
          <w:sz w:val="24"/>
          <w:highlight w:val="none"/>
          <w:u w:val="single"/>
        </w:rPr>
        <w:t xml:space="preserve">  </w:t>
      </w:r>
      <w:r>
        <w:rPr>
          <w:rFonts w:hint="eastAsia"/>
          <w:color w:val="auto"/>
          <w:sz w:val="24"/>
          <w:highlight w:val="none"/>
          <w:u w:val="single"/>
        </w:rPr>
        <w:t>（项目名称</w:t>
      </w:r>
      <w:r>
        <w:rPr>
          <w:color w:val="auto"/>
          <w:sz w:val="24"/>
          <w:highlight w:val="none"/>
          <w:u w:val="single"/>
        </w:rPr>
        <w:t>/</w:t>
      </w:r>
      <w:r>
        <w:rPr>
          <w:rFonts w:hint="eastAsia"/>
          <w:color w:val="auto"/>
          <w:sz w:val="24"/>
          <w:highlight w:val="none"/>
          <w:u w:val="single"/>
        </w:rPr>
        <w:t>项目编号）</w:t>
      </w:r>
      <w:r>
        <w:rPr>
          <w:color w:val="auto"/>
          <w:sz w:val="24"/>
          <w:highlight w:val="none"/>
          <w:u w:val="single"/>
        </w:rPr>
        <w:t xml:space="preserve">  </w:t>
      </w:r>
      <w:r>
        <w:rPr>
          <w:rFonts w:hint="eastAsia"/>
          <w:color w:val="auto"/>
          <w:sz w:val="24"/>
          <w:highlight w:val="none"/>
        </w:rPr>
        <w:t>磋商文件的全部内容，</w:t>
      </w:r>
      <w:r>
        <w:rPr>
          <w:rFonts w:hint="eastAsia"/>
          <w:bCs/>
          <w:color w:val="auto"/>
          <w:sz w:val="24"/>
          <w:highlight w:val="none"/>
        </w:rPr>
        <w:t>愿意以人民币（大写）</w:t>
      </w:r>
      <w:r>
        <w:rPr>
          <w:rFonts w:hint="eastAsia"/>
          <w:bCs/>
          <w:color w:val="auto"/>
          <w:sz w:val="24"/>
          <w:highlight w:val="none"/>
          <w:u w:val="single"/>
          <w:lang w:val="en-US" w:eastAsia="zh-CN"/>
        </w:rPr>
        <w:t xml:space="preserve">           </w:t>
      </w:r>
      <w:r>
        <w:rPr>
          <w:rFonts w:hint="eastAsia"/>
          <w:bCs/>
          <w:color w:val="auto"/>
          <w:sz w:val="24"/>
          <w:highlight w:val="none"/>
          <w:u w:val="single"/>
        </w:rPr>
        <w:t>元（¥</w:t>
      </w:r>
      <w:r>
        <w:rPr>
          <w:rFonts w:hint="eastAsia"/>
          <w:bCs/>
          <w:color w:val="auto"/>
          <w:sz w:val="24"/>
          <w:highlight w:val="none"/>
          <w:u w:val="single"/>
          <w:lang w:val="en-US" w:eastAsia="zh-CN"/>
        </w:rPr>
        <w:t xml:space="preserve">       </w:t>
      </w:r>
      <w:r>
        <w:rPr>
          <w:rFonts w:hint="eastAsia"/>
          <w:bCs/>
          <w:color w:val="auto"/>
          <w:sz w:val="24"/>
          <w:highlight w:val="none"/>
          <w:u w:val="single"/>
        </w:rPr>
        <w:t>）</w:t>
      </w:r>
      <w:r>
        <w:rPr>
          <w:rFonts w:hint="eastAsia"/>
          <w:bCs/>
          <w:color w:val="auto"/>
          <w:sz w:val="24"/>
          <w:highlight w:val="none"/>
        </w:rPr>
        <w:t>的竞争性磋商总报价</w:t>
      </w:r>
      <w:r>
        <w:rPr>
          <w:rFonts w:hint="eastAsia"/>
          <w:color w:val="auto"/>
          <w:sz w:val="24"/>
          <w:highlight w:val="none"/>
        </w:rPr>
        <w:t>，工期</w:t>
      </w:r>
      <w:r>
        <w:rPr>
          <w:color w:val="auto"/>
          <w:sz w:val="24"/>
          <w:highlight w:val="none"/>
          <w:u w:val="single"/>
        </w:rPr>
        <w:t xml:space="preserve">            </w:t>
      </w:r>
      <w:r>
        <w:rPr>
          <w:rFonts w:hint="eastAsia"/>
          <w:color w:val="auto"/>
          <w:sz w:val="24"/>
          <w:highlight w:val="none"/>
        </w:rPr>
        <w:t>日历天，按合同约定实施和完成承包工程，修补工程中的任何缺陷，工程质量达到</w:t>
      </w:r>
      <w:r>
        <w:rPr>
          <w:color w:val="auto"/>
          <w:sz w:val="24"/>
          <w:highlight w:val="none"/>
          <w:u w:val="single"/>
        </w:rPr>
        <w:t xml:space="preserve">            </w:t>
      </w:r>
      <w:r>
        <w:rPr>
          <w:rFonts w:hint="eastAsia"/>
          <w:color w:val="auto"/>
          <w:sz w:val="24"/>
          <w:highlight w:val="none"/>
          <w:lang w:bidi="en-US"/>
        </w:rPr>
        <w:t>。</w:t>
      </w:r>
    </w:p>
    <w:p w14:paraId="240FDEE2">
      <w:pPr>
        <w:pStyle w:val="97"/>
        <w:tabs>
          <w:tab w:val="left" w:pos="762"/>
        </w:tabs>
        <w:spacing w:line="440" w:lineRule="exact"/>
        <w:ind w:firstLine="480" w:firstLineChars="200"/>
        <w:rPr>
          <w:rFonts w:cs="Times New Roman"/>
          <w:color w:val="auto"/>
          <w:sz w:val="24"/>
          <w:szCs w:val="24"/>
          <w:highlight w:val="none"/>
        </w:rPr>
      </w:pPr>
      <w:r>
        <w:rPr>
          <w:rFonts w:hint="eastAsia"/>
          <w:color w:val="auto"/>
          <w:sz w:val="24"/>
          <w:szCs w:val="24"/>
          <w:highlight w:val="none"/>
        </w:rPr>
        <w:t>2.我方承认竞标函附录是我方竞标函的组成部分。</w:t>
      </w:r>
    </w:p>
    <w:p w14:paraId="48E1F48D">
      <w:pPr>
        <w:pStyle w:val="97"/>
        <w:tabs>
          <w:tab w:val="left" w:pos="762"/>
        </w:tabs>
        <w:spacing w:line="440" w:lineRule="exact"/>
        <w:ind w:firstLine="480" w:firstLineChars="200"/>
        <w:rPr>
          <w:rFonts w:cs="Times New Roman"/>
          <w:color w:val="auto"/>
          <w:sz w:val="24"/>
          <w:szCs w:val="24"/>
          <w:highlight w:val="none"/>
        </w:rPr>
      </w:pPr>
      <w:r>
        <w:rPr>
          <w:rFonts w:hint="eastAsia" w:cs="Times New Roman"/>
          <w:color w:val="auto"/>
          <w:sz w:val="24"/>
          <w:szCs w:val="24"/>
          <w:highlight w:val="none"/>
        </w:rPr>
        <w:t>3.如我方成交：</w:t>
      </w:r>
    </w:p>
    <w:p w14:paraId="1D0D14DF">
      <w:pPr>
        <w:pStyle w:val="97"/>
        <w:tabs>
          <w:tab w:val="left" w:pos="903"/>
        </w:tabs>
        <w:spacing w:line="440" w:lineRule="exact"/>
        <w:ind w:firstLine="480" w:firstLineChars="200"/>
        <w:rPr>
          <w:rFonts w:cs="Times New Roman"/>
          <w:color w:val="auto"/>
          <w:sz w:val="24"/>
          <w:szCs w:val="24"/>
          <w:highlight w:val="none"/>
        </w:rPr>
      </w:pPr>
      <w:r>
        <w:rPr>
          <w:rFonts w:hint="eastAsia" w:cs="Times New Roman"/>
          <w:color w:val="auto"/>
          <w:sz w:val="24"/>
          <w:szCs w:val="24"/>
          <w:highlight w:val="none"/>
        </w:rPr>
        <w:t>（1）我方承诺在收到成交通知书后，在成交通知书规定的期限内与你方签订合同。</w:t>
      </w:r>
    </w:p>
    <w:p w14:paraId="52FE99B6">
      <w:pPr>
        <w:pStyle w:val="97"/>
        <w:tabs>
          <w:tab w:val="left" w:pos="903"/>
        </w:tabs>
        <w:spacing w:line="440" w:lineRule="exact"/>
        <w:ind w:firstLine="480" w:firstLineChars="200"/>
        <w:rPr>
          <w:rFonts w:cs="Times New Roman"/>
          <w:color w:val="auto"/>
          <w:sz w:val="24"/>
          <w:szCs w:val="24"/>
          <w:highlight w:val="none"/>
        </w:rPr>
      </w:pPr>
      <w:r>
        <w:rPr>
          <w:rFonts w:hint="eastAsia" w:cs="Times New Roman"/>
          <w:color w:val="auto"/>
          <w:sz w:val="24"/>
          <w:szCs w:val="24"/>
          <w:highlight w:val="none"/>
        </w:rPr>
        <w:t>（2）</w:t>
      </w:r>
      <w:r>
        <w:rPr>
          <w:rFonts w:hint="eastAsia"/>
          <w:color w:val="auto"/>
          <w:sz w:val="24"/>
          <w:szCs w:val="24"/>
          <w:highlight w:val="none"/>
        </w:rPr>
        <w:t>在签订合同时不向你方提出附加条件</w:t>
      </w:r>
      <w:r>
        <w:rPr>
          <w:rFonts w:hint="eastAsia" w:cs="Times New Roman"/>
          <w:color w:val="auto"/>
          <w:sz w:val="24"/>
          <w:szCs w:val="24"/>
          <w:highlight w:val="none"/>
        </w:rPr>
        <w:t>。</w:t>
      </w:r>
    </w:p>
    <w:p w14:paraId="28A33083">
      <w:pPr>
        <w:pStyle w:val="97"/>
        <w:tabs>
          <w:tab w:val="left" w:pos="903"/>
        </w:tabs>
        <w:spacing w:line="440" w:lineRule="exact"/>
        <w:ind w:firstLine="480" w:firstLineChars="200"/>
        <w:rPr>
          <w:rFonts w:cs="Times New Roman"/>
          <w:color w:val="auto"/>
          <w:sz w:val="24"/>
          <w:szCs w:val="24"/>
          <w:highlight w:val="none"/>
        </w:rPr>
      </w:pPr>
      <w:r>
        <w:rPr>
          <w:rFonts w:hint="eastAsia" w:cs="Times New Roman"/>
          <w:color w:val="auto"/>
          <w:sz w:val="24"/>
          <w:szCs w:val="24"/>
          <w:highlight w:val="none"/>
        </w:rPr>
        <w:t>（3）我方承诺按照磋商文件规定向你方递交履约担保。</w:t>
      </w:r>
    </w:p>
    <w:p w14:paraId="12836B5A">
      <w:pPr>
        <w:pStyle w:val="97"/>
        <w:tabs>
          <w:tab w:val="left" w:pos="903"/>
        </w:tabs>
        <w:spacing w:line="440" w:lineRule="exact"/>
        <w:ind w:firstLine="480" w:firstLineChars="200"/>
        <w:rPr>
          <w:rFonts w:cs="Times New Roman"/>
          <w:color w:val="auto"/>
          <w:sz w:val="24"/>
          <w:szCs w:val="24"/>
          <w:highlight w:val="none"/>
        </w:rPr>
      </w:pPr>
      <w:r>
        <w:rPr>
          <w:rFonts w:hint="eastAsia" w:cs="Times New Roman"/>
          <w:color w:val="auto"/>
          <w:sz w:val="24"/>
          <w:szCs w:val="24"/>
          <w:highlight w:val="none"/>
        </w:rPr>
        <w:t>（4）我方承诺在合同约定的期限内完成并移交全部合同工程。</w:t>
      </w:r>
    </w:p>
    <w:p w14:paraId="597650E0">
      <w:pPr>
        <w:pStyle w:val="97"/>
        <w:tabs>
          <w:tab w:val="left" w:pos="762"/>
        </w:tabs>
        <w:spacing w:line="440" w:lineRule="exact"/>
        <w:ind w:firstLine="480" w:firstLineChars="200"/>
        <w:rPr>
          <w:rFonts w:cs="Times New Roman"/>
          <w:color w:val="auto"/>
          <w:sz w:val="24"/>
          <w:szCs w:val="24"/>
          <w:highlight w:val="none"/>
        </w:rPr>
      </w:pPr>
      <w:r>
        <w:rPr>
          <w:rFonts w:hint="eastAsia"/>
          <w:color w:val="auto"/>
          <w:sz w:val="24"/>
          <w:szCs w:val="24"/>
          <w:highlight w:val="none"/>
        </w:rPr>
        <w:t>4.在合同协议书正式签署生效之前，本竞标函连同你方的成交通知书将构成我们双方之间共同遵守的文件，对双方具有约束力</w:t>
      </w:r>
      <w:r>
        <w:rPr>
          <w:rFonts w:hint="eastAsia" w:cs="Times New Roman"/>
          <w:color w:val="auto"/>
          <w:sz w:val="24"/>
          <w:szCs w:val="24"/>
          <w:highlight w:val="none"/>
        </w:rPr>
        <w:t>。</w:t>
      </w:r>
    </w:p>
    <w:p w14:paraId="08D2A2B4">
      <w:pPr>
        <w:spacing w:line="440" w:lineRule="exact"/>
        <w:ind w:firstLine="480" w:firstLineChars="200"/>
        <w:rPr>
          <w:rFonts w:ascii="宋体" w:hAnsi="宋体"/>
          <w:color w:val="auto"/>
          <w:sz w:val="24"/>
          <w:highlight w:val="none"/>
        </w:rPr>
      </w:pPr>
      <w:r>
        <w:rPr>
          <w:rFonts w:hint="eastAsia" w:ascii="宋体" w:hAnsi="宋体"/>
          <w:color w:val="auto"/>
          <w:sz w:val="24"/>
          <w:highlight w:val="none"/>
        </w:rPr>
        <w:t>5.</w:t>
      </w:r>
      <w:r>
        <w:rPr>
          <w:rFonts w:hint="eastAsia" w:ascii="宋体" w:hAnsi="宋体"/>
          <w:color w:val="auto"/>
          <w:sz w:val="24"/>
          <w:highlight w:val="none"/>
          <w:u w:val="single"/>
        </w:rPr>
        <w:t xml:space="preserve">                                                   </w:t>
      </w:r>
      <w:r>
        <w:rPr>
          <w:rFonts w:hint="eastAsia" w:ascii="宋体" w:hAnsi="宋体"/>
          <w:color w:val="auto"/>
          <w:sz w:val="24"/>
          <w:highlight w:val="none"/>
        </w:rPr>
        <w:t>（其他补充说明）。</w:t>
      </w:r>
    </w:p>
    <w:p w14:paraId="0404AD2B">
      <w:pPr>
        <w:spacing w:line="460" w:lineRule="exact"/>
        <w:jc w:val="center"/>
        <w:rPr>
          <w:rFonts w:ascii="宋体" w:hAnsi="宋体" w:cs="方正小标宋简体"/>
          <w:b/>
          <w:bCs/>
          <w:color w:val="auto"/>
          <w:sz w:val="24"/>
          <w:highlight w:val="none"/>
        </w:rPr>
      </w:pPr>
    </w:p>
    <w:p w14:paraId="350CEFF1">
      <w:pPr>
        <w:spacing w:line="460" w:lineRule="exact"/>
        <w:jc w:val="center"/>
        <w:rPr>
          <w:rFonts w:ascii="宋体" w:hAnsi="宋体" w:cs="方正小标宋简体"/>
          <w:b/>
          <w:bCs/>
          <w:color w:val="auto"/>
          <w:sz w:val="24"/>
          <w:highlight w:val="none"/>
        </w:rPr>
      </w:pPr>
    </w:p>
    <w:p w14:paraId="2F90A929">
      <w:pPr>
        <w:spacing w:line="440" w:lineRule="exact"/>
        <w:ind w:right="-817" w:rightChars="-389"/>
        <w:contextualSpacing/>
        <w:jc w:val="center"/>
        <w:rPr>
          <w:rFonts w:ascii="宋体" w:hAnsi="宋体" w:cs="仿宋_GB2312"/>
          <w:color w:val="auto"/>
          <w:sz w:val="24"/>
          <w:highlight w:val="none"/>
          <w:u w:val="single"/>
        </w:rPr>
      </w:pPr>
      <w:r>
        <w:rPr>
          <w:rFonts w:hint="eastAsia" w:ascii="宋体" w:hAnsi="宋体" w:cs="仿宋_GB2312"/>
          <w:color w:val="auto"/>
          <w:sz w:val="24"/>
          <w:highlight w:val="none"/>
        </w:rPr>
        <w:t>法定代表人或者委托代理人（签字或者电子签名）：</w:t>
      </w:r>
    </w:p>
    <w:p w14:paraId="1B5D1B71">
      <w:pPr>
        <w:spacing w:line="440" w:lineRule="exact"/>
        <w:ind w:right="-817" w:rightChars="-389" w:firstLine="5280" w:firstLineChars="22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4C6BA158">
      <w:pPr>
        <w:spacing w:line="440" w:lineRule="exact"/>
        <w:ind w:right="-817" w:rightChars="-389" w:firstLine="4560" w:firstLineChars="19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3832B14D">
      <w:pPr>
        <w:spacing w:line="360" w:lineRule="auto"/>
        <w:jc w:val="center"/>
        <w:rPr>
          <w:rFonts w:ascii="宋体" w:hAnsi="宋体" w:cs="方正小标宋简体"/>
          <w:b/>
          <w:bCs/>
          <w:color w:val="auto"/>
          <w:sz w:val="32"/>
          <w:szCs w:val="32"/>
          <w:highlight w:val="none"/>
        </w:rPr>
      </w:pPr>
      <w:r>
        <w:rPr>
          <w:rFonts w:ascii="宋体" w:hAnsi="宋体" w:cs="方正小标宋简体"/>
          <w:b/>
          <w:bCs/>
          <w:color w:val="auto"/>
          <w:sz w:val="32"/>
          <w:szCs w:val="32"/>
          <w:highlight w:val="none"/>
        </w:rPr>
        <w:br w:type="page"/>
      </w:r>
      <w:r>
        <w:rPr>
          <w:rFonts w:hint="eastAsia" w:ascii="宋体" w:hAnsi="宋体" w:cs="方正小标宋简体"/>
          <w:b/>
          <w:bCs/>
          <w:color w:val="auto"/>
          <w:sz w:val="32"/>
          <w:szCs w:val="32"/>
          <w:highlight w:val="none"/>
        </w:rPr>
        <w:t>（二）竞标函附录</w:t>
      </w:r>
    </w:p>
    <w:p w14:paraId="3D558B8D">
      <w:pPr>
        <w:spacing w:line="360" w:lineRule="auto"/>
        <w:jc w:val="center"/>
        <w:rPr>
          <w:rFonts w:ascii="宋体" w:hAnsi="宋体"/>
          <w:b/>
          <w:bCs/>
          <w:color w:val="auto"/>
          <w:sz w:val="32"/>
          <w:szCs w:val="32"/>
          <w:highlight w:val="none"/>
        </w:rPr>
      </w:pPr>
    </w:p>
    <w:tbl>
      <w:tblPr>
        <w:tblStyle w:val="44"/>
        <w:tblW w:w="84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2794"/>
        <w:gridCol w:w="2415"/>
        <w:gridCol w:w="2267"/>
      </w:tblGrid>
      <w:tr w14:paraId="5FD9A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6" w:type="dxa"/>
            <w:vAlign w:val="center"/>
          </w:tcPr>
          <w:p w14:paraId="608F4291">
            <w:pPr>
              <w:jc w:val="center"/>
              <w:rPr>
                <w:color w:val="auto"/>
                <w:highlight w:val="none"/>
              </w:rPr>
            </w:pPr>
            <w:r>
              <w:rPr>
                <w:rFonts w:hint="eastAsia" w:cs="宋体"/>
                <w:color w:val="auto"/>
                <w:highlight w:val="none"/>
              </w:rPr>
              <w:t>序号</w:t>
            </w:r>
          </w:p>
        </w:tc>
        <w:tc>
          <w:tcPr>
            <w:tcW w:w="2794" w:type="dxa"/>
            <w:vAlign w:val="center"/>
          </w:tcPr>
          <w:p w14:paraId="59939D18">
            <w:pPr>
              <w:jc w:val="center"/>
              <w:rPr>
                <w:color w:val="auto"/>
                <w:highlight w:val="none"/>
              </w:rPr>
            </w:pPr>
            <w:r>
              <w:rPr>
                <w:rFonts w:hint="eastAsia" w:cs="宋体"/>
                <w:color w:val="auto"/>
                <w:highlight w:val="none"/>
              </w:rPr>
              <w:t>条款内容</w:t>
            </w:r>
          </w:p>
        </w:tc>
        <w:tc>
          <w:tcPr>
            <w:tcW w:w="2415" w:type="dxa"/>
            <w:shd w:val="clear" w:color="auto" w:fill="auto"/>
            <w:vAlign w:val="center"/>
          </w:tcPr>
          <w:p w14:paraId="3F79F771">
            <w:pPr>
              <w:jc w:val="center"/>
              <w:rPr>
                <w:rFonts w:ascii="Times New Roman" w:hAnsi="Times New Roman" w:eastAsia="宋体" w:cs="Times New Roman"/>
                <w:color w:val="auto"/>
                <w:kern w:val="2"/>
                <w:sz w:val="21"/>
                <w:szCs w:val="24"/>
                <w:highlight w:val="none"/>
                <w:lang w:val="en-US" w:eastAsia="zh-CN" w:bidi="ar-SA"/>
              </w:rPr>
            </w:pPr>
            <w:r>
              <w:rPr>
                <w:rFonts w:hint="eastAsia" w:cs="宋体"/>
                <w:color w:val="auto"/>
                <w:highlight w:val="none"/>
              </w:rPr>
              <w:t>约定内容</w:t>
            </w:r>
          </w:p>
        </w:tc>
        <w:tc>
          <w:tcPr>
            <w:tcW w:w="2267" w:type="dxa"/>
            <w:vAlign w:val="center"/>
          </w:tcPr>
          <w:p w14:paraId="3C1C4B09">
            <w:pPr>
              <w:jc w:val="center"/>
              <w:rPr>
                <w:color w:val="auto"/>
                <w:highlight w:val="none"/>
              </w:rPr>
            </w:pPr>
            <w:r>
              <w:rPr>
                <w:rFonts w:hint="eastAsia" w:cs="宋体"/>
                <w:color w:val="auto"/>
                <w:highlight w:val="none"/>
              </w:rPr>
              <w:t>供应商响应情况</w:t>
            </w:r>
          </w:p>
        </w:tc>
      </w:tr>
      <w:tr w14:paraId="309C2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6" w:type="dxa"/>
            <w:vAlign w:val="center"/>
          </w:tcPr>
          <w:p w14:paraId="4466B7D3">
            <w:pPr>
              <w:jc w:val="center"/>
              <w:rPr>
                <w:color w:val="auto"/>
                <w:highlight w:val="none"/>
              </w:rPr>
            </w:pPr>
            <w:r>
              <w:rPr>
                <w:color w:val="auto"/>
                <w:highlight w:val="none"/>
              </w:rPr>
              <w:t>1</w:t>
            </w:r>
          </w:p>
        </w:tc>
        <w:tc>
          <w:tcPr>
            <w:tcW w:w="2794" w:type="dxa"/>
            <w:vAlign w:val="center"/>
          </w:tcPr>
          <w:p w14:paraId="596F29D4">
            <w:pPr>
              <w:jc w:val="center"/>
              <w:rPr>
                <w:color w:val="auto"/>
                <w:highlight w:val="none"/>
              </w:rPr>
            </w:pPr>
            <w:r>
              <w:rPr>
                <w:rFonts w:hint="eastAsia" w:cs="宋体"/>
                <w:color w:val="auto"/>
                <w:highlight w:val="none"/>
              </w:rPr>
              <w:t>项目经理</w:t>
            </w:r>
          </w:p>
        </w:tc>
        <w:tc>
          <w:tcPr>
            <w:tcW w:w="2415" w:type="dxa"/>
            <w:shd w:val="clear" w:color="auto" w:fill="auto"/>
            <w:tcMar>
              <w:left w:w="170" w:type="dxa"/>
            </w:tcMar>
            <w:vAlign w:val="center"/>
          </w:tcPr>
          <w:p w14:paraId="6E9DD9C0">
            <w:pPr>
              <w:rPr>
                <w:rFonts w:ascii="Times New Roman" w:hAnsi="Times New Roman" w:eastAsia="宋体" w:cs="Times New Roman"/>
                <w:color w:val="auto"/>
                <w:kern w:val="2"/>
                <w:sz w:val="21"/>
                <w:szCs w:val="24"/>
                <w:highlight w:val="none"/>
                <w:lang w:val="en-US" w:eastAsia="zh-CN" w:bidi="ar-SA"/>
              </w:rPr>
            </w:pPr>
            <w:r>
              <w:rPr>
                <w:rFonts w:hint="eastAsia" w:cs="宋体"/>
                <w:color w:val="auto"/>
                <w:highlight w:val="none"/>
              </w:rPr>
              <w:t>姓名：</w:t>
            </w:r>
            <w:r>
              <w:rPr>
                <w:color w:val="auto"/>
                <w:highlight w:val="none"/>
                <w:u w:val="single"/>
              </w:rPr>
              <w:t xml:space="preserve">          </w:t>
            </w:r>
          </w:p>
        </w:tc>
        <w:tc>
          <w:tcPr>
            <w:tcW w:w="2267" w:type="dxa"/>
            <w:vAlign w:val="center"/>
          </w:tcPr>
          <w:p w14:paraId="4E5458E0">
            <w:pPr>
              <w:rPr>
                <w:color w:val="auto"/>
                <w:highlight w:val="none"/>
              </w:rPr>
            </w:pPr>
          </w:p>
        </w:tc>
      </w:tr>
      <w:tr w14:paraId="23051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6" w:type="dxa"/>
            <w:vAlign w:val="center"/>
          </w:tcPr>
          <w:p w14:paraId="55975619">
            <w:pPr>
              <w:jc w:val="center"/>
              <w:rPr>
                <w:color w:val="auto"/>
                <w:highlight w:val="none"/>
              </w:rPr>
            </w:pPr>
            <w:r>
              <w:rPr>
                <w:color w:val="auto"/>
                <w:highlight w:val="none"/>
              </w:rPr>
              <w:t>2</w:t>
            </w:r>
          </w:p>
        </w:tc>
        <w:tc>
          <w:tcPr>
            <w:tcW w:w="2794" w:type="dxa"/>
            <w:vAlign w:val="center"/>
          </w:tcPr>
          <w:p w14:paraId="6CFAB51C">
            <w:pPr>
              <w:jc w:val="center"/>
              <w:rPr>
                <w:color w:val="auto"/>
                <w:highlight w:val="none"/>
              </w:rPr>
            </w:pPr>
            <w:r>
              <w:rPr>
                <w:rFonts w:hint="eastAsia" w:cs="宋体"/>
                <w:color w:val="auto"/>
                <w:highlight w:val="none"/>
              </w:rPr>
              <w:t>竞标有效期</w:t>
            </w:r>
          </w:p>
        </w:tc>
        <w:tc>
          <w:tcPr>
            <w:tcW w:w="2415" w:type="dxa"/>
            <w:shd w:val="clear" w:color="auto" w:fill="auto"/>
            <w:tcMar>
              <w:left w:w="170" w:type="dxa"/>
            </w:tcMar>
            <w:vAlign w:val="center"/>
          </w:tcPr>
          <w:p w14:paraId="71575A75">
            <w:pPr>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自首次响应文件提交截止之日起</w:t>
            </w:r>
            <w:r>
              <w:rPr>
                <w:rFonts w:ascii="宋体" w:hAnsi="宋体" w:cs="宋体"/>
                <w:color w:val="auto"/>
                <w:szCs w:val="21"/>
                <w:highlight w:val="none"/>
                <w:u w:val="single"/>
              </w:rPr>
              <w:t>60</w:t>
            </w:r>
            <w:r>
              <w:rPr>
                <w:rFonts w:hint="eastAsia" w:ascii="宋体" w:hAnsi="宋体" w:cs="宋体"/>
                <w:color w:val="auto"/>
                <w:szCs w:val="21"/>
                <w:highlight w:val="none"/>
              </w:rPr>
              <w:t>日</w:t>
            </w:r>
          </w:p>
        </w:tc>
        <w:tc>
          <w:tcPr>
            <w:tcW w:w="2267" w:type="dxa"/>
            <w:vAlign w:val="center"/>
          </w:tcPr>
          <w:p w14:paraId="19AADBB9">
            <w:pPr>
              <w:jc w:val="center"/>
              <w:rPr>
                <w:rFonts w:hint="eastAsia" w:ascii="宋体" w:hAnsi="宋体" w:cs="宋体"/>
                <w:color w:val="auto"/>
                <w:szCs w:val="21"/>
                <w:highlight w:val="none"/>
              </w:rPr>
            </w:pPr>
          </w:p>
        </w:tc>
      </w:tr>
      <w:tr w14:paraId="1C649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6" w:type="dxa"/>
            <w:vAlign w:val="center"/>
          </w:tcPr>
          <w:p w14:paraId="6DC5B31E">
            <w:pPr>
              <w:jc w:val="center"/>
              <w:rPr>
                <w:color w:val="auto"/>
                <w:highlight w:val="none"/>
              </w:rPr>
            </w:pPr>
            <w:r>
              <w:rPr>
                <w:color w:val="auto"/>
                <w:highlight w:val="none"/>
              </w:rPr>
              <w:t>3</w:t>
            </w:r>
          </w:p>
        </w:tc>
        <w:tc>
          <w:tcPr>
            <w:tcW w:w="2794" w:type="dxa"/>
            <w:vAlign w:val="center"/>
          </w:tcPr>
          <w:p w14:paraId="56D4CE56">
            <w:pPr>
              <w:jc w:val="center"/>
              <w:rPr>
                <w:color w:val="auto"/>
                <w:highlight w:val="none"/>
              </w:rPr>
            </w:pPr>
            <w:r>
              <w:rPr>
                <w:rFonts w:hint="eastAsia" w:cs="宋体"/>
                <w:color w:val="auto"/>
                <w:highlight w:val="none"/>
              </w:rPr>
              <w:t>工期</w:t>
            </w:r>
          </w:p>
        </w:tc>
        <w:tc>
          <w:tcPr>
            <w:tcW w:w="2415" w:type="dxa"/>
            <w:shd w:val="clear" w:color="auto" w:fill="auto"/>
            <w:tcMar>
              <w:left w:w="170" w:type="dxa"/>
            </w:tcMar>
            <w:vAlign w:val="center"/>
          </w:tcPr>
          <w:p w14:paraId="11B2F9F2">
            <w:pPr>
              <w:jc w:val="center"/>
              <w:rPr>
                <w:rFonts w:ascii="Times New Roman" w:hAnsi="Times New Roman" w:eastAsia="宋体" w:cs="Times New Roman"/>
                <w:color w:val="auto"/>
                <w:kern w:val="2"/>
                <w:sz w:val="21"/>
                <w:szCs w:val="24"/>
                <w:highlight w:val="none"/>
                <w:lang w:val="en-US" w:eastAsia="zh-CN" w:bidi="ar-SA"/>
              </w:rPr>
            </w:pPr>
            <w:r>
              <w:rPr>
                <w:rFonts w:hint="eastAsia"/>
                <w:color w:val="auto"/>
                <w:highlight w:val="none"/>
                <w:u w:val="single"/>
                <w:lang w:val="en-US" w:eastAsia="zh-CN"/>
              </w:rPr>
              <w:t>90日</w:t>
            </w:r>
            <w:r>
              <w:rPr>
                <w:rFonts w:hint="eastAsia"/>
                <w:color w:val="auto"/>
                <w:highlight w:val="none"/>
                <w:u w:val="single"/>
                <w:lang w:val="en-US" w:eastAsia="zh-CN"/>
              </w:rPr>
              <w:t>历天</w:t>
            </w:r>
          </w:p>
        </w:tc>
        <w:tc>
          <w:tcPr>
            <w:tcW w:w="2267" w:type="dxa"/>
            <w:vAlign w:val="center"/>
          </w:tcPr>
          <w:p w14:paraId="0ECEF382">
            <w:pPr>
              <w:jc w:val="center"/>
              <w:rPr>
                <w:color w:val="auto"/>
                <w:highlight w:val="none"/>
              </w:rPr>
            </w:pPr>
          </w:p>
        </w:tc>
      </w:tr>
      <w:tr w14:paraId="714B0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6" w:type="dxa"/>
            <w:vAlign w:val="center"/>
          </w:tcPr>
          <w:p w14:paraId="6D1636A3">
            <w:pPr>
              <w:jc w:val="center"/>
              <w:rPr>
                <w:color w:val="auto"/>
                <w:highlight w:val="none"/>
              </w:rPr>
            </w:pPr>
            <w:r>
              <w:rPr>
                <w:color w:val="auto"/>
                <w:highlight w:val="none"/>
              </w:rPr>
              <w:t>4</w:t>
            </w:r>
          </w:p>
        </w:tc>
        <w:tc>
          <w:tcPr>
            <w:tcW w:w="2794" w:type="dxa"/>
            <w:vAlign w:val="center"/>
          </w:tcPr>
          <w:p w14:paraId="0E11458E">
            <w:pPr>
              <w:jc w:val="center"/>
              <w:rPr>
                <w:color w:val="auto"/>
                <w:highlight w:val="none"/>
              </w:rPr>
            </w:pPr>
            <w:r>
              <w:rPr>
                <w:rFonts w:hint="eastAsia" w:cs="宋体"/>
                <w:color w:val="auto"/>
                <w:highlight w:val="none"/>
              </w:rPr>
              <w:t>缺陷责任期</w:t>
            </w:r>
          </w:p>
        </w:tc>
        <w:tc>
          <w:tcPr>
            <w:tcW w:w="2415" w:type="dxa"/>
            <w:shd w:val="clear" w:color="auto" w:fill="auto"/>
            <w:tcMar>
              <w:left w:w="170" w:type="dxa"/>
            </w:tcMar>
            <w:vAlign w:val="center"/>
          </w:tcPr>
          <w:p w14:paraId="290ABF4E">
            <w:pPr>
              <w:jc w:val="center"/>
              <w:rPr>
                <w:rFonts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12</w:t>
            </w:r>
            <w:r>
              <w:rPr>
                <w:rFonts w:hint="eastAsia"/>
                <w:color w:val="auto"/>
                <w:highlight w:val="none"/>
              </w:rPr>
              <w:t>个月</w:t>
            </w:r>
          </w:p>
        </w:tc>
        <w:tc>
          <w:tcPr>
            <w:tcW w:w="2267" w:type="dxa"/>
            <w:vAlign w:val="center"/>
          </w:tcPr>
          <w:p w14:paraId="4445C98C">
            <w:pPr>
              <w:jc w:val="center"/>
              <w:rPr>
                <w:color w:val="auto"/>
                <w:highlight w:val="none"/>
              </w:rPr>
            </w:pPr>
          </w:p>
        </w:tc>
      </w:tr>
      <w:tr w14:paraId="53063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6" w:type="dxa"/>
            <w:vAlign w:val="center"/>
          </w:tcPr>
          <w:p w14:paraId="1E8DF8AB">
            <w:pPr>
              <w:jc w:val="center"/>
              <w:rPr>
                <w:rFonts w:hint="eastAsia" w:eastAsia="宋体"/>
                <w:color w:val="auto"/>
                <w:highlight w:val="none"/>
                <w:lang w:eastAsia="zh-CN"/>
              </w:rPr>
            </w:pPr>
            <w:r>
              <w:rPr>
                <w:rFonts w:hint="eastAsia"/>
                <w:color w:val="auto"/>
                <w:highlight w:val="none"/>
                <w:lang w:val="en-US" w:eastAsia="zh-CN"/>
              </w:rPr>
              <w:t>5</w:t>
            </w:r>
          </w:p>
        </w:tc>
        <w:tc>
          <w:tcPr>
            <w:tcW w:w="2794" w:type="dxa"/>
            <w:vAlign w:val="center"/>
          </w:tcPr>
          <w:p w14:paraId="50AE08EB">
            <w:pPr>
              <w:jc w:val="center"/>
              <w:rPr>
                <w:color w:val="auto"/>
                <w:highlight w:val="none"/>
              </w:rPr>
            </w:pPr>
            <w:r>
              <w:rPr>
                <w:rFonts w:hint="eastAsia" w:cs="宋体"/>
                <w:color w:val="auto"/>
                <w:highlight w:val="none"/>
              </w:rPr>
              <w:t>分包</w:t>
            </w:r>
          </w:p>
        </w:tc>
        <w:tc>
          <w:tcPr>
            <w:tcW w:w="2415" w:type="dxa"/>
            <w:shd w:val="clear" w:color="auto" w:fill="auto"/>
            <w:tcMar>
              <w:left w:w="170" w:type="dxa"/>
            </w:tcMar>
            <w:vAlign w:val="center"/>
          </w:tcPr>
          <w:p w14:paraId="77BC230C">
            <w:pPr>
              <w:jc w:val="center"/>
              <w:rPr>
                <w:rFonts w:ascii="Times New Roman" w:hAnsi="Times New Roman" w:eastAsia="宋体" w:cs="Times New Roman"/>
                <w:color w:val="auto"/>
                <w:kern w:val="2"/>
                <w:sz w:val="21"/>
                <w:szCs w:val="24"/>
                <w:highlight w:val="none"/>
                <w:lang w:val="en-US" w:eastAsia="zh-CN" w:bidi="ar-SA"/>
              </w:rPr>
            </w:pPr>
            <w:r>
              <w:rPr>
                <w:rFonts w:hint="eastAsia" w:cs="宋体"/>
                <w:color w:val="auto"/>
                <w:highlight w:val="none"/>
              </w:rPr>
              <w:t>见分包项目情况表</w:t>
            </w:r>
          </w:p>
        </w:tc>
        <w:tc>
          <w:tcPr>
            <w:tcW w:w="2267" w:type="dxa"/>
            <w:vAlign w:val="center"/>
          </w:tcPr>
          <w:p w14:paraId="11D99204">
            <w:pPr>
              <w:jc w:val="center"/>
              <w:rPr>
                <w:color w:val="auto"/>
                <w:highlight w:val="none"/>
              </w:rPr>
            </w:pPr>
          </w:p>
        </w:tc>
      </w:tr>
      <w:tr w14:paraId="76087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6" w:type="dxa"/>
            <w:vAlign w:val="center"/>
          </w:tcPr>
          <w:p w14:paraId="65EB3961">
            <w:pPr>
              <w:jc w:val="center"/>
              <w:rPr>
                <w:rFonts w:hint="eastAsia" w:eastAsia="宋体"/>
                <w:color w:val="auto"/>
                <w:highlight w:val="none"/>
                <w:lang w:eastAsia="zh-CN"/>
              </w:rPr>
            </w:pPr>
            <w:r>
              <w:rPr>
                <w:rFonts w:hint="eastAsia"/>
                <w:color w:val="auto"/>
                <w:highlight w:val="none"/>
                <w:lang w:val="en-US" w:eastAsia="zh-CN"/>
              </w:rPr>
              <w:t>6</w:t>
            </w:r>
          </w:p>
        </w:tc>
        <w:tc>
          <w:tcPr>
            <w:tcW w:w="2794" w:type="dxa"/>
            <w:vAlign w:val="center"/>
          </w:tcPr>
          <w:p w14:paraId="2C63CAEE">
            <w:pPr>
              <w:jc w:val="center"/>
              <w:rPr>
                <w:color w:val="auto"/>
                <w:highlight w:val="none"/>
              </w:rPr>
            </w:pPr>
            <w:r>
              <w:rPr>
                <w:rFonts w:hint="eastAsia" w:cs="宋体"/>
                <w:color w:val="auto"/>
                <w:highlight w:val="none"/>
              </w:rPr>
              <w:t>质量标准</w:t>
            </w:r>
          </w:p>
        </w:tc>
        <w:tc>
          <w:tcPr>
            <w:tcW w:w="2415" w:type="dxa"/>
            <w:shd w:val="clear" w:color="auto" w:fill="auto"/>
            <w:tcMar>
              <w:left w:w="170" w:type="dxa"/>
            </w:tcMar>
            <w:vAlign w:val="center"/>
          </w:tcPr>
          <w:p w14:paraId="468046FC">
            <w:pPr>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合格</w:t>
            </w:r>
          </w:p>
        </w:tc>
        <w:tc>
          <w:tcPr>
            <w:tcW w:w="2267" w:type="dxa"/>
            <w:vAlign w:val="center"/>
          </w:tcPr>
          <w:p w14:paraId="2F2603A5">
            <w:pPr>
              <w:jc w:val="center"/>
              <w:rPr>
                <w:color w:val="auto"/>
                <w:highlight w:val="none"/>
              </w:rPr>
            </w:pPr>
          </w:p>
        </w:tc>
      </w:tr>
      <w:tr w14:paraId="7F796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6" w:type="dxa"/>
            <w:vAlign w:val="center"/>
          </w:tcPr>
          <w:p w14:paraId="1BE56CBA">
            <w:pPr>
              <w:jc w:val="center"/>
              <w:rPr>
                <w:rFonts w:hint="eastAsia" w:eastAsia="宋体"/>
                <w:color w:val="auto"/>
                <w:highlight w:val="none"/>
                <w:lang w:eastAsia="zh-CN"/>
              </w:rPr>
            </w:pPr>
            <w:r>
              <w:rPr>
                <w:rFonts w:hint="eastAsia"/>
                <w:color w:val="auto"/>
                <w:highlight w:val="none"/>
                <w:lang w:val="en-US" w:eastAsia="zh-CN"/>
              </w:rPr>
              <w:t>7</w:t>
            </w:r>
          </w:p>
        </w:tc>
        <w:tc>
          <w:tcPr>
            <w:tcW w:w="2794" w:type="dxa"/>
            <w:vAlign w:val="center"/>
          </w:tcPr>
          <w:p w14:paraId="798862BA">
            <w:pPr>
              <w:jc w:val="center"/>
              <w:rPr>
                <w:color w:val="auto"/>
                <w:highlight w:val="none"/>
              </w:rPr>
            </w:pPr>
            <w:r>
              <w:rPr>
                <w:rFonts w:hint="eastAsia" w:cs="宋体"/>
                <w:color w:val="auto"/>
                <w:highlight w:val="none"/>
              </w:rPr>
              <w:t>预付款额度</w:t>
            </w:r>
          </w:p>
        </w:tc>
        <w:tc>
          <w:tcPr>
            <w:tcW w:w="2415" w:type="dxa"/>
            <w:shd w:val="clear" w:color="auto" w:fill="auto"/>
            <w:tcMar>
              <w:left w:w="170" w:type="dxa"/>
            </w:tcMar>
            <w:vAlign w:val="center"/>
          </w:tcPr>
          <w:p w14:paraId="2F1B8DDE">
            <w:pPr>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szCs w:val="21"/>
                <w:highlight w:val="none"/>
                <w:u w:val="none"/>
                <w:lang w:val="en-US" w:eastAsia="zh-CN"/>
              </w:rPr>
              <w:t>合同价款的30%</w:t>
            </w:r>
          </w:p>
        </w:tc>
        <w:tc>
          <w:tcPr>
            <w:tcW w:w="2267" w:type="dxa"/>
            <w:vAlign w:val="center"/>
          </w:tcPr>
          <w:p w14:paraId="72523FEE">
            <w:pPr>
              <w:jc w:val="center"/>
              <w:rPr>
                <w:rFonts w:hint="eastAsia" w:eastAsia="宋体"/>
                <w:color w:val="auto"/>
                <w:highlight w:val="none"/>
                <w:lang w:eastAsia="zh-CN"/>
              </w:rPr>
            </w:pPr>
          </w:p>
        </w:tc>
      </w:tr>
      <w:tr w14:paraId="3E407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6" w:type="dxa"/>
            <w:vAlign w:val="center"/>
          </w:tcPr>
          <w:p w14:paraId="698BE19E">
            <w:pPr>
              <w:jc w:val="center"/>
              <w:rPr>
                <w:rFonts w:hint="eastAsia" w:eastAsia="宋体"/>
                <w:color w:val="auto"/>
                <w:highlight w:val="none"/>
                <w:lang w:eastAsia="zh-CN"/>
              </w:rPr>
            </w:pPr>
            <w:r>
              <w:rPr>
                <w:rFonts w:hint="eastAsia"/>
                <w:color w:val="auto"/>
                <w:highlight w:val="none"/>
                <w:lang w:val="en-US" w:eastAsia="zh-CN"/>
              </w:rPr>
              <w:t>8</w:t>
            </w:r>
          </w:p>
        </w:tc>
        <w:tc>
          <w:tcPr>
            <w:tcW w:w="2794" w:type="dxa"/>
            <w:vAlign w:val="center"/>
          </w:tcPr>
          <w:p w14:paraId="350067C3">
            <w:pPr>
              <w:jc w:val="center"/>
              <w:rPr>
                <w:color w:val="auto"/>
                <w:highlight w:val="none"/>
              </w:rPr>
            </w:pPr>
            <w:r>
              <w:rPr>
                <w:rFonts w:hint="eastAsia" w:cs="宋体"/>
                <w:color w:val="auto"/>
                <w:highlight w:val="none"/>
              </w:rPr>
              <w:t>预付款保函金额</w:t>
            </w:r>
          </w:p>
        </w:tc>
        <w:tc>
          <w:tcPr>
            <w:tcW w:w="2415" w:type="dxa"/>
            <w:shd w:val="clear" w:color="auto" w:fill="auto"/>
            <w:tcMar>
              <w:left w:w="170" w:type="dxa"/>
            </w:tcMar>
            <w:vAlign w:val="center"/>
          </w:tcPr>
          <w:p w14:paraId="03BD3B26">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无</w:t>
            </w:r>
          </w:p>
        </w:tc>
        <w:tc>
          <w:tcPr>
            <w:tcW w:w="2267" w:type="dxa"/>
            <w:vAlign w:val="center"/>
          </w:tcPr>
          <w:p w14:paraId="4C6E8EC2">
            <w:pPr>
              <w:jc w:val="center"/>
              <w:rPr>
                <w:rFonts w:hint="eastAsia" w:eastAsia="宋体"/>
                <w:color w:val="auto"/>
                <w:highlight w:val="none"/>
                <w:lang w:val="en-US" w:eastAsia="zh-CN"/>
              </w:rPr>
            </w:pPr>
          </w:p>
        </w:tc>
      </w:tr>
      <w:tr w14:paraId="662D5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6" w:type="dxa"/>
            <w:vAlign w:val="center"/>
          </w:tcPr>
          <w:p w14:paraId="1F83D705">
            <w:pPr>
              <w:jc w:val="center"/>
              <w:rPr>
                <w:rFonts w:hint="eastAsia" w:eastAsia="宋体"/>
                <w:color w:val="auto"/>
                <w:highlight w:val="none"/>
                <w:lang w:eastAsia="zh-CN"/>
              </w:rPr>
            </w:pPr>
            <w:r>
              <w:rPr>
                <w:rFonts w:hint="eastAsia"/>
                <w:color w:val="auto"/>
                <w:highlight w:val="none"/>
                <w:lang w:val="en-US" w:eastAsia="zh-CN"/>
              </w:rPr>
              <w:t>9</w:t>
            </w:r>
          </w:p>
        </w:tc>
        <w:tc>
          <w:tcPr>
            <w:tcW w:w="2794" w:type="dxa"/>
            <w:vAlign w:val="center"/>
          </w:tcPr>
          <w:p w14:paraId="1BA1A477">
            <w:pPr>
              <w:jc w:val="center"/>
              <w:rPr>
                <w:color w:val="auto"/>
                <w:highlight w:val="none"/>
              </w:rPr>
            </w:pPr>
            <w:r>
              <w:rPr>
                <w:rFonts w:hint="eastAsia" w:cs="宋体"/>
                <w:color w:val="auto"/>
                <w:highlight w:val="none"/>
              </w:rPr>
              <w:t>质量保证金额度</w:t>
            </w:r>
          </w:p>
        </w:tc>
        <w:tc>
          <w:tcPr>
            <w:tcW w:w="2415" w:type="dxa"/>
            <w:shd w:val="clear" w:color="auto" w:fill="auto"/>
            <w:tcMar>
              <w:left w:w="170" w:type="dxa"/>
            </w:tcMar>
            <w:vAlign w:val="center"/>
          </w:tcPr>
          <w:p w14:paraId="0C99D2ED">
            <w:pPr>
              <w:jc w:val="center"/>
              <w:rPr>
                <w:rFonts w:ascii="Times New Roman" w:hAnsi="Times New Roman" w:eastAsia="宋体" w:cs="Times New Roman"/>
                <w:color w:val="auto"/>
                <w:kern w:val="2"/>
                <w:sz w:val="21"/>
                <w:szCs w:val="24"/>
                <w:highlight w:val="none"/>
                <w:lang w:val="en-US" w:eastAsia="zh-CN" w:bidi="ar-SA"/>
              </w:rPr>
            </w:pPr>
            <w:r>
              <w:rPr>
                <w:rFonts w:hint="eastAsia" w:cs="宋体"/>
                <w:color w:val="auto"/>
                <w:highlight w:val="none"/>
              </w:rPr>
              <w:t>结算价的</w:t>
            </w:r>
            <w:r>
              <w:rPr>
                <w:color w:val="auto"/>
                <w:highlight w:val="none"/>
                <w:u w:val="single"/>
              </w:rPr>
              <w:t xml:space="preserve">  3  </w:t>
            </w:r>
            <w:r>
              <w:rPr>
                <w:color w:val="auto"/>
                <w:highlight w:val="none"/>
              </w:rPr>
              <w:t xml:space="preserve">% </w:t>
            </w:r>
          </w:p>
        </w:tc>
        <w:tc>
          <w:tcPr>
            <w:tcW w:w="2267" w:type="dxa"/>
            <w:vAlign w:val="center"/>
          </w:tcPr>
          <w:p w14:paraId="491F5888">
            <w:pPr>
              <w:jc w:val="center"/>
              <w:rPr>
                <w:color w:val="auto"/>
                <w:highlight w:val="none"/>
              </w:rPr>
            </w:pPr>
          </w:p>
        </w:tc>
      </w:tr>
      <w:tr w14:paraId="78043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6" w:type="dxa"/>
            <w:vAlign w:val="center"/>
          </w:tcPr>
          <w:p w14:paraId="0DBDCC6C">
            <w:pPr>
              <w:jc w:val="center"/>
              <w:rPr>
                <w:color w:val="auto"/>
                <w:highlight w:val="none"/>
              </w:rPr>
            </w:pPr>
            <w:r>
              <w:rPr>
                <w:color w:val="auto"/>
                <w:highlight w:val="none"/>
              </w:rPr>
              <w:t>……</w:t>
            </w:r>
          </w:p>
        </w:tc>
        <w:tc>
          <w:tcPr>
            <w:tcW w:w="2794" w:type="dxa"/>
            <w:vAlign w:val="center"/>
          </w:tcPr>
          <w:p w14:paraId="3457E7F9">
            <w:pPr>
              <w:jc w:val="center"/>
              <w:rPr>
                <w:color w:val="auto"/>
                <w:highlight w:val="none"/>
              </w:rPr>
            </w:pPr>
            <w:r>
              <w:rPr>
                <w:color w:val="auto"/>
                <w:highlight w:val="none"/>
              </w:rPr>
              <w:t>……</w:t>
            </w:r>
          </w:p>
        </w:tc>
        <w:tc>
          <w:tcPr>
            <w:tcW w:w="2415" w:type="dxa"/>
            <w:tcMar>
              <w:left w:w="170" w:type="dxa"/>
            </w:tcMar>
            <w:vAlign w:val="center"/>
          </w:tcPr>
          <w:p w14:paraId="01556BA1">
            <w:pPr>
              <w:rPr>
                <w:color w:val="auto"/>
                <w:highlight w:val="none"/>
              </w:rPr>
            </w:pPr>
          </w:p>
        </w:tc>
        <w:tc>
          <w:tcPr>
            <w:tcW w:w="2267" w:type="dxa"/>
            <w:vAlign w:val="center"/>
          </w:tcPr>
          <w:p w14:paraId="46B9DB97">
            <w:pPr>
              <w:jc w:val="center"/>
              <w:rPr>
                <w:color w:val="auto"/>
                <w:highlight w:val="none"/>
              </w:rPr>
            </w:pPr>
          </w:p>
        </w:tc>
      </w:tr>
      <w:tr w14:paraId="23490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2" w:type="dxa"/>
            <w:gridSpan w:val="4"/>
            <w:vAlign w:val="center"/>
          </w:tcPr>
          <w:p w14:paraId="356A9247">
            <w:pPr>
              <w:jc w:val="left"/>
              <w:rPr>
                <w:color w:val="auto"/>
                <w:highlight w:val="none"/>
              </w:rPr>
            </w:pPr>
            <w:r>
              <w:rPr>
                <w:rFonts w:hint="eastAsia" w:cs="宋体"/>
                <w:color w:val="auto"/>
                <w:highlight w:val="none"/>
              </w:rPr>
              <w:t>说明：供应商在响应磋商文件中规定的实质性要求和条件的基础上，可做出其他有利于采购人的承诺。此类承诺可在本表中予以补充填写。</w:t>
            </w:r>
          </w:p>
        </w:tc>
      </w:tr>
    </w:tbl>
    <w:p w14:paraId="313FDDF4">
      <w:pPr>
        <w:spacing w:line="360" w:lineRule="auto"/>
        <w:ind w:right="-817" w:rightChars="-389" w:firstLine="2640" w:firstLineChars="1100"/>
        <w:contextualSpacing/>
        <w:rPr>
          <w:rFonts w:ascii="宋体" w:hAnsi="宋体" w:cs="仿宋_GB2312"/>
          <w:color w:val="auto"/>
          <w:sz w:val="24"/>
          <w:highlight w:val="none"/>
        </w:rPr>
      </w:pPr>
    </w:p>
    <w:p w14:paraId="3AC76EC2">
      <w:pPr>
        <w:spacing w:line="360" w:lineRule="auto"/>
        <w:ind w:right="-817" w:rightChars="-389" w:firstLine="3360" w:firstLineChars="1400"/>
        <w:contextualSpacing/>
        <w:rPr>
          <w:rFonts w:ascii="宋体" w:hAnsi="宋体" w:cs="仿宋_GB2312"/>
          <w:color w:val="auto"/>
          <w:sz w:val="24"/>
          <w:highlight w:val="none"/>
        </w:rPr>
      </w:pPr>
      <w:r>
        <w:rPr>
          <w:rFonts w:hint="eastAsia" w:ascii="宋体" w:hAnsi="宋体" w:cs="仿宋_GB2312"/>
          <w:color w:val="auto"/>
          <w:sz w:val="24"/>
          <w:highlight w:val="none"/>
        </w:rPr>
        <w:t xml:space="preserve">法定代表人或者委托代理人（签字或者电子签名）：                    </w:t>
      </w:r>
    </w:p>
    <w:p w14:paraId="4B7A742E">
      <w:pPr>
        <w:spacing w:line="360" w:lineRule="auto"/>
        <w:ind w:right="-817" w:rightChars="-389" w:firstLine="3840" w:firstLineChars="16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001D6A1F">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lang w:val="en-US" w:eastAsia="zh-CN"/>
        </w:rPr>
        <w:t xml:space="preserve">         </w:t>
      </w:r>
      <w:r>
        <w:rPr>
          <w:rFonts w:hint="eastAsia" w:ascii="宋体" w:hAnsi="宋体" w:cs="仿宋_GB2312"/>
          <w:color w:val="auto"/>
          <w:sz w:val="24"/>
          <w:highlight w:val="none"/>
        </w:rPr>
        <w:t>日期：   年   月   日</w:t>
      </w:r>
    </w:p>
    <w:p w14:paraId="52F1A9D5">
      <w:pPr>
        <w:spacing w:line="360" w:lineRule="auto"/>
        <w:jc w:val="center"/>
        <w:rPr>
          <w:rFonts w:ascii="方正小标宋简体" w:hAnsi="方正小标宋简体" w:eastAsia="方正小标宋简体" w:cs="方正小标宋简体"/>
          <w:bCs/>
          <w:color w:val="auto"/>
          <w:sz w:val="32"/>
          <w:szCs w:val="32"/>
          <w:highlight w:val="none"/>
        </w:rPr>
      </w:pPr>
      <w:r>
        <w:rPr>
          <w:rFonts w:ascii="宋体" w:hAnsi="宋体" w:cs="仿宋_GB2312"/>
          <w:color w:val="auto"/>
          <w:sz w:val="24"/>
          <w:highlight w:val="none"/>
        </w:rPr>
        <w:br w:type="page"/>
      </w:r>
      <w:r>
        <w:rPr>
          <w:rFonts w:hint="eastAsia" w:ascii="宋体" w:hAnsi="宋体" w:cs="方正小标宋简体"/>
          <w:b/>
          <w:bCs/>
          <w:color w:val="auto"/>
          <w:sz w:val="32"/>
          <w:szCs w:val="32"/>
          <w:highlight w:val="none"/>
        </w:rPr>
        <w:t>竞标报价表</w:t>
      </w:r>
    </w:p>
    <w:p w14:paraId="2D6439B0">
      <w:pPr>
        <w:spacing w:line="440" w:lineRule="exact"/>
        <w:jc w:val="center"/>
        <w:rPr>
          <w:rFonts w:ascii="方正小标宋简体" w:hAnsi="方正小标宋简体" w:eastAsia="方正小标宋简体" w:cs="方正小标宋简体"/>
          <w:bCs/>
          <w:color w:val="auto"/>
          <w:sz w:val="32"/>
          <w:szCs w:val="32"/>
          <w:highlight w:val="none"/>
        </w:rPr>
      </w:pPr>
    </w:p>
    <w:p w14:paraId="74560ED4">
      <w:pPr>
        <w:spacing w:line="440" w:lineRule="exact"/>
        <w:contextualSpacing/>
        <w:rPr>
          <w:rFonts w:ascii="宋体" w:hAnsi="宋体" w:cs="仿宋_GB2312"/>
          <w:color w:val="auto"/>
          <w:sz w:val="24"/>
          <w:highlight w:val="none"/>
        </w:rPr>
      </w:pPr>
      <w:r>
        <w:rPr>
          <w:rFonts w:hint="eastAsia" w:ascii="宋体" w:hAnsi="宋体" w:cs="仿宋_GB2312"/>
          <w:color w:val="auto"/>
          <w:sz w:val="24"/>
          <w:highlight w:val="none"/>
        </w:rPr>
        <w:t>项目名称：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u w:val="single"/>
          <w:lang w:val="en-US" w:eastAsia="zh-CN"/>
        </w:rPr>
        <w:t xml:space="preserve">   </w:t>
      </w:r>
      <w:r>
        <w:rPr>
          <w:rFonts w:hint="eastAsia" w:ascii="宋体" w:hAnsi="宋体" w:cs="仿宋_GB2312"/>
          <w:color w:val="auto"/>
          <w:sz w:val="24"/>
          <w:highlight w:val="none"/>
          <w:u w:val="none"/>
          <w:lang w:val="en-US" w:eastAsia="zh-CN"/>
        </w:rPr>
        <w:t xml:space="preserve">      </w:t>
      </w:r>
      <w:r>
        <w:rPr>
          <w:rFonts w:hint="eastAsia" w:ascii="宋体" w:hAnsi="宋体" w:cs="仿宋_GB2312"/>
          <w:color w:val="auto"/>
          <w:sz w:val="24"/>
          <w:highlight w:val="none"/>
        </w:rPr>
        <w:t>项目编号：</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77A1117C">
      <w:pPr>
        <w:spacing w:line="440" w:lineRule="exact"/>
        <w:contextualSpacing/>
        <w:rPr>
          <w:rFonts w:ascii="宋体" w:hAnsi="宋体" w:cs="仿宋_GB2312"/>
          <w:color w:val="auto"/>
          <w:sz w:val="24"/>
          <w:highlight w:val="none"/>
        </w:rPr>
      </w:pPr>
      <w:r>
        <w:rPr>
          <w:rFonts w:hint="eastAsia" w:ascii="宋体" w:hAnsi="宋体" w:cs="仿宋_GB2312"/>
          <w:color w:val="auto"/>
          <w:sz w:val="24"/>
          <w:highlight w:val="none"/>
        </w:rPr>
        <w:t>分标（如有）：</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u w:val="single"/>
          <w:lang w:val="en-US" w:eastAsia="zh-CN"/>
        </w:rPr>
        <w:t xml:space="preserve">    </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0D254283">
      <w:pPr>
        <w:spacing w:line="440" w:lineRule="exact"/>
        <w:contextualSpacing/>
        <w:rPr>
          <w:rFonts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201035E2">
      <w:pPr>
        <w:spacing w:line="360" w:lineRule="auto"/>
        <w:contextualSpacing/>
        <w:rPr>
          <w:rFonts w:hint="eastAsia" w:ascii="宋体" w:hAnsi="宋体" w:cs="仿宋_GB2312"/>
          <w:color w:val="auto"/>
          <w:sz w:val="24"/>
          <w:highlight w:val="none"/>
          <w:lang w:val="en-US" w:eastAsia="zh-CN"/>
        </w:rPr>
      </w:pPr>
      <w:r>
        <w:rPr>
          <w:rFonts w:hint="eastAsia" w:ascii="宋体" w:hAnsi="宋体" w:cs="仿宋_GB2312"/>
          <w:color w:val="auto"/>
          <w:sz w:val="24"/>
          <w:highlight w:val="none"/>
        </w:rPr>
        <w:t xml:space="preserve">                                               </w:t>
      </w:r>
      <w:r>
        <w:rPr>
          <w:rFonts w:hint="eastAsia" w:ascii="宋体" w:hAnsi="宋体" w:cs="仿宋_GB2312"/>
          <w:color w:val="auto"/>
          <w:sz w:val="24"/>
          <w:highlight w:val="none"/>
          <w:lang w:val="en-US" w:eastAsia="zh-CN"/>
        </w:rPr>
        <w:t xml:space="preserve">      </w:t>
      </w:r>
      <w:r>
        <w:rPr>
          <w:rFonts w:hint="eastAsia" w:ascii="宋体" w:hAnsi="宋体" w:cs="仿宋_GB2312"/>
          <w:color w:val="auto"/>
          <w:sz w:val="24"/>
          <w:highlight w:val="none"/>
        </w:rPr>
        <w:t xml:space="preserve"> </w:t>
      </w:r>
      <w:r>
        <w:rPr>
          <w:rFonts w:hint="eastAsia" w:ascii="宋体" w:hAnsi="宋体" w:cs="仿宋_GB2312"/>
          <w:color w:val="auto"/>
          <w:sz w:val="24"/>
          <w:highlight w:val="none"/>
          <w:lang w:val="en-US" w:eastAsia="zh-CN"/>
        </w:rPr>
        <w:t xml:space="preserve"> </w:t>
      </w:r>
    </w:p>
    <w:p w14:paraId="6127373B">
      <w:pPr>
        <w:spacing w:line="360" w:lineRule="auto"/>
        <w:ind w:firstLine="6960" w:firstLineChars="2900"/>
        <w:contextualSpacing/>
        <w:rPr>
          <w:rFonts w:ascii="宋体" w:hAnsi="宋体" w:cs="仿宋_GB2312"/>
          <w:color w:val="auto"/>
          <w:sz w:val="24"/>
          <w:highlight w:val="none"/>
        </w:rPr>
      </w:pPr>
      <w:r>
        <w:rPr>
          <w:rFonts w:hint="eastAsia" w:ascii="宋体" w:hAnsi="宋体" w:cs="仿宋_GB2312"/>
          <w:color w:val="auto"/>
          <w:sz w:val="24"/>
          <w:highlight w:val="none"/>
        </w:rPr>
        <w:t>单位：元</w:t>
      </w:r>
    </w:p>
    <w:tbl>
      <w:tblPr>
        <w:tblStyle w:val="44"/>
        <w:tblW w:w="9095"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2430"/>
        <w:gridCol w:w="1672"/>
        <w:gridCol w:w="3107"/>
        <w:gridCol w:w="1184"/>
      </w:tblGrid>
      <w:tr w14:paraId="374C1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702" w:type="dxa"/>
            <w:tcBorders>
              <w:top w:val="single" w:color="auto" w:sz="4" w:space="0"/>
              <w:left w:val="single" w:color="auto" w:sz="4" w:space="0"/>
              <w:bottom w:val="single" w:color="auto" w:sz="4" w:space="0"/>
              <w:right w:val="single" w:color="auto" w:sz="4" w:space="0"/>
            </w:tcBorders>
            <w:vAlign w:val="center"/>
          </w:tcPr>
          <w:p w14:paraId="038A0DAA">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序号</w:t>
            </w:r>
          </w:p>
        </w:tc>
        <w:tc>
          <w:tcPr>
            <w:tcW w:w="2430" w:type="dxa"/>
            <w:tcBorders>
              <w:top w:val="single" w:color="auto" w:sz="4" w:space="0"/>
              <w:left w:val="single" w:color="auto" w:sz="4" w:space="0"/>
              <w:bottom w:val="single" w:color="auto" w:sz="4" w:space="0"/>
              <w:right w:val="single" w:color="auto" w:sz="4" w:space="0"/>
            </w:tcBorders>
            <w:vAlign w:val="center"/>
          </w:tcPr>
          <w:p w14:paraId="15B4AD7E">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标的</w:t>
            </w:r>
            <w:r>
              <w:rPr>
                <w:rFonts w:ascii="宋体" w:hAnsi="宋体" w:cs="仿宋_GB2312"/>
                <w:color w:val="auto"/>
                <w:sz w:val="24"/>
                <w:highlight w:val="none"/>
              </w:rPr>
              <w:t>名称</w:t>
            </w:r>
          </w:p>
        </w:tc>
        <w:tc>
          <w:tcPr>
            <w:tcW w:w="1672" w:type="dxa"/>
            <w:tcBorders>
              <w:top w:val="single" w:color="auto" w:sz="4" w:space="0"/>
              <w:left w:val="single" w:color="auto" w:sz="4" w:space="0"/>
              <w:bottom w:val="single" w:color="auto" w:sz="4" w:space="0"/>
              <w:right w:val="single" w:color="auto" w:sz="4" w:space="0"/>
            </w:tcBorders>
            <w:vAlign w:val="center"/>
          </w:tcPr>
          <w:p w14:paraId="08480097">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数量及单位</w:t>
            </w:r>
          </w:p>
        </w:tc>
        <w:tc>
          <w:tcPr>
            <w:tcW w:w="3107" w:type="dxa"/>
            <w:tcBorders>
              <w:top w:val="single" w:color="auto" w:sz="4" w:space="0"/>
              <w:left w:val="single" w:color="auto" w:sz="4" w:space="0"/>
              <w:bottom w:val="single" w:color="auto" w:sz="4" w:space="0"/>
              <w:right w:val="single" w:color="auto" w:sz="4" w:space="0"/>
            </w:tcBorders>
            <w:vAlign w:val="center"/>
          </w:tcPr>
          <w:p w14:paraId="2871E7A5">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总价</w:t>
            </w:r>
          </w:p>
        </w:tc>
        <w:tc>
          <w:tcPr>
            <w:tcW w:w="1184" w:type="dxa"/>
            <w:tcBorders>
              <w:top w:val="single" w:color="auto" w:sz="4" w:space="0"/>
              <w:left w:val="single" w:color="auto" w:sz="4" w:space="0"/>
              <w:bottom w:val="single" w:color="auto" w:sz="4" w:space="0"/>
              <w:right w:val="single" w:color="auto" w:sz="4" w:space="0"/>
            </w:tcBorders>
            <w:vAlign w:val="center"/>
          </w:tcPr>
          <w:p w14:paraId="431375A1">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备注</w:t>
            </w:r>
          </w:p>
        </w:tc>
      </w:tr>
      <w:tr w14:paraId="3F85F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702" w:type="dxa"/>
            <w:tcBorders>
              <w:top w:val="single" w:color="auto" w:sz="4" w:space="0"/>
              <w:left w:val="single" w:color="auto" w:sz="4" w:space="0"/>
              <w:bottom w:val="single" w:color="auto" w:sz="4" w:space="0"/>
              <w:right w:val="single" w:color="auto" w:sz="4" w:space="0"/>
            </w:tcBorders>
            <w:vAlign w:val="center"/>
          </w:tcPr>
          <w:p w14:paraId="24E03120">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1</w:t>
            </w:r>
          </w:p>
        </w:tc>
        <w:tc>
          <w:tcPr>
            <w:tcW w:w="2430" w:type="dxa"/>
            <w:tcBorders>
              <w:top w:val="single" w:color="auto" w:sz="4" w:space="0"/>
              <w:left w:val="single" w:color="auto" w:sz="4" w:space="0"/>
              <w:bottom w:val="single" w:color="auto" w:sz="4" w:space="0"/>
              <w:right w:val="single" w:color="auto" w:sz="4" w:space="0"/>
            </w:tcBorders>
            <w:vAlign w:val="center"/>
          </w:tcPr>
          <w:p w14:paraId="28DE4399">
            <w:pPr>
              <w:spacing w:line="360" w:lineRule="auto"/>
              <w:contextualSpacing/>
              <w:jc w:val="center"/>
              <w:rPr>
                <w:rFonts w:ascii="宋体" w:hAnsi="宋体" w:cs="仿宋_GB2312"/>
                <w:color w:val="auto"/>
                <w:sz w:val="24"/>
                <w:highlight w:val="none"/>
              </w:rPr>
            </w:pPr>
          </w:p>
        </w:tc>
        <w:tc>
          <w:tcPr>
            <w:tcW w:w="1672" w:type="dxa"/>
            <w:tcBorders>
              <w:top w:val="single" w:color="auto" w:sz="4" w:space="0"/>
              <w:left w:val="single" w:color="auto" w:sz="4" w:space="0"/>
              <w:bottom w:val="single" w:color="auto" w:sz="4" w:space="0"/>
              <w:right w:val="single" w:color="auto" w:sz="4" w:space="0"/>
            </w:tcBorders>
            <w:vAlign w:val="center"/>
          </w:tcPr>
          <w:p w14:paraId="29F201D1">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1项</w:t>
            </w:r>
          </w:p>
        </w:tc>
        <w:tc>
          <w:tcPr>
            <w:tcW w:w="3107" w:type="dxa"/>
            <w:tcBorders>
              <w:top w:val="single" w:color="auto" w:sz="4" w:space="0"/>
              <w:left w:val="single" w:color="auto" w:sz="4" w:space="0"/>
              <w:bottom w:val="single" w:color="auto" w:sz="4" w:space="0"/>
              <w:right w:val="single" w:color="auto" w:sz="4" w:space="0"/>
            </w:tcBorders>
          </w:tcPr>
          <w:p w14:paraId="2225180B">
            <w:pPr>
              <w:spacing w:line="360" w:lineRule="auto"/>
              <w:contextualSpacing/>
              <w:rPr>
                <w:rFonts w:ascii="宋体" w:hAnsi="宋体" w:cs="仿宋_GB2312"/>
                <w:color w:val="auto"/>
                <w:sz w:val="24"/>
                <w:highlight w:val="none"/>
              </w:rPr>
            </w:pPr>
          </w:p>
        </w:tc>
        <w:tc>
          <w:tcPr>
            <w:tcW w:w="1184" w:type="dxa"/>
            <w:tcBorders>
              <w:top w:val="single" w:color="auto" w:sz="4" w:space="0"/>
              <w:left w:val="single" w:color="auto" w:sz="4" w:space="0"/>
              <w:bottom w:val="single" w:color="auto" w:sz="4" w:space="0"/>
              <w:right w:val="single" w:color="auto" w:sz="4" w:space="0"/>
            </w:tcBorders>
            <w:vAlign w:val="center"/>
          </w:tcPr>
          <w:p w14:paraId="6B275EC7">
            <w:pPr>
              <w:spacing w:line="360" w:lineRule="auto"/>
              <w:contextualSpacing/>
              <w:rPr>
                <w:rFonts w:ascii="宋体" w:hAnsi="宋体" w:cs="仿宋_GB2312"/>
                <w:color w:val="auto"/>
                <w:sz w:val="24"/>
                <w:highlight w:val="none"/>
              </w:rPr>
            </w:pPr>
          </w:p>
        </w:tc>
      </w:tr>
    </w:tbl>
    <w:p w14:paraId="47376985">
      <w:pPr>
        <w:spacing w:line="360" w:lineRule="auto"/>
        <w:contextualSpacing/>
        <w:jc w:val="left"/>
        <w:rPr>
          <w:rFonts w:ascii="宋体" w:hAnsi="宋体" w:cs="仿宋_GB2312"/>
          <w:color w:val="auto"/>
          <w:sz w:val="24"/>
          <w:highlight w:val="none"/>
        </w:rPr>
      </w:pPr>
    </w:p>
    <w:p w14:paraId="5FE2FDEB">
      <w:pPr>
        <w:spacing w:line="360" w:lineRule="auto"/>
        <w:contextualSpacing/>
        <w:jc w:val="left"/>
        <w:rPr>
          <w:rFonts w:ascii="宋体" w:hAnsi="宋体" w:cs="仿宋_GB2312"/>
          <w:color w:val="auto"/>
          <w:sz w:val="24"/>
          <w:highlight w:val="none"/>
        </w:rPr>
      </w:pPr>
      <w:r>
        <w:rPr>
          <w:rFonts w:hint="eastAsia" w:ascii="宋体" w:hAnsi="宋体" w:cs="仿宋_GB2312"/>
          <w:color w:val="auto"/>
          <w:sz w:val="24"/>
          <w:highlight w:val="none"/>
        </w:rPr>
        <w:t>注：</w:t>
      </w:r>
    </w:p>
    <w:p w14:paraId="19DB2368">
      <w:pPr>
        <w:spacing w:line="360" w:lineRule="auto"/>
        <w:ind w:firstLine="480" w:firstLineChars="200"/>
        <w:contextualSpacing/>
        <w:jc w:val="left"/>
        <w:rPr>
          <w:rFonts w:ascii="宋体" w:hAnsi="宋体" w:cs="仿宋_GB2312"/>
          <w:color w:val="auto"/>
          <w:sz w:val="24"/>
          <w:highlight w:val="none"/>
        </w:rPr>
      </w:pPr>
      <w:r>
        <w:rPr>
          <w:rFonts w:hint="eastAsia" w:ascii="宋体" w:hAnsi="宋体" w:cs="仿宋_GB2312"/>
          <w:color w:val="auto"/>
          <w:sz w:val="24"/>
          <w:highlight w:val="none"/>
        </w:rPr>
        <w:t>1.供应商的报价表必须加盖供应商电子签章并由法定代表人或者委托代理人签字或者电子签名，</w:t>
      </w:r>
      <w:r>
        <w:rPr>
          <w:rFonts w:hint="eastAsia" w:ascii="宋体" w:hAnsi="宋体" w:cs="仿宋_GB2312"/>
          <w:b/>
          <w:color w:val="auto"/>
          <w:sz w:val="24"/>
          <w:highlight w:val="none"/>
        </w:rPr>
        <w:t>否则其响应文件按无效处理</w:t>
      </w:r>
      <w:r>
        <w:rPr>
          <w:rFonts w:hint="eastAsia" w:ascii="宋体" w:hAnsi="宋体" w:cs="仿宋_GB2312"/>
          <w:color w:val="auto"/>
          <w:sz w:val="24"/>
          <w:highlight w:val="none"/>
        </w:rPr>
        <w:t>。</w:t>
      </w:r>
    </w:p>
    <w:p w14:paraId="0C9785CC">
      <w:pPr>
        <w:spacing w:line="360" w:lineRule="auto"/>
        <w:ind w:firstLine="480" w:firstLineChars="200"/>
        <w:contextualSpacing/>
        <w:jc w:val="left"/>
        <w:rPr>
          <w:rFonts w:ascii="宋体" w:hAnsi="宋体" w:cs="仿宋_GB2312"/>
          <w:b/>
          <w:color w:val="auto"/>
          <w:sz w:val="24"/>
          <w:highlight w:val="none"/>
        </w:rPr>
      </w:pPr>
      <w:r>
        <w:rPr>
          <w:rFonts w:hint="eastAsia" w:ascii="宋体" w:hAnsi="宋体" w:cs="仿宋_GB2312"/>
          <w:bCs/>
          <w:color w:val="auto"/>
          <w:sz w:val="24"/>
          <w:highlight w:val="none"/>
        </w:rPr>
        <w:t>2.</w:t>
      </w:r>
      <w:r>
        <w:rPr>
          <w:rFonts w:hint="eastAsia" w:ascii="宋体" w:hAnsi="宋体" w:cs="仿宋_GB2312"/>
          <w:color w:val="auto"/>
          <w:sz w:val="24"/>
          <w:highlight w:val="none"/>
        </w:rPr>
        <w:t>报价一经涂改，应在涂改处加盖供应商公章或者加盖电子签章或者由法定代表人或者授权委托人签字</w:t>
      </w:r>
      <w:r>
        <w:rPr>
          <w:rFonts w:hint="eastAsia" w:ascii="宋体" w:hAnsi="宋体"/>
          <w:color w:val="auto"/>
          <w:sz w:val="24"/>
          <w:highlight w:val="none"/>
        </w:rPr>
        <w:t>（或者电子签名）</w:t>
      </w:r>
      <w:r>
        <w:rPr>
          <w:rFonts w:hint="eastAsia" w:ascii="宋体" w:hAnsi="宋体" w:cs="仿宋_GB2312"/>
          <w:b/>
          <w:color w:val="auto"/>
          <w:sz w:val="24"/>
          <w:highlight w:val="none"/>
        </w:rPr>
        <w:t>，否则其响应文件按无效处理。</w:t>
      </w:r>
    </w:p>
    <w:p w14:paraId="328D8F07">
      <w:pPr>
        <w:spacing w:line="360" w:lineRule="auto"/>
        <w:ind w:firstLine="480" w:firstLineChars="200"/>
        <w:contextualSpacing/>
        <w:jc w:val="left"/>
        <w:rPr>
          <w:rFonts w:ascii="宋体" w:hAnsi="宋体" w:cs="仿宋_GB2312"/>
          <w:b/>
          <w:color w:val="auto"/>
          <w:sz w:val="24"/>
          <w:highlight w:val="none"/>
        </w:rPr>
      </w:pPr>
      <w:r>
        <w:rPr>
          <w:rFonts w:ascii="宋体" w:hAnsi="宋体" w:cs="仿宋_GB2312"/>
          <w:color w:val="auto"/>
          <w:sz w:val="24"/>
          <w:highlight w:val="none"/>
        </w:rPr>
        <w:t>3</w:t>
      </w:r>
      <w:r>
        <w:rPr>
          <w:rFonts w:hint="eastAsia" w:ascii="宋体" w:hAnsi="宋体" w:cs="仿宋_GB2312"/>
          <w:color w:val="auto"/>
          <w:sz w:val="24"/>
          <w:highlight w:val="none"/>
        </w:rPr>
        <w:t>.如为联合体竞标，“供应商名称”处必须列明联合体各方名称，标注联合体牵头人名称，</w:t>
      </w:r>
      <w:r>
        <w:rPr>
          <w:rFonts w:hint="eastAsia" w:ascii="宋体" w:hAnsi="宋体" w:cs="仿宋_GB2312"/>
          <w:b/>
          <w:color w:val="auto"/>
          <w:sz w:val="24"/>
          <w:highlight w:val="none"/>
        </w:rPr>
        <w:t>否则其响应文件按无效处理。</w:t>
      </w:r>
    </w:p>
    <w:p w14:paraId="343933E6">
      <w:pPr>
        <w:spacing w:line="360" w:lineRule="auto"/>
        <w:ind w:firstLine="480" w:firstLineChars="200"/>
        <w:contextualSpacing/>
        <w:jc w:val="left"/>
        <w:rPr>
          <w:rFonts w:ascii="宋体" w:hAnsi="宋体" w:cs="仿宋_GB2312"/>
          <w:color w:val="auto"/>
          <w:sz w:val="24"/>
          <w:highlight w:val="none"/>
        </w:rPr>
      </w:pPr>
      <w:r>
        <w:rPr>
          <w:rFonts w:ascii="宋体" w:hAnsi="宋体" w:cs="仿宋_GB2312"/>
          <w:color w:val="auto"/>
          <w:sz w:val="24"/>
          <w:highlight w:val="none"/>
        </w:rPr>
        <w:t>4</w:t>
      </w:r>
      <w:r>
        <w:rPr>
          <w:rFonts w:hint="eastAsia" w:ascii="宋体" w:hAnsi="宋体" w:cs="仿宋_GB2312"/>
          <w:color w:val="auto"/>
          <w:sz w:val="24"/>
          <w:highlight w:val="none"/>
        </w:rPr>
        <w:t>. 如为联合体竞标，</w:t>
      </w:r>
      <w:r>
        <w:rPr>
          <w:rFonts w:hint="eastAsia" w:ascii="宋体" w:hAnsi="宋体"/>
          <w:color w:val="auto"/>
          <w:spacing w:val="-6"/>
          <w:sz w:val="24"/>
          <w:highlight w:val="none"/>
        </w:rPr>
        <w:t>盖章处须加盖联合体牵头人电子签章</w:t>
      </w:r>
      <w:r>
        <w:rPr>
          <w:rFonts w:hint="eastAsia" w:ascii="宋体" w:hAnsi="宋体" w:cs="仿宋_GB2312"/>
          <w:color w:val="auto"/>
          <w:sz w:val="24"/>
          <w:highlight w:val="none"/>
        </w:rPr>
        <w:t>，</w:t>
      </w:r>
      <w:r>
        <w:rPr>
          <w:rFonts w:hint="eastAsia" w:ascii="宋体" w:hAnsi="宋体" w:cs="仿宋_GB2312"/>
          <w:b/>
          <w:color w:val="auto"/>
          <w:sz w:val="24"/>
          <w:highlight w:val="none"/>
        </w:rPr>
        <w:t>否则其响应文件按无效处理。</w:t>
      </w:r>
    </w:p>
    <w:p w14:paraId="356B774E">
      <w:pPr>
        <w:spacing w:line="360" w:lineRule="auto"/>
        <w:ind w:firstLine="480" w:firstLineChars="200"/>
        <w:contextualSpacing/>
        <w:rPr>
          <w:rFonts w:hint="eastAsia" w:ascii="宋体" w:hAnsi="宋体" w:eastAsia="宋体" w:cs="仿宋_GB2312"/>
          <w:b/>
          <w:color w:val="auto"/>
          <w:sz w:val="24"/>
          <w:highlight w:val="none"/>
        </w:rPr>
      </w:pPr>
      <w:r>
        <w:rPr>
          <w:rFonts w:hint="eastAsia" w:ascii="宋体" w:hAnsi="宋体" w:eastAsia="宋体" w:cs="仿宋_GB2312"/>
          <w:color w:val="auto"/>
          <w:sz w:val="24"/>
          <w:highlight w:val="none"/>
        </w:rPr>
        <w:t>5.如有多分标，分别列明各分标的报价表，</w:t>
      </w:r>
      <w:r>
        <w:rPr>
          <w:rFonts w:hint="eastAsia" w:ascii="宋体" w:hAnsi="宋体" w:eastAsia="宋体" w:cs="仿宋_GB2312"/>
          <w:b/>
          <w:color w:val="auto"/>
          <w:sz w:val="24"/>
          <w:highlight w:val="none"/>
        </w:rPr>
        <w:t>否则其响应文件按无效处理。</w:t>
      </w:r>
    </w:p>
    <w:p w14:paraId="70933A2B">
      <w:pPr>
        <w:spacing w:line="360" w:lineRule="auto"/>
        <w:ind w:right="-817" w:rightChars="-389"/>
        <w:contextualSpacing/>
        <w:rPr>
          <w:rFonts w:ascii="宋体" w:hAnsi="宋体" w:cs="仿宋_GB2312"/>
          <w:color w:val="auto"/>
          <w:sz w:val="24"/>
          <w:highlight w:val="none"/>
        </w:rPr>
      </w:pPr>
    </w:p>
    <w:p w14:paraId="0E4AFDE1">
      <w:pPr>
        <w:spacing w:line="360" w:lineRule="auto"/>
        <w:ind w:right="-817" w:rightChars="-389" w:firstLine="2640" w:firstLineChars="1100"/>
        <w:contextualSpacing/>
        <w:rPr>
          <w:rFonts w:ascii="宋体" w:hAnsi="宋体" w:cs="仿宋_GB2312"/>
          <w:color w:val="auto"/>
          <w:sz w:val="24"/>
          <w:highlight w:val="none"/>
        </w:rPr>
      </w:pPr>
      <w:r>
        <w:rPr>
          <w:rFonts w:hint="eastAsia" w:ascii="宋体" w:hAnsi="宋体" w:cs="仿宋_GB2312"/>
          <w:color w:val="auto"/>
          <w:sz w:val="24"/>
          <w:highlight w:val="none"/>
        </w:rPr>
        <w:t xml:space="preserve">法定代表人或者委托代理人（签字或者电子签名）：                    </w:t>
      </w:r>
    </w:p>
    <w:p w14:paraId="41C46987">
      <w:pPr>
        <w:spacing w:line="360" w:lineRule="auto"/>
        <w:ind w:right="-817" w:rightChars="-389" w:firstLine="2640" w:firstLineChars="11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3E3005DC">
      <w:pPr>
        <w:spacing w:line="360" w:lineRule="auto"/>
        <w:ind w:right="-817" w:rightChars="-389" w:firstLine="4080" w:firstLineChars="17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26A76595">
      <w:pPr>
        <w:spacing w:line="360" w:lineRule="auto"/>
        <w:contextualSpacing/>
        <w:jc w:val="center"/>
        <w:rPr>
          <w:rFonts w:ascii="宋体" w:hAnsi="宋体" w:cs="仿宋_GB2312"/>
          <w:b/>
          <w:color w:val="auto"/>
          <w:sz w:val="32"/>
          <w:szCs w:val="32"/>
          <w:highlight w:val="none"/>
        </w:rPr>
      </w:pPr>
      <w:r>
        <w:rPr>
          <w:rFonts w:ascii="宋体" w:hAnsi="宋体" w:cs="仿宋_GB2312"/>
          <w:color w:val="auto"/>
          <w:sz w:val="24"/>
          <w:highlight w:val="none"/>
        </w:rPr>
        <w:br w:type="page"/>
      </w:r>
      <w:r>
        <w:rPr>
          <w:rFonts w:hint="eastAsia" w:ascii="宋体" w:hAnsi="宋体" w:cs="宋体"/>
          <w:b/>
          <w:color w:val="auto"/>
          <w:sz w:val="32"/>
          <w:szCs w:val="32"/>
          <w:highlight w:val="none"/>
        </w:rPr>
        <w:t>已标价工程量清单</w:t>
      </w:r>
    </w:p>
    <w:p w14:paraId="2CCC4E99">
      <w:pPr>
        <w:spacing w:line="360" w:lineRule="auto"/>
        <w:ind w:firstLine="480" w:firstLineChars="200"/>
        <w:contextualSpacing/>
        <w:jc w:val="left"/>
        <w:rPr>
          <w:rFonts w:hint="default" w:ascii="宋体" w:hAnsi="宋体" w:eastAsia="宋体" w:cs="宋体"/>
          <w:color w:val="auto"/>
          <w:sz w:val="24"/>
          <w:szCs w:val="32"/>
          <w:highlight w:val="none"/>
          <w:lang w:val="en-US" w:eastAsia="zh-CN"/>
        </w:rPr>
      </w:pPr>
      <w:r>
        <w:rPr>
          <w:rFonts w:hint="eastAsia" w:ascii="宋体" w:hAnsi="宋体" w:cs="宋体"/>
          <w:color w:val="auto"/>
          <w:sz w:val="24"/>
          <w:szCs w:val="32"/>
          <w:highlight w:val="none"/>
          <w:lang w:val="en-US" w:eastAsia="zh-CN"/>
        </w:rPr>
        <w:t>竞标人按照</w:t>
      </w:r>
      <w:r>
        <w:rPr>
          <w:rFonts w:hint="eastAsia" w:cs="宋体"/>
          <w:color w:val="auto"/>
          <w:sz w:val="24"/>
          <w:szCs w:val="32"/>
          <w:highlight w:val="none"/>
        </w:rPr>
        <w:t>第五章</w:t>
      </w:r>
      <w:r>
        <w:rPr>
          <w:rFonts w:hint="eastAsia"/>
          <w:color w:val="auto"/>
          <w:sz w:val="24"/>
          <w:szCs w:val="32"/>
          <w:highlight w:val="none"/>
        </w:rPr>
        <w:t>“工程量清单</w:t>
      </w:r>
      <w:r>
        <w:rPr>
          <w:rFonts w:hint="eastAsia" w:cs="宋体"/>
          <w:color w:val="auto"/>
          <w:sz w:val="24"/>
          <w:szCs w:val="32"/>
          <w:highlight w:val="none"/>
        </w:rPr>
        <w:t>”</w:t>
      </w:r>
      <w:r>
        <w:rPr>
          <w:rFonts w:hint="eastAsia" w:cs="宋体"/>
          <w:color w:val="auto"/>
          <w:sz w:val="24"/>
          <w:szCs w:val="32"/>
          <w:highlight w:val="none"/>
          <w:lang w:val="en-US" w:eastAsia="zh-CN"/>
        </w:rPr>
        <w:t>的要求逐项填报工程量清单。</w:t>
      </w:r>
    </w:p>
    <w:p w14:paraId="0E943EAF">
      <w:pPr>
        <w:spacing w:line="360" w:lineRule="auto"/>
        <w:ind w:right="420"/>
        <w:contextualSpacing/>
        <w:jc w:val="center"/>
        <w:rPr>
          <w:rFonts w:ascii="宋体" w:hAnsi="宋体"/>
          <w:b/>
          <w:bCs/>
          <w:color w:val="auto"/>
          <w:sz w:val="32"/>
          <w:szCs w:val="32"/>
          <w:highlight w:val="none"/>
        </w:rPr>
      </w:pPr>
      <w:r>
        <w:rPr>
          <w:rFonts w:ascii="宋体" w:hAnsi="宋体"/>
          <w:b/>
          <w:bCs/>
          <w:color w:val="auto"/>
          <w:sz w:val="32"/>
          <w:szCs w:val="32"/>
          <w:highlight w:val="none"/>
        </w:rPr>
        <w:br w:type="page"/>
      </w:r>
    </w:p>
    <w:p w14:paraId="54EAFF70">
      <w:pPr>
        <w:spacing w:line="360" w:lineRule="auto"/>
        <w:ind w:firstLine="643" w:firstLineChars="200"/>
        <w:contextualSpacing/>
        <w:jc w:val="center"/>
        <w:rPr>
          <w:rFonts w:ascii="宋体" w:hAnsi="宋体"/>
          <w:b/>
          <w:color w:val="auto"/>
          <w:sz w:val="32"/>
          <w:szCs w:val="32"/>
          <w:highlight w:val="none"/>
        </w:rPr>
      </w:pPr>
      <w:r>
        <w:rPr>
          <w:rFonts w:hint="eastAsia" w:ascii="宋体" w:hAnsi="宋体"/>
          <w:b/>
          <w:bCs/>
          <w:color w:val="auto"/>
          <w:sz w:val="32"/>
          <w:szCs w:val="32"/>
          <w:highlight w:val="none"/>
        </w:rPr>
        <w:t>三、</w:t>
      </w:r>
      <w:r>
        <w:rPr>
          <w:rFonts w:hint="eastAsia" w:ascii="宋体" w:hAnsi="宋体"/>
          <w:b/>
          <w:color w:val="auto"/>
          <w:sz w:val="32"/>
          <w:szCs w:val="32"/>
          <w:highlight w:val="none"/>
        </w:rPr>
        <w:t>商务技术文件格式</w:t>
      </w:r>
    </w:p>
    <w:p w14:paraId="112D29E4">
      <w:pPr>
        <w:snapToGrid w:val="0"/>
        <w:spacing w:before="120" w:beforeLines="50" w:after="50" w:line="360" w:lineRule="auto"/>
        <w:jc w:val="left"/>
        <w:rPr>
          <w:rFonts w:ascii="宋体" w:hAnsi="宋体"/>
          <w:b/>
          <w:color w:val="auto"/>
          <w:sz w:val="32"/>
          <w:szCs w:val="32"/>
          <w:highlight w:val="none"/>
        </w:rPr>
      </w:pPr>
      <w:r>
        <w:rPr>
          <w:rFonts w:hint="eastAsia" w:ascii="宋体" w:hAnsi="宋体"/>
          <w:b/>
          <w:color w:val="auto"/>
          <w:sz w:val="32"/>
          <w:szCs w:val="32"/>
          <w:highlight w:val="none"/>
        </w:rPr>
        <w:t>1.商务技术文件封面格式</w:t>
      </w:r>
    </w:p>
    <w:p w14:paraId="1B817B91">
      <w:pPr>
        <w:snapToGrid w:val="0"/>
        <w:spacing w:before="120" w:beforeLines="50" w:after="50"/>
        <w:rPr>
          <w:rFonts w:ascii="宋体" w:hAnsi="宋体"/>
          <w:bCs/>
          <w:color w:val="auto"/>
          <w:sz w:val="32"/>
          <w:szCs w:val="20"/>
          <w:highlight w:val="none"/>
        </w:rPr>
      </w:pPr>
    </w:p>
    <w:p w14:paraId="5973A461">
      <w:pPr>
        <w:snapToGrid w:val="0"/>
        <w:spacing w:before="120" w:beforeLines="50" w:after="50"/>
        <w:jc w:val="center"/>
        <w:rPr>
          <w:rFonts w:ascii="宋体" w:hAnsi="宋体"/>
          <w:color w:val="auto"/>
          <w:sz w:val="24"/>
          <w:szCs w:val="20"/>
          <w:highlight w:val="none"/>
        </w:rPr>
      </w:pPr>
      <w:r>
        <w:rPr>
          <w:rFonts w:hint="eastAsia" w:ascii="宋体" w:hAnsi="宋体"/>
          <w:color w:val="auto"/>
          <w:sz w:val="44"/>
          <w:szCs w:val="44"/>
          <w:highlight w:val="none"/>
        </w:rPr>
        <w:t>电 子 响 应 文 件</w:t>
      </w:r>
    </w:p>
    <w:p w14:paraId="7FE0284E">
      <w:pPr>
        <w:snapToGrid w:val="0"/>
        <w:spacing w:before="120" w:beforeLines="50" w:after="50"/>
        <w:rPr>
          <w:rFonts w:ascii="宋体" w:hAnsi="宋体"/>
          <w:color w:val="auto"/>
          <w:sz w:val="24"/>
          <w:szCs w:val="20"/>
          <w:highlight w:val="none"/>
        </w:rPr>
      </w:pPr>
    </w:p>
    <w:p w14:paraId="6B8065CD">
      <w:pPr>
        <w:snapToGrid w:val="0"/>
        <w:spacing w:before="120" w:beforeLines="50" w:after="50"/>
        <w:rPr>
          <w:rFonts w:ascii="宋体" w:hAnsi="宋体"/>
          <w:color w:val="auto"/>
          <w:sz w:val="24"/>
          <w:szCs w:val="20"/>
          <w:highlight w:val="none"/>
        </w:rPr>
      </w:pPr>
    </w:p>
    <w:p w14:paraId="3B68EDF9">
      <w:pPr>
        <w:snapToGrid w:val="0"/>
        <w:spacing w:before="120"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  务  技  术  文  件</w:t>
      </w:r>
    </w:p>
    <w:p w14:paraId="58045B07">
      <w:pPr>
        <w:snapToGrid w:val="0"/>
        <w:spacing w:before="120" w:beforeLines="50" w:after="50"/>
        <w:rPr>
          <w:rFonts w:ascii="宋体" w:hAnsi="宋体"/>
          <w:bCs/>
          <w:color w:val="auto"/>
          <w:sz w:val="24"/>
          <w:szCs w:val="20"/>
          <w:highlight w:val="none"/>
        </w:rPr>
      </w:pPr>
    </w:p>
    <w:p w14:paraId="48004E4B">
      <w:pPr>
        <w:snapToGrid w:val="0"/>
        <w:spacing w:before="120" w:beforeLines="50" w:after="50"/>
        <w:rPr>
          <w:rFonts w:ascii="宋体" w:hAnsi="宋体"/>
          <w:bCs/>
          <w:color w:val="auto"/>
          <w:sz w:val="24"/>
          <w:szCs w:val="20"/>
          <w:highlight w:val="none"/>
        </w:rPr>
      </w:pPr>
    </w:p>
    <w:p w14:paraId="7C59D5E9">
      <w:pPr>
        <w:snapToGrid w:val="0"/>
        <w:spacing w:before="120" w:beforeLines="50" w:after="50"/>
        <w:rPr>
          <w:rFonts w:ascii="宋体" w:hAnsi="宋体"/>
          <w:bCs/>
          <w:color w:val="auto"/>
          <w:sz w:val="24"/>
          <w:szCs w:val="20"/>
          <w:highlight w:val="none"/>
        </w:rPr>
      </w:pPr>
    </w:p>
    <w:p w14:paraId="5956D3B9">
      <w:pPr>
        <w:snapToGrid w:val="0"/>
        <w:spacing w:before="120" w:beforeLines="50" w:after="50"/>
        <w:rPr>
          <w:rFonts w:ascii="宋体" w:hAnsi="宋体"/>
          <w:bCs/>
          <w:color w:val="auto"/>
          <w:sz w:val="24"/>
          <w:szCs w:val="20"/>
          <w:highlight w:val="none"/>
        </w:rPr>
      </w:pPr>
    </w:p>
    <w:p w14:paraId="6DA75BD4">
      <w:pPr>
        <w:snapToGrid w:val="0"/>
        <w:spacing w:before="120" w:beforeLines="50" w:after="50"/>
        <w:rPr>
          <w:rFonts w:ascii="宋体" w:hAnsi="宋体"/>
          <w:bCs/>
          <w:color w:val="auto"/>
          <w:sz w:val="24"/>
          <w:szCs w:val="20"/>
          <w:highlight w:val="none"/>
        </w:rPr>
      </w:pPr>
    </w:p>
    <w:p w14:paraId="2C9A0889">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1354F062">
      <w:pPr>
        <w:snapToGrid w:val="0"/>
        <w:spacing w:before="120" w:beforeLines="50" w:after="50"/>
        <w:ind w:firstLine="720" w:firstLineChars="225"/>
        <w:rPr>
          <w:rFonts w:ascii="宋体" w:hAnsi="宋体" w:cs="仿宋_GB2312"/>
          <w:bCs/>
          <w:color w:val="auto"/>
          <w:sz w:val="32"/>
          <w:szCs w:val="32"/>
          <w:highlight w:val="none"/>
        </w:rPr>
      </w:pPr>
    </w:p>
    <w:p w14:paraId="704F9DDD">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30560326">
      <w:pPr>
        <w:snapToGrid w:val="0"/>
        <w:spacing w:before="120" w:beforeLines="50" w:after="50"/>
        <w:ind w:firstLine="720" w:firstLineChars="225"/>
        <w:rPr>
          <w:rFonts w:ascii="宋体" w:hAnsi="宋体" w:cs="仿宋_GB2312"/>
          <w:bCs/>
          <w:color w:val="auto"/>
          <w:sz w:val="32"/>
          <w:szCs w:val="32"/>
          <w:highlight w:val="none"/>
        </w:rPr>
      </w:pPr>
    </w:p>
    <w:p w14:paraId="673631E7">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70F449A4">
      <w:pPr>
        <w:snapToGrid w:val="0"/>
        <w:spacing w:before="120" w:beforeLines="50" w:after="50"/>
        <w:ind w:firstLine="720" w:firstLineChars="225"/>
        <w:rPr>
          <w:rFonts w:ascii="宋体" w:hAnsi="宋体" w:cs="仿宋_GB2312"/>
          <w:bCs/>
          <w:color w:val="auto"/>
          <w:sz w:val="32"/>
          <w:szCs w:val="32"/>
          <w:highlight w:val="none"/>
        </w:rPr>
      </w:pPr>
    </w:p>
    <w:p w14:paraId="689A756A">
      <w:pPr>
        <w:pStyle w:val="7"/>
        <w:snapToGrid w:val="0"/>
        <w:spacing w:before="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05C7566D">
      <w:pPr>
        <w:pStyle w:val="7"/>
        <w:snapToGrid w:val="0"/>
        <w:spacing w:before="50" w:after="50"/>
        <w:ind w:firstLine="640" w:firstLineChars="200"/>
        <w:rPr>
          <w:rFonts w:ascii="宋体" w:hAnsi="宋体" w:cs="仿宋_GB2312"/>
          <w:bCs/>
          <w:color w:val="auto"/>
          <w:sz w:val="32"/>
          <w:szCs w:val="32"/>
          <w:highlight w:val="none"/>
        </w:rPr>
      </w:pPr>
    </w:p>
    <w:p w14:paraId="665C8A55">
      <w:pPr>
        <w:pStyle w:val="7"/>
        <w:snapToGrid w:val="0"/>
        <w:spacing w:before="50" w:after="50"/>
        <w:ind w:firstLine="720" w:firstLineChars="225"/>
        <w:rPr>
          <w:rFonts w:ascii="宋体" w:hAnsi="宋体" w:cs="仿宋_GB2312"/>
          <w:bCs/>
          <w:color w:val="auto"/>
          <w:sz w:val="32"/>
          <w:szCs w:val="32"/>
          <w:highlight w:val="none"/>
        </w:rPr>
      </w:pPr>
    </w:p>
    <w:p w14:paraId="5C43B25C">
      <w:pPr>
        <w:pStyle w:val="7"/>
        <w:snapToGrid w:val="0"/>
        <w:spacing w:before="50" w:after="50"/>
        <w:ind w:firstLine="0"/>
        <w:rPr>
          <w:rFonts w:ascii="宋体" w:hAnsi="宋体" w:cs="仿宋_GB2312"/>
          <w:bCs/>
          <w:color w:val="auto"/>
          <w:sz w:val="32"/>
          <w:szCs w:val="32"/>
          <w:highlight w:val="none"/>
        </w:rPr>
      </w:pPr>
    </w:p>
    <w:p w14:paraId="43A92FD8">
      <w:pPr>
        <w:pStyle w:val="7"/>
        <w:snapToGrid w:val="0"/>
        <w:spacing w:before="50" w:after="50"/>
        <w:ind w:firstLine="1280" w:firstLineChars="400"/>
        <w:rPr>
          <w:rFonts w:ascii="宋体" w:hAnsi="宋体" w:cs="仿宋_GB2312"/>
          <w:bCs/>
          <w:color w:val="auto"/>
          <w:sz w:val="32"/>
          <w:szCs w:val="32"/>
          <w:highlight w:val="none"/>
        </w:rPr>
      </w:pPr>
    </w:p>
    <w:p w14:paraId="778BDBE2">
      <w:pPr>
        <w:snapToGrid w:val="0"/>
        <w:spacing w:before="120"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71A37583">
      <w:pPr>
        <w:snapToGrid w:val="0"/>
        <w:spacing w:before="120" w:beforeLines="50" w:after="50" w:line="360" w:lineRule="auto"/>
        <w:ind w:right="480" w:firstLine="240" w:firstLineChars="100"/>
        <w:jc w:val="left"/>
        <w:rPr>
          <w:rFonts w:ascii="宋体" w:hAnsi="宋体"/>
          <w:b/>
          <w:bCs/>
          <w:color w:val="auto"/>
          <w:sz w:val="24"/>
          <w:highlight w:val="none"/>
        </w:rPr>
      </w:pPr>
      <w:r>
        <w:rPr>
          <w:rFonts w:ascii="宋体" w:hAnsi="宋体"/>
          <w:color w:val="auto"/>
          <w:sz w:val="24"/>
          <w:highlight w:val="none"/>
        </w:rPr>
        <w:br w:type="page"/>
      </w:r>
      <w:r>
        <w:rPr>
          <w:rFonts w:hint="eastAsia" w:ascii="宋体" w:hAnsi="宋体"/>
          <w:b/>
          <w:bCs/>
          <w:color w:val="auto"/>
          <w:sz w:val="32"/>
          <w:szCs w:val="32"/>
          <w:highlight w:val="none"/>
        </w:rPr>
        <w:t>2.商务技术文件目录</w:t>
      </w:r>
    </w:p>
    <w:p w14:paraId="3E676534">
      <w:pPr>
        <w:snapToGrid w:val="0"/>
        <w:spacing w:before="120" w:beforeLines="50" w:after="50" w:line="360" w:lineRule="auto"/>
        <w:ind w:firstLine="640" w:firstLineChars="200"/>
        <w:rPr>
          <w:rFonts w:ascii="宋体" w:hAnsi="宋体"/>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p>
    <w:p w14:paraId="373D690E">
      <w:pPr>
        <w:spacing w:line="400" w:lineRule="exact"/>
        <w:rPr>
          <w:rFonts w:ascii="仿宋_GB2312" w:hAnsi="仿宋_GB2312" w:eastAsia="仿宋_GB2312" w:cs="仿宋_GB2312"/>
          <w:color w:val="auto"/>
          <w:sz w:val="32"/>
          <w:szCs w:val="32"/>
          <w:highlight w:val="none"/>
        </w:rPr>
      </w:pPr>
    </w:p>
    <w:p w14:paraId="08162B23">
      <w:pPr>
        <w:spacing w:line="520" w:lineRule="exact"/>
        <w:jc w:val="center"/>
        <w:rPr>
          <w:rFonts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方正小标宋简体" w:hAnsi="方正小标宋简体" w:eastAsia="方正小标宋简体" w:cs="方正小标宋简体"/>
          <w:color w:val="auto"/>
          <w:sz w:val="44"/>
          <w:szCs w:val="44"/>
          <w:highlight w:val="none"/>
        </w:rPr>
        <w:t>无串通竞标行为的承诺函</w:t>
      </w:r>
    </w:p>
    <w:p w14:paraId="7D986FF6">
      <w:pPr>
        <w:spacing w:line="360" w:lineRule="auto"/>
        <w:ind w:firstLine="640" w:firstLineChars="200"/>
        <w:contextualSpacing/>
        <w:rPr>
          <w:rFonts w:ascii="仿宋_GB2312" w:hAnsi="仿宋_GB2312" w:eastAsia="仿宋_GB2312" w:cs="仿宋_GB2312"/>
          <w:color w:val="auto"/>
          <w:sz w:val="32"/>
          <w:szCs w:val="32"/>
          <w:highlight w:val="none"/>
        </w:rPr>
      </w:pPr>
    </w:p>
    <w:p w14:paraId="6B1D9494">
      <w:pPr>
        <w:spacing w:line="360" w:lineRule="auto"/>
        <w:ind w:firstLine="482" w:firstLineChars="200"/>
        <w:contextualSpacing/>
        <w:rPr>
          <w:rFonts w:ascii="宋体" w:hAnsi="宋体" w:cs="仿宋_GB2312"/>
          <w:b/>
          <w:bCs/>
          <w:color w:val="auto"/>
          <w:sz w:val="24"/>
          <w:highlight w:val="none"/>
        </w:rPr>
      </w:pPr>
      <w:r>
        <w:rPr>
          <w:rFonts w:hint="eastAsia" w:ascii="宋体" w:hAnsi="宋体" w:cs="仿宋_GB2312"/>
          <w:b/>
          <w:bCs/>
          <w:color w:val="auto"/>
          <w:sz w:val="24"/>
          <w:highlight w:val="none"/>
        </w:rPr>
        <w:t>一、我方承诺无下列相互串通竞标的情形：</w:t>
      </w:r>
    </w:p>
    <w:p w14:paraId="11107425">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 xml:space="preserve">1.不同供应商的响应文件由同一单位或者个人编制； </w:t>
      </w:r>
    </w:p>
    <w:p w14:paraId="179F617C">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2.不同供应商委托同一单位或者个人办理竞标事宜；</w:t>
      </w:r>
    </w:p>
    <w:p w14:paraId="68F00CA2">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3.不同供应商的响应文件载明的项目管理员为同一个人；</w:t>
      </w:r>
    </w:p>
    <w:p w14:paraId="2D2779BE">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4.不</w:t>
      </w:r>
      <w:r>
        <w:rPr>
          <w:rFonts w:hint="eastAsia" w:ascii="宋体" w:hAnsi="宋体" w:cs="仿宋_GB2312"/>
          <w:color w:val="auto"/>
          <w:spacing w:val="-6"/>
          <w:sz w:val="24"/>
          <w:highlight w:val="none"/>
        </w:rPr>
        <w:t>同供应商的响应文件异常一致或者竞标报价呈规律性差异；</w:t>
      </w:r>
    </w:p>
    <w:p w14:paraId="45CE1ED2">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5.不同供应商的响应文件相互混装；</w:t>
      </w:r>
    </w:p>
    <w:p w14:paraId="2678FA6B">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6.不同供应商的磋商保证金从同一单位或者个人账户转出。</w:t>
      </w:r>
    </w:p>
    <w:p w14:paraId="279712EC">
      <w:pPr>
        <w:spacing w:line="360" w:lineRule="auto"/>
        <w:ind w:firstLine="482" w:firstLineChars="200"/>
        <w:contextualSpacing/>
        <w:rPr>
          <w:rFonts w:ascii="宋体" w:hAnsi="宋体" w:cs="仿宋_GB2312"/>
          <w:b/>
          <w:bCs/>
          <w:color w:val="auto"/>
          <w:sz w:val="24"/>
          <w:highlight w:val="none"/>
        </w:rPr>
      </w:pPr>
      <w:r>
        <w:rPr>
          <w:rFonts w:hint="eastAsia" w:ascii="宋体" w:hAnsi="宋体" w:cs="仿宋_GB2312"/>
          <w:b/>
          <w:bCs/>
          <w:color w:val="auto"/>
          <w:sz w:val="24"/>
          <w:highlight w:val="none"/>
        </w:rPr>
        <w:t>二、我方承诺无下列恶意串通的情形：</w:t>
      </w:r>
    </w:p>
    <w:p w14:paraId="5D9A4637">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1.供应商直接或者间接从采购人或者采购代理机构处获得其他供应商的相关信息并修改其响应文件；</w:t>
      </w:r>
    </w:p>
    <w:p w14:paraId="6F35D7E3">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2.供应商按照采购人或者采购代理机构的授意撤换、修改响应文件；</w:t>
      </w:r>
    </w:p>
    <w:p w14:paraId="6F85DCAD">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3.供</w:t>
      </w:r>
      <w:r>
        <w:rPr>
          <w:rFonts w:hint="eastAsia" w:ascii="宋体" w:hAnsi="宋体" w:cs="仿宋_GB2312"/>
          <w:color w:val="auto"/>
          <w:spacing w:val="-6"/>
          <w:sz w:val="24"/>
          <w:highlight w:val="none"/>
        </w:rPr>
        <w:t>应商之间协商报价、技术方案等响应文件的实质性内容；</w:t>
      </w:r>
    </w:p>
    <w:p w14:paraId="2033059E">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4.属于同一集团、协会、商会等组织成员的供应商按照该组织要求协同参加政府采购活动；</w:t>
      </w:r>
    </w:p>
    <w:p w14:paraId="63606F86">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5.供应商之间事先约定一致抬高或者压低竞标报价，或者在竞争性磋商项目中事先约定轮流以高价位或者低价位成交，或者事先约定由某一特定供应商成交，然后再参加竞标；</w:t>
      </w:r>
    </w:p>
    <w:p w14:paraId="05AAAC63">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6.供应商之间商定部分供应商放弃参加政府采购活动或者放弃成交；</w:t>
      </w:r>
    </w:p>
    <w:p w14:paraId="44A98921">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7.供应商与采购人或者采购代理机构之间、供应商相互之间，为</w:t>
      </w:r>
      <w:r>
        <w:rPr>
          <w:rFonts w:hint="eastAsia" w:ascii="宋体" w:hAnsi="宋体" w:cs="仿宋_GB2312"/>
          <w:color w:val="auto"/>
          <w:spacing w:val="-6"/>
          <w:sz w:val="24"/>
          <w:highlight w:val="none"/>
        </w:rPr>
        <w:t>谋求特定供应商成交或者排斥其他供应商的其他串通行为。</w:t>
      </w:r>
    </w:p>
    <w:p w14:paraId="2E946146">
      <w:pPr>
        <w:spacing w:line="360" w:lineRule="auto"/>
        <w:ind w:firstLine="480" w:firstLineChars="200"/>
        <w:contextualSpacing/>
        <w:rPr>
          <w:rFonts w:ascii="宋体" w:hAnsi="宋体" w:cs="仿宋_GB2312"/>
          <w:color w:val="auto"/>
          <w:sz w:val="24"/>
          <w:highlight w:val="none"/>
        </w:rPr>
      </w:pPr>
    </w:p>
    <w:p w14:paraId="51ADAD49">
      <w:pPr>
        <w:spacing w:line="360" w:lineRule="auto"/>
        <w:ind w:firstLine="482" w:firstLineChars="200"/>
        <w:contextualSpacing/>
        <w:rPr>
          <w:rFonts w:ascii="宋体" w:hAnsi="宋体" w:cs="仿宋_GB2312"/>
          <w:b/>
          <w:bCs/>
          <w:color w:val="auto"/>
          <w:sz w:val="24"/>
          <w:highlight w:val="none"/>
        </w:rPr>
      </w:pPr>
      <w:r>
        <w:rPr>
          <w:rFonts w:hint="eastAsia" w:ascii="宋体" w:hAnsi="宋体" w:cs="仿宋_GB2312"/>
          <w:b/>
          <w:bCs/>
          <w:color w:val="auto"/>
          <w:sz w:val="24"/>
          <w:highlight w:val="none"/>
        </w:rPr>
        <w:t>以上情形一经核查属实，我方愿意承担一切后果，并不再寻求任何旨在减轻或者免除法律责任的辩解。</w:t>
      </w:r>
    </w:p>
    <w:p w14:paraId="6750FAAB">
      <w:pPr>
        <w:spacing w:line="360" w:lineRule="auto"/>
        <w:contextualSpacing/>
        <w:rPr>
          <w:rFonts w:ascii="宋体" w:hAnsi="宋体" w:cs="仿宋_GB2312"/>
          <w:color w:val="auto"/>
          <w:sz w:val="24"/>
          <w:highlight w:val="none"/>
        </w:rPr>
      </w:pPr>
    </w:p>
    <w:p w14:paraId="1758B321">
      <w:pPr>
        <w:spacing w:line="360" w:lineRule="auto"/>
        <w:ind w:firstLine="3600" w:firstLineChars="1500"/>
        <w:contextualSpacing/>
        <w:rPr>
          <w:rFonts w:ascii="宋体" w:hAnsi="宋体" w:cs="仿宋_GB2312"/>
          <w:color w:val="auto"/>
          <w:sz w:val="24"/>
          <w:highlight w:val="none"/>
        </w:rPr>
      </w:pPr>
      <w:r>
        <w:rPr>
          <w:rFonts w:hint="eastAsia" w:ascii="宋体" w:hAnsi="宋体" w:cs="仿宋_GB2312"/>
          <w:color w:val="auto"/>
          <w:sz w:val="24"/>
          <w:highlight w:val="none"/>
        </w:rPr>
        <w:t>供应商（电子签章）：</w:t>
      </w:r>
    </w:p>
    <w:p w14:paraId="61EDCCB0">
      <w:pPr>
        <w:spacing w:line="360" w:lineRule="auto"/>
        <w:ind w:firstLine="480" w:firstLineChars="200"/>
        <w:contextualSpacing/>
        <w:jc w:val="center"/>
        <w:rPr>
          <w:rFonts w:ascii="仿宋_GB2312" w:hAnsi="仿宋_GB2312" w:eastAsia="仿宋_GB2312" w:cs="仿宋_GB2312"/>
          <w:color w:val="auto"/>
          <w:sz w:val="32"/>
          <w:szCs w:val="32"/>
          <w:highlight w:val="none"/>
        </w:rPr>
      </w:pPr>
      <w:r>
        <w:rPr>
          <w:rFonts w:hint="eastAsia" w:ascii="宋体" w:hAnsi="宋体" w:cs="仿宋_GB2312"/>
          <w:color w:val="auto"/>
          <w:sz w:val="24"/>
          <w:highlight w:val="none"/>
        </w:rPr>
        <w:t xml:space="preserve">                               年   月   日</w:t>
      </w:r>
    </w:p>
    <w:p w14:paraId="56836B58">
      <w:pPr>
        <w:spacing w:line="520" w:lineRule="exact"/>
        <w:jc w:val="center"/>
        <w:rPr>
          <w:rFonts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bCs/>
          <w:color w:val="auto"/>
          <w:sz w:val="44"/>
          <w:szCs w:val="44"/>
          <w:highlight w:val="none"/>
        </w:rPr>
        <w:br w:type="page"/>
      </w:r>
      <w:r>
        <w:rPr>
          <w:rFonts w:hint="eastAsia" w:ascii="方正小标宋简体" w:hAnsi="方正小标宋简体" w:eastAsia="方正小标宋简体" w:cs="方正小标宋简体"/>
          <w:bCs/>
          <w:color w:val="auto"/>
          <w:sz w:val="44"/>
          <w:szCs w:val="44"/>
          <w:highlight w:val="none"/>
        </w:rPr>
        <w:t>法定代表人证明书</w:t>
      </w:r>
    </w:p>
    <w:p w14:paraId="31924807">
      <w:pPr>
        <w:spacing w:line="360" w:lineRule="auto"/>
        <w:ind w:left="540"/>
        <w:contextualSpacing/>
        <w:rPr>
          <w:rFonts w:ascii="仿宋_GB2312" w:hAnsi="仿宋_GB2312" w:eastAsia="仿宋_GB2312" w:cs="仿宋_GB2312"/>
          <w:color w:val="auto"/>
          <w:sz w:val="32"/>
          <w:szCs w:val="32"/>
          <w:highlight w:val="none"/>
        </w:rPr>
      </w:pPr>
    </w:p>
    <w:p w14:paraId="214198D2">
      <w:pPr>
        <w:spacing w:line="440" w:lineRule="exact"/>
        <w:ind w:left="540"/>
        <w:contextualSpacing/>
        <w:rPr>
          <w:rFonts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p>
    <w:p w14:paraId="007366CC">
      <w:pPr>
        <w:spacing w:line="440" w:lineRule="exact"/>
        <w:ind w:left="540"/>
        <w:contextualSpacing/>
        <w:rPr>
          <w:rFonts w:ascii="宋体" w:hAnsi="宋体" w:cs="仿宋_GB2312"/>
          <w:color w:val="auto"/>
          <w:sz w:val="24"/>
          <w:highlight w:val="none"/>
        </w:rPr>
      </w:pPr>
      <w:r>
        <w:rPr>
          <w:rFonts w:hint="eastAsia" w:ascii="宋体" w:hAnsi="宋体" w:cs="仿宋_GB2312"/>
          <w:color w:val="auto"/>
          <w:sz w:val="24"/>
          <w:highlight w:val="none"/>
        </w:rPr>
        <w:t>地    址：</w:t>
      </w:r>
      <w:r>
        <w:rPr>
          <w:rFonts w:hint="eastAsia" w:ascii="宋体" w:hAnsi="宋体" w:cs="仿宋_GB2312"/>
          <w:color w:val="auto"/>
          <w:sz w:val="24"/>
          <w:highlight w:val="none"/>
          <w:u w:val="single"/>
        </w:rPr>
        <w:t xml:space="preserve">                                                        </w:t>
      </w:r>
    </w:p>
    <w:p w14:paraId="5B3EDA25">
      <w:pPr>
        <w:spacing w:line="440" w:lineRule="exact"/>
        <w:ind w:left="540"/>
        <w:contextualSpacing/>
        <w:rPr>
          <w:rFonts w:ascii="宋体" w:hAnsi="宋体" w:cs="仿宋_GB2312"/>
          <w:color w:val="auto"/>
          <w:sz w:val="24"/>
          <w:highlight w:val="none"/>
        </w:rPr>
      </w:pPr>
      <w:r>
        <w:rPr>
          <w:rFonts w:hint="eastAsia" w:ascii="宋体" w:hAnsi="宋体" w:cs="仿宋_GB2312"/>
          <w:color w:val="auto"/>
          <w:sz w:val="24"/>
          <w:highlight w:val="none"/>
        </w:rPr>
        <w:t>姓    名：</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性     别：</w:t>
      </w:r>
      <w:r>
        <w:rPr>
          <w:rFonts w:hint="eastAsia" w:ascii="宋体" w:hAnsi="宋体" w:cs="仿宋_GB2312"/>
          <w:color w:val="auto"/>
          <w:sz w:val="24"/>
          <w:highlight w:val="none"/>
          <w:u w:val="single"/>
        </w:rPr>
        <w:t xml:space="preserve">                </w:t>
      </w:r>
    </w:p>
    <w:p w14:paraId="5ECF038C">
      <w:pPr>
        <w:spacing w:line="440" w:lineRule="exact"/>
        <w:ind w:left="540"/>
        <w:contextualSpacing/>
        <w:rPr>
          <w:rFonts w:ascii="宋体" w:hAnsi="宋体" w:cs="仿宋_GB2312"/>
          <w:color w:val="auto"/>
          <w:sz w:val="24"/>
          <w:highlight w:val="none"/>
          <w:u w:val="single"/>
        </w:rPr>
      </w:pPr>
      <w:r>
        <w:rPr>
          <w:rFonts w:hint="eastAsia" w:ascii="宋体" w:hAnsi="宋体" w:cs="仿宋_GB2312"/>
          <w:color w:val="auto"/>
          <w:sz w:val="24"/>
          <w:highlight w:val="none"/>
        </w:rPr>
        <w:t>年    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职     务：</w:t>
      </w:r>
      <w:r>
        <w:rPr>
          <w:rFonts w:hint="eastAsia" w:ascii="宋体" w:hAnsi="宋体" w:cs="仿宋_GB2312"/>
          <w:color w:val="auto"/>
          <w:sz w:val="24"/>
          <w:highlight w:val="none"/>
          <w:u w:val="single"/>
        </w:rPr>
        <w:t xml:space="preserve">                </w:t>
      </w:r>
    </w:p>
    <w:p w14:paraId="7FFEBC12">
      <w:pPr>
        <w:spacing w:line="440" w:lineRule="exact"/>
        <w:ind w:left="540"/>
        <w:contextualSpacing/>
        <w:rPr>
          <w:rFonts w:ascii="宋体" w:hAnsi="宋体" w:cs="仿宋_GB2312"/>
          <w:color w:val="auto"/>
          <w:sz w:val="24"/>
          <w:highlight w:val="none"/>
        </w:rPr>
      </w:pPr>
      <w:r>
        <w:rPr>
          <w:rFonts w:hint="eastAsia" w:ascii="宋体" w:hAnsi="宋体" w:cs="仿宋_GB2312"/>
          <w:color w:val="auto"/>
          <w:sz w:val="24"/>
          <w:highlight w:val="none"/>
        </w:rPr>
        <w:t>身份证号码：</w:t>
      </w:r>
      <w:r>
        <w:rPr>
          <w:rFonts w:hint="eastAsia" w:ascii="宋体" w:hAnsi="宋体" w:cs="仿宋_GB2312"/>
          <w:color w:val="auto"/>
          <w:sz w:val="24"/>
          <w:highlight w:val="none"/>
          <w:u w:val="single"/>
        </w:rPr>
        <w:t xml:space="preserve">                                        </w:t>
      </w:r>
    </w:p>
    <w:p w14:paraId="3A4AB981">
      <w:pPr>
        <w:spacing w:line="440" w:lineRule="exact"/>
        <w:ind w:firstLine="480" w:firstLineChars="200"/>
        <w:rPr>
          <w:rFonts w:ascii="宋体" w:hAnsi="宋体" w:cs="仿宋_GB2312"/>
          <w:color w:val="auto"/>
          <w:sz w:val="24"/>
          <w:highlight w:val="none"/>
        </w:rPr>
      </w:pPr>
      <w:r>
        <w:rPr>
          <w:rFonts w:hint="eastAsia" w:ascii="宋体" w:hAnsi="宋体" w:cs="仿宋_GB2312"/>
          <w:color w:val="auto"/>
          <w:sz w:val="24"/>
          <w:highlight w:val="none"/>
        </w:rPr>
        <w:t>系</w:t>
      </w:r>
      <w:r>
        <w:rPr>
          <w:rFonts w:hint="eastAsia" w:ascii="宋体" w:hAnsi="宋体" w:cs="仿宋_GB2312"/>
          <w:color w:val="auto"/>
          <w:sz w:val="24"/>
          <w:highlight w:val="none"/>
          <w:u w:val="single"/>
        </w:rPr>
        <w:t>（供应商名称）</w:t>
      </w:r>
      <w:r>
        <w:rPr>
          <w:rFonts w:hint="eastAsia" w:ascii="宋体" w:hAnsi="宋体" w:cs="仿宋_GB2312"/>
          <w:color w:val="auto"/>
          <w:sz w:val="24"/>
          <w:highlight w:val="none"/>
        </w:rPr>
        <w:t>的法定代表人。</w:t>
      </w:r>
    </w:p>
    <w:p w14:paraId="19017BFF">
      <w:pPr>
        <w:spacing w:line="440" w:lineRule="exact"/>
        <w:ind w:left="540"/>
        <w:contextualSpacing/>
        <w:rPr>
          <w:rFonts w:ascii="宋体" w:hAnsi="宋体" w:cs="仿宋_GB2312"/>
          <w:color w:val="auto"/>
          <w:sz w:val="24"/>
          <w:highlight w:val="none"/>
        </w:rPr>
      </w:pPr>
      <w:r>
        <w:rPr>
          <w:rFonts w:hint="eastAsia" w:ascii="宋体" w:hAnsi="宋体" w:cs="仿宋_GB2312"/>
          <w:color w:val="auto"/>
          <w:sz w:val="24"/>
          <w:highlight w:val="none"/>
        </w:rPr>
        <w:t>特此证明。</w:t>
      </w:r>
    </w:p>
    <w:p w14:paraId="60861DC4">
      <w:pPr>
        <w:spacing w:line="360" w:lineRule="auto"/>
        <w:ind w:left="540"/>
        <w:contextualSpacing/>
        <w:rPr>
          <w:rFonts w:ascii="宋体" w:hAnsi="宋体" w:cs="仿宋_GB2312"/>
          <w:color w:val="auto"/>
          <w:sz w:val="24"/>
          <w:highlight w:val="none"/>
        </w:rPr>
      </w:pPr>
    </w:p>
    <w:p w14:paraId="5E0675B5">
      <w:pPr>
        <w:spacing w:line="360" w:lineRule="auto"/>
        <w:ind w:left="540"/>
        <w:contextualSpacing/>
        <w:rPr>
          <w:rFonts w:ascii="宋体" w:hAnsi="宋体" w:cs="仿宋_GB2312"/>
          <w:color w:val="auto"/>
          <w:sz w:val="24"/>
          <w:highlight w:val="none"/>
        </w:rPr>
      </w:pPr>
    </w:p>
    <w:p w14:paraId="1C8497B4">
      <w:pPr>
        <w:spacing w:line="360" w:lineRule="auto"/>
        <w:ind w:left="540"/>
        <w:contextualSpacing/>
        <w:rPr>
          <w:rFonts w:ascii="宋体" w:hAnsi="宋体" w:cs="仿宋_GB2312"/>
          <w:color w:val="auto"/>
          <w:sz w:val="24"/>
          <w:highlight w:val="none"/>
        </w:rPr>
      </w:pPr>
    </w:p>
    <w:p w14:paraId="3C1F3008">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附件：法定代表人有效身份证正反面扫描件</w:t>
      </w:r>
    </w:p>
    <w:p w14:paraId="5AC83835">
      <w:pPr>
        <w:spacing w:line="360" w:lineRule="auto"/>
        <w:ind w:left="540"/>
        <w:contextualSpacing/>
        <w:rPr>
          <w:rFonts w:ascii="宋体" w:hAnsi="宋体" w:cs="仿宋_GB2312"/>
          <w:color w:val="auto"/>
          <w:sz w:val="24"/>
          <w:highlight w:val="none"/>
        </w:rPr>
      </w:pPr>
    </w:p>
    <w:p w14:paraId="173F711E">
      <w:pPr>
        <w:spacing w:line="360" w:lineRule="auto"/>
        <w:ind w:left="540" w:firstLine="3000" w:firstLineChars="1250"/>
        <w:contextualSpacing/>
        <w:jc w:val="left"/>
        <w:rPr>
          <w:rFonts w:ascii="宋体" w:hAnsi="宋体" w:cs="仿宋_GB2312"/>
          <w:color w:val="auto"/>
          <w:sz w:val="24"/>
          <w:highlight w:val="none"/>
        </w:rPr>
      </w:pPr>
      <w:r>
        <w:rPr>
          <w:rFonts w:hint="eastAsia" w:ascii="宋体" w:hAnsi="宋体" w:cs="仿宋_GB2312"/>
          <w:color w:val="auto"/>
          <w:sz w:val="24"/>
          <w:highlight w:val="none"/>
        </w:rPr>
        <w:t>供应商（电子签章）：</w:t>
      </w:r>
    </w:p>
    <w:p w14:paraId="413F190E">
      <w:pPr>
        <w:spacing w:line="360" w:lineRule="auto"/>
        <w:ind w:firstLine="4080" w:firstLineChars="1700"/>
        <w:contextualSpacing/>
        <w:rPr>
          <w:rFonts w:ascii="宋体" w:hAnsi="宋体" w:cs="仿宋_GB2312"/>
          <w:color w:val="auto"/>
          <w:sz w:val="24"/>
          <w:highlight w:val="none"/>
        </w:rPr>
      </w:pPr>
      <w:r>
        <w:rPr>
          <w:rFonts w:hint="eastAsia" w:ascii="宋体" w:hAnsi="宋体" w:cs="仿宋_GB2312"/>
          <w:color w:val="auto"/>
          <w:sz w:val="24"/>
          <w:highlight w:val="none"/>
        </w:rPr>
        <w:t xml:space="preserve">    年  月  日</w:t>
      </w:r>
    </w:p>
    <w:p w14:paraId="00A2827E">
      <w:pPr>
        <w:spacing w:line="360" w:lineRule="auto"/>
        <w:contextualSpacing/>
        <w:jc w:val="center"/>
        <w:rPr>
          <w:rFonts w:ascii="宋体" w:hAnsi="宋体" w:cs="仿宋_GB2312"/>
          <w:b/>
          <w:color w:val="auto"/>
          <w:sz w:val="24"/>
          <w:highlight w:val="none"/>
        </w:rPr>
      </w:pPr>
    </w:p>
    <w:p w14:paraId="5BA9A8CB">
      <w:pPr>
        <w:spacing w:line="360" w:lineRule="auto"/>
        <w:contextualSpacing/>
        <w:jc w:val="left"/>
        <w:rPr>
          <w:rFonts w:ascii="宋体" w:hAnsi="宋体" w:cs="仿宋_GB2312"/>
          <w:color w:val="auto"/>
          <w:sz w:val="24"/>
          <w:highlight w:val="none"/>
        </w:rPr>
      </w:pPr>
    </w:p>
    <w:p w14:paraId="079A4AA4">
      <w:pPr>
        <w:spacing w:line="360" w:lineRule="auto"/>
        <w:contextualSpacing/>
        <w:jc w:val="left"/>
        <w:rPr>
          <w:rFonts w:ascii="宋体" w:hAnsi="宋体" w:cs="仿宋_GB2312"/>
          <w:color w:val="auto"/>
          <w:sz w:val="24"/>
          <w:highlight w:val="none"/>
        </w:rPr>
      </w:pPr>
      <w:r>
        <w:rPr>
          <w:rFonts w:hint="eastAsia" w:ascii="宋体" w:hAnsi="宋体" w:cs="仿宋_GB2312"/>
          <w:color w:val="auto"/>
          <w:sz w:val="24"/>
          <w:highlight w:val="none"/>
        </w:rPr>
        <w:t>注：联合体竞标的只需牵头人出具。</w:t>
      </w:r>
    </w:p>
    <w:p w14:paraId="08DC4354">
      <w:pPr>
        <w:adjustRightInd w:val="0"/>
        <w:snapToGrid w:val="0"/>
        <w:spacing w:line="300" w:lineRule="auto"/>
        <w:jc w:val="left"/>
        <w:rPr>
          <w:rFonts w:ascii="宋体" w:hAnsi="宋体"/>
          <w:b/>
          <w:color w:val="auto"/>
          <w:szCs w:val="21"/>
          <w:highlight w:val="none"/>
        </w:rPr>
      </w:pPr>
    </w:p>
    <w:p w14:paraId="6E5B0182">
      <w:pPr>
        <w:spacing w:line="50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br w:type="page"/>
      </w:r>
    </w:p>
    <w:p w14:paraId="395E4E98">
      <w:pPr>
        <w:spacing w:line="520" w:lineRule="exact"/>
        <w:jc w:val="center"/>
        <w:rPr>
          <w:rFonts w:ascii="方正小标宋简体" w:hAnsi="方正小标宋简体" w:eastAsia="方正小标宋简体" w:cs="方正小标宋简体"/>
          <w:color w:val="auto"/>
          <w:sz w:val="44"/>
          <w:szCs w:val="44"/>
          <w:highlight w:val="none"/>
        </w:rPr>
      </w:pPr>
      <w:bookmarkStart w:id="107" w:name="_Hlk65853643"/>
      <w:r>
        <w:rPr>
          <w:rFonts w:hint="eastAsia" w:ascii="方正小标宋简体" w:hAnsi="方正小标宋简体" w:eastAsia="方正小标宋简体" w:cs="方正小标宋简体"/>
          <w:color w:val="auto"/>
          <w:sz w:val="44"/>
          <w:szCs w:val="44"/>
          <w:highlight w:val="none"/>
        </w:rPr>
        <w:t>授权委托书</w:t>
      </w:r>
    </w:p>
    <w:p w14:paraId="67FB4F75">
      <w:pPr>
        <w:spacing w:line="520" w:lineRule="exact"/>
        <w:jc w:val="center"/>
        <w:rPr>
          <w:rFonts w:ascii="方正小标宋简体" w:hAnsi="方正小标宋简体" w:eastAsia="方正小标宋简体" w:cs="方正小标宋简体"/>
          <w:color w:val="auto"/>
          <w:sz w:val="32"/>
          <w:szCs w:val="32"/>
          <w:highlight w:val="none"/>
        </w:rPr>
      </w:pPr>
      <w:r>
        <w:rPr>
          <w:rFonts w:hint="eastAsia" w:ascii="方正小标宋简体" w:hAnsi="方正小标宋简体" w:eastAsia="方正小标宋简体" w:cs="方正小标宋简体"/>
          <w:color w:val="auto"/>
          <w:sz w:val="32"/>
          <w:szCs w:val="32"/>
          <w:highlight w:val="none"/>
        </w:rPr>
        <w:t>（非联合体竞标格式）</w:t>
      </w:r>
    </w:p>
    <w:p w14:paraId="78299278">
      <w:pPr>
        <w:spacing w:line="52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32"/>
          <w:szCs w:val="32"/>
          <w:highlight w:val="none"/>
        </w:rPr>
        <w:t>（如有委托时）</w:t>
      </w:r>
    </w:p>
    <w:p w14:paraId="6E43E7C8">
      <w:pPr>
        <w:spacing w:line="520" w:lineRule="exact"/>
        <w:rPr>
          <w:rFonts w:ascii="仿宋_GB2312" w:hAnsi="仿宋_GB2312" w:eastAsia="仿宋_GB2312" w:cs="仿宋_GB2312"/>
          <w:color w:val="auto"/>
          <w:sz w:val="32"/>
          <w:szCs w:val="32"/>
          <w:highlight w:val="none"/>
        </w:rPr>
      </w:pPr>
    </w:p>
    <w:p w14:paraId="389329BC">
      <w:pPr>
        <w:spacing w:line="360" w:lineRule="auto"/>
        <w:rPr>
          <w:rFonts w:ascii="宋体" w:hAnsi="宋体" w:cs="仿宋_GB2312"/>
          <w:color w:val="auto"/>
          <w:sz w:val="24"/>
          <w:highlight w:val="none"/>
        </w:rPr>
      </w:pPr>
      <w:r>
        <w:rPr>
          <w:rFonts w:hint="eastAsia" w:ascii="宋体" w:hAnsi="宋体" w:cs="仿宋_GB2312"/>
          <w:color w:val="auto"/>
          <w:sz w:val="24"/>
          <w:highlight w:val="none"/>
        </w:rPr>
        <w:t>致：</w:t>
      </w:r>
      <w:r>
        <w:rPr>
          <w:rFonts w:hint="eastAsia" w:ascii="宋体" w:hAnsi="宋体" w:cs="仿宋_GB2312"/>
          <w:color w:val="auto"/>
          <w:sz w:val="24"/>
          <w:highlight w:val="none"/>
          <w:u w:val="single"/>
        </w:rPr>
        <w:t>（采购人名称）</w:t>
      </w:r>
      <w:r>
        <w:rPr>
          <w:rFonts w:hint="eastAsia" w:ascii="宋体" w:hAnsi="宋体" w:cs="仿宋_GB2312"/>
          <w:color w:val="auto"/>
          <w:sz w:val="24"/>
          <w:highlight w:val="none"/>
        </w:rPr>
        <w:t>：</w:t>
      </w:r>
    </w:p>
    <w:p w14:paraId="37018076">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我</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系</w:t>
      </w:r>
      <w:r>
        <w:rPr>
          <w:rFonts w:hint="eastAsia" w:ascii="宋体" w:hAnsi="宋体" w:cs="仿宋_GB2312"/>
          <w:color w:val="auto"/>
          <w:sz w:val="24"/>
          <w:highlight w:val="none"/>
          <w:u w:val="single"/>
        </w:rPr>
        <w:t xml:space="preserve">  （供应商名称）  </w:t>
      </w:r>
      <w:r>
        <w:rPr>
          <w:rFonts w:hint="eastAsia" w:ascii="宋体" w:hAnsi="宋体" w:cs="仿宋_GB2312"/>
          <w:color w:val="auto"/>
          <w:sz w:val="24"/>
          <w:highlight w:val="none"/>
        </w:rPr>
        <w:t>的（</w:t>
      </w:r>
      <w:r>
        <w:rPr>
          <w:rFonts w:hint="eastAsia" w:ascii="宋体" w:hAnsi="宋体" w:cs="仿宋_GB2312"/>
          <w:color w:val="auto"/>
          <w:sz w:val="24"/>
          <w:highlight w:val="none"/>
          <w:u w:val="single"/>
        </w:rPr>
        <w:t>□法定代表人/□负责人</w:t>
      </w:r>
      <w:r>
        <w:rPr>
          <w:rFonts w:hint="eastAsia" w:ascii="宋体" w:hAnsi="宋体" w:cs="仿宋_GB2312"/>
          <w:color w:val="auto"/>
          <w:sz w:val="24"/>
          <w:highlight w:val="none"/>
        </w:rPr>
        <w:t>），现授权</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以我方的名义参加项目的竞标活动，并代表我方全权办理针对上述项目的所有采购程序和环节的具体事务和签署相关文件。</w:t>
      </w:r>
    </w:p>
    <w:p w14:paraId="51C28B40">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我方对委托代理人的签字</w:t>
      </w:r>
      <w:r>
        <w:rPr>
          <w:rFonts w:hint="eastAsia" w:ascii="宋体" w:hAnsi="宋体"/>
          <w:color w:val="auto"/>
          <w:sz w:val="24"/>
          <w:highlight w:val="none"/>
        </w:rPr>
        <w:t>或者电子签名</w:t>
      </w:r>
      <w:r>
        <w:rPr>
          <w:rFonts w:hint="eastAsia" w:ascii="宋体" w:hAnsi="宋体" w:cs="仿宋_GB2312"/>
          <w:color w:val="auto"/>
          <w:sz w:val="24"/>
          <w:highlight w:val="none"/>
        </w:rPr>
        <w:t>事项负全部责任。</w:t>
      </w:r>
    </w:p>
    <w:p w14:paraId="3AB2B892">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16EDF723">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1A1527CB">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附：法定代表人身份证明书及委托代理人有效身份证正反面扫描件</w:t>
      </w:r>
    </w:p>
    <w:p w14:paraId="5797A814">
      <w:pPr>
        <w:spacing w:line="360" w:lineRule="auto"/>
        <w:rPr>
          <w:rFonts w:ascii="宋体" w:hAnsi="宋体" w:cs="仿宋_GB2312"/>
          <w:color w:val="auto"/>
          <w:sz w:val="24"/>
          <w:highlight w:val="none"/>
        </w:rPr>
      </w:pPr>
    </w:p>
    <w:p w14:paraId="2D52B98C">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委托代理人（</w:t>
      </w:r>
      <w:r>
        <w:rPr>
          <w:rFonts w:hint="eastAsia" w:ascii="宋体" w:hAnsi="宋体"/>
          <w:color w:val="auto"/>
          <w:sz w:val="24"/>
          <w:highlight w:val="none"/>
        </w:rPr>
        <w:t>签字或者电子签名</w:t>
      </w:r>
      <w:r>
        <w:rPr>
          <w:rFonts w:hint="eastAsia" w:ascii="宋体" w:hAnsi="宋体" w:cs="仿宋_GB2312"/>
          <w:color w:val="auto"/>
          <w:sz w:val="24"/>
          <w:highlight w:val="none"/>
        </w:rPr>
        <w:t xml:space="preserve">）：    </w:t>
      </w:r>
    </w:p>
    <w:p w14:paraId="78BB393E">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 xml:space="preserve">法定代表人（签字或者盖章或者电子签名）：                    </w:t>
      </w:r>
    </w:p>
    <w:p w14:paraId="28B74488">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 xml:space="preserve">委托代理人身份证号码：                              </w:t>
      </w:r>
    </w:p>
    <w:p w14:paraId="052A168A">
      <w:pPr>
        <w:spacing w:line="360" w:lineRule="auto"/>
        <w:contextualSpacing/>
        <w:rPr>
          <w:rFonts w:ascii="宋体" w:hAnsi="宋体" w:cs="仿宋_GB2312"/>
          <w:color w:val="auto"/>
          <w:sz w:val="24"/>
          <w:highlight w:val="none"/>
        </w:rPr>
      </w:pPr>
    </w:p>
    <w:p w14:paraId="6300A7F8">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供应商（电子签章）：                      </w:t>
      </w:r>
    </w:p>
    <w:p w14:paraId="210FE521">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年    月    日</w:t>
      </w:r>
    </w:p>
    <w:p w14:paraId="530EF70A">
      <w:pPr>
        <w:spacing w:line="360" w:lineRule="auto"/>
        <w:rPr>
          <w:rFonts w:ascii="宋体" w:hAnsi="宋体" w:cs="仿宋_GB2312"/>
          <w:color w:val="auto"/>
          <w:sz w:val="24"/>
          <w:highlight w:val="none"/>
        </w:rPr>
      </w:pPr>
    </w:p>
    <w:p w14:paraId="13E2F512">
      <w:pPr>
        <w:spacing w:line="360" w:lineRule="auto"/>
        <w:rPr>
          <w:rFonts w:ascii="宋体" w:hAnsi="宋体" w:cs="仿宋_GB2312"/>
          <w:color w:val="auto"/>
          <w:sz w:val="24"/>
          <w:highlight w:val="none"/>
        </w:rPr>
      </w:pPr>
      <w:r>
        <w:rPr>
          <w:rFonts w:hint="eastAsia" w:ascii="宋体" w:hAnsi="宋体" w:cs="仿宋_GB2312"/>
          <w:color w:val="auto"/>
          <w:sz w:val="24"/>
          <w:highlight w:val="none"/>
        </w:rPr>
        <w:t>注：法定代表人必须在授权委托书上签字或者盖章</w:t>
      </w:r>
      <w:r>
        <w:rPr>
          <w:rFonts w:hint="eastAsia" w:ascii="宋体" w:hAnsi="宋体"/>
          <w:color w:val="auto"/>
          <w:sz w:val="24"/>
          <w:highlight w:val="none"/>
        </w:rPr>
        <w:t>或者电子签名</w:t>
      </w:r>
      <w:r>
        <w:rPr>
          <w:rFonts w:hint="eastAsia" w:ascii="宋体" w:hAnsi="宋体" w:cs="仿宋_GB2312"/>
          <w:color w:val="auto"/>
          <w:sz w:val="24"/>
          <w:highlight w:val="none"/>
        </w:rPr>
        <w:t>，委托代理人必须在授权委托书上签字或者电子签名，</w:t>
      </w:r>
      <w:r>
        <w:rPr>
          <w:rFonts w:hint="eastAsia" w:ascii="宋体" w:hAnsi="宋体" w:cs="仿宋_GB2312"/>
          <w:b/>
          <w:color w:val="auto"/>
          <w:sz w:val="24"/>
          <w:highlight w:val="none"/>
        </w:rPr>
        <w:t>否则其响应文件按无效处理。</w:t>
      </w:r>
    </w:p>
    <w:p w14:paraId="7E92614C">
      <w:pPr>
        <w:spacing w:line="360" w:lineRule="auto"/>
        <w:ind w:firstLine="420" w:firstLineChars="200"/>
        <w:jc w:val="left"/>
        <w:rPr>
          <w:rFonts w:ascii="仿宋_GB2312" w:hAnsi="仿宋_GB2312" w:eastAsia="仿宋_GB2312" w:cs="仿宋_GB2312"/>
          <w:color w:val="auto"/>
          <w:szCs w:val="21"/>
          <w:highlight w:val="none"/>
        </w:rPr>
      </w:pPr>
    </w:p>
    <w:p w14:paraId="42B31523">
      <w:pPr>
        <w:spacing w:line="500" w:lineRule="exact"/>
        <w:jc w:val="center"/>
        <w:rPr>
          <w:rFonts w:ascii="方正小标宋简体" w:hAnsi="方正小标宋简体" w:eastAsia="方正小标宋简体" w:cs="方正小标宋简体"/>
          <w:color w:val="auto"/>
          <w:sz w:val="44"/>
          <w:szCs w:val="44"/>
          <w:highlight w:val="none"/>
        </w:rPr>
      </w:pPr>
      <w:r>
        <w:rPr>
          <w:rFonts w:ascii="仿宋_GB2312" w:hAnsi="仿宋_GB2312" w:eastAsia="仿宋_GB2312" w:cs="仿宋_GB2312"/>
          <w:color w:val="auto"/>
          <w:szCs w:val="21"/>
          <w:highlight w:val="none"/>
        </w:rPr>
        <w:br w:type="page"/>
      </w:r>
      <w:r>
        <w:rPr>
          <w:rFonts w:hint="eastAsia" w:ascii="方正小标宋简体" w:hAnsi="方正小标宋简体" w:eastAsia="方正小标宋简体" w:cs="方正小标宋简体"/>
          <w:color w:val="auto"/>
          <w:sz w:val="44"/>
          <w:szCs w:val="44"/>
          <w:highlight w:val="none"/>
        </w:rPr>
        <w:t>授权委托书</w:t>
      </w:r>
    </w:p>
    <w:p w14:paraId="6E670220">
      <w:pPr>
        <w:spacing w:line="500" w:lineRule="exact"/>
        <w:jc w:val="center"/>
        <w:rPr>
          <w:rFonts w:ascii="方正小标宋简体" w:hAnsi="方正小标宋简体" w:eastAsia="方正小标宋简体" w:cs="方正小标宋简体"/>
          <w:color w:val="auto"/>
          <w:sz w:val="32"/>
          <w:szCs w:val="32"/>
          <w:highlight w:val="none"/>
        </w:rPr>
      </w:pPr>
      <w:r>
        <w:rPr>
          <w:rFonts w:hint="eastAsia" w:ascii="方正小标宋简体" w:hAnsi="方正小标宋简体" w:eastAsia="方正小标宋简体" w:cs="方正小标宋简体"/>
          <w:color w:val="auto"/>
          <w:sz w:val="32"/>
          <w:szCs w:val="32"/>
          <w:highlight w:val="none"/>
        </w:rPr>
        <w:t>（联合体竞标格式）</w:t>
      </w:r>
    </w:p>
    <w:p w14:paraId="0814FCCA">
      <w:pPr>
        <w:spacing w:line="50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32"/>
          <w:szCs w:val="32"/>
          <w:highlight w:val="none"/>
        </w:rPr>
        <w:t>（如有委托时）</w:t>
      </w:r>
    </w:p>
    <w:p w14:paraId="6D1C3A6B">
      <w:pPr>
        <w:spacing w:line="500" w:lineRule="exact"/>
        <w:jc w:val="center"/>
        <w:rPr>
          <w:rFonts w:ascii="方正小标宋简体" w:hAnsi="方正小标宋简体" w:eastAsia="方正小标宋简体" w:cs="方正小标宋简体"/>
          <w:color w:val="auto"/>
          <w:sz w:val="44"/>
          <w:szCs w:val="44"/>
          <w:highlight w:val="none"/>
        </w:rPr>
      </w:pPr>
    </w:p>
    <w:p w14:paraId="2AA5DA29">
      <w:pPr>
        <w:spacing w:line="500" w:lineRule="exact"/>
        <w:jc w:val="center"/>
        <w:rPr>
          <w:rFonts w:ascii="仿宋_GB2312" w:hAnsi="仿宋_GB2312" w:eastAsia="仿宋_GB2312" w:cs="仿宋_GB2312"/>
          <w:color w:val="auto"/>
          <w:sz w:val="32"/>
          <w:szCs w:val="32"/>
          <w:highlight w:val="none"/>
        </w:rPr>
      </w:pPr>
    </w:p>
    <w:p w14:paraId="2753FCB8">
      <w:pPr>
        <w:spacing w:line="440" w:lineRule="exact"/>
        <w:ind w:firstLine="480" w:firstLineChars="200"/>
        <w:jc w:val="left"/>
        <w:rPr>
          <w:rFonts w:ascii="宋体" w:hAnsi="宋体" w:cs="仿宋_GB2312"/>
          <w:color w:val="auto"/>
          <w:sz w:val="24"/>
          <w:highlight w:val="none"/>
        </w:rPr>
      </w:pPr>
      <w:r>
        <w:rPr>
          <w:rFonts w:hint="eastAsia" w:ascii="宋体" w:hAnsi="宋体" w:cs="仿宋_GB2312"/>
          <w:color w:val="auto"/>
          <w:sz w:val="24"/>
          <w:highlight w:val="none"/>
        </w:rPr>
        <w:t>本授权委托书声明：根据</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（牵头人名称）与</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（联合体其他成员名称）签订的《联合体参加竞争性磋商协议书》的内容，</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（牵头人名称）的法定代表人</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（姓名）现授权</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（姓名）为联合委托代理人，并代表我方全权办理针对上述项目的所有采购程序和环节的具体事务和签署相关文件。</w:t>
      </w:r>
    </w:p>
    <w:p w14:paraId="50801079">
      <w:pPr>
        <w:spacing w:line="440" w:lineRule="exact"/>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我方对委托代理人的</w:t>
      </w:r>
      <w:r>
        <w:rPr>
          <w:rFonts w:hint="eastAsia" w:ascii="宋体" w:hAnsi="宋体"/>
          <w:color w:val="auto"/>
          <w:sz w:val="24"/>
          <w:highlight w:val="none"/>
        </w:rPr>
        <w:t>签字或者电子签名</w:t>
      </w:r>
      <w:r>
        <w:rPr>
          <w:rFonts w:hint="eastAsia" w:ascii="宋体" w:hAnsi="宋体" w:cs="仿宋_GB2312"/>
          <w:color w:val="auto"/>
          <w:sz w:val="24"/>
          <w:highlight w:val="none"/>
        </w:rPr>
        <w:t>事项负全部责任。</w:t>
      </w:r>
    </w:p>
    <w:p w14:paraId="6255FB6E">
      <w:pPr>
        <w:spacing w:line="440" w:lineRule="exact"/>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720E3CCC">
      <w:pPr>
        <w:spacing w:line="440" w:lineRule="exact"/>
        <w:ind w:firstLine="480" w:firstLineChars="200"/>
        <w:rPr>
          <w:rFonts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01931594">
      <w:pPr>
        <w:spacing w:line="440" w:lineRule="exact"/>
        <w:rPr>
          <w:rFonts w:ascii="宋体" w:hAnsi="宋体" w:cs="仿宋_GB2312"/>
          <w:color w:val="auto"/>
          <w:sz w:val="24"/>
          <w:highlight w:val="none"/>
        </w:rPr>
      </w:pPr>
      <w:r>
        <w:rPr>
          <w:rFonts w:hint="eastAsia" w:ascii="宋体" w:hAnsi="宋体" w:cs="仿宋_GB2312"/>
          <w:color w:val="auto"/>
          <w:sz w:val="24"/>
          <w:highlight w:val="none"/>
        </w:rPr>
        <w:t xml:space="preserve">        附：法定代表人身份证明书及委托代理人有效身份证正反面扫描件</w:t>
      </w:r>
    </w:p>
    <w:p w14:paraId="2951AEC6">
      <w:pPr>
        <w:spacing w:line="360" w:lineRule="auto"/>
        <w:ind w:firstLine="480"/>
        <w:contextualSpacing/>
        <w:rPr>
          <w:rFonts w:hint="eastAsia" w:ascii="宋体" w:hAnsi="宋体" w:cs="仿宋_GB2312"/>
          <w:color w:val="auto"/>
          <w:sz w:val="24"/>
          <w:highlight w:val="none"/>
        </w:rPr>
      </w:pPr>
    </w:p>
    <w:p w14:paraId="6C6C19E5">
      <w:pPr>
        <w:spacing w:line="360" w:lineRule="auto"/>
        <w:ind w:firstLine="480"/>
        <w:contextualSpacing/>
        <w:rPr>
          <w:rFonts w:hint="eastAsia" w:ascii="宋体" w:hAnsi="宋体" w:cs="仿宋_GB2312"/>
          <w:color w:val="auto"/>
          <w:sz w:val="24"/>
          <w:highlight w:val="none"/>
        </w:rPr>
      </w:pPr>
    </w:p>
    <w:p w14:paraId="68FB0D16">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牵头人法定代表人（签字或者盖章或者电子签名）：</w:t>
      </w:r>
    </w:p>
    <w:p w14:paraId="7E3D08E5">
      <w:pPr>
        <w:spacing w:line="360" w:lineRule="auto"/>
        <w:ind w:firstLine="3120" w:firstLineChars="1300"/>
        <w:contextualSpacing/>
        <w:rPr>
          <w:rFonts w:ascii="宋体" w:hAnsi="宋体" w:cs="仿宋_GB2312"/>
          <w:color w:val="auto"/>
          <w:sz w:val="24"/>
          <w:highlight w:val="none"/>
        </w:rPr>
      </w:pPr>
      <w:r>
        <w:rPr>
          <w:rFonts w:hint="eastAsia" w:ascii="宋体" w:hAnsi="宋体" w:cs="仿宋_GB2312"/>
          <w:color w:val="auto"/>
          <w:sz w:val="24"/>
          <w:highlight w:val="none"/>
        </w:rPr>
        <w:t>牵头人（电子签章）：</w:t>
      </w:r>
    </w:p>
    <w:p w14:paraId="479A9D2F">
      <w:pPr>
        <w:spacing w:line="360" w:lineRule="auto"/>
        <w:ind w:firstLine="3840" w:firstLineChars="16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4F7089C8">
      <w:pPr>
        <w:spacing w:line="360" w:lineRule="auto"/>
        <w:contextualSpacing/>
        <w:rPr>
          <w:rFonts w:ascii="宋体" w:hAnsi="宋体" w:cs="仿宋_GB2312"/>
          <w:color w:val="auto"/>
          <w:sz w:val="24"/>
          <w:highlight w:val="none"/>
        </w:rPr>
      </w:pPr>
    </w:p>
    <w:p w14:paraId="3E0A2FB1">
      <w:pPr>
        <w:spacing w:line="360" w:lineRule="auto"/>
        <w:ind w:firstLine="3120" w:firstLineChars="1300"/>
        <w:contextualSpacing/>
        <w:rPr>
          <w:rFonts w:ascii="宋体" w:hAnsi="宋体" w:cs="仿宋_GB2312"/>
          <w:color w:val="auto"/>
          <w:sz w:val="24"/>
          <w:highlight w:val="none"/>
        </w:rPr>
      </w:pPr>
      <w:r>
        <w:rPr>
          <w:rFonts w:hint="eastAsia" w:ascii="宋体" w:hAnsi="宋体" w:cs="仿宋_GB2312"/>
          <w:color w:val="auto"/>
          <w:sz w:val="24"/>
          <w:highlight w:val="none"/>
        </w:rPr>
        <w:t>被授权人（签字或者电子签名）：</w:t>
      </w:r>
    </w:p>
    <w:p w14:paraId="0734A668">
      <w:pPr>
        <w:spacing w:line="360" w:lineRule="auto"/>
        <w:ind w:firstLine="3840" w:firstLineChars="16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25239979">
      <w:pPr>
        <w:spacing w:line="360" w:lineRule="auto"/>
        <w:contextualSpacing/>
        <w:rPr>
          <w:rFonts w:ascii="宋体" w:hAnsi="宋体" w:cs="仿宋_GB2312"/>
          <w:color w:val="auto"/>
          <w:sz w:val="24"/>
          <w:highlight w:val="none"/>
        </w:rPr>
      </w:pPr>
    </w:p>
    <w:p w14:paraId="12C641AD">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注：法定代表人必须在授权委托书上签字或者盖章</w:t>
      </w:r>
      <w:r>
        <w:rPr>
          <w:rFonts w:hint="eastAsia" w:ascii="宋体" w:hAnsi="宋体"/>
          <w:color w:val="auto"/>
          <w:sz w:val="24"/>
          <w:highlight w:val="none"/>
        </w:rPr>
        <w:t>或者电子签名</w:t>
      </w:r>
      <w:r>
        <w:rPr>
          <w:rFonts w:hint="eastAsia" w:ascii="宋体" w:hAnsi="宋体" w:cs="仿宋_GB2312"/>
          <w:color w:val="auto"/>
          <w:sz w:val="24"/>
          <w:highlight w:val="none"/>
        </w:rPr>
        <w:t>，委托代理人必须在授权委托书上签字或者电子签名，</w:t>
      </w:r>
      <w:r>
        <w:rPr>
          <w:rFonts w:hint="eastAsia" w:ascii="宋体" w:hAnsi="宋体" w:cs="仿宋_GB2312"/>
          <w:b/>
          <w:color w:val="auto"/>
          <w:sz w:val="24"/>
          <w:highlight w:val="none"/>
        </w:rPr>
        <w:t>否则其响应文件按无效处理。</w:t>
      </w:r>
    </w:p>
    <w:bookmarkEnd w:id="107"/>
    <w:p w14:paraId="2D30AA2F">
      <w:pPr>
        <w:spacing w:line="50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br w:type="page"/>
      </w:r>
    </w:p>
    <w:p w14:paraId="3A6E1A88">
      <w:pPr>
        <w:spacing w:line="360" w:lineRule="auto"/>
        <w:jc w:val="center"/>
        <w:rPr>
          <w:rFonts w:ascii="宋体" w:hAnsi="宋体" w:cs="方正小标宋简体"/>
          <w:bCs/>
          <w:color w:val="auto"/>
          <w:sz w:val="44"/>
          <w:szCs w:val="44"/>
          <w:highlight w:val="none"/>
        </w:rPr>
      </w:pPr>
      <w:r>
        <w:rPr>
          <w:rFonts w:hint="eastAsia" w:ascii="宋体" w:hAnsi="宋体"/>
          <w:b/>
          <w:color w:val="auto"/>
          <w:sz w:val="32"/>
          <w:szCs w:val="32"/>
          <w:highlight w:val="none"/>
        </w:rPr>
        <w:t>商务条款偏离表</w:t>
      </w:r>
    </w:p>
    <w:p w14:paraId="20998A86">
      <w:pPr>
        <w:spacing w:line="500" w:lineRule="exact"/>
        <w:jc w:val="center"/>
        <w:rPr>
          <w:rFonts w:ascii="宋体" w:hAnsi="宋体"/>
          <w:b/>
          <w:color w:val="auto"/>
          <w:sz w:val="32"/>
          <w:szCs w:val="32"/>
          <w:highlight w:val="none"/>
        </w:rPr>
      </w:pPr>
    </w:p>
    <w:p w14:paraId="76E14447">
      <w:pPr>
        <w:spacing w:line="360" w:lineRule="auto"/>
        <w:jc w:val="left"/>
        <w:rPr>
          <w:rFonts w:ascii="宋体" w:hAnsi="宋体"/>
          <w:color w:val="auto"/>
          <w:sz w:val="24"/>
          <w:highlight w:val="none"/>
        </w:rPr>
      </w:pPr>
    </w:p>
    <w:p w14:paraId="6DBA01E4">
      <w:pPr>
        <w:spacing w:line="360" w:lineRule="auto"/>
        <w:rPr>
          <w:rFonts w:ascii="宋体" w:hAnsi="宋体" w:cs="仿宋_GB2312"/>
          <w:color w:val="auto"/>
          <w:sz w:val="24"/>
          <w:highlight w:val="none"/>
          <w:u w:val="single"/>
        </w:rPr>
      </w:pPr>
      <w:r>
        <w:rPr>
          <w:rFonts w:hint="eastAsia" w:ascii="宋体" w:hAnsi="宋体" w:cs="仿宋_GB2312"/>
          <w:color w:val="auto"/>
          <w:sz w:val="24"/>
          <w:highlight w:val="none"/>
        </w:rPr>
        <w:t>项目编号：</w:t>
      </w:r>
      <w:r>
        <w:rPr>
          <w:rFonts w:hint="eastAsia" w:ascii="宋体" w:hAnsi="宋体" w:cs="仿宋_GB2312"/>
          <w:color w:val="auto"/>
          <w:sz w:val="24"/>
          <w:highlight w:val="none"/>
          <w:u w:val="single"/>
        </w:rPr>
        <w:t xml:space="preserve">                 </w:t>
      </w:r>
    </w:p>
    <w:p w14:paraId="1BB145A1">
      <w:pPr>
        <w:spacing w:line="360" w:lineRule="auto"/>
        <w:rPr>
          <w:rFonts w:ascii="宋体" w:hAnsi="宋体" w:cs="仿宋_GB2312"/>
          <w:color w:val="auto"/>
          <w:sz w:val="24"/>
          <w:highlight w:val="none"/>
        </w:rPr>
      </w:pPr>
      <w:r>
        <w:rPr>
          <w:rFonts w:hint="eastAsia" w:ascii="宋体" w:hAnsi="宋体" w:cs="仿宋_GB2312"/>
          <w:color w:val="auto"/>
          <w:sz w:val="24"/>
          <w:highlight w:val="none"/>
        </w:rPr>
        <w:t>项目名称：</w:t>
      </w:r>
      <w:r>
        <w:rPr>
          <w:rFonts w:hint="eastAsia" w:ascii="宋体" w:hAnsi="宋体" w:cs="仿宋_GB2312"/>
          <w:color w:val="auto"/>
          <w:sz w:val="24"/>
          <w:highlight w:val="none"/>
          <w:u w:val="single"/>
        </w:rPr>
        <w:t xml:space="preserve">                 </w:t>
      </w:r>
    </w:p>
    <w:p w14:paraId="688CCB97">
      <w:pPr>
        <w:spacing w:line="360" w:lineRule="auto"/>
        <w:rPr>
          <w:rFonts w:ascii="宋体" w:hAnsi="宋体" w:cs="仿宋_GB2312"/>
          <w:color w:val="auto"/>
          <w:sz w:val="24"/>
          <w:highlight w:val="none"/>
          <w:u w:val="single"/>
        </w:rPr>
      </w:pPr>
      <w:r>
        <w:rPr>
          <w:rFonts w:hint="eastAsia" w:ascii="宋体" w:hAnsi="宋体" w:cs="仿宋_GB2312"/>
          <w:color w:val="auto"/>
          <w:sz w:val="24"/>
          <w:highlight w:val="none"/>
        </w:rPr>
        <w:t>分标号：</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u w:val="single"/>
          <w:lang w:val="en-US" w:eastAsia="zh-CN"/>
        </w:rPr>
        <w:t>/</w:t>
      </w:r>
      <w:r>
        <w:rPr>
          <w:rFonts w:hint="eastAsia" w:ascii="宋体" w:hAnsi="宋体" w:cs="仿宋_GB2312"/>
          <w:color w:val="auto"/>
          <w:sz w:val="24"/>
          <w:highlight w:val="none"/>
          <w:u w:val="single"/>
        </w:rPr>
        <w:t xml:space="preserve">               </w:t>
      </w:r>
    </w:p>
    <w:p w14:paraId="245FFC94">
      <w:pPr>
        <w:spacing w:line="360" w:lineRule="auto"/>
        <w:jc w:val="left"/>
        <w:rPr>
          <w:rFonts w:hint="eastAsia" w:ascii="楷体" w:hAnsi="楷体" w:eastAsia="楷体"/>
          <w:b/>
          <w:color w:val="auto"/>
          <w:kern w:val="0"/>
          <w:sz w:val="24"/>
          <w:highlight w:val="none"/>
        </w:rPr>
      </w:pPr>
    </w:p>
    <w:tbl>
      <w:tblPr>
        <w:tblStyle w:val="44"/>
        <w:tblW w:w="9270" w:type="dxa"/>
        <w:tblInd w:w="-18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0"/>
        <w:gridCol w:w="3615"/>
        <w:gridCol w:w="3225"/>
        <w:gridCol w:w="1620"/>
      </w:tblGrid>
      <w:tr w14:paraId="5220CD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10" w:type="dxa"/>
            <w:tcBorders>
              <w:top w:val="single" w:color="auto" w:sz="4" w:space="0"/>
              <w:left w:val="single" w:color="auto" w:sz="4" w:space="0"/>
              <w:bottom w:val="single" w:color="auto" w:sz="4" w:space="0"/>
              <w:right w:val="single" w:color="auto" w:sz="4" w:space="0"/>
            </w:tcBorders>
            <w:noWrap w:val="0"/>
            <w:vAlign w:val="top"/>
          </w:tcPr>
          <w:p w14:paraId="3E1B2965">
            <w:pPr>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序号</w:t>
            </w:r>
          </w:p>
        </w:tc>
        <w:tc>
          <w:tcPr>
            <w:tcW w:w="3615" w:type="dxa"/>
            <w:tcBorders>
              <w:top w:val="single" w:color="auto" w:sz="4" w:space="0"/>
              <w:left w:val="single" w:color="auto" w:sz="4" w:space="0"/>
              <w:bottom w:val="single" w:color="auto" w:sz="4" w:space="0"/>
              <w:right w:val="single" w:color="auto" w:sz="4" w:space="0"/>
            </w:tcBorders>
            <w:noWrap w:val="0"/>
            <w:vAlign w:val="top"/>
          </w:tcPr>
          <w:p w14:paraId="7C0E6FB8">
            <w:pPr>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lang w:val="en-US" w:eastAsia="zh-CN"/>
              </w:rPr>
              <w:t>磋商</w:t>
            </w:r>
            <w:r>
              <w:rPr>
                <w:rFonts w:hint="eastAsia" w:ascii="宋体" w:hAnsi="宋体"/>
                <w:color w:val="auto"/>
                <w:sz w:val="24"/>
                <w:highlight w:val="none"/>
              </w:rPr>
              <w:t>文件</w:t>
            </w:r>
            <w:r>
              <w:rPr>
                <w:rFonts w:hint="eastAsia" w:ascii="宋体" w:hAnsi="宋体"/>
                <w:color w:val="auto"/>
                <w:sz w:val="24"/>
                <w:highlight w:val="none"/>
                <w:lang w:val="en-US" w:eastAsia="zh-CN"/>
              </w:rPr>
              <w:t>的</w:t>
            </w:r>
            <w:r>
              <w:rPr>
                <w:rFonts w:hint="eastAsia" w:ascii="宋体" w:hAnsi="宋体"/>
                <w:color w:val="auto"/>
                <w:sz w:val="24"/>
                <w:highlight w:val="none"/>
              </w:rPr>
              <w:t>商务要求</w:t>
            </w:r>
          </w:p>
        </w:tc>
        <w:tc>
          <w:tcPr>
            <w:tcW w:w="3225" w:type="dxa"/>
            <w:tcBorders>
              <w:top w:val="single" w:color="auto" w:sz="4" w:space="0"/>
              <w:left w:val="single" w:color="auto" w:sz="4" w:space="0"/>
              <w:bottom w:val="single" w:color="auto" w:sz="4" w:space="0"/>
              <w:right w:val="single" w:color="auto" w:sz="4" w:space="0"/>
            </w:tcBorders>
            <w:noWrap w:val="0"/>
            <w:vAlign w:val="top"/>
          </w:tcPr>
          <w:p w14:paraId="5BA53942">
            <w:pPr>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响应文件承诺的商务条款</w:t>
            </w:r>
          </w:p>
        </w:tc>
        <w:tc>
          <w:tcPr>
            <w:tcW w:w="1620" w:type="dxa"/>
            <w:tcBorders>
              <w:top w:val="single" w:color="auto" w:sz="4" w:space="0"/>
              <w:left w:val="single" w:color="auto" w:sz="4" w:space="0"/>
              <w:bottom w:val="single" w:color="auto" w:sz="4" w:space="0"/>
              <w:right w:val="single" w:color="auto" w:sz="4" w:space="0"/>
            </w:tcBorders>
            <w:noWrap w:val="0"/>
            <w:vAlign w:val="top"/>
          </w:tcPr>
          <w:p w14:paraId="30A2D0F3">
            <w:pPr>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偏离说明</w:t>
            </w:r>
          </w:p>
        </w:tc>
      </w:tr>
      <w:tr w14:paraId="670DDD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064B4EC9">
            <w:pPr>
              <w:jc w:val="center"/>
              <w:rPr>
                <w:rFonts w:hint="eastAsia" w:ascii="宋体" w:hAnsi="宋体" w:eastAsia="宋体"/>
                <w:color w:val="auto"/>
                <w:sz w:val="24"/>
                <w:highlight w:val="none"/>
                <w:lang w:val="en-US" w:eastAsia="zh-CN"/>
              </w:rPr>
            </w:pPr>
            <w:r>
              <w:rPr>
                <w:rFonts w:hint="eastAsia" w:ascii="宋体" w:hAnsi="宋体"/>
                <w:color w:val="auto"/>
                <w:sz w:val="24"/>
                <w:highlight w:val="none"/>
                <w:lang w:val="en-US" w:eastAsia="zh-CN"/>
              </w:rPr>
              <w:t>1</w:t>
            </w:r>
          </w:p>
        </w:tc>
        <w:tc>
          <w:tcPr>
            <w:tcW w:w="3615" w:type="dxa"/>
            <w:tcBorders>
              <w:top w:val="single" w:color="auto" w:sz="4" w:space="0"/>
              <w:left w:val="single" w:color="auto" w:sz="4" w:space="0"/>
              <w:bottom w:val="single" w:color="auto" w:sz="4" w:space="0"/>
              <w:right w:val="single" w:color="auto" w:sz="4" w:space="0"/>
            </w:tcBorders>
            <w:noWrap w:val="0"/>
            <w:vAlign w:val="center"/>
          </w:tcPr>
          <w:p w14:paraId="06D333EB">
            <w:pPr>
              <w:jc w:val="center"/>
              <w:rPr>
                <w:rFonts w:hint="eastAsia" w:ascii="宋体" w:hAnsi="宋体"/>
                <w:color w:val="auto"/>
                <w:sz w:val="24"/>
                <w:highlight w:val="none"/>
              </w:rPr>
            </w:pPr>
          </w:p>
        </w:tc>
        <w:tc>
          <w:tcPr>
            <w:tcW w:w="3225" w:type="dxa"/>
            <w:tcBorders>
              <w:top w:val="single" w:color="auto" w:sz="4" w:space="0"/>
              <w:left w:val="single" w:color="auto" w:sz="4" w:space="0"/>
              <w:bottom w:val="single" w:color="auto" w:sz="4" w:space="0"/>
              <w:right w:val="single" w:color="auto" w:sz="4" w:space="0"/>
            </w:tcBorders>
            <w:noWrap w:val="0"/>
            <w:vAlign w:val="center"/>
          </w:tcPr>
          <w:p w14:paraId="506C2489">
            <w:pPr>
              <w:snapToGrid w:val="0"/>
              <w:spacing w:before="120" w:beforeLines="50"/>
              <w:jc w:val="center"/>
              <w:rPr>
                <w:rFonts w:hint="eastAsia" w:ascii="宋体" w:hAnsi="宋体"/>
                <w:color w:val="auto"/>
                <w:sz w:val="24"/>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24B78F46">
            <w:pPr>
              <w:snapToGrid w:val="0"/>
              <w:spacing w:before="120" w:beforeLines="50"/>
              <w:jc w:val="center"/>
              <w:rPr>
                <w:rFonts w:hint="eastAsia" w:ascii="宋体" w:hAnsi="宋体"/>
                <w:color w:val="auto"/>
                <w:sz w:val="24"/>
                <w:highlight w:val="none"/>
              </w:rPr>
            </w:pPr>
          </w:p>
        </w:tc>
      </w:tr>
      <w:tr w14:paraId="44697D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2513F4FB">
            <w:pPr>
              <w:jc w:val="center"/>
              <w:rPr>
                <w:rFonts w:hint="eastAsia" w:ascii="宋体" w:hAnsi="宋体" w:eastAsia="宋体"/>
                <w:color w:val="auto"/>
                <w:sz w:val="24"/>
                <w:highlight w:val="none"/>
                <w:lang w:val="en-US" w:eastAsia="zh-CN"/>
              </w:rPr>
            </w:pPr>
            <w:r>
              <w:rPr>
                <w:rFonts w:hint="eastAsia" w:ascii="宋体" w:hAnsi="宋体"/>
                <w:color w:val="auto"/>
                <w:sz w:val="24"/>
                <w:highlight w:val="none"/>
                <w:lang w:val="en-US" w:eastAsia="zh-CN"/>
              </w:rPr>
              <w:t>2</w:t>
            </w:r>
          </w:p>
        </w:tc>
        <w:tc>
          <w:tcPr>
            <w:tcW w:w="3615" w:type="dxa"/>
            <w:tcBorders>
              <w:top w:val="single" w:color="auto" w:sz="4" w:space="0"/>
              <w:left w:val="single" w:color="auto" w:sz="4" w:space="0"/>
              <w:bottom w:val="single" w:color="auto" w:sz="4" w:space="0"/>
              <w:right w:val="single" w:color="auto" w:sz="4" w:space="0"/>
            </w:tcBorders>
            <w:noWrap w:val="0"/>
            <w:vAlign w:val="center"/>
          </w:tcPr>
          <w:p w14:paraId="53B891A9">
            <w:pPr>
              <w:jc w:val="center"/>
              <w:rPr>
                <w:rFonts w:hint="eastAsia" w:ascii="宋体" w:hAnsi="宋体"/>
                <w:color w:val="auto"/>
                <w:sz w:val="24"/>
                <w:highlight w:val="none"/>
              </w:rPr>
            </w:pPr>
          </w:p>
        </w:tc>
        <w:tc>
          <w:tcPr>
            <w:tcW w:w="3225" w:type="dxa"/>
            <w:tcBorders>
              <w:top w:val="single" w:color="auto" w:sz="4" w:space="0"/>
              <w:left w:val="single" w:color="auto" w:sz="4" w:space="0"/>
              <w:bottom w:val="single" w:color="auto" w:sz="4" w:space="0"/>
              <w:right w:val="single" w:color="auto" w:sz="4" w:space="0"/>
            </w:tcBorders>
            <w:noWrap w:val="0"/>
            <w:vAlign w:val="center"/>
          </w:tcPr>
          <w:p w14:paraId="6CF20A3E">
            <w:pPr>
              <w:snapToGrid w:val="0"/>
              <w:spacing w:before="120" w:beforeLines="50"/>
              <w:ind w:left="43"/>
              <w:jc w:val="center"/>
              <w:rPr>
                <w:rFonts w:hint="eastAsia" w:ascii="宋体" w:hAnsi="宋体"/>
                <w:color w:val="auto"/>
                <w:sz w:val="24"/>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1285A5A0">
            <w:pPr>
              <w:snapToGrid w:val="0"/>
              <w:spacing w:before="120" w:beforeLines="50"/>
              <w:ind w:left="43"/>
              <w:jc w:val="center"/>
              <w:rPr>
                <w:rFonts w:hint="eastAsia" w:ascii="宋体" w:hAnsi="宋体"/>
                <w:color w:val="auto"/>
                <w:sz w:val="24"/>
                <w:highlight w:val="none"/>
              </w:rPr>
            </w:pPr>
          </w:p>
        </w:tc>
      </w:tr>
      <w:tr w14:paraId="524758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21437033">
            <w:pPr>
              <w:jc w:val="center"/>
              <w:rPr>
                <w:rFonts w:hint="eastAsia" w:ascii="宋体" w:hAnsi="宋体"/>
                <w:color w:val="auto"/>
                <w:sz w:val="24"/>
                <w:highlight w:val="none"/>
                <w:lang w:val="en-US" w:eastAsia="zh-CN"/>
              </w:rPr>
            </w:pPr>
          </w:p>
        </w:tc>
        <w:tc>
          <w:tcPr>
            <w:tcW w:w="3615" w:type="dxa"/>
            <w:tcBorders>
              <w:top w:val="single" w:color="auto" w:sz="4" w:space="0"/>
              <w:left w:val="single" w:color="auto" w:sz="4" w:space="0"/>
              <w:bottom w:val="single" w:color="auto" w:sz="4" w:space="0"/>
              <w:right w:val="single" w:color="auto" w:sz="4" w:space="0"/>
            </w:tcBorders>
            <w:noWrap w:val="0"/>
            <w:vAlign w:val="center"/>
          </w:tcPr>
          <w:p w14:paraId="79F018A5">
            <w:pPr>
              <w:jc w:val="center"/>
              <w:rPr>
                <w:rFonts w:hint="eastAsia" w:ascii="宋体" w:hAnsi="宋体"/>
                <w:color w:val="auto"/>
                <w:sz w:val="24"/>
                <w:highlight w:val="none"/>
              </w:rPr>
            </w:pPr>
          </w:p>
        </w:tc>
        <w:tc>
          <w:tcPr>
            <w:tcW w:w="3225" w:type="dxa"/>
            <w:tcBorders>
              <w:top w:val="single" w:color="auto" w:sz="4" w:space="0"/>
              <w:left w:val="single" w:color="auto" w:sz="4" w:space="0"/>
              <w:bottom w:val="single" w:color="auto" w:sz="4" w:space="0"/>
              <w:right w:val="single" w:color="auto" w:sz="4" w:space="0"/>
            </w:tcBorders>
            <w:noWrap w:val="0"/>
            <w:vAlign w:val="center"/>
          </w:tcPr>
          <w:p w14:paraId="31AEE24D">
            <w:pPr>
              <w:snapToGrid w:val="0"/>
              <w:spacing w:before="120" w:beforeLines="50"/>
              <w:ind w:left="43"/>
              <w:jc w:val="center"/>
              <w:rPr>
                <w:rFonts w:hint="eastAsia" w:ascii="宋体" w:hAnsi="宋体"/>
                <w:color w:val="auto"/>
                <w:sz w:val="24"/>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1004E0CB">
            <w:pPr>
              <w:snapToGrid w:val="0"/>
              <w:spacing w:before="120" w:beforeLines="50"/>
              <w:ind w:left="43"/>
              <w:jc w:val="center"/>
              <w:rPr>
                <w:rFonts w:hint="eastAsia" w:ascii="宋体" w:hAnsi="宋体"/>
                <w:color w:val="auto"/>
                <w:sz w:val="24"/>
                <w:highlight w:val="none"/>
              </w:rPr>
            </w:pPr>
          </w:p>
        </w:tc>
      </w:tr>
      <w:tr w14:paraId="671D99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675E3308">
            <w:pPr>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w:t>
            </w:r>
          </w:p>
        </w:tc>
        <w:tc>
          <w:tcPr>
            <w:tcW w:w="3615" w:type="dxa"/>
            <w:tcBorders>
              <w:top w:val="single" w:color="auto" w:sz="4" w:space="0"/>
              <w:left w:val="single" w:color="auto" w:sz="4" w:space="0"/>
              <w:bottom w:val="single" w:color="auto" w:sz="4" w:space="0"/>
              <w:right w:val="single" w:color="auto" w:sz="4" w:space="0"/>
            </w:tcBorders>
            <w:noWrap w:val="0"/>
            <w:vAlign w:val="center"/>
          </w:tcPr>
          <w:p w14:paraId="7CC1FC2D">
            <w:pPr>
              <w:snapToGrid w:val="0"/>
              <w:spacing w:before="120" w:beforeLines="50"/>
              <w:jc w:val="center"/>
              <w:rPr>
                <w:rFonts w:hint="eastAsia" w:ascii="宋体" w:hAnsi="宋体"/>
                <w:color w:val="auto"/>
                <w:sz w:val="24"/>
                <w:highlight w:val="none"/>
              </w:rPr>
            </w:pPr>
          </w:p>
        </w:tc>
        <w:tc>
          <w:tcPr>
            <w:tcW w:w="3225" w:type="dxa"/>
            <w:tcBorders>
              <w:top w:val="single" w:color="auto" w:sz="4" w:space="0"/>
              <w:left w:val="single" w:color="auto" w:sz="4" w:space="0"/>
              <w:bottom w:val="single" w:color="auto" w:sz="4" w:space="0"/>
              <w:right w:val="single" w:color="auto" w:sz="4" w:space="0"/>
            </w:tcBorders>
            <w:noWrap w:val="0"/>
            <w:vAlign w:val="center"/>
          </w:tcPr>
          <w:p w14:paraId="60952270">
            <w:pPr>
              <w:snapToGrid w:val="0"/>
              <w:spacing w:before="120" w:beforeLines="50"/>
              <w:jc w:val="center"/>
              <w:rPr>
                <w:rFonts w:hint="eastAsia" w:ascii="宋体" w:hAnsi="宋体"/>
                <w:color w:val="auto"/>
                <w:sz w:val="24"/>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55072CCC">
            <w:pPr>
              <w:snapToGrid w:val="0"/>
              <w:spacing w:before="120" w:beforeLines="50"/>
              <w:jc w:val="center"/>
              <w:rPr>
                <w:rFonts w:hint="eastAsia" w:ascii="宋体" w:hAnsi="宋体"/>
                <w:color w:val="auto"/>
                <w:sz w:val="24"/>
                <w:highlight w:val="none"/>
              </w:rPr>
            </w:pPr>
          </w:p>
        </w:tc>
      </w:tr>
    </w:tbl>
    <w:p w14:paraId="5941CF56">
      <w:pPr>
        <w:spacing w:line="360" w:lineRule="auto"/>
        <w:jc w:val="left"/>
        <w:rPr>
          <w:rFonts w:hint="eastAsia" w:ascii="楷体" w:hAnsi="楷体" w:eastAsia="楷体"/>
          <w:b/>
          <w:color w:val="auto"/>
          <w:kern w:val="0"/>
          <w:sz w:val="24"/>
          <w:highlight w:val="none"/>
        </w:rPr>
      </w:pPr>
    </w:p>
    <w:p w14:paraId="788D762C">
      <w:pPr>
        <w:spacing w:line="360" w:lineRule="auto"/>
        <w:jc w:val="left"/>
        <w:rPr>
          <w:rFonts w:ascii="楷体" w:hAnsi="楷体" w:eastAsia="楷体"/>
          <w:b/>
          <w:color w:val="auto"/>
          <w:kern w:val="0"/>
          <w:sz w:val="24"/>
          <w:highlight w:val="none"/>
        </w:rPr>
      </w:pPr>
      <w:r>
        <w:rPr>
          <w:rFonts w:hint="eastAsia" w:ascii="楷体" w:hAnsi="楷体" w:eastAsia="楷体"/>
          <w:b/>
          <w:color w:val="auto"/>
          <w:kern w:val="0"/>
          <w:sz w:val="24"/>
          <w:highlight w:val="none"/>
        </w:rPr>
        <w:t>注：</w:t>
      </w:r>
    </w:p>
    <w:p w14:paraId="42F38BA5">
      <w:pPr>
        <w:spacing w:line="360" w:lineRule="auto"/>
        <w:ind w:firstLine="480" w:firstLineChars="200"/>
        <w:jc w:val="left"/>
        <w:rPr>
          <w:rFonts w:ascii="楷体" w:hAnsi="楷体" w:eastAsia="楷体"/>
          <w:color w:val="auto"/>
          <w:kern w:val="0"/>
          <w:sz w:val="24"/>
          <w:highlight w:val="none"/>
        </w:rPr>
      </w:pPr>
      <w:r>
        <w:rPr>
          <w:rFonts w:hint="eastAsia" w:ascii="楷体" w:hAnsi="楷体" w:eastAsia="楷体"/>
          <w:color w:val="auto"/>
          <w:kern w:val="0"/>
          <w:sz w:val="24"/>
          <w:highlight w:val="none"/>
        </w:rPr>
        <w:t>1.说明：应对照</w:t>
      </w:r>
      <w:r>
        <w:rPr>
          <w:rFonts w:hint="eastAsia" w:ascii="楷体" w:hAnsi="楷体" w:eastAsia="楷体"/>
          <w:color w:val="auto"/>
          <w:kern w:val="0"/>
          <w:sz w:val="24"/>
          <w:highlight w:val="none"/>
          <w:lang w:val="en-US" w:eastAsia="zh-CN"/>
        </w:rPr>
        <w:t>磋商</w:t>
      </w:r>
      <w:r>
        <w:rPr>
          <w:rFonts w:hint="eastAsia" w:ascii="楷体" w:hAnsi="楷体" w:eastAsia="楷体"/>
          <w:color w:val="auto"/>
          <w:kern w:val="0"/>
          <w:sz w:val="24"/>
          <w:highlight w:val="none"/>
        </w:rPr>
        <w:t>文件“</w:t>
      </w:r>
      <w:bookmarkStart w:id="108" w:name="OLE_LINK162"/>
      <w:bookmarkStart w:id="109" w:name="OLE_LINK161"/>
      <w:r>
        <w:rPr>
          <w:rFonts w:hint="eastAsia" w:ascii="楷体" w:hAnsi="楷体" w:eastAsia="楷体"/>
          <w:color w:val="auto"/>
          <w:kern w:val="0"/>
          <w:sz w:val="24"/>
          <w:highlight w:val="none"/>
        </w:rPr>
        <w:t>第三章</w:t>
      </w:r>
      <w:bookmarkEnd w:id="108"/>
      <w:bookmarkEnd w:id="109"/>
      <w:r>
        <w:rPr>
          <w:rFonts w:hint="eastAsia" w:ascii="楷体" w:hAnsi="楷体" w:eastAsia="楷体"/>
          <w:color w:val="auto"/>
          <w:kern w:val="0"/>
          <w:sz w:val="24"/>
          <w:highlight w:val="none"/>
        </w:rPr>
        <w:t xml:space="preserve"> 采购需求”的</w:t>
      </w:r>
      <w:r>
        <w:rPr>
          <w:rFonts w:hint="eastAsia" w:ascii="楷体" w:hAnsi="楷体" w:eastAsia="楷体"/>
          <w:b/>
          <w:color w:val="auto"/>
          <w:kern w:val="0"/>
          <w:sz w:val="24"/>
          <w:highlight w:val="none"/>
        </w:rPr>
        <w:t>商务要求</w:t>
      </w:r>
      <w:r>
        <w:rPr>
          <w:rFonts w:hint="eastAsia" w:ascii="楷体" w:hAnsi="楷体" w:eastAsia="楷体"/>
          <w:color w:val="auto"/>
          <w:kern w:val="0"/>
          <w:sz w:val="24"/>
          <w:highlight w:val="none"/>
        </w:rPr>
        <w:t>条款</w:t>
      </w:r>
      <w:r>
        <w:rPr>
          <w:rFonts w:hint="eastAsia" w:ascii="楷体" w:hAnsi="楷体" w:eastAsia="楷体"/>
          <w:b/>
          <w:color w:val="auto"/>
          <w:kern w:val="0"/>
          <w:sz w:val="24"/>
          <w:highlight w:val="none"/>
          <w:u w:val="single"/>
        </w:rPr>
        <w:t>逐条</w:t>
      </w:r>
      <w:r>
        <w:rPr>
          <w:rFonts w:hint="eastAsia" w:ascii="楷体" w:hAnsi="楷体" w:eastAsia="楷体"/>
          <w:color w:val="auto"/>
          <w:kern w:val="0"/>
          <w:sz w:val="24"/>
          <w:highlight w:val="none"/>
        </w:rPr>
        <w:t>作出明确响应，并作出偏离说明</w:t>
      </w:r>
      <w:bookmarkStart w:id="110" w:name="OLE_LINK195"/>
      <w:bookmarkStart w:id="111" w:name="OLE_LINK194"/>
      <w:r>
        <w:rPr>
          <w:rFonts w:hint="eastAsia" w:ascii="楷体" w:hAnsi="楷体" w:eastAsia="楷体"/>
          <w:color w:val="auto"/>
          <w:kern w:val="0"/>
          <w:sz w:val="24"/>
          <w:highlight w:val="none"/>
        </w:rPr>
        <w:t>，否则竞</w:t>
      </w:r>
      <w:r>
        <w:rPr>
          <w:rFonts w:hint="eastAsia" w:ascii="楷体" w:hAnsi="楷体" w:eastAsia="楷体"/>
          <w:color w:val="auto"/>
          <w:kern w:val="0"/>
          <w:sz w:val="24"/>
          <w:highlight w:val="none"/>
          <w:lang w:val="en-US" w:eastAsia="zh-CN"/>
        </w:rPr>
        <w:t>标</w:t>
      </w:r>
      <w:r>
        <w:rPr>
          <w:rFonts w:hint="eastAsia" w:ascii="楷体" w:hAnsi="楷体" w:eastAsia="楷体"/>
          <w:color w:val="auto"/>
          <w:kern w:val="0"/>
          <w:sz w:val="24"/>
          <w:highlight w:val="none"/>
        </w:rPr>
        <w:t>无效。</w:t>
      </w:r>
      <w:bookmarkEnd w:id="110"/>
      <w:bookmarkEnd w:id="111"/>
    </w:p>
    <w:p w14:paraId="76E5CE49">
      <w:pPr>
        <w:spacing w:line="360" w:lineRule="auto"/>
        <w:ind w:firstLine="480" w:firstLineChars="200"/>
        <w:jc w:val="left"/>
        <w:rPr>
          <w:rFonts w:ascii="楷体" w:hAnsi="楷体" w:eastAsia="楷体"/>
          <w:color w:val="auto"/>
          <w:kern w:val="0"/>
          <w:sz w:val="24"/>
          <w:highlight w:val="none"/>
        </w:rPr>
      </w:pPr>
      <w:r>
        <w:rPr>
          <w:rFonts w:hint="eastAsia" w:ascii="楷体" w:hAnsi="楷体" w:eastAsia="楷体"/>
          <w:color w:val="auto"/>
          <w:kern w:val="0"/>
          <w:sz w:val="24"/>
          <w:highlight w:val="none"/>
        </w:rPr>
        <w:t>2.供应商应根据自身的承诺，对照</w:t>
      </w:r>
      <w:r>
        <w:rPr>
          <w:rFonts w:hint="eastAsia" w:ascii="楷体" w:hAnsi="楷体" w:eastAsia="楷体"/>
          <w:color w:val="auto"/>
          <w:kern w:val="0"/>
          <w:sz w:val="24"/>
          <w:highlight w:val="none"/>
          <w:lang w:val="en-US" w:eastAsia="zh-CN"/>
        </w:rPr>
        <w:t>磋商</w:t>
      </w:r>
      <w:r>
        <w:rPr>
          <w:rFonts w:hint="eastAsia" w:ascii="楷体" w:hAnsi="楷体" w:eastAsia="楷体"/>
          <w:color w:val="auto"/>
          <w:kern w:val="0"/>
          <w:sz w:val="24"/>
          <w:highlight w:val="none"/>
        </w:rPr>
        <w:t>文件要求，在“偏离说明”中注明“正偏离”、“负偏离”或者“无偏离”。既不属于“正偏离”也不属于“负偏离”即为“无偏离”。 当响应文件的商务内容低于</w:t>
      </w:r>
      <w:r>
        <w:rPr>
          <w:rFonts w:hint="eastAsia" w:ascii="楷体" w:hAnsi="楷体" w:eastAsia="楷体"/>
          <w:color w:val="auto"/>
          <w:kern w:val="0"/>
          <w:sz w:val="24"/>
          <w:highlight w:val="none"/>
          <w:lang w:val="en-US" w:eastAsia="zh-CN"/>
        </w:rPr>
        <w:t>磋商</w:t>
      </w:r>
      <w:r>
        <w:rPr>
          <w:rFonts w:hint="eastAsia" w:ascii="楷体" w:hAnsi="楷体" w:eastAsia="楷体"/>
          <w:color w:val="auto"/>
          <w:kern w:val="0"/>
          <w:sz w:val="24"/>
          <w:highlight w:val="none"/>
        </w:rPr>
        <w:t>文件要求时，供应商应当如实写明“负偏离”，否则视为虚假应标</w:t>
      </w:r>
    </w:p>
    <w:p w14:paraId="0A96ADE1">
      <w:pPr>
        <w:spacing w:line="360" w:lineRule="auto"/>
        <w:ind w:right="-817" w:rightChars="-389"/>
        <w:contextualSpacing/>
        <w:rPr>
          <w:rFonts w:ascii="宋体" w:hAnsi="宋体" w:cs="仿宋_GB2312"/>
          <w:color w:val="auto"/>
          <w:sz w:val="24"/>
          <w:highlight w:val="none"/>
        </w:rPr>
      </w:pPr>
    </w:p>
    <w:p w14:paraId="013E6E9B">
      <w:pPr>
        <w:spacing w:line="360" w:lineRule="auto"/>
        <w:ind w:right="-817" w:rightChars="-389"/>
        <w:contextualSpacing/>
        <w:rPr>
          <w:rFonts w:ascii="宋体" w:hAnsi="宋体" w:cs="仿宋_GB2312"/>
          <w:color w:val="auto"/>
          <w:sz w:val="24"/>
          <w:highlight w:val="none"/>
        </w:rPr>
      </w:pPr>
    </w:p>
    <w:p w14:paraId="29DD90A1">
      <w:pPr>
        <w:spacing w:line="440" w:lineRule="exact"/>
        <w:ind w:right="-817" w:rightChars="-389" w:firstLine="5280" w:firstLineChars="22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054624FA">
      <w:pPr>
        <w:spacing w:line="440" w:lineRule="exact"/>
        <w:ind w:right="-817" w:rightChars="-389" w:firstLine="5280" w:firstLineChars="22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7D809954">
      <w:pPr>
        <w:adjustRightInd w:val="0"/>
        <w:snapToGrid w:val="0"/>
        <w:spacing w:line="520" w:lineRule="exact"/>
        <w:ind w:firstLine="7040" w:firstLineChars="1600"/>
        <w:jc w:val="center"/>
        <w:rPr>
          <w:rFonts w:ascii="方正小标宋简体" w:hAnsi="方正小标宋简体" w:eastAsia="方正小标宋简体" w:cs="方正小标宋简体"/>
          <w:bCs/>
          <w:color w:val="auto"/>
          <w:sz w:val="44"/>
          <w:szCs w:val="44"/>
          <w:highlight w:val="none"/>
        </w:rPr>
      </w:pPr>
    </w:p>
    <w:p w14:paraId="3A45CB1A">
      <w:pPr>
        <w:spacing w:line="360" w:lineRule="auto"/>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br w:type="page"/>
      </w:r>
      <w:r>
        <w:rPr>
          <w:rFonts w:hint="eastAsia" w:ascii="宋体" w:hAnsi="宋体"/>
          <w:b/>
          <w:color w:val="auto"/>
          <w:sz w:val="32"/>
          <w:szCs w:val="32"/>
          <w:highlight w:val="none"/>
        </w:rPr>
        <w:t>技术要求偏离表</w:t>
      </w:r>
    </w:p>
    <w:p w14:paraId="7F673FA6">
      <w:pPr>
        <w:spacing w:line="360" w:lineRule="auto"/>
        <w:rPr>
          <w:rFonts w:ascii="宋体" w:hAnsi="宋体" w:cs="仿宋_GB2312"/>
          <w:color w:val="auto"/>
          <w:sz w:val="24"/>
          <w:highlight w:val="none"/>
          <w:u w:val="single"/>
        </w:rPr>
      </w:pPr>
      <w:r>
        <w:rPr>
          <w:rFonts w:hint="eastAsia" w:ascii="宋体" w:hAnsi="宋体" w:cs="仿宋_GB2312"/>
          <w:color w:val="auto"/>
          <w:sz w:val="24"/>
          <w:highlight w:val="none"/>
        </w:rPr>
        <w:t>项目编号：</w:t>
      </w:r>
      <w:r>
        <w:rPr>
          <w:rFonts w:hint="eastAsia" w:ascii="宋体" w:hAnsi="宋体" w:cs="仿宋_GB2312"/>
          <w:color w:val="auto"/>
          <w:sz w:val="24"/>
          <w:highlight w:val="none"/>
          <w:u w:val="single"/>
        </w:rPr>
        <w:t xml:space="preserve">                 </w:t>
      </w:r>
    </w:p>
    <w:p w14:paraId="2CE2FF6E">
      <w:pPr>
        <w:spacing w:line="360" w:lineRule="auto"/>
        <w:rPr>
          <w:rFonts w:ascii="宋体" w:hAnsi="宋体" w:cs="仿宋_GB2312"/>
          <w:color w:val="auto"/>
          <w:sz w:val="24"/>
          <w:highlight w:val="none"/>
        </w:rPr>
      </w:pPr>
      <w:r>
        <w:rPr>
          <w:rFonts w:hint="eastAsia" w:ascii="宋体" w:hAnsi="宋体" w:cs="仿宋_GB2312"/>
          <w:color w:val="auto"/>
          <w:sz w:val="24"/>
          <w:highlight w:val="none"/>
        </w:rPr>
        <w:t>项目名称：</w:t>
      </w:r>
      <w:r>
        <w:rPr>
          <w:rFonts w:hint="eastAsia" w:ascii="宋体" w:hAnsi="宋体" w:cs="仿宋_GB2312"/>
          <w:color w:val="auto"/>
          <w:sz w:val="24"/>
          <w:highlight w:val="none"/>
          <w:u w:val="single"/>
        </w:rPr>
        <w:t xml:space="preserve">                 </w:t>
      </w:r>
    </w:p>
    <w:p w14:paraId="1D39F6C0">
      <w:pPr>
        <w:spacing w:line="360" w:lineRule="auto"/>
        <w:rPr>
          <w:rFonts w:ascii="宋体" w:hAnsi="宋体" w:cs="仿宋_GB2312"/>
          <w:color w:val="auto"/>
          <w:sz w:val="24"/>
          <w:highlight w:val="none"/>
          <w:u w:val="single"/>
        </w:rPr>
      </w:pPr>
      <w:r>
        <w:rPr>
          <w:rFonts w:hint="eastAsia" w:ascii="宋体" w:hAnsi="宋体" w:cs="仿宋_GB2312"/>
          <w:color w:val="auto"/>
          <w:sz w:val="24"/>
          <w:highlight w:val="none"/>
        </w:rPr>
        <w:t>分标号：</w:t>
      </w:r>
      <w:r>
        <w:rPr>
          <w:rFonts w:hint="eastAsia" w:ascii="宋体" w:hAnsi="宋体" w:cs="仿宋_GB2312"/>
          <w:color w:val="auto"/>
          <w:sz w:val="24"/>
          <w:highlight w:val="none"/>
          <w:u w:val="single"/>
        </w:rPr>
        <w:t xml:space="preserve">    /              </w:t>
      </w:r>
    </w:p>
    <w:p w14:paraId="772B9A90">
      <w:pPr>
        <w:pStyle w:val="29"/>
        <w:rPr>
          <w:color w:val="auto"/>
          <w:kern w:val="0"/>
          <w:highlight w:val="none"/>
        </w:rPr>
      </w:pPr>
    </w:p>
    <w:tbl>
      <w:tblPr>
        <w:tblStyle w:val="44"/>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1875"/>
        <w:gridCol w:w="2595"/>
        <w:gridCol w:w="1883"/>
        <w:gridCol w:w="1934"/>
      </w:tblGrid>
      <w:tr w14:paraId="1A804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657" w:type="dxa"/>
            <w:noWrap w:val="0"/>
            <w:vAlign w:val="center"/>
          </w:tcPr>
          <w:p w14:paraId="5CAAF635">
            <w:pPr>
              <w:pStyle w:val="24"/>
              <w:spacing w:line="400" w:lineRule="exact"/>
              <w:jc w:val="center"/>
              <w:rPr>
                <w:rFonts w:hint="eastAsia" w:hAnsi="宋体" w:cs="Courier New"/>
                <w:color w:val="auto"/>
                <w:kern w:val="2"/>
                <w:sz w:val="24"/>
                <w:szCs w:val="24"/>
                <w:highlight w:val="none"/>
              </w:rPr>
            </w:pPr>
            <w:r>
              <w:rPr>
                <w:rFonts w:hint="eastAsia" w:hAnsi="宋体" w:cs="Courier New"/>
                <w:color w:val="auto"/>
                <w:kern w:val="2"/>
                <w:sz w:val="24"/>
                <w:szCs w:val="24"/>
                <w:highlight w:val="none"/>
                <w:lang w:val="en-US" w:eastAsia="zh-CN"/>
              </w:rPr>
              <w:t>序</w:t>
            </w:r>
            <w:r>
              <w:rPr>
                <w:rFonts w:hint="eastAsia" w:hAnsi="宋体" w:cs="Courier New"/>
                <w:color w:val="auto"/>
                <w:kern w:val="2"/>
                <w:sz w:val="24"/>
                <w:szCs w:val="24"/>
                <w:highlight w:val="none"/>
              </w:rPr>
              <w:t>号</w:t>
            </w:r>
          </w:p>
        </w:tc>
        <w:tc>
          <w:tcPr>
            <w:tcW w:w="1875" w:type="dxa"/>
            <w:noWrap w:val="0"/>
            <w:vAlign w:val="center"/>
          </w:tcPr>
          <w:p w14:paraId="574511C0">
            <w:pPr>
              <w:pStyle w:val="24"/>
              <w:spacing w:line="400" w:lineRule="exact"/>
              <w:jc w:val="center"/>
              <w:rPr>
                <w:rFonts w:hint="eastAsia" w:hAnsi="宋体" w:cs="Courier New"/>
                <w:color w:val="auto"/>
                <w:kern w:val="2"/>
                <w:sz w:val="24"/>
                <w:szCs w:val="24"/>
                <w:highlight w:val="none"/>
              </w:rPr>
            </w:pPr>
            <w:r>
              <w:rPr>
                <w:rFonts w:hint="eastAsia" w:hAnsi="宋体" w:cs="Courier New"/>
                <w:color w:val="auto"/>
                <w:kern w:val="2"/>
                <w:sz w:val="24"/>
                <w:szCs w:val="24"/>
                <w:highlight w:val="none"/>
              </w:rPr>
              <w:t>标的名称</w:t>
            </w:r>
          </w:p>
        </w:tc>
        <w:tc>
          <w:tcPr>
            <w:tcW w:w="2595" w:type="dxa"/>
            <w:noWrap w:val="0"/>
            <w:vAlign w:val="center"/>
          </w:tcPr>
          <w:p w14:paraId="11F67D27">
            <w:pPr>
              <w:pStyle w:val="24"/>
              <w:spacing w:line="400" w:lineRule="exact"/>
              <w:jc w:val="center"/>
              <w:rPr>
                <w:rFonts w:hint="eastAsia" w:hAnsi="宋体" w:cs="Courier New"/>
                <w:color w:val="auto"/>
                <w:kern w:val="2"/>
                <w:sz w:val="24"/>
                <w:szCs w:val="24"/>
                <w:highlight w:val="none"/>
              </w:rPr>
            </w:pPr>
            <w:r>
              <w:rPr>
                <w:rFonts w:hint="eastAsia" w:hAnsi="宋体" w:cs="Courier New"/>
                <w:color w:val="auto"/>
                <w:kern w:val="2"/>
                <w:sz w:val="24"/>
                <w:szCs w:val="24"/>
                <w:highlight w:val="none"/>
                <w:lang w:val="en-US" w:eastAsia="zh-CN"/>
              </w:rPr>
              <w:t>磋商文件</w:t>
            </w:r>
            <w:r>
              <w:rPr>
                <w:rFonts w:hint="eastAsia" w:hAnsi="宋体" w:cs="Courier New"/>
                <w:color w:val="auto"/>
                <w:kern w:val="2"/>
                <w:sz w:val="24"/>
                <w:szCs w:val="24"/>
                <w:highlight w:val="none"/>
              </w:rPr>
              <w:t>技术要求</w:t>
            </w:r>
          </w:p>
        </w:tc>
        <w:tc>
          <w:tcPr>
            <w:tcW w:w="1883" w:type="dxa"/>
            <w:noWrap w:val="0"/>
            <w:vAlign w:val="center"/>
          </w:tcPr>
          <w:p w14:paraId="17F15EEB">
            <w:pPr>
              <w:pStyle w:val="24"/>
              <w:spacing w:line="400" w:lineRule="exact"/>
              <w:jc w:val="center"/>
              <w:rPr>
                <w:rFonts w:hint="eastAsia" w:hAnsi="宋体" w:cs="Courier New"/>
                <w:color w:val="auto"/>
                <w:kern w:val="2"/>
                <w:sz w:val="24"/>
                <w:szCs w:val="24"/>
                <w:highlight w:val="none"/>
              </w:rPr>
            </w:pPr>
            <w:r>
              <w:rPr>
                <w:rFonts w:hint="eastAsia" w:hAnsi="宋体" w:cs="Courier New"/>
                <w:color w:val="auto"/>
                <w:kern w:val="2"/>
                <w:sz w:val="24"/>
                <w:szCs w:val="24"/>
                <w:highlight w:val="none"/>
                <w:lang w:val="en-US" w:eastAsia="zh-CN"/>
              </w:rPr>
              <w:t>响应文件承诺</w:t>
            </w:r>
          </w:p>
        </w:tc>
        <w:tc>
          <w:tcPr>
            <w:tcW w:w="1934" w:type="dxa"/>
            <w:noWrap w:val="0"/>
            <w:vAlign w:val="center"/>
          </w:tcPr>
          <w:p w14:paraId="5E46D2F0">
            <w:pPr>
              <w:pStyle w:val="24"/>
              <w:spacing w:line="400" w:lineRule="exact"/>
              <w:jc w:val="center"/>
              <w:rPr>
                <w:rFonts w:hint="eastAsia" w:hAnsi="宋体" w:cs="Courier New"/>
                <w:color w:val="auto"/>
                <w:kern w:val="2"/>
                <w:sz w:val="24"/>
                <w:szCs w:val="24"/>
                <w:highlight w:val="none"/>
              </w:rPr>
            </w:pPr>
            <w:r>
              <w:rPr>
                <w:rFonts w:hint="eastAsia" w:hAnsi="宋体" w:cs="Courier New"/>
                <w:color w:val="auto"/>
                <w:kern w:val="2"/>
                <w:sz w:val="24"/>
                <w:szCs w:val="24"/>
                <w:highlight w:val="none"/>
              </w:rPr>
              <w:t>偏离说明</w:t>
            </w:r>
          </w:p>
        </w:tc>
      </w:tr>
      <w:tr w14:paraId="66C96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noWrap w:val="0"/>
            <w:vAlign w:val="top"/>
          </w:tcPr>
          <w:p w14:paraId="08EDA344">
            <w:pPr>
              <w:pStyle w:val="24"/>
              <w:spacing w:line="600" w:lineRule="exact"/>
              <w:jc w:val="center"/>
              <w:rPr>
                <w:rFonts w:hint="eastAsia" w:hAnsi="宋体" w:eastAsia="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1</w:t>
            </w:r>
          </w:p>
        </w:tc>
        <w:tc>
          <w:tcPr>
            <w:tcW w:w="1875" w:type="dxa"/>
            <w:noWrap w:val="0"/>
            <w:vAlign w:val="center"/>
          </w:tcPr>
          <w:p w14:paraId="6BC2FC8C">
            <w:pPr>
              <w:pStyle w:val="24"/>
              <w:spacing w:line="600" w:lineRule="exact"/>
              <w:jc w:val="center"/>
              <w:rPr>
                <w:rFonts w:hint="eastAsia" w:hAnsi="宋体" w:cs="Courier New"/>
                <w:color w:val="auto"/>
                <w:kern w:val="2"/>
                <w:sz w:val="24"/>
                <w:szCs w:val="24"/>
                <w:highlight w:val="none"/>
              </w:rPr>
            </w:pPr>
          </w:p>
        </w:tc>
        <w:tc>
          <w:tcPr>
            <w:tcW w:w="2595" w:type="dxa"/>
            <w:noWrap w:val="0"/>
            <w:vAlign w:val="center"/>
          </w:tcPr>
          <w:p w14:paraId="6CC3EE9E">
            <w:pPr>
              <w:pStyle w:val="24"/>
              <w:spacing w:line="600" w:lineRule="exact"/>
              <w:jc w:val="center"/>
              <w:rPr>
                <w:rFonts w:hint="eastAsia" w:hAnsi="宋体" w:cs="Courier New"/>
                <w:color w:val="auto"/>
                <w:kern w:val="2"/>
                <w:sz w:val="24"/>
                <w:szCs w:val="24"/>
                <w:highlight w:val="none"/>
              </w:rPr>
            </w:pPr>
          </w:p>
        </w:tc>
        <w:tc>
          <w:tcPr>
            <w:tcW w:w="1883" w:type="dxa"/>
            <w:noWrap w:val="0"/>
            <w:vAlign w:val="center"/>
          </w:tcPr>
          <w:p w14:paraId="4AF3B39C">
            <w:pPr>
              <w:pStyle w:val="24"/>
              <w:spacing w:line="600" w:lineRule="exact"/>
              <w:jc w:val="center"/>
              <w:rPr>
                <w:rFonts w:hint="eastAsia" w:hAnsi="宋体" w:cs="Courier New"/>
                <w:color w:val="auto"/>
                <w:kern w:val="2"/>
                <w:sz w:val="24"/>
                <w:szCs w:val="24"/>
                <w:highlight w:val="none"/>
              </w:rPr>
            </w:pPr>
          </w:p>
        </w:tc>
        <w:tc>
          <w:tcPr>
            <w:tcW w:w="1934" w:type="dxa"/>
            <w:noWrap w:val="0"/>
            <w:vAlign w:val="center"/>
          </w:tcPr>
          <w:p w14:paraId="52AB18CE">
            <w:pPr>
              <w:pStyle w:val="24"/>
              <w:spacing w:line="600" w:lineRule="exact"/>
              <w:jc w:val="center"/>
              <w:rPr>
                <w:rFonts w:hint="eastAsia" w:hAnsi="宋体" w:cs="Courier New"/>
                <w:color w:val="auto"/>
                <w:kern w:val="2"/>
                <w:sz w:val="24"/>
                <w:szCs w:val="24"/>
                <w:highlight w:val="none"/>
              </w:rPr>
            </w:pPr>
          </w:p>
        </w:tc>
      </w:tr>
      <w:tr w14:paraId="272E9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noWrap w:val="0"/>
            <w:vAlign w:val="top"/>
          </w:tcPr>
          <w:p w14:paraId="4218DE82">
            <w:pPr>
              <w:pStyle w:val="24"/>
              <w:spacing w:line="600" w:lineRule="exact"/>
              <w:jc w:val="center"/>
              <w:rPr>
                <w:rFonts w:hint="eastAsia" w:hAnsi="宋体" w:eastAsia="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2</w:t>
            </w:r>
          </w:p>
        </w:tc>
        <w:tc>
          <w:tcPr>
            <w:tcW w:w="1875" w:type="dxa"/>
            <w:noWrap w:val="0"/>
            <w:vAlign w:val="top"/>
          </w:tcPr>
          <w:p w14:paraId="4BC989B1">
            <w:pPr>
              <w:pStyle w:val="24"/>
              <w:spacing w:line="600" w:lineRule="exact"/>
              <w:rPr>
                <w:rFonts w:hint="eastAsia" w:hAnsi="宋体" w:cs="Courier New"/>
                <w:color w:val="auto"/>
                <w:kern w:val="2"/>
                <w:sz w:val="24"/>
                <w:szCs w:val="24"/>
                <w:highlight w:val="none"/>
              </w:rPr>
            </w:pPr>
          </w:p>
        </w:tc>
        <w:tc>
          <w:tcPr>
            <w:tcW w:w="2595" w:type="dxa"/>
            <w:noWrap w:val="0"/>
            <w:vAlign w:val="top"/>
          </w:tcPr>
          <w:p w14:paraId="57DBEF6E">
            <w:pPr>
              <w:pStyle w:val="24"/>
              <w:spacing w:line="600" w:lineRule="exact"/>
              <w:rPr>
                <w:rFonts w:hint="eastAsia" w:hAnsi="宋体" w:cs="Courier New"/>
                <w:color w:val="auto"/>
                <w:kern w:val="2"/>
                <w:sz w:val="24"/>
                <w:szCs w:val="24"/>
                <w:highlight w:val="none"/>
              </w:rPr>
            </w:pPr>
          </w:p>
        </w:tc>
        <w:tc>
          <w:tcPr>
            <w:tcW w:w="1883" w:type="dxa"/>
            <w:noWrap w:val="0"/>
            <w:vAlign w:val="top"/>
          </w:tcPr>
          <w:p w14:paraId="4276A703">
            <w:pPr>
              <w:pStyle w:val="24"/>
              <w:spacing w:line="600" w:lineRule="exact"/>
              <w:rPr>
                <w:rFonts w:hint="eastAsia" w:hAnsi="宋体" w:cs="Courier New"/>
                <w:color w:val="auto"/>
                <w:kern w:val="2"/>
                <w:sz w:val="24"/>
                <w:szCs w:val="24"/>
                <w:highlight w:val="none"/>
              </w:rPr>
            </w:pPr>
          </w:p>
        </w:tc>
        <w:tc>
          <w:tcPr>
            <w:tcW w:w="1934" w:type="dxa"/>
            <w:noWrap w:val="0"/>
            <w:vAlign w:val="top"/>
          </w:tcPr>
          <w:p w14:paraId="453979F4">
            <w:pPr>
              <w:pStyle w:val="24"/>
              <w:spacing w:line="600" w:lineRule="exact"/>
              <w:rPr>
                <w:rFonts w:hint="eastAsia" w:hAnsi="宋体" w:cs="Courier New"/>
                <w:color w:val="auto"/>
                <w:kern w:val="2"/>
                <w:sz w:val="24"/>
                <w:szCs w:val="24"/>
                <w:highlight w:val="none"/>
              </w:rPr>
            </w:pPr>
          </w:p>
        </w:tc>
      </w:tr>
      <w:tr w14:paraId="0AB2C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noWrap w:val="0"/>
            <w:vAlign w:val="top"/>
          </w:tcPr>
          <w:p w14:paraId="5DA007D0">
            <w:pPr>
              <w:pStyle w:val="24"/>
              <w:spacing w:line="600" w:lineRule="exact"/>
              <w:rPr>
                <w:rFonts w:hint="eastAsia" w:hAnsi="宋体" w:cs="Courier New"/>
                <w:color w:val="auto"/>
                <w:kern w:val="2"/>
                <w:sz w:val="24"/>
                <w:szCs w:val="24"/>
                <w:highlight w:val="none"/>
              </w:rPr>
            </w:pPr>
          </w:p>
        </w:tc>
        <w:tc>
          <w:tcPr>
            <w:tcW w:w="1875" w:type="dxa"/>
            <w:noWrap w:val="0"/>
            <w:vAlign w:val="top"/>
          </w:tcPr>
          <w:p w14:paraId="00A456DD">
            <w:pPr>
              <w:pStyle w:val="24"/>
              <w:spacing w:line="600" w:lineRule="exact"/>
              <w:rPr>
                <w:rFonts w:hint="eastAsia" w:hAnsi="宋体" w:cs="Courier New"/>
                <w:color w:val="auto"/>
                <w:kern w:val="2"/>
                <w:sz w:val="24"/>
                <w:szCs w:val="24"/>
                <w:highlight w:val="none"/>
              </w:rPr>
            </w:pPr>
          </w:p>
        </w:tc>
        <w:tc>
          <w:tcPr>
            <w:tcW w:w="2595" w:type="dxa"/>
            <w:noWrap w:val="0"/>
            <w:vAlign w:val="top"/>
          </w:tcPr>
          <w:p w14:paraId="55ECDDC4">
            <w:pPr>
              <w:pStyle w:val="24"/>
              <w:spacing w:line="600" w:lineRule="exact"/>
              <w:rPr>
                <w:rFonts w:hint="eastAsia" w:hAnsi="宋体" w:cs="Courier New"/>
                <w:color w:val="auto"/>
                <w:kern w:val="2"/>
                <w:sz w:val="24"/>
                <w:szCs w:val="24"/>
                <w:highlight w:val="none"/>
              </w:rPr>
            </w:pPr>
          </w:p>
        </w:tc>
        <w:tc>
          <w:tcPr>
            <w:tcW w:w="1883" w:type="dxa"/>
            <w:noWrap w:val="0"/>
            <w:vAlign w:val="top"/>
          </w:tcPr>
          <w:p w14:paraId="3C5FA708">
            <w:pPr>
              <w:pStyle w:val="24"/>
              <w:spacing w:line="600" w:lineRule="exact"/>
              <w:rPr>
                <w:rFonts w:hint="eastAsia" w:hAnsi="宋体" w:cs="Courier New"/>
                <w:color w:val="auto"/>
                <w:kern w:val="2"/>
                <w:sz w:val="24"/>
                <w:szCs w:val="24"/>
                <w:highlight w:val="none"/>
              </w:rPr>
            </w:pPr>
          </w:p>
        </w:tc>
        <w:tc>
          <w:tcPr>
            <w:tcW w:w="1934" w:type="dxa"/>
            <w:noWrap w:val="0"/>
            <w:vAlign w:val="top"/>
          </w:tcPr>
          <w:p w14:paraId="3E38CF11">
            <w:pPr>
              <w:pStyle w:val="24"/>
              <w:spacing w:line="600" w:lineRule="exact"/>
              <w:rPr>
                <w:rFonts w:hint="eastAsia" w:hAnsi="宋体" w:cs="Courier New"/>
                <w:color w:val="auto"/>
                <w:kern w:val="2"/>
                <w:sz w:val="24"/>
                <w:szCs w:val="24"/>
                <w:highlight w:val="none"/>
              </w:rPr>
            </w:pPr>
          </w:p>
        </w:tc>
      </w:tr>
      <w:tr w14:paraId="6A7E3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noWrap w:val="0"/>
            <w:vAlign w:val="top"/>
          </w:tcPr>
          <w:p w14:paraId="6B93856D">
            <w:pPr>
              <w:pStyle w:val="24"/>
              <w:spacing w:line="600" w:lineRule="exact"/>
              <w:rPr>
                <w:rFonts w:hint="eastAsia" w:hAnsi="宋体" w:cs="Courier New"/>
                <w:color w:val="auto"/>
                <w:kern w:val="2"/>
                <w:sz w:val="24"/>
                <w:szCs w:val="24"/>
                <w:highlight w:val="none"/>
              </w:rPr>
            </w:pPr>
          </w:p>
        </w:tc>
        <w:tc>
          <w:tcPr>
            <w:tcW w:w="1875" w:type="dxa"/>
            <w:noWrap w:val="0"/>
            <w:vAlign w:val="top"/>
          </w:tcPr>
          <w:p w14:paraId="71B13C5C">
            <w:pPr>
              <w:pStyle w:val="24"/>
              <w:spacing w:line="600" w:lineRule="exact"/>
              <w:rPr>
                <w:rFonts w:hint="eastAsia" w:hAnsi="宋体" w:cs="Courier New"/>
                <w:color w:val="auto"/>
                <w:kern w:val="2"/>
                <w:sz w:val="24"/>
                <w:szCs w:val="24"/>
                <w:highlight w:val="none"/>
              </w:rPr>
            </w:pPr>
          </w:p>
        </w:tc>
        <w:tc>
          <w:tcPr>
            <w:tcW w:w="2595" w:type="dxa"/>
            <w:noWrap w:val="0"/>
            <w:vAlign w:val="top"/>
          </w:tcPr>
          <w:p w14:paraId="456CD7DB">
            <w:pPr>
              <w:pStyle w:val="24"/>
              <w:spacing w:line="600" w:lineRule="exact"/>
              <w:rPr>
                <w:rFonts w:hint="eastAsia" w:hAnsi="宋体" w:cs="Courier New"/>
                <w:color w:val="auto"/>
                <w:kern w:val="2"/>
                <w:sz w:val="24"/>
                <w:szCs w:val="24"/>
                <w:highlight w:val="none"/>
              </w:rPr>
            </w:pPr>
          </w:p>
        </w:tc>
        <w:tc>
          <w:tcPr>
            <w:tcW w:w="1883" w:type="dxa"/>
            <w:noWrap w:val="0"/>
            <w:vAlign w:val="top"/>
          </w:tcPr>
          <w:p w14:paraId="383EA2C8">
            <w:pPr>
              <w:pStyle w:val="24"/>
              <w:spacing w:line="600" w:lineRule="exact"/>
              <w:rPr>
                <w:rFonts w:hint="eastAsia" w:hAnsi="宋体" w:cs="Courier New"/>
                <w:color w:val="auto"/>
                <w:kern w:val="2"/>
                <w:sz w:val="24"/>
                <w:szCs w:val="24"/>
                <w:highlight w:val="none"/>
              </w:rPr>
            </w:pPr>
          </w:p>
        </w:tc>
        <w:tc>
          <w:tcPr>
            <w:tcW w:w="1934" w:type="dxa"/>
            <w:noWrap w:val="0"/>
            <w:vAlign w:val="top"/>
          </w:tcPr>
          <w:p w14:paraId="2CBFC6F9">
            <w:pPr>
              <w:pStyle w:val="24"/>
              <w:spacing w:line="600" w:lineRule="exact"/>
              <w:rPr>
                <w:rFonts w:hint="eastAsia" w:hAnsi="宋体" w:cs="Courier New"/>
                <w:color w:val="auto"/>
                <w:kern w:val="2"/>
                <w:sz w:val="24"/>
                <w:szCs w:val="24"/>
                <w:highlight w:val="none"/>
              </w:rPr>
            </w:pPr>
          </w:p>
        </w:tc>
      </w:tr>
      <w:tr w14:paraId="2EFA6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noWrap w:val="0"/>
            <w:vAlign w:val="top"/>
          </w:tcPr>
          <w:p w14:paraId="7773CC70">
            <w:pPr>
              <w:pStyle w:val="24"/>
              <w:spacing w:line="600" w:lineRule="exact"/>
              <w:rPr>
                <w:rFonts w:hint="eastAsia" w:hAnsi="宋体" w:cs="Courier New"/>
                <w:color w:val="auto"/>
                <w:kern w:val="2"/>
                <w:sz w:val="24"/>
                <w:szCs w:val="24"/>
                <w:highlight w:val="none"/>
              </w:rPr>
            </w:pPr>
            <w:r>
              <w:rPr>
                <w:rFonts w:hint="eastAsia" w:ascii="宋体" w:hAnsi="宋体"/>
                <w:color w:val="auto"/>
                <w:szCs w:val="21"/>
                <w:highlight w:val="none"/>
              </w:rPr>
              <w:t>...</w:t>
            </w:r>
          </w:p>
        </w:tc>
        <w:tc>
          <w:tcPr>
            <w:tcW w:w="1875" w:type="dxa"/>
            <w:noWrap w:val="0"/>
            <w:vAlign w:val="top"/>
          </w:tcPr>
          <w:p w14:paraId="47426E6A">
            <w:pPr>
              <w:pStyle w:val="24"/>
              <w:spacing w:line="600" w:lineRule="exact"/>
              <w:rPr>
                <w:rFonts w:hint="eastAsia" w:hAnsi="宋体" w:cs="Courier New"/>
                <w:color w:val="auto"/>
                <w:kern w:val="2"/>
                <w:sz w:val="24"/>
                <w:szCs w:val="24"/>
                <w:highlight w:val="none"/>
              </w:rPr>
            </w:pPr>
          </w:p>
        </w:tc>
        <w:tc>
          <w:tcPr>
            <w:tcW w:w="2595" w:type="dxa"/>
            <w:noWrap w:val="0"/>
            <w:vAlign w:val="top"/>
          </w:tcPr>
          <w:p w14:paraId="0BD1C7DC">
            <w:pPr>
              <w:pStyle w:val="24"/>
              <w:spacing w:line="600" w:lineRule="exact"/>
              <w:rPr>
                <w:rFonts w:hint="eastAsia" w:hAnsi="宋体" w:cs="Courier New"/>
                <w:color w:val="auto"/>
                <w:kern w:val="2"/>
                <w:sz w:val="24"/>
                <w:szCs w:val="24"/>
                <w:highlight w:val="none"/>
              </w:rPr>
            </w:pPr>
          </w:p>
        </w:tc>
        <w:tc>
          <w:tcPr>
            <w:tcW w:w="1883" w:type="dxa"/>
            <w:noWrap w:val="0"/>
            <w:vAlign w:val="top"/>
          </w:tcPr>
          <w:p w14:paraId="15AE1BA9">
            <w:pPr>
              <w:pStyle w:val="24"/>
              <w:spacing w:line="600" w:lineRule="exact"/>
              <w:rPr>
                <w:rFonts w:hint="eastAsia" w:hAnsi="宋体" w:cs="Courier New"/>
                <w:color w:val="auto"/>
                <w:kern w:val="2"/>
                <w:sz w:val="24"/>
                <w:szCs w:val="24"/>
                <w:highlight w:val="none"/>
              </w:rPr>
            </w:pPr>
          </w:p>
        </w:tc>
        <w:tc>
          <w:tcPr>
            <w:tcW w:w="1934" w:type="dxa"/>
            <w:noWrap w:val="0"/>
            <w:vAlign w:val="top"/>
          </w:tcPr>
          <w:p w14:paraId="253E1ABB">
            <w:pPr>
              <w:pStyle w:val="24"/>
              <w:spacing w:line="600" w:lineRule="exact"/>
              <w:rPr>
                <w:rFonts w:hint="eastAsia" w:hAnsi="宋体" w:cs="Courier New"/>
                <w:color w:val="auto"/>
                <w:kern w:val="2"/>
                <w:sz w:val="24"/>
                <w:szCs w:val="24"/>
                <w:highlight w:val="none"/>
              </w:rPr>
            </w:pPr>
          </w:p>
        </w:tc>
      </w:tr>
    </w:tbl>
    <w:p w14:paraId="3E77E374">
      <w:pPr>
        <w:spacing w:line="360" w:lineRule="auto"/>
        <w:rPr>
          <w:rFonts w:hint="eastAsia" w:ascii="楷体" w:hAnsi="楷体" w:eastAsia="楷体" w:cs="仿宋_GB2312"/>
          <w:color w:val="auto"/>
          <w:kern w:val="0"/>
          <w:sz w:val="24"/>
          <w:highlight w:val="none"/>
        </w:rPr>
      </w:pPr>
    </w:p>
    <w:p w14:paraId="1096099D">
      <w:pPr>
        <w:spacing w:line="360" w:lineRule="auto"/>
        <w:rPr>
          <w:rFonts w:ascii="楷体" w:hAnsi="楷体" w:eastAsia="楷体" w:cs="仿宋_GB2312"/>
          <w:color w:val="auto"/>
          <w:kern w:val="0"/>
          <w:sz w:val="24"/>
          <w:highlight w:val="none"/>
        </w:rPr>
      </w:pPr>
      <w:r>
        <w:rPr>
          <w:rFonts w:hint="eastAsia" w:ascii="楷体" w:hAnsi="楷体" w:eastAsia="楷体" w:cs="仿宋_GB2312"/>
          <w:color w:val="auto"/>
          <w:kern w:val="0"/>
          <w:sz w:val="24"/>
          <w:highlight w:val="none"/>
        </w:rPr>
        <w:t>注：</w:t>
      </w:r>
    </w:p>
    <w:p w14:paraId="2F96FDAB">
      <w:pPr>
        <w:spacing w:line="360" w:lineRule="auto"/>
        <w:ind w:firstLine="480" w:firstLineChars="200"/>
        <w:rPr>
          <w:rFonts w:ascii="楷体" w:hAnsi="楷体" w:eastAsia="楷体" w:cs="仿宋_GB2312"/>
          <w:color w:val="auto"/>
          <w:kern w:val="0"/>
          <w:sz w:val="24"/>
          <w:highlight w:val="none"/>
        </w:rPr>
      </w:pPr>
      <w:r>
        <w:rPr>
          <w:rFonts w:hint="eastAsia" w:ascii="楷体" w:hAnsi="楷体" w:eastAsia="楷体" w:cs="仿宋_GB2312"/>
          <w:color w:val="auto"/>
          <w:kern w:val="0"/>
          <w:sz w:val="24"/>
          <w:highlight w:val="none"/>
        </w:rPr>
        <w:t>1.应对照</w:t>
      </w:r>
      <w:r>
        <w:rPr>
          <w:rFonts w:hint="eastAsia" w:ascii="楷体" w:hAnsi="楷体" w:eastAsia="楷体" w:cs="仿宋_GB2312"/>
          <w:color w:val="auto"/>
          <w:kern w:val="0"/>
          <w:sz w:val="24"/>
          <w:highlight w:val="none"/>
          <w:lang w:val="en-US" w:eastAsia="zh-CN"/>
        </w:rPr>
        <w:t>磋商</w:t>
      </w:r>
      <w:r>
        <w:rPr>
          <w:rFonts w:hint="eastAsia" w:ascii="楷体" w:hAnsi="楷体" w:eastAsia="楷体" w:cs="仿宋_GB2312"/>
          <w:color w:val="auto"/>
          <w:kern w:val="0"/>
          <w:sz w:val="24"/>
          <w:highlight w:val="none"/>
        </w:rPr>
        <w:t>文件</w:t>
      </w:r>
      <w:r>
        <w:rPr>
          <w:rFonts w:hint="eastAsia" w:ascii="楷体" w:hAnsi="楷体" w:eastAsia="楷体"/>
          <w:color w:val="auto"/>
          <w:kern w:val="0"/>
          <w:sz w:val="24"/>
          <w:highlight w:val="none"/>
        </w:rPr>
        <w:t>“第三章 采购需求”</w:t>
      </w:r>
      <w:r>
        <w:rPr>
          <w:rFonts w:hint="eastAsia" w:ascii="楷体" w:hAnsi="楷体" w:eastAsia="楷体" w:cs="仿宋_GB2312"/>
          <w:color w:val="auto"/>
          <w:kern w:val="0"/>
          <w:sz w:val="24"/>
          <w:highlight w:val="none"/>
        </w:rPr>
        <w:t>的</w:t>
      </w:r>
      <w:r>
        <w:rPr>
          <w:rFonts w:hint="eastAsia" w:ascii="楷体" w:hAnsi="楷体" w:eastAsia="楷体" w:cs="仿宋_GB2312"/>
          <w:b/>
          <w:color w:val="auto"/>
          <w:kern w:val="0"/>
          <w:sz w:val="24"/>
          <w:highlight w:val="none"/>
        </w:rPr>
        <w:t>技术要求</w:t>
      </w:r>
      <w:r>
        <w:rPr>
          <w:rFonts w:hint="eastAsia" w:ascii="楷体" w:hAnsi="楷体" w:eastAsia="楷体" w:cs="仿宋_GB2312"/>
          <w:color w:val="auto"/>
          <w:kern w:val="0"/>
          <w:sz w:val="24"/>
          <w:highlight w:val="none"/>
        </w:rPr>
        <w:t>条款</w:t>
      </w:r>
      <w:r>
        <w:rPr>
          <w:rFonts w:hint="eastAsia" w:ascii="楷体" w:hAnsi="楷体" w:eastAsia="楷体"/>
          <w:b/>
          <w:color w:val="auto"/>
          <w:kern w:val="0"/>
          <w:sz w:val="24"/>
          <w:highlight w:val="none"/>
          <w:u w:val="single"/>
        </w:rPr>
        <w:t>逐条</w:t>
      </w:r>
      <w:r>
        <w:rPr>
          <w:rFonts w:hint="eastAsia" w:ascii="楷体" w:hAnsi="楷体" w:eastAsia="楷体" w:cs="仿宋_GB2312"/>
          <w:color w:val="auto"/>
          <w:kern w:val="0"/>
          <w:sz w:val="24"/>
          <w:highlight w:val="none"/>
        </w:rPr>
        <w:t>作出明确响应，并作出偏离说明</w:t>
      </w:r>
      <w:r>
        <w:rPr>
          <w:rFonts w:hint="eastAsia" w:ascii="楷体" w:hAnsi="楷体" w:eastAsia="楷体"/>
          <w:color w:val="auto"/>
          <w:kern w:val="0"/>
          <w:sz w:val="24"/>
          <w:highlight w:val="none"/>
        </w:rPr>
        <w:t>，否则竞</w:t>
      </w:r>
      <w:r>
        <w:rPr>
          <w:rFonts w:hint="eastAsia" w:ascii="楷体" w:hAnsi="楷体" w:eastAsia="楷体"/>
          <w:color w:val="auto"/>
          <w:kern w:val="0"/>
          <w:sz w:val="24"/>
          <w:highlight w:val="none"/>
          <w:lang w:val="en-US" w:eastAsia="zh-CN"/>
        </w:rPr>
        <w:t>标</w:t>
      </w:r>
      <w:r>
        <w:rPr>
          <w:rFonts w:hint="eastAsia" w:ascii="楷体" w:hAnsi="楷体" w:eastAsia="楷体"/>
          <w:color w:val="auto"/>
          <w:kern w:val="0"/>
          <w:sz w:val="24"/>
          <w:highlight w:val="none"/>
        </w:rPr>
        <w:t>无效。</w:t>
      </w:r>
    </w:p>
    <w:p w14:paraId="7606130D">
      <w:pPr>
        <w:spacing w:line="360" w:lineRule="auto"/>
        <w:ind w:firstLine="480" w:firstLineChars="200"/>
        <w:rPr>
          <w:rFonts w:ascii="楷体" w:hAnsi="楷体" w:eastAsia="楷体" w:cs="仿宋_GB2312"/>
          <w:color w:val="auto"/>
          <w:kern w:val="0"/>
          <w:sz w:val="24"/>
          <w:highlight w:val="none"/>
        </w:rPr>
      </w:pPr>
      <w:r>
        <w:rPr>
          <w:rFonts w:hint="eastAsia" w:ascii="楷体" w:hAnsi="楷体" w:eastAsia="楷体" w:cs="仿宋_GB2312"/>
          <w:color w:val="auto"/>
          <w:kern w:val="0"/>
          <w:sz w:val="24"/>
          <w:highlight w:val="none"/>
        </w:rPr>
        <w:t>2. 供应商应根据自身的承诺，对照采购文件要求，在“偏离说明”中注明“正偏离”、“负偏离”或者“无偏离”。既不属于“正偏离”也不属于“负偏离”即为“无偏离”。 当响应文件的技术内容低于采购文件要求时，供应商应当如实写明“负偏离”，否则视为虚假应标。</w:t>
      </w:r>
    </w:p>
    <w:p w14:paraId="68C9773A">
      <w:pPr>
        <w:spacing w:line="360" w:lineRule="auto"/>
        <w:ind w:right="-817" w:rightChars="-389"/>
        <w:contextualSpacing/>
        <w:rPr>
          <w:rFonts w:ascii="宋体" w:hAnsi="宋体" w:cs="仿宋_GB2312"/>
          <w:color w:val="auto"/>
          <w:sz w:val="24"/>
          <w:highlight w:val="none"/>
        </w:rPr>
      </w:pPr>
    </w:p>
    <w:p w14:paraId="3D864DEF">
      <w:pPr>
        <w:spacing w:line="360" w:lineRule="auto"/>
        <w:ind w:right="-817" w:rightChars="-389"/>
        <w:contextualSpacing/>
        <w:rPr>
          <w:rFonts w:ascii="宋体" w:hAnsi="宋体" w:cs="仿宋_GB2312"/>
          <w:color w:val="auto"/>
          <w:sz w:val="24"/>
          <w:highlight w:val="none"/>
        </w:rPr>
      </w:pPr>
    </w:p>
    <w:p w14:paraId="3E4AF895">
      <w:pPr>
        <w:spacing w:line="440" w:lineRule="exact"/>
        <w:ind w:right="-817" w:rightChars="-389" w:firstLine="5280" w:firstLineChars="22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06D08441">
      <w:pPr>
        <w:spacing w:line="440" w:lineRule="exact"/>
        <w:ind w:right="-817" w:rightChars="-389" w:firstLine="5280" w:firstLineChars="22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2FDDB3CB">
      <w:pPr>
        <w:spacing w:line="500" w:lineRule="exact"/>
        <w:jc w:val="center"/>
        <w:rPr>
          <w:rFonts w:hint="eastAsia" w:ascii="仿宋_GB2312" w:hAnsi="仿宋_GB2312" w:eastAsia="仿宋_GB2312" w:cs="仿宋_GB2312"/>
          <w:color w:val="auto"/>
          <w:sz w:val="32"/>
          <w:szCs w:val="32"/>
          <w:highlight w:val="none"/>
        </w:rPr>
      </w:pPr>
    </w:p>
    <w:p w14:paraId="45F54588">
      <w:pPr>
        <w:spacing w:line="500" w:lineRule="exact"/>
        <w:jc w:val="center"/>
        <w:rPr>
          <w:rFonts w:hint="eastAsia" w:ascii="仿宋_GB2312" w:hAnsi="仿宋_GB2312" w:eastAsia="仿宋_GB2312" w:cs="仿宋_GB2312"/>
          <w:color w:val="auto"/>
          <w:sz w:val="32"/>
          <w:szCs w:val="32"/>
          <w:highlight w:val="none"/>
        </w:rPr>
      </w:pPr>
    </w:p>
    <w:p w14:paraId="25EF0372">
      <w:pPr>
        <w:spacing w:line="500" w:lineRule="exact"/>
        <w:jc w:val="center"/>
        <w:rPr>
          <w:rFonts w:hint="eastAsia" w:ascii="仿宋_GB2312" w:hAnsi="仿宋_GB2312" w:eastAsia="仿宋_GB2312" w:cs="仿宋_GB2312"/>
          <w:color w:val="auto"/>
          <w:sz w:val="32"/>
          <w:szCs w:val="32"/>
          <w:highlight w:val="none"/>
        </w:rPr>
      </w:pPr>
    </w:p>
    <w:p w14:paraId="220D4EEF">
      <w:pPr>
        <w:spacing w:line="500" w:lineRule="exact"/>
        <w:jc w:val="both"/>
        <w:rPr>
          <w:rFonts w:hint="eastAsia" w:ascii="仿宋_GB2312" w:hAnsi="仿宋_GB2312" w:eastAsia="仿宋_GB2312" w:cs="仿宋_GB2312"/>
          <w:color w:val="auto"/>
          <w:sz w:val="32"/>
          <w:szCs w:val="32"/>
          <w:highlight w:val="none"/>
        </w:rPr>
      </w:pPr>
    </w:p>
    <w:p w14:paraId="3B23B36D">
      <w:pPr>
        <w:spacing w:line="500" w:lineRule="exact"/>
        <w:jc w:val="center"/>
        <w:rPr>
          <w:rFonts w:hint="eastAsia" w:ascii="仿宋_GB2312" w:hAnsi="仿宋_GB2312" w:eastAsia="仿宋_GB2312" w:cs="仿宋_GB2312"/>
          <w:color w:val="auto"/>
          <w:sz w:val="32"/>
          <w:szCs w:val="32"/>
          <w:highlight w:val="none"/>
        </w:rPr>
      </w:pPr>
    </w:p>
    <w:p w14:paraId="1B6EF1BB">
      <w:pPr>
        <w:spacing w:line="360" w:lineRule="auto"/>
        <w:jc w:val="center"/>
        <w:rPr>
          <w:rFonts w:hint="eastAsia" w:ascii="宋体" w:hAnsi="宋体" w:cs="方正小标宋简体"/>
          <w:b/>
          <w:color w:val="auto"/>
          <w:sz w:val="32"/>
          <w:szCs w:val="32"/>
          <w:highlight w:val="none"/>
        </w:rPr>
      </w:pPr>
      <w:r>
        <w:rPr>
          <w:rFonts w:hint="eastAsia" w:ascii="宋体" w:hAnsi="宋体" w:cs="方正小标宋简体"/>
          <w:b/>
          <w:color w:val="auto"/>
          <w:sz w:val="32"/>
          <w:szCs w:val="32"/>
          <w:highlight w:val="none"/>
        </w:rPr>
        <w:t>施工组织设计</w:t>
      </w:r>
    </w:p>
    <w:p w14:paraId="2E278AD6">
      <w:pPr>
        <w:spacing w:line="360" w:lineRule="auto"/>
        <w:ind w:firstLine="420" w:firstLineChars="200"/>
        <w:rPr>
          <w:rFonts w:cs="宋体"/>
          <w:color w:val="auto"/>
          <w:highlight w:val="none"/>
        </w:rPr>
      </w:pPr>
      <w:r>
        <w:rPr>
          <w:rFonts w:hint="eastAsia"/>
          <w:color w:val="auto"/>
          <w:highlight w:val="none"/>
          <w:lang w:val="en-US" w:eastAsia="zh-CN"/>
        </w:rPr>
        <w:t>1</w:t>
      </w:r>
      <w:r>
        <w:rPr>
          <w:rFonts w:hint="eastAsia"/>
          <w:color w:val="auto"/>
          <w:highlight w:val="none"/>
        </w:rPr>
        <w:t xml:space="preserve">. </w:t>
      </w:r>
      <w:r>
        <w:rPr>
          <w:color w:val="auto"/>
          <w:highlight w:val="none"/>
        </w:rPr>
        <w:t>施工组织</w:t>
      </w:r>
      <w:r>
        <w:rPr>
          <w:rFonts w:hint="eastAsia"/>
          <w:color w:val="auto"/>
          <w:highlight w:val="none"/>
        </w:rPr>
        <w:t>设计</w:t>
      </w:r>
      <w:r>
        <w:rPr>
          <w:rFonts w:hint="eastAsia" w:ascii="宋体" w:hAnsi="宋体"/>
          <w:color w:val="auto"/>
          <w:highlight w:val="none"/>
        </w:rPr>
        <w:t>应</w:t>
      </w:r>
      <w:r>
        <w:rPr>
          <w:rFonts w:hint="eastAsia" w:ascii="宋体" w:hAnsi="宋体"/>
          <w:color w:val="auto"/>
          <w:highlight w:val="none"/>
          <w:lang w:val="en-US" w:eastAsia="zh-CN"/>
        </w:rPr>
        <w:t>按</w:t>
      </w:r>
      <w:r>
        <w:rPr>
          <w:rFonts w:hint="eastAsia"/>
          <w:color w:val="auto"/>
          <w:highlight w:val="none"/>
        </w:rPr>
        <w:t>以下内容顺序编制，可</w:t>
      </w:r>
      <w:r>
        <w:rPr>
          <w:rFonts w:hint="eastAsia" w:ascii="宋体" w:hAnsi="宋体"/>
          <w:color w:val="auto"/>
          <w:highlight w:val="none"/>
        </w:rPr>
        <w:t>采用文字并结合图表形式说明施工方法，</w:t>
      </w:r>
      <w:r>
        <w:rPr>
          <w:color w:val="auto"/>
          <w:highlight w:val="none"/>
        </w:rPr>
        <w:t>施工组织</w:t>
      </w:r>
      <w:r>
        <w:rPr>
          <w:rFonts w:hint="eastAsia"/>
          <w:color w:val="auto"/>
          <w:highlight w:val="none"/>
        </w:rPr>
        <w:t>设计具体</w:t>
      </w:r>
      <w:r>
        <w:rPr>
          <w:color w:val="auto"/>
          <w:highlight w:val="none"/>
        </w:rPr>
        <w:t>内容</w:t>
      </w:r>
      <w:r>
        <w:rPr>
          <w:rFonts w:hint="eastAsia" w:cs="宋体"/>
          <w:color w:val="auto"/>
          <w:highlight w:val="none"/>
        </w:rPr>
        <w:t>如下：</w:t>
      </w:r>
    </w:p>
    <w:p w14:paraId="2AC321AF">
      <w:pPr>
        <w:spacing w:line="360" w:lineRule="auto"/>
        <w:ind w:firstLine="420" w:firstLineChars="200"/>
        <w:rPr>
          <w:color w:val="auto"/>
          <w:highlight w:val="none"/>
        </w:rPr>
      </w:pPr>
      <w:r>
        <w:rPr>
          <w:rFonts w:hint="eastAsia"/>
          <w:color w:val="auto"/>
          <w:highlight w:val="none"/>
        </w:rPr>
        <w:t>（1）概述</w:t>
      </w:r>
    </w:p>
    <w:p w14:paraId="6A439463">
      <w:pPr>
        <w:spacing w:line="360" w:lineRule="auto"/>
        <w:ind w:firstLine="420" w:firstLineChars="200"/>
        <w:rPr>
          <w:color w:val="auto"/>
          <w:highlight w:val="none"/>
        </w:rPr>
      </w:pPr>
      <w:r>
        <w:rPr>
          <w:rFonts w:hint="eastAsia"/>
          <w:color w:val="auto"/>
          <w:highlight w:val="none"/>
        </w:rPr>
        <w:t>（2）主要施工方法；</w:t>
      </w:r>
    </w:p>
    <w:p w14:paraId="594D887A">
      <w:pPr>
        <w:spacing w:line="360" w:lineRule="auto"/>
        <w:ind w:firstLine="420" w:firstLineChars="200"/>
        <w:rPr>
          <w:color w:val="auto"/>
          <w:highlight w:val="none"/>
        </w:rPr>
      </w:pPr>
      <w:r>
        <w:rPr>
          <w:rFonts w:hint="eastAsia"/>
          <w:color w:val="auto"/>
          <w:highlight w:val="none"/>
        </w:rPr>
        <w:t>（3）拟投入的主要物资计划</w:t>
      </w:r>
    </w:p>
    <w:p w14:paraId="5D3C987B">
      <w:pPr>
        <w:spacing w:line="360" w:lineRule="auto"/>
        <w:ind w:firstLine="420" w:firstLineChars="200"/>
        <w:rPr>
          <w:color w:val="auto"/>
          <w:highlight w:val="none"/>
        </w:rPr>
      </w:pPr>
      <w:r>
        <w:rPr>
          <w:rFonts w:hint="eastAsia"/>
          <w:color w:val="auto"/>
          <w:highlight w:val="none"/>
        </w:rPr>
        <w:t>（</w:t>
      </w:r>
      <w:r>
        <w:rPr>
          <w:color w:val="auto"/>
          <w:highlight w:val="none"/>
        </w:rPr>
        <w:t>4</w:t>
      </w:r>
      <w:r>
        <w:rPr>
          <w:rFonts w:hint="eastAsia"/>
          <w:color w:val="auto"/>
          <w:highlight w:val="none"/>
        </w:rPr>
        <w:t>）劳动力安排计划；</w:t>
      </w:r>
    </w:p>
    <w:p w14:paraId="6B7B0205">
      <w:pPr>
        <w:spacing w:line="360" w:lineRule="auto"/>
        <w:ind w:firstLine="420" w:firstLineChars="200"/>
        <w:rPr>
          <w:color w:val="auto"/>
          <w:highlight w:val="none"/>
        </w:rPr>
      </w:pPr>
      <w:r>
        <w:rPr>
          <w:rFonts w:hint="eastAsia"/>
          <w:color w:val="auto"/>
          <w:highlight w:val="none"/>
        </w:rPr>
        <w:t>（</w:t>
      </w:r>
      <w:r>
        <w:rPr>
          <w:color w:val="auto"/>
          <w:highlight w:val="none"/>
        </w:rPr>
        <w:t>5</w:t>
      </w:r>
      <w:r>
        <w:rPr>
          <w:rFonts w:hint="eastAsia"/>
          <w:color w:val="auto"/>
          <w:highlight w:val="none"/>
        </w:rPr>
        <w:t>）确保工程质量的技术组织措施；</w:t>
      </w:r>
    </w:p>
    <w:p w14:paraId="58337AEC">
      <w:pPr>
        <w:spacing w:line="360" w:lineRule="auto"/>
        <w:ind w:firstLine="420" w:firstLineChars="200"/>
        <w:rPr>
          <w:color w:val="auto"/>
          <w:highlight w:val="none"/>
        </w:rPr>
      </w:pPr>
      <w:r>
        <w:rPr>
          <w:rFonts w:hint="eastAsia"/>
          <w:color w:val="auto"/>
          <w:highlight w:val="none"/>
        </w:rPr>
        <w:t>（</w:t>
      </w:r>
      <w:r>
        <w:rPr>
          <w:color w:val="auto"/>
          <w:highlight w:val="none"/>
        </w:rPr>
        <w:t>6</w:t>
      </w:r>
      <w:r>
        <w:rPr>
          <w:rFonts w:hint="eastAsia"/>
          <w:color w:val="auto"/>
          <w:highlight w:val="none"/>
        </w:rPr>
        <w:t>）确保安全生产的技术组织措施；</w:t>
      </w:r>
    </w:p>
    <w:p w14:paraId="18144B76">
      <w:pPr>
        <w:spacing w:line="360" w:lineRule="auto"/>
        <w:ind w:firstLine="420" w:firstLineChars="200"/>
        <w:rPr>
          <w:color w:val="auto"/>
          <w:highlight w:val="none"/>
        </w:rPr>
      </w:pPr>
      <w:r>
        <w:rPr>
          <w:rFonts w:hint="eastAsia"/>
          <w:color w:val="auto"/>
          <w:highlight w:val="none"/>
        </w:rPr>
        <w:t>（</w:t>
      </w:r>
      <w:r>
        <w:rPr>
          <w:color w:val="auto"/>
          <w:highlight w:val="none"/>
        </w:rPr>
        <w:t>7</w:t>
      </w:r>
      <w:r>
        <w:rPr>
          <w:rFonts w:hint="eastAsia"/>
          <w:color w:val="auto"/>
          <w:highlight w:val="none"/>
        </w:rPr>
        <w:t>）确保工期的技术组织措施；</w:t>
      </w:r>
    </w:p>
    <w:p w14:paraId="19F594DF">
      <w:pPr>
        <w:spacing w:line="360" w:lineRule="auto"/>
        <w:ind w:firstLine="420" w:firstLineChars="200"/>
        <w:rPr>
          <w:color w:val="auto"/>
          <w:highlight w:val="none"/>
        </w:rPr>
      </w:pPr>
      <w:r>
        <w:rPr>
          <w:rFonts w:hint="eastAsia"/>
          <w:color w:val="auto"/>
          <w:highlight w:val="none"/>
        </w:rPr>
        <w:t>（</w:t>
      </w:r>
      <w:r>
        <w:rPr>
          <w:color w:val="auto"/>
          <w:highlight w:val="none"/>
        </w:rPr>
        <w:t>8</w:t>
      </w:r>
      <w:r>
        <w:rPr>
          <w:rFonts w:hint="eastAsia"/>
          <w:color w:val="auto"/>
          <w:highlight w:val="none"/>
        </w:rPr>
        <w:t>）确保文明施工的技术组织措施；</w:t>
      </w:r>
    </w:p>
    <w:p w14:paraId="60778653">
      <w:pPr>
        <w:spacing w:line="360" w:lineRule="auto"/>
        <w:ind w:firstLine="420" w:firstLineChars="200"/>
        <w:rPr>
          <w:color w:val="auto"/>
          <w:highlight w:val="none"/>
        </w:rPr>
      </w:pPr>
      <w:r>
        <w:rPr>
          <w:rFonts w:hint="eastAsia"/>
          <w:color w:val="auto"/>
          <w:highlight w:val="none"/>
        </w:rPr>
        <w:t>（</w:t>
      </w:r>
      <w:r>
        <w:rPr>
          <w:color w:val="auto"/>
          <w:highlight w:val="none"/>
        </w:rPr>
        <w:t>9</w:t>
      </w:r>
      <w:r>
        <w:rPr>
          <w:rFonts w:hint="eastAsia"/>
          <w:color w:val="auto"/>
          <w:highlight w:val="none"/>
        </w:rPr>
        <w:t>）工程施工的重点和难点及保证措施；</w:t>
      </w:r>
    </w:p>
    <w:p w14:paraId="4381CBB0">
      <w:pPr>
        <w:spacing w:line="360" w:lineRule="auto"/>
        <w:ind w:firstLine="420" w:firstLineChars="200"/>
        <w:rPr>
          <w:color w:val="auto"/>
          <w:highlight w:val="none"/>
        </w:rPr>
      </w:pPr>
      <w:r>
        <w:rPr>
          <w:rFonts w:hint="eastAsia"/>
          <w:color w:val="auto"/>
          <w:highlight w:val="none"/>
        </w:rPr>
        <w:t>（1</w:t>
      </w:r>
      <w:r>
        <w:rPr>
          <w:color w:val="auto"/>
          <w:highlight w:val="none"/>
        </w:rPr>
        <w:t>0</w:t>
      </w:r>
      <w:r>
        <w:rPr>
          <w:rFonts w:hint="eastAsia"/>
          <w:color w:val="auto"/>
          <w:highlight w:val="none"/>
        </w:rPr>
        <w:t>）施工总平面布置图；</w:t>
      </w:r>
    </w:p>
    <w:p w14:paraId="25BB0782">
      <w:pPr>
        <w:spacing w:line="360" w:lineRule="auto"/>
        <w:ind w:firstLine="420" w:firstLineChars="200"/>
        <w:rPr>
          <w:color w:val="auto"/>
          <w:highlight w:val="none"/>
        </w:rPr>
      </w:pPr>
      <w:r>
        <w:rPr>
          <w:rFonts w:hint="eastAsia"/>
          <w:color w:val="auto"/>
          <w:highlight w:val="none"/>
        </w:rPr>
        <w:t>（1</w:t>
      </w:r>
      <w:r>
        <w:rPr>
          <w:color w:val="auto"/>
          <w:highlight w:val="none"/>
        </w:rPr>
        <w:t>1</w:t>
      </w:r>
      <w:r>
        <w:rPr>
          <w:rFonts w:hint="eastAsia"/>
          <w:color w:val="auto"/>
          <w:highlight w:val="none"/>
        </w:rPr>
        <w:t>）其他（</w:t>
      </w:r>
      <w:r>
        <w:rPr>
          <w:color w:val="auto"/>
          <w:highlight w:val="none"/>
        </w:rPr>
        <w:t>如有）</w:t>
      </w:r>
      <w:r>
        <w:rPr>
          <w:rFonts w:hint="eastAsia"/>
          <w:color w:val="auto"/>
          <w:highlight w:val="none"/>
        </w:rPr>
        <w:t>（与第四章“评审程序、评审方法和评审标准”中的评审</w:t>
      </w:r>
      <w:r>
        <w:rPr>
          <w:color w:val="auto"/>
          <w:highlight w:val="none"/>
        </w:rPr>
        <w:t>标准一致</w:t>
      </w:r>
      <w:r>
        <w:rPr>
          <w:rFonts w:hint="eastAsia"/>
          <w:color w:val="auto"/>
          <w:highlight w:val="none"/>
        </w:rPr>
        <w:t>）</w:t>
      </w:r>
    </w:p>
    <w:p w14:paraId="64C9E067">
      <w:pPr>
        <w:spacing w:line="360" w:lineRule="auto"/>
        <w:ind w:firstLine="420" w:firstLineChars="200"/>
        <w:rPr>
          <w:color w:val="auto"/>
          <w:highlight w:val="none"/>
        </w:rPr>
      </w:pPr>
      <w:r>
        <w:rPr>
          <w:rFonts w:hint="eastAsia"/>
          <w:color w:val="auto"/>
          <w:highlight w:val="none"/>
        </w:rPr>
        <w:t>2. 技术标</w:t>
      </w:r>
      <w:r>
        <w:rPr>
          <w:color w:val="auto"/>
          <w:highlight w:val="none"/>
        </w:rPr>
        <w:t>施工组织</w:t>
      </w:r>
      <w:r>
        <w:rPr>
          <w:rFonts w:hint="eastAsia"/>
          <w:color w:val="auto"/>
          <w:highlight w:val="none"/>
        </w:rPr>
        <w:t>设计除采用文字表述外可附下列图表，图表及格式要求附后。</w:t>
      </w:r>
    </w:p>
    <w:p w14:paraId="2902D126">
      <w:pPr>
        <w:spacing w:line="360" w:lineRule="auto"/>
        <w:ind w:firstLine="420" w:firstLineChars="200"/>
        <w:rPr>
          <w:color w:val="auto"/>
          <w:highlight w:val="none"/>
        </w:rPr>
      </w:pPr>
      <w:r>
        <w:rPr>
          <w:rFonts w:hint="eastAsia"/>
          <w:color w:val="auto"/>
          <w:highlight w:val="none"/>
        </w:rPr>
        <w:t>附表一</w:t>
      </w:r>
      <w:r>
        <w:rPr>
          <w:rFonts w:hint="eastAsia"/>
          <w:color w:val="auto"/>
          <w:highlight w:val="none"/>
          <w:lang w:val="en-US" w:eastAsia="zh-CN"/>
        </w:rPr>
        <w:t xml:space="preserve"> </w:t>
      </w:r>
      <w:r>
        <w:rPr>
          <w:rFonts w:hint="eastAsia"/>
          <w:color w:val="auto"/>
          <w:highlight w:val="none"/>
        </w:rPr>
        <w:t>劳动力计划表</w:t>
      </w:r>
    </w:p>
    <w:p w14:paraId="76891BD0">
      <w:pPr>
        <w:spacing w:line="360" w:lineRule="auto"/>
        <w:ind w:firstLine="420" w:firstLineChars="200"/>
        <w:rPr>
          <w:color w:val="auto"/>
          <w:highlight w:val="none"/>
        </w:rPr>
      </w:pPr>
      <w:r>
        <w:rPr>
          <w:rFonts w:hint="eastAsia"/>
          <w:color w:val="auto"/>
          <w:highlight w:val="none"/>
        </w:rPr>
        <w:t>附表二</w:t>
      </w:r>
      <w:r>
        <w:rPr>
          <w:rFonts w:hint="eastAsia"/>
          <w:color w:val="auto"/>
          <w:highlight w:val="none"/>
          <w:lang w:val="en-US" w:eastAsia="zh-CN"/>
        </w:rPr>
        <w:t xml:space="preserve"> </w:t>
      </w:r>
      <w:r>
        <w:rPr>
          <w:rFonts w:hint="eastAsia"/>
          <w:color w:val="auto"/>
          <w:highlight w:val="none"/>
        </w:rPr>
        <w:t>计划开、竣工日期和施工进度计划（网络图或横道图）</w:t>
      </w:r>
    </w:p>
    <w:p w14:paraId="77CC8EF8">
      <w:pPr>
        <w:spacing w:line="360" w:lineRule="auto"/>
        <w:ind w:firstLine="420" w:firstLineChars="200"/>
        <w:rPr>
          <w:color w:val="auto"/>
          <w:highlight w:val="none"/>
        </w:rPr>
      </w:pPr>
      <w:r>
        <w:rPr>
          <w:rFonts w:hint="eastAsia"/>
          <w:color w:val="auto"/>
          <w:highlight w:val="none"/>
        </w:rPr>
        <w:t>附表三</w:t>
      </w:r>
      <w:r>
        <w:rPr>
          <w:rFonts w:hint="eastAsia"/>
          <w:color w:val="auto"/>
          <w:highlight w:val="none"/>
          <w:lang w:val="en-US" w:eastAsia="zh-CN"/>
        </w:rPr>
        <w:t xml:space="preserve"> </w:t>
      </w:r>
      <w:r>
        <w:rPr>
          <w:rFonts w:hint="eastAsia"/>
          <w:color w:val="auto"/>
          <w:highlight w:val="none"/>
        </w:rPr>
        <w:t>施工总平面图</w:t>
      </w:r>
    </w:p>
    <w:p w14:paraId="16D25C49">
      <w:pPr>
        <w:spacing w:line="360" w:lineRule="auto"/>
        <w:ind w:firstLine="420" w:firstLineChars="200"/>
        <w:rPr>
          <w:color w:val="auto"/>
          <w:highlight w:val="none"/>
        </w:rPr>
      </w:pPr>
      <w:r>
        <w:rPr>
          <w:rFonts w:hint="eastAsia"/>
          <w:color w:val="auto"/>
          <w:highlight w:val="none"/>
        </w:rPr>
        <w:t>附表四</w:t>
      </w:r>
      <w:r>
        <w:rPr>
          <w:rFonts w:hint="eastAsia"/>
          <w:color w:val="auto"/>
          <w:highlight w:val="none"/>
          <w:lang w:val="en-US" w:eastAsia="zh-CN"/>
        </w:rPr>
        <w:t xml:space="preserve"> </w:t>
      </w:r>
      <w:r>
        <w:rPr>
          <w:rFonts w:hint="eastAsia"/>
          <w:color w:val="auto"/>
          <w:highlight w:val="none"/>
        </w:rPr>
        <w:t>临时用地表</w:t>
      </w:r>
    </w:p>
    <w:p w14:paraId="14CCE05E">
      <w:pPr>
        <w:spacing w:line="440" w:lineRule="exact"/>
        <w:jc w:val="center"/>
        <w:rPr>
          <w:rFonts w:hint="eastAsia" w:ascii="宋体" w:hAnsi="宋体" w:cs="宋体"/>
          <w:b/>
          <w:color w:val="auto"/>
          <w:szCs w:val="21"/>
          <w:highlight w:val="none"/>
        </w:rPr>
      </w:pPr>
    </w:p>
    <w:p w14:paraId="448C8E24">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附表一：劳动力计划表</w:t>
      </w:r>
    </w:p>
    <w:p w14:paraId="22FED925">
      <w:pPr>
        <w:spacing w:line="440" w:lineRule="exact"/>
        <w:ind w:firstLine="7245" w:firstLineChars="3450"/>
        <w:rPr>
          <w:rFonts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s="宋体"/>
          <w:color w:val="auto"/>
          <w:szCs w:val="21"/>
          <w:highlight w:val="none"/>
        </w:rPr>
        <w:t>单位：人</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961"/>
        <w:gridCol w:w="1257"/>
        <w:gridCol w:w="1257"/>
        <w:gridCol w:w="1258"/>
        <w:gridCol w:w="1257"/>
        <w:gridCol w:w="1258"/>
      </w:tblGrid>
      <w:tr w14:paraId="11F74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tcBorders>
              <w:top w:val="single" w:color="auto" w:sz="4" w:space="0"/>
              <w:left w:val="single" w:color="auto" w:sz="4" w:space="0"/>
              <w:bottom w:val="single" w:color="auto" w:sz="4" w:space="0"/>
              <w:right w:val="single" w:color="auto" w:sz="4" w:space="0"/>
            </w:tcBorders>
            <w:vAlign w:val="center"/>
          </w:tcPr>
          <w:p w14:paraId="2272FBF1">
            <w:pPr>
              <w:spacing w:line="440" w:lineRule="exact"/>
              <w:jc w:val="center"/>
              <w:rPr>
                <w:rFonts w:ascii="宋体" w:hAnsi="宋体"/>
                <w:color w:val="auto"/>
                <w:szCs w:val="21"/>
                <w:highlight w:val="none"/>
              </w:rPr>
            </w:pPr>
            <w:r>
              <w:rPr>
                <w:rFonts w:hint="eastAsia" w:ascii="宋体" w:hAnsi="宋体" w:cs="宋体"/>
                <w:color w:val="auto"/>
                <w:szCs w:val="21"/>
                <w:highlight w:val="none"/>
              </w:rPr>
              <w:t>工种</w:t>
            </w:r>
          </w:p>
        </w:tc>
        <w:tc>
          <w:tcPr>
            <w:tcW w:w="7248" w:type="dxa"/>
            <w:gridSpan w:val="6"/>
            <w:tcBorders>
              <w:top w:val="single" w:color="auto" w:sz="4" w:space="0"/>
              <w:left w:val="single" w:color="auto" w:sz="4" w:space="0"/>
              <w:bottom w:val="single" w:color="auto" w:sz="4" w:space="0"/>
              <w:right w:val="single" w:color="auto" w:sz="4" w:space="0"/>
            </w:tcBorders>
            <w:vAlign w:val="center"/>
          </w:tcPr>
          <w:p w14:paraId="21580FC0">
            <w:pPr>
              <w:spacing w:line="440" w:lineRule="exact"/>
              <w:jc w:val="center"/>
              <w:rPr>
                <w:rFonts w:ascii="宋体" w:hAnsi="宋体"/>
                <w:color w:val="auto"/>
                <w:szCs w:val="21"/>
                <w:highlight w:val="none"/>
              </w:rPr>
            </w:pPr>
            <w:r>
              <w:rPr>
                <w:rFonts w:hint="eastAsia" w:ascii="宋体" w:hAnsi="宋体" w:cs="宋体"/>
                <w:color w:val="auto"/>
                <w:szCs w:val="21"/>
                <w:highlight w:val="none"/>
              </w:rPr>
              <w:t>按工程施工阶段投入劳动力情况</w:t>
            </w:r>
          </w:p>
        </w:tc>
      </w:tr>
      <w:tr w14:paraId="0EE87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tcBorders>
              <w:top w:val="single" w:color="auto" w:sz="4" w:space="0"/>
              <w:left w:val="single" w:color="auto" w:sz="4" w:space="0"/>
              <w:bottom w:val="single" w:color="auto" w:sz="4" w:space="0"/>
              <w:right w:val="single" w:color="auto" w:sz="4" w:space="0"/>
            </w:tcBorders>
            <w:vAlign w:val="center"/>
          </w:tcPr>
          <w:p w14:paraId="3F5D7BD3">
            <w:pPr>
              <w:spacing w:line="440" w:lineRule="exact"/>
              <w:jc w:val="center"/>
              <w:rPr>
                <w:rFonts w:ascii="宋体" w:hAnsi="宋体"/>
                <w:color w:val="auto"/>
                <w:szCs w:val="21"/>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3B922988">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0E084134">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6D892A70">
            <w:pPr>
              <w:spacing w:line="440" w:lineRule="exact"/>
              <w:jc w:val="center"/>
              <w:rPr>
                <w:rFonts w:ascii="宋体" w:hAnsi="宋体"/>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3181122E">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2CF33D05">
            <w:pPr>
              <w:spacing w:line="440" w:lineRule="exact"/>
              <w:jc w:val="center"/>
              <w:rPr>
                <w:rFonts w:ascii="宋体" w:hAnsi="宋体"/>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1CC26B18">
            <w:pPr>
              <w:spacing w:line="440" w:lineRule="exact"/>
              <w:jc w:val="center"/>
              <w:rPr>
                <w:rFonts w:ascii="宋体" w:hAnsi="宋体"/>
                <w:color w:val="auto"/>
                <w:szCs w:val="21"/>
                <w:highlight w:val="none"/>
              </w:rPr>
            </w:pPr>
          </w:p>
        </w:tc>
      </w:tr>
      <w:tr w14:paraId="5F59B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tcBorders>
              <w:top w:val="single" w:color="auto" w:sz="4" w:space="0"/>
              <w:left w:val="single" w:color="auto" w:sz="4" w:space="0"/>
              <w:bottom w:val="single" w:color="auto" w:sz="4" w:space="0"/>
              <w:right w:val="single" w:color="auto" w:sz="4" w:space="0"/>
            </w:tcBorders>
            <w:vAlign w:val="center"/>
          </w:tcPr>
          <w:p w14:paraId="370B759D">
            <w:pPr>
              <w:spacing w:line="440" w:lineRule="exact"/>
              <w:jc w:val="center"/>
              <w:rPr>
                <w:rFonts w:ascii="宋体" w:hAnsi="宋体"/>
                <w:color w:val="auto"/>
                <w:szCs w:val="21"/>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78EF0B79">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18E943AB">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29E52FF1">
            <w:pPr>
              <w:spacing w:line="440" w:lineRule="exact"/>
              <w:jc w:val="center"/>
              <w:rPr>
                <w:rFonts w:ascii="宋体" w:hAnsi="宋体"/>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5D4BC13F">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24138B13">
            <w:pPr>
              <w:spacing w:line="440" w:lineRule="exact"/>
              <w:jc w:val="center"/>
              <w:rPr>
                <w:rFonts w:ascii="宋体" w:hAnsi="宋体"/>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22202FBB">
            <w:pPr>
              <w:spacing w:line="440" w:lineRule="exact"/>
              <w:jc w:val="center"/>
              <w:rPr>
                <w:rFonts w:ascii="宋体" w:hAnsi="宋体"/>
                <w:color w:val="auto"/>
                <w:szCs w:val="21"/>
                <w:highlight w:val="none"/>
              </w:rPr>
            </w:pPr>
          </w:p>
        </w:tc>
      </w:tr>
      <w:tr w14:paraId="5E674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tcBorders>
              <w:top w:val="single" w:color="auto" w:sz="4" w:space="0"/>
              <w:left w:val="single" w:color="auto" w:sz="4" w:space="0"/>
              <w:bottom w:val="single" w:color="auto" w:sz="4" w:space="0"/>
              <w:right w:val="single" w:color="auto" w:sz="4" w:space="0"/>
            </w:tcBorders>
            <w:vAlign w:val="center"/>
          </w:tcPr>
          <w:p w14:paraId="452531BE">
            <w:pPr>
              <w:spacing w:line="440" w:lineRule="exact"/>
              <w:jc w:val="center"/>
              <w:rPr>
                <w:rFonts w:ascii="宋体" w:hAnsi="宋体"/>
                <w:color w:val="auto"/>
                <w:szCs w:val="21"/>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203CD4A6">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58144F70">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370040A4">
            <w:pPr>
              <w:spacing w:line="440" w:lineRule="exact"/>
              <w:jc w:val="center"/>
              <w:rPr>
                <w:rFonts w:ascii="宋体" w:hAnsi="宋体"/>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1AECBD2C">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1FCE6DBE">
            <w:pPr>
              <w:spacing w:line="440" w:lineRule="exact"/>
              <w:jc w:val="center"/>
              <w:rPr>
                <w:rFonts w:ascii="宋体" w:hAnsi="宋体"/>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0E2D0850">
            <w:pPr>
              <w:spacing w:line="440" w:lineRule="exact"/>
              <w:jc w:val="center"/>
              <w:rPr>
                <w:rFonts w:ascii="宋体" w:hAnsi="宋体"/>
                <w:color w:val="auto"/>
                <w:szCs w:val="21"/>
                <w:highlight w:val="none"/>
              </w:rPr>
            </w:pPr>
          </w:p>
        </w:tc>
      </w:tr>
      <w:tr w14:paraId="798C4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tcBorders>
              <w:top w:val="single" w:color="auto" w:sz="4" w:space="0"/>
              <w:left w:val="single" w:color="auto" w:sz="4" w:space="0"/>
              <w:bottom w:val="single" w:color="auto" w:sz="4" w:space="0"/>
              <w:right w:val="single" w:color="auto" w:sz="4" w:space="0"/>
            </w:tcBorders>
            <w:vAlign w:val="center"/>
          </w:tcPr>
          <w:p w14:paraId="65BBA7AC">
            <w:pPr>
              <w:spacing w:line="440" w:lineRule="exact"/>
              <w:jc w:val="center"/>
              <w:rPr>
                <w:rFonts w:ascii="宋体" w:hAnsi="宋体"/>
                <w:color w:val="auto"/>
                <w:szCs w:val="21"/>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08EEC83C">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39302885">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2EAE6235">
            <w:pPr>
              <w:spacing w:line="440" w:lineRule="exact"/>
              <w:jc w:val="center"/>
              <w:rPr>
                <w:rFonts w:ascii="宋体" w:hAnsi="宋体"/>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08190312">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30551AE7">
            <w:pPr>
              <w:spacing w:line="440" w:lineRule="exact"/>
              <w:jc w:val="center"/>
              <w:rPr>
                <w:rFonts w:ascii="宋体" w:hAnsi="宋体"/>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19188D5F">
            <w:pPr>
              <w:spacing w:line="440" w:lineRule="exact"/>
              <w:jc w:val="center"/>
              <w:rPr>
                <w:rFonts w:ascii="宋体" w:hAnsi="宋体"/>
                <w:color w:val="auto"/>
                <w:szCs w:val="21"/>
                <w:highlight w:val="none"/>
              </w:rPr>
            </w:pPr>
          </w:p>
        </w:tc>
      </w:tr>
      <w:tr w14:paraId="4177A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tcBorders>
              <w:top w:val="single" w:color="auto" w:sz="4" w:space="0"/>
              <w:left w:val="single" w:color="auto" w:sz="4" w:space="0"/>
              <w:bottom w:val="single" w:color="auto" w:sz="4" w:space="0"/>
              <w:right w:val="single" w:color="auto" w:sz="4" w:space="0"/>
            </w:tcBorders>
            <w:vAlign w:val="center"/>
          </w:tcPr>
          <w:p w14:paraId="34ED6739">
            <w:pPr>
              <w:spacing w:line="440" w:lineRule="exact"/>
              <w:jc w:val="center"/>
              <w:rPr>
                <w:rFonts w:ascii="宋体" w:hAnsi="宋体"/>
                <w:color w:val="auto"/>
                <w:szCs w:val="21"/>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68162928">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241ED96C">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06284FDD">
            <w:pPr>
              <w:spacing w:line="440" w:lineRule="exact"/>
              <w:jc w:val="center"/>
              <w:rPr>
                <w:rFonts w:ascii="宋体" w:hAnsi="宋体"/>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01018969">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2D3BCBA6">
            <w:pPr>
              <w:spacing w:line="440" w:lineRule="exact"/>
              <w:jc w:val="center"/>
              <w:rPr>
                <w:rFonts w:ascii="宋体" w:hAnsi="宋体"/>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3F0BCE29">
            <w:pPr>
              <w:spacing w:line="440" w:lineRule="exact"/>
              <w:jc w:val="center"/>
              <w:rPr>
                <w:rFonts w:ascii="宋体" w:hAnsi="宋体"/>
                <w:color w:val="auto"/>
                <w:szCs w:val="21"/>
                <w:highlight w:val="none"/>
              </w:rPr>
            </w:pPr>
          </w:p>
        </w:tc>
      </w:tr>
      <w:tr w14:paraId="6341B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tcBorders>
              <w:top w:val="single" w:color="auto" w:sz="4" w:space="0"/>
              <w:left w:val="single" w:color="auto" w:sz="4" w:space="0"/>
              <w:bottom w:val="single" w:color="auto" w:sz="4" w:space="0"/>
              <w:right w:val="single" w:color="auto" w:sz="4" w:space="0"/>
            </w:tcBorders>
            <w:vAlign w:val="center"/>
          </w:tcPr>
          <w:p w14:paraId="54404ADD">
            <w:pPr>
              <w:spacing w:line="440" w:lineRule="exact"/>
              <w:jc w:val="center"/>
              <w:rPr>
                <w:rFonts w:ascii="宋体" w:hAnsi="宋体"/>
                <w:color w:val="auto"/>
                <w:szCs w:val="21"/>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7C5D4178">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02D6BE7F">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4AA85AC0">
            <w:pPr>
              <w:spacing w:line="440" w:lineRule="exact"/>
              <w:jc w:val="center"/>
              <w:rPr>
                <w:rFonts w:ascii="宋体" w:hAnsi="宋体"/>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284685CE">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125FAF10">
            <w:pPr>
              <w:spacing w:line="440" w:lineRule="exact"/>
              <w:jc w:val="center"/>
              <w:rPr>
                <w:rFonts w:ascii="宋体" w:hAnsi="宋体"/>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0CC2F79B">
            <w:pPr>
              <w:spacing w:line="440" w:lineRule="exact"/>
              <w:jc w:val="center"/>
              <w:rPr>
                <w:rFonts w:ascii="宋体" w:hAnsi="宋体"/>
                <w:color w:val="auto"/>
                <w:szCs w:val="21"/>
                <w:highlight w:val="none"/>
              </w:rPr>
            </w:pPr>
          </w:p>
        </w:tc>
      </w:tr>
    </w:tbl>
    <w:p w14:paraId="084F96FC">
      <w:pPr>
        <w:spacing w:line="440" w:lineRule="exact"/>
        <w:jc w:val="center"/>
        <w:rPr>
          <w:rFonts w:hint="eastAsia" w:ascii="宋体" w:hAnsi="宋体" w:cs="宋体"/>
          <w:b/>
          <w:color w:val="auto"/>
          <w:szCs w:val="21"/>
          <w:highlight w:val="none"/>
        </w:rPr>
      </w:pPr>
    </w:p>
    <w:p w14:paraId="45BFD87F">
      <w:pPr>
        <w:spacing w:line="440" w:lineRule="exact"/>
        <w:jc w:val="center"/>
        <w:rPr>
          <w:rFonts w:hint="eastAsia" w:ascii="宋体" w:hAnsi="宋体" w:cs="宋体"/>
          <w:b/>
          <w:color w:val="auto"/>
          <w:szCs w:val="21"/>
          <w:highlight w:val="none"/>
        </w:rPr>
      </w:pPr>
    </w:p>
    <w:p w14:paraId="7FB96B90">
      <w:pPr>
        <w:spacing w:line="440" w:lineRule="exact"/>
        <w:jc w:val="center"/>
        <w:rPr>
          <w:rFonts w:ascii="宋体" w:hAnsi="宋体"/>
          <w:b/>
          <w:color w:val="auto"/>
          <w:szCs w:val="21"/>
          <w:highlight w:val="none"/>
        </w:rPr>
      </w:pPr>
      <w:r>
        <w:rPr>
          <w:rFonts w:hint="eastAsia" w:ascii="宋体" w:hAnsi="宋体" w:cs="宋体"/>
          <w:b/>
          <w:color w:val="auto"/>
          <w:szCs w:val="21"/>
          <w:highlight w:val="none"/>
        </w:rPr>
        <w:t>附表二：计划开、竣工日期和施工进度计划（网络图或横道图）</w:t>
      </w:r>
    </w:p>
    <w:p w14:paraId="74EBCD15">
      <w:pPr>
        <w:spacing w:line="440" w:lineRule="exact"/>
        <w:ind w:left="-6" w:firstLine="420"/>
        <w:rPr>
          <w:rFonts w:ascii="宋体" w:hAnsi="宋体"/>
          <w:color w:val="auto"/>
          <w:szCs w:val="21"/>
          <w:highlight w:val="none"/>
        </w:rPr>
      </w:pPr>
      <w:r>
        <w:rPr>
          <w:rFonts w:hint="eastAsia" w:ascii="宋体" w:hAnsi="宋体"/>
          <w:color w:val="auto"/>
          <w:szCs w:val="21"/>
          <w:highlight w:val="none"/>
        </w:rPr>
        <w:t>1.</w:t>
      </w:r>
      <w:r>
        <w:rPr>
          <w:rFonts w:hint="eastAsia" w:ascii="宋体" w:hAnsi="宋体" w:cs="宋体"/>
          <w:color w:val="auto"/>
          <w:szCs w:val="21"/>
          <w:highlight w:val="none"/>
        </w:rPr>
        <w:t>供应商应提交施工进度计划，说明按磋商文件要求的工期进行施工的各个关键日期。成交的供应商还应按合同条件有关条款的要求提交详细的施工进度计划。</w:t>
      </w:r>
    </w:p>
    <w:p w14:paraId="2CB5D60F">
      <w:pPr>
        <w:spacing w:line="440" w:lineRule="exact"/>
        <w:ind w:left="-6" w:firstLine="420"/>
        <w:rPr>
          <w:rFonts w:ascii="宋体" w:hAnsi="宋体"/>
          <w:color w:val="auto"/>
          <w:szCs w:val="21"/>
          <w:highlight w:val="none"/>
        </w:rPr>
      </w:pPr>
      <w:r>
        <w:rPr>
          <w:rFonts w:hint="eastAsia" w:ascii="宋体" w:hAnsi="宋体"/>
          <w:color w:val="auto"/>
          <w:szCs w:val="21"/>
          <w:highlight w:val="none"/>
        </w:rPr>
        <w:t>2.</w:t>
      </w:r>
      <w:r>
        <w:rPr>
          <w:rFonts w:hint="eastAsia" w:ascii="宋体" w:hAnsi="宋体" w:cs="宋体"/>
          <w:color w:val="auto"/>
          <w:szCs w:val="21"/>
          <w:highlight w:val="none"/>
        </w:rPr>
        <w:t>施工进度计划可采用网络图（或横道图）表示，说明计划开工日期和各分项工程各阶段的完工日期和分包合同签订的日期。</w:t>
      </w:r>
    </w:p>
    <w:p w14:paraId="1E592326">
      <w:pPr>
        <w:spacing w:line="440" w:lineRule="exact"/>
        <w:ind w:left="-6" w:firstLine="420"/>
        <w:rPr>
          <w:rFonts w:ascii="宋体" w:hAnsi="宋体"/>
          <w:color w:val="auto"/>
          <w:szCs w:val="21"/>
          <w:highlight w:val="none"/>
        </w:rPr>
      </w:pPr>
      <w:r>
        <w:rPr>
          <w:rFonts w:hint="eastAsia" w:ascii="宋体" w:hAnsi="宋体"/>
          <w:color w:val="auto"/>
          <w:szCs w:val="21"/>
          <w:highlight w:val="none"/>
        </w:rPr>
        <w:t>3.</w:t>
      </w:r>
      <w:r>
        <w:rPr>
          <w:rFonts w:hint="eastAsia" w:ascii="宋体" w:hAnsi="宋体" w:cs="宋体"/>
          <w:color w:val="auto"/>
          <w:szCs w:val="21"/>
          <w:highlight w:val="none"/>
        </w:rPr>
        <w:t>施工进度计划应与施工组织设计相适应。</w:t>
      </w:r>
    </w:p>
    <w:p w14:paraId="402665DB">
      <w:pPr>
        <w:spacing w:line="440" w:lineRule="exact"/>
        <w:rPr>
          <w:rFonts w:ascii="宋体" w:hAnsi="宋体"/>
          <w:color w:val="auto"/>
          <w:szCs w:val="21"/>
          <w:highlight w:val="none"/>
        </w:rPr>
      </w:pPr>
    </w:p>
    <w:p w14:paraId="67691E6F">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附表三：施工总平面图</w:t>
      </w:r>
    </w:p>
    <w:p w14:paraId="6B3633CB">
      <w:pPr>
        <w:spacing w:line="440" w:lineRule="exact"/>
        <w:ind w:firstLine="420" w:firstLineChars="200"/>
        <w:rPr>
          <w:rFonts w:ascii="宋体" w:hAnsi="宋体"/>
          <w:color w:val="auto"/>
          <w:szCs w:val="21"/>
          <w:highlight w:val="none"/>
        </w:rPr>
      </w:pPr>
      <w:r>
        <w:rPr>
          <w:rFonts w:hint="eastAsia" w:ascii="宋体" w:hAnsi="宋体" w:cs="宋体"/>
          <w:color w:val="auto"/>
          <w:szCs w:val="21"/>
          <w:highlight w:val="none"/>
        </w:rPr>
        <w:t>供应商应递交一份施工总平面图，绘出现场临时设施布置图表并附文字说明，说明临时设施、加工车间、现场办公、设备及仓储、供电、供水、卫生、生活、道路、消防等设施的情况和布置。</w:t>
      </w:r>
    </w:p>
    <w:p w14:paraId="32F482BC">
      <w:pPr>
        <w:spacing w:line="440" w:lineRule="exact"/>
        <w:rPr>
          <w:rFonts w:ascii="宋体" w:hAnsi="宋体"/>
          <w:color w:val="auto"/>
          <w:szCs w:val="21"/>
          <w:highlight w:val="none"/>
        </w:rPr>
      </w:pPr>
    </w:p>
    <w:p w14:paraId="1DE39621">
      <w:pPr>
        <w:spacing w:line="440" w:lineRule="exact"/>
        <w:rPr>
          <w:rFonts w:ascii="宋体" w:hAnsi="宋体"/>
          <w:color w:val="auto"/>
          <w:szCs w:val="21"/>
          <w:highlight w:val="none"/>
        </w:rPr>
      </w:pPr>
    </w:p>
    <w:p w14:paraId="45040096">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附表四：临时用地表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6"/>
        <w:gridCol w:w="2357"/>
        <w:gridCol w:w="2356"/>
        <w:gridCol w:w="2136"/>
      </w:tblGrid>
      <w:tr w14:paraId="52D2D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2356" w:type="dxa"/>
            <w:tcBorders>
              <w:top w:val="single" w:color="auto" w:sz="4" w:space="0"/>
              <w:left w:val="single" w:color="auto" w:sz="4" w:space="0"/>
              <w:bottom w:val="single" w:color="auto" w:sz="4" w:space="0"/>
              <w:right w:val="single" w:color="auto" w:sz="4" w:space="0"/>
            </w:tcBorders>
            <w:vAlign w:val="center"/>
          </w:tcPr>
          <w:p w14:paraId="283C4277">
            <w:pPr>
              <w:spacing w:line="440" w:lineRule="exact"/>
              <w:jc w:val="center"/>
              <w:rPr>
                <w:rFonts w:ascii="宋体" w:hAnsi="宋体"/>
                <w:b/>
                <w:color w:val="auto"/>
                <w:szCs w:val="21"/>
                <w:highlight w:val="none"/>
              </w:rPr>
            </w:pPr>
            <w:r>
              <w:rPr>
                <w:rFonts w:hint="eastAsia" w:ascii="宋体" w:hAnsi="宋体" w:cs="宋体"/>
                <w:b/>
                <w:color w:val="auto"/>
                <w:szCs w:val="21"/>
                <w:highlight w:val="none"/>
              </w:rPr>
              <w:t>用途</w:t>
            </w:r>
          </w:p>
        </w:tc>
        <w:tc>
          <w:tcPr>
            <w:tcW w:w="2357" w:type="dxa"/>
            <w:tcBorders>
              <w:top w:val="single" w:color="auto" w:sz="4" w:space="0"/>
              <w:left w:val="single" w:color="auto" w:sz="4" w:space="0"/>
              <w:bottom w:val="single" w:color="auto" w:sz="4" w:space="0"/>
              <w:right w:val="single" w:color="auto" w:sz="4" w:space="0"/>
            </w:tcBorders>
            <w:vAlign w:val="center"/>
          </w:tcPr>
          <w:p w14:paraId="0CFBA7DE">
            <w:pPr>
              <w:spacing w:line="440" w:lineRule="exact"/>
              <w:jc w:val="center"/>
              <w:rPr>
                <w:rFonts w:ascii="宋体" w:hAnsi="宋体"/>
                <w:b/>
                <w:color w:val="auto"/>
                <w:szCs w:val="21"/>
                <w:highlight w:val="none"/>
              </w:rPr>
            </w:pPr>
            <w:r>
              <w:rPr>
                <w:rFonts w:hint="eastAsia" w:ascii="宋体" w:hAnsi="宋体" w:cs="宋体"/>
                <w:b/>
                <w:color w:val="auto"/>
                <w:szCs w:val="21"/>
                <w:highlight w:val="none"/>
              </w:rPr>
              <w:t>面积（平方米）</w:t>
            </w:r>
          </w:p>
        </w:tc>
        <w:tc>
          <w:tcPr>
            <w:tcW w:w="2356" w:type="dxa"/>
            <w:tcBorders>
              <w:top w:val="single" w:color="auto" w:sz="4" w:space="0"/>
              <w:left w:val="single" w:color="auto" w:sz="4" w:space="0"/>
              <w:bottom w:val="single" w:color="auto" w:sz="4" w:space="0"/>
              <w:right w:val="single" w:color="auto" w:sz="4" w:space="0"/>
            </w:tcBorders>
            <w:vAlign w:val="center"/>
          </w:tcPr>
          <w:p w14:paraId="35A05450">
            <w:pPr>
              <w:spacing w:line="440" w:lineRule="exact"/>
              <w:jc w:val="center"/>
              <w:rPr>
                <w:rFonts w:ascii="宋体" w:hAnsi="宋体"/>
                <w:b/>
                <w:color w:val="auto"/>
                <w:szCs w:val="21"/>
                <w:highlight w:val="none"/>
              </w:rPr>
            </w:pPr>
            <w:r>
              <w:rPr>
                <w:rFonts w:hint="eastAsia" w:ascii="宋体" w:hAnsi="宋体" w:cs="宋体"/>
                <w:b/>
                <w:color w:val="auto"/>
                <w:szCs w:val="21"/>
                <w:highlight w:val="none"/>
              </w:rPr>
              <w:t>位置</w:t>
            </w:r>
          </w:p>
        </w:tc>
        <w:tc>
          <w:tcPr>
            <w:tcW w:w="2136" w:type="dxa"/>
            <w:tcBorders>
              <w:top w:val="single" w:color="auto" w:sz="4" w:space="0"/>
              <w:left w:val="single" w:color="auto" w:sz="4" w:space="0"/>
              <w:bottom w:val="single" w:color="auto" w:sz="4" w:space="0"/>
              <w:right w:val="single" w:color="auto" w:sz="4" w:space="0"/>
            </w:tcBorders>
            <w:vAlign w:val="center"/>
          </w:tcPr>
          <w:p w14:paraId="2FCFD4F8">
            <w:pPr>
              <w:spacing w:line="440" w:lineRule="exact"/>
              <w:jc w:val="center"/>
              <w:rPr>
                <w:rFonts w:ascii="宋体" w:hAnsi="宋体"/>
                <w:b/>
                <w:color w:val="auto"/>
                <w:szCs w:val="21"/>
                <w:highlight w:val="none"/>
              </w:rPr>
            </w:pPr>
            <w:r>
              <w:rPr>
                <w:rFonts w:hint="eastAsia" w:ascii="宋体" w:hAnsi="宋体" w:cs="宋体"/>
                <w:b/>
                <w:color w:val="auto"/>
                <w:szCs w:val="21"/>
                <w:highlight w:val="none"/>
              </w:rPr>
              <w:t>需用时间</w:t>
            </w:r>
          </w:p>
        </w:tc>
      </w:tr>
      <w:tr w14:paraId="7486B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Borders>
              <w:top w:val="single" w:color="auto" w:sz="4" w:space="0"/>
              <w:left w:val="single" w:color="auto" w:sz="4" w:space="0"/>
              <w:bottom w:val="single" w:color="auto" w:sz="4" w:space="0"/>
              <w:right w:val="single" w:color="auto" w:sz="4" w:space="0"/>
            </w:tcBorders>
          </w:tcPr>
          <w:p w14:paraId="6E81A42D">
            <w:pPr>
              <w:spacing w:line="440" w:lineRule="exact"/>
              <w:rPr>
                <w:rFonts w:ascii="宋体" w:hAnsi="宋体"/>
                <w:color w:val="auto"/>
                <w:szCs w:val="21"/>
                <w:highlight w:val="none"/>
              </w:rPr>
            </w:pPr>
          </w:p>
        </w:tc>
        <w:tc>
          <w:tcPr>
            <w:tcW w:w="2357" w:type="dxa"/>
            <w:tcBorders>
              <w:top w:val="single" w:color="auto" w:sz="4" w:space="0"/>
              <w:left w:val="single" w:color="auto" w:sz="4" w:space="0"/>
              <w:bottom w:val="single" w:color="auto" w:sz="4" w:space="0"/>
              <w:right w:val="single" w:color="auto" w:sz="4" w:space="0"/>
            </w:tcBorders>
          </w:tcPr>
          <w:p w14:paraId="1FDBCF32">
            <w:pPr>
              <w:spacing w:line="440" w:lineRule="exact"/>
              <w:rPr>
                <w:rFonts w:ascii="宋体" w:hAnsi="宋体"/>
                <w:color w:val="auto"/>
                <w:szCs w:val="21"/>
                <w:highlight w:val="none"/>
              </w:rPr>
            </w:pPr>
          </w:p>
        </w:tc>
        <w:tc>
          <w:tcPr>
            <w:tcW w:w="2356" w:type="dxa"/>
            <w:tcBorders>
              <w:top w:val="single" w:color="auto" w:sz="4" w:space="0"/>
              <w:left w:val="single" w:color="auto" w:sz="4" w:space="0"/>
              <w:bottom w:val="single" w:color="auto" w:sz="4" w:space="0"/>
              <w:right w:val="single" w:color="auto" w:sz="4" w:space="0"/>
            </w:tcBorders>
          </w:tcPr>
          <w:p w14:paraId="2D4833EF">
            <w:pPr>
              <w:spacing w:line="440" w:lineRule="exact"/>
              <w:rPr>
                <w:rFonts w:ascii="宋体" w:hAnsi="宋体"/>
                <w:color w:val="auto"/>
                <w:szCs w:val="21"/>
                <w:highlight w:val="none"/>
              </w:rPr>
            </w:pPr>
          </w:p>
        </w:tc>
        <w:tc>
          <w:tcPr>
            <w:tcW w:w="2136" w:type="dxa"/>
            <w:tcBorders>
              <w:top w:val="single" w:color="auto" w:sz="4" w:space="0"/>
              <w:left w:val="single" w:color="auto" w:sz="4" w:space="0"/>
              <w:bottom w:val="single" w:color="auto" w:sz="4" w:space="0"/>
              <w:right w:val="single" w:color="auto" w:sz="4" w:space="0"/>
            </w:tcBorders>
          </w:tcPr>
          <w:p w14:paraId="08F7418C">
            <w:pPr>
              <w:spacing w:line="440" w:lineRule="exact"/>
              <w:rPr>
                <w:rFonts w:ascii="宋体" w:hAnsi="宋体"/>
                <w:color w:val="auto"/>
                <w:szCs w:val="21"/>
                <w:highlight w:val="none"/>
              </w:rPr>
            </w:pPr>
          </w:p>
        </w:tc>
      </w:tr>
      <w:tr w14:paraId="74428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Borders>
              <w:top w:val="single" w:color="auto" w:sz="4" w:space="0"/>
              <w:left w:val="single" w:color="auto" w:sz="4" w:space="0"/>
              <w:bottom w:val="single" w:color="auto" w:sz="4" w:space="0"/>
              <w:right w:val="single" w:color="auto" w:sz="4" w:space="0"/>
            </w:tcBorders>
          </w:tcPr>
          <w:p w14:paraId="629186AC">
            <w:pPr>
              <w:spacing w:line="440" w:lineRule="exact"/>
              <w:rPr>
                <w:rFonts w:ascii="宋体" w:hAnsi="宋体"/>
                <w:color w:val="auto"/>
                <w:szCs w:val="21"/>
                <w:highlight w:val="none"/>
              </w:rPr>
            </w:pPr>
          </w:p>
        </w:tc>
        <w:tc>
          <w:tcPr>
            <w:tcW w:w="2357" w:type="dxa"/>
            <w:tcBorders>
              <w:top w:val="single" w:color="auto" w:sz="4" w:space="0"/>
              <w:left w:val="single" w:color="auto" w:sz="4" w:space="0"/>
              <w:bottom w:val="single" w:color="auto" w:sz="4" w:space="0"/>
              <w:right w:val="single" w:color="auto" w:sz="4" w:space="0"/>
            </w:tcBorders>
          </w:tcPr>
          <w:p w14:paraId="2D9550F7">
            <w:pPr>
              <w:spacing w:line="440" w:lineRule="exact"/>
              <w:rPr>
                <w:rFonts w:ascii="宋体" w:hAnsi="宋体"/>
                <w:color w:val="auto"/>
                <w:szCs w:val="21"/>
                <w:highlight w:val="none"/>
              </w:rPr>
            </w:pPr>
          </w:p>
        </w:tc>
        <w:tc>
          <w:tcPr>
            <w:tcW w:w="2356" w:type="dxa"/>
            <w:tcBorders>
              <w:top w:val="single" w:color="auto" w:sz="4" w:space="0"/>
              <w:left w:val="single" w:color="auto" w:sz="4" w:space="0"/>
              <w:bottom w:val="single" w:color="auto" w:sz="4" w:space="0"/>
              <w:right w:val="single" w:color="auto" w:sz="4" w:space="0"/>
            </w:tcBorders>
          </w:tcPr>
          <w:p w14:paraId="4C3D05B7">
            <w:pPr>
              <w:spacing w:line="440" w:lineRule="exact"/>
              <w:rPr>
                <w:rFonts w:ascii="宋体" w:hAnsi="宋体"/>
                <w:color w:val="auto"/>
                <w:szCs w:val="21"/>
                <w:highlight w:val="none"/>
              </w:rPr>
            </w:pPr>
          </w:p>
        </w:tc>
        <w:tc>
          <w:tcPr>
            <w:tcW w:w="2136" w:type="dxa"/>
            <w:tcBorders>
              <w:top w:val="single" w:color="auto" w:sz="4" w:space="0"/>
              <w:left w:val="single" w:color="auto" w:sz="4" w:space="0"/>
              <w:bottom w:val="single" w:color="auto" w:sz="4" w:space="0"/>
              <w:right w:val="single" w:color="auto" w:sz="4" w:space="0"/>
            </w:tcBorders>
          </w:tcPr>
          <w:p w14:paraId="7CA150CD">
            <w:pPr>
              <w:spacing w:line="440" w:lineRule="exact"/>
              <w:rPr>
                <w:rFonts w:ascii="宋体" w:hAnsi="宋体"/>
                <w:color w:val="auto"/>
                <w:szCs w:val="21"/>
                <w:highlight w:val="none"/>
              </w:rPr>
            </w:pPr>
          </w:p>
        </w:tc>
      </w:tr>
      <w:tr w14:paraId="6D832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356" w:type="dxa"/>
            <w:tcBorders>
              <w:top w:val="single" w:color="auto" w:sz="4" w:space="0"/>
              <w:left w:val="single" w:color="auto" w:sz="4" w:space="0"/>
              <w:bottom w:val="single" w:color="auto" w:sz="4" w:space="0"/>
              <w:right w:val="single" w:color="auto" w:sz="4" w:space="0"/>
            </w:tcBorders>
          </w:tcPr>
          <w:p w14:paraId="3DA2AD72">
            <w:pPr>
              <w:spacing w:line="440" w:lineRule="exact"/>
              <w:rPr>
                <w:rFonts w:ascii="宋体" w:hAnsi="宋体"/>
                <w:color w:val="auto"/>
                <w:szCs w:val="21"/>
                <w:highlight w:val="none"/>
              </w:rPr>
            </w:pPr>
          </w:p>
        </w:tc>
        <w:tc>
          <w:tcPr>
            <w:tcW w:w="2357" w:type="dxa"/>
            <w:tcBorders>
              <w:top w:val="single" w:color="auto" w:sz="4" w:space="0"/>
              <w:left w:val="single" w:color="auto" w:sz="4" w:space="0"/>
              <w:bottom w:val="single" w:color="auto" w:sz="4" w:space="0"/>
              <w:right w:val="single" w:color="auto" w:sz="4" w:space="0"/>
            </w:tcBorders>
          </w:tcPr>
          <w:p w14:paraId="2E03A578">
            <w:pPr>
              <w:spacing w:line="440" w:lineRule="exact"/>
              <w:rPr>
                <w:rFonts w:ascii="宋体" w:hAnsi="宋体"/>
                <w:color w:val="auto"/>
                <w:szCs w:val="21"/>
                <w:highlight w:val="none"/>
              </w:rPr>
            </w:pPr>
          </w:p>
        </w:tc>
        <w:tc>
          <w:tcPr>
            <w:tcW w:w="2356" w:type="dxa"/>
            <w:tcBorders>
              <w:top w:val="single" w:color="auto" w:sz="4" w:space="0"/>
              <w:left w:val="single" w:color="auto" w:sz="4" w:space="0"/>
              <w:bottom w:val="single" w:color="auto" w:sz="4" w:space="0"/>
              <w:right w:val="single" w:color="auto" w:sz="4" w:space="0"/>
            </w:tcBorders>
          </w:tcPr>
          <w:p w14:paraId="08FDD2B6">
            <w:pPr>
              <w:spacing w:line="440" w:lineRule="exact"/>
              <w:rPr>
                <w:rFonts w:ascii="宋体" w:hAnsi="宋体"/>
                <w:color w:val="auto"/>
                <w:szCs w:val="21"/>
                <w:highlight w:val="none"/>
              </w:rPr>
            </w:pPr>
          </w:p>
        </w:tc>
        <w:tc>
          <w:tcPr>
            <w:tcW w:w="2136" w:type="dxa"/>
            <w:tcBorders>
              <w:top w:val="single" w:color="auto" w:sz="4" w:space="0"/>
              <w:left w:val="single" w:color="auto" w:sz="4" w:space="0"/>
              <w:bottom w:val="single" w:color="auto" w:sz="4" w:space="0"/>
              <w:right w:val="single" w:color="auto" w:sz="4" w:space="0"/>
            </w:tcBorders>
          </w:tcPr>
          <w:p w14:paraId="0CE06F7A">
            <w:pPr>
              <w:spacing w:line="440" w:lineRule="exact"/>
              <w:rPr>
                <w:rFonts w:ascii="宋体" w:hAnsi="宋体"/>
                <w:color w:val="auto"/>
                <w:szCs w:val="21"/>
                <w:highlight w:val="none"/>
              </w:rPr>
            </w:pPr>
          </w:p>
        </w:tc>
      </w:tr>
      <w:tr w14:paraId="1C73F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Borders>
              <w:top w:val="single" w:color="auto" w:sz="4" w:space="0"/>
              <w:left w:val="single" w:color="auto" w:sz="4" w:space="0"/>
              <w:bottom w:val="single" w:color="auto" w:sz="4" w:space="0"/>
              <w:right w:val="single" w:color="auto" w:sz="4" w:space="0"/>
            </w:tcBorders>
          </w:tcPr>
          <w:p w14:paraId="296B80E0">
            <w:pPr>
              <w:spacing w:line="440" w:lineRule="exact"/>
              <w:rPr>
                <w:rFonts w:ascii="宋体" w:hAnsi="宋体"/>
                <w:color w:val="auto"/>
                <w:szCs w:val="21"/>
                <w:highlight w:val="none"/>
              </w:rPr>
            </w:pPr>
          </w:p>
        </w:tc>
        <w:tc>
          <w:tcPr>
            <w:tcW w:w="2357" w:type="dxa"/>
            <w:tcBorders>
              <w:top w:val="single" w:color="auto" w:sz="4" w:space="0"/>
              <w:left w:val="single" w:color="auto" w:sz="4" w:space="0"/>
              <w:bottom w:val="single" w:color="auto" w:sz="4" w:space="0"/>
              <w:right w:val="single" w:color="auto" w:sz="4" w:space="0"/>
            </w:tcBorders>
          </w:tcPr>
          <w:p w14:paraId="76D058D3">
            <w:pPr>
              <w:spacing w:line="440" w:lineRule="exact"/>
              <w:rPr>
                <w:rFonts w:ascii="宋体" w:hAnsi="宋体"/>
                <w:color w:val="auto"/>
                <w:szCs w:val="21"/>
                <w:highlight w:val="none"/>
              </w:rPr>
            </w:pPr>
          </w:p>
        </w:tc>
        <w:tc>
          <w:tcPr>
            <w:tcW w:w="2356" w:type="dxa"/>
            <w:tcBorders>
              <w:top w:val="single" w:color="auto" w:sz="4" w:space="0"/>
              <w:left w:val="single" w:color="auto" w:sz="4" w:space="0"/>
              <w:bottom w:val="single" w:color="auto" w:sz="4" w:space="0"/>
              <w:right w:val="single" w:color="auto" w:sz="4" w:space="0"/>
            </w:tcBorders>
          </w:tcPr>
          <w:p w14:paraId="64E7DF73">
            <w:pPr>
              <w:spacing w:line="440" w:lineRule="exact"/>
              <w:rPr>
                <w:rFonts w:ascii="宋体" w:hAnsi="宋体"/>
                <w:color w:val="auto"/>
                <w:szCs w:val="21"/>
                <w:highlight w:val="none"/>
              </w:rPr>
            </w:pPr>
          </w:p>
        </w:tc>
        <w:tc>
          <w:tcPr>
            <w:tcW w:w="2136" w:type="dxa"/>
            <w:tcBorders>
              <w:top w:val="single" w:color="auto" w:sz="4" w:space="0"/>
              <w:left w:val="single" w:color="auto" w:sz="4" w:space="0"/>
              <w:bottom w:val="single" w:color="auto" w:sz="4" w:space="0"/>
              <w:right w:val="single" w:color="auto" w:sz="4" w:space="0"/>
            </w:tcBorders>
          </w:tcPr>
          <w:p w14:paraId="4AC6A8C9">
            <w:pPr>
              <w:spacing w:line="440" w:lineRule="exact"/>
              <w:rPr>
                <w:rFonts w:ascii="宋体" w:hAnsi="宋体"/>
                <w:color w:val="auto"/>
                <w:szCs w:val="21"/>
                <w:highlight w:val="none"/>
              </w:rPr>
            </w:pPr>
          </w:p>
        </w:tc>
      </w:tr>
    </w:tbl>
    <w:p w14:paraId="00936AA5">
      <w:pPr>
        <w:spacing w:line="360" w:lineRule="auto"/>
        <w:ind w:firstLine="880" w:firstLineChars="200"/>
        <w:rPr>
          <w:rFonts w:ascii="方正小标宋简体" w:hAnsi="方正小标宋简体" w:eastAsia="方正小标宋简体" w:cs="方正小标宋简体"/>
          <w:bCs/>
          <w:color w:val="auto"/>
          <w:sz w:val="44"/>
          <w:szCs w:val="44"/>
          <w:highlight w:val="none"/>
        </w:rPr>
      </w:pPr>
    </w:p>
    <w:p w14:paraId="3BDCB7C4">
      <w:pPr>
        <w:spacing w:line="360" w:lineRule="auto"/>
        <w:jc w:val="center"/>
        <w:rPr>
          <w:rFonts w:ascii="方正小标宋简体" w:hAnsi="方正小标宋简体" w:eastAsia="方正小标宋简体" w:cs="方正小标宋简体"/>
          <w:bCs/>
          <w:color w:val="auto"/>
          <w:sz w:val="44"/>
          <w:szCs w:val="44"/>
          <w:highlight w:val="none"/>
        </w:rPr>
      </w:pPr>
      <w:r>
        <w:rPr>
          <w:rFonts w:ascii="方正小标宋简体" w:hAnsi="方正小标宋简体" w:eastAsia="方正小标宋简体" w:cs="方正小标宋简体"/>
          <w:bCs/>
          <w:color w:val="auto"/>
          <w:sz w:val="44"/>
          <w:szCs w:val="44"/>
          <w:highlight w:val="none"/>
        </w:rPr>
        <w:br w:type="page"/>
      </w:r>
    </w:p>
    <w:p w14:paraId="2A5668F8">
      <w:pPr>
        <w:spacing w:line="360" w:lineRule="auto"/>
        <w:jc w:val="center"/>
        <w:rPr>
          <w:rFonts w:hint="eastAsia" w:ascii="宋体" w:hAnsi="宋体" w:cs="方正小标宋简体"/>
          <w:b/>
          <w:color w:val="auto"/>
          <w:sz w:val="32"/>
          <w:szCs w:val="32"/>
          <w:highlight w:val="none"/>
        </w:rPr>
      </w:pPr>
      <w:r>
        <w:rPr>
          <w:rFonts w:hint="eastAsia" w:ascii="宋体" w:hAnsi="宋体" w:cs="方正小标宋简体"/>
          <w:b/>
          <w:color w:val="auto"/>
          <w:sz w:val="32"/>
          <w:szCs w:val="32"/>
          <w:highlight w:val="none"/>
        </w:rPr>
        <w:t>拟分包项目情况表</w:t>
      </w:r>
    </w:p>
    <w:p w14:paraId="2E18EB5F">
      <w:pPr>
        <w:spacing w:line="520" w:lineRule="exact"/>
        <w:rPr>
          <w:rFonts w:ascii="仿宋_GB2312" w:hAnsi="仿宋_GB2312" w:eastAsia="仿宋_GB2312" w:cs="仿宋_GB2312"/>
          <w:color w:val="auto"/>
          <w:sz w:val="32"/>
          <w:szCs w:val="32"/>
          <w:highlight w:val="none"/>
        </w:rPr>
      </w:pPr>
    </w:p>
    <w:p w14:paraId="36AA8F5C">
      <w:pPr>
        <w:spacing w:line="360" w:lineRule="auto"/>
        <w:contextualSpacing/>
        <w:rPr>
          <w:rFonts w:ascii="宋体" w:hAnsi="宋体" w:cs="仿宋_GB2312"/>
          <w:color w:val="auto"/>
          <w:sz w:val="24"/>
          <w:highlight w:val="none"/>
          <w:u w:val="single"/>
        </w:rPr>
      </w:pPr>
      <w:r>
        <w:rPr>
          <w:rFonts w:hint="eastAsia" w:ascii="宋体" w:hAnsi="宋体" w:cs="仿宋_GB2312"/>
          <w:color w:val="auto"/>
          <w:sz w:val="24"/>
          <w:highlight w:val="none"/>
        </w:rPr>
        <w:t>分标（如有）：</w:t>
      </w:r>
      <w:r>
        <w:rPr>
          <w:rFonts w:hint="eastAsia" w:ascii="宋体" w:hAnsi="宋体" w:cs="仿宋_GB2312"/>
          <w:color w:val="auto"/>
          <w:sz w:val="24"/>
          <w:highlight w:val="none"/>
          <w:u w:val="single"/>
        </w:rPr>
        <w:t xml:space="preserve">                 </w:t>
      </w:r>
    </w:p>
    <w:tbl>
      <w:tblPr>
        <w:tblStyle w:val="44"/>
        <w:tblW w:w="93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693"/>
        <w:gridCol w:w="751"/>
        <w:gridCol w:w="950"/>
        <w:gridCol w:w="1123"/>
        <w:gridCol w:w="1090"/>
        <w:gridCol w:w="1197"/>
        <w:gridCol w:w="1268"/>
        <w:gridCol w:w="673"/>
      </w:tblGrid>
      <w:tr w14:paraId="61E83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tcMar>
              <w:left w:w="108" w:type="dxa"/>
              <w:right w:w="108" w:type="dxa"/>
            </w:tcMar>
            <w:vAlign w:val="center"/>
          </w:tcPr>
          <w:p w14:paraId="5F1257D3">
            <w:pPr>
              <w:jc w:val="center"/>
              <w:rPr>
                <w:color w:val="auto"/>
                <w:highlight w:val="none"/>
              </w:rPr>
            </w:pPr>
            <w:r>
              <w:rPr>
                <w:rFonts w:hint="eastAsia" w:cs="宋体"/>
                <w:color w:val="auto"/>
                <w:highlight w:val="none"/>
              </w:rPr>
              <w:t>序号</w:t>
            </w:r>
          </w:p>
        </w:tc>
        <w:tc>
          <w:tcPr>
            <w:tcW w:w="1693" w:type="dxa"/>
            <w:vMerge w:val="restart"/>
            <w:tcMar>
              <w:left w:w="108" w:type="dxa"/>
              <w:right w:w="108" w:type="dxa"/>
            </w:tcMar>
            <w:vAlign w:val="center"/>
          </w:tcPr>
          <w:p w14:paraId="24DA2F3C">
            <w:pPr>
              <w:jc w:val="center"/>
              <w:rPr>
                <w:color w:val="auto"/>
                <w:highlight w:val="none"/>
              </w:rPr>
            </w:pPr>
            <w:r>
              <w:rPr>
                <w:rFonts w:hint="eastAsia" w:cs="宋体"/>
                <w:color w:val="auto"/>
                <w:highlight w:val="none"/>
              </w:rPr>
              <w:t>拟分包项目名称、范围及理由</w:t>
            </w:r>
          </w:p>
        </w:tc>
        <w:tc>
          <w:tcPr>
            <w:tcW w:w="6379" w:type="dxa"/>
            <w:gridSpan w:val="6"/>
            <w:tcMar>
              <w:left w:w="108" w:type="dxa"/>
              <w:right w:w="108" w:type="dxa"/>
            </w:tcMar>
            <w:vAlign w:val="center"/>
          </w:tcPr>
          <w:p w14:paraId="3398A8DB">
            <w:pPr>
              <w:jc w:val="center"/>
              <w:rPr>
                <w:rFonts w:cs="宋体"/>
                <w:color w:val="auto"/>
                <w:highlight w:val="none"/>
              </w:rPr>
            </w:pPr>
            <w:r>
              <w:rPr>
                <w:rFonts w:hint="eastAsia" w:cs="宋体"/>
                <w:color w:val="auto"/>
                <w:highlight w:val="none"/>
              </w:rPr>
              <w:t>拟选分包人</w:t>
            </w:r>
          </w:p>
        </w:tc>
        <w:tc>
          <w:tcPr>
            <w:tcW w:w="673" w:type="dxa"/>
            <w:vMerge w:val="restart"/>
            <w:tcMar>
              <w:left w:w="108" w:type="dxa"/>
              <w:right w:w="108" w:type="dxa"/>
            </w:tcMar>
            <w:vAlign w:val="center"/>
          </w:tcPr>
          <w:p w14:paraId="6C223C10">
            <w:pPr>
              <w:jc w:val="center"/>
              <w:rPr>
                <w:color w:val="auto"/>
                <w:highlight w:val="none"/>
              </w:rPr>
            </w:pPr>
            <w:r>
              <w:rPr>
                <w:rFonts w:hint="eastAsia" w:cs="宋体"/>
                <w:color w:val="auto"/>
                <w:highlight w:val="none"/>
              </w:rPr>
              <w:t>备注</w:t>
            </w:r>
          </w:p>
        </w:tc>
      </w:tr>
      <w:tr w14:paraId="499CC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tcMar>
              <w:left w:w="108" w:type="dxa"/>
              <w:right w:w="108" w:type="dxa"/>
            </w:tcMar>
            <w:vAlign w:val="center"/>
          </w:tcPr>
          <w:p w14:paraId="5CF25FCB">
            <w:pPr>
              <w:jc w:val="center"/>
              <w:rPr>
                <w:color w:val="auto"/>
                <w:highlight w:val="none"/>
              </w:rPr>
            </w:pPr>
          </w:p>
        </w:tc>
        <w:tc>
          <w:tcPr>
            <w:tcW w:w="1693" w:type="dxa"/>
            <w:vMerge w:val="continue"/>
            <w:tcMar>
              <w:left w:w="108" w:type="dxa"/>
              <w:right w:w="108" w:type="dxa"/>
            </w:tcMar>
            <w:vAlign w:val="center"/>
          </w:tcPr>
          <w:p w14:paraId="73A66FBC">
            <w:pPr>
              <w:jc w:val="center"/>
              <w:rPr>
                <w:color w:val="auto"/>
                <w:highlight w:val="none"/>
              </w:rPr>
            </w:pPr>
          </w:p>
        </w:tc>
        <w:tc>
          <w:tcPr>
            <w:tcW w:w="1701" w:type="dxa"/>
            <w:gridSpan w:val="2"/>
            <w:tcMar>
              <w:left w:w="108" w:type="dxa"/>
              <w:right w:w="108" w:type="dxa"/>
            </w:tcMar>
            <w:vAlign w:val="center"/>
          </w:tcPr>
          <w:p w14:paraId="18A66AC5">
            <w:pPr>
              <w:jc w:val="center"/>
              <w:rPr>
                <w:color w:val="auto"/>
                <w:highlight w:val="none"/>
              </w:rPr>
            </w:pPr>
            <w:r>
              <w:rPr>
                <w:rFonts w:hint="eastAsia" w:cs="宋体"/>
                <w:color w:val="auto"/>
                <w:highlight w:val="none"/>
              </w:rPr>
              <w:t>拟选分包人名称</w:t>
            </w:r>
          </w:p>
        </w:tc>
        <w:tc>
          <w:tcPr>
            <w:tcW w:w="1123" w:type="dxa"/>
            <w:tcMar>
              <w:left w:w="108" w:type="dxa"/>
              <w:right w:w="108" w:type="dxa"/>
            </w:tcMar>
            <w:vAlign w:val="center"/>
          </w:tcPr>
          <w:p w14:paraId="3F2F6964">
            <w:pPr>
              <w:jc w:val="center"/>
              <w:rPr>
                <w:color w:val="auto"/>
                <w:highlight w:val="none"/>
              </w:rPr>
            </w:pPr>
            <w:r>
              <w:rPr>
                <w:rFonts w:hint="eastAsia" w:cs="宋体"/>
                <w:color w:val="auto"/>
                <w:highlight w:val="none"/>
              </w:rPr>
              <w:t>注册地点</w:t>
            </w:r>
          </w:p>
        </w:tc>
        <w:tc>
          <w:tcPr>
            <w:tcW w:w="1090" w:type="dxa"/>
            <w:tcMar>
              <w:left w:w="108" w:type="dxa"/>
              <w:right w:w="108" w:type="dxa"/>
            </w:tcMar>
            <w:vAlign w:val="center"/>
          </w:tcPr>
          <w:p w14:paraId="0FA1667F">
            <w:pPr>
              <w:jc w:val="center"/>
              <w:rPr>
                <w:color w:val="auto"/>
                <w:highlight w:val="none"/>
              </w:rPr>
            </w:pPr>
            <w:r>
              <w:rPr>
                <w:rFonts w:hint="eastAsia" w:cs="宋体"/>
                <w:color w:val="auto"/>
                <w:highlight w:val="none"/>
              </w:rPr>
              <w:t>企业资质</w:t>
            </w:r>
          </w:p>
        </w:tc>
        <w:tc>
          <w:tcPr>
            <w:tcW w:w="1197" w:type="dxa"/>
            <w:tcMar>
              <w:left w:w="108" w:type="dxa"/>
              <w:right w:w="108" w:type="dxa"/>
            </w:tcMar>
            <w:vAlign w:val="center"/>
          </w:tcPr>
          <w:p w14:paraId="2DAC540B">
            <w:pPr>
              <w:jc w:val="center"/>
              <w:rPr>
                <w:color w:val="auto"/>
                <w:highlight w:val="none"/>
              </w:rPr>
            </w:pPr>
            <w:r>
              <w:rPr>
                <w:rFonts w:hint="eastAsia" w:cs="宋体"/>
                <w:color w:val="auto"/>
                <w:highlight w:val="none"/>
              </w:rPr>
              <w:t>有关业绩</w:t>
            </w:r>
          </w:p>
        </w:tc>
        <w:tc>
          <w:tcPr>
            <w:tcW w:w="1268" w:type="dxa"/>
            <w:vAlign w:val="center"/>
          </w:tcPr>
          <w:p w14:paraId="49A2B2C5">
            <w:pPr>
              <w:jc w:val="center"/>
              <w:rPr>
                <w:rFonts w:cs="宋体"/>
                <w:color w:val="auto"/>
                <w:highlight w:val="none"/>
              </w:rPr>
            </w:pPr>
            <w:r>
              <w:rPr>
                <w:rFonts w:hint="eastAsia" w:cs="宋体"/>
                <w:color w:val="auto"/>
                <w:highlight w:val="none"/>
              </w:rPr>
              <w:t>拟分包金额</w:t>
            </w:r>
          </w:p>
        </w:tc>
        <w:tc>
          <w:tcPr>
            <w:tcW w:w="673" w:type="dxa"/>
            <w:vMerge w:val="continue"/>
            <w:tcMar>
              <w:left w:w="108" w:type="dxa"/>
              <w:right w:w="108" w:type="dxa"/>
            </w:tcMar>
            <w:vAlign w:val="center"/>
          </w:tcPr>
          <w:p w14:paraId="7B8685DD">
            <w:pPr>
              <w:jc w:val="center"/>
              <w:rPr>
                <w:color w:val="auto"/>
                <w:highlight w:val="none"/>
              </w:rPr>
            </w:pPr>
          </w:p>
        </w:tc>
      </w:tr>
      <w:tr w14:paraId="1328E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tcMar>
              <w:left w:w="108" w:type="dxa"/>
              <w:right w:w="108" w:type="dxa"/>
            </w:tcMar>
            <w:vAlign w:val="center"/>
          </w:tcPr>
          <w:p w14:paraId="76BC4B59">
            <w:pPr>
              <w:jc w:val="center"/>
              <w:rPr>
                <w:color w:val="auto"/>
                <w:highlight w:val="none"/>
              </w:rPr>
            </w:pPr>
          </w:p>
        </w:tc>
        <w:tc>
          <w:tcPr>
            <w:tcW w:w="1693" w:type="dxa"/>
            <w:vMerge w:val="restart"/>
            <w:tcMar>
              <w:left w:w="108" w:type="dxa"/>
              <w:right w:w="108" w:type="dxa"/>
            </w:tcMar>
            <w:vAlign w:val="center"/>
          </w:tcPr>
          <w:p w14:paraId="17162160">
            <w:pPr>
              <w:jc w:val="center"/>
              <w:rPr>
                <w:color w:val="auto"/>
                <w:highlight w:val="none"/>
              </w:rPr>
            </w:pPr>
          </w:p>
        </w:tc>
        <w:tc>
          <w:tcPr>
            <w:tcW w:w="751" w:type="dxa"/>
            <w:tcMar>
              <w:left w:w="108" w:type="dxa"/>
              <w:right w:w="108" w:type="dxa"/>
            </w:tcMar>
            <w:vAlign w:val="center"/>
          </w:tcPr>
          <w:p w14:paraId="04E9465C">
            <w:pPr>
              <w:jc w:val="center"/>
              <w:rPr>
                <w:color w:val="auto"/>
                <w:highlight w:val="none"/>
              </w:rPr>
            </w:pPr>
            <w:r>
              <w:rPr>
                <w:color w:val="auto"/>
                <w:highlight w:val="none"/>
              </w:rPr>
              <w:t>1</w:t>
            </w:r>
          </w:p>
        </w:tc>
        <w:tc>
          <w:tcPr>
            <w:tcW w:w="950" w:type="dxa"/>
            <w:tcMar>
              <w:left w:w="108" w:type="dxa"/>
              <w:right w:w="108" w:type="dxa"/>
            </w:tcMar>
            <w:vAlign w:val="center"/>
          </w:tcPr>
          <w:p w14:paraId="561AB770">
            <w:pPr>
              <w:jc w:val="center"/>
              <w:rPr>
                <w:color w:val="auto"/>
                <w:highlight w:val="none"/>
              </w:rPr>
            </w:pPr>
          </w:p>
        </w:tc>
        <w:tc>
          <w:tcPr>
            <w:tcW w:w="1123" w:type="dxa"/>
            <w:tcMar>
              <w:left w:w="108" w:type="dxa"/>
              <w:right w:w="108" w:type="dxa"/>
            </w:tcMar>
            <w:vAlign w:val="center"/>
          </w:tcPr>
          <w:p w14:paraId="0E33EAE2">
            <w:pPr>
              <w:jc w:val="center"/>
              <w:rPr>
                <w:color w:val="auto"/>
                <w:highlight w:val="none"/>
              </w:rPr>
            </w:pPr>
          </w:p>
        </w:tc>
        <w:tc>
          <w:tcPr>
            <w:tcW w:w="1090" w:type="dxa"/>
            <w:tcMar>
              <w:left w:w="108" w:type="dxa"/>
              <w:right w:w="108" w:type="dxa"/>
            </w:tcMar>
            <w:vAlign w:val="center"/>
          </w:tcPr>
          <w:p w14:paraId="7109B91A">
            <w:pPr>
              <w:jc w:val="center"/>
              <w:rPr>
                <w:color w:val="auto"/>
                <w:highlight w:val="none"/>
              </w:rPr>
            </w:pPr>
          </w:p>
        </w:tc>
        <w:tc>
          <w:tcPr>
            <w:tcW w:w="1197" w:type="dxa"/>
            <w:tcMar>
              <w:left w:w="108" w:type="dxa"/>
              <w:right w:w="108" w:type="dxa"/>
            </w:tcMar>
            <w:vAlign w:val="center"/>
          </w:tcPr>
          <w:p w14:paraId="09EAFBD8">
            <w:pPr>
              <w:jc w:val="center"/>
              <w:rPr>
                <w:color w:val="auto"/>
                <w:highlight w:val="none"/>
              </w:rPr>
            </w:pPr>
          </w:p>
        </w:tc>
        <w:tc>
          <w:tcPr>
            <w:tcW w:w="1268" w:type="dxa"/>
            <w:vAlign w:val="center"/>
          </w:tcPr>
          <w:p w14:paraId="6CF568EF">
            <w:pPr>
              <w:jc w:val="center"/>
              <w:rPr>
                <w:color w:val="auto"/>
                <w:highlight w:val="none"/>
              </w:rPr>
            </w:pPr>
          </w:p>
        </w:tc>
        <w:tc>
          <w:tcPr>
            <w:tcW w:w="673" w:type="dxa"/>
            <w:tcMar>
              <w:left w:w="108" w:type="dxa"/>
              <w:right w:w="108" w:type="dxa"/>
            </w:tcMar>
            <w:vAlign w:val="center"/>
          </w:tcPr>
          <w:p w14:paraId="51D792E3">
            <w:pPr>
              <w:jc w:val="center"/>
              <w:rPr>
                <w:color w:val="auto"/>
                <w:highlight w:val="none"/>
              </w:rPr>
            </w:pPr>
          </w:p>
        </w:tc>
      </w:tr>
      <w:tr w14:paraId="4FD95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tcMar>
              <w:left w:w="108" w:type="dxa"/>
              <w:right w:w="108" w:type="dxa"/>
            </w:tcMar>
            <w:vAlign w:val="center"/>
          </w:tcPr>
          <w:p w14:paraId="0951E594">
            <w:pPr>
              <w:jc w:val="center"/>
              <w:rPr>
                <w:color w:val="auto"/>
                <w:highlight w:val="none"/>
              </w:rPr>
            </w:pPr>
          </w:p>
        </w:tc>
        <w:tc>
          <w:tcPr>
            <w:tcW w:w="1693" w:type="dxa"/>
            <w:vMerge w:val="continue"/>
            <w:tcMar>
              <w:left w:w="108" w:type="dxa"/>
              <w:right w:w="108" w:type="dxa"/>
            </w:tcMar>
            <w:vAlign w:val="center"/>
          </w:tcPr>
          <w:p w14:paraId="5EE9F196">
            <w:pPr>
              <w:jc w:val="center"/>
              <w:rPr>
                <w:color w:val="auto"/>
                <w:highlight w:val="none"/>
              </w:rPr>
            </w:pPr>
          </w:p>
        </w:tc>
        <w:tc>
          <w:tcPr>
            <w:tcW w:w="751" w:type="dxa"/>
            <w:tcMar>
              <w:left w:w="108" w:type="dxa"/>
              <w:right w:w="108" w:type="dxa"/>
            </w:tcMar>
            <w:vAlign w:val="center"/>
          </w:tcPr>
          <w:p w14:paraId="574D8E15">
            <w:pPr>
              <w:jc w:val="center"/>
              <w:rPr>
                <w:color w:val="auto"/>
                <w:highlight w:val="none"/>
              </w:rPr>
            </w:pPr>
            <w:r>
              <w:rPr>
                <w:color w:val="auto"/>
                <w:highlight w:val="none"/>
              </w:rPr>
              <w:t>2</w:t>
            </w:r>
          </w:p>
        </w:tc>
        <w:tc>
          <w:tcPr>
            <w:tcW w:w="950" w:type="dxa"/>
            <w:tcMar>
              <w:left w:w="108" w:type="dxa"/>
              <w:right w:w="108" w:type="dxa"/>
            </w:tcMar>
            <w:vAlign w:val="center"/>
          </w:tcPr>
          <w:p w14:paraId="01437C3B">
            <w:pPr>
              <w:jc w:val="center"/>
              <w:rPr>
                <w:color w:val="auto"/>
                <w:highlight w:val="none"/>
              </w:rPr>
            </w:pPr>
          </w:p>
        </w:tc>
        <w:tc>
          <w:tcPr>
            <w:tcW w:w="1123" w:type="dxa"/>
            <w:tcMar>
              <w:left w:w="108" w:type="dxa"/>
              <w:right w:w="108" w:type="dxa"/>
            </w:tcMar>
            <w:vAlign w:val="center"/>
          </w:tcPr>
          <w:p w14:paraId="2EF9407A">
            <w:pPr>
              <w:jc w:val="center"/>
              <w:rPr>
                <w:color w:val="auto"/>
                <w:highlight w:val="none"/>
              </w:rPr>
            </w:pPr>
          </w:p>
        </w:tc>
        <w:tc>
          <w:tcPr>
            <w:tcW w:w="1090" w:type="dxa"/>
            <w:tcMar>
              <w:left w:w="108" w:type="dxa"/>
              <w:right w:w="108" w:type="dxa"/>
            </w:tcMar>
            <w:vAlign w:val="center"/>
          </w:tcPr>
          <w:p w14:paraId="5E194776">
            <w:pPr>
              <w:jc w:val="center"/>
              <w:rPr>
                <w:color w:val="auto"/>
                <w:highlight w:val="none"/>
              </w:rPr>
            </w:pPr>
          </w:p>
        </w:tc>
        <w:tc>
          <w:tcPr>
            <w:tcW w:w="1197" w:type="dxa"/>
            <w:tcMar>
              <w:left w:w="108" w:type="dxa"/>
              <w:right w:w="108" w:type="dxa"/>
            </w:tcMar>
            <w:vAlign w:val="center"/>
          </w:tcPr>
          <w:p w14:paraId="5BF708B4">
            <w:pPr>
              <w:jc w:val="center"/>
              <w:rPr>
                <w:color w:val="auto"/>
                <w:highlight w:val="none"/>
              </w:rPr>
            </w:pPr>
          </w:p>
        </w:tc>
        <w:tc>
          <w:tcPr>
            <w:tcW w:w="1268" w:type="dxa"/>
          </w:tcPr>
          <w:p w14:paraId="482D3938">
            <w:pPr>
              <w:jc w:val="center"/>
              <w:rPr>
                <w:color w:val="auto"/>
                <w:highlight w:val="none"/>
              </w:rPr>
            </w:pPr>
          </w:p>
        </w:tc>
        <w:tc>
          <w:tcPr>
            <w:tcW w:w="673" w:type="dxa"/>
            <w:tcMar>
              <w:left w:w="108" w:type="dxa"/>
              <w:right w:w="108" w:type="dxa"/>
            </w:tcMar>
            <w:vAlign w:val="center"/>
          </w:tcPr>
          <w:p w14:paraId="4AC3A7ED">
            <w:pPr>
              <w:jc w:val="center"/>
              <w:rPr>
                <w:color w:val="auto"/>
                <w:highlight w:val="none"/>
              </w:rPr>
            </w:pPr>
          </w:p>
        </w:tc>
      </w:tr>
      <w:tr w14:paraId="29757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tcMar>
              <w:left w:w="108" w:type="dxa"/>
              <w:right w:w="108" w:type="dxa"/>
            </w:tcMar>
            <w:vAlign w:val="center"/>
          </w:tcPr>
          <w:p w14:paraId="6F5C5A86">
            <w:pPr>
              <w:jc w:val="center"/>
              <w:rPr>
                <w:color w:val="auto"/>
                <w:highlight w:val="none"/>
              </w:rPr>
            </w:pPr>
          </w:p>
        </w:tc>
        <w:tc>
          <w:tcPr>
            <w:tcW w:w="1693" w:type="dxa"/>
            <w:vMerge w:val="continue"/>
            <w:tcMar>
              <w:left w:w="108" w:type="dxa"/>
              <w:right w:w="108" w:type="dxa"/>
            </w:tcMar>
            <w:vAlign w:val="center"/>
          </w:tcPr>
          <w:p w14:paraId="14623FB6">
            <w:pPr>
              <w:jc w:val="center"/>
              <w:rPr>
                <w:color w:val="auto"/>
                <w:highlight w:val="none"/>
              </w:rPr>
            </w:pPr>
          </w:p>
        </w:tc>
        <w:tc>
          <w:tcPr>
            <w:tcW w:w="751" w:type="dxa"/>
            <w:tcMar>
              <w:left w:w="108" w:type="dxa"/>
              <w:right w:w="108" w:type="dxa"/>
            </w:tcMar>
            <w:vAlign w:val="center"/>
          </w:tcPr>
          <w:p w14:paraId="6CEE06A9">
            <w:pPr>
              <w:jc w:val="center"/>
              <w:rPr>
                <w:color w:val="auto"/>
                <w:highlight w:val="none"/>
              </w:rPr>
            </w:pPr>
            <w:r>
              <w:rPr>
                <w:color w:val="auto"/>
                <w:highlight w:val="none"/>
              </w:rPr>
              <w:t>3</w:t>
            </w:r>
          </w:p>
        </w:tc>
        <w:tc>
          <w:tcPr>
            <w:tcW w:w="950" w:type="dxa"/>
            <w:tcMar>
              <w:left w:w="108" w:type="dxa"/>
              <w:right w:w="108" w:type="dxa"/>
            </w:tcMar>
            <w:vAlign w:val="center"/>
          </w:tcPr>
          <w:p w14:paraId="7A4C77C7">
            <w:pPr>
              <w:jc w:val="center"/>
              <w:rPr>
                <w:color w:val="auto"/>
                <w:highlight w:val="none"/>
              </w:rPr>
            </w:pPr>
          </w:p>
        </w:tc>
        <w:tc>
          <w:tcPr>
            <w:tcW w:w="1123" w:type="dxa"/>
            <w:tcMar>
              <w:left w:w="108" w:type="dxa"/>
              <w:right w:w="108" w:type="dxa"/>
            </w:tcMar>
            <w:vAlign w:val="center"/>
          </w:tcPr>
          <w:p w14:paraId="2C6B446A">
            <w:pPr>
              <w:jc w:val="center"/>
              <w:rPr>
                <w:color w:val="auto"/>
                <w:highlight w:val="none"/>
              </w:rPr>
            </w:pPr>
          </w:p>
        </w:tc>
        <w:tc>
          <w:tcPr>
            <w:tcW w:w="1090" w:type="dxa"/>
            <w:tcMar>
              <w:left w:w="108" w:type="dxa"/>
              <w:right w:w="108" w:type="dxa"/>
            </w:tcMar>
            <w:vAlign w:val="center"/>
          </w:tcPr>
          <w:p w14:paraId="0712F9D4">
            <w:pPr>
              <w:jc w:val="center"/>
              <w:rPr>
                <w:color w:val="auto"/>
                <w:highlight w:val="none"/>
              </w:rPr>
            </w:pPr>
          </w:p>
        </w:tc>
        <w:tc>
          <w:tcPr>
            <w:tcW w:w="1197" w:type="dxa"/>
            <w:tcMar>
              <w:left w:w="108" w:type="dxa"/>
              <w:right w:w="108" w:type="dxa"/>
            </w:tcMar>
            <w:vAlign w:val="center"/>
          </w:tcPr>
          <w:p w14:paraId="79F1AFEF">
            <w:pPr>
              <w:jc w:val="center"/>
              <w:rPr>
                <w:color w:val="auto"/>
                <w:highlight w:val="none"/>
              </w:rPr>
            </w:pPr>
          </w:p>
        </w:tc>
        <w:tc>
          <w:tcPr>
            <w:tcW w:w="1268" w:type="dxa"/>
          </w:tcPr>
          <w:p w14:paraId="0F0CF45F">
            <w:pPr>
              <w:jc w:val="center"/>
              <w:rPr>
                <w:color w:val="auto"/>
                <w:highlight w:val="none"/>
              </w:rPr>
            </w:pPr>
          </w:p>
        </w:tc>
        <w:tc>
          <w:tcPr>
            <w:tcW w:w="673" w:type="dxa"/>
            <w:tcMar>
              <w:left w:w="108" w:type="dxa"/>
              <w:right w:w="108" w:type="dxa"/>
            </w:tcMar>
            <w:vAlign w:val="center"/>
          </w:tcPr>
          <w:p w14:paraId="25CD88C1">
            <w:pPr>
              <w:jc w:val="center"/>
              <w:rPr>
                <w:color w:val="auto"/>
                <w:highlight w:val="none"/>
              </w:rPr>
            </w:pPr>
          </w:p>
        </w:tc>
      </w:tr>
      <w:tr w14:paraId="25705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tcMar>
              <w:left w:w="108" w:type="dxa"/>
              <w:right w:w="108" w:type="dxa"/>
            </w:tcMar>
            <w:vAlign w:val="center"/>
          </w:tcPr>
          <w:p w14:paraId="70849803">
            <w:pPr>
              <w:jc w:val="center"/>
              <w:rPr>
                <w:color w:val="auto"/>
                <w:highlight w:val="none"/>
              </w:rPr>
            </w:pPr>
          </w:p>
        </w:tc>
        <w:tc>
          <w:tcPr>
            <w:tcW w:w="1693" w:type="dxa"/>
            <w:vMerge w:val="restart"/>
            <w:tcMar>
              <w:left w:w="108" w:type="dxa"/>
              <w:right w:w="108" w:type="dxa"/>
            </w:tcMar>
            <w:vAlign w:val="center"/>
          </w:tcPr>
          <w:p w14:paraId="3ABB987B">
            <w:pPr>
              <w:jc w:val="center"/>
              <w:rPr>
                <w:color w:val="auto"/>
                <w:highlight w:val="none"/>
              </w:rPr>
            </w:pPr>
          </w:p>
        </w:tc>
        <w:tc>
          <w:tcPr>
            <w:tcW w:w="751" w:type="dxa"/>
            <w:tcMar>
              <w:left w:w="108" w:type="dxa"/>
              <w:right w:w="108" w:type="dxa"/>
            </w:tcMar>
            <w:vAlign w:val="center"/>
          </w:tcPr>
          <w:p w14:paraId="4000F21E">
            <w:pPr>
              <w:jc w:val="center"/>
              <w:rPr>
                <w:color w:val="auto"/>
                <w:highlight w:val="none"/>
              </w:rPr>
            </w:pPr>
            <w:r>
              <w:rPr>
                <w:color w:val="auto"/>
                <w:highlight w:val="none"/>
              </w:rPr>
              <w:t>1</w:t>
            </w:r>
          </w:p>
        </w:tc>
        <w:tc>
          <w:tcPr>
            <w:tcW w:w="950" w:type="dxa"/>
            <w:tcMar>
              <w:left w:w="108" w:type="dxa"/>
              <w:right w:w="108" w:type="dxa"/>
            </w:tcMar>
            <w:vAlign w:val="center"/>
          </w:tcPr>
          <w:p w14:paraId="2CFBE607">
            <w:pPr>
              <w:jc w:val="center"/>
              <w:rPr>
                <w:color w:val="auto"/>
                <w:highlight w:val="none"/>
              </w:rPr>
            </w:pPr>
          </w:p>
        </w:tc>
        <w:tc>
          <w:tcPr>
            <w:tcW w:w="1123" w:type="dxa"/>
            <w:tcMar>
              <w:left w:w="108" w:type="dxa"/>
              <w:right w:w="108" w:type="dxa"/>
            </w:tcMar>
            <w:vAlign w:val="center"/>
          </w:tcPr>
          <w:p w14:paraId="31C33CE6">
            <w:pPr>
              <w:jc w:val="center"/>
              <w:rPr>
                <w:color w:val="auto"/>
                <w:highlight w:val="none"/>
              </w:rPr>
            </w:pPr>
          </w:p>
        </w:tc>
        <w:tc>
          <w:tcPr>
            <w:tcW w:w="1090" w:type="dxa"/>
            <w:tcMar>
              <w:left w:w="108" w:type="dxa"/>
              <w:right w:w="108" w:type="dxa"/>
            </w:tcMar>
            <w:vAlign w:val="center"/>
          </w:tcPr>
          <w:p w14:paraId="6A4C1EC9">
            <w:pPr>
              <w:jc w:val="center"/>
              <w:rPr>
                <w:color w:val="auto"/>
                <w:highlight w:val="none"/>
              </w:rPr>
            </w:pPr>
          </w:p>
        </w:tc>
        <w:tc>
          <w:tcPr>
            <w:tcW w:w="1197" w:type="dxa"/>
            <w:tcMar>
              <w:left w:w="108" w:type="dxa"/>
              <w:right w:w="108" w:type="dxa"/>
            </w:tcMar>
            <w:vAlign w:val="center"/>
          </w:tcPr>
          <w:p w14:paraId="5E5662AE">
            <w:pPr>
              <w:jc w:val="center"/>
              <w:rPr>
                <w:color w:val="auto"/>
                <w:highlight w:val="none"/>
              </w:rPr>
            </w:pPr>
          </w:p>
        </w:tc>
        <w:tc>
          <w:tcPr>
            <w:tcW w:w="1268" w:type="dxa"/>
          </w:tcPr>
          <w:p w14:paraId="4BC86AEF">
            <w:pPr>
              <w:jc w:val="center"/>
              <w:rPr>
                <w:color w:val="auto"/>
                <w:highlight w:val="none"/>
              </w:rPr>
            </w:pPr>
          </w:p>
        </w:tc>
        <w:tc>
          <w:tcPr>
            <w:tcW w:w="673" w:type="dxa"/>
            <w:tcMar>
              <w:left w:w="108" w:type="dxa"/>
              <w:right w:w="108" w:type="dxa"/>
            </w:tcMar>
            <w:vAlign w:val="center"/>
          </w:tcPr>
          <w:p w14:paraId="2F423B89">
            <w:pPr>
              <w:jc w:val="center"/>
              <w:rPr>
                <w:color w:val="auto"/>
                <w:highlight w:val="none"/>
              </w:rPr>
            </w:pPr>
          </w:p>
        </w:tc>
      </w:tr>
      <w:tr w14:paraId="3F495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tcMar>
              <w:left w:w="108" w:type="dxa"/>
              <w:right w:w="108" w:type="dxa"/>
            </w:tcMar>
            <w:vAlign w:val="center"/>
          </w:tcPr>
          <w:p w14:paraId="6C98A492">
            <w:pPr>
              <w:jc w:val="center"/>
              <w:rPr>
                <w:color w:val="auto"/>
                <w:highlight w:val="none"/>
              </w:rPr>
            </w:pPr>
          </w:p>
        </w:tc>
        <w:tc>
          <w:tcPr>
            <w:tcW w:w="1693" w:type="dxa"/>
            <w:vMerge w:val="continue"/>
            <w:tcMar>
              <w:left w:w="108" w:type="dxa"/>
              <w:right w:w="108" w:type="dxa"/>
            </w:tcMar>
            <w:vAlign w:val="center"/>
          </w:tcPr>
          <w:p w14:paraId="49E430C8">
            <w:pPr>
              <w:jc w:val="center"/>
              <w:rPr>
                <w:color w:val="auto"/>
                <w:highlight w:val="none"/>
              </w:rPr>
            </w:pPr>
          </w:p>
        </w:tc>
        <w:tc>
          <w:tcPr>
            <w:tcW w:w="751" w:type="dxa"/>
            <w:tcMar>
              <w:left w:w="108" w:type="dxa"/>
              <w:right w:w="108" w:type="dxa"/>
            </w:tcMar>
            <w:vAlign w:val="center"/>
          </w:tcPr>
          <w:p w14:paraId="540A06DA">
            <w:pPr>
              <w:jc w:val="center"/>
              <w:rPr>
                <w:color w:val="auto"/>
                <w:highlight w:val="none"/>
              </w:rPr>
            </w:pPr>
            <w:r>
              <w:rPr>
                <w:color w:val="auto"/>
                <w:highlight w:val="none"/>
              </w:rPr>
              <w:t>2</w:t>
            </w:r>
          </w:p>
        </w:tc>
        <w:tc>
          <w:tcPr>
            <w:tcW w:w="950" w:type="dxa"/>
            <w:tcMar>
              <w:left w:w="108" w:type="dxa"/>
              <w:right w:w="108" w:type="dxa"/>
            </w:tcMar>
            <w:vAlign w:val="center"/>
          </w:tcPr>
          <w:p w14:paraId="467B46BA">
            <w:pPr>
              <w:jc w:val="center"/>
              <w:rPr>
                <w:color w:val="auto"/>
                <w:highlight w:val="none"/>
              </w:rPr>
            </w:pPr>
          </w:p>
        </w:tc>
        <w:tc>
          <w:tcPr>
            <w:tcW w:w="1123" w:type="dxa"/>
            <w:tcMar>
              <w:left w:w="108" w:type="dxa"/>
              <w:right w:w="108" w:type="dxa"/>
            </w:tcMar>
            <w:vAlign w:val="center"/>
          </w:tcPr>
          <w:p w14:paraId="0BE66E39">
            <w:pPr>
              <w:jc w:val="center"/>
              <w:rPr>
                <w:color w:val="auto"/>
                <w:highlight w:val="none"/>
              </w:rPr>
            </w:pPr>
          </w:p>
        </w:tc>
        <w:tc>
          <w:tcPr>
            <w:tcW w:w="1090" w:type="dxa"/>
            <w:tcMar>
              <w:left w:w="108" w:type="dxa"/>
              <w:right w:w="108" w:type="dxa"/>
            </w:tcMar>
            <w:vAlign w:val="center"/>
          </w:tcPr>
          <w:p w14:paraId="57D9A18E">
            <w:pPr>
              <w:jc w:val="center"/>
              <w:rPr>
                <w:color w:val="auto"/>
                <w:highlight w:val="none"/>
              </w:rPr>
            </w:pPr>
          </w:p>
        </w:tc>
        <w:tc>
          <w:tcPr>
            <w:tcW w:w="1197" w:type="dxa"/>
            <w:tcMar>
              <w:left w:w="108" w:type="dxa"/>
              <w:right w:w="108" w:type="dxa"/>
            </w:tcMar>
            <w:vAlign w:val="center"/>
          </w:tcPr>
          <w:p w14:paraId="6198A8B8">
            <w:pPr>
              <w:jc w:val="center"/>
              <w:rPr>
                <w:color w:val="auto"/>
                <w:highlight w:val="none"/>
              </w:rPr>
            </w:pPr>
          </w:p>
        </w:tc>
        <w:tc>
          <w:tcPr>
            <w:tcW w:w="1268" w:type="dxa"/>
          </w:tcPr>
          <w:p w14:paraId="18546EBB">
            <w:pPr>
              <w:jc w:val="center"/>
              <w:rPr>
                <w:color w:val="auto"/>
                <w:highlight w:val="none"/>
              </w:rPr>
            </w:pPr>
          </w:p>
        </w:tc>
        <w:tc>
          <w:tcPr>
            <w:tcW w:w="673" w:type="dxa"/>
            <w:tcMar>
              <w:left w:w="108" w:type="dxa"/>
              <w:right w:w="108" w:type="dxa"/>
            </w:tcMar>
            <w:vAlign w:val="center"/>
          </w:tcPr>
          <w:p w14:paraId="6538D5BD">
            <w:pPr>
              <w:jc w:val="center"/>
              <w:rPr>
                <w:color w:val="auto"/>
                <w:highlight w:val="none"/>
              </w:rPr>
            </w:pPr>
          </w:p>
        </w:tc>
      </w:tr>
      <w:tr w14:paraId="28F5C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tcMar>
              <w:left w:w="108" w:type="dxa"/>
              <w:right w:w="108" w:type="dxa"/>
            </w:tcMar>
            <w:vAlign w:val="center"/>
          </w:tcPr>
          <w:p w14:paraId="27D8BFA8">
            <w:pPr>
              <w:jc w:val="center"/>
              <w:rPr>
                <w:color w:val="auto"/>
                <w:highlight w:val="none"/>
              </w:rPr>
            </w:pPr>
          </w:p>
        </w:tc>
        <w:tc>
          <w:tcPr>
            <w:tcW w:w="1693" w:type="dxa"/>
            <w:vMerge w:val="continue"/>
            <w:tcMar>
              <w:left w:w="108" w:type="dxa"/>
              <w:right w:w="108" w:type="dxa"/>
            </w:tcMar>
            <w:vAlign w:val="center"/>
          </w:tcPr>
          <w:p w14:paraId="681A2CD7">
            <w:pPr>
              <w:jc w:val="center"/>
              <w:rPr>
                <w:color w:val="auto"/>
                <w:highlight w:val="none"/>
              </w:rPr>
            </w:pPr>
          </w:p>
        </w:tc>
        <w:tc>
          <w:tcPr>
            <w:tcW w:w="751" w:type="dxa"/>
            <w:tcMar>
              <w:left w:w="108" w:type="dxa"/>
              <w:right w:w="108" w:type="dxa"/>
            </w:tcMar>
            <w:vAlign w:val="center"/>
          </w:tcPr>
          <w:p w14:paraId="7F802CD9">
            <w:pPr>
              <w:jc w:val="center"/>
              <w:rPr>
                <w:color w:val="auto"/>
                <w:highlight w:val="none"/>
              </w:rPr>
            </w:pPr>
            <w:r>
              <w:rPr>
                <w:color w:val="auto"/>
                <w:highlight w:val="none"/>
              </w:rPr>
              <w:t>3</w:t>
            </w:r>
          </w:p>
        </w:tc>
        <w:tc>
          <w:tcPr>
            <w:tcW w:w="950" w:type="dxa"/>
            <w:tcMar>
              <w:left w:w="108" w:type="dxa"/>
              <w:right w:w="108" w:type="dxa"/>
            </w:tcMar>
            <w:vAlign w:val="center"/>
          </w:tcPr>
          <w:p w14:paraId="15CAB940">
            <w:pPr>
              <w:jc w:val="center"/>
              <w:rPr>
                <w:color w:val="auto"/>
                <w:highlight w:val="none"/>
              </w:rPr>
            </w:pPr>
          </w:p>
        </w:tc>
        <w:tc>
          <w:tcPr>
            <w:tcW w:w="1123" w:type="dxa"/>
            <w:tcMar>
              <w:left w:w="108" w:type="dxa"/>
              <w:right w:w="108" w:type="dxa"/>
            </w:tcMar>
            <w:vAlign w:val="center"/>
          </w:tcPr>
          <w:p w14:paraId="0407C1CB">
            <w:pPr>
              <w:jc w:val="center"/>
              <w:rPr>
                <w:color w:val="auto"/>
                <w:highlight w:val="none"/>
              </w:rPr>
            </w:pPr>
          </w:p>
        </w:tc>
        <w:tc>
          <w:tcPr>
            <w:tcW w:w="1090" w:type="dxa"/>
            <w:tcMar>
              <w:left w:w="108" w:type="dxa"/>
              <w:right w:w="108" w:type="dxa"/>
            </w:tcMar>
            <w:vAlign w:val="center"/>
          </w:tcPr>
          <w:p w14:paraId="2E3A407A">
            <w:pPr>
              <w:jc w:val="center"/>
              <w:rPr>
                <w:color w:val="auto"/>
                <w:highlight w:val="none"/>
              </w:rPr>
            </w:pPr>
          </w:p>
        </w:tc>
        <w:tc>
          <w:tcPr>
            <w:tcW w:w="1197" w:type="dxa"/>
            <w:tcMar>
              <w:left w:w="108" w:type="dxa"/>
              <w:right w:w="108" w:type="dxa"/>
            </w:tcMar>
            <w:vAlign w:val="center"/>
          </w:tcPr>
          <w:p w14:paraId="5500FBBB">
            <w:pPr>
              <w:jc w:val="center"/>
              <w:rPr>
                <w:color w:val="auto"/>
                <w:highlight w:val="none"/>
              </w:rPr>
            </w:pPr>
          </w:p>
        </w:tc>
        <w:tc>
          <w:tcPr>
            <w:tcW w:w="1268" w:type="dxa"/>
          </w:tcPr>
          <w:p w14:paraId="3A50A939">
            <w:pPr>
              <w:jc w:val="center"/>
              <w:rPr>
                <w:color w:val="auto"/>
                <w:highlight w:val="none"/>
              </w:rPr>
            </w:pPr>
          </w:p>
        </w:tc>
        <w:tc>
          <w:tcPr>
            <w:tcW w:w="673" w:type="dxa"/>
            <w:tcMar>
              <w:left w:w="108" w:type="dxa"/>
              <w:right w:w="108" w:type="dxa"/>
            </w:tcMar>
            <w:vAlign w:val="center"/>
          </w:tcPr>
          <w:p w14:paraId="51B020FE">
            <w:pPr>
              <w:jc w:val="center"/>
              <w:rPr>
                <w:color w:val="auto"/>
                <w:highlight w:val="none"/>
              </w:rPr>
            </w:pPr>
          </w:p>
        </w:tc>
      </w:tr>
    </w:tbl>
    <w:p w14:paraId="4DDA4262">
      <w:pPr>
        <w:spacing w:line="440" w:lineRule="exact"/>
        <w:ind w:right="420" w:firstLine="480" w:firstLineChars="200"/>
        <w:rPr>
          <w:rFonts w:cs="宋体"/>
          <w:color w:val="auto"/>
          <w:sz w:val="24"/>
          <w:highlight w:val="none"/>
        </w:rPr>
      </w:pPr>
      <w:r>
        <w:rPr>
          <w:rFonts w:hint="eastAsia" w:cs="宋体"/>
          <w:color w:val="auto"/>
          <w:sz w:val="24"/>
          <w:highlight w:val="none"/>
        </w:rPr>
        <w:t>备注：1.若无分包计划，则供应商应在本表填写“无”。</w:t>
      </w:r>
    </w:p>
    <w:p w14:paraId="72D19395">
      <w:pPr>
        <w:spacing w:line="440" w:lineRule="exact"/>
        <w:ind w:right="420" w:firstLine="1200" w:firstLineChars="500"/>
        <w:rPr>
          <w:color w:val="auto"/>
          <w:sz w:val="24"/>
          <w:highlight w:val="none"/>
        </w:rPr>
      </w:pPr>
      <w:r>
        <w:rPr>
          <w:rFonts w:hint="eastAsia" w:cs="宋体"/>
          <w:color w:val="auto"/>
          <w:sz w:val="24"/>
          <w:highlight w:val="none"/>
        </w:rPr>
        <w:t>2.本表所列分包仅限于承包人自行施工范围内的非主体、非关键工程。</w:t>
      </w:r>
    </w:p>
    <w:p w14:paraId="2ABDF8DE">
      <w:pPr>
        <w:adjustRightInd w:val="0"/>
        <w:spacing w:line="360" w:lineRule="auto"/>
        <w:contextualSpacing/>
        <w:rPr>
          <w:rFonts w:ascii="宋体" w:hAnsi="宋体" w:cs="仿宋_GB2312"/>
          <w:color w:val="auto"/>
          <w:sz w:val="24"/>
          <w:highlight w:val="none"/>
        </w:rPr>
      </w:pPr>
    </w:p>
    <w:p w14:paraId="2B5CA456">
      <w:pPr>
        <w:spacing w:line="360" w:lineRule="auto"/>
        <w:ind w:right="-817" w:rightChars="-389"/>
        <w:contextualSpacing/>
        <w:rPr>
          <w:rFonts w:ascii="宋体" w:hAnsi="宋体" w:cs="仿宋_GB2312"/>
          <w:color w:val="auto"/>
          <w:sz w:val="24"/>
          <w:highlight w:val="none"/>
        </w:rPr>
      </w:pPr>
    </w:p>
    <w:p w14:paraId="126AFA02">
      <w:pPr>
        <w:spacing w:line="360" w:lineRule="auto"/>
        <w:ind w:right="-817" w:rightChars="-389"/>
        <w:contextualSpacing/>
        <w:rPr>
          <w:rFonts w:ascii="宋体" w:hAnsi="宋体" w:cs="仿宋_GB2312"/>
          <w:color w:val="auto"/>
          <w:sz w:val="24"/>
          <w:highlight w:val="none"/>
        </w:rPr>
      </w:pPr>
    </w:p>
    <w:p w14:paraId="1ECEA7F8">
      <w:pPr>
        <w:spacing w:line="360" w:lineRule="auto"/>
        <w:ind w:right="-817" w:rightChars="-389"/>
        <w:contextualSpacing/>
        <w:jc w:val="center"/>
        <w:rPr>
          <w:rFonts w:ascii="宋体" w:hAnsi="宋体" w:cs="仿宋_GB2312"/>
          <w:color w:val="auto"/>
          <w:sz w:val="24"/>
          <w:highlight w:val="none"/>
        </w:rPr>
      </w:pPr>
    </w:p>
    <w:p w14:paraId="34100B15">
      <w:pPr>
        <w:spacing w:line="360" w:lineRule="auto"/>
        <w:ind w:right="-817" w:rightChars="-389" w:firstLine="4080" w:firstLineChars="17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00664561">
      <w:pPr>
        <w:spacing w:line="360" w:lineRule="auto"/>
        <w:ind w:right="-817" w:rightChars="-389" w:firstLine="4080" w:firstLineChars="17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204EEABF">
      <w:pPr>
        <w:adjustRightInd w:val="0"/>
        <w:snapToGrid w:val="0"/>
        <w:spacing w:line="300" w:lineRule="auto"/>
        <w:jc w:val="center"/>
        <w:rPr>
          <w:rFonts w:ascii="宋体" w:hAnsi="宋体"/>
          <w:b/>
          <w:color w:val="auto"/>
          <w:sz w:val="44"/>
          <w:szCs w:val="44"/>
          <w:highlight w:val="none"/>
        </w:rPr>
      </w:pPr>
      <w:r>
        <w:rPr>
          <w:rFonts w:ascii="宋体" w:hAnsi="宋体" w:cs="仿宋_GB2312"/>
          <w:color w:val="auto"/>
          <w:sz w:val="24"/>
          <w:highlight w:val="none"/>
        </w:rPr>
        <w:br w:type="page"/>
      </w:r>
      <w:r>
        <w:rPr>
          <w:rFonts w:hint="eastAsia" w:ascii="宋体" w:hAnsi="宋体" w:cs="方正小标宋简体"/>
          <w:b/>
          <w:color w:val="auto"/>
          <w:sz w:val="32"/>
          <w:szCs w:val="32"/>
          <w:highlight w:val="none"/>
        </w:rPr>
        <w:t>项目管理机构配备情况表及主要人员简历表</w:t>
      </w:r>
    </w:p>
    <w:p w14:paraId="71C05EF1">
      <w:pPr>
        <w:snapToGrid w:val="0"/>
        <w:spacing w:before="120" w:beforeLines="50" w:after="50"/>
        <w:jc w:val="center"/>
        <w:rPr>
          <w:rFonts w:ascii="宋体" w:hAnsi="宋体"/>
          <w:b/>
          <w:color w:val="auto"/>
          <w:sz w:val="32"/>
          <w:szCs w:val="32"/>
          <w:highlight w:val="none"/>
        </w:rPr>
      </w:pPr>
      <w:r>
        <w:rPr>
          <w:rFonts w:hint="eastAsia" w:ascii="宋体" w:hAnsi="宋体"/>
          <w:b/>
          <w:color w:val="auto"/>
          <w:sz w:val="32"/>
          <w:szCs w:val="32"/>
          <w:highlight w:val="none"/>
        </w:rPr>
        <w:t>（一）项目管理机构配备情况表</w:t>
      </w:r>
    </w:p>
    <w:p w14:paraId="13542F83">
      <w:pPr>
        <w:pStyle w:val="24"/>
        <w:spacing w:line="360" w:lineRule="auto"/>
        <w:contextualSpacing/>
        <w:rPr>
          <w:color w:val="auto"/>
          <w:sz w:val="24"/>
          <w:szCs w:val="24"/>
          <w:highlight w:val="none"/>
        </w:rPr>
      </w:pPr>
      <w:r>
        <w:rPr>
          <w:rFonts w:hint="eastAsia" w:hAnsi="宋体" w:cs="仿宋_GB2312"/>
          <w:color w:val="auto"/>
          <w:sz w:val="24"/>
          <w:highlight w:val="none"/>
        </w:rPr>
        <w:t>分标（如有）</w:t>
      </w:r>
      <w:r>
        <w:rPr>
          <w:rFonts w:hint="eastAsia"/>
          <w:color w:val="auto"/>
          <w:sz w:val="24"/>
          <w:szCs w:val="24"/>
          <w:highlight w:val="none"/>
        </w:rPr>
        <w:t>：</w:t>
      </w:r>
      <w:r>
        <w:rPr>
          <w:rFonts w:hint="eastAsia" w:hAnsi="宋体"/>
          <w:color w:val="auto"/>
          <w:sz w:val="24"/>
          <w:szCs w:val="24"/>
          <w:highlight w:val="none"/>
          <w:u w:val="single"/>
        </w:rPr>
        <w:t xml:space="preserve">         </w:t>
      </w:r>
    </w:p>
    <w:tbl>
      <w:tblPr>
        <w:tblStyle w:val="44"/>
        <w:tblW w:w="9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35"/>
        <w:gridCol w:w="750"/>
        <w:gridCol w:w="780"/>
        <w:gridCol w:w="1155"/>
        <w:gridCol w:w="1031"/>
        <w:gridCol w:w="979"/>
        <w:gridCol w:w="913"/>
        <w:gridCol w:w="1167"/>
        <w:gridCol w:w="1276"/>
      </w:tblGrid>
      <w:tr w14:paraId="34E5D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1080" w:type="dxa"/>
            <w:vMerge w:val="restart"/>
            <w:vAlign w:val="center"/>
          </w:tcPr>
          <w:p w14:paraId="39A46F1D">
            <w:pPr>
              <w:ind w:left="223" w:hanging="222" w:hangingChars="106"/>
              <w:jc w:val="center"/>
              <w:rPr>
                <w:color w:val="auto"/>
                <w:highlight w:val="none"/>
              </w:rPr>
            </w:pPr>
            <w:r>
              <w:rPr>
                <w:color w:val="auto"/>
                <w:highlight w:val="none"/>
              </w:rPr>
              <w:t>岗位</w:t>
            </w:r>
          </w:p>
        </w:tc>
        <w:tc>
          <w:tcPr>
            <w:tcW w:w="735" w:type="dxa"/>
            <w:vMerge w:val="restart"/>
            <w:vAlign w:val="center"/>
          </w:tcPr>
          <w:p w14:paraId="0D940052">
            <w:pPr>
              <w:ind w:left="223" w:hanging="222" w:hangingChars="106"/>
              <w:jc w:val="center"/>
              <w:rPr>
                <w:color w:val="auto"/>
                <w:highlight w:val="none"/>
              </w:rPr>
            </w:pPr>
            <w:r>
              <w:rPr>
                <w:color w:val="auto"/>
                <w:highlight w:val="none"/>
              </w:rPr>
              <w:t>姓名</w:t>
            </w:r>
          </w:p>
        </w:tc>
        <w:tc>
          <w:tcPr>
            <w:tcW w:w="750" w:type="dxa"/>
            <w:vMerge w:val="restart"/>
            <w:vAlign w:val="center"/>
          </w:tcPr>
          <w:p w14:paraId="0C57F9DD">
            <w:pPr>
              <w:jc w:val="center"/>
              <w:rPr>
                <w:color w:val="auto"/>
                <w:highlight w:val="none"/>
              </w:rPr>
            </w:pPr>
            <w:r>
              <w:rPr>
                <w:color w:val="auto"/>
                <w:highlight w:val="none"/>
              </w:rPr>
              <w:t>身份证号</w:t>
            </w:r>
          </w:p>
        </w:tc>
        <w:tc>
          <w:tcPr>
            <w:tcW w:w="780" w:type="dxa"/>
            <w:vMerge w:val="restart"/>
            <w:vAlign w:val="center"/>
          </w:tcPr>
          <w:p w14:paraId="58D3364B">
            <w:pPr>
              <w:ind w:left="223" w:hanging="222" w:hangingChars="106"/>
              <w:jc w:val="center"/>
              <w:rPr>
                <w:color w:val="auto"/>
                <w:highlight w:val="none"/>
              </w:rPr>
            </w:pPr>
            <w:r>
              <w:rPr>
                <w:color w:val="auto"/>
                <w:highlight w:val="none"/>
              </w:rPr>
              <w:t>职称</w:t>
            </w:r>
          </w:p>
        </w:tc>
        <w:tc>
          <w:tcPr>
            <w:tcW w:w="4078" w:type="dxa"/>
            <w:gridSpan w:val="4"/>
            <w:vAlign w:val="center"/>
          </w:tcPr>
          <w:p w14:paraId="6409BAEA">
            <w:pPr>
              <w:ind w:left="223" w:hanging="222" w:hangingChars="106"/>
              <w:jc w:val="center"/>
              <w:rPr>
                <w:color w:val="auto"/>
                <w:highlight w:val="none"/>
              </w:rPr>
            </w:pPr>
            <w:r>
              <w:rPr>
                <w:color w:val="auto"/>
                <w:highlight w:val="none"/>
              </w:rPr>
              <w:t>执业或职业资格</w:t>
            </w:r>
          </w:p>
        </w:tc>
        <w:tc>
          <w:tcPr>
            <w:tcW w:w="2443" w:type="dxa"/>
            <w:gridSpan w:val="2"/>
            <w:vAlign w:val="center"/>
          </w:tcPr>
          <w:p w14:paraId="4D6A74E3">
            <w:pPr>
              <w:jc w:val="left"/>
              <w:rPr>
                <w:color w:val="auto"/>
                <w:highlight w:val="none"/>
              </w:rPr>
            </w:pPr>
            <w:r>
              <w:rPr>
                <w:color w:val="auto"/>
                <w:highlight w:val="none"/>
              </w:rPr>
              <w:t>承担完工</w:t>
            </w:r>
            <w:r>
              <w:rPr>
                <w:rFonts w:hint="eastAsia"/>
                <w:color w:val="auto"/>
                <w:highlight w:val="none"/>
              </w:rPr>
              <w:t>、</w:t>
            </w:r>
            <w:r>
              <w:rPr>
                <w:color w:val="auto"/>
                <w:highlight w:val="none"/>
              </w:rPr>
              <w:t>在建工程情况</w:t>
            </w:r>
          </w:p>
        </w:tc>
      </w:tr>
      <w:tr w14:paraId="28B54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1080" w:type="dxa"/>
            <w:vMerge w:val="continue"/>
            <w:vAlign w:val="center"/>
          </w:tcPr>
          <w:p w14:paraId="3AA8B777">
            <w:pPr>
              <w:ind w:left="223" w:hanging="222" w:hangingChars="106"/>
              <w:jc w:val="center"/>
              <w:rPr>
                <w:color w:val="auto"/>
                <w:highlight w:val="none"/>
              </w:rPr>
            </w:pPr>
          </w:p>
        </w:tc>
        <w:tc>
          <w:tcPr>
            <w:tcW w:w="735" w:type="dxa"/>
            <w:vMerge w:val="continue"/>
            <w:vAlign w:val="center"/>
          </w:tcPr>
          <w:p w14:paraId="2CA9C1A3">
            <w:pPr>
              <w:ind w:left="223" w:hanging="222" w:hangingChars="106"/>
              <w:jc w:val="center"/>
              <w:rPr>
                <w:color w:val="auto"/>
                <w:highlight w:val="none"/>
              </w:rPr>
            </w:pPr>
          </w:p>
        </w:tc>
        <w:tc>
          <w:tcPr>
            <w:tcW w:w="750" w:type="dxa"/>
            <w:vMerge w:val="continue"/>
            <w:vAlign w:val="center"/>
          </w:tcPr>
          <w:p w14:paraId="1ADF3A26">
            <w:pPr>
              <w:ind w:left="223" w:hanging="222" w:hangingChars="106"/>
              <w:jc w:val="center"/>
              <w:rPr>
                <w:color w:val="auto"/>
                <w:highlight w:val="none"/>
              </w:rPr>
            </w:pPr>
          </w:p>
        </w:tc>
        <w:tc>
          <w:tcPr>
            <w:tcW w:w="780" w:type="dxa"/>
            <w:vMerge w:val="continue"/>
            <w:vAlign w:val="center"/>
          </w:tcPr>
          <w:p w14:paraId="7778190A">
            <w:pPr>
              <w:ind w:left="223" w:hanging="222" w:hangingChars="106"/>
              <w:jc w:val="center"/>
              <w:rPr>
                <w:color w:val="auto"/>
                <w:highlight w:val="none"/>
              </w:rPr>
            </w:pPr>
          </w:p>
        </w:tc>
        <w:tc>
          <w:tcPr>
            <w:tcW w:w="1155" w:type="dxa"/>
            <w:vAlign w:val="center"/>
          </w:tcPr>
          <w:p w14:paraId="6710B786">
            <w:pPr>
              <w:ind w:left="223" w:hanging="222" w:hangingChars="106"/>
              <w:jc w:val="center"/>
              <w:rPr>
                <w:color w:val="auto"/>
                <w:highlight w:val="none"/>
              </w:rPr>
            </w:pPr>
            <w:r>
              <w:rPr>
                <w:color w:val="auto"/>
                <w:highlight w:val="none"/>
              </w:rPr>
              <w:t>证书名称</w:t>
            </w:r>
          </w:p>
        </w:tc>
        <w:tc>
          <w:tcPr>
            <w:tcW w:w="1031" w:type="dxa"/>
            <w:vAlign w:val="center"/>
          </w:tcPr>
          <w:p w14:paraId="6B34D563">
            <w:pPr>
              <w:ind w:left="223" w:hanging="222" w:hangingChars="106"/>
              <w:jc w:val="center"/>
              <w:rPr>
                <w:color w:val="auto"/>
                <w:highlight w:val="none"/>
              </w:rPr>
            </w:pPr>
            <w:r>
              <w:rPr>
                <w:color w:val="auto"/>
                <w:highlight w:val="none"/>
              </w:rPr>
              <w:t>级别</w:t>
            </w:r>
          </w:p>
        </w:tc>
        <w:tc>
          <w:tcPr>
            <w:tcW w:w="979" w:type="dxa"/>
            <w:vAlign w:val="center"/>
          </w:tcPr>
          <w:p w14:paraId="05989823">
            <w:pPr>
              <w:ind w:left="223" w:hanging="222" w:hangingChars="106"/>
              <w:jc w:val="center"/>
              <w:rPr>
                <w:color w:val="auto"/>
                <w:highlight w:val="none"/>
              </w:rPr>
            </w:pPr>
            <w:r>
              <w:rPr>
                <w:color w:val="auto"/>
                <w:highlight w:val="none"/>
              </w:rPr>
              <w:t>证号</w:t>
            </w:r>
          </w:p>
        </w:tc>
        <w:tc>
          <w:tcPr>
            <w:tcW w:w="913" w:type="dxa"/>
            <w:vAlign w:val="center"/>
          </w:tcPr>
          <w:p w14:paraId="49DCD815">
            <w:pPr>
              <w:ind w:left="223" w:hanging="222" w:hangingChars="106"/>
              <w:jc w:val="center"/>
              <w:rPr>
                <w:color w:val="auto"/>
                <w:highlight w:val="none"/>
              </w:rPr>
            </w:pPr>
            <w:r>
              <w:rPr>
                <w:color w:val="auto"/>
                <w:highlight w:val="none"/>
              </w:rPr>
              <w:t>专业</w:t>
            </w:r>
          </w:p>
        </w:tc>
        <w:tc>
          <w:tcPr>
            <w:tcW w:w="1167" w:type="dxa"/>
            <w:vAlign w:val="center"/>
          </w:tcPr>
          <w:p w14:paraId="7FCB4FC4">
            <w:pPr>
              <w:jc w:val="center"/>
              <w:rPr>
                <w:color w:val="auto"/>
                <w:highlight w:val="none"/>
              </w:rPr>
            </w:pPr>
            <w:r>
              <w:rPr>
                <w:rFonts w:hint="eastAsia"/>
                <w:color w:val="auto"/>
                <w:highlight w:val="none"/>
              </w:rPr>
              <w:t>完工/在建</w:t>
            </w:r>
          </w:p>
        </w:tc>
        <w:tc>
          <w:tcPr>
            <w:tcW w:w="1276" w:type="dxa"/>
            <w:vAlign w:val="center"/>
          </w:tcPr>
          <w:p w14:paraId="263E42D1">
            <w:pPr>
              <w:jc w:val="center"/>
              <w:rPr>
                <w:color w:val="auto"/>
                <w:highlight w:val="none"/>
              </w:rPr>
            </w:pPr>
            <w:r>
              <w:rPr>
                <w:color w:val="auto"/>
                <w:highlight w:val="none"/>
              </w:rPr>
              <w:t>主要项目</w:t>
            </w:r>
          </w:p>
          <w:p w14:paraId="79D30F35">
            <w:pPr>
              <w:jc w:val="center"/>
              <w:rPr>
                <w:color w:val="auto"/>
                <w:highlight w:val="none"/>
              </w:rPr>
            </w:pPr>
            <w:r>
              <w:rPr>
                <w:color w:val="auto"/>
                <w:highlight w:val="none"/>
              </w:rPr>
              <w:t>名称</w:t>
            </w:r>
          </w:p>
        </w:tc>
      </w:tr>
      <w:tr w14:paraId="5D10B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80" w:type="dxa"/>
            <w:vAlign w:val="center"/>
          </w:tcPr>
          <w:p w14:paraId="38B48FCE">
            <w:pPr>
              <w:pStyle w:val="172"/>
              <w:spacing w:line="240" w:lineRule="auto"/>
              <w:ind w:firstLine="0"/>
              <w:rPr>
                <w:color w:val="auto"/>
                <w:sz w:val="21"/>
                <w:szCs w:val="21"/>
                <w:highlight w:val="none"/>
              </w:rPr>
            </w:pPr>
            <w:r>
              <w:rPr>
                <w:rFonts w:ascii="Times New Roman" w:hAnsi="Times New Roman" w:eastAsia="Times New Roman" w:cs="Times New Roman"/>
                <w:color w:val="auto"/>
                <w:sz w:val="21"/>
                <w:szCs w:val="21"/>
                <w:highlight w:val="none"/>
                <w:lang w:val="en-US" w:eastAsia="en-US" w:bidi="en-US"/>
              </w:rPr>
              <w:t>1.</w:t>
            </w:r>
            <w:r>
              <w:rPr>
                <w:color w:val="auto"/>
                <w:sz w:val="21"/>
                <w:szCs w:val="21"/>
                <w:highlight w:val="none"/>
              </w:rPr>
              <w:t>项目经理</w:t>
            </w:r>
          </w:p>
        </w:tc>
        <w:tc>
          <w:tcPr>
            <w:tcW w:w="735" w:type="dxa"/>
            <w:vAlign w:val="center"/>
          </w:tcPr>
          <w:p w14:paraId="5DFD9BD9">
            <w:pPr>
              <w:ind w:left="223" w:hanging="222" w:hangingChars="106"/>
              <w:jc w:val="center"/>
              <w:rPr>
                <w:color w:val="auto"/>
                <w:szCs w:val="21"/>
                <w:highlight w:val="none"/>
              </w:rPr>
            </w:pPr>
          </w:p>
        </w:tc>
        <w:tc>
          <w:tcPr>
            <w:tcW w:w="750" w:type="dxa"/>
            <w:vAlign w:val="center"/>
          </w:tcPr>
          <w:p w14:paraId="37F88C27">
            <w:pPr>
              <w:ind w:left="223" w:hanging="222" w:hangingChars="106"/>
              <w:jc w:val="center"/>
              <w:rPr>
                <w:color w:val="auto"/>
                <w:szCs w:val="21"/>
                <w:highlight w:val="none"/>
              </w:rPr>
            </w:pPr>
          </w:p>
        </w:tc>
        <w:tc>
          <w:tcPr>
            <w:tcW w:w="780" w:type="dxa"/>
            <w:vAlign w:val="center"/>
          </w:tcPr>
          <w:p w14:paraId="01CBC9CB">
            <w:pPr>
              <w:ind w:left="223" w:hanging="222" w:hangingChars="106"/>
              <w:jc w:val="center"/>
              <w:rPr>
                <w:color w:val="auto"/>
                <w:szCs w:val="21"/>
                <w:highlight w:val="none"/>
              </w:rPr>
            </w:pPr>
          </w:p>
        </w:tc>
        <w:tc>
          <w:tcPr>
            <w:tcW w:w="1155" w:type="dxa"/>
            <w:vAlign w:val="center"/>
          </w:tcPr>
          <w:p w14:paraId="21931EDE">
            <w:pPr>
              <w:ind w:left="223" w:hanging="222" w:hangingChars="106"/>
              <w:jc w:val="center"/>
              <w:rPr>
                <w:color w:val="auto"/>
                <w:szCs w:val="21"/>
                <w:highlight w:val="none"/>
              </w:rPr>
            </w:pPr>
          </w:p>
        </w:tc>
        <w:tc>
          <w:tcPr>
            <w:tcW w:w="1031" w:type="dxa"/>
            <w:vAlign w:val="center"/>
          </w:tcPr>
          <w:p w14:paraId="2A3057BE">
            <w:pPr>
              <w:ind w:left="223" w:hanging="222" w:hangingChars="106"/>
              <w:jc w:val="center"/>
              <w:rPr>
                <w:color w:val="auto"/>
                <w:szCs w:val="21"/>
                <w:highlight w:val="none"/>
              </w:rPr>
            </w:pPr>
          </w:p>
        </w:tc>
        <w:tc>
          <w:tcPr>
            <w:tcW w:w="979" w:type="dxa"/>
            <w:vAlign w:val="center"/>
          </w:tcPr>
          <w:p w14:paraId="5EBBAADD">
            <w:pPr>
              <w:ind w:left="223" w:hanging="222" w:hangingChars="106"/>
              <w:jc w:val="center"/>
              <w:rPr>
                <w:color w:val="auto"/>
                <w:szCs w:val="21"/>
                <w:highlight w:val="none"/>
              </w:rPr>
            </w:pPr>
          </w:p>
        </w:tc>
        <w:tc>
          <w:tcPr>
            <w:tcW w:w="913" w:type="dxa"/>
            <w:vAlign w:val="center"/>
          </w:tcPr>
          <w:p w14:paraId="3AC5A574">
            <w:pPr>
              <w:ind w:left="223" w:hanging="222" w:hangingChars="106"/>
              <w:jc w:val="center"/>
              <w:rPr>
                <w:color w:val="auto"/>
                <w:szCs w:val="21"/>
                <w:highlight w:val="none"/>
              </w:rPr>
            </w:pPr>
          </w:p>
        </w:tc>
        <w:tc>
          <w:tcPr>
            <w:tcW w:w="1167" w:type="dxa"/>
            <w:vAlign w:val="center"/>
          </w:tcPr>
          <w:p w14:paraId="4879A019">
            <w:pPr>
              <w:ind w:left="223" w:hanging="222" w:hangingChars="106"/>
              <w:jc w:val="center"/>
              <w:rPr>
                <w:color w:val="auto"/>
                <w:szCs w:val="21"/>
                <w:highlight w:val="none"/>
              </w:rPr>
            </w:pPr>
          </w:p>
        </w:tc>
        <w:tc>
          <w:tcPr>
            <w:tcW w:w="1276" w:type="dxa"/>
            <w:vAlign w:val="center"/>
          </w:tcPr>
          <w:p w14:paraId="4F290976">
            <w:pPr>
              <w:ind w:left="223" w:hanging="222" w:hangingChars="106"/>
              <w:jc w:val="center"/>
              <w:rPr>
                <w:color w:val="auto"/>
                <w:szCs w:val="21"/>
                <w:highlight w:val="none"/>
              </w:rPr>
            </w:pPr>
          </w:p>
        </w:tc>
      </w:tr>
      <w:tr w14:paraId="77BEF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80" w:type="dxa"/>
            <w:vAlign w:val="center"/>
          </w:tcPr>
          <w:p w14:paraId="1F98A276">
            <w:pPr>
              <w:pStyle w:val="172"/>
              <w:spacing w:line="240" w:lineRule="auto"/>
              <w:ind w:firstLine="0"/>
              <w:rPr>
                <w:color w:val="auto"/>
                <w:sz w:val="21"/>
                <w:szCs w:val="21"/>
                <w:highlight w:val="none"/>
              </w:rPr>
            </w:pPr>
            <w:r>
              <w:rPr>
                <w:rFonts w:ascii="Times New Roman" w:hAnsi="Times New Roman" w:eastAsia="Times New Roman" w:cs="Times New Roman"/>
                <w:color w:val="auto"/>
                <w:sz w:val="21"/>
                <w:szCs w:val="21"/>
                <w:highlight w:val="none"/>
                <w:lang w:val="en-US" w:bidi="en-US"/>
              </w:rPr>
              <w:t>2.</w:t>
            </w:r>
            <w:r>
              <w:rPr>
                <w:color w:val="auto"/>
                <w:sz w:val="21"/>
                <w:szCs w:val="21"/>
                <w:highlight w:val="none"/>
              </w:rPr>
              <w:t>技术负责人</w:t>
            </w:r>
            <w:r>
              <w:rPr>
                <w:rFonts w:hint="eastAsia"/>
                <w:color w:val="auto"/>
                <w:sz w:val="21"/>
                <w:szCs w:val="21"/>
                <w:highlight w:val="none"/>
              </w:rPr>
              <w:t>（项目总工）</w:t>
            </w:r>
          </w:p>
        </w:tc>
        <w:tc>
          <w:tcPr>
            <w:tcW w:w="735" w:type="dxa"/>
            <w:vAlign w:val="center"/>
          </w:tcPr>
          <w:p w14:paraId="091180EF">
            <w:pPr>
              <w:ind w:left="223" w:hanging="222" w:hangingChars="106"/>
              <w:jc w:val="center"/>
              <w:rPr>
                <w:color w:val="auto"/>
                <w:szCs w:val="21"/>
                <w:highlight w:val="none"/>
              </w:rPr>
            </w:pPr>
          </w:p>
        </w:tc>
        <w:tc>
          <w:tcPr>
            <w:tcW w:w="750" w:type="dxa"/>
            <w:vAlign w:val="center"/>
          </w:tcPr>
          <w:p w14:paraId="5B9A2D3F">
            <w:pPr>
              <w:ind w:left="223" w:hanging="222" w:hangingChars="106"/>
              <w:jc w:val="center"/>
              <w:rPr>
                <w:color w:val="auto"/>
                <w:szCs w:val="21"/>
                <w:highlight w:val="none"/>
              </w:rPr>
            </w:pPr>
          </w:p>
        </w:tc>
        <w:tc>
          <w:tcPr>
            <w:tcW w:w="780" w:type="dxa"/>
            <w:vAlign w:val="center"/>
          </w:tcPr>
          <w:p w14:paraId="1EF4FDB0">
            <w:pPr>
              <w:ind w:left="223" w:hanging="222" w:hangingChars="106"/>
              <w:jc w:val="center"/>
              <w:rPr>
                <w:color w:val="auto"/>
                <w:szCs w:val="21"/>
                <w:highlight w:val="none"/>
              </w:rPr>
            </w:pPr>
          </w:p>
        </w:tc>
        <w:tc>
          <w:tcPr>
            <w:tcW w:w="1155" w:type="dxa"/>
            <w:vAlign w:val="center"/>
          </w:tcPr>
          <w:p w14:paraId="6CBC9822">
            <w:pPr>
              <w:ind w:left="223" w:hanging="222" w:hangingChars="106"/>
              <w:jc w:val="center"/>
              <w:rPr>
                <w:color w:val="auto"/>
                <w:szCs w:val="21"/>
                <w:highlight w:val="none"/>
              </w:rPr>
            </w:pPr>
          </w:p>
        </w:tc>
        <w:tc>
          <w:tcPr>
            <w:tcW w:w="1031" w:type="dxa"/>
            <w:vAlign w:val="center"/>
          </w:tcPr>
          <w:p w14:paraId="570F0DFD">
            <w:pPr>
              <w:ind w:left="223" w:hanging="222" w:hangingChars="106"/>
              <w:jc w:val="center"/>
              <w:rPr>
                <w:color w:val="auto"/>
                <w:szCs w:val="21"/>
                <w:highlight w:val="none"/>
              </w:rPr>
            </w:pPr>
          </w:p>
        </w:tc>
        <w:tc>
          <w:tcPr>
            <w:tcW w:w="979" w:type="dxa"/>
            <w:vAlign w:val="center"/>
          </w:tcPr>
          <w:p w14:paraId="3FB38411">
            <w:pPr>
              <w:ind w:left="223" w:hanging="222" w:hangingChars="106"/>
              <w:jc w:val="center"/>
              <w:rPr>
                <w:color w:val="auto"/>
                <w:szCs w:val="21"/>
                <w:highlight w:val="none"/>
              </w:rPr>
            </w:pPr>
          </w:p>
        </w:tc>
        <w:tc>
          <w:tcPr>
            <w:tcW w:w="913" w:type="dxa"/>
            <w:vAlign w:val="center"/>
          </w:tcPr>
          <w:p w14:paraId="78228441">
            <w:pPr>
              <w:ind w:left="223" w:hanging="222" w:hangingChars="106"/>
              <w:jc w:val="center"/>
              <w:rPr>
                <w:color w:val="auto"/>
                <w:szCs w:val="21"/>
                <w:highlight w:val="none"/>
              </w:rPr>
            </w:pPr>
          </w:p>
        </w:tc>
        <w:tc>
          <w:tcPr>
            <w:tcW w:w="1167" w:type="dxa"/>
            <w:vAlign w:val="center"/>
          </w:tcPr>
          <w:p w14:paraId="00E00EE5">
            <w:pPr>
              <w:ind w:left="223" w:hanging="222" w:hangingChars="106"/>
              <w:jc w:val="center"/>
              <w:rPr>
                <w:color w:val="auto"/>
                <w:szCs w:val="21"/>
                <w:highlight w:val="none"/>
              </w:rPr>
            </w:pPr>
          </w:p>
        </w:tc>
        <w:tc>
          <w:tcPr>
            <w:tcW w:w="1276" w:type="dxa"/>
            <w:vAlign w:val="center"/>
          </w:tcPr>
          <w:p w14:paraId="3C0DBE74">
            <w:pPr>
              <w:ind w:left="223" w:hanging="222" w:hangingChars="106"/>
              <w:jc w:val="center"/>
              <w:rPr>
                <w:color w:val="auto"/>
                <w:szCs w:val="21"/>
                <w:highlight w:val="none"/>
              </w:rPr>
            </w:pPr>
          </w:p>
        </w:tc>
      </w:tr>
      <w:tr w14:paraId="39F8B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80" w:type="dxa"/>
            <w:vAlign w:val="center"/>
          </w:tcPr>
          <w:p w14:paraId="32173F6E">
            <w:pPr>
              <w:pStyle w:val="172"/>
              <w:spacing w:line="240" w:lineRule="auto"/>
              <w:ind w:firstLine="0"/>
              <w:rPr>
                <w:color w:val="auto"/>
                <w:sz w:val="21"/>
                <w:szCs w:val="21"/>
                <w:highlight w:val="none"/>
              </w:rPr>
            </w:pPr>
            <w:r>
              <w:rPr>
                <w:rFonts w:ascii="Times New Roman" w:hAnsi="Times New Roman" w:eastAsia="Times New Roman" w:cs="Times New Roman"/>
                <w:color w:val="auto"/>
                <w:sz w:val="21"/>
                <w:szCs w:val="21"/>
                <w:highlight w:val="none"/>
                <w:lang w:val="en-US" w:eastAsia="en-US" w:bidi="en-US"/>
              </w:rPr>
              <w:t>3.</w:t>
            </w:r>
            <w:r>
              <w:rPr>
                <w:rFonts w:hint="eastAsia"/>
                <w:color w:val="auto"/>
                <w:sz w:val="21"/>
                <w:szCs w:val="21"/>
                <w:highlight w:val="none"/>
              </w:rPr>
              <w:t>施工员</w:t>
            </w:r>
          </w:p>
        </w:tc>
        <w:tc>
          <w:tcPr>
            <w:tcW w:w="735" w:type="dxa"/>
            <w:vAlign w:val="center"/>
          </w:tcPr>
          <w:p w14:paraId="3958D7A2">
            <w:pPr>
              <w:ind w:left="223" w:hanging="222" w:hangingChars="106"/>
              <w:jc w:val="center"/>
              <w:rPr>
                <w:color w:val="auto"/>
                <w:szCs w:val="21"/>
                <w:highlight w:val="none"/>
              </w:rPr>
            </w:pPr>
          </w:p>
        </w:tc>
        <w:tc>
          <w:tcPr>
            <w:tcW w:w="750" w:type="dxa"/>
            <w:vAlign w:val="center"/>
          </w:tcPr>
          <w:p w14:paraId="17D41444">
            <w:pPr>
              <w:ind w:left="223" w:hanging="222" w:hangingChars="106"/>
              <w:jc w:val="center"/>
              <w:rPr>
                <w:color w:val="auto"/>
                <w:szCs w:val="21"/>
                <w:highlight w:val="none"/>
              </w:rPr>
            </w:pPr>
          </w:p>
        </w:tc>
        <w:tc>
          <w:tcPr>
            <w:tcW w:w="780" w:type="dxa"/>
            <w:vAlign w:val="center"/>
          </w:tcPr>
          <w:p w14:paraId="105F678E">
            <w:pPr>
              <w:ind w:left="223" w:hanging="222" w:hangingChars="106"/>
              <w:jc w:val="center"/>
              <w:rPr>
                <w:color w:val="auto"/>
                <w:szCs w:val="21"/>
                <w:highlight w:val="none"/>
              </w:rPr>
            </w:pPr>
          </w:p>
        </w:tc>
        <w:tc>
          <w:tcPr>
            <w:tcW w:w="1155" w:type="dxa"/>
            <w:vAlign w:val="center"/>
          </w:tcPr>
          <w:p w14:paraId="2E8066D7">
            <w:pPr>
              <w:ind w:left="223" w:hanging="222" w:hangingChars="106"/>
              <w:jc w:val="center"/>
              <w:rPr>
                <w:color w:val="auto"/>
                <w:szCs w:val="21"/>
                <w:highlight w:val="none"/>
              </w:rPr>
            </w:pPr>
          </w:p>
        </w:tc>
        <w:tc>
          <w:tcPr>
            <w:tcW w:w="1031" w:type="dxa"/>
            <w:vAlign w:val="center"/>
          </w:tcPr>
          <w:p w14:paraId="70D13AAC">
            <w:pPr>
              <w:ind w:left="223" w:hanging="222" w:hangingChars="106"/>
              <w:jc w:val="center"/>
              <w:rPr>
                <w:color w:val="auto"/>
                <w:szCs w:val="21"/>
                <w:highlight w:val="none"/>
              </w:rPr>
            </w:pPr>
          </w:p>
        </w:tc>
        <w:tc>
          <w:tcPr>
            <w:tcW w:w="979" w:type="dxa"/>
            <w:vAlign w:val="center"/>
          </w:tcPr>
          <w:p w14:paraId="50E92A42">
            <w:pPr>
              <w:ind w:left="223" w:hanging="222" w:hangingChars="106"/>
              <w:jc w:val="center"/>
              <w:rPr>
                <w:color w:val="auto"/>
                <w:szCs w:val="21"/>
                <w:highlight w:val="none"/>
              </w:rPr>
            </w:pPr>
          </w:p>
        </w:tc>
        <w:tc>
          <w:tcPr>
            <w:tcW w:w="913" w:type="dxa"/>
            <w:vAlign w:val="center"/>
          </w:tcPr>
          <w:p w14:paraId="043FBBCC">
            <w:pPr>
              <w:ind w:left="223" w:hanging="222" w:hangingChars="106"/>
              <w:jc w:val="center"/>
              <w:rPr>
                <w:color w:val="auto"/>
                <w:szCs w:val="21"/>
                <w:highlight w:val="none"/>
              </w:rPr>
            </w:pPr>
          </w:p>
        </w:tc>
        <w:tc>
          <w:tcPr>
            <w:tcW w:w="1167" w:type="dxa"/>
            <w:vAlign w:val="center"/>
          </w:tcPr>
          <w:p w14:paraId="52D41481">
            <w:pPr>
              <w:ind w:left="223" w:hanging="222" w:hangingChars="106"/>
              <w:jc w:val="center"/>
              <w:rPr>
                <w:color w:val="auto"/>
                <w:szCs w:val="21"/>
                <w:highlight w:val="none"/>
              </w:rPr>
            </w:pPr>
          </w:p>
        </w:tc>
        <w:tc>
          <w:tcPr>
            <w:tcW w:w="1276" w:type="dxa"/>
            <w:vAlign w:val="center"/>
          </w:tcPr>
          <w:p w14:paraId="465E6021">
            <w:pPr>
              <w:ind w:left="223" w:hanging="222" w:hangingChars="106"/>
              <w:jc w:val="center"/>
              <w:rPr>
                <w:color w:val="auto"/>
                <w:szCs w:val="21"/>
                <w:highlight w:val="none"/>
              </w:rPr>
            </w:pPr>
          </w:p>
        </w:tc>
      </w:tr>
      <w:tr w14:paraId="5D6AA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80" w:type="dxa"/>
            <w:vAlign w:val="center"/>
          </w:tcPr>
          <w:p w14:paraId="65D50A62">
            <w:pPr>
              <w:pStyle w:val="172"/>
              <w:spacing w:line="240" w:lineRule="auto"/>
              <w:ind w:firstLine="0"/>
              <w:rPr>
                <w:color w:val="auto"/>
                <w:sz w:val="21"/>
                <w:szCs w:val="21"/>
                <w:highlight w:val="none"/>
              </w:rPr>
            </w:pPr>
            <w:r>
              <w:rPr>
                <w:rFonts w:ascii="Times New Roman" w:hAnsi="Times New Roman" w:eastAsia="Times New Roman" w:cs="Times New Roman"/>
                <w:color w:val="auto"/>
                <w:sz w:val="21"/>
                <w:szCs w:val="21"/>
                <w:highlight w:val="none"/>
                <w:lang w:val="en-US" w:eastAsia="en-US" w:bidi="en-US"/>
              </w:rPr>
              <w:t>4.</w:t>
            </w:r>
            <w:r>
              <w:rPr>
                <w:color w:val="auto"/>
                <w:sz w:val="21"/>
                <w:szCs w:val="21"/>
                <w:highlight w:val="none"/>
              </w:rPr>
              <w:t>安全员</w:t>
            </w:r>
          </w:p>
        </w:tc>
        <w:tc>
          <w:tcPr>
            <w:tcW w:w="735" w:type="dxa"/>
            <w:vAlign w:val="center"/>
          </w:tcPr>
          <w:p w14:paraId="48006E04">
            <w:pPr>
              <w:ind w:left="223" w:hanging="222" w:hangingChars="106"/>
              <w:jc w:val="center"/>
              <w:rPr>
                <w:color w:val="auto"/>
                <w:szCs w:val="21"/>
                <w:highlight w:val="none"/>
              </w:rPr>
            </w:pPr>
          </w:p>
        </w:tc>
        <w:tc>
          <w:tcPr>
            <w:tcW w:w="750" w:type="dxa"/>
            <w:vAlign w:val="center"/>
          </w:tcPr>
          <w:p w14:paraId="2DEDE13F">
            <w:pPr>
              <w:ind w:left="223" w:hanging="222" w:hangingChars="106"/>
              <w:jc w:val="center"/>
              <w:rPr>
                <w:color w:val="auto"/>
                <w:szCs w:val="21"/>
                <w:highlight w:val="none"/>
              </w:rPr>
            </w:pPr>
          </w:p>
        </w:tc>
        <w:tc>
          <w:tcPr>
            <w:tcW w:w="780" w:type="dxa"/>
            <w:vAlign w:val="center"/>
          </w:tcPr>
          <w:p w14:paraId="4785A419">
            <w:pPr>
              <w:ind w:left="223" w:hanging="222" w:hangingChars="106"/>
              <w:jc w:val="center"/>
              <w:rPr>
                <w:color w:val="auto"/>
                <w:szCs w:val="21"/>
                <w:highlight w:val="none"/>
              </w:rPr>
            </w:pPr>
          </w:p>
        </w:tc>
        <w:tc>
          <w:tcPr>
            <w:tcW w:w="1155" w:type="dxa"/>
            <w:vAlign w:val="center"/>
          </w:tcPr>
          <w:p w14:paraId="6EA1D70C">
            <w:pPr>
              <w:ind w:left="223" w:hanging="222" w:hangingChars="106"/>
              <w:jc w:val="center"/>
              <w:rPr>
                <w:color w:val="auto"/>
                <w:szCs w:val="21"/>
                <w:highlight w:val="none"/>
              </w:rPr>
            </w:pPr>
          </w:p>
        </w:tc>
        <w:tc>
          <w:tcPr>
            <w:tcW w:w="1031" w:type="dxa"/>
            <w:vAlign w:val="center"/>
          </w:tcPr>
          <w:p w14:paraId="588D4D81">
            <w:pPr>
              <w:ind w:left="223" w:hanging="222" w:hangingChars="106"/>
              <w:jc w:val="center"/>
              <w:rPr>
                <w:color w:val="auto"/>
                <w:szCs w:val="21"/>
                <w:highlight w:val="none"/>
              </w:rPr>
            </w:pPr>
          </w:p>
        </w:tc>
        <w:tc>
          <w:tcPr>
            <w:tcW w:w="979" w:type="dxa"/>
            <w:vAlign w:val="center"/>
          </w:tcPr>
          <w:p w14:paraId="33FF7C46">
            <w:pPr>
              <w:ind w:left="223" w:hanging="222" w:hangingChars="106"/>
              <w:jc w:val="center"/>
              <w:rPr>
                <w:color w:val="auto"/>
                <w:szCs w:val="21"/>
                <w:highlight w:val="none"/>
              </w:rPr>
            </w:pPr>
          </w:p>
        </w:tc>
        <w:tc>
          <w:tcPr>
            <w:tcW w:w="913" w:type="dxa"/>
            <w:vAlign w:val="center"/>
          </w:tcPr>
          <w:p w14:paraId="2B0E2E59">
            <w:pPr>
              <w:ind w:left="223" w:hanging="222" w:hangingChars="106"/>
              <w:jc w:val="center"/>
              <w:rPr>
                <w:color w:val="auto"/>
                <w:szCs w:val="21"/>
                <w:highlight w:val="none"/>
              </w:rPr>
            </w:pPr>
          </w:p>
        </w:tc>
        <w:tc>
          <w:tcPr>
            <w:tcW w:w="1167" w:type="dxa"/>
            <w:vAlign w:val="center"/>
          </w:tcPr>
          <w:p w14:paraId="7673798E">
            <w:pPr>
              <w:ind w:left="223" w:hanging="222" w:hangingChars="106"/>
              <w:jc w:val="center"/>
              <w:rPr>
                <w:color w:val="auto"/>
                <w:szCs w:val="21"/>
                <w:highlight w:val="none"/>
              </w:rPr>
            </w:pPr>
          </w:p>
        </w:tc>
        <w:tc>
          <w:tcPr>
            <w:tcW w:w="1276" w:type="dxa"/>
            <w:vAlign w:val="center"/>
          </w:tcPr>
          <w:p w14:paraId="64C665B3">
            <w:pPr>
              <w:ind w:left="223" w:hanging="222" w:hangingChars="106"/>
              <w:jc w:val="center"/>
              <w:rPr>
                <w:color w:val="auto"/>
                <w:szCs w:val="21"/>
                <w:highlight w:val="none"/>
              </w:rPr>
            </w:pPr>
          </w:p>
        </w:tc>
      </w:tr>
      <w:tr w14:paraId="0CE40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80" w:type="dxa"/>
            <w:vAlign w:val="center"/>
          </w:tcPr>
          <w:p w14:paraId="5DFE4C2B">
            <w:pPr>
              <w:jc w:val="left"/>
              <w:rPr>
                <w:color w:val="auto"/>
                <w:szCs w:val="21"/>
                <w:highlight w:val="none"/>
              </w:rPr>
            </w:pPr>
            <w:r>
              <w:rPr>
                <w:rFonts w:hint="eastAsia"/>
                <w:color w:val="auto"/>
                <w:szCs w:val="21"/>
                <w:highlight w:val="none"/>
              </w:rPr>
              <w:t>5.</w:t>
            </w:r>
            <w:r>
              <w:rPr>
                <w:color w:val="auto"/>
                <w:szCs w:val="21"/>
                <w:highlight w:val="none"/>
              </w:rPr>
              <w:t>质量员</w:t>
            </w:r>
          </w:p>
        </w:tc>
        <w:tc>
          <w:tcPr>
            <w:tcW w:w="735" w:type="dxa"/>
            <w:vAlign w:val="center"/>
          </w:tcPr>
          <w:p w14:paraId="4CEAE920">
            <w:pPr>
              <w:ind w:left="223" w:hanging="222" w:hangingChars="106"/>
              <w:jc w:val="center"/>
              <w:rPr>
                <w:color w:val="auto"/>
                <w:szCs w:val="21"/>
                <w:highlight w:val="none"/>
              </w:rPr>
            </w:pPr>
          </w:p>
        </w:tc>
        <w:tc>
          <w:tcPr>
            <w:tcW w:w="750" w:type="dxa"/>
            <w:vAlign w:val="center"/>
          </w:tcPr>
          <w:p w14:paraId="083248E1">
            <w:pPr>
              <w:ind w:left="223" w:hanging="222" w:hangingChars="106"/>
              <w:jc w:val="center"/>
              <w:rPr>
                <w:color w:val="auto"/>
                <w:szCs w:val="21"/>
                <w:highlight w:val="none"/>
              </w:rPr>
            </w:pPr>
          </w:p>
        </w:tc>
        <w:tc>
          <w:tcPr>
            <w:tcW w:w="780" w:type="dxa"/>
            <w:vAlign w:val="center"/>
          </w:tcPr>
          <w:p w14:paraId="0EE268C3">
            <w:pPr>
              <w:ind w:left="223" w:hanging="222" w:hangingChars="106"/>
              <w:jc w:val="center"/>
              <w:rPr>
                <w:color w:val="auto"/>
                <w:szCs w:val="21"/>
                <w:highlight w:val="none"/>
              </w:rPr>
            </w:pPr>
          </w:p>
        </w:tc>
        <w:tc>
          <w:tcPr>
            <w:tcW w:w="1155" w:type="dxa"/>
            <w:vAlign w:val="center"/>
          </w:tcPr>
          <w:p w14:paraId="5714B2BE">
            <w:pPr>
              <w:ind w:left="223" w:hanging="222" w:hangingChars="106"/>
              <w:jc w:val="center"/>
              <w:rPr>
                <w:color w:val="auto"/>
                <w:szCs w:val="21"/>
                <w:highlight w:val="none"/>
              </w:rPr>
            </w:pPr>
          </w:p>
        </w:tc>
        <w:tc>
          <w:tcPr>
            <w:tcW w:w="1031" w:type="dxa"/>
            <w:vAlign w:val="center"/>
          </w:tcPr>
          <w:p w14:paraId="4BF1B08D">
            <w:pPr>
              <w:ind w:left="223" w:hanging="222" w:hangingChars="106"/>
              <w:jc w:val="center"/>
              <w:rPr>
                <w:color w:val="auto"/>
                <w:szCs w:val="21"/>
                <w:highlight w:val="none"/>
              </w:rPr>
            </w:pPr>
          </w:p>
        </w:tc>
        <w:tc>
          <w:tcPr>
            <w:tcW w:w="979" w:type="dxa"/>
            <w:vAlign w:val="center"/>
          </w:tcPr>
          <w:p w14:paraId="2B043D52">
            <w:pPr>
              <w:ind w:left="223" w:hanging="222" w:hangingChars="106"/>
              <w:jc w:val="center"/>
              <w:rPr>
                <w:color w:val="auto"/>
                <w:szCs w:val="21"/>
                <w:highlight w:val="none"/>
              </w:rPr>
            </w:pPr>
          </w:p>
        </w:tc>
        <w:tc>
          <w:tcPr>
            <w:tcW w:w="913" w:type="dxa"/>
            <w:vAlign w:val="center"/>
          </w:tcPr>
          <w:p w14:paraId="7AF3349C">
            <w:pPr>
              <w:ind w:left="223" w:hanging="222" w:hangingChars="106"/>
              <w:jc w:val="center"/>
              <w:rPr>
                <w:color w:val="auto"/>
                <w:szCs w:val="21"/>
                <w:highlight w:val="none"/>
              </w:rPr>
            </w:pPr>
          </w:p>
        </w:tc>
        <w:tc>
          <w:tcPr>
            <w:tcW w:w="1167" w:type="dxa"/>
            <w:vAlign w:val="center"/>
          </w:tcPr>
          <w:p w14:paraId="5414B1E8">
            <w:pPr>
              <w:ind w:left="223" w:hanging="222" w:hangingChars="106"/>
              <w:jc w:val="center"/>
              <w:rPr>
                <w:color w:val="auto"/>
                <w:szCs w:val="21"/>
                <w:highlight w:val="none"/>
              </w:rPr>
            </w:pPr>
          </w:p>
        </w:tc>
        <w:tc>
          <w:tcPr>
            <w:tcW w:w="1276" w:type="dxa"/>
            <w:vAlign w:val="center"/>
          </w:tcPr>
          <w:p w14:paraId="0EFB66C7">
            <w:pPr>
              <w:ind w:left="223" w:hanging="222" w:hangingChars="106"/>
              <w:jc w:val="center"/>
              <w:rPr>
                <w:color w:val="auto"/>
                <w:szCs w:val="21"/>
                <w:highlight w:val="none"/>
              </w:rPr>
            </w:pPr>
          </w:p>
        </w:tc>
      </w:tr>
      <w:tr w14:paraId="1BB48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80" w:type="dxa"/>
            <w:vAlign w:val="center"/>
          </w:tcPr>
          <w:p w14:paraId="2C42B326">
            <w:pPr>
              <w:jc w:val="left"/>
              <w:rPr>
                <w:color w:val="auto"/>
                <w:szCs w:val="21"/>
                <w:highlight w:val="none"/>
              </w:rPr>
            </w:pPr>
            <w:r>
              <w:rPr>
                <w:rFonts w:hint="eastAsia"/>
                <w:color w:val="auto"/>
                <w:szCs w:val="21"/>
                <w:highlight w:val="none"/>
              </w:rPr>
              <w:t>6.材料员</w:t>
            </w:r>
          </w:p>
        </w:tc>
        <w:tc>
          <w:tcPr>
            <w:tcW w:w="735" w:type="dxa"/>
            <w:vAlign w:val="center"/>
          </w:tcPr>
          <w:p w14:paraId="45D5B46F">
            <w:pPr>
              <w:ind w:left="223" w:hanging="222" w:hangingChars="106"/>
              <w:jc w:val="center"/>
              <w:rPr>
                <w:color w:val="auto"/>
                <w:szCs w:val="21"/>
                <w:highlight w:val="none"/>
              </w:rPr>
            </w:pPr>
          </w:p>
        </w:tc>
        <w:tc>
          <w:tcPr>
            <w:tcW w:w="750" w:type="dxa"/>
            <w:vAlign w:val="center"/>
          </w:tcPr>
          <w:p w14:paraId="7A535C0C">
            <w:pPr>
              <w:ind w:left="223" w:hanging="222" w:hangingChars="106"/>
              <w:jc w:val="center"/>
              <w:rPr>
                <w:color w:val="auto"/>
                <w:szCs w:val="21"/>
                <w:highlight w:val="none"/>
              </w:rPr>
            </w:pPr>
          </w:p>
        </w:tc>
        <w:tc>
          <w:tcPr>
            <w:tcW w:w="780" w:type="dxa"/>
            <w:vAlign w:val="center"/>
          </w:tcPr>
          <w:p w14:paraId="2260A048">
            <w:pPr>
              <w:ind w:left="223" w:hanging="222" w:hangingChars="106"/>
              <w:jc w:val="center"/>
              <w:rPr>
                <w:color w:val="auto"/>
                <w:szCs w:val="21"/>
                <w:highlight w:val="none"/>
              </w:rPr>
            </w:pPr>
          </w:p>
        </w:tc>
        <w:tc>
          <w:tcPr>
            <w:tcW w:w="1155" w:type="dxa"/>
            <w:vAlign w:val="center"/>
          </w:tcPr>
          <w:p w14:paraId="16054896">
            <w:pPr>
              <w:ind w:left="223" w:hanging="222" w:hangingChars="106"/>
              <w:jc w:val="center"/>
              <w:rPr>
                <w:color w:val="auto"/>
                <w:szCs w:val="21"/>
                <w:highlight w:val="none"/>
              </w:rPr>
            </w:pPr>
          </w:p>
        </w:tc>
        <w:tc>
          <w:tcPr>
            <w:tcW w:w="1031" w:type="dxa"/>
            <w:vAlign w:val="center"/>
          </w:tcPr>
          <w:p w14:paraId="483E8262">
            <w:pPr>
              <w:ind w:left="223" w:hanging="222" w:hangingChars="106"/>
              <w:jc w:val="center"/>
              <w:rPr>
                <w:color w:val="auto"/>
                <w:szCs w:val="21"/>
                <w:highlight w:val="none"/>
              </w:rPr>
            </w:pPr>
          </w:p>
        </w:tc>
        <w:tc>
          <w:tcPr>
            <w:tcW w:w="979" w:type="dxa"/>
            <w:vAlign w:val="center"/>
          </w:tcPr>
          <w:p w14:paraId="1A55517E">
            <w:pPr>
              <w:ind w:left="223" w:hanging="222" w:hangingChars="106"/>
              <w:jc w:val="center"/>
              <w:rPr>
                <w:color w:val="auto"/>
                <w:szCs w:val="21"/>
                <w:highlight w:val="none"/>
              </w:rPr>
            </w:pPr>
          </w:p>
        </w:tc>
        <w:tc>
          <w:tcPr>
            <w:tcW w:w="913" w:type="dxa"/>
            <w:vAlign w:val="center"/>
          </w:tcPr>
          <w:p w14:paraId="3F9CB5C0">
            <w:pPr>
              <w:ind w:left="223" w:hanging="222" w:hangingChars="106"/>
              <w:jc w:val="center"/>
              <w:rPr>
                <w:color w:val="auto"/>
                <w:szCs w:val="21"/>
                <w:highlight w:val="none"/>
              </w:rPr>
            </w:pPr>
          </w:p>
        </w:tc>
        <w:tc>
          <w:tcPr>
            <w:tcW w:w="1167" w:type="dxa"/>
            <w:vAlign w:val="center"/>
          </w:tcPr>
          <w:p w14:paraId="244DCB05">
            <w:pPr>
              <w:ind w:left="223" w:hanging="222" w:hangingChars="106"/>
              <w:jc w:val="center"/>
              <w:rPr>
                <w:color w:val="auto"/>
                <w:szCs w:val="21"/>
                <w:highlight w:val="none"/>
              </w:rPr>
            </w:pPr>
          </w:p>
        </w:tc>
        <w:tc>
          <w:tcPr>
            <w:tcW w:w="1276" w:type="dxa"/>
            <w:vAlign w:val="center"/>
          </w:tcPr>
          <w:p w14:paraId="6A78386B">
            <w:pPr>
              <w:ind w:left="223" w:hanging="222" w:hangingChars="106"/>
              <w:jc w:val="center"/>
              <w:rPr>
                <w:color w:val="auto"/>
                <w:szCs w:val="21"/>
                <w:highlight w:val="none"/>
              </w:rPr>
            </w:pPr>
          </w:p>
        </w:tc>
      </w:tr>
      <w:tr w14:paraId="24835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80" w:type="dxa"/>
            <w:vAlign w:val="center"/>
          </w:tcPr>
          <w:p w14:paraId="15877AE6">
            <w:pPr>
              <w:ind w:left="223" w:hanging="222" w:hangingChars="106"/>
              <w:jc w:val="center"/>
              <w:rPr>
                <w:rFonts w:hint="eastAsia" w:eastAsia="宋体"/>
                <w:color w:val="auto"/>
                <w:szCs w:val="21"/>
                <w:highlight w:val="none"/>
                <w:lang w:eastAsia="zh-CN"/>
              </w:rPr>
            </w:pPr>
            <w:r>
              <w:rPr>
                <w:rFonts w:hint="eastAsia"/>
                <w:color w:val="auto"/>
                <w:szCs w:val="21"/>
                <w:highlight w:val="none"/>
                <w:lang w:eastAsia="zh-CN"/>
              </w:rPr>
              <w:t>……</w:t>
            </w:r>
          </w:p>
        </w:tc>
        <w:tc>
          <w:tcPr>
            <w:tcW w:w="735" w:type="dxa"/>
            <w:vAlign w:val="center"/>
          </w:tcPr>
          <w:p w14:paraId="7CFBE157">
            <w:pPr>
              <w:ind w:left="223" w:hanging="222" w:hangingChars="106"/>
              <w:jc w:val="center"/>
              <w:rPr>
                <w:color w:val="auto"/>
                <w:szCs w:val="21"/>
                <w:highlight w:val="none"/>
              </w:rPr>
            </w:pPr>
          </w:p>
        </w:tc>
        <w:tc>
          <w:tcPr>
            <w:tcW w:w="750" w:type="dxa"/>
            <w:vAlign w:val="center"/>
          </w:tcPr>
          <w:p w14:paraId="6668F77A">
            <w:pPr>
              <w:ind w:left="223" w:hanging="222" w:hangingChars="106"/>
              <w:jc w:val="center"/>
              <w:rPr>
                <w:color w:val="auto"/>
                <w:szCs w:val="21"/>
                <w:highlight w:val="none"/>
              </w:rPr>
            </w:pPr>
          </w:p>
        </w:tc>
        <w:tc>
          <w:tcPr>
            <w:tcW w:w="780" w:type="dxa"/>
            <w:vAlign w:val="center"/>
          </w:tcPr>
          <w:p w14:paraId="1FA403D8">
            <w:pPr>
              <w:ind w:left="223" w:hanging="222" w:hangingChars="106"/>
              <w:jc w:val="center"/>
              <w:rPr>
                <w:color w:val="auto"/>
                <w:szCs w:val="21"/>
                <w:highlight w:val="none"/>
              </w:rPr>
            </w:pPr>
          </w:p>
        </w:tc>
        <w:tc>
          <w:tcPr>
            <w:tcW w:w="1155" w:type="dxa"/>
            <w:vAlign w:val="center"/>
          </w:tcPr>
          <w:p w14:paraId="48135A11">
            <w:pPr>
              <w:ind w:left="223" w:hanging="222" w:hangingChars="106"/>
              <w:jc w:val="center"/>
              <w:rPr>
                <w:color w:val="auto"/>
                <w:szCs w:val="21"/>
                <w:highlight w:val="none"/>
              </w:rPr>
            </w:pPr>
          </w:p>
        </w:tc>
        <w:tc>
          <w:tcPr>
            <w:tcW w:w="1031" w:type="dxa"/>
            <w:vAlign w:val="center"/>
          </w:tcPr>
          <w:p w14:paraId="4457C1EE">
            <w:pPr>
              <w:ind w:left="223" w:hanging="222" w:hangingChars="106"/>
              <w:jc w:val="center"/>
              <w:rPr>
                <w:color w:val="auto"/>
                <w:szCs w:val="21"/>
                <w:highlight w:val="none"/>
              </w:rPr>
            </w:pPr>
          </w:p>
        </w:tc>
        <w:tc>
          <w:tcPr>
            <w:tcW w:w="979" w:type="dxa"/>
            <w:vAlign w:val="center"/>
          </w:tcPr>
          <w:p w14:paraId="5B6BA7B9">
            <w:pPr>
              <w:ind w:left="223" w:hanging="222" w:hangingChars="106"/>
              <w:jc w:val="center"/>
              <w:rPr>
                <w:color w:val="auto"/>
                <w:szCs w:val="21"/>
                <w:highlight w:val="none"/>
              </w:rPr>
            </w:pPr>
          </w:p>
        </w:tc>
        <w:tc>
          <w:tcPr>
            <w:tcW w:w="913" w:type="dxa"/>
            <w:vAlign w:val="center"/>
          </w:tcPr>
          <w:p w14:paraId="3B256F6E">
            <w:pPr>
              <w:ind w:left="223" w:hanging="222" w:hangingChars="106"/>
              <w:jc w:val="center"/>
              <w:rPr>
                <w:color w:val="auto"/>
                <w:szCs w:val="21"/>
                <w:highlight w:val="none"/>
              </w:rPr>
            </w:pPr>
          </w:p>
        </w:tc>
        <w:tc>
          <w:tcPr>
            <w:tcW w:w="1167" w:type="dxa"/>
            <w:vAlign w:val="center"/>
          </w:tcPr>
          <w:p w14:paraId="36F0BAB1">
            <w:pPr>
              <w:ind w:left="223" w:hanging="222" w:hangingChars="106"/>
              <w:jc w:val="center"/>
              <w:rPr>
                <w:color w:val="auto"/>
                <w:szCs w:val="21"/>
                <w:highlight w:val="none"/>
              </w:rPr>
            </w:pPr>
          </w:p>
        </w:tc>
        <w:tc>
          <w:tcPr>
            <w:tcW w:w="1276" w:type="dxa"/>
            <w:vAlign w:val="center"/>
          </w:tcPr>
          <w:p w14:paraId="224E34F4">
            <w:pPr>
              <w:ind w:left="223" w:hanging="222" w:hangingChars="106"/>
              <w:jc w:val="center"/>
              <w:rPr>
                <w:color w:val="auto"/>
                <w:szCs w:val="21"/>
                <w:highlight w:val="none"/>
              </w:rPr>
            </w:pPr>
          </w:p>
        </w:tc>
      </w:tr>
      <w:tr w14:paraId="08DD4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866" w:type="dxa"/>
            <w:gridSpan w:val="10"/>
            <w:vAlign w:val="center"/>
          </w:tcPr>
          <w:p w14:paraId="52B2C18B">
            <w:pPr>
              <w:spacing w:line="360" w:lineRule="auto"/>
              <w:ind w:left="-2" w:leftChars="0" w:firstLine="0" w:firstLineChars="0"/>
              <w:jc w:val="left"/>
              <w:rPr>
                <w:color w:val="auto"/>
                <w:highlight w:val="none"/>
              </w:rPr>
            </w:pPr>
            <w:r>
              <w:rPr>
                <w:rFonts w:hint="eastAsia" w:ascii="宋体" w:hAnsi="宋体"/>
                <w:color w:val="auto"/>
                <w:highlight w:val="none"/>
              </w:rPr>
              <w:t>一旦我单位成交，将实行项目经理负责制，我方保证并配备上述项目管理机构。上述填报内容真实，若不真实，愿按有关规定接受处理。项目管理班子机构设置、职责分工等情况另附资料说明。</w:t>
            </w:r>
          </w:p>
        </w:tc>
      </w:tr>
    </w:tbl>
    <w:p w14:paraId="02D97A1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备注：</w:t>
      </w:r>
    </w:p>
    <w:p w14:paraId="09E8C3C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w:t>
      </w:r>
      <w:r>
        <w:rPr>
          <w:rFonts w:hint="eastAsia" w:ascii="宋体" w:hAnsi="宋体"/>
          <w:color w:val="auto"/>
          <w:szCs w:val="21"/>
          <w:highlight w:val="none"/>
        </w:rPr>
        <w:t>本表所列岗位的所有管理人员的情况均应如实填写。可按以上格式扩展为多页填写。</w:t>
      </w:r>
    </w:p>
    <w:p w14:paraId="4B6AE99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w:t>
      </w:r>
      <w:r>
        <w:rPr>
          <w:rFonts w:hint="eastAsia" w:ascii="宋体" w:hAnsi="宋体"/>
          <w:color w:val="auto"/>
          <w:szCs w:val="21"/>
          <w:highlight w:val="none"/>
        </w:rPr>
        <w:t>供应商应当在本表后附所有管理人员的身份证、职称证</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如有）</w:t>
      </w:r>
      <w:r>
        <w:rPr>
          <w:rFonts w:hint="eastAsia" w:ascii="宋体" w:hAnsi="宋体"/>
          <w:color w:val="auto"/>
          <w:szCs w:val="21"/>
          <w:highlight w:val="none"/>
        </w:rPr>
        <w:t>、执业或职业资格证书、近1个月（</w:t>
      </w:r>
      <w:r>
        <w:rPr>
          <w:rFonts w:hint="eastAsia" w:ascii="宋体" w:hAnsi="宋体"/>
          <w:color w:val="auto"/>
          <w:szCs w:val="21"/>
          <w:highlight w:val="none"/>
          <w:lang w:val="en-US" w:eastAsia="zh-CN"/>
        </w:rPr>
        <w:t>2025</w:t>
      </w:r>
      <w:r>
        <w:rPr>
          <w:rFonts w:hint="eastAsia" w:ascii="宋体" w:hAnsi="宋体"/>
          <w:color w:val="auto"/>
          <w:szCs w:val="21"/>
          <w:highlight w:val="none"/>
        </w:rPr>
        <w:t>年</w:t>
      </w:r>
      <w:r>
        <w:rPr>
          <w:rFonts w:hint="eastAsia" w:ascii="宋体" w:hAnsi="宋体"/>
          <w:color w:val="auto"/>
          <w:szCs w:val="21"/>
          <w:highlight w:val="none"/>
          <w:lang w:val="en-US" w:eastAsia="zh-CN"/>
        </w:rPr>
        <w:t>1</w:t>
      </w:r>
      <w:r>
        <w:rPr>
          <w:rFonts w:hint="eastAsia" w:ascii="宋体" w:hAnsi="宋体"/>
          <w:color w:val="auto"/>
          <w:szCs w:val="21"/>
          <w:highlight w:val="none"/>
        </w:rPr>
        <w:t>月至</w:t>
      </w:r>
      <w:r>
        <w:rPr>
          <w:rFonts w:hint="eastAsia" w:ascii="宋体" w:hAnsi="宋体"/>
          <w:color w:val="auto"/>
          <w:szCs w:val="21"/>
          <w:highlight w:val="none"/>
          <w:lang w:val="en-US" w:eastAsia="zh-CN"/>
        </w:rPr>
        <w:t>首次响应文件</w:t>
      </w:r>
      <w:r>
        <w:rPr>
          <w:rFonts w:hint="eastAsia" w:ascii="宋体" w:hAnsi="宋体"/>
          <w:color w:val="auto"/>
          <w:szCs w:val="21"/>
          <w:highlight w:val="none"/>
        </w:rPr>
        <w:t>截止时间止任意一个月社保）在现任职单位依法缴纳社会保险的证明材料的扫描件并加盖供应商电子签章。</w:t>
      </w:r>
    </w:p>
    <w:p w14:paraId="6645E6FC">
      <w:pPr>
        <w:pStyle w:val="18"/>
        <w:rPr>
          <w:rFonts w:hint="eastAsia"/>
          <w:color w:val="auto"/>
          <w:highlight w:val="none"/>
        </w:rPr>
      </w:pPr>
    </w:p>
    <w:p w14:paraId="5C2489BF">
      <w:pPr>
        <w:spacing w:line="360" w:lineRule="auto"/>
        <w:ind w:firstLine="3360" w:firstLineChars="1200"/>
        <w:contextualSpacing/>
        <w:jc w:val="left"/>
        <w:rPr>
          <w:rFonts w:hint="eastAsia" w:ascii="宋体" w:hAnsi="宋体"/>
          <w:color w:val="auto"/>
          <w:spacing w:val="20"/>
          <w:sz w:val="24"/>
          <w:highlight w:val="none"/>
        </w:rPr>
      </w:pPr>
    </w:p>
    <w:p w14:paraId="4FD96ADA">
      <w:pPr>
        <w:spacing w:line="360" w:lineRule="auto"/>
        <w:ind w:firstLine="4200" w:firstLineChars="1500"/>
        <w:contextualSpacing/>
        <w:jc w:val="left"/>
        <w:rPr>
          <w:rFonts w:hint="eastAsia" w:ascii="宋体" w:hAnsi="宋体"/>
          <w:color w:val="auto"/>
          <w:spacing w:val="20"/>
          <w:sz w:val="24"/>
          <w:highlight w:val="none"/>
        </w:rPr>
      </w:pPr>
      <w:r>
        <w:rPr>
          <w:rFonts w:hint="eastAsia" w:ascii="宋体" w:hAnsi="宋体"/>
          <w:color w:val="auto"/>
          <w:spacing w:val="20"/>
          <w:sz w:val="24"/>
          <w:highlight w:val="none"/>
        </w:rPr>
        <w:t xml:space="preserve">供应商（电子签章）：      </w:t>
      </w:r>
    </w:p>
    <w:p w14:paraId="53397891">
      <w:pPr>
        <w:spacing w:line="360" w:lineRule="auto"/>
        <w:ind w:firstLine="4200" w:firstLineChars="1500"/>
        <w:contextualSpacing/>
        <w:jc w:val="left"/>
        <w:rPr>
          <w:rFonts w:ascii="宋体" w:hAnsi="宋体"/>
          <w:color w:val="auto"/>
          <w:sz w:val="24"/>
          <w:szCs w:val="20"/>
          <w:highlight w:val="none"/>
        </w:rPr>
      </w:pPr>
      <w:r>
        <w:rPr>
          <w:rFonts w:hint="eastAsia" w:ascii="宋体" w:hAnsi="宋体"/>
          <w:color w:val="auto"/>
          <w:spacing w:val="20"/>
          <w:sz w:val="24"/>
          <w:highlight w:val="none"/>
        </w:rPr>
        <w:t xml:space="preserve"> 日 期：</w:t>
      </w:r>
    </w:p>
    <w:p w14:paraId="53E99C38">
      <w:pPr>
        <w:spacing w:line="360" w:lineRule="auto"/>
        <w:jc w:val="center"/>
        <w:rPr>
          <w:rFonts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（二）拟投入的主要人员简历表</w:t>
      </w:r>
    </w:p>
    <w:p w14:paraId="55DC431A">
      <w:pPr>
        <w:spacing w:line="360" w:lineRule="auto"/>
        <w:ind w:firstLine="643" w:firstLineChars="200"/>
        <w:jc w:val="center"/>
        <w:rPr>
          <w:rFonts w:ascii="宋体" w:hAnsi="宋体"/>
          <w:color w:val="auto"/>
          <w:szCs w:val="21"/>
          <w:highlight w:val="none"/>
        </w:rPr>
      </w:pPr>
      <w:r>
        <w:rPr>
          <w:rFonts w:hint="eastAsia" w:cs="宋体"/>
          <w:b/>
          <w:color w:val="auto"/>
          <w:sz w:val="32"/>
          <w:szCs w:val="32"/>
          <w:highlight w:val="none"/>
        </w:rPr>
        <w:t>项目经理简历表</w:t>
      </w:r>
    </w:p>
    <w:tbl>
      <w:tblPr>
        <w:tblStyle w:val="44"/>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77"/>
        <w:gridCol w:w="387"/>
        <w:gridCol w:w="774"/>
        <w:gridCol w:w="774"/>
        <w:gridCol w:w="328"/>
        <w:gridCol w:w="300"/>
        <w:gridCol w:w="989"/>
        <w:gridCol w:w="220"/>
        <w:gridCol w:w="384"/>
        <w:gridCol w:w="467"/>
        <w:gridCol w:w="621"/>
        <w:gridCol w:w="497"/>
        <w:gridCol w:w="1108"/>
        <w:gridCol w:w="36"/>
        <w:gridCol w:w="184"/>
        <w:gridCol w:w="313"/>
        <w:gridCol w:w="987"/>
        <w:gridCol w:w="11"/>
      </w:tblGrid>
      <w:tr w14:paraId="3B2A5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546" w:hRule="atLeast"/>
          <w:jc w:val="center"/>
        </w:trPr>
        <w:tc>
          <w:tcPr>
            <w:tcW w:w="1154" w:type="dxa"/>
            <w:noWrap w:val="0"/>
            <w:vAlign w:val="center"/>
          </w:tcPr>
          <w:p w14:paraId="6631F783">
            <w:pPr>
              <w:jc w:val="center"/>
              <w:rPr>
                <w:color w:val="auto"/>
                <w:highlight w:val="none"/>
              </w:rPr>
            </w:pPr>
            <w:r>
              <w:rPr>
                <w:rFonts w:hint="eastAsia" w:cs="宋体"/>
                <w:color w:val="auto"/>
                <w:highlight w:val="none"/>
              </w:rPr>
              <w:t>姓名</w:t>
            </w:r>
          </w:p>
        </w:tc>
        <w:tc>
          <w:tcPr>
            <w:tcW w:w="2340" w:type="dxa"/>
            <w:gridSpan w:val="5"/>
            <w:noWrap w:val="0"/>
            <w:vAlign w:val="center"/>
          </w:tcPr>
          <w:p w14:paraId="2AB40817">
            <w:pPr>
              <w:jc w:val="center"/>
              <w:rPr>
                <w:color w:val="auto"/>
                <w:highlight w:val="none"/>
              </w:rPr>
            </w:pPr>
          </w:p>
        </w:tc>
        <w:tc>
          <w:tcPr>
            <w:tcW w:w="1893" w:type="dxa"/>
            <w:gridSpan w:val="4"/>
            <w:noWrap w:val="0"/>
            <w:vAlign w:val="center"/>
          </w:tcPr>
          <w:p w14:paraId="22DB00AA">
            <w:pPr>
              <w:jc w:val="center"/>
              <w:rPr>
                <w:color w:val="auto"/>
                <w:highlight w:val="none"/>
              </w:rPr>
            </w:pPr>
            <w:r>
              <w:rPr>
                <w:rFonts w:hint="eastAsia" w:cs="宋体"/>
                <w:color w:val="auto"/>
                <w:highlight w:val="none"/>
              </w:rPr>
              <w:t>性别</w:t>
            </w:r>
          </w:p>
        </w:tc>
        <w:tc>
          <w:tcPr>
            <w:tcW w:w="1585" w:type="dxa"/>
            <w:gridSpan w:val="3"/>
            <w:noWrap w:val="0"/>
            <w:vAlign w:val="center"/>
          </w:tcPr>
          <w:p w14:paraId="6B931413">
            <w:pPr>
              <w:jc w:val="center"/>
              <w:rPr>
                <w:color w:val="auto"/>
                <w:highlight w:val="none"/>
              </w:rPr>
            </w:pPr>
          </w:p>
        </w:tc>
        <w:tc>
          <w:tcPr>
            <w:tcW w:w="1108" w:type="dxa"/>
            <w:noWrap w:val="0"/>
            <w:vAlign w:val="center"/>
          </w:tcPr>
          <w:p w14:paraId="033CAAD7">
            <w:pPr>
              <w:jc w:val="center"/>
              <w:rPr>
                <w:color w:val="auto"/>
                <w:highlight w:val="none"/>
              </w:rPr>
            </w:pPr>
            <w:r>
              <w:rPr>
                <w:rFonts w:hint="eastAsia" w:cs="宋体"/>
                <w:color w:val="auto"/>
                <w:highlight w:val="none"/>
              </w:rPr>
              <w:t>年龄</w:t>
            </w:r>
          </w:p>
        </w:tc>
        <w:tc>
          <w:tcPr>
            <w:tcW w:w="1531" w:type="dxa"/>
            <w:gridSpan w:val="5"/>
            <w:noWrap w:val="0"/>
            <w:vAlign w:val="center"/>
          </w:tcPr>
          <w:p w14:paraId="775AE687">
            <w:pPr>
              <w:jc w:val="center"/>
              <w:rPr>
                <w:color w:val="auto"/>
                <w:highlight w:val="none"/>
              </w:rPr>
            </w:pPr>
          </w:p>
        </w:tc>
      </w:tr>
      <w:tr w14:paraId="5FA1C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537" w:hRule="atLeast"/>
          <w:jc w:val="center"/>
        </w:trPr>
        <w:tc>
          <w:tcPr>
            <w:tcW w:w="1154" w:type="dxa"/>
            <w:noWrap w:val="0"/>
            <w:vAlign w:val="center"/>
          </w:tcPr>
          <w:p w14:paraId="369D4775">
            <w:pPr>
              <w:jc w:val="center"/>
              <w:rPr>
                <w:color w:val="auto"/>
                <w:highlight w:val="none"/>
              </w:rPr>
            </w:pPr>
            <w:r>
              <w:rPr>
                <w:rFonts w:hint="eastAsia" w:cs="宋体"/>
                <w:color w:val="auto"/>
                <w:highlight w:val="none"/>
              </w:rPr>
              <w:t>岗位</w:t>
            </w:r>
          </w:p>
        </w:tc>
        <w:tc>
          <w:tcPr>
            <w:tcW w:w="2340" w:type="dxa"/>
            <w:gridSpan w:val="5"/>
            <w:noWrap w:val="0"/>
            <w:vAlign w:val="center"/>
          </w:tcPr>
          <w:p w14:paraId="2FC0A354">
            <w:pPr>
              <w:jc w:val="center"/>
              <w:rPr>
                <w:color w:val="auto"/>
                <w:highlight w:val="none"/>
              </w:rPr>
            </w:pPr>
            <w:r>
              <w:rPr>
                <w:rFonts w:hint="eastAsia"/>
                <w:color w:val="auto"/>
                <w:highlight w:val="none"/>
              </w:rPr>
              <w:t>项目经理</w:t>
            </w:r>
          </w:p>
        </w:tc>
        <w:tc>
          <w:tcPr>
            <w:tcW w:w="1893" w:type="dxa"/>
            <w:gridSpan w:val="4"/>
            <w:noWrap w:val="0"/>
            <w:vAlign w:val="center"/>
          </w:tcPr>
          <w:p w14:paraId="7CC677C1">
            <w:pPr>
              <w:jc w:val="center"/>
              <w:rPr>
                <w:color w:val="auto"/>
                <w:highlight w:val="none"/>
              </w:rPr>
            </w:pPr>
            <w:r>
              <w:rPr>
                <w:rFonts w:hint="eastAsia" w:cs="宋体"/>
                <w:color w:val="auto"/>
                <w:highlight w:val="none"/>
              </w:rPr>
              <w:t>职称</w:t>
            </w:r>
          </w:p>
        </w:tc>
        <w:tc>
          <w:tcPr>
            <w:tcW w:w="1585" w:type="dxa"/>
            <w:gridSpan w:val="3"/>
            <w:noWrap w:val="0"/>
            <w:vAlign w:val="center"/>
          </w:tcPr>
          <w:p w14:paraId="50529D0B">
            <w:pPr>
              <w:jc w:val="center"/>
              <w:rPr>
                <w:color w:val="auto"/>
                <w:highlight w:val="none"/>
              </w:rPr>
            </w:pPr>
          </w:p>
        </w:tc>
        <w:tc>
          <w:tcPr>
            <w:tcW w:w="1108" w:type="dxa"/>
            <w:noWrap w:val="0"/>
            <w:vAlign w:val="center"/>
          </w:tcPr>
          <w:p w14:paraId="7DA63CDD">
            <w:pPr>
              <w:jc w:val="center"/>
              <w:rPr>
                <w:color w:val="auto"/>
                <w:highlight w:val="none"/>
              </w:rPr>
            </w:pPr>
            <w:r>
              <w:rPr>
                <w:rFonts w:hint="eastAsia" w:cs="宋体"/>
                <w:color w:val="auto"/>
                <w:highlight w:val="none"/>
              </w:rPr>
              <w:t>学历</w:t>
            </w:r>
          </w:p>
        </w:tc>
        <w:tc>
          <w:tcPr>
            <w:tcW w:w="1531" w:type="dxa"/>
            <w:gridSpan w:val="5"/>
            <w:noWrap w:val="0"/>
            <w:vAlign w:val="center"/>
          </w:tcPr>
          <w:p w14:paraId="406C0ED9">
            <w:pPr>
              <w:jc w:val="center"/>
              <w:rPr>
                <w:color w:val="auto"/>
                <w:highlight w:val="none"/>
              </w:rPr>
            </w:pPr>
          </w:p>
        </w:tc>
      </w:tr>
      <w:tr w14:paraId="3247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53F763F9">
            <w:pPr>
              <w:jc w:val="center"/>
              <w:rPr>
                <w:rFonts w:hint="eastAsia" w:cs="宋体"/>
                <w:color w:val="auto"/>
                <w:highlight w:val="none"/>
              </w:rPr>
            </w:pPr>
            <w:r>
              <w:rPr>
                <w:rFonts w:hint="eastAsia" w:cs="宋体"/>
                <w:color w:val="auto"/>
                <w:highlight w:val="none"/>
              </w:rPr>
              <w:t>从业开始时间</w:t>
            </w:r>
          </w:p>
        </w:tc>
        <w:tc>
          <w:tcPr>
            <w:tcW w:w="2340" w:type="dxa"/>
            <w:gridSpan w:val="5"/>
            <w:noWrap w:val="0"/>
            <w:vAlign w:val="center"/>
          </w:tcPr>
          <w:p w14:paraId="7AC23700">
            <w:pPr>
              <w:jc w:val="center"/>
              <w:rPr>
                <w:color w:val="auto"/>
                <w:highlight w:val="none"/>
              </w:rPr>
            </w:pPr>
          </w:p>
        </w:tc>
        <w:tc>
          <w:tcPr>
            <w:tcW w:w="1893" w:type="dxa"/>
            <w:gridSpan w:val="4"/>
            <w:noWrap w:val="0"/>
            <w:vAlign w:val="center"/>
          </w:tcPr>
          <w:p w14:paraId="76305A75">
            <w:pPr>
              <w:jc w:val="center"/>
              <w:rPr>
                <w:rFonts w:hint="eastAsia" w:cs="宋体"/>
                <w:color w:val="auto"/>
                <w:highlight w:val="none"/>
              </w:rPr>
            </w:pPr>
            <w:r>
              <w:rPr>
                <w:rFonts w:hint="eastAsia" w:cs="宋体"/>
                <w:color w:val="auto"/>
                <w:highlight w:val="none"/>
              </w:rPr>
              <w:t>职称</w:t>
            </w:r>
            <w:r>
              <w:rPr>
                <w:rFonts w:cs="宋体"/>
                <w:color w:val="auto"/>
                <w:highlight w:val="none"/>
              </w:rPr>
              <w:t>获</w:t>
            </w:r>
            <w:r>
              <w:rPr>
                <w:rFonts w:hint="eastAsia" w:cs="宋体"/>
                <w:color w:val="auto"/>
                <w:highlight w:val="none"/>
              </w:rPr>
              <w:t>得</w:t>
            </w:r>
            <w:r>
              <w:rPr>
                <w:rFonts w:cs="宋体"/>
                <w:color w:val="auto"/>
                <w:highlight w:val="none"/>
              </w:rPr>
              <w:t>时间</w:t>
            </w:r>
          </w:p>
        </w:tc>
        <w:tc>
          <w:tcPr>
            <w:tcW w:w="1585" w:type="dxa"/>
            <w:gridSpan w:val="3"/>
            <w:noWrap w:val="0"/>
            <w:vAlign w:val="center"/>
          </w:tcPr>
          <w:p w14:paraId="2C629683">
            <w:pPr>
              <w:jc w:val="center"/>
              <w:rPr>
                <w:color w:val="auto"/>
                <w:highlight w:val="none"/>
              </w:rPr>
            </w:pPr>
          </w:p>
        </w:tc>
        <w:tc>
          <w:tcPr>
            <w:tcW w:w="1108" w:type="dxa"/>
            <w:noWrap w:val="0"/>
            <w:vAlign w:val="center"/>
          </w:tcPr>
          <w:p w14:paraId="7995A26D">
            <w:pPr>
              <w:jc w:val="center"/>
              <w:rPr>
                <w:rFonts w:hint="eastAsia" w:cs="宋体"/>
                <w:color w:val="auto"/>
                <w:highlight w:val="none"/>
              </w:rPr>
            </w:pPr>
            <w:r>
              <w:rPr>
                <w:rFonts w:hint="eastAsia" w:cs="宋体"/>
                <w:color w:val="auto"/>
                <w:highlight w:val="none"/>
              </w:rPr>
              <w:t>毕业时间</w:t>
            </w:r>
          </w:p>
        </w:tc>
        <w:tc>
          <w:tcPr>
            <w:tcW w:w="1531" w:type="dxa"/>
            <w:gridSpan w:val="5"/>
            <w:noWrap w:val="0"/>
            <w:vAlign w:val="center"/>
          </w:tcPr>
          <w:p w14:paraId="32A52C57">
            <w:pPr>
              <w:jc w:val="center"/>
              <w:rPr>
                <w:color w:val="auto"/>
                <w:highlight w:val="none"/>
              </w:rPr>
            </w:pPr>
          </w:p>
        </w:tc>
      </w:tr>
      <w:tr w14:paraId="7A9C3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1C15FFFD">
            <w:pPr>
              <w:jc w:val="center"/>
              <w:rPr>
                <w:color w:val="auto"/>
                <w:highlight w:val="none"/>
              </w:rPr>
            </w:pPr>
            <w:r>
              <w:rPr>
                <w:rFonts w:hint="eastAsia" w:cs="宋体"/>
                <w:color w:val="auto"/>
                <w:highlight w:val="none"/>
              </w:rPr>
              <w:t>担任项目经理年限</w:t>
            </w:r>
          </w:p>
        </w:tc>
        <w:tc>
          <w:tcPr>
            <w:tcW w:w="1161" w:type="dxa"/>
            <w:gridSpan w:val="2"/>
            <w:noWrap w:val="0"/>
            <w:vAlign w:val="center"/>
          </w:tcPr>
          <w:p w14:paraId="630BECC4">
            <w:pPr>
              <w:jc w:val="center"/>
              <w:rPr>
                <w:color w:val="auto"/>
                <w:highlight w:val="none"/>
              </w:rPr>
            </w:pPr>
          </w:p>
        </w:tc>
        <w:tc>
          <w:tcPr>
            <w:tcW w:w="1402" w:type="dxa"/>
            <w:gridSpan w:val="3"/>
            <w:noWrap w:val="0"/>
            <w:vAlign w:val="center"/>
          </w:tcPr>
          <w:p w14:paraId="0EC2EFA0">
            <w:pPr>
              <w:jc w:val="center"/>
              <w:rPr>
                <w:color w:val="auto"/>
                <w:highlight w:val="none"/>
              </w:rPr>
            </w:pPr>
            <w:r>
              <w:rPr>
                <w:rFonts w:hint="eastAsia"/>
                <w:color w:val="auto"/>
                <w:highlight w:val="none"/>
              </w:rPr>
              <w:t>身份</w:t>
            </w:r>
            <w:r>
              <w:rPr>
                <w:color w:val="auto"/>
                <w:highlight w:val="none"/>
              </w:rPr>
              <w:t>证号码</w:t>
            </w:r>
          </w:p>
        </w:tc>
        <w:tc>
          <w:tcPr>
            <w:tcW w:w="1209" w:type="dxa"/>
            <w:gridSpan w:val="2"/>
            <w:noWrap w:val="0"/>
            <w:vAlign w:val="center"/>
          </w:tcPr>
          <w:p w14:paraId="46106D5B">
            <w:pPr>
              <w:jc w:val="center"/>
              <w:rPr>
                <w:color w:val="auto"/>
                <w:highlight w:val="none"/>
              </w:rPr>
            </w:pPr>
          </w:p>
        </w:tc>
        <w:tc>
          <w:tcPr>
            <w:tcW w:w="3610" w:type="dxa"/>
            <w:gridSpan w:val="8"/>
            <w:noWrap w:val="0"/>
            <w:vAlign w:val="center"/>
          </w:tcPr>
          <w:p w14:paraId="0A5E4552">
            <w:pPr>
              <w:jc w:val="center"/>
              <w:rPr>
                <w:rFonts w:hint="eastAsia"/>
                <w:color w:val="auto"/>
                <w:highlight w:val="none"/>
              </w:rPr>
            </w:pPr>
            <w:r>
              <w:rPr>
                <w:rFonts w:hint="eastAsia"/>
                <w:color w:val="auto"/>
                <w:highlight w:val="none"/>
              </w:rPr>
              <w:t>社保所附证明材料索引号</w:t>
            </w:r>
          </w:p>
        </w:tc>
        <w:tc>
          <w:tcPr>
            <w:tcW w:w="998" w:type="dxa"/>
            <w:gridSpan w:val="2"/>
            <w:noWrap w:val="0"/>
            <w:vAlign w:val="center"/>
          </w:tcPr>
          <w:p w14:paraId="5B755EF3">
            <w:pPr>
              <w:jc w:val="center"/>
              <w:rPr>
                <w:color w:val="auto"/>
                <w:highlight w:val="none"/>
              </w:rPr>
            </w:pPr>
          </w:p>
        </w:tc>
      </w:tr>
      <w:tr w14:paraId="5B2D9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57BB323C">
            <w:pPr>
              <w:jc w:val="center"/>
              <w:rPr>
                <w:color w:val="auto"/>
                <w:highlight w:val="none"/>
              </w:rPr>
            </w:pPr>
            <w:r>
              <w:rPr>
                <w:rFonts w:hint="eastAsia"/>
                <w:color w:val="auto"/>
                <w:highlight w:val="none"/>
              </w:rPr>
              <w:t>证书名称</w:t>
            </w:r>
          </w:p>
        </w:tc>
        <w:tc>
          <w:tcPr>
            <w:tcW w:w="1161" w:type="dxa"/>
            <w:gridSpan w:val="2"/>
            <w:noWrap w:val="0"/>
            <w:vAlign w:val="center"/>
          </w:tcPr>
          <w:p w14:paraId="0EA2F6DF">
            <w:pPr>
              <w:jc w:val="center"/>
              <w:rPr>
                <w:color w:val="auto"/>
                <w:highlight w:val="none"/>
              </w:rPr>
            </w:pPr>
            <w:r>
              <w:rPr>
                <w:rFonts w:hint="eastAsia"/>
                <w:color w:val="auto"/>
                <w:highlight w:val="none"/>
              </w:rPr>
              <w:t>注册专业</w:t>
            </w:r>
          </w:p>
        </w:tc>
        <w:tc>
          <w:tcPr>
            <w:tcW w:w="1102" w:type="dxa"/>
            <w:gridSpan w:val="2"/>
            <w:noWrap w:val="0"/>
            <w:vAlign w:val="center"/>
          </w:tcPr>
          <w:p w14:paraId="2D4F3D78">
            <w:pPr>
              <w:jc w:val="center"/>
              <w:rPr>
                <w:color w:val="auto"/>
                <w:highlight w:val="none"/>
              </w:rPr>
            </w:pPr>
            <w:r>
              <w:rPr>
                <w:color w:val="auto"/>
                <w:highlight w:val="none"/>
              </w:rPr>
              <w:t>级别</w:t>
            </w:r>
          </w:p>
        </w:tc>
        <w:tc>
          <w:tcPr>
            <w:tcW w:w="1289" w:type="dxa"/>
            <w:gridSpan w:val="2"/>
            <w:noWrap w:val="0"/>
            <w:vAlign w:val="center"/>
          </w:tcPr>
          <w:p w14:paraId="67C0F700">
            <w:pPr>
              <w:jc w:val="center"/>
              <w:rPr>
                <w:color w:val="auto"/>
                <w:highlight w:val="none"/>
              </w:rPr>
            </w:pPr>
            <w:r>
              <w:rPr>
                <w:rFonts w:hint="eastAsia" w:cs="宋体"/>
                <w:color w:val="auto"/>
                <w:highlight w:val="none"/>
              </w:rPr>
              <w:t>证书编号</w:t>
            </w:r>
          </w:p>
        </w:tc>
        <w:tc>
          <w:tcPr>
            <w:tcW w:w="1071" w:type="dxa"/>
            <w:gridSpan w:val="3"/>
            <w:noWrap w:val="0"/>
            <w:vAlign w:val="center"/>
          </w:tcPr>
          <w:p w14:paraId="3AA0D275">
            <w:pPr>
              <w:jc w:val="center"/>
              <w:rPr>
                <w:color w:val="auto"/>
                <w:highlight w:val="none"/>
              </w:rPr>
            </w:pPr>
            <w:r>
              <w:rPr>
                <w:rFonts w:hint="eastAsia"/>
                <w:color w:val="auto"/>
                <w:highlight w:val="none"/>
              </w:rPr>
              <w:t>注册时间</w:t>
            </w:r>
          </w:p>
        </w:tc>
        <w:tc>
          <w:tcPr>
            <w:tcW w:w="1118" w:type="dxa"/>
            <w:gridSpan w:val="2"/>
            <w:noWrap w:val="0"/>
            <w:vAlign w:val="center"/>
          </w:tcPr>
          <w:p w14:paraId="64390021">
            <w:pPr>
              <w:jc w:val="center"/>
              <w:rPr>
                <w:rFonts w:hint="eastAsia"/>
                <w:color w:val="auto"/>
                <w:kern w:val="2"/>
                <w:sz w:val="21"/>
                <w:szCs w:val="21"/>
                <w:highlight w:val="none"/>
                <w:lang w:val="en-US" w:eastAsia="zh-CN" w:bidi="ar-SA"/>
              </w:rPr>
            </w:pPr>
            <w:r>
              <w:rPr>
                <w:rFonts w:hint="eastAsia"/>
                <w:color w:val="auto"/>
                <w:highlight w:val="none"/>
              </w:rPr>
              <w:t>注册单位</w:t>
            </w:r>
          </w:p>
        </w:tc>
        <w:tc>
          <w:tcPr>
            <w:tcW w:w="1328" w:type="dxa"/>
            <w:gridSpan w:val="3"/>
            <w:noWrap w:val="0"/>
            <w:vAlign w:val="center"/>
          </w:tcPr>
          <w:p w14:paraId="1D2B190D">
            <w:pPr>
              <w:jc w:val="center"/>
              <w:rPr>
                <w:color w:val="auto"/>
                <w:kern w:val="2"/>
                <w:sz w:val="21"/>
                <w:szCs w:val="21"/>
                <w:highlight w:val="none"/>
                <w:lang w:val="en-US" w:eastAsia="zh-CN" w:bidi="ar-SA"/>
              </w:rPr>
            </w:pPr>
            <w:r>
              <w:rPr>
                <w:rFonts w:hint="eastAsia"/>
                <w:color w:val="auto"/>
                <w:highlight w:val="none"/>
              </w:rPr>
              <w:t>注册有效期</w:t>
            </w:r>
          </w:p>
        </w:tc>
        <w:tc>
          <w:tcPr>
            <w:tcW w:w="1311" w:type="dxa"/>
            <w:gridSpan w:val="3"/>
            <w:noWrap w:val="0"/>
            <w:vAlign w:val="center"/>
          </w:tcPr>
          <w:p w14:paraId="035EECE0">
            <w:pPr>
              <w:jc w:val="center"/>
              <w:rPr>
                <w:rFonts w:hint="eastAsia" w:eastAsia="宋体"/>
                <w:color w:val="auto"/>
                <w:highlight w:val="none"/>
                <w:lang w:eastAsia="zh-CN"/>
              </w:rPr>
            </w:pPr>
            <w:r>
              <w:rPr>
                <w:rFonts w:hint="eastAsia"/>
                <w:color w:val="auto"/>
                <w:highlight w:val="none"/>
                <w:lang w:eastAsia="zh-CN"/>
              </w:rPr>
              <w:t>使用限期</w:t>
            </w:r>
          </w:p>
        </w:tc>
      </w:tr>
      <w:tr w14:paraId="0784C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579" w:hRule="atLeast"/>
          <w:jc w:val="center"/>
        </w:trPr>
        <w:tc>
          <w:tcPr>
            <w:tcW w:w="1231" w:type="dxa"/>
            <w:gridSpan w:val="2"/>
            <w:noWrap w:val="0"/>
            <w:vAlign w:val="center"/>
          </w:tcPr>
          <w:p w14:paraId="3757DD1C">
            <w:pPr>
              <w:jc w:val="center"/>
              <w:rPr>
                <w:rFonts w:hint="eastAsia"/>
                <w:color w:val="auto"/>
                <w:highlight w:val="none"/>
              </w:rPr>
            </w:pPr>
          </w:p>
        </w:tc>
        <w:tc>
          <w:tcPr>
            <w:tcW w:w="1161" w:type="dxa"/>
            <w:gridSpan w:val="2"/>
            <w:noWrap w:val="0"/>
            <w:vAlign w:val="center"/>
          </w:tcPr>
          <w:p w14:paraId="2D8B6953">
            <w:pPr>
              <w:jc w:val="center"/>
              <w:rPr>
                <w:rFonts w:hint="eastAsia"/>
                <w:color w:val="auto"/>
                <w:highlight w:val="none"/>
              </w:rPr>
            </w:pPr>
          </w:p>
        </w:tc>
        <w:tc>
          <w:tcPr>
            <w:tcW w:w="1102" w:type="dxa"/>
            <w:gridSpan w:val="2"/>
            <w:noWrap w:val="0"/>
            <w:vAlign w:val="center"/>
          </w:tcPr>
          <w:p w14:paraId="23F4F1E8">
            <w:pPr>
              <w:jc w:val="center"/>
              <w:rPr>
                <w:rFonts w:hint="eastAsia" w:cs="宋体"/>
                <w:color w:val="auto"/>
                <w:highlight w:val="none"/>
              </w:rPr>
            </w:pPr>
          </w:p>
        </w:tc>
        <w:tc>
          <w:tcPr>
            <w:tcW w:w="1289" w:type="dxa"/>
            <w:gridSpan w:val="2"/>
            <w:noWrap w:val="0"/>
            <w:vAlign w:val="center"/>
          </w:tcPr>
          <w:p w14:paraId="09B74E82">
            <w:pPr>
              <w:jc w:val="center"/>
              <w:rPr>
                <w:rFonts w:hint="eastAsia"/>
                <w:color w:val="auto"/>
                <w:highlight w:val="none"/>
              </w:rPr>
            </w:pPr>
          </w:p>
        </w:tc>
        <w:tc>
          <w:tcPr>
            <w:tcW w:w="1071" w:type="dxa"/>
            <w:gridSpan w:val="3"/>
            <w:noWrap w:val="0"/>
            <w:vAlign w:val="center"/>
          </w:tcPr>
          <w:p w14:paraId="0921DBEB">
            <w:pPr>
              <w:jc w:val="center"/>
              <w:rPr>
                <w:rFonts w:hint="eastAsia"/>
                <w:color w:val="auto"/>
                <w:highlight w:val="none"/>
              </w:rPr>
            </w:pPr>
          </w:p>
        </w:tc>
        <w:tc>
          <w:tcPr>
            <w:tcW w:w="1118" w:type="dxa"/>
            <w:gridSpan w:val="2"/>
            <w:noWrap w:val="0"/>
            <w:vAlign w:val="center"/>
          </w:tcPr>
          <w:p w14:paraId="791EA1C7">
            <w:pPr>
              <w:jc w:val="center"/>
              <w:rPr>
                <w:rFonts w:hint="eastAsia"/>
                <w:color w:val="auto"/>
                <w:highlight w:val="none"/>
              </w:rPr>
            </w:pPr>
          </w:p>
        </w:tc>
        <w:tc>
          <w:tcPr>
            <w:tcW w:w="1328" w:type="dxa"/>
            <w:gridSpan w:val="3"/>
            <w:noWrap w:val="0"/>
            <w:vAlign w:val="center"/>
          </w:tcPr>
          <w:p w14:paraId="16A158F2">
            <w:pPr>
              <w:jc w:val="center"/>
              <w:rPr>
                <w:rFonts w:hint="eastAsia"/>
                <w:color w:val="auto"/>
                <w:highlight w:val="none"/>
              </w:rPr>
            </w:pPr>
          </w:p>
        </w:tc>
        <w:tc>
          <w:tcPr>
            <w:tcW w:w="1311" w:type="dxa"/>
            <w:gridSpan w:val="3"/>
            <w:noWrap w:val="0"/>
            <w:vAlign w:val="center"/>
          </w:tcPr>
          <w:p w14:paraId="033ECA45">
            <w:pPr>
              <w:jc w:val="center"/>
              <w:rPr>
                <w:rFonts w:hint="eastAsia"/>
                <w:color w:val="auto"/>
                <w:highlight w:val="none"/>
              </w:rPr>
            </w:pPr>
          </w:p>
        </w:tc>
      </w:tr>
      <w:tr w14:paraId="305D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45E05C51">
            <w:pPr>
              <w:jc w:val="center"/>
              <w:rPr>
                <w:rFonts w:hint="eastAsia"/>
                <w:color w:val="auto"/>
                <w:highlight w:val="none"/>
              </w:rPr>
            </w:pPr>
            <w:r>
              <w:rPr>
                <w:rFonts w:hint="eastAsia"/>
                <w:color w:val="auto"/>
                <w:highlight w:val="none"/>
              </w:rPr>
              <w:t>安全生产考核合格证书</w:t>
            </w:r>
          </w:p>
        </w:tc>
        <w:tc>
          <w:tcPr>
            <w:tcW w:w="1161" w:type="dxa"/>
            <w:gridSpan w:val="2"/>
            <w:noWrap w:val="0"/>
            <w:vAlign w:val="center"/>
          </w:tcPr>
          <w:p w14:paraId="26DA0CB3">
            <w:pPr>
              <w:jc w:val="center"/>
              <w:rPr>
                <w:rFonts w:hint="eastAsia"/>
                <w:color w:val="auto"/>
                <w:highlight w:val="none"/>
              </w:rPr>
            </w:pPr>
          </w:p>
        </w:tc>
        <w:tc>
          <w:tcPr>
            <w:tcW w:w="1102" w:type="dxa"/>
            <w:gridSpan w:val="2"/>
            <w:noWrap w:val="0"/>
            <w:vAlign w:val="center"/>
          </w:tcPr>
          <w:p w14:paraId="0CE2C50E">
            <w:pPr>
              <w:jc w:val="center"/>
              <w:rPr>
                <w:rFonts w:hint="eastAsia" w:cs="宋体"/>
                <w:color w:val="auto"/>
                <w:highlight w:val="none"/>
              </w:rPr>
            </w:pPr>
            <w:r>
              <w:rPr>
                <w:rFonts w:hint="eastAsia"/>
                <w:color w:val="auto"/>
                <w:highlight w:val="none"/>
              </w:rPr>
              <w:t>B类</w:t>
            </w:r>
          </w:p>
        </w:tc>
        <w:tc>
          <w:tcPr>
            <w:tcW w:w="1289" w:type="dxa"/>
            <w:gridSpan w:val="2"/>
            <w:noWrap w:val="0"/>
            <w:vAlign w:val="center"/>
          </w:tcPr>
          <w:p w14:paraId="1F063B19">
            <w:pPr>
              <w:jc w:val="center"/>
              <w:rPr>
                <w:rFonts w:hint="eastAsia"/>
                <w:color w:val="auto"/>
                <w:highlight w:val="none"/>
              </w:rPr>
            </w:pPr>
          </w:p>
        </w:tc>
        <w:tc>
          <w:tcPr>
            <w:tcW w:w="1071" w:type="dxa"/>
            <w:gridSpan w:val="3"/>
            <w:noWrap w:val="0"/>
            <w:vAlign w:val="center"/>
          </w:tcPr>
          <w:p w14:paraId="7C8294CF">
            <w:pPr>
              <w:jc w:val="center"/>
              <w:rPr>
                <w:rFonts w:hint="eastAsia"/>
                <w:color w:val="auto"/>
                <w:highlight w:val="none"/>
              </w:rPr>
            </w:pPr>
          </w:p>
        </w:tc>
        <w:tc>
          <w:tcPr>
            <w:tcW w:w="1118" w:type="dxa"/>
            <w:gridSpan w:val="2"/>
            <w:noWrap w:val="0"/>
            <w:vAlign w:val="center"/>
          </w:tcPr>
          <w:p w14:paraId="51DC2D94">
            <w:pPr>
              <w:jc w:val="center"/>
              <w:rPr>
                <w:rFonts w:hint="eastAsia"/>
                <w:color w:val="auto"/>
                <w:highlight w:val="none"/>
              </w:rPr>
            </w:pPr>
          </w:p>
        </w:tc>
        <w:tc>
          <w:tcPr>
            <w:tcW w:w="1328" w:type="dxa"/>
            <w:gridSpan w:val="3"/>
            <w:noWrap w:val="0"/>
            <w:vAlign w:val="center"/>
          </w:tcPr>
          <w:p w14:paraId="1B3A5EC9">
            <w:pPr>
              <w:jc w:val="center"/>
              <w:rPr>
                <w:rFonts w:hint="eastAsia"/>
                <w:color w:val="auto"/>
                <w:highlight w:val="none"/>
              </w:rPr>
            </w:pPr>
          </w:p>
        </w:tc>
        <w:tc>
          <w:tcPr>
            <w:tcW w:w="1311" w:type="dxa"/>
            <w:gridSpan w:val="3"/>
            <w:noWrap w:val="0"/>
            <w:vAlign w:val="center"/>
          </w:tcPr>
          <w:p w14:paraId="4544B795">
            <w:pPr>
              <w:jc w:val="center"/>
              <w:rPr>
                <w:rFonts w:hint="eastAsia"/>
                <w:color w:val="auto"/>
                <w:highlight w:val="none"/>
              </w:rPr>
            </w:pPr>
          </w:p>
        </w:tc>
      </w:tr>
      <w:tr w14:paraId="1DDAE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19"/>
            <w:noWrap w:val="0"/>
            <w:vAlign w:val="center"/>
          </w:tcPr>
          <w:p w14:paraId="29205C19">
            <w:pPr>
              <w:jc w:val="center"/>
              <w:rPr>
                <w:color w:val="auto"/>
                <w:highlight w:val="none"/>
              </w:rPr>
            </w:pPr>
            <w:r>
              <w:rPr>
                <w:rFonts w:hint="eastAsia" w:cs="宋体"/>
                <w:color w:val="auto"/>
                <w:highlight w:val="none"/>
              </w:rPr>
              <w:t>在建和已完工程项目情况</w:t>
            </w:r>
          </w:p>
        </w:tc>
      </w:tr>
      <w:tr w14:paraId="41964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6DB1F12A">
            <w:pPr>
              <w:jc w:val="center"/>
              <w:rPr>
                <w:color w:val="auto"/>
                <w:highlight w:val="none"/>
              </w:rPr>
            </w:pPr>
          </w:p>
        </w:tc>
        <w:tc>
          <w:tcPr>
            <w:tcW w:w="1548" w:type="dxa"/>
            <w:gridSpan w:val="2"/>
            <w:noWrap w:val="0"/>
            <w:vAlign w:val="center"/>
          </w:tcPr>
          <w:p w14:paraId="2E874040">
            <w:pPr>
              <w:jc w:val="center"/>
              <w:rPr>
                <w:rFonts w:hint="eastAsia"/>
                <w:color w:val="auto"/>
                <w:highlight w:val="none"/>
              </w:rPr>
            </w:pPr>
            <w:r>
              <w:rPr>
                <w:rFonts w:hint="eastAsia"/>
                <w:color w:val="auto"/>
                <w:highlight w:val="none"/>
              </w:rPr>
              <w:t>项目1</w:t>
            </w:r>
          </w:p>
        </w:tc>
        <w:tc>
          <w:tcPr>
            <w:tcW w:w="1837" w:type="dxa"/>
            <w:gridSpan w:val="4"/>
            <w:noWrap w:val="0"/>
            <w:vAlign w:val="center"/>
          </w:tcPr>
          <w:p w14:paraId="6E817A07">
            <w:pPr>
              <w:jc w:val="center"/>
              <w:rPr>
                <w:color w:val="auto"/>
                <w:highlight w:val="none"/>
              </w:rPr>
            </w:pPr>
            <w:r>
              <w:rPr>
                <w:rFonts w:hint="eastAsia"/>
                <w:color w:val="auto"/>
                <w:highlight w:val="none"/>
              </w:rPr>
              <w:t>项目2</w:t>
            </w:r>
          </w:p>
        </w:tc>
        <w:tc>
          <w:tcPr>
            <w:tcW w:w="1472" w:type="dxa"/>
            <w:gridSpan w:val="3"/>
            <w:noWrap w:val="0"/>
            <w:vAlign w:val="center"/>
          </w:tcPr>
          <w:p w14:paraId="35536884">
            <w:pPr>
              <w:jc w:val="center"/>
              <w:rPr>
                <w:color w:val="auto"/>
                <w:highlight w:val="none"/>
              </w:rPr>
            </w:pPr>
            <w:r>
              <w:rPr>
                <w:rFonts w:hint="eastAsia"/>
                <w:color w:val="auto"/>
                <w:highlight w:val="none"/>
              </w:rPr>
              <w:t>项目3</w:t>
            </w:r>
          </w:p>
        </w:tc>
        <w:tc>
          <w:tcPr>
            <w:tcW w:w="1641" w:type="dxa"/>
            <w:gridSpan w:val="3"/>
            <w:noWrap w:val="0"/>
            <w:vAlign w:val="center"/>
          </w:tcPr>
          <w:p w14:paraId="72FF24EC">
            <w:pPr>
              <w:jc w:val="center"/>
              <w:rPr>
                <w:color w:val="auto"/>
                <w:highlight w:val="none"/>
              </w:rPr>
            </w:pPr>
            <w:r>
              <w:rPr>
                <w:rFonts w:hint="eastAsia"/>
                <w:color w:val="auto"/>
                <w:highlight w:val="none"/>
              </w:rPr>
              <w:t>项目4</w:t>
            </w:r>
          </w:p>
        </w:tc>
        <w:tc>
          <w:tcPr>
            <w:tcW w:w="1484" w:type="dxa"/>
            <w:gridSpan w:val="3"/>
            <w:noWrap w:val="0"/>
            <w:vAlign w:val="center"/>
          </w:tcPr>
          <w:p w14:paraId="2290A486">
            <w:pPr>
              <w:jc w:val="center"/>
              <w:rPr>
                <w:color w:val="auto"/>
                <w:highlight w:val="none"/>
              </w:rPr>
            </w:pPr>
            <w:r>
              <w:rPr>
                <w:rFonts w:hint="eastAsia"/>
                <w:color w:val="auto"/>
                <w:highlight w:val="none"/>
              </w:rPr>
              <w:t>……</w:t>
            </w:r>
          </w:p>
        </w:tc>
      </w:tr>
      <w:tr w14:paraId="71B5E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3B50D335">
            <w:pPr>
              <w:jc w:val="center"/>
              <w:rPr>
                <w:color w:val="auto"/>
                <w:highlight w:val="none"/>
              </w:rPr>
            </w:pPr>
            <w:r>
              <w:rPr>
                <w:rFonts w:hint="eastAsia"/>
                <w:color w:val="auto"/>
                <w:highlight w:val="none"/>
              </w:rPr>
              <w:t>项目名称</w:t>
            </w:r>
          </w:p>
        </w:tc>
        <w:tc>
          <w:tcPr>
            <w:tcW w:w="1548" w:type="dxa"/>
            <w:gridSpan w:val="2"/>
            <w:noWrap w:val="0"/>
            <w:vAlign w:val="center"/>
          </w:tcPr>
          <w:p w14:paraId="2B9BCD7D">
            <w:pPr>
              <w:jc w:val="center"/>
              <w:rPr>
                <w:color w:val="auto"/>
                <w:highlight w:val="none"/>
              </w:rPr>
            </w:pPr>
          </w:p>
        </w:tc>
        <w:tc>
          <w:tcPr>
            <w:tcW w:w="1837" w:type="dxa"/>
            <w:gridSpan w:val="4"/>
            <w:noWrap w:val="0"/>
            <w:vAlign w:val="center"/>
          </w:tcPr>
          <w:p w14:paraId="0ADEA2BF">
            <w:pPr>
              <w:jc w:val="center"/>
              <w:rPr>
                <w:color w:val="auto"/>
                <w:highlight w:val="none"/>
              </w:rPr>
            </w:pPr>
          </w:p>
        </w:tc>
        <w:tc>
          <w:tcPr>
            <w:tcW w:w="1472" w:type="dxa"/>
            <w:gridSpan w:val="3"/>
            <w:noWrap w:val="0"/>
            <w:vAlign w:val="center"/>
          </w:tcPr>
          <w:p w14:paraId="34C8A1F1">
            <w:pPr>
              <w:jc w:val="center"/>
              <w:rPr>
                <w:color w:val="auto"/>
                <w:highlight w:val="none"/>
              </w:rPr>
            </w:pPr>
          </w:p>
        </w:tc>
        <w:tc>
          <w:tcPr>
            <w:tcW w:w="1641" w:type="dxa"/>
            <w:gridSpan w:val="3"/>
            <w:noWrap w:val="0"/>
            <w:vAlign w:val="center"/>
          </w:tcPr>
          <w:p w14:paraId="0C7560EA">
            <w:pPr>
              <w:jc w:val="center"/>
              <w:rPr>
                <w:color w:val="auto"/>
                <w:highlight w:val="none"/>
              </w:rPr>
            </w:pPr>
          </w:p>
        </w:tc>
        <w:tc>
          <w:tcPr>
            <w:tcW w:w="1484" w:type="dxa"/>
            <w:gridSpan w:val="3"/>
            <w:noWrap w:val="0"/>
            <w:vAlign w:val="center"/>
          </w:tcPr>
          <w:p w14:paraId="6335BA5B">
            <w:pPr>
              <w:jc w:val="center"/>
              <w:rPr>
                <w:color w:val="auto"/>
                <w:highlight w:val="none"/>
              </w:rPr>
            </w:pPr>
          </w:p>
        </w:tc>
      </w:tr>
      <w:tr w14:paraId="50982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9326BA8">
            <w:pPr>
              <w:jc w:val="center"/>
              <w:rPr>
                <w:color w:val="auto"/>
                <w:highlight w:val="none"/>
              </w:rPr>
            </w:pPr>
            <w:r>
              <w:rPr>
                <w:rFonts w:hint="eastAsia" w:cs="宋体"/>
                <w:color w:val="auto"/>
                <w:highlight w:val="none"/>
              </w:rPr>
              <w:t>建设单位</w:t>
            </w:r>
          </w:p>
        </w:tc>
        <w:tc>
          <w:tcPr>
            <w:tcW w:w="1548" w:type="dxa"/>
            <w:gridSpan w:val="2"/>
            <w:noWrap w:val="0"/>
            <w:vAlign w:val="center"/>
          </w:tcPr>
          <w:p w14:paraId="057A1857">
            <w:pPr>
              <w:jc w:val="center"/>
              <w:rPr>
                <w:color w:val="auto"/>
                <w:highlight w:val="none"/>
              </w:rPr>
            </w:pPr>
          </w:p>
        </w:tc>
        <w:tc>
          <w:tcPr>
            <w:tcW w:w="1837" w:type="dxa"/>
            <w:gridSpan w:val="4"/>
            <w:noWrap w:val="0"/>
            <w:vAlign w:val="center"/>
          </w:tcPr>
          <w:p w14:paraId="0BBF636F">
            <w:pPr>
              <w:jc w:val="center"/>
              <w:rPr>
                <w:color w:val="auto"/>
                <w:highlight w:val="none"/>
              </w:rPr>
            </w:pPr>
          </w:p>
        </w:tc>
        <w:tc>
          <w:tcPr>
            <w:tcW w:w="1472" w:type="dxa"/>
            <w:gridSpan w:val="3"/>
            <w:noWrap w:val="0"/>
            <w:vAlign w:val="center"/>
          </w:tcPr>
          <w:p w14:paraId="71431815">
            <w:pPr>
              <w:jc w:val="center"/>
              <w:rPr>
                <w:color w:val="auto"/>
                <w:highlight w:val="none"/>
              </w:rPr>
            </w:pPr>
          </w:p>
        </w:tc>
        <w:tc>
          <w:tcPr>
            <w:tcW w:w="1641" w:type="dxa"/>
            <w:gridSpan w:val="3"/>
            <w:noWrap w:val="0"/>
            <w:vAlign w:val="center"/>
          </w:tcPr>
          <w:p w14:paraId="736925D2">
            <w:pPr>
              <w:jc w:val="center"/>
              <w:rPr>
                <w:color w:val="auto"/>
                <w:highlight w:val="none"/>
              </w:rPr>
            </w:pPr>
          </w:p>
        </w:tc>
        <w:tc>
          <w:tcPr>
            <w:tcW w:w="1484" w:type="dxa"/>
            <w:gridSpan w:val="3"/>
            <w:noWrap w:val="0"/>
            <w:vAlign w:val="center"/>
          </w:tcPr>
          <w:p w14:paraId="5A26C6D9">
            <w:pPr>
              <w:jc w:val="center"/>
              <w:rPr>
                <w:color w:val="auto"/>
                <w:highlight w:val="none"/>
              </w:rPr>
            </w:pPr>
          </w:p>
        </w:tc>
      </w:tr>
      <w:tr w14:paraId="7B33C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A3D8A92">
            <w:pPr>
              <w:jc w:val="center"/>
              <w:rPr>
                <w:color w:val="auto"/>
                <w:highlight w:val="none"/>
              </w:rPr>
            </w:pPr>
            <w:r>
              <w:rPr>
                <w:rFonts w:hint="eastAsia" w:cs="宋体"/>
                <w:color w:val="auto"/>
                <w:highlight w:val="none"/>
              </w:rPr>
              <w:t>建设规模</w:t>
            </w:r>
          </w:p>
        </w:tc>
        <w:tc>
          <w:tcPr>
            <w:tcW w:w="1548" w:type="dxa"/>
            <w:gridSpan w:val="2"/>
            <w:noWrap w:val="0"/>
            <w:vAlign w:val="center"/>
          </w:tcPr>
          <w:p w14:paraId="7CC9C3E4">
            <w:pPr>
              <w:jc w:val="center"/>
              <w:rPr>
                <w:color w:val="auto"/>
                <w:highlight w:val="none"/>
              </w:rPr>
            </w:pPr>
          </w:p>
        </w:tc>
        <w:tc>
          <w:tcPr>
            <w:tcW w:w="1837" w:type="dxa"/>
            <w:gridSpan w:val="4"/>
            <w:noWrap w:val="0"/>
            <w:vAlign w:val="center"/>
          </w:tcPr>
          <w:p w14:paraId="2C08948B">
            <w:pPr>
              <w:jc w:val="center"/>
              <w:rPr>
                <w:color w:val="auto"/>
                <w:highlight w:val="none"/>
              </w:rPr>
            </w:pPr>
          </w:p>
        </w:tc>
        <w:tc>
          <w:tcPr>
            <w:tcW w:w="1472" w:type="dxa"/>
            <w:gridSpan w:val="3"/>
            <w:noWrap w:val="0"/>
            <w:vAlign w:val="center"/>
          </w:tcPr>
          <w:p w14:paraId="11745EE1">
            <w:pPr>
              <w:jc w:val="center"/>
              <w:rPr>
                <w:color w:val="auto"/>
                <w:highlight w:val="none"/>
              </w:rPr>
            </w:pPr>
          </w:p>
        </w:tc>
        <w:tc>
          <w:tcPr>
            <w:tcW w:w="1641" w:type="dxa"/>
            <w:gridSpan w:val="3"/>
            <w:noWrap w:val="0"/>
            <w:vAlign w:val="center"/>
          </w:tcPr>
          <w:p w14:paraId="79BB8030">
            <w:pPr>
              <w:jc w:val="center"/>
              <w:rPr>
                <w:color w:val="auto"/>
                <w:highlight w:val="none"/>
              </w:rPr>
            </w:pPr>
          </w:p>
        </w:tc>
        <w:tc>
          <w:tcPr>
            <w:tcW w:w="1484" w:type="dxa"/>
            <w:gridSpan w:val="3"/>
            <w:noWrap w:val="0"/>
            <w:vAlign w:val="center"/>
          </w:tcPr>
          <w:p w14:paraId="62A4DAFF">
            <w:pPr>
              <w:jc w:val="center"/>
              <w:rPr>
                <w:color w:val="auto"/>
                <w:highlight w:val="none"/>
              </w:rPr>
            </w:pPr>
          </w:p>
        </w:tc>
      </w:tr>
      <w:tr w14:paraId="1A385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97CEBAF">
            <w:pPr>
              <w:jc w:val="center"/>
              <w:rPr>
                <w:rFonts w:hint="eastAsia" w:ascii="宋体" w:hAnsi="宋体" w:cs="宋体"/>
                <w:color w:val="auto"/>
                <w:sz w:val="27"/>
                <w:szCs w:val="27"/>
                <w:highlight w:val="none"/>
                <w:lang w:bidi="ar"/>
              </w:rPr>
            </w:pPr>
            <w:r>
              <w:rPr>
                <w:rFonts w:hint="eastAsia" w:cs="宋体"/>
                <w:color w:val="auto"/>
                <w:highlight w:val="none"/>
              </w:rPr>
              <w:t>开工日期</w:t>
            </w:r>
          </w:p>
        </w:tc>
        <w:tc>
          <w:tcPr>
            <w:tcW w:w="1548" w:type="dxa"/>
            <w:gridSpan w:val="2"/>
            <w:noWrap w:val="0"/>
            <w:vAlign w:val="center"/>
          </w:tcPr>
          <w:p w14:paraId="659C8E3D">
            <w:pPr>
              <w:jc w:val="center"/>
              <w:rPr>
                <w:color w:val="auto"/>
                <w:highlight w:val="none"/>
              </w:rPr>
            </w:pPr>
          </w:p>
        </w:tc>
        <w:tc>
          <w:tcPr>
            <w:tcW w:w="1837" w:type="dxa"/>
            <w:gridSpan w:val="4"/>
            <w:noWrap w:val="0"/>
            <w:vAlign w:val="center"/>
          </w:tcPr>
          <w:p w14:paraId="3F9A5B37">
            <w:pPr>
              <w:jc w:val="center"/>
              <w:rPr>
                <w:color w:val="auto"/>
                <w:highlight w:val="none"/>
              </w:rPr>
            </w:pPr>
          </w:p>
        </w:tc>
        <w:tc>
          <w:tcPr>
            <w:tcW w:w="1472" w:type="dxa"/>
            <w:gridSpan w:val="3"/>
            <w:noWrap w:val="0"/>
            <w:vAlign w:val="center"/>
          </w:tcPr>
          <w:p w14:paraId="7E23D77C">
            <w:pPr>
              <w:jc w:val="center"/>
              <w:rPr>
                <w:color w:val="auto"/>
                <w:highlight w:val="none"/>
              </w:rPr>
            </w:pPr>
          </w:p>
        </w:tc>
        <w:tc>
          <w:tcPr>
            <w:tcW w:w="1641" w:type="dxa"/>
            <w:gridSpan w:val="3"/>
            <w:noWrap w:val="0"/>
            <w:vAlign w:val="center"/>
          </w:tcPr>
          <w:p w14:paraId="5753C87E">
            <w:pPr>
              <w:jc w:val="center"/>
              <w:rPr>
                <w:color w:val="auto"/>
                <w:highlight w:val="none"/>
              </w:rPr>
            </w:pPr>
          </w:p>
        </w:tc>
        <w:tc>
          <w:tcPr>
            <w:tcW w:w="1484" w:type="dxa"/>
            <w:gridSpan w:val="3"/>
            <w:noWrap w:val="0"/>
            <w:vAlign w:val="center"/>
          </w:tcPr>
          <w:p w14:paraId="5D7E4199">
            <w:pPr>
              <w:jc w:val="center"/>
              <w:rPr>
                <w:color w:val="auto"/>
                <w:highlight w:val="none"/>
              </w:rPr>
            </w:pPr>
          </w:p>
        </w:tc>
      </w:tr>
      <w:tr w14:paraId="32371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663F745E">
            <w:pPr>
              <w:jc w:val="center"/>
              <w:rPr>
                <w:color w:val="auto"/>
                <w:highlight w:val="none"/>
              </w:rPr>
            </w:pPr>
            <w:r>
              <w:rPr>
                <w:rFonts w:hint="eastAsia" w:cs="宋体"/>
                <w:color w:val="auto"/>
                <w:highlight w:val="none"/>
              </w:rPr>
              <w:t>竣工日期</w:t>
            </w:r>
          </w:p>
        </w:tc>
        <w:tc>
          <w:tcPr>
            <w:tcW w:w="1548" w:type="dxa"/>
            <w:gridSpan w:val="2"/>
            <w:noWrap w:val="0"/>
            <w:vAlign w:val="center"/>
          </w:tcPr>
          <w:p w14:paraId="016DFC67">
            <w:pPr>
              <w:jc w:val="center"/>
              <w:rPr>
                <w:color w:val="auto"/>
                <w:highlight w:val="none"/>
              </w:rPr>
            </w:pPr>
          </w:p>
        </w:tc>
        <w:tc>
          <w:tcPr>
            <w:tcW w:w="1837" w:type="dxa"/>
            <w:gridSpan w:val="4"/>
            <w:noWrap w:val="0"/>
            <w:vAlign w:val="center"/>
          </w:tcPr>
          <w:p w14:paraId="247409D3">
            <w:pPr>
              <w:jc w:val="center"/>
              <w:rPr>
                <w:color w:val="auto"/>
                <w:highlight w:val="none"/>
              </w:rPr>
            </w:pPr>
          </w:p>
        </w:tc>
        <w:tc>
          <w:tcPr>
            <w:tcW w:w="1472" w:type="dxa"/>
            <w:gridSpan w:val="3"/>
            <w:noWrap w:val="0"/>
            <w:vAlign w:val="center"/>
          </w:tcPr>
          <w:p w14:paraId="4CE3AEA2">
            <w:pPr>
              <w:jc w:val="center"/>
              <w:rPr>
                <w:color w:val="auto"/>
                <w:highlight w:val="none"/>
              </w:rPr>
            </w:pPr>
          </w:p>
        </w:tc>
        <w:tc>
          <w:tcPr>
            <w:tcW w:w="1641" w:type="dxa"/>
            <w:gridSpan w:val="3"/>
            <w:noWrap w:val="0"/>
            <w:vAlign w:val="center"/>
          </w:tcPr>
          <w:p w14:paraId="2904C7AF">
            <w:pPr>
              <w:jc w:val="center"/>
              <w:rPr>
                <w:color w:val="auto"/>
                <w:highlight w:val="none"/>
              </w:rPr>
            </w:pPr>
          </w:p>
        </w:tc>
        <w:tc>
          <w:tcPr>
            <w:tcW w:w="1484" w:type="dxa"/>
            <w:gridSpan w:val="3"/>
            <w:noWrap w:val="0"/>
            <w:vAlign w:val="center"/>
          </w:tcPr>
          <w:p w14:paraId="473681CF">
            <w:pPr>
              <w:jc w:val="center"/>
              <w:rPr>
                <w:color w:val="auto"/>
                <w:highlight w:val="none"/>
              </w:rPr>
            </w:pPr>
          </w:p>
        </w:tc>
      </w:tr>
      <w:tr w14:paraId="7ECDE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2164C623">
            <w:pPr>
              <w:jc w:val="center"/>
              <w:rPr>
                <w:rFonts w:hint="eastAsia" w:cs="宋体"/>
                <w:color w:val="auto"/>
                <w:highlight w:val="none"/>
              </w:rPr>
            </w:pPr>
            <w:r>
              <w:rPr>
                <w:rFonts w:hint="eastAsia" w:cs="宋体"/>
                <w:color w:val="auto"/>
                <w:highlight w:val="none"/>
              </w:rPr>
              <w:t>人员角色</w:t>
            </w:r>
          </w:p>
        </w:tc>
        <w:tc>
          <w:tcPr>
            <w:tcW w:w="1548" w:type="dxa"/>
            <w:gridSpan w:val="2"/>
            <w:noWrap w:val="0"/>
            <w:vAlign w:val="center"/>
          </w:tcPr>
          <w:p w14:paraId="73EA5616">
            <w:pPr>
              <w:jc w:val="center"/>
              <w:rPr>
                <w:color w:val="auto"/>
                <w:highlight w:val="none"/>
              </w:rPr>
            </w:pPr>
          </w:p>
        </w:tc>
        <w:tc>
          <w:tcPr>
            <w:tcW w:w="1837" w:type="dxa"/>
            <w:gridSpan w:val="4"/>
            <w:noWrap w:val="0"/>
            <w:vAlign w:val="center"/>
          </w:tcPr>
          <w:p w14:paraId="259BA455">
            <w:pPr>
              <w:jc w:val="center"/>
              <w:rPr>
                <w:color w:val="auto"/>
                <w:highlight w:val="none"/>
              </w:rPr>
            </w:pPr>
          </w:p>
        </w:tc>
        <w:tc>
          <w:tcPr>
            <w:tcW w:w="1472" w:type="dxa"/>
            <w:gridSpan w:val="3"/>
            <w:noWrap w:val="0"/>
            <w:vAlign w:val="center"/>
          </w:tcPr>
          <w:p w14:paraId="2736C30E">
            <w:pPr>
              <w:jc w:val="center"/>
              <w:rPr>
                <w:color w:val="auto"/>
                <w:highlight w:val="none"/>
              </w:rPr>
            </w:pPr>
          </w:p>
        </w:tc>
        <w:tc>
          <w:tcPr>
            <w:tcW w:w="1641" w:type="dxa"/>
            <w:gridSpan w:val="3"/>
            <w:noWrap w:val="0"/>
            <w:vAlign w:val="center"/>
          </w:tcPr>
          <w:p w14:paraId="5F099BAD">
            <w:pPr>
              <w:jc w:val="center"/>
              <w:rPr>
                <w:color w:val="auto"/>
                <w:highlight w:val="none"/>
              </w:rPr>
            </w:pPr>
          </w:p>
        </w:tc>
        <w:tc>
          <w:tcPr>
            <w:tcW w:w="1484" w:type="dxa"/>
            <w:gridSpan w:val="3"/>
            <w:noWrap w:val="0"/>
            <w:vAlign w:val="center"/>
          </w:tcPr>
          <w:p w14:paraId="102F9426">
            <w:pPr>
              <w:jc w:val="center"/>
              <w:rPr>
                <w:color w:val="auto"/>
                <w:highlight w:val="none"/>
              </w:rPr>
            </w:pPr>
          </w:p>
        </w:tc>
      </w:tr>
      <w:tr w14:paraId="22EB9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57899CE4">
            <w:pPr>
              <w:jc w:val="center"/>
              <w:rPr>
                <w:rFonts w:hint="eastAsia" w:cs="宋体"/>
                <w:color w:val="auto"/>
                <w:highlight w:val="none"/>
              </w:rPr>
            </w:pPr>
            <w:r>
              <w:rPr>
                <w:rFonts w:hint="eastAsia" w:cs="宋体"/>
                <w:color w:val="auto"/>
                <w:highlight w:val="none"/>
              </w:rPr>
              <w:t>在建或已完</w:t>
            </w:r>
          </w:p>
        </w:tc>
        <w:tc>
          <w:tcPr>
            <w:tcW w:w="1548" w:type="dxa"/>
            <w:gridSpan w:val="2"/>
            <w:noWrap w:val="0"/>
            <w:vAlign w:val="center"/>
          </w:tcPr>
          <w:p w14:paraId="686264A1">
            <w:pPr>
              <w:jc w:val="center"/>
              <w:rPr>
                <w:color w:val="auto"/>
                <w:highlight w:val="none"/>
              </w:rPr>
            </w:pPr>
          </w:p>
        </w:tc>
        <w:tc>
          <w:tcPr>
            <w:tcW w:w="1837" w:type="dxa"/>
            <w:gridSpan w:val="4"/>
            <w:noWrap w:val="0"/>
            <w:vAlign w:val="center"/>
          </w:tcPr>
          <w:p w14:paraId="6F4C88A6">
            <w:pPr>
              <w:jc w:val="center"/>
              <w:rPr>
                <w:color w:val="auto"/>
                <w:highlight w:val="none"/>
              </w:rPr>
            </w:pPr>
          </w:p>
        </w:tc>
        <w:tc>
          <w:tcPr>
            <w:tcW w:w="1472" w:type="dxa"/>
            <w:gridSpan w:val="3"/>
            <w:noWrap w:val="0"/>
            <w:vAlign w:val="center"/>
          </w:tcPr>
          <w:p w14:paraId="389772AE">
            <w:pPr>
              <w:jc w:val="center"/>
              <w:rPr>
                <w:color w:val="auto"/>
                <w:highlight w:val="none"/>
              </w:rPr>
            </w:pPr>
          </w:p>
        </w:tc>
        <w:tc>
          <w:tcPr>
            <w:tcW w:w="1641" w:type="dxa"/>
            <w:gridSpan w:val="3"/>
            <w:noWrap w:val="0"/>
            <w:vAlign w:val="center"/>
          </w:tcPr>
          <w:p w14:paraId="452D56B6">
            <w:pPr>
              <w:jc w:val="center"/>
              <w:rPr>
                <w:color w:val="auto"/>
                <w:highlight w:val="none"/>
              </w:rPr>
            </w:pPr>
          </w:p>
        </w:tc>
        <w:tc>
          <w:tcPr>
            <w:tcW w:w="1484" w:type="dxa"/>
            <w:gridSpan w:val="3"/>
            <w:noWrap w:val="0"/>
            <w:vAlign w:val="center"/>
          </w:tcPr>
          <w:p w14:paraId="4F5F300A">
            <w:pPr>
              <w:jc w:val="center"/>
              <w:rPr>
                <w:color w:val="auto"/>
                <w:highlight w:val="none"/>
              </w:rPr>
            </w:pPr>
          </w:p>
        </w:tc>
      </w:tr>
      <w:tr w14:paraId="0D34C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65AFCDA5">
            <w:pPr>
              <w:jc w:val="center"/>
              <w:rPr>
                <w:rFonts w:hint="eastAsia" w:cs="宋体"/>
                <w:color w:val="auto"/>
                <w:highlight w:val="none"/>
              </w:rPr>
            </w:pPr>
            <w:r>
              <w:rPr>
                <w:rFonts w:hint="eastAsia" w:cs="宋体"/>
                <w:color w:val="auto"/>
                <w:highlight w:val="none"/>
              </w:rPr>
              <w:t>工程质量</w:t>
            </w:r>
          </w:p>
        </w:tc>
        <w:tc>
          <w:tcPr>
            <w:tcW w:w="1548" w:type="dxa"/>
            <w:gridSpan w:val="2"/>
            <w:noWrap w:val="0"/>
            <w:vAlign w:val="center"/>
          </w:tcPr>
          <w:p w14:paraId="594C261E">
            <w:pPr>
              <w:jc w:val="center"/>
              <w:rPr>
                <w:color w:val="auto"/>
                <w:highlight w:val="none"/>
              </w:rPr>
            </w:pPr>
          </w:p>
        </w:tc>
        <w:tc>
          <w:tcPr>
            <w:tcW w:w="1837" w:type="dxa"/>
            <w:gridSpan w:val="4"/>
            <w:noWrap w:val="0"/>
            <w:vAlign w:val="center"/>
          </w:tcPr>
          <w:p w14:paraId="6CFC8886">
            <w:pPr>
              <w:jc w:val="center"/>
              <w:rPr>
                <w:color w:val="auto"/>
                <w:highlight w:val="none"/>
              </w:rPr>
            </w:pPr>
          </w:p>
        </w:tc>
        <w:tc>
          <w:tcPr>
            <w:tcW w:w="1472" w:type="dxa"/>
            <w:gridSpan w:val="3"/>
            <w:noWrap w:val="0"/>
            <w:vAlign w:val="center"/>
          </w:tcPr>
          <w:p w14:paraId="4CB5672C">
            <w:pPr>
              <w:jc w:val="center"/>
              <w:rPr>
                <w:color w:val="auto"/>
                <w:highlight w:val="none"/>
              </w:rPr>
            </w:pPr>
          </w:p>
        </w:tc>
        <w:tc>
          <w:tcPr>
            <w:tcW w:w="1641" w:type="dxa"/>
            <w:gridSpan w:val="3"/>
            <w:noWrap w:val="0"/>
            <w:vAlign w:val="center"/>
          </w:tcPr>
          <w:p w14:paraId="7F326A28">
            <w:pPr>
              <w:jc w:val="center"/>
              <w:rPr>
                <w:color w:val="auto"/>
                <w:highlight w:val="none"/>
              </w:rPr>
            </w:pPr>
          </w:p>
        </w:tc>
        <w:tc>
          <w:tcPr>
            <w:tcW w:w="1484" w:type="dxa"/>
            <w:gridSpan w:val="3"/>
            <w:noWrap w:val="0"/>
            <w:vAlign w:val="center"/>
          </w:tcPr>
          <w:p w14:paraId="54DB8CF6">
            <w:pPr>
              <w:jc w:val="center"/>
              <w:rPr>
                <w:color w:val="auto"/>
                <w:highlight w:val="none"/>
              </w:rPr>
            </w:pPr>
          </w:p>
        </w:tc>
      </w:tr>
      <w:tr w14:paraId="39D65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125D042A">
            <w:pPr>
              <w:jc w:val="center"/>
              <w:rPr>
                <w:rFonts w:hint="eastAsia" w:cs="宋体"/>
                <w:color w:val="auto"/>
                <w:highlight w:val="none"/>
              </w:rPr>
            </w:pPr>
            <w:r>
              <w:rPr>
                <w:rFonts w:hint="eastAsia" w:cs="宋体"/>
                <w:color w:val="auto"/>
                <w:highlight w:val="none"/>
              </w:rPr>
              <w:t>受奖情况</w:t>
            </w:r>
          </w:p>
        </w:tc>
        <w:tc>
          <w:tcPr>
            <w:tcW w:w="1548" w:type="dxa"/>
            <w:gridSpan w:val="2"/>
            <w:noWrap w:val="0"/>
            <w:vAlign w:val="center"/>
          </w:tcPr>
          <w:p w14:paraId="3D3B7BAB">
            <w:pPr>
              <w:jc w:val="center"/>
              <w:rPr>
                <w:color w:val="auto"/>
                <w:highlight w:val="none"/>
              </w:rPr>
            </w:pPr>
          </w:p>
        </w:tc>
        <w:tc>
          <w:tcPr>
            <w:tcW w:w="1837" w:type="dxa"/>
            <w:gridSpan w:val="4"/>
            <w:noWrap w:val="0"/>
            <w:vAlign w:val="center"/>
          </w:tcPr>
          <w:p w14:paraId="57684DF4">
            <w:pPr>
              <w:jc w:val="center"/>
              <w:rPr>
                <w:color w:val="auto"/>
                <w:highlight w:val="none"/>
              </w:rPr>
            </w:pPr>
          </w:p>
        </w:tc>
        <w:tc>
          <w:tcPr>
            <w:tcW w:w="1472" w:type="dxa"/>
            <w:gridSpan w:val="3"/>
            <w:noWrap w:val="0"/>
            <w:vAlign w:val="center"/>
          </w:tcPr>
          <w:p w14:paraId="42690E6B">
            <w:pPr>
              <w:jc w:val="center"/>
              <w:rPr>
                <w:color w:val="auto"/>
                <w:highlight w:val="none"/>
              </w:rPr>
            </w:pPr>
          </w:p>
        </w:tc>
        <w:tc>
          <w:tcPr>
            <w:tcW w:w="1641" w:type="dxa"/>
            <w:gridSpan w:val="3"/>
            <w:noWrap w:val="0"/>
            <w:vAlign w:val="center"/>
          </w:tcPr>
          <w:p w14:paraId="701B2DD9">
            <w:pPr>
              <w:jc w:val="center"/>
              <w:rPr>
                <w:color w:val="auto"/>
                <w:highlight w:val="none"/>
              </w:rPr>
            </w:pPr>
          </w:p>
        </w:tc>
        <w:tc>
          <w:tcPr>
            <w:tcW w:w="1484" w:type="dxa"/>
            <w:gridSpan w:val="3"/>
            <w:noWrap w:val="0"/>
            <w:vAlign w:val="center"/>
          </w:tcPr>
          <w:p w14:paraId="52ADED87">
            <w:pPr>
              <w:jc w:val="center"/>
              <w:rPr>
                <w:color w:val="auto"/>
                <w:highlight w:val="none"/>
              </w:rPr>
            </w:pPr>
          </w:p>
        </w:tc>
      </w:tr>
    </w:tbl>
    <w:p w14:paraId="0D38D0A4">
      <w:pPr>
        <w:spacing w:line="360" w:lineRule="auto"/>
        <w:rPr>
          <w:rFonts w:ascii="宋体" w:hAnsi="宋体"/>
          <w:color w:val="auto"/>
          <w:szCs w:val="21"/>
          <w:highlight w:val="none"/>
        </w:rPr>
      </w:pPr>
      <w:r>
        <w:rPr>
          <w:rFonts w:hint="eastAsia" w:ascii="宋体" w:hAnsi="宋体" w:cs="楷体_GB2312"/>
          <w:color w:val="auto"/>
          <w:szCs w:val="21"/>
          <w:highlight w:val="none"/>
        </w:rPr>
        <w:t>备注：</w:t>
      </w:r>
    </w:p>
    <w:p w14:paraId="155D8AA3">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.项目</w:t>
      </w:r>
      <w:r>
        <w:rPr>
          <w:rFonts w:ascii="宋体" w:hAnsi="宋体"/>
          <w:color w:val="auto"/>
          <w:szCs w:val="21"/>
          <w:highlight w:val="none"/>
        </w:rPr>
        <w:t>数</w:t>
      </w:r>
      <w:r>
        <w:rPr>
          <w:rFonts w:hint="eastAsia" w:ascii="宋体" w:hAnsi="宋体"/>
          <w:color w:val="auto"/>
          <w:szCs w:val="21"/>
          <w:highlight w:val="none"/>
        </w:rPr>
        <w:t>可</w:t>
      </w:r>
      <w:r>
        <w:rPr>
          <w:rFonts w:ascii="宋体" w:hAnsi="宋体"/>
          <w:color w:val="auto"/>
          <w:szCs w:val="21"/>
          <w:highlight w:val="none"/>
        </w:rPr>
        <w:t>以根据需要增加。</w:t>
      </w:r>
    </w:p>
    <w:p w14:paraId="28F4B8A2">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ascii="楷体" w:hAnsi="楷体" w:eastAsia="楷体"/>
          <w:color w:val="auto"/>
          <w:sz w:val="24"/>
          <w:highlight w:val="none"/>
        </w:rPr>
      </w:pPr>
      <w:r>
        <w:rPr>
          <w:rFonts w:hint="eastAsia" w:ascii="宋体" w:hAnsi="宋体" w:cs="Times New Roman"/>
          <w:color w:val="auto"/>
          <w:szCs w:val="21"/>
          <w:highlight w:val="none"/>
        </w:rPr>
        <w:t>2.本表后附项目经理的安全生产考核合格证（B类）、本表所列证书</w:t>
      </w:r>
      <w:r>
        <w:rPr>
          <w:rFonts w:hint="eastAsia" w:ascii="宋体" w:hAnsi="宋体" w:cs="Times New Roman"/>
          <w:color w:val="auto"/>
          <w:szCs w:val="21"/>
          <w:highlight w:val="none"/>
          <w:lang w:val="en-US" w:eastAsia="zh-CN"/>
        </w:rPr>
        <w:t>扫描件</w:t>
      </w:r>
      <w:r>
        <w:rPr>
          <w:rFonts w:hint="eastAsia" w:ascii="宋体" w:hAnsi="宋体" w:cs="Times New Roman"/>
          <w:color w:val="auto"/>
          <w:szCs w:val="21"/>
          <w:highlight w:val="none"/>
        </w:rPr>
        <w:t>并加盖供应商</w:t>
      </w:r>
      <w:r>
        <w:rPr>
          <w:rFonts w:hint="eastAsia" w:ascii="宋体" w:hAnsi="宋体" w:cs="Times New Roman"/>
          <w:color w:val="auto"/>
          <w:szCs w:val="21"/>
          <w:highlight w:val="none"/>
          <w:lang w:val="en-US" w:eastAsia="zh-CN"/>
        </w:rPr>
        <w:t>电子签章</w:t>
      </w:r>
      <w:r>
        <w:rPr>
          <w:rFonts w:hint="eastAsia" w:ascii="宋体" w:hAnsi="宋体" w:cs="Times New Roman"/>
          <w:color w:val="auto"/>
          <w:szCs w:val="21"/>
          <w:highlight w:val="none"/>
        </w:rPr>
        <w:t>。</w:t>
      </w:r>
    </w:p>
    <w:p w14:paraId="7DDE8D2A">
      <w:pPr>
        <w:spacing w:before="120" w:beforeLines="50"/>
        <w:jc w:val="center"/>
        <w:rPr>
          <w:color w:val="auto"/>
          <w:highlight w:val="none"/>
          <w:u w:val="single"/>
        </w:rPr>
      </w:pPr>
      <w:r>
        <w:rPr>
          <w:rFonts w:cs="宋体"/>
          <w:b/>
          <w:color w:val="auto"/>
          <w:sz w:val="32"/>
          <w:szCs w:val="32"/>
          <w:highlight w:val="none"/>
        </w:rPr>
        <w:br w:type="page"/>
      </w:r>
      <w:r>
        <w:rPr>
          <w:rFonts w:hint="eastAsia" w:cs="宋体"/>
          <w:b/>
          <w:color w:val="auto"/>
          <w:sz w:val="32"/>
          <w:szCs w:val="32"/>
          <w:highlight w:val="none"/>
        </w:rPr>
        <w:t>项目技术负责人（项目总工）简历表</w:t>
      </w:r>
    </w:p>
    <w:tbl>
      <w:tblPr>
        <w:tblStyle w:val="44"/>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164"/>
        <w:gridCol w:w="300"/>
        <w:gridCol w:w="888"/>
        <w:gridCol w:w="660"/>
        <w:gridCol w:w="328"/>
        <w:gridCol w:w="234"/>
        <w:gridCol w:w="1417"/>
        <w:gridCol w:w="242"/>
        <w:gridCol w:w="1088"/>
        <w:gridCol w:w="88"/>
        <w:gridCol w:w="409"/>
        <w:gridCol w:w="1108"/>
        <w:gridCol w:w="36"/>
        <w:gridCol w:w="79"/>
        <w:gridCol w:w="1405"/>
        <w:gridCol w:w="11"/>
      </w:tblGrid>
      <w:tr w14:paraId="095F1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tcBorders>
              <w:top w:val="single" w:color="auto" w:sz="4" w:space="0"/>
              <w:left w:val="single" w:color="auto" w:sz="4" w:space="0"/>
              <w:bottom w:val="single" w:color="auto" w:sz="4" w:space="0"/>
              <w:right w:val="single" w:color="auto" w:sz="4" w:space="0"/>
            </w:tcBorders>
            <w:vAlign w:val="center"/>
          </w:tcPr>
          <w:p w14:paraId="324CBBC1">
            <w:pPr>
              <w:spacing w:line="400" w:lineRule="exact"/>
              <w:jc w:val="center"/>
              <w:rPr>
                <w:rFonts w:ascii="宋体" w:hAnsi="宋体"/>
                <w:color w:val="auto"/>
                <w:highlight w:val="none"/>
              </w:rPr>
            </w:pPr>
            <w:r>
              <w:rPr>
                <w:rFonts w:hint="eastAsia" w:ascii="宋体" w:hAnsi="宋体" w:cs="宋体"/>
                <w:color w:val="auto"/>
                <w:highlight w:val="none"/>
              </w:rPr>
              <w:t>姓名</w:t>
            </w:r>
          </w:p>
        </w:tc>
        <w:tc>
          <w:tcPr>
            <w:tcW w:w="2340" w:type="dxa"/>
            <w:gridSpan w:val="5"/>
            <w:tcBorders>
              <w:top w:val="single" w:color="auto" w:sz="4" w:space="0"/>
              <w:left w:val="single" w:color="auto" w:sz="4" w:space="0"/>
              <w:bottom w:val="single" w:color="auto" w:sz="4" w:space="0"/>
              <w:right w:val="single" w:color="auto" w:sz="4" w:space="0"/>
            </w:tcBorders>
            <w:vAlign w:val="center"/>
          </w:tcPr>
          <w:p w14:paraId="6874A739">
            <w:pPr>
              <w:spacing w:line="400" w:lineRule="exact"/>
              <w:jc w:val="center"/>
              <w:rPr>
                <w:rFonts w:ascii="宋体" w:hAnsi="宋体"/>
                <w:color w:val="auto"/>
                <w:highlight w:val="none"/>
              </w:rPr>
            </w:pPr>
          </w:p>
        </w:tc>
        <w:tc>
          <w:tcPr>
            <w:tcW w:w="1893" w:type="dxa"/>
            <w:gridSpan w:val="3"/>
            <w:tcBorders>
              <w:top w:val="single" w:color="auto" w:sz="4" w:space="0"/>
              <w:left w:val="single" w:color="auto" w:sz="4" w:space="0"/>
              <w:bottom w:val="single" w:color="auto" w:sz="4" w:space="0"/>
              <w:right w:val="single" w:color="auto" w:sz="4" w:space="0"/>
            </w:tcBorders>
            <w:vAlign w:val="center"/>
          </w:tcPr>
          <w:p w14:paraId="3A8062E6">
            <w:pPr>
              <w:spacing w:line="400" w:lineRule="exact"/>
              <w:jc w:val="center"/>
              <w:rPr>
                <w:rFonts w:ascii="宋体" w:hAnsi="宋体"/>
                <w:color w:val="auto"/>
                <w:highlight w:val="none"/>
              </w:rPr>
            </w:pPr>
            <w:r>
              <w:rPr>
                <w:rFonts w:hint="eastAsia" w:ascii="宋体" w:hAnsi="宋体" w:cs="宋体"/>
                <w:color w:val="auto"/>
                <w:highlight w:val="none"/>
              </w:rPr>
              <w:t>性别</w:t>
            </w:r>
          </w:p>
        </w:tc>
        <w:tc>
          <w:tcPr>
            <w:tcW w:w="1585" w:type="dxa"/>
            <w:gridSpan w:val="3"/>
            <w:tcBorders>
              <w:top w:val="single" w:color="auto" w:sz="4" w:space="0"/>
              <w:left w:val="single" w:color="auto" w:sz="4" w:space="0"/>
              <w:bottom w:val="single" w:color="auto" w:sz="4" w:space="0"/>
              <w:right w:val="single" w:color="auto" w:sz="4" w:space="0"/>
            </w:tcBorders>
            <w:vAlign w:val="center"/>
          </w:tcPr>
          <w:p w14:paraId="3AB80856">
            <w:pPr>
              <w:spacing w:line="400" w:lineRule="exact"/>
              <w:jc w:val="center"/>
              <w:rPr>
                <w:rFonts w:ascii="宋体" w:hAnsi="宋体"/>
                <w:color w:val="auto"/>
                <w:highlight w:val="none"/>
              </w:rPr>
            </w:pPr>
          </w:p>
        </w:tc>
        <w:tc>
          <w:tcPr>
            <w:tcW w:w="1108" w:type="dxa"/>
            <w:tcBorders>
              <w:top w:val="single" w:color="auto" w:sz="4" w:space="0"/>
              <w:left w:val="single" w:color="auto" w:sz="4" w:space="0"/>
              <w:bottom w:val="single" w:color="auto" w:sz="4" w:space="0"/>
              <w:right w:val="single" w:color="auto" w:sz="4" w:space="0"/>
            </w:tcBorders>
            <w:vAlign w:val="center"/>
          </w:tcPr>
          <w:p w14:paraId="306F6601">
            <w:pPr>
              <w:spacing w:line="400" w:lineRule="exact"/>
              <w:jc w:val="center"/>
              <w:rPr>
                <w:rFonts w:ascii="宋体" w:hAnsi="宋体"/>
                <w:color w:val="auto"/>
                <w:highlight w:val="none"/>
              </w:rPr>
            </w:pPr>
            <w:r>
              <w:rPr>
                <w:rFonts w:hint="eastAsia" w:ascii="宋体" w:hAnsi="宋体" w:cs="宋体"/>
                <w:color w:val="auto"/>
                <w:highlight w:val="none"/>
              </w:rPr>
              <w:t>年龄</w:t>
            </w:r>
          </w:p>
        </w:tc>
        <w:tc>
          <w:tcPr>
            <w:tcW w:w="1531" w:type="dxa"/>
            <w:gridSpan w:val="4"/>
            <w:tcBorders>
              <w:top w:val="single" w:color="auto" w:sz="4" w:space="0"/>
              <w:left w:val="single" w:color="auto" w:sz="4" w:space="0"/>
              <w:bottom w:val="single" w:color="auto" w:sz="4" w:space="0"/>
              <w:right w:val="single" w:color="auto" w:sz="4" w:space="0"/>
            </w:tcBorders>
            <w:vAlign w:val="center"/>
          </w:tcPr>
          <w:p w14:paraId="0A0692D9">
            <w:pPr>
              <w:spacing w:line="400" w:lineRule="exact"/>
              <w:jc w:val="center"/>
              <w:rPr>
                <w:rFonts w:ascii="宋体" w:hAnsi="宋体"/>
                <w:color w:val="auto"/>
                <w:highlight w:val="none"/>
              </w:rPr>
            </w:pPr>
          </w:p>
        </w:tc>
      </w:tr>
      <w:tr w14:paraId="0797A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tcBorders>
              <w:top w:val="single" w:color="auto" w:sz="4" w:space="0"/>
              <w:left w:val="single" w:color="auto" w:sz="4" w:space="0"/>
              <w:bottom w:val="single" w:color="auto" w:sz="4" w:space="0"/>
              <w:right w:val="single" w:color="auto" w:sz="4" w:space="0"/>
            </w:tcBorders>
            <w:vAlign w:val="center"/>
          </w:tcPr>
          <w:p w14:paraId="1706BBD9">
            <w:pPr>
              <w:spacing w:line="400" w:lineRule="exact"/>
              <w:jc w:val="center"/>
              <w:rPr>
                <w:rFonts w:ascii="宋体" w:hAnsi="宋体"/>
                <w:color w:val="auto"/>
                <w:highlight w:val="none"/>
              </w:rPr>
            </w:pPr>
            <w:r>
              <w:rPr>
                <w:rFonts w:hint="eastAsia" w:ascii="宋体" w:hAnsi="宋体" w:cs="宋体"/>
                <w:color w:val="auto"/>
                <w:highlight w:val="none"/>
              </w:rPr>
              <w:t>岗位</w:t>
            </w:r>
          </w:p>
        </w:tc>
        <w:tc>
          <w:tcPr>
            <w:tcW w:w="2340" w:type="dxa"/>
            <w:gridSpan w:val="5"/>
            <w:tcBorders>
              <w:top w:val="single" w:color="auto" w:sz="4" w:space="0"/>
              <w:left w:val="single" w:color="auto" w:sz="4" w:space="0"/>
              <w:bottom w:val="single" w:color="auto" w:sz="4" w:space="0"/>
              <w:right w:val="single" w:color="auto" w:sz="4" w:space="0"/>
            </w:tcBorders>
            <w:vAlign w:val="center"/>
          </w:tcPr>
          <w:p w14:paraId="46D2BEE1">
            <w:pPr>
              <w:spacing w:line="400" w:lineRule="exact"/>
              <w:jc w:val="center"/>
              <w:rPr>
                <w:rFonts w:ascii="宋体" w:hAnsi="宋体"/>
                <w:color w:val="auto"/>
                <w:highlight w:val="none"/>
              </w:rPr>
            </w:pPr>
            <w:r>
              <w:rPr>
                <w:rFonts w:hint="eastAsia" w:ascii="宋体" w:hAnsi="宋体"/>
                <w:color w:val="auto"/>
                <w:highlight w:val="none"/>
              </w:rPr>
              <w:t>项目技术负责人（项目总工）</w:t>
            </w:r>
          </w:p>
        </w:tc>
        <w:tc>
          <w:tcPr>
            <w:tcW w:w="1893" w:type="dxa"/>
            <w:gridSpan w:val="3"/>
            <w:tcBorders>
              <w:top w:val="single" w:color="auto" w:sz="4" w:space="0"/>
              <w:left w:val="single" w:color="auto" w:sz="4" w:space="0"/>
              <w:bottom w:val="single" w:color="auto" w:sz="4" w:space="0"/>
              <w:right w:val="single" w:color="auto" w:sz="4" w:space="0"/>
            </w:tcBorders>
            <w:vAlign w:val="center"/>
          </w:tcPr>
          <w:p w14:paraId="797395C4">
            <w:pPr>
              <w:spacing w:line="400" w:lineRule="exact"/>
              <w:jc w:val="center"/>
              <w:rPr>
                <w:rFonts w:ascii="宋体" w:hAnsi="宋体"/>
                <w:color w:val="auto"/>
                <w:highlight w:val="none"/>
              </w:rPr>
            </w:pPr>
            <w:r>
              <w:rPr>
                <w:rFonts w:hint="eastAsia" w:ascii="宋体" w:hAnsi="宋体" w:cs="宋体"/>
                <w:color w:val="auto"/>
                <w:highlight w:val="none"/>
              </w:rPr>
              <w:t>职称</w:t>
            </w:r>
          </w:p>
        </w:tc>
        <w:tc>
          <w:tcPr>
            <w:tcW w:w="1585" w:type="dxa"/>
            <w:gridSpan w:val="3"/>
            <w:tcBorders>
              <w:top w:val="single" w:color="auto" w:sz="4" w:space="0"/>
              <w:left w:val="single" w:color="auto" w:sz="4" w:space="0"/>
              <w:bottom w:val="single" w:color="auto" w:sz="4" w:space="0"/>
              <w:right w:val="single" w:color="auto" w:sz="4" w:space="0"/>
            </w:tcBorders>
            <w:vAlign w:val="center"/>
          </w:tcPr>
          <w:p w14:paraId="0E9BBA97">
            <w:pPr>
              <w:spacing w:line="400" w:lineRule="exact"/>
              <w:jc w:val="center"/>
              <w:rPr>
                <w:rFonts w:ascii="宋体" w:hAnsi="宋体"/>
                <w:color w:val="auto"/>
                <w:highlight w:val="none"/>
              </w:rPr>
            </w:pPr>
          </w:p>
        </w:tc>
        <w:tc>
          <w:tcPr>
            <w:tcW w:w="1108" w:type="dxa"/>
            <w:tcBorders>
              <w:top w:val="single" w:color="auto" w:sz="4" w:space="0"/>
              <w:left w:val="single" w:color="auto" w:sz="4" w:space="0"/>
              <w:bottom w:val="single" w:color="auto" w:sz="4" w:space="0"/>
              <w:right w:val="single" w:color="auto" w:sz="4" w:space="0"/>
            </w:tcBorders>
            <w:vAlign w:val="center"/>
          </w:tcPr>
          <w:p w14:paraId="2193D479">
            <w:pPr>
              <w:spacing w:line="400" w:lineRule="exact"/>
              <w:jc w:val="center"/>
              <w:rPr>
                <w:rFonts w:ascii="宋体" w:hAnsi="宋体"/>
                <w:color w:val="auto"/>
                <w:highlight w:val="none"/>
              </w:rPr>
            </w:pPr>
            <w:r>
              <w:rPr>
                <w:rFonts w:hint="eastAsia" w:ascii="宋体" w:hAnsi="宋体" w:cs="宋体"/>
                <w:color w:val="auto"/>
                <w:highlight w:val="none"/>
              </w:rPr>
              <w:t>学历</w:t>
            </w:r>
          </w:p>
        </w:tc>
        <w:tc>
          <w:tcPr>
            <w:tcW w:w="1531" w:type="dxa"/>
            <w:gridSpan w:val="4"/>
            <w:tcBorders>
              <w:top w:val="single" w:color="auto" w:sz="4" w:space="0"/>
              <w:left w:val="single" w:color="auto" w:sz="4" w:space="0"/>
              <w:bottom w:val="single" w:color="auto" w:sz="4" w:space="0"/>
              <w:right w:val="single" w:color="auto" w:sz="4" w:space="0"/>
            </w:tcBorders>
            <w:vAlign w:val="center"/>
          </w:tcPr>
          <w:p w14:paraId="65BD9FDD">
            <w:pPr>
              <w:spacing w:line="400" w:lineRule="exact"/>
              <w:jc w:val="center"/>
              <w:rPr>
                <w:rFonts w:ascii="宋体" w:hAnsi="宋体"/>
                <w:color w:val="auto"/>
                <w:highlight w:val="none"/>
              </w:rPr>
            </w:pPr>
          </w:p>
        </w:tc>
      </w:tr>
      <w:tr w14:paraId="3AE36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tcBorders>
              <w:top w:val="single" w:color="auto" w:sz="4" w:space="0"/>
              <w:left w:val="single" w:color="auto" w:sz="4" w:space="0"/>
              <w:bottom w:val="single" w:color="auto" w:sz="4" w:space="0"/>
              <w:right w:val="single" w:color="auto" w:sz="4" w:space="0"/>
            </w:tcBorders>
            <w:vAlign w:val="center"/>
          </w:tcPr>
          <w:p w14:paraId="2B3F917F">
            <w:pPr>
              <w:spacing w:line="400" w:lineRule="exact"/>
              <w:jc w:val="center"/>
              <w:rPr>
                <w:rFonts w:ascii="宋体" w:hAnsi="宋体" w:cs="宋体"/>
                <w:color w:val="auto"/>
                <w:highlight w:val="none"/>
              </w:rPr>
            </w:pPr>
            <w:r>
              <w:rPr>
                <w:rFonts w:hint="eastAsia" w:ascii="宋体" w:hAnsi="宋体" w:cs="宋体"/>
                <w:color w:val="auto"/>
                <w:highlight w:val="none"/>
              </w:rPr>
              <w:t>从业开始时间</w:t>
            </w:r>
          </w:p>
        </w:tc>
        <w:tc>
          <w:tcPr>
            <w:tcW w:w="2340" w:type="dxa"/>
            <w:gridSpan w:val="5"/>
            <w:tcBorders>
              <w:top w:val="single" w:color="auto" w:sz="4" w:space="0"/>
              <w:left w:val="single" w:color="auto" w:sz="4" w:space="0"/>
              <w:bottom w:val="single" w:color="auto" w:sz="4" w:space="0"/>
              <w:right w:val="single" w:color="auto" w:sz="4" w:space="0"/>
            </w:tcBorders>
            <w:vAlign w:val="center"/>
          </w:tcPr>
          <w:p w14:paraId="255CD145">
            <w:pPr>
              <w:spacing w:line="400" w:lineRule="exact"/>
              <w:jc w:val="center"/>
              <w:rPr>
                <w:rFonts w:ascii="宋体" w:hAnsi="宋体"/>
                <w:color w:val="auto"/>
                <w:highlight w:val="none"/>
              </w:rPr>
            </w:pPr>
          </w:p>
        </w:tc>
        <w:tc>
          <w:tcPr>
            <w:tcW w:w="1893" w:type="dxa"/>
            <w:gridSpan w:val="3"/>
            <w:tcBorders>
              <w:top w:val="single" w:color="auto" w:sz="4" w:space="0"/>
              <w:left w:val="single" w:color="auto" w:sz="4" w:space="0"/>
              <w:bottom w:val="single" w:color="auto" w:sz="4" w:space="0"/>
              <w:right w:val="single" w:color="auto" w:sz="4" w:space="0"/>
            </w:tcBorders>
            <w:vAlign w:val="center"/>
          </w:tcPr>
          <w:p w14:paraId="46673966">
            <w:pPr>
              <w:spacing w:line="400" w:lineRule="exact"/>
              <w:jc w:val="center"/>
              <w:rPr>
                <w:rFonts w:ascii="宋体" w:hAnsi="宋体" w:cs="宋体"/>
                <w:color w:val="auto"/>
                <w:highlight w:val="none"/>
              </w:rPr>
            </w:pPr>
            <w:r>
              <w:rPr>
                <w:rFonts w:hint="eastAsia" w:ascii="宋体" w:hAnsi="宋体" w:cs="宋体"/>
                <w:color w:val="auto"/>
                <w:highlight w:val="none"/>
              </w:rPr>
              <w:t>职称获得时间</w:t>
            </w:r>
          </w:p>
        </w:tc>
        <w:tc>
          <w:tcPr>
            <w:tcW w:w="1585" w:type="dxa"/>
            <w:gridSpan w:val="3"/>
            <w:tcBorders>
              <w:top w:val="single" w:color="auto" w:sz="4" w:space="0"/>
              <w:left w:val="single" w:color="auto" w:sz="4" w:space="0"/>
              <w:bottom w:val="single" w:color="auto" w:sz="4" w:space="0"/>
              <w:right w:val="single" w:color="auto" w:sz="4" w:space="0"/>
            </w:tcBorders>
            <w:vAlign w:val="center"/>
          </w:tcPr>
          <w:p w14:paraId="2AD1363E">
            <w:pPr>
              <w:spacing w:line="400" w:lineRule="exact"/>
              <w:jc w:val="center"/>
              <w:rPr>
                <w:rFonts w:ascii="宋体" w:hAnsi="宋体"/>
                <w:color w:val="auto"/>
                <w:highlight w:val="none"/>
              </w:rPr>
            </w:pPr>
          </w:p>
        </w:tc>
        <w:tc>
          <w:tcPr>
            <w:tcW w:w="1108" w:type="dxa"/>
            <w:tcBorders>
              <w:top w:val="single" w:color="auto" w:sz="4" w:space="0"/>
              <w:left w:val="single" w:color="auto" w:sz="4" w:space="0"/>
              <w:bottom w:val="single" w:color="auto" w:sz="4" w:space="0"/>
              <w:right w:val="single" w:color="auto" w:sz="4" w:space="0"/>
            </w:tcBorders>
            <w:vAlign w:val="center"/>
          </w:tcPr>
          <w:p w14:paraId="1C7F60EC">
            <w:pPr>
              <w:spacing w:line="400" w:lineRule="exact"/>
              <w:jc w:val="center"/>
              <w:rPr>
                <w:rFonts w:ascii="宋体" w:hAnsi="宋体" w:cs="宋体"/>
                <w:color w:val="auto"/>
                <w:highlight w:val="none"/>
              </w:rPr>
            </w:pPr>
            <w:r>
              <w:rPr>
                <w:rFonts w:hint="eastAsia" w:ascii="宋体" w:hAnsi="宋体" w:cs="宋体"/>
                <w:color w:val="auto"/>
                <w:highlight w:val="none"/>
              </w:rPr>
              <w:t>毕业时间</w:t>
            </w:r>
          </w:p>
        </w:tc>
        <w:tc>
          <w:tcPr>
            <w:tcW w:w="1531" w:type="dxa"/>
            <w:gridSpan w:val="4"/>
            <w:tcBorders>
              <w:top w:val="single" w:color="auto" w:sz="4" w:space="0"/>
              <w:left w:val="single" w:color="auto" w:sz="4" w:space="0"/>
              <w:bottom w:val="single" w:color="auto" w:sz="4" w:space="0"/>
              <w:right w:val="single" w:color="auto" w:sz="4" w:space="0"/>
            </w:tcBorders>
            <w:vAlign w:val="center"/>
          </w:tcPr>
          <w:p w14:paraId="231E143D">
            <w:pPr>
              <w:spacing w:line="400" w:lineRule="exact"/>
              <w:jc w:val="center"/>
              <w:rPr>
                <w:rFonts w:ascii="宋体" w:hAnsi="宋体"/>
                <w:color w:val="auto"/>
                <w:highlight w:val="none"/>
              </w:rPr>
            </w:pPr>
          </w:p>
        </w:tc>
      </w:tr>
      <w:tr w14:paraId="7914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tcBorders>
              <w:top w:val="single" w:color="auto" w:sz="4" w:space="0"/>
              <w:left w:val="single" w:color="auto" w:sz="4" w:space="0"/>
              <w:bottom w:val="single" w:color="auto" w:sz="4" w:space="0"/>
              <w:right w:val="single" w:color="auto" w:sz="4" w:space="0"/>
            </w:tcBorders>
            <w:vAlign w:val="center"/>
          </w:tcPr>
          <w:p w14:paraId="793662CC">
            <w:pPr>
              <w:spacing w:line="400" w:lineRule="exact"/>
              <w:jc w:val="center"/>
              <w:rPr>
                <w:rFonts w:ascii="宋体" w:hAnsi="宋体"/>
                <w:color w:val="auto"/>
                <w:highlight w:val="none"/>
              </w:rPr>
            </w:pPr>
            <w:r>
              <w:rPr>
                <w:rFonts w:hint="eastAsia" w:ascii="宋体" w:hAnsi="宋体" w:cs="宋体"/>
                <w:color w:val="auto"/>
                <w:highlight w:val="none"/>
              </w:rPr>
              <w:t>担任</w:t>
            </w:r>
            <w:r>
              <w:rPr>
                <w:rFonts w:hint="eastAsia" w:ascii="宋体" w:hAnsi="宋体"/>
                <w:color w:val="auto"/>
                <w:highlight w:val="none"/>
              </w:rPr>
              <w:t>……</w:t>
            </w:r>
            <w:r>
              <w:rPr>
                <w:rFonts w:hint="eastAsia" w:ascii="宋体" w:hAnsi="宋体" w:cs="宋体"/>
                <w:color w:val="auto"/>
                <w:highlight w:val="none"/>
              </w:rPr>
              <w:t>年限</w:t>
            </w:r>
          </w:p>
        </w:tc>
        <w:tc>
          <w:tcPr>
            <w:tcW w:w="2410" w:type="dxa"/>
            <w:gridSpan w:val="5"/>
            <w:tcBorders>
              <w:top w:val="single" w:color="auto" w:sz="4" w:space="0"/>
              <w:left w:val="single" w:color="auto" w:sz="4" w:space="0"/>
              <w:bottom w:val="single" w:color="auto" w:sz="4" w:space="0"/>
              <w:right w:val="single" w:color="auto" w:sz="4" w:space="0"/>
            </w:tcBorders>
            <w:vAlign w:val="center"/>
          </w:tcPr>
          <w:p w14:paraId="2BDFB69C">
            <w:pPr>
              <w:spacing w:line="400" w:lineRule="exact"/>
              <w:jc w:val="center"/>
              <w:rPr>
                <w:rFonts w:ascii="宋体" w:hAnsi="宋体"/>
                <w:color w:val="auto"/>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09A62EEF">
            <w:pPr>
              <w:spacing w:line="400" w:lineRule="exact"/>
              <w:jc w:val="center"/>
              <w:rPr>
                <w:rFonts w:ascii="宋体" w:hAnsi="宋体"/>
                <w:color w:val="auto"/>
                <w:highlight w:val="none"/>
              </w:rPr>
            </w:pPr>
            <w:r>
              <w:rPr>
                <w:rFonts w:hint="eastAsia" w:ascii="宋体" w:hAnsi="宋体"/>
                <w:color w:val="auto"/>
                <w:highlight w:val="none"/>
              </w:rPr>
              <w:t>身份证号码</w:t>
            </w:r>
          </w:p>
        </w:tc>
        <w:tc>
          <w:tcPr>
            <w:tcW w:w="4466" w:type="dxa"/>
            <w:gridSpan w:val="9"/>
            <w:tcBorders>
              <w:top w:val="single" w:color="auto" w:sz="4" w:space="0"/>
              <w:left w:val="single" w:color="auto" w:sz="4" w:space="0"/>
              <w:bottom w:val="single" w:color="auto" w:sz="4" w:space="0"/>
              <w:right w:val="single" w:color="auto" w:sz="4" w:space="0"/>
            </w:tcBorders>
            <w:vAlign w:val="center"/>
          </w:tcPr>
          <w:p w14:paraId="6431DAFC">
            <w:pPr>
              <w:spacing w:line="400" w:lineRule="exact"/>
              <w:jc w:val="center"/>
              <w:rPr>
                <w:rFonts w:ascii="宋体" w:hAnsi="宋体"/>
                <w:color w:val="auto"/>
                <w:highlight w:val="none"/>
              </w:rPr>
            </w:pPr>
          </w:p>
        </w:tc>
      </w:tr>
      <w:tr w14:paraId="59F06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tcBorders>
              <w:top w:val="single" w:color="auto" w:sz="4" w:space="0"/>
              <w:left w:val="single" w:color="auto" w:sz="4" w:space="0"/>
              <w:bottom w:val="single" w:color="auto" w:sz="4" w:space="0"/>
              <w:right w:val="single" w:color="auto" w:sz="4" w:space="0"/>
            </w:tcBorders>
            <w:vAlign w:val="center"/>
          </w:tcPr>
          <w:p w14:paraId="79AB47D5">
            <w:pPr>
              <w:spacing w:line="400" w:lineRule="exact"/>
              <w:jc w:val="center"/>
              <w:rPr>
                <w:rFonts w:ascii="宋体" w:hAnsi="宋体"/>
                <w:color w:val="auto"/>
                <w:highlight w:val="none"/>
              </w:rPr>
            </w:pPr>
            <w:r>
              <w:rPr>
                <w:rFonts w:hint="eastAsia" w:ascii="宋体" w:hAnsi="宋体"/>
                <w:color w:val="auto"/>
                <w:highlight w:val="none"/>
              </w:rPr>
              <w:t>证书名称</w:t>
            </w:r>
          </w:p>
        </w:tc>
        <w:tc>
          <w:tcPr>
            <w:tcW w:w="1188" w:type="dxa"/>
            <w:gridSpan w:val="2"/>
            <w:tcBorders>
              <w:top w:val="single" w:color="auto" w:sz="4" w:space="0"/>
              <w:left w:val="single" w:color="auto" w:sz="4" w:space="0"/>
              <w:bottom w:val="single" w:color="auto" w:sz="4" w:space="0"/>
              <w:right w:val="single" w:color="auto" w:sz="4" w:space="0"/>
            </w:tcBorders>
            <w:vAlign w:val="center"/>
          </w:tcPr>
          <w:p w14:paraId="7ED81AC4">
            <w:pPr>
              <w:spacing w:line="400" w:lineRule="exact"/>
              <w:jc w:val="center"/>
              <w:rPr>
                <w:rFonts w:ascii="宋体" w:hAnsi="宋体"/>
                <w:color w:val="auto"/>
                <w:highlight w:val="none"/>
              </w:rPr>
            </w:pPr>
            <w:r>
              <w:rPr>
                <w:rFonts w:hint="eastAsia" w:ascii="宋体" w:hAnsi="宋体"/>
                <w:color w:val="auto"/>
                <w:highlight w:val="none"/>
              </w:rPr>
              <w:t>注册专业</w:t>
            </w:r>
          </w:p>
        </w:tc>
        <w:tc>
          <w:tcPr>
            <w:tcW w:w="1222" w:type="dxa"/>
            <w:gridSpan w:val="3"/>
            <w:tcBorders>
              <w:top w:val="single" w:color="auto" w:sz="4" w:space="0"/>
              <w:left w:val="single" w:color="auto" w:sz="4" w:space="0"/>
              <w:bottom w:val="single" w:color="auto" w:sz="4" w:space="0"/>
              <w:right w:val="single" w:color="auto" w:sz="4" w:space="0"/>
            </w:tcBorders>
            <w:vAlign w:val="center"/>
          </w:tcPr>
          <w:p w14:paraId="5D82D43F">
            <w:pPr>
              <w:spacing w:line="400" w:lineRule="exact"/>
              <w:jc w:val="center"/>
              <w:rPr>
                <w:rFonts w:ascii="宋体" w:hAnsi="宋体"/>
                <w:color w:val="auto"/>
                <w:highlight w:val="none"/>
              </w:rPr>
            </w:pPr>
            <w:r>
              <w:rPr>
                <w:rFonts w:hint="eastAsia" w:ascii="宋体" w:hAnsi="宋体"/>
                <w:color w:val="auto"/>
                <w:highlight w:val="none"/>
              </w:rPr>
              <w:t>级别</w:t>
            </w:r>
          </w:p>
        </w:tc>
        <w:tc>
          <w:tcPr>
            <w:tcW w:w="1417" w:type="dxa"/>
            <w:tcBorders>
              <w:top w:val="single" w:color="auto" w:sz="4" w:space="0"/>
              <w:left w:val="single" w:color="auto" w:sz="4" w:space="0"/>
              <w:bottom w:val="single" w:color="auto" w:sz="4" w:space="0"/>
              <w:right w:val="single" w:color="auto" w:sz="4" w:space="0"/>
            </w:tcBorders>
            <w:vAlign w:val="center"/>
          </w:tcPr>
          <w:p w14:paraId="00ABEB6A">
            <w:pPr>
              <w:spacing w:line="400" w:lineRule="exact"/>
              <w:jc w:val="center"/>
              <w:rPr>
                <w:rFonts w:ascii="宋体" w:hAnsi="宋体"/>
                <w:color w:val="auto"/>
                <w:highlight w:val="none"/>
              </w:rPr>
            </w:pPr>
            <w:r>
              <w:rPr>
                <w:rFonts w:hint="eastAsia" w:ascii="宋体" w:hAnsi="宋体" w:cs="宋体"/>
                <w:color w:val="auto"/>
                <w:highlight w:val="none"/>
              </w:rPr>
              <w:t>证书编号</w:t>
            </w:r>
          </w:p>
        </w:tc>
        <w:tc>
          <w:tcPr>
            <w:tcW w:w="1418" w:type="dxa"/>
            <w:gridSpan w:val="3"/>
            <w:tcBorders>
              <w:top w:val="single" w:color="auto" w:sz="4" w:space="0"/>
              <w:left w:val="single" w:color="auto" w:sz="4" w:space="0"/>
              <w:bottom w:val="single" w:color="auto" w:sz="4" w:space="0"/>
              <w:right w:val="single" w:color="auto" w:sz="4" w:space="0"/>
            </w:tcBorders>
            <w:vAlign w:val="center"/>
          </w:tcPr>
          <w:p w14:paraId="7B86A4C3">
            <w:pPr>
              <w:spacing w:line="400" w:lineRule="exact"/>
              <w:jc w:val="center"/>
              <w:rPr>
                <w:rFonts w:ascii="宋体" w:hAnsi="宋体"/>
                <w:color w:val="auto"/>
                <w:highlight w:val="none"/>
              </w:rPr>
            </w:pPr>
            <w:r>
              <w:rPr>
                <w:rFonts w:hint="eastAsia" w:ascii="宋体" w:hAnsi="宋体"/>
                <w:color w:val="auto"/>
                <w:highlight w:val="none"/>
              </w:rPr>
              <w:t>注册时间</w:t>
            </w:r>
          </w:p>
        </w:tc>
        <w:tc>
          <w:tcPr>
            <w:tcW w:w="1632" w:type="dxa"/>
            <w:gridSpan w:val="4"/>
            <w:tcBorders>
              <w:top w:val="single" w:color="auto" w:sz="4" w:space="0"/>
              <w:left w:val="single" w:color="auto" w:sz="4" w:space="0"/>
              <w:bottom w:val="single" w:color="auto" w:sz="4" w:space="0"/>
              <w:right w:val="single" w:color="auto" w:sz="4" w:space="0"/>
            </w:tcBorders>
            <w:vAlign w:val="center"/>
          </w:tcPr>
          <w:p w14:paraId="389CA444">
            <w:pPr>
              <w:spacing w:line="400" w:lineRule="exact"/>
              <w:jc w:val="center"/>
              <w:rPr>
                <w:rFonts w:ascii="宋体" w:hAnsi="宋体"/>
                <w:color w:val="auto"/>
                <w:highlight w:val="none"/>
              </w:rPr>
            </w:pPr>
            <w:r>
              <w:rPr>
                <w:rFonts w:hint="eastAsia" w:ascii="宋体" w:hAnsi="宋体"/>
                <w:color w:val="auto"/>
                <w:highlight w:val="none"/>
              </w:rPr>
              <w:t>注册单位</w:t>
            </w:r>
          </w:p>
        </w:tc>
        <w:tc>
          <w:tcPr>
            <w:tcW w:w="1416" w:type="dxa"/>
            <w:gridSpan w:val="2"/>
            <w:tcBorders>
              <w:top w:val="single" w:color="auto" w:sz="4" w:space="0"/>
              <w:left w:val="single" w:color="auto" w:sz="4" w:space="0"/>
              <w:bottom w:val="single" w:color="auto" w:sz="4" w:space="0"/>
              <w:right w:val="single" w:color="auto" w:sz="4" w:space="0"/>
            </w:tcBorders>
            <w:vAlign w:val="center"/>
          </w:tcPr>
          <w:p w14:paraId="5011B0E1">
            <w:pPr>
              <w:spacing w:line="400" w:lineRule="exact"/>
              <w:jc w:val="center"/>
              <w:rPr>
                <w:rFonts w:ascii="宋体" w:hAnsi="宋体"/>
                <w:color w:val="auto"/>
                <w:highlight w:val="none"/>
              </w:rPr>
            </w:pPr>
            <w:r>
              <w:rPr>
                <w:rFonts w:hint="eastAsia" w:ascii="宋体" w:hAnsi="宋体"/>
                <w:color w:val="auto"/>
                <w:highlight w:val="none"/>
              </w:rPr>
              <w:t>注册有效期</w:t>
            </w:r>
          </w:p>
        </w:tc>
      </w:tr>
      <w:tr w14:paraId="7C8EB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tcBorders>
              <w:top w:val="single" w:color="auto" w:sz="4" w:space="0"/>
              <w:left w:val="single" w:color="auto" w:sz="4" w:space="0"/>
              <w:bottom w:val="single" w:color="auto" w:sz="4" w:space="0"/>
              <w:right w:val="single" w:color="auto" w:sz="4" w:space="0"/>
            </w:tcBorders>
            <w:vAlign w:val="center"/>
          </w:tcPr>
          <w:p w14:paraId="0D4EFC6F">
            <w:pPr>
              <w:spacing w:line="400" w:lineRule="exact"/>
              <w:jc w:val="center"/>
              <w:rPr>
                <w:rFonts w:ascii="宋体" w:hAnsi="宋体"/>
                <w:color w:val="auto"/>
                <w:highlight w:val="none"/>
              </w:rPr>
            </w:pPr>
          </w:p>
        </w:tc>
        <w:tc>
          <w:tcPr>
            <w:tcW w:w="1188" w:type="dxa"/>
            <w:gridSpan w:val="2"/>
            <w:tcBorders>
              <w:top w:val="single" w:color="auto" w:sz="4" w:space="0"/>
              <w:left w:val="single" w:color="auto" w:sz="4" w:space="0"/>
              <w:bottom w:val="single" w:color="auto" w:sz="4" w:space="0"/>
              <w:right w:val="single" w:color="auto" w:sz="4" w:space="0"/>
            </w:tcBorders>
            <w:vAlign w:val="center"/>
          </w:tcPr>
          <w:p w14:paraId="0CB70915">
            <w:pPr>
              <w:spacing w:line="400" w:lineRule="exact"/>
              <w:jc w:val="center"/>
              <w:rPr>
                <w:rFonts w:ascii="宋体" w:hAnsi="宋体"/>
                <w:color w:val="auto"/>
                <w:highlight w:val="none"/>
              </w:rPr>
            </w:pPr>
          </w:p>
        </w:tc>
        <w:tc>
          <w:tcPr>
            <w:tcW w:w="1222" w:type="dxa"/>
            <w:gridSpan w:val="3"/>
            <w:tcBorders>
              <w:top w:val="single" w:color="auto" w:sz="4" w:space="0"/>
              <w:left w:val="single" w:color="auto" w:sz="4" w:space="0"/>
              <w:bottom w:val="single" w:color="auto" w:sz="4" w:space="0"/>
              <w:right w:val="single" w:color="auto" w:sz="4" w:space="0"/>
            </w:tcBorders>
            <w:vAlign w:val="center"/>
          </w:tcPr>
          <w:p w14:paraId="504DA6BF">
            <w:pPr>
              <w:spacing w:line="400" w:lineRule="exact"/>
              <w:jc w:val="center"/>
              <w:rPr>
                <w:rFonts w:ascii="宋体" w:hAnsi="宋体" w:cs="宋体"/>
                <w:color w:val="auto"/>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52AC3E01">
            <w:pPr>
              <w:spacing w:line="400" w:lineRule="exact"/>
              <w:jc w:val="center"/>
              <w:rPr>
                <w:rFonts w:ascii="宋体" w:hAnsi="宋体"/>
                <w:color w:val="auto"/>
                <w:highlight w:val="none"/>
              </w:rPr>
            </w:pPr>
          </w:p>
        </w:tc>
        <w:tc>
          <w:tcPr>
            <w:tcW w:w="1418" w:type="dxa"/>
            <w:gridSpan w:val="3"/>
            <w:tcBorders>
              <w:top w:val="single" w:color="auto" w:sz="4" w:space="0"/>
              <w:left w:val="single" w:color="auto" w:sz="4" w:space="0"/>
              <w:bottom w:val="single" w:color="auto" w:sz="4" w:space="0"/>
              <w:right w:val="single" w:color="auto" w:sz="4" w:space="0"/>
            </w:tcBorders>
            <w:vAlign w:val="center"/>
          </w:tcPr>
          <w:p w14:paraId="106211EE">
            <w:pPr>
              <w:spacing w:line="400" w:lineRule="exact"/>
              <w:jc w:val="center"/>
              <w:rPr>
                <w:rFonts w:ascii="宋体" w:hAnsi="宋体"/>
                <w:color w:val="auto"/>
                <w:highlight w:val="none"/>
              </w:rPr>
            </w:pPr>
          </w:p>
        </w:tc>
        <w:tc>
          <w:tcPr>
            <w:tcW w:w="1632" w:type="dxa"/>
            <w:gridSpan w:val="4"/>
            <w:tcBorders>
              <w:top w:val="single" w:color="auto" w:sz="4" w:space="0"/>
              <w:left w:val="single" w:color="auto" w:sz="4" w:space="0"/>
              <w:bottom w:val="single" w:color="auto" w:sz="4" w:space="0"/>
              <w:right w:val="single" w:color="auto" w:sz="4" w:space="0"/>
            </w:tcBorders>
            <w:vAlign w:val="center"/>
          </w:tcPr>
          <w:p w14:paraId="1D3BC8F5">
            <w:pPr>
              <w:spacing w:line="400" w:lineRule="exact"/>
              <w:jc w:val="center"/>
              <w:rPr>
                <w:rFonts w:ascii="宋体" w:hAnsi="宋体"/>
                <w:color w:val="auto"/>
                <w:highlight w:val="none"/>
              </w:rPr>
            </w:pPr>
          </w:p>
        </w:tc>
        <w:tc>
          <w:tcPr>
            <w:tcW w:w="1416" w:type="dxa"/>
            <w:gridSpan w:val="2"/>
            <w:tcBorders>
              <w:top w:val="single" w:color="auto" w:sz="4" w:space="0"/>
              <w:left w:val="single" w:color="auto" w:sz="4" w:space="0"/>
              <w:bottom w:val="single" w:color="auto" w:sz="4" w:space="0"/>
              <w:right w:val="single" w:color="auto" w:sz="4" w:space="0"/>
            </w:tcBorders>
            <w:vAlign w:val="center"/>
          </w:tcPr>
          <w:p w14:paraId="5156F3AC">
            <w:pPr>
              <w:spacing w:line="400" w:lineRule="exact"/>
              <w:jc w:val="center"/>
              <w:rPr>
                <w:rFonts w:ascii="宋体" w:hAnsi="宋体"/>
                <w:color w:val="auto"/>
                <w:highlight w:val="none"/>
              </w:rPr>
            </w:pPr>
          </w:p>
        </w:tc>
      </w:tr>
      <w:tr w14:paraId="5285D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tcBorders>
              <w:top w:val="single" w:color="auto" w:sz="4" w:space="0"/>
              <w:left w:val="single" w:color="auto" w:sz="4" w:space="0"/>
              <w:bottom w:val="single" w:color="auto" w:sz="4" w:space="0"/>
              <w:right w:val="single" w:color="auto" w:sz="4" w:space="0"/>
            </w:tcBorders>
            <w:vAlign w:val="center"/>
          </w:tcPr>
          <w:p w14:paraId="34268322">
            <w:pPr>
              <w:spacing w:line="400" w:lineRule="exact"/>
              <w:jc w:val="center"/>
              <w:rPr>
                <w:rFonts w:ascii="宋体" w:hAnsi="宋体"/>
                <w:color w:val="auto"/>
                <w:highlight w:val="none"/>
              </w:rPr>
            </w:pPr>
          </w:p>
        </w:tc>
        <w:tc>
          <w:tcPr>
            <w:tcW w:w="1188" w:type="dxa"/>
            <w:gridSpan w:val="2"/>
            <w:tcBorders>
              <w:top w:val="single" w:color="auto" w:sz="4" w:space="0"/>
              <w:left w:val="single" w:color="auto" w:sz="4" w:space="0"/>
              <w:bottom w:val="single" w:color="auto" w:sz="4" w:space="0"/>
              <w:right w:val="single" w:color="auto" w:sz="4" w:space="0"/>
            </w:tcBorders>
            <w:vAlign w:val="center"/>
          </w:tcPr>
          <w:p w14:paraId="556562AB">
            <w:pPr>
              <w:spacing w:line="400" w:lineRule="exact"/>
              <w:jc w:val="center"/>
              <w:rPr>
                <w:rFonts w:ascii="宋体" w:hAnsi="宋体"/>
                <w:color w:val="auto"/>
                <w:highlight w:val="none"/>
              </w:rPr>
            </w:pPr>
          </w:p>
        </w:tc>
        <w:tc>
          <w:tcPr>
            <w:tcW w:w="1222" w:type="dxa"/>
            <w:gridSpan w:val="3"/>
            <w:tcBorders>
              <w:top w:val="single" w:color="auto" w:sz="4" w:space="0"/>
              <w:left w:val="single" w:color="auto" w:sz="4" w:space="0"/>
              <w:bottom w:val="single" w:color="auto" w:sz="4" w:space="0"/>
              <w:right w:val="single" w:color="auto" w:sz="4" w:space="0"/>
            </w:tcBorders>
            <w:vAlign w:val="center"/>
          </w:tcPr>
          <w:p w14:paraId="2D73A843">
            <w:pPr>
              <w:spacing w:line="400" w:lineRule="exact"/>
              <w:jc w:val="center"/>
              <w:rPr>
                <w:rFonts w:ascii="宋体" w:hAnsi="宋体" w:cs="宋体"/>
                <w:color w:val="auto"/>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79FAF910">
            <w:pPr>
              <w:spacing w:line="400" w:lineRule="exact"/>
              <w:jc w:val="center"/>
              <w:rPr>
                <w:rFonts w:ascii="宋体" w:hAnsi="宋体"/>
                <w:color w:val="auto"/>
                <w:highlight w:val="none"/>
              </w:rPr>
            </w:pPr>
          </w:p>
        </w:tc>
        <w:tc>
          <w:tcPr>
            <w:tcW w:w="1418" w:type="dxa"/>
            <w:gridSpan w:val="3"/>
            <w:tcBorders>
              <w:top w:val="single" w:color="auto" w:sz="4" w:space="0"/>
              <w:left w:val="single" w:color="auto" w:sz="4" w:space="0"/>
              <w:bottom w:val="single" w:color="auto" w:sz="4" w:space="0"/>
              <w:right w:val="single" w:color="auto" w:sz="4" w:space="0"/>
            </w:tcBorders>
            <w:vAlign w:val="center"/>
          </w:tcPr>
          <w:p w14:paraId="693CEB73">
            <w:pPr>
              <w:spacing w:line="400" w:lineRule="exact"/>
              <w:jc w:val="center"/>
              <w:rPr>
                <w:rFonts w:ascii="宋体" w:hAnsi="宋体"/>
                <w:color w:val="auto"/>
                <w:highlight w:val="none"/>
              </w:rPr>
            </w:pPr>
          </w:p>
        </w:tc>
        <w:tc>
          <w:tcPr>
            <w:tcW w:w="1632" w:type="dxa"/>
            <w:gridSpan w:val="4"/>
            <w:tcBorders>
              <w:top w:val="single" w:color="auto" w:sz="4" w:space="0"/>
              <w:left w:val="single" w:color="auto" w:sz="4" w:space="0"/>
              <w:bottom w:val="single" w:color="auto" w:sz="4" w:space="0"/>
              <w:right w:val="single" w:color="auto" w:sz="4" w:space="0"/>
            </w:tcBorders>
            <w:vAlign w:val="center"/>
          </w:tcPr>
          <w:p w14:paraId="078A2289">
            <w:pPr>
              <w:spacing w:line="400" w:lineRule="exact"/>
              <w:jc w:val="center"/>
              <w:rPr>
                <w:rFonts w:ascii="宋体" w:hAnsi="宋体"/>
                <w:color w:val="auto"/>
                <w:highlight w:val="none"/>
              </w:rPr>
            </w:pPr>
          </w:p>
        </w:tc>
        <w:tc>
          <w:tcPr>
            <w:tcW w:w="1416" w:type="dxa"/>
            <w:gridSpan w:val="2"/>
            <w:tcBorders>
              <w:top w:val="single" w:color="auto" w:sz="4" w:space="0"/>
              <w:left w:val="single" w:color="auto" w:sz="4" w:space="0"/>
              <w:bottom w:val="single" w:color="auto" w:sz="4" w:space="0"/>
              <w:right w:val="single" w:color="auto" w:sz="4" w:space="0"/>
            </w:tcBorders>
            <w:vAlign w:val="center"/>
          </w:tcPr>
          <w:p w14:paraId="346DB702">
            <w:pPr>
              <w:spacing w:line="400" w:lineRule="exact"/>
              <w:jc w:val="center"/>
              <w:rPr>
                <w:rFonts w:ascii="宋体" w:hAnsi="宋体"/>
                <w:color w:val="auto"/>
                <w:highlight w:val="none"/>
              </w:rPr>
            </w:pPr>
          </w:p>
        </w:tc>
      </w:tr>
      <w:tr w14:paraId="43EC8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17"/>
            <w:tcBorders>
              <w:top w:val="single" w:color="auto" w:sz="4" w:space="0"/>
              <w:left w:val="single" w:color="auto" w:sz="4" w:space="0"/>
              <w:bottom w:val="single" w:color="auto" w:sz="4" w:space="0"/>
              <w:right w:val="single" w:color="auto" w:sz="4" w:space="0"/>
            </w:tcBorders>
            <w:vAlign w:val="center"/>
          </w:tcPr>
          <w:p w14:paraId="2279581B">
            <w:pPr>
              <w:spacing w:line="400" w:lineRule="exact"/>
              <w:jc w:val="center"/>
              <w:rPr>
                <w:rFonts w:ascii="宋体" w:hAnsi="宋体"/>
                <w:color w:val="auto"/>
                <w:highlight w:val="none"/>
              </w:rPr>
            </w:pPr>
            <w:r>
              <w:rPr>
                <w:rFonts w:hint="eastAsia" w:ascii="宋体" w:hAnsi="宋体" w:cs="宋体"/>
                <w:color w:val="auto"/>
                <w:highlight w:val="none"/>
              </w:rPr>
              <w:t>在建和已完工程项目情况</w:t>
            </w:r>
          </w:p>
        </w:tc>
      </w:tr>
      <w:tr w14:paraId="17BC4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tcBorders>
              <w:top w:val="single" w:color="auto" w:sz="4" w:space="0"/>
              <w:left w:val="single" w:color="auto" w:sz="4" w:space="0"/>
              <w:bottom w:val="single" w:color="auto" w:sz="4" w:space="0"/>
              <w:right w:val="single" w:color="auto" w:sz="4" w:space="0"/>
            </w:tcBorders>
            <w:vAlign w:val="center"/>
          </w:tcPr>
          <w:p w14:paraId="5ABD42DF">
            <w:pPr>
              <w:spacing w:line="400" w:lineRule="exact"/>
              <w:jc w:val="center"/>
              <w:rPr>
                <w:rFonts w:ascii="宋体" w:hAnsi="宋体"/>
                <w:color w:val="auto"/>
                <w:highlight w:val="none"/>
              </w:rPr>
            </w:pPr>
          </w:p>
        </w:tc>
        <w:tc>
          <w:tcPr>
            <w:tcW w:w="1548" w:type="dxa"/>
            <w:gridSpan w:val="2"/>
            <w:tcBorders>
              <w:top w:val="single" w:color="auto" w:sz="4" w:space="0"/>
              <w:left w:val="single" w:color="auto" w:sz="4" w:space="0"/>
              <w:bottom w:val="single" w:color="auto" w:sz="4" w:space="0"/>
              <w:right w:val="single" w:color="auto" w:sz="4" w:space="0"/>
            </w:tcBorders>
            <w:vAlign w:val="center"/>
          </w:tcPr>
          <w:p w14:paraId="5550E4CD">
            <w:pPr>
              <w:spacing w:line="400" w:lineRule="exact"/>
              <w:jc w:val="center"/>
              <w:rPr>
                <w:rFonts w:ascii="宋体" w:hAnsi="宋体"/>
                <w:color w:val="auto"/>
                <w:highlight w:val="none"/>
              </w:rPr>
            </w:pPr>
            <w:r>
              <w:rPr>
                <w:rFonts w:hint="eastAsia" w:ascii="宋体" w:hAnsi="宋体"/>
                <w:color w:val="auto"/>
                <w:highlight w:val="none"/>
              </w:rPr>
              <w:t>项目1</w:t>
            </w:r>
          </w:p>
        </w:tc>
        <w:tc>
          <w:tcPr>
            <w:tcW w:w="1979" w:type="dxa"/>
            <w:gridSpan w:val="3"/>
            <w:tcBorders>
              <w:top w:val="single" w:color="auto" w:sz="4" w:space="0"/>
              <w:left w:val="single" w:color="auto" w:sz="4" w:space="0"/>
              <w:bottom w:val="single" w:color="auto" w:sz="4" w:space="0"/>
              <w:right w:val="single" w:color="auto" w:sz="4" w:space="0"/>
            </w:tcBorders>
            <w:vAlign w:val="center"/>
          </w:tcPr>
          <w:p w14:paraId="39D9CE0C">
            <w:pPr>
              <w:spacing w:line="400" w:lineRule="exact"/>
              <w:jc w:val="center"/>
              <w:rPr>
                <w:rFonts w:ascii="宋体" w:hAnsi="宋体"/>
                <w:color w:val="auto"/>
                <w:highlight w:val="none"/>
              </w:rPr>
            </w:pPr>
            <w:r>
              <w:rPr>
                <w:rFonts w:hint="eastAsia" w:ascii="宋体" w:hAnsi="宋体"/>
                <w:color w:val="auto"/>
                <w:highlight w:val="none"/>
              </w:rPr>
              <w:t>项目2</w:t>
            </w:r>
          </w:p>
        </w:tc>
        <w:tc>
          <w:tcPr>
            <w:tcW w:w="1330" w:type="dxa"/>
            <w:gridSpan w:val="2"/>
            <w:tcBorders>
              <w:top w:val="single" w:color="auto" w:sz="4" w:space="0"/>
              <w:left w:val="single" w:color="auto" w:sz="4" w:space="0"/>
              <w:bottom w:val="single" w:color="auto" w:sz="4" w:space="0"/>
              <w:right w:val="single" w:color="auto" w:sz="4" w:space="0"/>
            </w:tcBorders>
            <w:vAlign w:val="center"/>
          </w:tcPr>
          <w:p w14:paraId="1D65762E">
            <w:pPr>
              <w:spacing w:line="400" w:lineRule="exact"/>
              <w:jc w:val="center"/>
              <w:rPr>
                <w:rFonts w:ascii="宋体" w:hAnsi="宋体"/>
                <w:color w:val="auto"/>
                <w:highlight w:val="none"/>
              </w:rPr>
            </w:pPr>
            <w:r>
              <w:rPr>
                <w:rFonts w:hint="eastAsia" w:ascii="宋体" w:hAnsi="宋体"/>
                <w:color w:val="auto"/>
                <w:highlight w:val="none"/>
              </w:rPr>
              <w:t>项目3</w:t>
            </w:r>
          </w:p>
        </w:tc>
        <w:tc>
          <w:tcPr>
            <w:tcW w:w="1641" w:type="dxa"/>
            <w:gridSpan w:val="4"/>
            <w:tcBorders>
              <w:top w:val="single" w:color="auto" w:sz="4" w:space="0"/>
              <w:left w:val="single" w:color="auto" w:sz="4" w:space="0"/>
              <w:bottom w:val="single" w:color="auto" w:sz="4" w:space="0"/>
              <w:right w:val="single" w:color="auto" w:sz="4" w:space="0"/>
            </w:tcBorders>
            <w:vAlign w:val="center"/>
          </w:tcPr>
          <w:p w14:paraId="19D9F314">
            <w:pPr>
              <w:spacing w:line="400" w:lineRule="exact"/>
              <w:jc w:val="center"/>
              <w:rPr>
                <w:rFonts w:ascii="宋体" w:hAnsi="宋体"/>
                <w:color w:val="auto"/>
                <w:highlight w:val="none"/>
              </w:rPr>
            </w:pPr>
            <w:r>
              <w:rPr>
                <w:rFonts w:hint="eastAsia" w:ascii="宋体" w:hAnsi="宋体"/>
                <w:color w:val="auto"/>
                <w:highlight w:val="none"/>
              </w:rPr>
              <w:t>项目4</w:t>
            </w: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63AD1EAB">
            <w:pPr>
              <w:spacing w:line="400" w:lineRule="exact"/>
              <w:jc w:val="center"/>
              <w:rPr>
                <w:rFonts w:ascii="宋体" w:hAnsi="宋体"/>
                <w:color w:val="auto"/>
                <w:highlight w:val="none"/>
              </w:rPr>
            </w:pPr>
            <w:r>
              <w:rPr>
                <w:rFonts w:hint="eastAsia" w:ascii="宋体" w:hAnsi="宋体"/>
                <w:color w:val="auto"/>
                <w:highlight w:val="none"/>
              </w:rPr>
              <w:t>……</w:t>
            </w:r>
          </w:p>
        </w:tc>
      </w:tr>
      <w:tr w14:paraId="2A4B4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tcBorders>
              <w:top w:val="single" w:color="auto" w:sz="4" w:space="0"/>
              <w:left w:val="single" w:color="auto" w:sz="4" w:space="0"/>
              <w:bottom w:val="single" w:color="auto" w:sz="4" w:space="0"/>
              <w:right w:val="single" w:color="auto" w:sz="4" w:space="0"/>
            </w:tcBorders>
            <w:vAlign w:val="center"/>
          </w:tcPr>
          <w:p w14:paraId="138E2836">
            <w:pPr>
              <w:spacing w:line="400" w:lineRule="exact"/>
              <w:jc w:val="center"/>
              <w:rPr>
                <w:rFonts w:ascii="宋体" w:hAnsi="宋体"/>
                <w:color w:val="auto"/>
                <w:highlight w:val="none"/>
              </w:rPr>
            </w:pPr>
            <w:r>
              <w:rPr>
                <w:rFonts w:hint="eastAsia" w:ascii="宋体" w:hAnsi="宋体"/>
                <w:color w:val="auto"/>
                <w:highlight w:val="none"/>
              </w:rPr>
              <w:t>项目名称</w:t>
            </w:r>
          </w:p>
        </w:tc>
        <w:tc>
          <w:tcPr>
            <w:tcW w:w="1548" w:type="dxa"/>
            <w:gridSpan w:val="2"/>
            <w:tcBorders>
              <w:top w:val="single" w:color="auto" w:sz="4" w:space="0"/>
              <w:left w:val="single" w:color="auto" w:sz="4" w:space="0"/>
              <w:bottom w:val="single" w:color="auto" w:sz="4" w:space="0"/>
              <w:right w:val="single" w:color="auto" w:sz="4" w:space="0"/>
            </w:tcBorders>
            <w:vAlign w:val="center"/>
          </w:tcPr>
          <w:p w14:paraId="78B54789">
            <w:pPr>
              <w:spacing w:line="400" w:lineRule="exact"/>
              <w:jc w:val="center"/>
              <w:rPr>
                <w:rFonts w:ascii="宋体" w:hAnsi="宋体"/>
                <w:color w:val="auto"/>
                <w:highlight w:val="none"/>
              </w:rPr>
            </w:pPr>
          </w:p>
        </w:tc>
        <w:tc>
          <w:tcPr>
            <w:tcW w:w="1979" w:type="dxa"/>
            <w:gridSpan w:val="3"/>
            <w:tcBorders>
              <w:top w:val="single" w:color="auto" w:sz="4" w:space="0"/>
              <w:left w:val="single" w:color="auto" w:sz="4" w:space="0"/>
              <w:bottom w:val="single" w:color="auto" w:sz="4" w:space="0"/>
              <w:right w:val="single" w:color="auto" w:sz="4" w:space="0"/>
            </w:tcBorders>
            <w:vAlign w:val="center"/>
          </w:tcPr>
          <w:p w14:paraId="0B802C61">
            <w:pPr>
              <w:spacing w:line="400" w:lineRule="exact"/>
              <w:jc w:val="center"/>
              <w:rPr>
                <w:rFonts w:ascii="宋体" w:hAnsi="宋体"/>
                <w:color w:val="auto"/>
                <w:highlight w:val="none"/>
              </w:rPr>
            </w:pPr>
          </w:p>
        </w:tc>
        <w:tc>
          <w:tcPr>
            <w:tcW w:w="1330" w:type="dxa"/>
            <w:gridSpan w:val="2"/>
            <w:tcBorders>
              <w:top w:val="single" w:color="auto" w:sz="4" w:space="0"/>
              <w:left w:val="single" w:color="auto" w:sz="4" w:space="0"/>
              <w:bottom w:val="single" w:color="auto" w:sz="4" w:space="0"/>
              <w:right w:val="single" w:color="auto" w:sz="4" w:space="0"/>
            </w:tcBorders>
            <w:vAlign w:val="center"/>
          </w:tcPr>
          <w:p w14:paraId="1D10AD08">
            <w:pPr>
              <w:spacing w:line="400" w:lineRule="exact"/>
              <w:jc w:val="center"/>
              <w:rPr>
                <w:rFonts w:ascii="宋体" w:hAnsi="宋体"/>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vAlign w:val="center"/>
          </w:tcPr>
          <w:p w14:paraId="43574030">
            <w:pPr>
              <w:spacing w:line="400" w:lineRule="exact"/>
              <w:jc w:val="center"/>
              <w:rPr>
                <w:rFonts w:ascii="宋体" w:hAnsi="宋体"/>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4EEBE3D6">
            <w:pPr>
              <w:spacing w:line="400" w:lineRule="exact"/>
              <w:jc w:val="center"/>
              <w:rPr>
                <w:rFonts w:ascii="宋体" w:hAnsi="宋体"/>
                <w:color w:val="auto"/>
                <w:highlight w:val="none"/>
              </w:rPr>
            </w:pPr>
          </w:p>
        </w:tc>
      </w:tr>
      <w:tr w14:paraId="436E7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tcBorders>
              <w:top w:val="single" w:color="auto" w:sz="4" w:space="0"/>
              <w:left w:val="single" w:color="auto" w:sz="4" w:space="0"/>
              <w:bottom w:val="single" w:color="auto" w:sz="4" w:space="0"/>
              <w:right w:val="single" w:color="auto" w:sz="4" w:space="0"/>
            </w:tcBorders>
            <w:vAlign w:val="center"/>
          </w:tcPr>
          <w:p w14:paraId="72CDA9A2">
            <w:pPr>
              <w:spacing w:line="400" w:lineRule="exact"/>
              <w:jc w:val="center"/>
              <w:rPr>
                <w:rFonts w:ascii="宋体" w:hAnsi="宋体"/>
                <w:color w:val="auto"/>
                <w:highlight w:val="none"/>
              </w:rPr>
            </w:pPr>
            <w:r>
              <w:rPr>
                <w:rFonts w:hint="eastAsia" w:ascii="宋体" w:hAnsi="宋体" w:cs="宋体"/>
                <w:color w:val="auto"/>
                <w:highlight w:val="none"/>
              </w:rPr>
              <w:t>建设单位</w:t>
            </w:r>
          </w:p>
        </w:tc>
        <w:tc>
          <w:tcPr>
            <w:tcW w:w="1548" w:type="dxa"/>
            <w:gridSpan w:val="2"/>
            <w:tcBorders>
              <w:top w:val="single" w:color="auto" w:sz="4" w:space="0"/>
              <w:left w:val="single" w:color="auto" w:sz="4" w:space="0"/>
              <w:bottom w:val="single" w:color="auto" w:sz="4" w:space="0"/>
              <w:right w:val="single" w:color="auto" w:sz="4" w:space="0"/>
            </w:tcBorders>
            <w:vAlign w:val="center"/>
          </w:tcPr>
          <w:p w14:paraId="409197A8">
            <w:pPr>
              <w:spacing w:line="400" w:lineRule="exact"/>
              <w:jc w:val="center"/>
              <w:rPr>
                <w:rFonts w:ascii="宋体" w:hAnsi="宋体"/>
                <w:color w:val="auto"/>
                <w:highlight w:val="none"/>
              </w:rPr>
            </w:pPr>
          </w:p>
        </w:tc>
        <w:tc>
          <w:tcPr>
            <w:tcW w:w="1979" w:type="dxa"/>
            <w:gridSpan w:val="3"/>
            <w:tcBorders>
              <w:top w:val="single" w:color="auto" w:sz="4" w:space="0"/>
              <w:left w:val="single" w:color="auto" w:sz="4" w:space="0"/>
              <w:bottom w:val="single" w:color="auto" w:sz="4" w:space="0"/>
              <w:right w:val="single" w:color="auto" w:sz="4" w:space="0"/>
            </w:tcBorders>
            <w:vAlign w:val="center"/>
          </w:tcPr>
          <w:p w14:paraId="533B3B7D">
            <w:pPr>
              <w:spacing w:line="400" w:lineRule="exact"/>
              <w:jc w:val="center"/>
              <w:rPr>
                <w:rFonts w:ascii="宋体" w:hAnsi="宋体"/>
                <w:color w:val="auto"/>
                <w:highlight w:val="none"/>
              </w:rPr>
            </w:pPr>
          </w:p>
        </w:tc>
        <w:tc>
          <w:tcPr>
            <w:tcW w:w="1330" w:type="dxa"/>
            <w:gridSpan w:val="2"/>
            <w:tcBorders>
              <w:top w:val="single" w:color="auto" w:sz="4" w:space="0"/>
              <w:left w:val="single" w:color="auto" w:sz="4" w:space="0"/>
              <w:bottom w:val="single" w:color="auto" w:sz="4" w:space="0"/>
              <w:right w:val="single" w:color="auto" w:sz="4" w:space="0"/>
            </w:tcBorders>
            <w:vAlign w:val="center"/>
          </w:tcPr>
          <w:p w14:paraId="69B15B54">
            <w:pPr>
              <w:spacing w:line="400" w:lineRule="exact"/>
              <w:jc w:val="center"/>
              <w:rPr>
                <w:rFonts w:ascii="宋体" w:hAnsi="宋体"/>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vAlign w:val="center"/>
          </w:tcPr>
          <w:p w14:paraId="254E70E5">
            <w:pPr>
              <w:spacing w:line="400" w:lineRule="exact"/>
              <w:jc w:val="center"/>
              <w:rPr>
                <w:rFonts w:ascii="宋体" w:hAnsi="宋体"/>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3560597E">
            <w:pPr>
              <w:spacing w:line="400" w:lineRule="exact"/>
              <w:jc w:val="center"/>
              <w:rPr>
                <w:rFonts w:ascii="宋体" w:hAnsi="宋体"/>
                <w:color w:val="auto"/>
                <w:highlight w:val="none"/>
              </w:rPr>
            </w:pPr>
          </w:p>
        </w:tc>
      </w:tr>
      <w:tr w14:paraId="73D2B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tcBorders>
              <w:top w:val="single" w:color="auto" w:sz="4" w:space="0"/>
              <w:left w:val="single" w:color="auto" w:sz="4" w:space="0"/>
              <w:bottom w:val="single" w:color="auto" w:sz="4" w:space="0"/>
              <w:right w:val="single" w:color="auto" w:sz="4" w:space="0"/>
            </w:tcBorders>
            <w:vAlign w:val="center"/>
          </w:tcPr>
          <w:p w14:paraId="3E3448EE">
            <w:pPr>
              <w:spacing w:line="400" w:lineRule="exact"/>
              <w:jc w:val="center"/>
              <w:rPr>
                <w:rFonts w:ascii="宋体" w:hAnsi="宋体"/>
                <w:color w:val="auto"/>
                <w:highlight w:val="none"/>
              </w:rPr>
            </w:pPr>
            <w:r>
              <w:rPr>
                <w:rFonts w:hint="eastAsia" w:ascii="宋体" w:hAnsi="宋体" w:cs="宋体"/>
                <w:color w:val="auto"/>
                <w:highlight w:val="none"/>
              </w:rPr>
              <w:t>建设规模</w:t>
            </w:r>
          </w:p>
        </w:tc>
        <w:tc>
          <w:tcPr>
            <w:tcW w:w="1548" w:type="dxa"/>
            <w:gridSpan w:val="2"/>
            <w:tcBorders>
              <w:top w:val="single" w:color="auto" w:sz="4" w:space="0"/>
              <w:left w:val="single" w:color="auto" w:sz="4" w:space="0"/>
              <w:bottom w:val="single" w:color="auto" w:sz="4" w:space="0"/>
              <w:right w:val="single" w:color="auto" w:sz="4" w:space="0"/>
            </w:tcBorders>
            <w:vAlign w:val="center"/>
          </w:tcPr>
          <w:p w14:paraId="48FB38A8">
            <w:pPr>
              <w:spacing w:line="400" w:lineRule="exact"/>
              <w:jc w:val="center"/>
              <w:rPr>
                <w:rFonts w:ascii="宋体" w:hAnsi="宋体"/>
                <w:color w:val="auto"/>
                <w:highlight w:val="none"/>
              </w:rPr>
            </w:pPr>
          </w:p>
        </w:tc>
        <w:tc>
          <w:tcPr>
            <w:tcW w:w="1979" w:type="dxa"/>
            <w:gridSpan w:val="3"/>
            <w:tcBorders>
              <w:top w:val="single" w:color="auto" w:sz="4" w:space="0"/>
              <w:left w:val="single" w:color="auto" w:sz="4" w:space="0"/>
              <w:bottom w:val="single" w:color="auto" w:sz="4" w:space="0"/>
              <w:right w:val="single" w:color="auto" w:sz="4" w:space="0"/>
            </w:tcBorders>
            <w:vAlign w:val="center"/>
          </w:tcPr>
          <w:p w14:paraId="557DBEBA">
            <w:pPr>
              <w:spacing w:line="400" w:lineRule="exact"/>
              <w:jc w:val="center"/>
              <w:rPr>
                <w:rFonts w:ascii="宋体" w:hAnsi="宋体"/>
                <w:color w:val="auto"/>
                <w:highlight w:val="none"/>
              </w:rPr>
            </w:pPr>
          </w:p>
        </w:tc>
        <w:tc>
          <w:tcPr>
            <w:tcW w:w="1330" w:type="dxa"/>
            <w:gridSpan w:val="2"/>
            <w:tcBorders>
              <w:top w:val="single" w:color="auto" w:sz="4" w:space="0"/>
              <w:left w:val="single" w:color="auto" w:sz="4" w:space="0"/>
              <w:bottom w:val="single" w:color="auto" w:sz="4" w:space="0"/>
              <w:right w:val="single" w:color="auto" w:sz="4" w:space="0"/>
            </w:tcBorders>
            <w:vAlign w:val="center"/>
          </w:tcPr>
          <w:p w14:paraId="4287068C">
            <w:pPr>
              <w:spacing w:line="400" w:lineRule="exact"/>
              <w:jc w:val="center"/>
              <w:rPr>
                <w:rFonts w:ascii="宋体" w:hAnsi="宋体"/>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vAlign w:val="center"/>
          </w:tcPr>
          <w:p w14:paraId="563AF80A">
            <w:pPr>
              <w:spacing w:line="400" w:lineRule="exact"/>
              <w:jc w:val="center"/>
              <w:rPr>
                <w:rFonts w:ascii="宋体" w:hAnsi="宋体"/>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65C536FD">
            <w:pPr>
              <w:spacing w:line="400" w:lineRule="exact"/>
              <w:jc w:val="center"/>
              <w:rPr>
                <w:rFonts w:ascii="宋体" w:hAnsi="宋体"/>
                <w:color w:val="auto"/>
                <w:highlight w:val="none"/>
              </w:rPr>
            </w:pPr>
          </w:p>
        </w:tc>
      </w:tr>
      <w:tr w14:paraId="2898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tcBorders>
              <w:top w:val="single" w:color="auto" w:sz="4" w:space="0"/>
              <w:left w:val="single" w:color="auto" w:sz="4" w:space="0"/>
              <w:bottom w:val="single" w:color="auto" w:sz="4" w:space="0"/>
              <w:right w:val="single" w:color="auto" w:sz="4" w:space="0"/>
            </w:tcBorders>
            <w:vAlign w:val="center"/>
          </w:tcPr>
          <w:p w14:paraId="0449150A">
            <w:pPr>
              <w:spacing w:line="400" w:lineRule="exact"/>
              <w:jc w:val="center"/>
              <w:rPr>
                <w:rFonts w:ascii="宋体" w:hAnsi="宋体" w:cs="宋体"/>
                <w:color w:val="auto"/>
                <w:sz w:val="27"/>
                <w:szCs w:val="27"/>
                <w:highlight w:val="none"/>
                <w:lang w:bidi="ar"/>
              </w:rPr>
            </w:pPr>
            <w:r>
              <w:rPr>
                <w:rFonts w:hint="eastAsia" w:ascii="宋体" w:hAnsi="宋体" w:cs="宋体"/>
                <w:color w:val="auto"/>
                <w:highlight w:val="none"/>
              </w:rPr>
              <w:t>开工日期</w:t>
            </w:r>
          </w:p>
        </w:tc>
        <w:tc>
          <w:tcPr>
            <w:tcW w:w="1548" w:type="dxa"/>
            <w:gridSpan w:val="2"/>
            <w:tcBorders>
              <w:top w:val="single" w:color="auto" w:sz="4" w:space="0"/>
              <w:left w:val="single" w:color="auto" w:sz="4" w:space="0"/>
              <w:bottom w:val="single" w:color="auto" w:sz="4" w:space="0"/>
              <w:right w:val="single" w:color="auto" w:sz="4" w:space="0"/>
            </w:tcBorders>
            <w:vAlign w:val="center"/>
          </w:tcPr>
          <w:p w14:paraId="524E65FE">
            <w:pPr>
              <w:spacing w:line="400" w:lineRule="exact"/>
              <w:jc w:val="center"/>
              <w:rPr>
                <w:rFonts w:ascii="宋体" w:hAnsi="宋体"/>
                <w:color w:val="auto"/>
                <w:highlight w:val="none"/>
              </w:rPr>
            </w:pPr>
          </w:p>
        </w:tc>
        <w:tc>
          <w:tcPr>
            <w:tcW w:w="1979" w:type="dxa"/>
            <w:gridSpan w:val="3"/>
            <w:tcBorders>
              <w:top w:val="single" w:color="auto" w:sz="4" w:space="0"/>
              <w:left w:val="single" w:color="auto" w:sz="4" w:space="0"/>
              <w:bottom w:val="single" w:color="auto" w:sz="4" w:space="0"/>
              <w:right w:val="single" w:color="auto" w:sz="4" w:space="0"/>
            </w:tcBorders>
            <w:vAlign w:val="center"/>
          </w:tcPr>
          <w:p w14:paraId="388765F5">
            <w:pPr>
              <w:spacing w:line="400" w:lineRule="exact"/>
              <w:jc w:val="center"/>
              <w:rPr>
                <w:rFonts w:ascii="宋体" w:hAnsi="宋体"/>
                <w:color w:val="auto"/>
                <w:highlight w:val="none"/>
              </w:rPr>
            </w:pPr>
          </w:p>
        </w:tc>
        <w:tc>
          <w:tcPr>
            <w:tcW w:w="1330" w:type="dxa"/>
            <w:gridSpan w:val="2"/>
            <w:tcBorders>
              <w:top w:val="single" w:color="auto" w:sz="4" w:space="0"/>
              <w:left w:val="single" w:color="auto" w:sz="4" w:space="0"/>
              <w:bottom w:val="single" w:color="auto" w:sz="4" w:space="0"/>
              <w:right w:val="single" w:color="auto" w:sz="4" w:space="0"/>
            </w:tcBorders>
            <w:vAlign w:val="center"/>
          </w:tcPr>
          <w:p w14:paraId="580CB904">
            <w:pPr>
              <w:spacing w:line="400" w:lineRule="exact"/>
              <w:jc w:val="center"/>
              <w:rPr>
                <w:rFonts w:ascii="宋体" w:hAnsi="宋体"/>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vAlign w:val="center"/>
          </w:tcPr>
          <w:p w14:paraId="3AA04937">
            <w:pPr>
              <w:spacing w:line="400" w:lineRule="exact"/>
              <w:jc w:val="center"/>
              <w:rPr>
                <w:rFonts w:ascii="宋体" w:hAnsi="宋体"/>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1BC48FEA">
            <w:pPr>
              <w:spacing w:line="400" w:lineRule="exact"/>
              <w:jc w:val="center"/>
              <w:rPr>
                <w:rFonts w:ascii="宋体" w:hAnsi="宋体"/>
                <w:color w:val="auto"/>
                <w:highlight w:val="none"/>
              </w:rPr>
            </w:pPr>
          </w:p>
        </w:tc>
      </w:tr>
      <w:tr w14:paraId="139F4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tcBorders>
              <w:top w:val="single" w:color="auto" w:sz="4" w:space="0"/>
              <w:left w:val="single" w:color="auto" w:sz="4" w:space="0"/>
              <w:bottom w:val="single" w:color="auto" w:sz="4" w:space="0"/>
              <w:right w:val="single" w:color="auto" w:sz="4" w:space="0"/>
            </w:tcBorders>
            <w:vAlign w:val="center"/>
          </w:tcPr>
          <w:p w14:paraId="2BD8CBC4">
            <w:pPr>
              <w:spacing w:line="400" w:lineRule="exact"/>
              <w:jc w:val="center"/>
              <w:rPr>
                <w:rFonts w:ascii="宋体" w:hAnsi="宋体"/>
                <w:color w:val="auto"/>
                <w:highlight w:val="none"/>
              </w:rPr>
            </w:pPr>
            <w:r>
              <w:rPr>
                <w:rFonts w:hint="eastAsia" w:ascii="宋体" w:hAnsi="宋体" w:cs="宋体"/>
                <w:color w:val="auto"/>
                <w:highlight w:val="none"/>
              </w:rPr>
              <w:t>竣工日期</w:t>
            </w:r>
          </w:p>
        </w:tc>
        <w:tc>
          <w:tcPr>
            <w:tcW w:w="1548" w:type="dxa"/>
            <w:gridSpan w:val="2"/>
            <w:tcBorders>
              <w:top w:val="single" w:color="auto" w:sz="4" w:space="0"/>
              <w:left w:val="single" w:color="auto" w:sz="4" w:space="0"/>
              <w:bottom w:val="single" w:color="auto" w:sz="4" w:space="0"/>
              <w:right w:val="single" w:color="auto" w:sz="4" w:space="0"/>
            </w:tcBorders>
            <w:vAlign w:val="center"/>
          </w:tcPr>
          <w:p w14:paraId="3C469A47">
            <w:pPr>
              <w:spacing w:line="400" w:lineRule="exact"/>
              <w:jc w:val="center"/>
              <w:rPr>
                <w:rFonts w:ascii="宋体" w:hAnsi="宋体"/>
                <w:color w:val="auto"/>
                <w:highlight w:val="none"/>
              </w:rPr>
            </w:pPr>
          </w:p>
        </w:tc>
        <w:tc>
          <w:tcPr>
            <w:tcW w:w="1979" w:type="dxa"/>
            <w:gridSpan w:val="3"/>
            <w:tcBorders>
              <w:top w:val="single" w:color="auto" w:sz="4" w:space="0"/>
              <w:left w:val="single" w:color="auto" w:sz="4" w:space="0"/>
              <w:bottom w:val="single" w:color="auto" w:sz="4" w:space="0"/>
              <w:right w:val="single" w:color="auto" w:sz="4" w:space="0"/>
            </w:tcBorders>
            <w:vAlign w:val="center"/>
          </w:tcPr>
          <w:p w14:paraId="667AA907">
            <w:pPr>
              <w:spacing w:line="400" w:lineRule="exact"/>
              <w:jc w:val="center"/>
              <w:rPr>
                <w:rFonts w:ascii="宋体" w:hAnsi="宋体"/>
                <w:color w:val="auto"/>
                <w:highlight w:val="none"/>
              </w:rPr>
            </w:pPr>
          </w:p>
        </w:tc>
        <w:tc>
          <w:tcPr>
            <w:tcW w:w="1330" w:type="dxa"/>
            <w:gridSpan w:val="2"/>
            <w:tcBorders>
              <w:top w:val="single" w:color="auto" w:sz="4" w:space="0"/>
              <w:left w:val="single" w:color="auto" w:sz="4" w:space="0"/>
              <w:bottom w:val="single" w:color="auto" w:sz="4" w:space="0"/>
              <w:right w:val="single" w:color="auto" w:sz="4" w:space="0"/>
            </w:tcBorders>
            <w:vAlign w:val="center"/>
          </w:tcPr>
          <w:p w14:paraId="4444E4F6">
            <w:pPr>
              <w:spacing w:line="400" w:lineRule="exact"/>
              <w:jc w:val="center"/>
              <w:rPr>
                <w:rFonts w:ascii="宋体" w:hAnsi="宋体"/>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vAlign w:val="center"/>
          </w:tcPr>
          <w:p w14:paraId="19234FAA">
            <w:pPr>
              <w:spacing w:line="400" w:lineRule="exact"/>
              <w:jc w:val="center"/>
              <w:rPr>
                <w:rFonts w:ascii="宋体" w:hAnsi="宋体"/>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1D48B7C7">
            <w:pPr>
              <w:spacing w:line="400" w:lineRule="exact"/>
              <w:jc w:val="center"/>
              <w:rPr>
                <w:rFonts w:ascii="宋体" w:hAnsi="宋体"/>
                <w:color w:val="auto"/>
                <w:highlight w:val="none"/>
              </w:rPr>
            </w:pPr>
          </w:p>
        </w:tc>
      </w:tr>
      <w:tr w14:paraId="32875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tcBorders>
              <w:top w:val="single" w:color="auto" w:sz="4" w:space="0"/>
              <w:left w:val="single" w:color="auto" w:sz="4" w:space="0"/>
              <w:bottom w:val="single" w:color="auto" w:sz="4" w:space="0"/>
              <w:right w:val="single" w:color="auto" w:sz="4" w:space="0"/>
            </w:tcBorders>
            <w:vAlign w:val="center"/>
          </w:tcPr>
          <w:p w14:paraId="0A7F3870">
            <w:pPr>
              <w:spacing w:line="400" w:lineRule="exact"/>
              <w:jc w:val="center"/>
              <w:rPr>
                <w:rFonts w:ascii="宋体" w:hAnsi="宋体" w:cs="宋体"/>
                <w:color w:val="auto"/>
                <w:highlight w:val="none"/>
              </w:rPr>
            </w:pPr>
            <w:r>
              <w:rPr>
                <w:rFonts w:hint="eastAsia" w:ascii="宋体" w:hAnsi="宋体" w:cs="宋体"/>
                <w:color w:val="auto"/>
                <w:highlight w:val="none"/>
              </w:rPr>
              <w:t>人员角色</w:t>
            </w:r>
          </w:p>
        </w:tc>
        <w:tc>
          <w:tcPr>
            <w:tcW w:w="1548" w:type="dxa"/>
            <w:gridSpan w:val="2"/>
            <w:tcBorders>
              <w:top w:val="single" w:color="auto" w:sz="4" w:space="0"/>
              <w:left w:val="single" w:color="auto" w:sz="4" w:space="0"/>
              <w:bottom w:val="single" w:color="auto" w:sz="4" w:space="0"/>
              <w:right w:val="single" w:color="auto" w:sz="4" w:space="0"/>
            </w:tcBorders>
            <w:vAlign w:val="center"/>
          </w:tcPr>
          <w:p w14:paraId="7DCF37E0">
            <w:pPr>
              <w:spacing w:line="400" w:lineRule="exact"/>
              <w:jc w:val="center"/>
              <w:rPr>
                <w:rFonts w:ascii="宋体" w:hAnsi="宋体"/>
                <w:color w:val="auto"/>
                <w:highlight w:val="none"/>
              </w:rPr>
            </w:pPr>
          </w:p>
        </w:tc>
        <w:tc>
          <w:tcPr>
            <w:tcW w:w="1979" w:type="dxa"/>
            <w:gridSpan w:val="3"/>
            <w:tcBorders>
              <w:top w:val="single" w:color="auto" w:sz="4" w:space="0"/>
              <w:left w:val="single" w:color="auto" w:sz="4" w:space="0"/>
              <w:bottom w:val="single" w:color="auto" w:sz="4" w:space="0"/>
              <w:right w:val="single" w:color="auto" w:sz="4" w:space="0"/>
            </w:tcBorders>
            <w:vAlign w:val="center"/>
          </w:tcPr>
          <w:p w14:paraId="374E044F">
            <w:pPr>
              <w:spacing w:line="400" w:lineRule="exact"/>
              <w:jc w:val="center"/>
              <w:rPr>
                <w:rFonts w:ascii="宋体" w:hAnsi="宋体"/>
                <w:color w:val="auto"/>
                <w:highlight w:val="none"/>
              </w:rPr>
            </w:pPr>
          </w:p>
        </w:tc>
        <w:tc>
          <w:tcPr>
            <w:tcW w:w="1330" w:type="dxa"/>
            <w:gridSpan w:val="2"/>
            <w:tcBorders>
              <w:top w:val="single" w:color="auto" w:sz="4" w:space="0"/>
              <w:left w:val="single" w:color="auto" w:sz="4" w:space="0"/>
              <w:bottom w:val="single" w:color="auto" w:sz="4" w:space="0"/>
              <w:right w:val="single" w:color="auto" w:sz="4" w:space="0"/>
            </w:tcBorders>
            <w:vAlign w:val="center"/>
          </w:tcPr>
          <w:p w14:paraId="67843AA2">
            <w:pPr>
              <w:spacing w:line="400" w:lineRule="exact"/>
              <w:jc w:val="center"/>
              <w:rPr>
                <w:rFonts w:ascii="宋体" w:hAnsi="宋体"/>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vAlign w:val="center"/>
          </w:tcPr>
          <w:p w14:paraId="3B723245">
            <w:pPr>
              <w:spacing w:line="400" w:lineRule="exact"/>
              <w:jc w:val="center"/>
              <w:rPr>
                <w:rFonts w:ascii="宋体" w:hAnsi="宋体"/>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5E722242">
            <w:pPr>
              <w:spacing w:line="400" w:lineRule="exact"/>
              <w:jc w:val="center"/>
              <w:rPr>
                <w:rFonts w:ascii="宋体" w:hAnsi="宋体"/>
                <w:color w:val="auto"/>
                <w:highlight w:val="none"/>
              </w:rPr>
            </w:pPr>
          </w:p>
        </w:tc>
      </w:tr>
      <w:tr w14:paraId="2E223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tcBorders>
              <w:top w:val="single" w:color="auto" w:sz="4" w:space="0"/>
              <w:left w:val="single" w:color="auto" w:sz="4" w:space="0"/>
              <w:bottom w:val="single" w:color="auto" w:sz="4" w:space="0"/>
              <w:right w:val="single" w:color="auto" w:sz="4" w:space="0"/>
            </w:tcBorders>
            <w:vAlign w:val="center"/>
          </w:tcPr>
          <w:p w14:paraId="75C18E86">
            <w:pPr>
              <w:spacing w:line="400" w:lineRule="exact"/>
              <w:jc w:val="center"/>
              <w:rPr>
                <w:rFonts w:ascii="宋体" w:hAnsi="宋体" w:cs="宋体"/>
                <w:color w:val="auto"/>
                <w:highlight w:val="none"/>
              </w:rPr>
            </w:pPr>
            <w:r>
              <w:rPr>
                <w:rFonts w:hint="eastAsia" w:ascii="宋体" w:hAnsi="宋体" w:cs="宋体"/>
                <w:color w:val="auto"/>
                <w:highlight w:val="none"/>
              </w:rPr>
              <w:t>在建或已完</w:t>
            </w:r>
          </w:p>
        </w:tc>
        <w:tc>
          <w:tcPr>
            <w:tcW w:w="1548" w:type="dxa"/>
            <w:gridSpan w:val="2"/>
            <w:tcBorders>
              <w:top w:val="single" w:color="auto" w:sz="4" w:space="0"/>
              <w:left w:val="single" w:color="auto" w:sz="4" w:space="0"/>
              <w:bottom w:val="single" w:color="auto" w:sz="4" w:space="0"/>
              <w:right w:val="single" w:color="auto" w:sz="4" w:space="0"/>
            </w:tcBorders>
            <w:vAlign w:val="center"/>
          </w:tcPr>
          <w:p w14:paraId="6E4FC521">
            <w:pPr>
              <w:spacing w:line="400" w:lineRule="exact"/>
              <w:jc w:val="center"/>
              <w:rPr>
                <w:rFonts w:ascii="宋体" w:hAnsi="宋体"/>
                <w:color w:val="auto"/>
                <w:highlight w:val="none"/>
              </w:rPr>
            </w:pPr>
          </w:p>
        </w:tc>
        <w:tc>
          <w:tcPr>
            <w:tcW w:w="1979" w:type="dxa"/>
            <w:gridSpan w:val="3"/>
            <w:tcBorders>
              <w:top w:val="single" w:color="auto" w:sz="4" w:space="0"/>
              <w:left w:val="single" w:color="auto" w:sz="4" w:space="0"/>
              <w:bottom w:val="single" w:color="auto" w:sz="4" w:space="0"/>
              <w:right w:val="single" w:color="auto" w:sz="4" w:space="0"/>
            </w:tcBorders>
            <w:vAlign w:val="center"/>
          </w:tcPr>
          <w:p w14:paraId="6615F512">
            <w:pPr>
              <w:spacing w:line="400" w:lineRule="exact"/>
              <w:jc w:val="center"/>
              <w:rPr>
                <w:rFonts w:ascii="宋体" w:hAnsi="宋体"/>
                <w:color w:val="auto"/>
                <w:highlight w:val="none"/>
              </w:rPr>
            </w:pPr>
          </w:p>
        </w:tc>
        <w:tc>
          <w:tcPr>
            <w:tcW w:w="1330" w:type="dxa"/>
            <w:gridSpan w:val="2"/>
            <w:tcBorders>
              <w:top w:val="single" w:color="auto" w:sz="4" w:space="0"/>
              <w:left w:val="single" w:color="auto" w:sz="4" w:space="0"/>
              <w:bottom w:val="single" w:color="auto" w:sz="4" w:space="0"/>
              <w:right w:val="single" w:color="auto" w:sz="4" w:space="0"/>
            </w:tcBorders>
            <w:vAlign w:val="center"/>
          </w:tcPr>
          <w:p w14:paraId="1C7DA3D8">
            <w:pPr>
              <w:spacing w:line="400" w:lineRule="exact"/>
              <w:jc w:val="center"/>
              <w:rPr>
                <w:rFonts w:ascii="宋体" w:hAnsi="宋体"/>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vAlign w:val="center"/>
          </w:tcPr>
          <w:p w14:paraId="6DBD1885">
            <w:pPr>
              <w:spacing w:line="400" w:lineRule="exact"/>
              <w:jc w:val="center"/>
              <w:rPr>
                <w:rFonts w:ascii="宋体" w:hAnsi="宋体"/>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184F17C2">
            <w:pPr>
              <w:spacing w:line="400" w:lineRule="exact"/>
              <w:jc w:val="center"/>
              <w:rPr>
                <w:rFonts w:ascii="宋体" w:hAnsi="宋体"/>
                <w:color w:val="auto"/>
                <w:highlight w:val="none"/>
              </w:rPr>
            </w:pPr>
          </w:p>
        </w:tc>
      </w:tr>
      <w:tr w14:paraId="378B9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tcBorders>
              <w:top w:val="single" w:color="auto" w:sz="4" w:space="0"/>
              <w:left w:val="single" w:color="auto" w:sz="4" w:space="0"/>
              <w:bottom w:val="single" w:color="auto" w:sz="4" w:space="0"/>
              <w:right w:val="single" w:color="auto" w:sz="4" w:space="0"/>
            </w:tcBorders>
            <w:vAlign w:val="center"/>
          </w:tcPr>
          <w:p w14:paraId="3B749BCB">
            <w:pPr>
              <w:spacing w:line="400" w:lineRule="exact"/>
              <w:jc w:val="center"/>
              <w:rPr>
                <w:rFonts w:ascii="宋体" w:hAnsi="宋体" w:cs="宋体"/>
                <w:color w:val="auto"/>
                <w:highlight w:val="none"/>
              </w:rPr>
            </w:pPr>
            <w:r>
              <w:rPr>
                <w:rFonts w:hint="eastAsia" w:ascii="宋体" w:hAnsi="宋体" w:cs="宋体"/>
                <w:color w:val="auto"/>
                <w:highlight w:val="none"/>
              </w:rPr>
              <w:t>工程质量</w:t>
            </w:r>
          </w:p>
        </w:tc>
        <w:tc>
          <w:tcPr>
            <w:tcW w:w="1548" w:type="dxa"/>
            <w:gridSpan w:val="2"/>
            <w:tcBorders>
              <w:top w:val="single" w:color="auto" w:sz="4" w:space="0"/>
              <w:left w:val="single" w:color="auto" w:sz="4" w:space="0"/>
              <w:bottom w:val="single" w:color="auto" w:sz="4" w:space="0"/>
              <w:right w:val="single" w:color="auto" w:sz="4" w:space="0"/>
            </w:tcBorders>
            <w:vAlign w:val="center"/>
          </w:tcPr>
          <w:p w14:paraId="1A430810">
            <w:pPr>
              <w:spacing w:line="400" w:lineRule="exact"/>
              <w:jc w:val="center"/>
              <w:rPr>
                <w:rFonts w:ascii="宋体" w:hAnsi="宋体"/>
                <w:color w:val="auto"/>
                <w:highlight w:val="none"/>
              </w:rPr>
            </w:pPr>
          </w:p>
        </w:tc>
        <w:tc>
          <w:tcPr>
            <w:tcW w:w="1979" w:type="dxa"/>
            <w:gridSpan w:val="3"/>
            <w:tcBorders>
              <w:top w:val="single" w:color="auto" w:sz="4" w:space="0"/>
              <w:left w:val="single" w:color="auto" w:sz="4" w:space="0"/>
              <w:bottom w:val="single" w:color="auto" w:sz="4" w:space="0"/>
              <w:right w:val="single" w:color="auto" w:sz="4" w:space="0"/>
            </w:tcBorders>
            <w:vAlign w:val="center"/>
          </w:tcPr>
          <w:p w14:paraId="11A52AF5">
            <w:pPr>
              <w:spacing w:line="400" w:lineRule="exact"/>
              <w:jc w:val="center"/>
              <w:rPr>
                <w:rFonts w:ascii="宋体" w:hAnsi="宋体"/>
                <w:color w:val="auto"/>
                <w:highlight w:val="none"/>
              </w:rPr>
            </w:pPr>
          </w:p>
        </w:tc>
        <w:tc>
          <w:tcPr>
            <w:tcW w:w="1330" w:type="dxa"/>
            <w:gridSpan w:val="2"/>
            <w:tcBorders>
              <w:top w:val="single" w:color="auto" w:sz="4" w:space="0"/>
              <w:left w:val="single" w:color="auto" w:sz="4" w:space="0"/>
              <w:bottom w:val="single" w:color="auto" w:sz="4" w:space="0"/>
              <w:right w:val="single" w:color="auto" w:sz="4" w:space="0"/>
            </w:tcBorders>
            <w:vAlign w:val="center"/>
          </w:tcPr>
          <w:p w14:paraId="7BFBAFA7">
            <w:pPr>
              <w:spacing w:line="400" w:lineRule="exact"/>
              <w:jc w:val="center"/>
              <w:rPr>
                <w:rFonts w:ascii="宋体" w:hAnsi="宋体"/>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vAlign w:val="center"/>
          </w:tcPr>
          <w:p w14:paraId="3A5E0FCC">
            <w:pPr>
              <w:spacing w:line="400" w:lineRule="exact"/>
              <w:jc w:val="center"/>
              <w:rPr>
                <w:rFonts w:ascii="宋体" w:hAnsi="宋体"/>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4953B8B1">
            <w:pPr>
              <w:spacing w:line="400" w:lineRule="exact"/>
              <w:jc w:val="center"/>
              <w:rPr>
                <w:rFonts w:ascii="宋体" w:hAnsi="宋体"/>
                <w:color w:val="auto"/>
                <w:highlight w:val="none"/>
              </w:rPr>
            </w:pPr>
          </w:p>
        </w:tc>
      </w:tr>
      <w:tr w14:paraId="282E9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tcBorders>
              <w:top w:val="single" w:color="auto" w:sz="4" w:space="0"/>
              <w:left w:val="single" w:color="auto" w:sz="4" w:space="0"/>
              <w:bottom w:val="single" w:color="auto" w:sz="4" w:space="0"/>
              <w:right w:val="single" w:color="auto" w:sz="4" w:space="0"/>
            </w:tcBorders>
            <w:vAlign w:val="center"/>
          </w:tcPr>
          <w:p w14:paraId="46AC36C5">
            <w:pPr>
              <w:spacing w:line="400" w:lineRule="exact"/>
              <w:jc w:val="center"/>
              <w:rPr>
                <w:rFonts w:ascii="宋体" w:hAnsi="宋体" w:cs="宋体"/>
                <w:color w:val="auto"/>
                <w:highlight w:val="none"/>
              </w:rPr>
            </w:pPr>
            <w:r>
              <w:rPr>
                <w:rFonts w:hint="eastAsia" w:ascii="宋体" w:hAnsi="宋体" w:cs="宋体"/>
                <w:color w:val="auto"/>
                <w:highlight w:val="none"/>
              </w:rPr>
              <w:t>受奖情况</w:t>
            </w:r>
          </w:p>
        </w:tc>
        <w:tc>
          <w:tcPr>
            <w:tcW w:w="1548" w:type="dxa"/>
            <w:gridSpan w:val="2"/>
            <w:tcBorders>
              <w:top w:val="single" w:color="auto" w:sz="4" w:space="0"/>
              <w:left w:val="single" w:color="auto" w:sz="4" w:space="0"/>
              <w:bottom w:val="single" w:color="auto" w:sz="4" w:space="0"/>
              <w:right w:val="single" w:color="auto" w:sz="4" w:space="0"/>
            </w:tcBorders>
            <w:vAlign w:val="center"/>
          </w:tcPr>
          <w:p w14:paraId="716BA840">
            <w:pPr>
              <w:spacing w:line="400" w:lineRule="exact"/>
              <w:jc w:val="center"/>
              <w:rPr>
                <w:rFonts w:ascii="宋体" w:hAnsi="宋体"/>
                <w:color w:val="auto"/>
                <w:highlight w:val="none"/>
              </w:rPr>
            </w:pPr>
          </w:p>
        </w:tc>
        <w:tc>
          <w:tcPr>
            <w:tcW w:w="1979" w:type="dxa"/>
            <w:gridSpan w:val="3"/>
            <w:tcBorders>
              <w:top w:val="single" w:color="auto" w:sz="4" w:space="0"/>
              <w:left w:val="single" w:color="auto" w:sz="4" w:space="0"/>
              <w:bottom w:val="single" w:color="auto" w:sz="4" w:space="0"/>
              <w:right w:val="single" w:color="auto" w:sz="4" w:space="0"/>
            </w:tcBorders>
            <w:vAlign w:val="center"/>
          </w:tcPr>
          <w:p w14:paraId="46686373">
            <w:pPr>
              <w:spacing w:line="400" w:lineRule="exact"/>
              <w:jc w:val="center"/>
              <w:rPr>
                <w:rFonts w:ascii="宋体" w:hAnsi="宋体"/>
                <w:color w:val="auto"/>
                <w:highlight w:val="none"/>
              </w:rPr>
            </w:pPr>
          </w:p>
        </w:tc>
        <w:tc>
          <w:tcPr>
            <w:tcW w:w="1330" w:type="dxa"/>
            <w:gridSpan w:val="2"/>
            <w:tcBorders>
              <w:top w:val="single" w:color="auto" w:sz="4" w:space="0"/>
              <w:left w:val="single" w:color="auto" w:sz="4" w:space="0"/>
              <w:bottom w:val="single" w:color="auto" w:sz="4" w:space="0"/>
              <w:right w:val="single" w:color="auto" w:sz="4" w:space="0"/>
            </w:tcBorders>
            <w:vAlign w:val="center"/>
          </w:tcPr>
          <w:p w14:paraId="034DC73A">
            <w:pPr>
              <w:spacing w:line="400" w:lineRule="exact"/>
              <w:jc w:val="center"/>
              <w:rPr>
                <w:rFonts w:ascii="宋体" w:hAnsi="宋体"/>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vAlign w:val="center"/>
          </w:tcPr>
          <w:p w14:paraId="66D983AA">
            <w:pPr>
              <w:spacing w:line="400" w:lineRule="exact"/>
              <w:jc w:val="center"/>
              <w:rPr>
                <w:rFonts w:ascii="宋体" w:hAnsi="宋体"/>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638E8C05">
            <w:pPr>
              <w:spacing w:line="400" w:lineRule="exact"/>
              <w:jc w:val="center"/>
              <w:rPr>
                <w:rFonts w:ascii="宋体" w:hAnsi="宋体"/>
                <w:color w:val="auto"/>
                <w:highlight w:val="none"/>
              </w:rPr>
            </w:pPr>
          </w:p>
        </w:tc>
      </w:tr>
    </w:tbl>
    <w:p w14:paraId="0117C28F">
      <w:pPr>
        <w:spacing w:line="360" w:lineRule="auto"/>
        <w:rPr>
          <w:rFonts w:ascii="宋体" w:hAnsi="宋体"/>
          <w:color w:val="auto"/>
          <w:szCs w:val="21"/>
          <w:highlight w:val="none"/>
        </w:rPr>
      </w:pPr>
      <w:r>
        <w:rPr>
          <w:rFonts w:hint="eastAsia" w:ascii="宋体" w:hAnsi="宋体" w:cs="楷体_GB2312"/>
          <w:color w:val="auto"/>
          <w:szCs w:val="21"/>
          <w:highlight w:val="none"/>
        </w:rPr>
        <w:t>备注：</w:t>
      </w:r>
    </w:p>
    <w:p w14:paraId="003BCCC2">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.项目</w:t>
      </w:r>
      <w:r>
        <w:rPr>
          <w:rFonts w:ascii="宋体" w:hAnsi="宋体"/>
          <w:color w:val="auto"/>
          <w:szCs w:val="21"/>
          <w:highlight w:val="none"/>
        </w:rPr>
        <w:t>数</w:t>
      </w:r>
      <w:r>
        <w:rPr>
          <w:rFonts w:hint="eastAsia" w:ascii="宋体" w:hAnsi="宋体"/>
          <w:color w:val="auto"/>
          <w:szCs w:val="21"/>
          <w:highlight w:val="none"/>
        </w:rPr>
        <w:t>可</w:t>
      </w:r>
      <w:r>
        <w:rPr>
          <w:rFonts w:ascii="宋体" w:hAnsi="宋体"/>
          <w:color w:val="auto"/>
          <w:szCs w:val="21"/>
          <w:highlight w:val="none"/>
        </w:rPr>
        <w:t>以根据需要增加。</w:t>
      </w:r>
    </w:p>
    <w:p w14:paraId="2F38CEB5">
      <w:pPr>
        <w:spacing w:line="360" w:lineRule="auto"/>
        <w:ind w:firstLine="420" w:firstLineChars="200"/>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2.本表后附项目技术负责人（项目总工）本表所列证书扫描件并加盖供应商电子签章。</w:t>
      </w:r>
    </w:p>
    <w:p w14:paraId="4D72658F">
      <w:pPr>
        <w:spacing w:line="360" w:lineRule="auto"/>
        <w:ind w:firstLine="420" w:firstLineChars="200"/>
        <w:rPr>
          <w:rFonts w:hint="eastAsia" w:ascii="宋体" w:hAnsi="宋体" w:cs="Times New Roman"/>
          <w:color w:val="auto"/>
          <w:szCs w:val="21"/>
          <w:highlight w:val="none"/>
        </w:rPr>
      </w:pPr>
    </w:p>
    <w:p w14:paraId="1222ED33">
      <w:pPr>
        <w:spacing w:before="120" w:beforeLines="50"/>
        <w:ind w:firstLine="562" w:firstLineChars="200"/>
        <w:jc w:val="center"/>
        <w:rPr>
          <w:color w:val="auto"/>
          <w:highlight w:val="none"/>
          <w:u w:val="single"/>
        </w:rPr>
      </w:pPr>
      <w:r>
        <w:rPr>
          <w:rFonts w:cs="宋体"/>
          <w:b/>
          <w:bCs/>
          <w:color w:val="auto"/>
          <w:sz w:val="28"/>
          <w:szCs w:val="28"/>
          <w:highlight w:val="none"/>
        </w:rPr>
        <w:br w:type="page"/>
      </w:r>
      <w:r>
        <w:rPr>
          <w:rFonts w:hint="eastAsia" w:cs="宋体"/>
          <w:b/>
          <w:color w:val="auto"/>
          <w:sz w:val="32"/>
          <w:szCs w:val="32"/>
          <w:highlight w:val="none"/>
        </w:rPr>
        <w:t>专职安全生产管理人员</w:t>
      </w:r>
    </w:p>
    <w:tbl>
      <w:tblPr>
        <w:tblStyle w:val="44"/>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77"/>
        <w:gridCol w:w="387"/>
        <w:gridCol w:w="888"/>
        <w:gridCol w:w="660"/>
        <w:gridCol w:w="328"/>
        <w:gridCol w:w="234"/>
        <w:gridCol w:w="1417"/>
        <w:gridCol w:w="242"/>
        <w:gridCol w:w="1088"/>
        <w:gridCol w:w="88"/>
        <w:gridCol w:w="409"/>
        <w:gridCol w:w="1108"/>
        <w:gridCol w:w="36"/>
        <w:gridCol w:w="79"/>
        <w:gridCol w:w="1405"/>
        <w:gridCol w:w="11"/>
      </w:tblGrid>
      <w:tr w14:paraId="7881B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vAlign w:val="center"/>
          </w:tcPr>
          <w:p w14:paraId="452F30FF">
            <w:pPr>
              <w:jc w:val="center"/>
              <w:rPr>
                <w:color w:val="auto"/>
                <w:highlight w:val="none"/>
              </w:rPr>
            </w:pPr>
            <w:r>
              <w:rPr>
                <w:rFonts w:hint="eastAsia" w:cs="宋体"/>
                <w:color w:val="auto"/>
                <w:highlight w:val="none"/>
              </w:rPr>
              <w:t>姓名</w:t>
            </w:r>
          </w:p>
        </w:tc>
        <w:tc>
          <w:tcPr>
            <w:tcW w:w="2340" w:type="dxa"/>
            <w:gridSpan w:val="5"/>
            <w:vAlign w:val="center"/>
          </w:tcPr>
          <w:p w14:paraId="30D0F1E9">
            <w:pPr>
              <w:jc w:val="center"/>
              <w:rPr>
                <w:color w:val="auto"/>
                <w:highlight w:val="none"/>
              </w:rPr>
            </w:pPr>
          </w:p>
        </w:tc>
        <w:tc>
          <w:tcPr>
            <w:tcW w:w="1893" w:type="dxa"/>
            <w:gridSpan w:val="3"/>
            <w:vAlign w:val="center"/>
          </w:tcPr>
          <w:p w14:paraId="2BD346C5">
            <w:pPr>
              <w:jc w:val="center"/>
              <w:rPr>
                <w:color w:val="auto"/>
                <w:highlight w:val="none"/>
              </w:rPr>
            </w:pPr>
            <w:r>
              <w:rPr>
                <w:rFonts w:hint="eastAsia" w:cs="宋体"/>
                <w:color w:val="auto"/>
                <w:highlight w:val="none"/>
              </w:rPr>
              <w:t>性别</w:t>
            </w:r>
          </w:p>
        </w:tc>
        <w:tc>
          <w:tcPr>
            <w:tcW w:w="1585" w:type="dxa"/>
            <w:gridSpan w:val="3"/>
            <w:vAlign w:val="center"/>
          </w:tcPr>
          <w:p w14:paraId="2AE82E4E">
            <w:pPr>
              <w:jc w:val="center"/>
              <w:rPr>
                <w:color w:val="auto"/>
                <w:highlight w:val="none"/>
              </w:rPr>
            </w:pPr>
          </w:p>
        </w:tc>
        <w:tc>
          <w:tcPr>
            <w:tcW w:w="1108" w:type="dxa"/>
            <w:vAlign w:val="center"/>
          </w:tcPr>
          <w:p w14:paraId="3A952EC9">
            <w:pPr>
              <w:jc w:val="center"/>
              <w:rPr>
                <w:color w:val="auto"/>
                <w:highlight w:val="none"/>
              </w:rPr>
            </w:pPr>
            <w:r>
              <w:rPr>
                <w:rFonts w:hint="eastAsia" w:cs="宋体"/>
                <w:color w:val="auto"/>
                <w:highlight w:val="none"/>
              </w:rPr>
              <w:t>年龄</w:t>
            </w:r>
          </w:p>
        </w:tc>
        <w:tc>
          <w:tcPr>
            <w:tcW w:w="1531" w:type="dxa"/>
            <w:gridSpan w:val="4"/>
            <w:vAlign w:val="center"/>
          </w:tcPr>
          <w:p w14:paraId="1A5CD156">
            <w:pPr>
              <w:jc w:val="center"/>
              <w:rPr>
                <w:color w:val="auto"/>
                <w:highlight w:val="none"/>
              </w:rPr>
            </w:pPr>
          </w:p>
        </w:tc>
      </w:tr>
      <w:tr w14:paraId="70C78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vAlign w:val="center"/>
          </w:tcPr>
          <w:p w14:paraId="6F0A6096">
            <w:pPr>
              <w:jc w:val="center"/>
              <w:rPr>
                <w:color w:val="auto"/>
                <w:highlight w:val="none"/>
              </w:rPr>
            </w:pPr>
            <w:r>
              <w:rPr>
                <w:rFonts w:hint="eastAsia" w:cs="宋体"/>
                <w:color w:val="auto"/>
                <w:highlight w:val="none"/>
              </w:rPr>
              <w:t>岗位</w:t>
            </w:r>
          </w:p>
        </w:tc>
        <w:tc>
          <w:tcPr>
            <w:tcW w:w="2340" w:type="dxa"/>
            <w:gridSpan w:val="5"/>
            <w:vAlign w:val="center"/>
          </w:tcPr>
          <w:p w14:paraId="684FAEB9">
            <w:pPr>
              <w:jc w:val="center"/>
              <w:rPr>
                <w:color w:val="auto"/>
                <w:highlight w:val="none"/>
              </w:rPr>
            </w:pPr>
            <w:r>
              <w:rPr>
                <w:rFonts w:hint="eastAsia"/>
                <w:color w:val="auto"/>
                <w:highlight w:val="none"/>
              </w:rPr>
              <w:t>专职安全生产管理人员</w:t>
            </w:r>
          </w:p>
        </w:tc>
        <w:tc>
          <w:tcPr>
            <w:tcW w:w="1893" w:type="dxa"/>
            <w:gridSpan w:val="3"/>
            <w:vAlign w:val="center"/>
          </w:tcPr>
          <w:p w14:paraId="1A98DA9C">
            <w:pPr>
              <w:jc w:val="center"/>
              <w:rPr>
                <w:color w:val="auto"/>
                <w:highlight w:val="none"/>
              </w:rPr>
            </w:pPr>
            <w:r>
              <w:rPr>
                <w:rFonts w:hint="eastAsia" w:cs="宋体"/>
                <w:color w:val="auto"/>
                <w:highlight w:val="none"/>
              </w:rPr>
              <w:t>职称</w:t>
            </w:r>
          </w:p>
        </w:tc>
        <w:tc>
          <w:tcPr>
            <w:tcW w:w="1585" w:type="dxa"/>
            <w:gridSpan w:val="3"/>
            <w:vAlign w:val="center"/>
          </w:tcPr>
          <w:p w14:paraId="33922E34">
            <w:pPr>
              <w:jc w:val="center"/>
              <w:rPr>
                <w:color w:val="auto"/>
                <w:highlight w:val="none"/>
              </w:rPr>
            </w:pPr>
          </w:p>
        </w:tc>
        <w:tc>
          <w:tcPr>
            <w:tcW w:w="1108" w:type="dxa"/>
            <w:vAlign w:val="center"/>
          </w:tcPr>
          <w:p w14:paraId="2BCEFF2E">
            <w:pPr>
              <w:jc w:val="center"/>
              <w:rPr>
                <w:color w:val="auto"/>
                <w:highlight w:val="none"/>
              </w:rPr>
            </w:pPr>
            <w:r>
              <w:rPr>
                <w:rFonts w:hint="eastAsia" w:cs="宋体"/>
                <w:color w:val="auto"/>
                <w:highlight w:val="none"/>
              </w:rPr>
              <w:t>学历</w:t>
            </w:r>
          </w:p>
        </w:tc>
        <w:tc>
          <w:tcPr>
            <w:tcW w:w="1531" w:type="dxa"/>
            <w:gridSpan w:val="4"/>
            <w:vAlign w:val="center"/>
          </w:tcPr>
          <w:p w14:paraId="0496E302">
            <w:pPr>
              <w:jc w:val="center"/>
              <w:rPr>
                <w:color w:val="auto"/>
                <w:highlight w:val="none"/>
              </w:rPr>
            </w:pPr>
          </w:p>
        </w:tc>
      </w:tr>
      <w:tr w14:paraId="74F8D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vAlign w:val="center"/>
          </w:tcPr>
          <w:p w14:paraId="4A7260C7">
            <w:pPr>
              <w:jc w:val="center"/>
              <w:rPr>
                <w:rFonts w:cs="宋体"/>
                <w:color w:val="auto"/>
                <w:highlight w:val="none"/>
              </w:rPr>
            </w:pPr>
            <w:r>
              <w:rPr>
                <w:rFonts w:hint="eastAsia" w:cs="宋体"/>
                <w:color w:val="auto"/>
                <w:highlight w:val="none"/>
              </w:rPr>
              <w:t>从业开始时间</w:t>
            </w:r>
          </w:p>
        </w:tc>
        <w:tc>
          <w:tcPr>
            <w:tcW w:w="2340" w:type="dxa"/>
            <w:gridSpan w:val="5"/>
            <w:vAlign w:val="center"/>
          </w:tcPr>
          <w:p w14:paraId="68DDB819">
            <w:pPr>
              <w:jc w:val="center"/>
              <w:rPr>
                <w:color w:val="auto"/>
                <w:highlight w:val="none"/>
              </w:rPr>
            </w:pPr>
          </w:p>
        </w:tc>
        <w:tc>
          <w:tcPr>
            <w:tcW w:w="1893" w:type="dxa"/>
            <w:gridSpan w:val="3"/>
            <w:vAlign w:val="center"/>
          </w:tcPr>
          <w:p w14:paraId="60875A72">
            <w:pPr>
              <w:jc w:val="center"/>
              <w:rPr>
                <w:rFonts w:cs="宋体"/>
                <w:color w:val="auto"/>
                <w:highlight w:val="none"/>
              </w:rPr>
            </w:pPr>
            <w:r>
              <w:rPr>
                <w:rFonts w:hint="eastAsia" w:cs="宋体"/>
                <w:color w:val="auto"/>
                <w:highlight w:val="none"/>
              </w:rPr>
              <w:t>职称</w:t>
            </w:r>
            <w:r>
              <w:rPr>
                <w:rFonts w:cs="宋体"/>
                <w:color w:val="auto"/>
                <w:highlight w:val="none"/>
              </w:rPr>
              <w:t>获</w:t>
            </w:r>
            <w:r>
              <w:rPr>
                <w:rFonts w:hint="eastAsia" w:cs="宋体"/>
                <w:color w:val="auto"/>
                <w:highlight w:val="none"/>
              </w:rPr>
              <w:t>得</w:t>
            </w:r>
            <w:r>
              <w:rPr>
                <w:rFonts w:cs="宋体"/>
                <w:color w:val="auto"/>
                <w:highlight w:val="none"/>
              </w:rPr>
              <w:t>时间</w:t>
            </w:r>
          </w:p>
        </w:tc>
        <w:tc>
          <w:tcPr>
            <w:tcW w:w="1585" w:type="dxa"/>
            <w:gridSpan w:val="3"/>
            <w:vAlign w:val="center"/>
          </w:tcPr>
          <w:p w14:paraId="4C8117A8">
            <w:pPr>
              <w:jc w:val="center"/>
              <w:rPr>
                <w:color w:val="auto"/>
                <w:highlight w:val="none"/>
              </w:rPr>
            </w:pPr>
          </w:p>
        </w:tc>
        <w:tc>
          <w:tcPr>
            <w:tcW w:w="1108" w:type="dxa"/>
            <w:vAlign w:val="center"/>
          </w:tcPr>
          <w:p w14:paraId="54C011F1">
            <w:pPr>
              <w:jc w:val="center"/>
              <w:rPr>
                <w:rFonts w:cs="宋体"/>
                <w:color w:val="auto"/>
                <w:highlight w:val="none"/>
              </w:rPr>
            </w:pPr>
            <w:r>
              <w:rPr>
                <w:rFonts w:hint="eastAsia" w:cs="宋体"/>
                <w:color w:val="auto"/>
                <w:highlight w:val="none"/>
              </w:rPr>
              <w:t>毕业时间</w:t>
            </w:r>
          </w:p>
        </w:tc>
        <w:tc>
          <w:tcPr>
            <w:tcW w:w="1531" w:type="dxa"/>
            <w:gridSpan w:val="4"/>
            <w:vAlign w:val="center"/>
          </w:tcPr>
          <w:p w14:paraId="49F73C29">
            <w:pPr>
              <w:jc w:val="center"/>
              <w:rPr>
                <w:color w:val="auto"/>
                <w:highlight w:val="none"/>
              </w:rPr>
            </w:pPr>
          </w:p>
        </w:tc>
      </w:tr>
      <w:tr w14:paraId="4667A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vAlign w:val="center"/>
          </w:tcPr>
          <w:p w14:paraId="7DAC69D8">
            <w:pPr>
              <w:jc w:val="center"/>
              <w:rPr>
                <w:color w:val="auto"/>
                <w:highlight w:val="none"/>
              </w:rPr>
            </w:pPr>
            <w:r>
              <w:rPr>
                <w:rFonts w:hint="eastAsia" w:cs="宋体"/>
                <w:color w:val="auto"/>
                <w:highlight w:val="none"/>
              </w:rPr>
              <w:t>担任……年限</w:t>
            </w:r>
          </w:p>
        </w:tc>
        <w:tc>
          <w:tcPr>
            <w:tcW w:w="2497" w:type="dxa"/>
            <w:gridSpan w:val="5"/>
            <w:vAlign w:val="center"/>
          </w:tcPr>
          <w:p w14:paraId="22E055CE">
            <w:pPr>
              <w:jc w:val="center"/>
              <w:rPr>
                <w:color w:val="auto"/>
                <w:highlight w:val="none"/>
              </w:rPr>
            </w:pPr>
          </w:p>
        </w:tc>
        <w:tc>
          <w:tcPr>
            <w:tcW w:w="1417" w:type="dxa"/>
            <w:vAlign w:val="center"/>
          </w:tcPr>
          <w:p w14:paraId="481BA651">
            <w:pPr>
              <w:jc w:val="center"/>
              <w:rPr>
                <w:color w:val="auto"/>
                <w:highlight w:val="none"/>
              </w:rPr>
            </w:pPr>
            <w:r>
              <w:rPr>
                <w:rFonts w:hint="eastAsia"/>
                <w:color w:val="auto"/>
                <w:highlight w:val="none"/>
              </w:rPr>
              <w:t>身份</w:t>
            </w:r>
            <w:r>
              <w:rPr>
                <w:color w:val="auto"/>
                <w:highlight w:val="none"/>
              </w:rPr>
              <w:t>证号码</w:t>
            </w:r>
          </w:p>
        </w:tc>
        <w:tc>
          <w:tcPr>
            <w:tcW w:w="4466" w:type="dxa"/>
            <w:gridSpan w:val="9"/>
            <w:vAlign w:val="center"/>
          </w:tcPr>
          <w:p w14:paraId="688E345D">
            <w:pPr>
              <w:jc w:val="center"/>
              <w:rPr>
                <w:color w:val="auto"/>
                <w:highlight w:val="none"/>
              </w:rPr>
            </w:pPr>
          </w:p>
        </w:tc>
      </w:tr>
      <w:tr w14:paraId="26C4D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vAlign w:val="center"/>
          </w:tcPr>
          <w:p w14:paraId="13764E08">
            <w:pPr>
              <w:jc w:val="center"/>
              <w:rPr>
                <w:color w:val="auto"/>
                <w:highlight w:val="none"/>
              </w:rPr>
            </w:pPr>
            <w:r>
              <w:rPr>
                <w:rFonts w:hint="eastAsia"/>
                <w:color w:val="auto"/>
                <w:highlight w:val="none"/>
              </w:rPr>
              <w:t>证书名称</w:t>
            </w:r>
          </w:p>
        </w:tc>
        <w:tc>
          <w:tcPr>
            <w:tcW w:w="1275" w:type="dxa"/>
            <w:gridSpan w:val="2"/>
            <w:vAlign w:val="center"/>
          </w:tcPr>
          <w:p w14:paraId="3A8FA08E">
            <w:pPr>
              <w:jc w:val="center"/>
              <w:rPr>
                <w:color w:val="auto"/>
                <w:highlight w:val="none"/>
              </w:rPr>
            </w:pPr>
            <w:r>
              <w:rPr>
                <w:rFonts w:hint="eastAsia"/>
                <w:color w:val="auto"/>
                <w:highlight w:val="none"/>
              </w:rPr>
              <w:t>注册专业</w:t>
            </w:r>
          </w:p>
        </w:tc>
        <w:tc>
          <w:tcPr>
            <w:tcW w:w="1222" w:type="dxa"/>
            <w:gridSpan w:val="3"/>
            <w:vAlign w:val="center"/>
          </w:tcPr>
          <w:p w14:paraId="13E4026A">
            <w:pPr>
              <w:jc w:val="center"/>
              <w:rPr>
                <w:color w:val="auto"/>
                <w:highlight w:val="none"/>
              </w:rPr>
            </w:pPr>
            <w:r>
              <w:rPr>
                <w:color w:val="auto"/>
                <w:highlight w:val="none"/>
              </w:rPr>
              <w:t>级别</w:t>
            </w:r>
          </w:p>
        </w:tc>
        <w:tc>
          <w:tcPr>
            <w:tcW w:w="1417" w:type="dxa"/>
            <w:vAlign w:val="center"/>
          </w:tcPr>
          <w:p w14:paraId="3489A507">
            <w:pPr>
              <w:jc w:val="center"/>
              <w:rPr>
                <w:color w:val="auto"/>
                <w:highlight w:val="none"/>
              </w:rPr>
            </w:pPr>
            <w:r>
              <w:rPr>
                <w:rFonts w:hint="eastAsia" w:cs="宋体"/>
                <w:color w:val="auto"/>
                <w:highlight w:val="none"/>
              </w:rPr>
              <w:t>证书编号</w:t>
            </w:r>
          </w:p>
        </w:tc>
        <w:tc>
          <w:tcPr>
            <w:tcW w:w="1418" w:type="dxa"/>
            <w:gridSpan w:val="3"/>
            <w:vAlign w:val="center"/>
          </w:tcPr>
          <w:p w14:paraId="19FDD0CE">
            <w:pPr>
              <w:jc w:val="center"/>
              <w:rPr>
                <w:color w:val="auto"/>
                <w:highlight w:val="none"/>
              </w:rPr>
            </w:pPr>
            <w:r>
              <w:rPr>
                <w:rFonts w:hint="eastAsia"/>
                <w:color w:val="auto"/>
                <w:highlight w:val="none"/>
              </w:rPr>
              <w:t>注册时间</w:t>
            </w:r>
          </w:p>
        </w:tc>
        <w:tc>
          <w:tcPr>
            <w:tcW w:w="1632" w:type="dxa"/>
            <w:gridSpan w:val="4"/>
            <w:vAlign w:val="center"/>
          </w:tcPr>
          <w:p w14:paraId="662F0353">
            <w:pPr>
              <w:jc w:val="center"/>
              <w:rPr>
                <w:color w:val="auto"/>
                <w:highlight w:val="none"/>
              </w:rPr>
            </w:pPr>
            <w:r>
              <w:rPr>
                <w:rFonts w:hint="eastAsia"/>
                <w:color w:val="auto"/>
                <w:highlight w:val="none"/>
              </w:rPr>
              <w:t>注册单位</w:t>
            </w:r>
          </w:p>
        </w:tc>
        <w:tc>
          <w:tcPr>
            <w:tcW w:w="1416" w:type="dxa"/>
            <w:gridSpan w:val="2"/>
            <w:vAlign w:val="center"/>
          </w:tcPr>
          <w:p w14:paraId="4CD99106">
            <w:pPr>
              <w:jc w:val="center"/>
              <w:rPr>
                <w:color w:val="auto"/>
                <w:highlight w:val="none"/>
              </w:rPr>
            </w:pPr>
            <w:r>
              <w:rPr>
                <w:rFonts w:hint="eastAsia"/>
                <w:color w:val="auto"/>
                <w:highlight w:val="none"/>
              </w:rPr>
              <w:t>注册有效期</w:t>
            </w:r>
          </w:p>
        </w:tc>
      </w:tr>
      <w:tr w14:paraId="33EF7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vAlign w:val="center"/>
          </w:tcPr>
          <w:p w14:paraId="1851AAA7">
            <w:pPr>
              <w:jc w:val="center"/>
              <w:rPr>
                <w:color w:val="auto"/>
                <w:highlight w:val="none"/>
              </w:rPr>
            </w:pPr>
            <w:r>
              <w:rPr>
                <w:rFonts w:hint="eastAsia"/>
                <w:color w:val="auto"/>
                <w:highlight w:val="none"/>
              </w:rPr>
              <w:t>安全生产考核合格证书</w:t>
            </w:r>
          </w:p>
        </w:tc>
        <w:tc>
          <w:tcPr>
            <w:tcW w:w="1275" w:type="dxa"/>
            <w:gridSpan w:val="2"/>
            <w:vAlign w:val="center"/>
          </w:tcPr>
          <w:p w14:paraId="3615ABE0">
            <w:pPr>
              <w:jc w:val="center"/>
              <w:rPr>
                <w:color w:val="auto"/>
                <w:highlight w:val="none"/>
              </w:rPr>
            </w:pPr>
          </w:p>
        </w:tc>
        <w:tc>
          <w:tcPr>
            <w:tcW w:w="1222" w:type="dxa"/>
            <w:gridSpan w:val="3"/>
            <w:vAlign w:val="center"/>
          </w:tcPr>
          <w:p w14:paraId="702FC14E">
            <w:pPr>
              <w:jc w:val="center"/>
              <w:rPr>
                <w:rFonts w:cs="宋体"/>
                <w:color w:val="auto"/>
                <w:highlight w:val="none"/>
              </w:rPr>
            </w:pPr>
            <w:r>
              <w:rPr>
                <w:rFonts w:hint="eastAsia" w:cs="宋体"/>
                <w:color w:val="auto"/>
                <w:highlight w:val="none"/>
              </w:rPr>
              <w:t>C类</w:t>
            </w:r>
          </w:p>
        </w:tc>
        <w:tc>
          <w:tcPr>
            <w:tcW w:w="1417" w:type="dxa"/>
            <w:vAlign w:val="center"/>
          </w:tcPr>
          <w:p w14:paraId="5CE8DC9F">
            <w:pPr>
              <w:jc w:val="center"/>
              <w:rPr>
                <w:color w:val="auto"/>
                <w:highlight w:val="none"/>
              </w:rPr>
            </w:pPr>
          </w:p>
        </w:tc>
        <w:tc>
          <w:tcPr>
            <w:tcW w:w="1418" w:type="dxa"/>
            <w:gridSpan w:val="3"/>
            <w:vAlign w:val="center"/>
          </w:tcPr>
          <w:p w14:paraId="2C427593">
            <w:pPr>
              <w:jc w:val="center"/>
              <w:rPr>
                <w:color w:val="auto"/>
                <w:highlight w:val="none"/>
              </w:rPr>
            </w:pPr>
          </w:p>
        </w:tc>
        <w:tc>
          <w:tcPr>
            <w:tcW w:w="1632" w:type="dxa"/>
            <w:gridSpan w:val="4"/>
            <w:vAlign w:val="center"/>
          </w:tcPr>
          <w:p w14:paraId="08E78068">
            <w:pPr>
              <w:jc w:val="center"/>
              <w:rPr>
                <w:color w:val="auto"/>
                <w:highlight w:val="none"/>
              </w:rPr>
            </w:pPr>
          </w:p>
        </w:tc>
        <w:tc>
          <w:tcPr>
            <w:tcW w:w="1416" w:type="dxa"/>
            <w:gridSpan w:val="2"/>
            <w:vAlign w:val="center"/>
          </w:tcPr>
          <w:p w14:paraId="0E4659F8">
            <w:pPr>
              <w:jc w:val="center"/>
              <w:rPr>
                <w:color w:val="auto"/>
                <w:highlight w:val="none"/>
              </w:rPr>
            </w:pPr>
          </w:p>
        </w:tc>
      </w:tr>
      <w:tr w14:paraId="13AB4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vAlign w:val="center"/>
          </w:tcPr>
          <w:p w14:paraId="0619C4AC">
            <w:pPr>
              <w:jc w:val="center"/>
              <w:rPr>
                <w:color w:val="auto"/>
                <w:highlight w:val="none"/>
              </w:rPr>
            </w:pPr>
          </w:p>
        </w:tc>
        <w:tc>
          <w:tcPr>
            <w:tcW w:w="1275" w:type="dxa"/>
            <w:gridSpan w:val="2"/>
            <w:vAlign w:val="center"/>
          </w:tcPr>
          <w:p w14:paraId="4513C223">
            <w:pPr>
              <w:jc w:val="center"/>
              <w:rPr>
                <w:color w:val="auto"/>
                <w:highlight w:val="none"/>
              </w:rPr>
            </w:pPr>
          </w:p>
        </w:tc>
        <w:tc>
          <w:tcPr>
            <w:tcW w:w="1222" w:type="dxa"/>
            <w:gridSpan w:val="3"/>
            <w:vAlign w:val="center"/>
          </w:tcPr>
          <w:p w14:paraId="6D044F91">
            <w:pPr>
              <w:jc w:val="center"/>
              <w:rPr>
                <w:rFonts w:cs="宋体"/>
                <w:color w:val="auto"/>
                <w:highlight w:val="none"/>
              </w:rPr>
            </w:pPr>
          </w:p>
        </w:tc>
        <w:tc>
          <w:tcPr>
            <w:tcW w:w="1417" w:type="dxa"/>
            <w:vAlign w:val="center"/>
          </w:tcPr>
          <w:p w14:paraId="59543D0F">
            <w:pPr>
              <w:jc w:val="center"/>
              <w:rPr>
                <w:color w:val="auto"/>
                <w:highlight w:val="none"/>
              </w:rPr>
            </w:pPr>
          </w:p>
        </w:tc>
        <w:tc>
          <w:tcPr>
            <w:tcW w:w="1418" w:type="dxa"/>
            <w:gridSpan w:val="3"/>
            <w:vAlign w:val="center"/>
          </w:tcPr>
          <w:p w14:paraId="2FE2D97A">
            <w:pPr>
              <w:jc w:val="center"/>
              <w:rPr>
                <w:color w:val="auto"/>
                <w:highlight w:val="none"/>
              </w:rPr>
            </w:pPr>
          </w:p>
        </w:tc>
        <w:tc>
          <w:tcPr>
            <w:tcW w:w="1632" w:type="dxa"/>
            <w:gridSpan w:val="4"/>
            <w:vAlign w:val="center"/>
          </w:tcPr>
          <w:p w14:paraId="530BBC22">
            <w:pPr>
              <w:jc w:val="center"/>
              <w:rPr>
                <w:color w:val="auto"/>
                <w:highlight w:val="none"/>
              </w:rPr>
            </w:pPr>
          </w:p>
        </w:tc>
        <w:tc>
          <w:tcPr>
            <w:tcW w:w="1416" w:type="dxa"/>
            <w:gridSpan w:val="2"/>
            <w:vAlign w:val="center"/>
          </w:tcPr>
          <w:p w14:paraId="497CFA42">
            <w:pPr>
              <w:jc w:val="center"/>
              <w:rPr>
                <w:color w:val="auto"/>
                <w:highlight w:val="none"/>
              </w:rPr>
            </w:pPr>
          </w:p>
        </w:tc>
      </w:tr>
      <w:tr w14:paraId="02ECE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17"/>
            <w:vAlign w:val="center"/>
          </w:tcPr>
          <w:p w14:paraId="2127E279">
            <w:pPr>
              <w:jc w:val="center"/>
              <w:rPr>
                <w:color w:val="auto"/>
                <w:highlight w:val="none"/>
              </w:rPr>
            </w:pPr>
            <w:r>
              <w:rPr>
                <w:rFonts w:hint="eastAsia" w:cs="宋体"/>
                <w:color w:val="auto"/>
                <w:highlight w:val="none"/>
              </w:rPr>
              <w:t>在建和已完成工程项目情况</w:t>
            </w:r>
          </w:p>
        </w:tc>
      </w:tr>
      <w:tr w14:paraId="2E82B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14:paraId="526A183C">
            <w:pPr>
              <w:jc w:val="center"/>
              <w:rPr>
                <w:color w:val="auto"/>
                <w:highlight w:val="none"/>
              </w:rPr>
            </w:pPr>
          </w:p>
        </w:tc>
        <w:tc>
          <w:tcPr>
            <w:tcW w:w="1548" w:type="dxa"/>
            <w:gridSpan w:val="2"/>
            <w:vAlign w:val="center"/>
          </w:tcPr>
          <w:p w14:paraId="24863307">
            <w:pPr>
              <w:jc w:val="center"/>
              <w:rPr>
                <w:color w:val="auto"/>
                <w:highlight w:val="none"/>
              </w:rPr>
            </w:pPr>
            <w:r>
              <w:rPr>
                <w:rFonts w:hint="eastAsia"/>
                <w:color w:val="auto"/>
                <w:highlight w:val="none"/>
              </w:rPr>
              <w:t>项目1</w:t>
            </w:r>
          </w:p>
        </w:tc>
        <w:tc>
          <w:tcPr>
            <w:tcW w:w="1979" w:type="dxa"/>
            <w:gridSpan w:val="3"/>
            <w:vAlign w:val="center"/>
          </w:tcPr>
          <w:p w14:paraId="40AFE414">
            <w:pPr>
              <w:jc w:val="center"/>
              <w:rPr>
                <w:color w:val="auto"/>
                <w:highlight w:val="none"/>
              </w:rPr>
            </w:pPr>
            <w:r>
              <w:rPr>
                <w:rFonts w:hint="eastAsia"/>
                <w:color w:val="auto"/>
                <w:highlight w:val="none"/>
              </w:rPr>
              <w:t>项目2</w:t>
            </w:r>
          </w:p>
        </w:tc>
        <w:tc>
          <w:tcPr>
            <w:tcW w:w="1330" w:type="dxa"/>
            <w:gridSpan w:val="2"/>
            <w:vAlign w:val="center"/>
          </w:tcPr>
          <w:p w14:paraId="4F211C28">
            <w:pPr>
              <w:jc w:val="center"/>
              <w:rPr>
                <w:color w:val="auto"/>
                <w:highlight w:val="none"/>
              </w:rPr>
            </w:pPr>
            <w:r>
              <w:rPr>
                <w:rFonts w:hint="eastAsia"/>
                <w:color w:val="auto"/>
                <w:highlight w:val="none"/>
              </w:rPr>
              <w:t>项目3</w:t>
            </w:r>
          </w:p>
        </w:tc>
        <w:tc>
          <w:tcPr>
            <w:tcW w:w="1641" w:type="dxa"/>
            <w:gridSpan w:val="4"/>
            <w:vAlign w:val="center"/>
          </w:tcPr>
          <w:p w14:paraId="2495D1A7">
            <w:pPr>
              <w:jc w:val="center"/>
              <w:rPr>
                <w:color w:val="auto"/>
                <w:highlight w:val="none"/>
              </w:rPr>
            </w:pPr>
            <w:r>
              <w:rPr>
                <w:rFonts w:hint="eastAsia"/>
                <w:color w:val="auto"/>
                <w:highlight w:val="none"/>
              </w:rPr>
              <w:t>项目4</w:t>
            </w:r>
          </w:p>
        </w:tc>
        <w:tc>
          <w:tcPr>
            <w:tcW w:w="1484" w:type="dxa"/>
            <w:gridSpan w:val="2"/>
            <w:vAlign w:val="center"/>
          </w:tcPr>
          <w:p w14:paraId="27065F16">
            <w:pPr>
              <w:jc w:val="center"/>
              <w:rPr>
                <w:color w:val="auto"/>
                <w:highlight w:val="none"/>
              </w:rPr>
            </w:pPr>
            <w:r>
              <w:rPr>
                <w:rFonts w:hint="eastAsia"/>
                <w:color w:val="auto"/>
                <w:highlight w:val="none"/>
              </w:rPr>
              <w:t>……</w:t>
            </w:r>
          </w:p>
        </w:tc>
      </w:tr>
      <w:tr w14:paraId="5AD19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14:paraId="584EE7E5">
            <w:pPr>
              <w:jc w:val="center"/>
              <w:rPr>
                <w:color w:val="auto"/>
                <w:highlight w:val="none"/>
              </w:rPr>
            </w:pPr>
            <w:r>
              <w:rPr>
                <w:rFonts w:hint="eastAsia"/>
                <w:color w:val="auto"/>
                <w:highlight w:val="none"/>
              </w:rPr>
              <w:t>项目名称</w:t>
            </w:r>
          </w:p>
        </w:tc>
        <w:tc>
          <w:tcPr>
            <w:tcW w:w="1548" w:type="dxa"/>
            <w:gridSpan w:val="2"/>
            <w:vAlign w:val="center"/>
          </w:tcPr>
          <w:p w14:paraId="3BB3AB72">
            <w:pPr>
              <w:jc w:val="center"/>
              <w:rPr>
                <w:color w:val="auto"/>
                <w:highlight w:val="none"/>
              </w:rPr>
            </w:pPr>
          </w:p>
        </w:tc>
        <w:tc>
          <w:tcPr>
            <w:tcW w:w="1979" w:type="dxa"/>
            <w:gridSpan w:val="3"/>
            <w:vAlign w:val="center"/>
          </w:tcPr>
          <w:p w14:paraId="7AD9139C">
            <w:pPr>
              <w:jc w:val="center"/>
              <w:rPr>
                <w:color w:val="auto"/>
                <w:highlight w:val="none"/>
              </w:rPr>
            </w:pPr>
          </w:p>
        </w:tc>
        <w:tc>
          <w:tcPr>
            <w:tcW w:w="1330" w:type="dxa"/>
            <w:gridSpan w:val="2"/>
            <w:vAlign w:val="center"/>
          </w:tcPr>
          <w:p w14:paraId="5F0F30F0">
            <w:pPr>
              <w:jc w:val="center"/>
              <w:rPr>
                <w:color w:val="auto"/>
                <w:highlight w:val="none"/>
              </w:rPr>
            </w:pPr>
          </w:p>
        </w:tc>
        <w:tc>
          <w:tcPr>
            <w:tcW w:w="1641" w:type="dxa"/>
            <w:gridSpan w:val="4"/>
            <w:vAlign w:val="center"/>
          </w:tcPr>
          <w:p w14:paraId="6D8FFF9A">
            <w:pPr>
              <w:jc w:val="center"/>
              <w:rPr>
                <w:color w:val="auto"/>
                <w:highlight w:val="none"/>
              </w:rPr>
            </w:pPr>
          </w:p>
        </w:tc>
        <w:tc>
          <w:tcPr>
            <w:tcW w:w="1484" w:type="dxa"/>
            <w:gridSpan w:val="2"/>
            <w:vAlign w:val="center"/>
          </w:tcPr>
          <w:p w14:paraId="5CCC9B0F">
            <w:pPr>
              <w:jc w:val="center"/>
              <w:rPr>
                <w:color w:val="auto"/>
                <w:highlight w:val="none"/>
              </w:rPr>
            </w:pPr>
          </w:p>
        </w:tc>
      </w:tr>
      <w:tr w14:paraId="18BE6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7CC75680">
            <w:pPr>
              <w:jc w:val="center"/>
              <w:rPr>
                <w:color w:val="auto"/>
                <w:highlight w:val="none"/>
              </w:rPr>
            </w:pPr>
            <w:r>
              <w:rPr>
                <w:rFonts w:hint="eastAsia" w:cs="宋体"/>
                <w:color w:val="auto"/>
                <w:highlight w:val="none"/>
              </w:rPr>
              <w:t>建设单位</w:t>
            </w:r>
          </w:p>
        </w:tc>
        <w:tc>
          <w:tcPr>
            <w:tcW w:w="1548" w:type="dxa"/>
            <w:gridSpan w:val="2"/>
            <w:vAlign w:val="center"/>
          </w:tcPr>
          <w:p w14:paraId="193588D8">
            <w:pPr>
              <w:jc w:val="center"/>
              <w:rPr>
                <w:color w:val="auto"/>
                <w:highlight w:val="none"/>
              </w:rPr>
            </w:pPr>
          </w:p>
        </w:tc>
        <w:tc>
          <w:tcPr>
            <w:tcW w:w="1979" w:type="dxa"/>
            <w:gridSpan w:val="3"/>
            <w:vAlign w:val="center"/>
          </w:tcPr>
          <w:p w14:paraId="70D4C052">
            <w:pPr>
              <w:jc w:val="center"/>
              <w:rPr>
                <w:color w:val="auto"/>
                <w:highlight w:val="none"/>
              </w:rPr>
            </w:pPr>
          </w:p>
        </w:tc>
        <w:tc>
          <w:tcPr>
            <w:tcW w:w="1330" w:type="dxa"/>
            <w:gridSpan w:val="2"/>
            <w:vAlign w:val="center"/>
          </w:tcPr>
          <w:p w14:paraId="32B46BFE">
            <w:pPr>
              <w:jc w:val="center"/>
              <w:rPr>
                <w:color w:val="auto"/>
                <w:highlight w:val="none"/>
              </w:rPr>
            </w:pPr>
          </w:p>
        </w:tc>
        <w:tc>
          <w:tcPr>
            <w:tcW w:w="1641" w:type="dxa"/>
            <w:gridSpan w:val="4"/>
            <w:vAlign w:val="center"/>
          </w:tcPr>
          <w:p w14:paraId="086A6F76">
            <w:pPr>
              <w:jc w:val="center"/>
              <w:rPr>
                <w:color w:val="auto"/>
                <w:highlight w:val="none"/>
              </w:rPr>
            </w:pPr>
          </w:p>
        </w:tc>
        <w:tc>
          <w:tcPr>
            <w:tcW w:w="1484" w:type="dxa"/>
            <w:gridSpan w:val="2"/>
            <w:vAlign w:val="center"/>
          </w:tcPr>
          <w:p w14:paraId="11C25AC4">
            <w:pPr>
              <w:jc w:val="center"/>
              <w:rPr>
                <w:color w:val="auto"/>
                <w:highlight w:val="none"/>
              </w:rPr>
            </w:pPr>
          </w:p>
        </w:tc>
      </w:tr>
      <w:tr w14:paraId="14D68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692B75FE">
            <w:pPr>
              <w:jc w:val="center"/>
              <w:rPr>
                <w:color w:val="auto"/>
                <w:highlight w:val="none"/>
              </w:rPr>
            </w:pPr>
            <w:r>
              <w:rPr>
                <w:rFonts w:hint="eastAsia" w:cs="宋体"/>
                <w:color w:val="auto"/>
                <w:highlight w:val="none"/>
              </w:rPr>
              <w:t>建设规模</w:t>
            </w:r>
          </w:p>
        </w:tc>
        <w:tc>
          <w:tcPr>
            <w:tcW w:w="1548" w:type="dxa"/>
            <w:gridSpan w:val="2"/>
            <w:vAlign w:val="center"/>
          </w:tcPr>
          <w:p w14:paraId="4A8FF420">
            <w:pPr>
              <w:jc w:val="center"/>
              <w:rPr>
                <w:color w:val="auto"/>
                <w:highlight w:val="none"/>
              </w:rPr>
            </w:pPr>
          </w:p>
        </w:tc>
        <w:tc>
          <w:tcPr>
            <w:tcW w:w="1979" w:type="dxa"/>
            <w:gridSpan w:val="3"/>
            <w:vAlign w:val="center"/>
          </w:tcPr>
          <w:p w14:paraId="30DD20CD">
            <w:pPr>
              <w:jc w:val="center"/>
              <w:rPr>
                <w:color w:val="auto"/>
                <w:highlight w:val="none"/>
              </w:rPr>
            </w:pPr>
          </w:p>
        </w:tc>
        <w:tc>
          <w:tcPr>
            <w:tcW w:w="1330" w:type="dxa"/>
            <w:gridSpan w:val="2"/>
            <w:vAlign w:val="center"/>
          </w:tcPr>
          <w:p w14:paraId="25CE226E">
            <w:pPr>
              <w:jc w:val="center"/>
              <w:rPr>
                <w:color w:val="auto"/>
                <w:highlight w:val="none"/>
              </w:rPr>
            </w:pPr>
          </w:p>
        </w:tc>
        <w:tc>
          <w:tcPr>
            <w:tcW w:w="1641" w:type="dxa"/>
            <w:gridSpan w:val="4"/>
            <w:vAlign w:val="center"/>
          </w:tcPr>
          <w:p w14:paraId="57810203">
            <w:pPr>
              <w:jc w:val="center"/>
              <w:rPr>
                <w:color w:val="auto"/>
                <w:highlight w:val="none"/>
              </w:rPr>
            </w:pPr>
          </w:p>
        </w:tc>
        <w:tc>
          <w:tcPr>
            <w:tcW w:w="1484" w:type="dxa"/>
            <w:gridSpan w:val="2"/>
            <w:vAlign w:val="center"/>
          </w:tcPr>
          <w:p w14:paraId="4F35B3B6">
            <w:pPr>
              <w:jc w:val="center"/>
              <w:rPr>
                <w:color w:val="auto"/>
                <w:highlight w:val="none"/>
              </w:rPr>
            </w:pPr>
          </w:p>
        </w:tc>
      </w:tr>
      <w:tr w14:paraId="14CE8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1C68CBE7">
            <w:pPr>
              <w:jc w:val="center"/>
              <w:rPr>
                <w:rFonts w:ascii="宋体" w:hAnsi="宋体" w:cs="宋体"/>
                <w:color w:val="auto"/>
                <w:sz w:val="27"/>
                <w:szCs w:val="27"/>
                <w:highlight w:val="none"/>
              </w:rPr>
            </w:pPr>
            <w:r>
              <w:rPr>
                <w:rFonts w:hint="eastAsia" w:cs="宋体"/>
                <w:color w:val="auto"/>
                <w:highlight w:val="none"/>
              </w:rPr>
              <w:t>开工日期</w:t>
            </w:r>
          </w:p>
        </w:tc>
        <w:tc>
          <w:tcPr>
            <w:tcW w:w="1548" w:type="dxa"/>
            <w:gridSpan w:val="2"/>
            <w:vAlign w:val="center"/>
          </w:tcPr>
          <w:p w14:paraId="3D5D159D">
            <w:pPr>
              <w:jc w:val="center"/>
              <w:rPr>
                <w:color w:val="auto"/>
                <w:highlight w:val="none"/>
              </w:rPr>
            </w:pPr>
          </w:p>
        </w:tc>
        <w:tc>
          <w:tcPr>
            <w:tcW w:w="1979" w:type="dxa"/>
            <w:gridSpan w:val="3"/>
            <w:vAlign w:val="center"/>
          </w:tcPr>
          <w:p w14:paraId="34D90C83">
            <w:pPr>
              <w:jc w:val="center"/>
              <w:rPr>
                <w:color w:val="auto"/>
                <w:highlight w:val="none"/>
              </w:rPr>
            </w:pPr>
          </w:p>
        </w:tc>
        <w:tc>
          <w:tcPr>
            <w:tcW w:w="1330" w:type="dxa"/>
            <w:gridSpan w:val="2"/>
            <w:vAlign w:val="center"/>
          </w:tcPr>
          <w:p w14:paraId="4E2F0A41">
            <w:pPr>
              <w:jc w:val="center"/>
              <w:rPr>
                <w:color w:val="auto"/>
                <w:highlight w:val="none"/>
              </w:rPr>
            </w:pPr>
          </w:p>
        </w:tc>
        <w:tc>
          <w:tcPr>
            <w:tcW w:w="1641" w:type="dxa"/>
            <w:gridSpan w:val="4"/>
            <w:vAlign w:val="center"/>
          </w:tcPr>
          <w:p w14:paraId="5CBF1AAE">
            <w:pPr>
              <w:jc w:val="center"/>
              <w:rPr>
                <w:color w:val="auto"/>
                <w:highlight w:val="none"/>
              </w:rPr>
            </w:pPr>
          </w:p>
        </w:tc>
        <w:tc>
          <w:tcPr>
            <w:tcW w:w="1484" w:type="dxa"/>
            <w:gridSpan w:val="2"/>
            <w:vAlign w:val="center"/>
          </w:tcPr>
          <w:p w14:paraId="11B39FD0">
            <w:pPr>
              <w:jc w:val="center"/>
              <w:rPr>
                <w:color w:val="auto"/>
                <w:highlight w:val="none"/>
              </w:rPr>
            </w:pPr>
          </w:p>
        </w:tc>
      </w:tr>
      <w:tr w14:paraId="33308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3833B704">
            <w:pPr>
              <w:jc w:val="center"/>
              <w:rPr>
                <w:color w:val="auto"/>
                <w:highlight w:val="none"/>
              </w:rPr>
            </w:pPr>
            <w:r>
              <w:rPr>
                <w:rFonts w:hint="eastAsia" w:cs="宋体"/>
                <w:color w:val="auto"/>
                <w:highlight w:val="none"/>
              </w:rPr>
              <w:t>竣工日期</w:t>
            </w:r>
          </w:p>
        </w:tc>
        <w:tc>
          <w:tcPr>
            <w:tcW w:w="1548" w:type="dxa"/>
            <w:gridSpan w:val="2"/>
            <w:vAlign w:val="center"/>
          </w:tcPr>
          <w:p w14:paraId="7E884FAF">
            <w:pPr>
              <w:jc w:val="center"/>
              <w:rPr>
                <w:color w:val="auto"/>
                <w:highlight w:val="none"/>
              </w:rPr>
            </w:pPr>
          </w:p>
        </w:tc>
        <w:tc>
          <w:tcPr>
            <w:tcW w:w="1979" w:type="dxa"/>
            <w:gridSpan w:val="3"/>
            <w:vAlign w:val="center"/>
          </w:tcPr>
          <w:p w14:paraId="5FC844B0">
            <w:pPr>
              <w:jc w:val="center"/>
              <w:rPr>
                <w:color w:val="auto"/>
                <w:highlight w:val="none"/>
              </w:rPr>
            </w:pPr>
          </w:p>
        </w:tc>
        <w:tc>
          <w:tcPr>
            <w:tcW w:w="1330" w:type="dxa"/>
            <w:gridSpan w:val="2"/>
            <w:vAlign w:val="center"/>
          </w:tcPr>
          <w:p w14:paraId="70693E6A">
            <w:pPr>
              <w:jc w:val="center"/>
              <w:rPr>
                <w:color w:val="auto"/>
                <w:highlight w:val="none"/>
              </w:rPr>
            </w:pPr>
          </w:p>
        </w:tc>
        <w:tc>
          <w:tcPr>
            <w:tcW w:w="1641" w:type="dxa"/>
            <w:gridSpan w:val="4"/>
            <w:vAlign w:val="center"/>
          </w:tcPr>
          <w:p w14:paraId="4DDA628B">
            <w:pPr>
              <w:jc w:val="center"/>
              <w:rPr>
                <w:color w:val="auto"/>
                <w:highlight w:val="none"/>
              </w:rPr>
            </w:pPr>
          </w:p>
        </w:tc>
        <w:tc>
          <w:tcPr>
            <w:tcW w:w="1484" w:type="dxa"/>
            <w:gridSpan w:val="2"/>
            <w:vAlign w:val="center"/>
          </w:tcPr>
          <w:p w14:paraId="41BEFF05">
            <w:pPr>
              <w:jc w:val="center"/>
              <w:rPr>
                <w:color w:val="auto"/>
                <w:highlight w:val="none"/>
              </w:rPr>
            </w:pPr>
          </w:p>
        </w:tc>
      </w:tr>
      <w:tr w14:paraId="50EC3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41D4B4D9">
            <w:pPr>
              <w:jc w:val="center"/>
              <w:rPr>
                <w:rFonts w:cs="宋体"/>
                <w:color w:val="auto"/>
                <w:highlight w:val="none"/>
              </w:rPr>
            </w:pPr>
            <w:r>
              <w:rPr>
                <w:rFonts w:hint="eastAsia" w:cs="宋体"/>
                <w:color w:val="auto"/>
                <w:highlight w:val="none"/>
              </w:rPr>
              <w:t>人员角色</w:t>
            </w:r>
          </w:p>
        </w:tc>
        <w:tc>
          <w:tcPr>
            <w:tcW w:w="1548" w:type="dxa"/>
            <w:gridSpan w:val="2"/>
            <w:vAlign w:val="center"/>
          </w:tcPr>
          <w:p w14:paraId="1CF43B53">
            <w:pPr>
              <w:jc w:val="center"/>
              <w:rPr>
                <w:color w:val="auto"/>
                <w:highlight w:val="none"/>
              </w:rPr>
            </w:pPr>
          </w:p>
        </w:tc>
        <w:tc>
          <w:tcPr>
            <w:tcW w:w="1979" w:type="dxa"/>
            <w:gridSpan w:val="3"/>
            <w:vAlign w:val="center"/>
          </w:tcPr>
          <w:p w14:paraId="163B20E8">
            <w:pPr>
              <w:jc w:val="center"/>
              <w:rPr>
                <w:color w:val="auto"/>
                <w:highlight w:val="none"/>
              </w:rPr>
            </w:pPr>
          </w:p>
        </w:tc>
        <w:tc>
          <w:tcPr>
            <w:tcW w:w="1330" w:type="dxa"/>
            <w:gridSpan w:val="2"/>
            <w:vAlign w:val="center"/>
          </w:tcPr>
          <w:p w14:paraId="4273F43C">
            <w:pPr>
              <w:jc w:val="center"/>
              <w:rPr>
                <w:color w:val="auto"/>
                <w:highlight w:val="none"/>
              </w:rPr>
            </w:pPr>
          </w:p>
        </w:tc>
        <w:tc>
          <w:tcPr>
            <w:tcW w:w="1641" w:type="dxa"/>
            <w:gridSpan w:val="4"/>
            <w:vAlign w:val="center"/>
          </w:tcPr>
          <w:p w14:paraId="01CC26D7">
            <w:pPr>
              <w:jc w:val="center"/>
              <w:rPr>
                <w:color w:val="auto"/>
                <w:highlight w:val="none"/>
              </w:rPr>
            </w:pPr>
          </w:p>
        </w:tc>
        <w:tc>
          <w:tcPr>
            <w:tcW w:w="1484" w:type="dxa"/>
            <w:gridSpan w:val="2"/>
            <w:vAlign w:val="center"/>
          </w:tcPr>
          <w:p w14:paraId="5629AFA1">
            <w:pPr>
              <w:jc w:val="center"/>
              <w:rPr>
                <w:color w:val="auto"/>
                <w:highlight w:val="none"/>
              </w:rPr>
            </w:pPr>
          </w:p>
        </w:tc>
      </w:tr>
      <w:tr w14:paraId="01313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07A7A6C3">
            <w:pPr>
              <w:jc w:val="center"/>
              <w:rPr>
                <w:rFonts w:cs="宋体"/>
                <w:color w:val="auto"/>
                <w:highlight w:val="none"/>
              </w:rPr>
            </w:pPr>
            <w:r>
              <w:rPr>
                <w:rFonts w:hint="eastAsia" w:cs="宋体"/>
                <w:color w:val="auto"/>
                <w:highlight w:val="none"/>
              </w:rPr>
              <w:t>在建或已完成</w:t>
            </w:r>
          </w:p>
        </w:tc>
        <w:tc>
          <w:tcPr>
            <w:tcW w:w="1548" w:type="dxa"/>
            <w:gridSpan w:val="2"/>
            <w:vAlign w:val="center"/>
          </w:tcPr>
          <w:p w14:paraId="4752C7B5">
            <w:pPr>
              <w:jc w:val="center"/>
              <w:rPr>
                <w:color w:val="auto"/>
                <w:highlight w:val="none"/>
              </w:rPr>
            </w:pPr>
          </w:p>
        </w:tc>
        <w:tc>
          <w:tcPr>
            <w:tcW w:w="1979" w:type="dxa"/>
            <w:gridSpan w:val="3"/>
            <w:vAlign w:val="center"/>
          </w:tcPr>
          <w:p w14:paraId="38976F5B">
            <w:pPr>
              <w:jc w:val="center"/>
              <w:rPr>
                <w:color w:val="auto"/>
                <w:highlight w:val="none"/>
              </w:rPr>
            </w:pPr>
          </w:p>
        </w:tc>
        <w:tc>
          <w:tcPr>
            <w:tcW w:w="1330" w:type="dxa"/>
            <w:gridSpan w:val="2"/>
            <w:vAlign w:val="center"/>
          </w:tcPr>
          <w:p w14:paraId="7D69E596">
            <w:pPr>
              <w:jc w:val="center"/>
              <w:rPr>
                <w:color w:val="auto"/>
                <w:highlight w:val="none"/>
              </w:rPr>
            </w:pPr>
          </w:p>
        </w:tc>
        <w:tc>
          <w:tcPr>
            <w:tcW w:w="1641" w:type="dxa"/>
            <w:gridSpan w:val="4"/>
            <w:vAlign w:val="center"/>
          </w:tcPr>
          <w:p w14:paraId="6E224BB8">
            <w:pPr>
              <w:jc w:val="center"/>
              <w:rPr>
                <w:color w:val="auto"/>
                <w:highlight w:val="none"/>
              </w:rPr>
            </w:pPr>
          </w:p>
        </w:tc>
        <w:tc>
          <w:tcPr>
            <w:tcW w:w="1484" w:type="dxa"/>
            <w:gridSpan w:val="2"/>
            <w:vAlign w:val="center"/>
          </w:tcPr>
          <w:p w14:paraId="1D3C48B8">
            <w:pPr>
              <w:jc w:val="center"/>
              <w:rPr>
                <w:color w:val="auto"/>
                <w:highlight w:val="none"/>
              </w:rPr>
            </w:pPr>
          </w:p>
        </w:tc>
      </w:tr>
      <w:tr w14:paraId="7384B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45152F77">
            <w:pPr>
              <w:jc w:val="center"/>
              <w:rPr>
                <w:rFonts w:cs="宋体"/>
                <w:color w:val="auto"/>
                <w:highlight w:val="none"/>
              </w:rPr>
            </w:pPr>
            <w:r>
              <w:rPr>
                <w:rFonts w:hint="eastAsia" w:cs="宋体"/>
                <w:color w:val="auto"/>
                <w:highlight w:val="none"/>
              </w:rPr>
              <w:t>工程质量</w:t>
            </w:r>
          </w:p>
        </w:tc>
        <w:tc>
          <w:tcPr>
            <w:tcW w:w="1548" w:type="dxa"/>
            <w:gridSpan w:val="2"/>
            <w:vAlign w:val="center"/>
          </w:tcPr>
          <w:p w14:paraId="10002DD7">
            <w:pPr>
              <w:jc w:val="center"/>
              <w:rPr>
                <w:color w:val="auto"/>
                <w:highlight w:val="none"/>
              </w:rPr>
            </w:pPr>
          </w:p>
        </w:tc>
        <w:tc>
          <w:tcPr>
            <w:tcW w:w="1979" w:type="dxa"/>
            <w:gridSpan w:val="3"/>
            <w:vAlign w:val="center"/>
          </w:tcPr>
          <w:p w14:paraId="1E7D61F2">
            <w:pPr>
              <w:jc w:val="center"/>
              <w:rPr>
                <w:color w:val="auto"/>
                <w:highlight w:val="none"/>
              </w:rPr>
            </w:pPr>
          </w:p>
        </w:tc>
        <w:tc>
          <w:tcPr>
            <w:tcW w:w="1330" w:type="dxa"/>
            <w:gridSpan w:val="2"/>
            <w:vAlign w:val="center"/>
          </w:tcPr>
          <w:p w14:paraId="2BE8E88F">
            <w:pPr>
              <w:jc w:val="center"/>
              <w:rPr>
                <w:color w:val="auto"/>
                <w:highlight w:val="none"/>
              </w:rPr>
            </w:pPr>
          </w:p>
        </w:tc>
        <w:tc>
          <w:tcPr>
            <w:tcW w:w="1641" w:type="dxa"/>
            <w:gridSpan w:val="4"/>
            <w:vAlign w:val="center"/>
          </w:tcPr>
          <w:p w14:paraId="2AC92206">
            <w:pPr>
              <w:jc w:val="center"/>
              <w:rPr>
                <w:color w:val="auto"/>
                <w:highlight w:val="none"/>
              </w:rPr>
            </w:pPr>
          </w:p>
        </w:tc>
        <w:tc>
          <w:tcPr>
            <w:tcW w:w="1484" w:type="dxa"/>
            <w:gridSpan w:val="2"/>
            <w:vAlign w:val="center"/>
          </w:tcPr>
          <w:p w14:paraId="1F310474">
            <w:pPr>
              <w:jc w:val="center"/>
              <w:rPr>
                <w:color w:val="auto"/>
                <w:highlight w:val="none"/>
              </w:rPr>
            </w:pPr>
          </w:p>
        </w:tc>
      </w:tr>
      <w:tr w14:paraId="5D142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61E3B37F">
            <w:pPr>
              <w:jc w:val="center"/>
              <w:rPr>
                <w:rFonts w:cs="宋体"/>
                <w:color w:val="auto"/>
                <w:highlight w:val="none"/>
              </w:rPr>
            </w:pPr>
            <w:r>
              <w:rPr>
                <w:rFonts w:hint="eastAsia" w:cs="宋体"/>
                <w:color w:val="auto"/>
                <w:highlight w:val="none"/>
              </w:rPr>
              <w:t>受奖情况</w:t>
            </w:r>
          </w:p>
        </w:tc>
        <w:tc>
          <w:tcPr>
            <w:tcW w:w="1548" w:type="dxa"/>
            <w:gridSpan w:val="2"/>
            <w:vAlign w:val="center"/>
          </w:tcPr>
          <w:p w14:paraId="74112E61">
            <w:pPr>
              <w:jc w:val="center"/>
              <w:rPr>
                <w:color w:val="auto"/>
                <w:highlight w:val="none"/>
              </w:rPr>
            </w:pPr>
          </w:p>
        </w:tc>
        <w:tc>
          <w:tcPr>
            <w:tcW w:w="1979" w:type="dxa"/>
            <w:gridSpan w:val="3"/>
            <w:vAlign w:val="center"/>
          </w:tcPr>
          <w:p w14:paraId="567C779F">
            <w:pPr>
              <w:jc w:val="center"/>
              <w:rPr>
                <w:color w:val="auto"/>
                <w:highlight w:val="none"/>
              </w:rPr>
            </w:pPr>
          </w:p>
        </w:tc>
        <w:tc>
          <w:tcPr>
            <w:tcW w:w="1330" w:type="dxa"/>
            <w:gridSpan w:val="2"/>
            <w:vAlign w:val="center"/>
          </w:tcPr>
          <w:p w14:paraId="350CC594">
            <w:pPr>
              <w:jc w:val="center"/>
              <w:rPr>
                <w:color w:val="auto"/>
                <w:highlight w:val="none"/>
              </w:rPr>
            </w:pPr>
          </w:p>
        </w:tc>
        <w:tc>
          <w:tcPr>
            <w:tcW w:w="1641" w:type="dxa"/>
            <w:gridSpan w:val="4"/>
            <w:vAlign w:val="center"/>
          </w:tcPr>
          <w:p w14:paraId="1A0C2EF1">
            <w:pPr>
              <w:jc w:val="center"/>
              <w:rPr>
                <w:color w:val="auto"/>
                <w:highlight w:val="none"/>
              </w:rPr>
            </w:pPr>
          </w:p>
        </w:tc>
        <w:tc>
          <w:tcPr>
            <w:tcW w:w="1484" w:type="dxa"/>
            <w:gridSpan w:val="2"/>
            <w:vAlign w:val="center"/>
          </w:tcPr>
          <w:p w14:paraId="38234DE4">
            <w:pPr>
              <w:jc w:val="center"/>
              <w:rPr>
                <w:color w:val="auto"/>
                <w:highlight w:val="none"/>
              </w:rPr>
            </w:pPr>
          </w:p>
        </w:tc>
      </w:tr>
    </w:tbl>
    <w:p w14:paraId="742258EC">
      <w:pPr>
        <w:spacing w:line="360" w:lineRule="auto"/>
        <w:rPr>
          <w:rFonts w:ascii="宋体" w:hAnsi="宋体"/>
          <w:color w:val="auto"/>
          <w:szCs w:val="21"/>
          <w:highlight w:val="none"/>
        </w:rPr>
      </w:pPr>
      <w:r>
        <w:rPr>
          <w:rFonts w:hint="eastAsia" w:ascii="宋体" w:hAnsi="宋体" w:cs="楷体_GB2312"/>
          <w:color w:val="auto"/>
          <w:szCs w:val="21"/>
          <w:highlight w:val="none"/>
        </w:rPr>
        <w:t>备注：</w:t>
      </w:r>
    </w:p>
    <w:p w14:paraId="5AE446FE">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.项目</w:t>
      </w:r>
      <w:r>
        <w:rPr>
          <w:rFonts w:ascii="宋体" w:hAnsi="宋体"/>
          <w:color w:val="auto"/>
          <w:szCs w:val="21"/>
          <w:highlight w:val="none"/>
        </w:rPr>
        <w:t>数</w:t>
      </w:r>
      <w:r>
        <w:rPr>
          <w:rFonts w:hint="eastAsia" w:ascii="宋体" w:hAnsi="宋体"/>
          <w:color w:val="auto"/>
          <w:szCs w:val="21"/>
          <w:highlight w:val="none"/>
        </w:rPr>
        <w:t>可</w:t>
      </w:r>
      <w:r>
        <w:rPr>
          <w:rFonts w:ascii="宋体" w:hAnsi="宋体"/>
          <w:color w:val="auto"/>
          <w:szCs w:val="21"/>
          <w:highlight w:val="none"/>
        </w:rPr>
        <w:t>以根据需要增加。</w:t>
      </w:r>
    </w:p>
    <w:p w14:paraId="73FF521A">
      <w:pPr>
        <w:spacing w:line="360" w:lineRule="auto"/>
        <w:ind w:firstLine="420" w:firstLineChars="200"/>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2.本表后附专职安全生产管理人员的安全生产考核合格证（C类）、本表所列证书扫描件并加盖供应商电子签章。</w:t>
      </w:r>
    </w:p>
    <w:p w14:paraId="3F9917E5">
      <w:pPr>
        <w:spacing w:line="360" w:lineRule="auto"/>
        <w:rPr>
          <w:rFonts w:ascii="宋体" w:hAnsi="宋体"/>
          <w:color w:val="auto"/>
          <w:szCs w:val="21"/>
          <w:highlight w:val="none"/>
        </w:rPr>
      </w:pPr>
      <w:r>
        <w:rPr>
          <w:rFonts w:ascii="宋体" w:hAnsi="宋体"/>
          <w:b/>
          <w:bCs/>
          <w:color w:val="auto"/>
          <w:sz w:val="24"/>
          <w:highlight w:val="none"/>
        </w:rPr>
        <w:br w:type="page"/>
      </w:r>
      <w:r>
        <w:rPr>
          <w:rFonts w:hint="eastAsia" w:ascii="宋体" w:hAnsi="宋体"/>
          <w:b/>
          <w:bCs/>
          <w:color w:val="auto"/>
          <w:sz w:val="24"/>
          <w:highlight w:val="none"/>
        </w:rPr>
        <w:t>其他文书、文件格式</w:t>
      </w:r>
    </w:p>
    <w:p w14:paraId="693D8388">
      <w:pPr>
        <w:jc w:val="center"/>
        <w:rPr>
          <w:rFonts w:ascii="方正小标宋简体" w:hAnsi="方正小标宋简体" w:eastAsia="方正小标宋简体" w:cs="方正小标宋简体"/>
          <w:color w:val="auto"/>
          <w:sz w:val="44"/>
          <w:szCs w:val="44"/>
          <w:highlight w:val="none"/>
        </w:rPr>
      </w:pPr>
      <w:bookmarkStart w:id="112" w:name="_Toc71365926"/>
      <w:r>
        <w:rPr>
          <w:rFonts w:hint="eastAsia" w:ascii="方正小标宋简体" w:hAnsi="方正小标宋简体" w:eastAsia="方正小标宋简体" w:cs="方正小标宋简体"/>
          <w:color w:val="auto"/>
          <w:sz w:val="44"/>
          <w:szCs w:val="44"/>
          <w:highlight w:val="none"/>
        </w:rPr>
        <w:t>中小企业声明函（工程）</w:t>
      </w:r>
      <w:bookmarkEnd w:id="112"/>
    </w:p>
    <w:p w14:paraId="12E7C7B0">
      <w:pPr>
        <w:spacing w:before="2" w:line="500" w:lineRule="exact"/>
        <w:ind w:firstLine="708" w:firstLineChars="294"/>
        <w:rPr>
          <w:rFonts w:ascii="宋体" w:hAnsi="宋体" w:cs="宋体"/>
          <w:b/>
          <w:bCs/>
          <w:color w:val="auto"/>
          <w:sz w:val="24"/>
          <w:highlight w:val="none"/>
        </w:rPr>
      </w:pPr>
    </w:p>
    <w:p w14:paraId="205A4A75">
      <w:pPr>
        <w:pStyle w:val="18"/>
        <w:spacing w:line="500" w:lineRule="exact"/>
        <w:ind w:right="142" w:firstLine="705" w:firstLineChars="294"/>
        <w:rPr>
          <w:rFonts w:ascii="宋体" w:hAnsi="宋体"/>
          <w:color w:val="auto"/>
          <w:sz w:val="24"/>
          <w:highlight w:val="none"/>
        </w:rPr>
      </w:pPr>
      <w:r>
        <w:rPr>
          <w:rFonts w:ascii="宋体" w:hAnsi="宋体"/>
          <w:color w:val="auto"/>
          <w:sz w:val="24"/>
          <w:highlight w:val="none"/>
        </w:rPr>
        <w:t>本公司（联合体）郑重声明，根据《政府采购促进中小企业发展管理办法》（财库﹝2020﹞46号）的规定，本公司（联合体）参加</w:t>
      </w:r>
      <w:r>
        <w:rPr>
          <w:rFonts w:ascii="宋体" w:hAnsi="宋体"/>
          <w:color w:val="auto"/>
          <w:sz w:val="24"/>
          <w:highlight w:val="none"/>
          <w:u w:val="single"/>
        </w:rPr>
        <w:t>（单位名称）</w:t>
      </w:r>
      <w:r>
        <w:rPr>
          <w:rFonts w:ascii="宋体" w:hAnsi="宋体"/>
          <w:color w:val="auto"/>
          <w:sz w:val="24"/>
          <w:highlight w:val="none"/>
        </w:rPr>
        <w:t>的</w:t>
      </w:r>
      <w:r>
        <w:rPr>
          <w:rFonts w:ascii="宋体" w:hAnsi="宋体"/>
          <w:color w:val="auto"/>
          <w:sz w:val="24"/>
          <w:highlight w:val="none"/>
          <w:u w:val="single"/>
        </w:rPr>
        <w:t>（项目名称）</w:t>
      </w:r>
      <w:r>
        <w:rPr>
          <w:rFonts w:ascii="宋体" w:hAnsi="宋体"/>
          <w:color w:val="auto"/>
          <w:sz w:val="24"/>
          <w:highlight w:val="none"/>
        </w:rPr>
        <w:t>采购活动，</w:t>
      </w:r>
      <w:r>
        <w:rPr>
          <w:rFonts w:hint="eastAsia" w:ascii="宋体" w:hAnsi="宋体"/>
          <w:color w:val="auto"/>
          <w:sz w:val="24"/>
          <w:highlight w:val="none"/>
        </w:rPr>
        <w:t>工程的施工单位全部为符合政策要求的中小企业。相关企业（含联合体中的中小企业、签订分包意向协议的中小企业）的具体情况如下：</w:t>
      </w:r>
    </w:p>
    <w:p w14:paraId="2B45BEFD">
      <w:pPr>
        <w:tabs>
          <w:tab w:val="left" w:pos="1384"/>
          <w:tab w:val="left" w:pos="4562"/>
          <w:tab w:val="left" w:pos="6803"/>
        </w:tabs>
        <w:spacing w:before="13" w:line="500" w:lineRule="exact"/>
        <w:ind w:right="142" w:firstLine="772" w:firstLineChars="322"/>
        <w:rPr>
          <w:rFonts w:ascii="宋体" w:hAnsi="宋体"/>
          <w:color w:val="auto"/>
          <w:sz w:val="24"/>
          <w:highlight w:val="none"/>
        </w:rPr>
      </w:pPr>
      <w:r>
        <w:rPr>
          <w:rFonts w:ascii="宋体" w:hAnsi="宋体"/>
          <w:color w:val="auto"/>
          <w:sz w:val="24"/>
          <w:highlight w:val="none"/>
        </w:rPr>
        <w:t>1.</w:t>
      </w:r>
      <w:r>
        <w:rPr>
          <w:rFonts w:ascii="宋体" w:hAnsi="宋体"/>
          <w:color w:val="auto"/>
          <w:sz w:val="24"/>
          <w:highlight w:val="none"/>
          <w:u w:val="single"/>
        </w:rPr>
        <w:t>（标的名称）</w:t>
      </w:r>
      <w:r>
        <w:rPr>
          <w:rFonts w:ascii="宋体" w:hAnsi="宋体"/>
          <w:color w:val="auto"/>
          <w:sz w:val="24"/>
          <w:highlight w:val="none"/>
        </w:rPr>
        <w:t>，属于</w:t>
      </w:r>
      <w:r>
        <w:rPr>
          <w:rFonts w:ascii="宋体" w:hAnsi="宋体"/>
          <w:color w:val="auto"/>
          <w:sz w:val="24"/>
          <w:highlight w:val="none"/>
          <w:u w:val="single"/>
        </w:rPr>
        <w:t>（采购文件中明确的所属</w:t>
      </w:r>
      <w:r>
        <w:rPr>
          <w:rFonts w:hint="eastAsia" w:ascii="宋体" w:hAnsi="宋体"/>
          <w:color w:val="auto"/>
          <w:sz w:val="24"/>
          <w:highlight w:val="none"/>
          <w:u w:val="single"/>
        </w:rPr>
        <w:t>行</w:t>
      </w:r>
      <w:r>
        <w:rPr>
          <w:rFonts w:ascii="宋体" w:hAnsi="宋体"/>
          <w:color w:val="auto"/>
          <w:sz w:val="24"/>
          <w:highlight w:val="none"/>
          <w:u w:val="single"/>
        </w:rPr>
        <w:t>业）</w:t>
      </w:r>
      <w:r>
        <w:rPr>
          <w:rFonts w:ascii="宋体" w:hAnsi="宋体"/>
          <w:color w:val="auto"/>
          <w:sz w:val="24"/>
          <w:highlight w:val="none"/>
        </w:rPr>
        <w:t>；</w:t>
      </w:r>
      <w:r>
        <w:rPr>
          <w:rFonts w:hint="eastAsia" w:ascii="宋体" w:hAnsi="宋体"/>
          <w:color w:val="auto"/>
          <w:sz w:val="24"/>
          <w:highlight w:val="none"/>
        </w:rPr>
        <w:t>承建企业为</w:t>
      </w:r>
      <w:r>
        <w:rPr>
          <w:rFonts w:hint="eastAsia" w:ascii="宋体" w:hAnsi="宋体"/>
          <w:color w:val="auto"/>
          <w:sz w:val="24"/>
          <w:highlight w:val="none"/>
          <w:u w:val="single"/>
        </w:rPr>
        <w:t>（企业名称）</w:t>
      </w:r>
      <w:r>
        <w:rPr>
          <w:rFonts w:hint="eastAsia" w:ascii="宋体" w:hAnsi="宋体"/>
          <w:color w:val="auto"/>
          <w:sz w:val="24"/>
          <w:highlight w:val="none"/>
        </w:rPr>
        <w:t>，从业人员人，营业收入为万元，资产总额为万元</w:t>
      </w:r>
      <w:r>
        <w:rPr>
          <w:rFonts w:ascii="宋体" w:hAnsi="宋体"/>
          <w:color w:val="auto"/>
          <w:sz w:val="24"/>
          <w:highlight w:val="none"/>
        </w:rPr>
        <w:t>，属于</w:t>
      </w:r>
      <w:r>
        <w:rPr>
          <w:rFonts w:ascii="宋体" w:hAnsi="宋体"/>
          <w:color w:val="auto"/>
          <w:sz w:val="24"/>
          <w:highlight w:val="none"/>
          <w:u w:val="single"/>
        </w:rPr>
        <w:t>（中型企业、</w:t>
      </w:r>
      <w:r>
        <w:rPr>
          <w:rFonts w:hint="eastAsia" w:ascii="宋体" w:hAnsi="宋体"/>
          <w:color w:val="auto"/>
          <w:sz w:val="24"/>
          <w:highlight w:val="none"/>
          <w:u w:val="single"/>
        </w:rPr>
        <w:t>小型企业、微型企业）</w:t>
      </w:r>
      <w:r>
        <w:rPr>
          <w:rFonts w:hint="eastAsia" w:ascii="宋体" w:hAnsi="宋体"/>
          <w:color w:val="auto"/>
          <w:sz w:val="24"/>
          <w:highlight w:val="none"/>
        </w:rPr>
        <w:t>；</w:t>
      </w:r>
    </w:p>
    <w:p w14:paraId="09FD4255">
      <w:pPr>
        <w:tabs>
          <w:tab w:val="left" w:pos="1065"/>
          <w:tab w:val="left" w:pos="4262"/>
          <w:tab w:val="left" w:pos="6477"/>
        </w:tabs>
        <w:spacing w:before="20" w:line="500" w:lineRule="exact"/>
        <w:ind w:right="84" w:firstLine="772" w:firstLineChars="322"/>
        <w:rPr>
          <w:rFonts w:ascii="宋体" w:hAnsi="宋体"/>
          <w:color w:val="auto"/>
          <w:sz w:val="24"/>
          <w:highlight w:val="none"/>
          <w:u w:val="single"/>
        </w:rPr>
      </w:pPr>
      <w:r>
        <w:rPr>
          <w:rFonts w:ascii="宋体" w:hAnsi="宋体"/>
          <w:color w:val="auto"/>
          <w:sz w:val="24"/>
          <w:highlight w:val="none"/>
        </w:rPr>
        <w:t>2.</w:t>
      </w:r>
      <w:r>
        <w:rPr>
          <w:rFonts w:ascii="宋体" w:hAnsi="宋体"/>
          <w:color w:val="auto"/>
          <w:sz w:val="24"/>
          <w:highlight w:val="none"/>
          <w:u w:val="single"/>
        </w:rPr>
        <w:t>（标的名称）</w:t>
      </w:r>
      <w:r>
        <w:rPr>
          <w:rFonts w:ascii="宋体" w:hAnsi="宋体"/>
          <w:color w:val="auto"/>
          <w:sz w:val="24"/>
          <w:highlight w:val="none"/>
        </w:rPr>
        <w:t>，属于</w:t>
      </w:r>
      <w:r>
        <w:rPr>
          <w:rFonts w:ascii="宋体" w:hAnsi="宋体"/>
          <w:color w:val="auto"/>
          <w:sz w:val="24"/>
          <w:highlight w:val="none"/>
          <w:u w:val="single"/>
        </w:rPr>
        <w:t>（采购文件中明确的所属</w:t>
      </w:r>
      <w:r>
        <w:rPr>
          <w:rFonts w:hint="eastAsia" w:ascii="宋体" w:hAnsi="宋体"/>
          <w:color w:val="auto"/>
          <w:sz w:val="24"/>
          <w:highlight w:val="none"/>
          <w:u w:val="single"/>
        </w:rPr>
        <w:t>行业</w:t>
      </w:r>
      <w:r>
        <w:rPr>
          <w:rFonts w:ascii="宋体" w:hAnsi="宋体"/>
          <w:color w:val="auto"/>
          <w:sz w:val="24"/>
          <w:highlight w:val="none"/>
          <w:u w:val="single"/>
        </w:rPr>
        <w:t>）</w:t>
      </w:r>
      <w:r>
        <w:rPr>
          <w:rFonts w:ascii="宋体" w:hAnsi="宋体"/>
          <w:color w:val="auto"/>
          <w:sz w:val="24"/>
          <w:highlight w:val="none"/>
        </w:rPr>
        <w:t>；</w:t>
      </w:r>
      <w:r>
        <w:rPr>
          <w:rFonts w:hint="eastAsia" w:ascii="宋体" w:hAnsi="宋体"/>
          <w:color w:val="auto"/>
          <w:sz w:val="24"/>
          <w:highlight w:val="none"/>
        </w:rPr>
        <w:t>承建企业为</w:t>
      </w:r>
      <w:r>
        <w:rPr>
          <w:rFonts w:hint="eastAsia" w:ascii="宋体" w:hAnsi="宋体"/>
          <w:color w:val="auto"/>
          <w:sz w:val="24"/>
          <w:highlight w:val="none"/>
          <w:u w:val="single"/>
        </w:rPr>
        <w:t>（企业名称）</w:t>
      </w:r>
      <w:r>
        <w:rPr>
          <w:rFonts w:hint="eastAsia" w:ascii="宋体" w:hAnsi="宋体"/>
          <w:color w:val="auto"/>
          <w:sz w:val="24"/>
          <w:highlight w:val="none"/>
        </w:rPr>
        <w:t>，从业人员人，营业收入为万元，资产总额为万元</w:t>
      </w:r>
      <w:r>
        <w:rPr>
          <w:rFonts w:ascii="宋体" w:hAnsi="宋体"/>
          <w:color w:val="auto"/>
          <w:sz w:val="24"/>
          <w:highlight w:val="none"/>
        </w:rPr>
        <w:t>，属于</w:t>
      </w:r>
      <w:r>
        <w:rPr>
          <w:rFonts w:ascii="宋体" w:hAnsi="宋体"/>
          <w:color w:val="auto"/>
          <w:sz w:val="24"/>
          <w:highlight w:val="none"/>
          <w:u w:val="single"/>
        </w:rPr>
        <w:t>（中型企业、</w:t>
      </w:r>
      <w:r>
        <w:rPr>
          <w:rFonts w:hint="eastAsia" w:ascii="宋体" w:hAnsi="宋体"/>
          <w:color w:val="auto"/>
          <w:sz w:val="24"/>
          <w:highlight w:val="none"/>
          <w:u w:val="single"/>
        </w:rPr>
        <w:t>小型企业、微型企业）</w:t>
      </w:r>
      <w:r>
        <w:rPr>
          <w:rFonts w:hint="eastAsia" w:ascii="宋体" w:hAnsi="宋体"/>
          <w:color w:val="auto"/>
          <w:sz w:val="24"/>
          <w:highlight w:val="none"/>
        </w:rPr>
        <w:t>；</w:t>
      </w:r>
    </w:p>
    <w:p w14:paraId="2C1A3C9C">
      <w:pPr>
        <w:pStyle w:val="18"/>
        <w:spacing w:before="34" w:line="500" w:lineRule="exact"/>
        <w:ind w:right="142" w:firstLine="705" w:firstLineChars="294"/>
        <w:rPr>
          <w:rFonts w:ascii="宋体" w:hAnsi="宋体"/>
          <w:color w:val="auto"/>
          <w:sz w:val="24"/>
          <w:highlight w:val="none"/>
        </w:rPr>
      </w:pPr>
      <w:r>
        <w:rPr>
          <w:rFonts w:ascii="宋体" w:hAnsi="宋体"/>
          <w:color w:val="auto"/>
          <w:sz w:val="24"/>
          <w:highlight w:val="none"/>
        </w:rPr>
        <w:t xml:space="preserve">…… </w:t>
      </w:r>
    </w:p>
    <w:p w14:paraId="465AEE20">
      <w:pPr>
        <w:pStyle w:val="18"/>
        <w:spacing w:before="34" w:line="500" w:lineRule="exact"/>
        <w:ind w:right="142" w:firstLine="705" w:firstLineChars="294"/>
        <w:rPr>
          <w:rFonts w:ascii="宋体" w:hAnsi="宋体"/>
          <w:color w:val="auto"/>
          <w:sz w:val="24"/>
          <w:highlight w:val="none"/>
        </w:rPr>
      </w:pPr>
      <w:r>
        <w:rPr>
          <w:rFonts w:ascii="宋体" w:hAnsi="宋体"/>
          <w:color w:val="auto"/>
          <w:sz w:val="24"/>
          <w:highlight w:val="none"/>
        </w:rPr>
        <w:t>以上企业，不属于大企业的分支机构，不存在控股股东为大企业的情形，也不存在与大企业的负责人为同一人的情形。</w:t>
      </w:r>
    </w:p>
    <w:p w14:paraId="67D5347C">
      <w:pPr>
        <w:pStyle w:val="18"/>
        <w:spacing w:before="25" w:line="500" w:lineRule="exact"/>
        <w:ind w:right="142" w:firstLine="705" w:firstLineChars="294"/>
        <w:rPr>
          <w:rFonts w:ascii="宋体" w:hAnsi="宋体"/>
          <w:color w:val="auto"/>
          <w:sz w:val="24"/>
          <w:highlight w:val="none"/>
        </w:rPr>
      </w:pPr>
      <w:r>
        <w:rPr>
          <w:rFonts w:ascii="宋体" w:hAnsi="宋体"/>
          <w:color w:val="auto"/>
          <w:sz w:val="24"/>
          <w:highlight w:val="none"/>
        </w:rPr>
        <w:t>本企业对上述声明内容的真实性负责。如有虚假，将依法承担相应责任。</w:t>
      </w:r>
    </w:p>
    <w:p w14:paraId="5DD842EB">
      <w:pPr>
        <w:pStyle w:val="18"/>
        <w:spacing w:before="56" w:line="500" w:lineRule="exact"/>
        <w:ind w:right="1808" w:firstLine="705" w:firstLineChars="294"/>
        <w:rPr>
          <w:rFonts w:ascii="宋体" w:hAnsi="宋体"/>
          <w:color w:val="auto"/>
          <w:sz w:val="24"/>
          <w:highlight w:val="none"/>
        </w:rPr>
      </w:pPr>
    </w:p>
    <w:p w14:paraId="5007770F">
      <w:pPr>
        <w:pStyle w:val="18"/>
        <w:spacing w:before="56" w:line="500" w:lineRule="exact"/>
        <w:ind w:right="650" w:firstLine="5625" w:firstLineChars="2344"/>
        <w:rPr>
          <w:rFonts w:ascii="宋体" w:hAnsi="宋体"/>
          <w:color w:val="auto"/>
          <w:sz w:val="24"/>
          <w:highlight w:val="none"/>
        </w:rPr>
      </w:pPr>
      <w:r>
        <w:rPr>
          <w:rFonts w:ascii="宋体" w:hAnsi="宋体"/>
          <w:color w:val="auto"/>
          <w:sz w:val="24"/>
          <w:highlight w:val="none"/>
        </w:rPr>
        <w:t>企业名称（</w:t>
      </w:r>
      <w:r>
        <w:rPr>
          <w:rFonts w:hint="eastAsia" w:ascii="宋体" w:hAnsi="宋体"/>
          <w:color w:val="auto"/>
          <w:sz w:val="24"/>
          <w:highlight w:val="none"/>
          <w:lang w:val="en-US" w:eastAsia="zh-CN"/>
        </w:rPr>
        <w:t>电子签章</w:t>
      </w:r>
      <w:r>
        <w:rPr>
          <w:rFonts w:ascii="宋体" w:hAnsi="宋体"/>
          <w:color w:val="auto"/>
          <w:sz w:val="24"/>
          <w:highlight w:val="none"/>
        </w:rPr>
        <w:t xml:space="preserve">）： </w:t>
      </w:r>
    </w:p>
    <w:p w14:paraId="1BB6AAE1">
      <w:pPr>
        <w:pStyle w:val="18"/>
        <w:spacing w:before="56" w:line="500" w:lineRule="exact"/>
        <w:ind w:right="1808" w:firstLine="5625" w:firstLineChars="2344"/>
        <w:rPr>
          <w:rFonts w:ascii="宋体" w:hAnsi="宋体"/>
          <w:color w:val="auto"/>
          <w:sz w:val="24"/>
          <w:highlight w:val="none"/>
        </w:rPr>
      </w:pPr>
      <w:r>
        <w:rPr>
          <w:rFonts w:ascii="宋体" w:hAnsi="宋体"/>
          <w:color w:val="auto"/>
          <w:sz w:val="24"/>
          <w:highlight w:val="none"/>
        </w:rPr>
        <w:t>日 期：</w:t>
      </w:r>
    </w:p>
    <w:p w14:paraId="21B32FC8">
      <w:pPr>
        <w:spacing w:line="520" w:lineRule="exact"/>
        <w:jc w:val="left"/>
        <w:rPr>
          <w:rFonts w:ascii="宋体" w:hAnsi="宋体" w:cs="仿宋_GB2312"/>
          <w:color w:val="auto"/>
          <w:sz w:val="24"/>
          <w:highlight w:val="none"/>
        </w:rPr>
      </w:pPr>
      <w:r>
        <w:rPr>
          <w:rFonts w:hint="eastAsia" w:ascii="宋体" w:hAnsi="宋体" w:cs="仿宋_GB2312"/>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5EA97EDC">
      <w:pPr>
        <w:spacing w:line="520" w:lineRule="exact"/>
        <w:jc w:val="center"/>
        <w:rPr>
          <w:rFonts w:ascii="仿宋_GB2312" w:hAnsi="仿宋_GB2312" w:eastAsia="仿宋_GB2312" w:cs="仿宋_GB2312"/>
          <w:color w:val="auto"/>
          <w:sz w:val="32"/>
          <w:szCs w:val="32"/>
          <w:highlight w:val="none"/>
        </w:rPr>
      </w:pPr>
      <w:r>
        <w:rPr>
          <w:rFonts w:ascii="宋体" w:hAnsi="宋体"/>
          <w:color w:val="auto"/>
          <w:sz w:val="24"/>
          <w:highlight w:val="none"/>
        </w:rPr>
        <w:br w:type="page"/>
      </w:r>
      <w:r>
        <w:rPr>
          <w:rFonts w:hint="eastAsia" w:ascii="方正小标宋简体" w:hAnsi="方正小标宋简体" w:eastAsia="方正小标宋简体" w:cs="方正小标宋简体"/>
          <w:color w:val="auto"/>
          <w:sz w:val="44"/>
          <w:szCs w:val="44"/>
          <w:highlight w:val="none"/>
        </w:rPr>
        <w:t>残疾人福利性单位声明函</w:t>
      </w:r>
    </w:p>
    <w:p w14:paraId="365D6B03">
      <w:pPr>
        <w:spacing w:line="360" w:lineRule="auto"/>
        <w:contextualSpacing/>
        <w:rPr>
          <w:rFonts w:ascii="仿宋_GB2312" w:hAnsi="仿宋_GB2312" w:eastAsia="仿宋_GB2312" w:cs="仿宋_GB2312"/>
          <w:color w:val="auto"/>
          <w:sz w:val="32"/>
          <w:szCs w:val="32"/>
          <w:highlight w:val="none"/>
        </w:rPr>
      </w:pPr>
    </w:p>
    <w:p w14:paraId="31515378">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6FA7BCC9">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本单位对上述声明的真实性负责。如有虚假，将依法承担相应责任。</w:t>
      </w:r>
    </w:p>
    <w:p w14:paraId="760B82D3">
      <w:pPr>
        <w:spacing w:line="360" w:lineRule="auto"/>
        <w:contextualSpacing/>
        <w:rPr>
          <w:rFonts w:ascii="宋体" w:hAnsi="宋体" w:cs="仿宋_GB2312"/>
          <w:color w:val="auto"/>
          <w:sz w:val="24"/>
          <w:highlight w:val="none"/>
        </w:rPr>
      </w:pPr>
    </w:p>
    <w:p w14:paraId="63A1BA0F">
      <w:pPr>
        <w:spacing w:line="360" w:lineRule="auto"/>
        <w:contextualSpacing/>
        <w:rPr>
          <w:rFonts w:ascii="宋体" w:hAnsi="宋体" w:cs="仿宋_GB2312"/>
          <w:color w:val="auto"/>
          <w:sz w:val="24"/>
          <w:highlight w:val="none"/>
        </w:rPr>
      </w:pPr>
    </w:p>
    <w:p w14:paraId="2F5B4FA8">
      <w:pPr>
        <w:spacing w:line="360" w:lineRule="auto"/>
        <w:contextualSpacing/>
        <w:rPr>
          <w:rFonts w:ascii="宋体" w:hAnsi="宋体" w:cs="仿宋_GB2312"/>
          <w:color w:val="auto"/>
          <w:sz w:val="24"/>
          <w:highlight w:val="none"/>
        </w:rPr>
      </w:pPr>
    </w:p>
    <w:p w14:paraId="711D3702">
      <w:pPr>
        <w:spacing w:line="360" w:lineRule="auto"/>
        <w:ind w:firstLine="4800" w:firstLineChars="2000"/>
        <w:contextualSpacing/>
        <w:rPr>
          <w:rFonts w:ascii="宋体" w:hAnsi="宋体" w:cs="仿宋_GB2312"/>
          <w:color w:val="auto"/>
          <w:sz w:val="24"/>
          <w:highlight w:val="none"/>
        </w:rPr>
      </w:pPr>
      <w:r>
        <w:rPr>
          <w:rFonts w:hint="eastAsia" w:ascii="宋体" w:hAnsi="宋体" w:cs="仿宋_GB2312"/>
          <w:color w:val="auto"/>
          <w:sz w:val="24"/>
          <w:highlight w:val="none"/>
        </w:rPr>
        <w:t>单位名称（</w:t>
      </w:r>
      <w:r>
        <w:rPr>
          <w:rFonts w:hint="eastAsia" w:ascii="宋体" w:hAnsi="宋体"/>
          <w:color w:val="auto"/>
          <w:sz w:val="24"/>
          <w:highlight w:val="none"/>
          <w:lang w:val="en-US" w:eastAsia="zh-CN"/>
        </w:rPr>
        <w:t>电子签章</w:t>
      </w:r>
      <w:r>
        <w:rPr>
          <w:rFonts w:hint="eastAsia" w:ascii="宋体" w:hAnsi="宋体" w:cs="仿宋_GB2312"/>
          <w:color w:val="auto"/>
          <w:sz w:val="24"/>
          <w:highlight w:val="none"/>
        </w:rPr>
        <w:t>）：</w:t>
      </w:r>
    </w:p>
    <w:p w14:paraId="6754C277">
      <w:pPr>
        <w:spacing w:line="360" w:lineRule="auto"/>
        <w:ind w:firstLine="5280" w:firstLineChars="2200"/>
        <w:contextualSpacing/>
        <w:rPr>
          <w:rFonts w:ascii="宋体" w:hAnsi="宋体" w:cs="仿宋_GB2312"/>
          <w:color w:val="auto"/>
          <w:sz w:val="24"/>
          <w:highlight w:val="none"/>
        </w:rPr>
      </w:pPr>
      <w:r>
        <w:rPr>
          <w:rFonts w:hint="eastAsia" w:ascii="宋体" w:hAnsi="宋体" w:cs="仿宋_GB2312"/>
          <w:color w:val="auto"/>
          <w:sz w:val="24"/>
          <w:highlight w:val="none"/>
        </w:rPr>
        <w:t>日  期：</w:t>
      </w:r>
    </w:p>
    <w:p w14:paraId="02759EC7">
      <w:pPr>
        <w:spacing w:line="360" w:lineRule="auto"/>
        <w:contextualSpacing/>
        <w:rPr>
          <w:rFonts w:ascii="宋体" w:hAnsi="宋体" w:cs="仿宋_GB2312"/>
          <w:color w:val="auto"/>
          <w:sz w:val="24"/>
          <w:highlight w:val="none"/>
        </w:rPr>
      </w:pPr>
    </w:p>
    <w:p w14:paraId="24D355E2">
      <w:pPr>
        <w:spacing w:line="360" w:lineRule="auto"/>
        <w:contextualSpacing/>
        <w:rPr>
          <w:rFonts w:ascii="宋体" w:hAnsi="宋体" w:cs="仿宋_GB2312"/>
          <w:color w:val="auto"/>
          <w:sz w:val="24"/>
          <w:highlight w:val="none"/>
        </w:rPr>
      </w:pPr>
    </w:p>
    <w:p w14:paraId="6A015D70">
      <w:pPr>
        <w:spacing w:line="360" w:lineRule="auto"/>
        <w:contextualSpacing/>
        <w:rPr>
          <w:rFonts w:ascii="宋体" w:hAnsi="宋体" w:cs="仿宋_GB2312"/>
          <w:color w:val="auto"/>
          <w:sz w:val="24"/>
          <w:highlight w:val="none"/>
        </w:rPr>
      </w:pPr>
    </w:p>
    <w:p w14:paraId="16487988">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注：请根据自己的真实情况出具《残疾人福利性单位声明函》。依法享受中小企业优惠政策的，采购人或者采购代理机构在公告成交结果时，同时公告其《残疾人福利性单位声明函》，接受社会监督。</w:t>
      </w:r>
    </w:p>
    <w:p w14:paraId="287A3A35">
      <w:pPr>
        <w:spacing w:line="360" w:lineRule="auto"/>
        <w:jc w:val="center"/>
        <w:rPr>
          <w:rFonts w:ascii="宋体" w:hAnsi="宋体" w:cs="仿宋_GB2312"/>
          <w:color w:val="auto"/>
          <w:sz w:val="24"/>
          <w:highlight w:val="none"/>
        </w:rPr>
      </w:pPr>
      <w:r>
        <w:rPr>
          <w:rFonts w:ascii="宋体" w:hAnsi="宋体" w:cs="仿宋_GB2312"/>
          <w:color w:val="auto"/>
          <w:sz w:val="24"/>
          <w:highlight w:val="none"/>
        </w:rPr>
        <w:br w:type="page"/>
      </w:r>
    </w:p>
    <w:p w14:paraId="317647FB">
      <w:pPr>
        <w:spacing w:before="100" w:line="231" w:lineRule="auto"/>
        <w:ind w:left="2139" w:right="2140" w:firstLine="118"/>
        <w:rPr>
          <w:rFonts w:ascii="宋体" w:hAnsi="宋体" w:eastAsia="宋体" w:cs="宋体"/>
          <w:b/>
          <w:bCs/>
          <w:color w:val="auto"/>
          <w:spacing w:val="7"/>
          <w:sz w:val="31"/>
          <w:szCs w:val="31"/>
        </w:rPr>
      </w:pPr>
    </w:p>
    <w:p w14:paraId="36430C0E">
      <w:pPr>
        <w:spacing w:before="100" w:line="231" w:lineRule="auto"/>
        <w:ind w:left="2139" w:right="2140" w:firstLine="118"/>
        <w:rPr>
          <w:rFonts w:ascii="宋体" w:hAnsi="宋体" w:eastAsia="宋体" w:cs="宋体"/>
          <w:color w:val="auto"/>
          <w:sz w:val="28"/>
          <w:szCs w:val="28"/>
        </w:rPr>
      </w:pPr>
      <w:r>
        <w:rPr>
          <w:rFonts w:ascii="宋体" w:hAnsi="宋体" w:eastAsia="宋体" w:cs="宋体"/>
          <w:b/>
          <w:bCs/>
          <w:color w:val="auto"/>
          <w:spacing w:val="7"/>
          <w:sz w:val="31"/>
          <w:szCs w:val="31"/>
        </w:rPr>
        <w:t>农民工工资保证金交纳与使用承诺书</w:t>
      </w:r>
      <w:r>
        <w:rPr>
          <w:rFonts w:ascii="宋体" w:hAnsi="宋体" w:eastAsia="宋体" w:cs="宋体"/>
          <w:color w:val="auto"/>
          <w:sz w:val="31"/>
          <w:szCs w:val="31"/>
        </w:rPr>
        <w:t xml:space="preserve">  </w:t>
      </w:r>
      <w:r>
        <w:rPr>
          <w:rFonts w:ascii="宋体" w:hAnsi="宋体" w:eastAsia="宋体" w:cs="宋体"/>
          <w:b/>
          <w:bCs/>
          <w:color w:val="auto"/>
          <w:spacing w:val="-3"/>
          <w:sz w:val="28"/>
          <w:szCs w:val="28"/>
        </w:rPr>
        <w:t>（</w:t>
      </w:r>
      <w:r>
        <w:rPr>
          <w:rFonts w:ascii="宋体" w:hAnsi="宋体" w:eastAsia="宋体" w:cs="宋体"/>
          <w:color w:val="auto"/>
          <w:spacing w:val="-3"/>
          <w:sz w:val="28"/>
          <w:szCs w:val="28"/>
        </w:rPr>
        <w:t>按</w:t>
      </w:r>
      <w:r>
        <w:rPr>
          <w:rFonts w:hint="eastAsia" w:ascii="宋体" w:hAnsi="宋体" w:eastAsia="宋体" w:cs="宋体"/>
          <w:color w:val="auto"/>
          <w:spacing w:val="-3"/>
          <w:sz w:val="28"/>
          <w:szCs w:val="28"/>
        </w:rPr>
        <w:t>《保障农民工工资支付条例》</w:t>
      </w:r>
      <w:r>
        <w:rPr>
          <w:rFonts w:ascii="宋体" w:hAnsi="宋体" w:eastAsia="宋体" w:cs="宋体"/>
          <w:color w:val="auto"/>
          <w:spacing w:val="-3"/>
          <w:sz w:val="28"/>
          <w:szCs w:val="28"/>
        </w:rPr>
        <w:t>的规定执行</w:t>
      </w:r>
      <w:r>
        <w:rPr>
          <w:rFonts w:ascii="宋体" w:hAnsi="宋体" w:eastAsia="宋体" w:cs="宋体"/>
          <w:b/>
          <w:bCs/>
          <w:color w:val="auto"/>
          <w:spacing w:val="-3"/>
          <w:sz w:val="28"/>
          <w:szCs w:val="28"/>
        </w:rPr>
        <w:t>）</w:t>
      </w:r>
    </w:p>
    <w:p w14:paraId="1126701B">
      <w:pPr>
        <w:pStyle w:val="18"/>
        <w:spacing w:line="302" w:lineRule="auto"/>
        <w:rPr>
          <w:color w:val="auto"/>
        </w:rPr>
      </w:pPr>
    </w:p>
    <w:p w14:paraId="77A47853">
      <w:pPr>
        <w:pStyle w:val="18"/>
        <w:spacing w:line="302" w:lineRule="auto"/>
        <w:rPr>
          <w:color w:val="auto"/>
        </w:rPr>
      </w:pPr>
    </w:p>
    <w:p w14:paraId="551EEBF6">
      <w:pPr>
        <w:pStyle w:val="18"/>
        <w:spacing w:line="302" w:lineRule="auto"/>
        <w:rPr>
          <w:color w:val="auto"/>
        </w:rPr>
      </w:pPr>
    </w:p>
    <w:p w14:paraId="7656EC72">
      <w:pPr>
        <w:spacing w:before="78" w:line="360" w:lineRule="auto"/>
        <w:ind w:left="8"/>
        <w:rPr>
          <w:rFonts w:ascii="宋体" w:hAnsi="宋体" w:eastAsia="宋体" w:cs="宋体"/>
          <w:color w:val="auto"/>
          <w:sz w:val="24"/>
          <w:szCs w:val="24"/>
        </w:rPr>
      </w:pPr>
      <w:r>
        <w:rPr>
          <w:rFonts w:ascii="宋体" w:hAnsi="宋体" w:eastAsia="宋体" w:cs="宋体"/>
          <w:color w:val="auto"/>
          <w:spacing w:val="-6"/>
          <w:sz w:val="24"/>
          <w:szCs w:val="24"/>
        </w:rPr>
        <w:t>致：</w:t>
      </w:r>
      <w:r>
        <w:rPr>
          <w:rFonts w:ascii="宋体" w:hAnsi="宋体" w:eastAsia="宋体" w:cs="宋体"/>
          <w:color w:val="auto"/>
          <w:spacing w:val="-65"/>
          <w:sz w:val="24"/>
          <w:szCs w:val="24"/>
          <w:u w:val="single" w:color="auto"/>
        </w:rPr>
        <w:t xml:space="preserve"> </w:t>
      </w:r>
      <w:r>
        <w:rPr>
          <w:rFonts w:ascii="宋体" w:hAnsi="宋体" w:eastAsia="宋体" w:cs="宋体"/>
          <w:color w:val="auto"/>
          <w:spacing w:val="-6"/>
          <w:sz w:val="24"/>
          <w:szCs w:val="24"/>
          <w:u w:val="single" w:color="auto"/>
        </w:rPr>
        <w:t>(采购单位名称)</w:t>
      </w:r>
      <w:r>
        <w:rPr>
          <w:rFonts w:ascii="宋体" w:hAnsi="宋体" w:eastAsia="宋体" w:cs="宋体"/>
          <w:color w:val="auto"/>
          <w:spacing w:val="-6"/>
          <w:sz w:val="24"/>
          <w:szCs w:val="24"/>
        </w:rPr>
        <w:t>：</w:t>
      </w:r>
    </w:p>
    <w:p w14:paraId="077B6E26">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left"/>
        <w:rPr>
          <w:rFonts w:hint="eastAsia" w:ascii="宋体" w:hAnsi="宋体" w:eastAsia="宋体" w:cs="宋体"/>
          <w:color w:val="auto"/>
          <w:spacing w:val="-1"/>
          <w:sz w:val="24"/>
          <w:szCs w:val="24"/>
          <w:u w:val="single" w:color="auto"/>
        </w:rPr>
      </w:pPr>
      <w:r>
        <w:rPr>
          <w:rFonts w:hint="eastAsia" w:ascii="宋体" w:hAnsi="宋体" w:cs="宋体"/>
          <w:color w:val="auto"/>
          <w:spacing w:val="-1"/>
          <w:sz w:val="24"/>
          <w:szCs w:val="24"/>
          <w:u w:val="none" w:color="auto"/>
          <w:lang w:val="en-US" w:eastAsia="zh-CN"/>
        </w:rPr>
        <w:t xml:space="preserve">     </w:t>
      </w:r>
      <w:r>
        <w:rPr>
          <w:rFonts w:ascii="宋体" w:hAnsi="宋体" w:eastAsia="宋体" w:cs="宋体"/>
          <w:color w:val="auto"/>
          <w:spacing w:val="-1"/>
          <w:sz w:val="24"/>
          <w:szCs w:val="24"/>
          <w:u w:val="single" w:color="auto"/>
        </w:rPr>
        <w:t>根据</w:t>
      </w:r>
      <w:r>
        <w:rPr>
          <w:rFonts w:hint="eastAsia" w:ascii="宋体" w:hAnsi="宋体" w:eastAsia="宋体" w:cs="宋体"/>
          <w:color w:val="auto"/>
          <w:spacing w:val="-1"/>
          <w:sz w:val="24"/>
          <w:szCs w:val="24"/>
          <w:u w:val="single" w:color="auto"/>
        </w:rPr>
        <w:t>中华人民共和国国务院令第724号《保障农民工工资支付条例》</w:t>
      </w:r>
      <w:r>
        <w:rPr>
          <w:rFonts w:hint="eastAsia" w:ascii="宋体" w:hAnsi="宋体" w:eastAsia="宋体" w:cs="宋体"/>
          <w:color w:val="auto"/>
          <w:spacing w:val="-1"/>
          <w:sz w:val="24"/>
          <w:szCs w:val="24"/>
          <w:u w:val="single" w:color="auto"/>
          <w:lang w:eastAsia="zh-CN"/>
        </w:rPr>
        <w:t>、</w:t>
      </w:r>
      <w:r>
        <w:rPr>
          <w:rFonts w:hint="eastAsia" w:ascii="宋体" w:hAnsi="宋体" w:eastAsia="宋体" w:cs="宋体"/>
          <w:color w:val="auto"/>
          <w:spacing w:val="-1"/>
          <w:sz w:val="24"/>
          <w:szCs w:val="24"/>
          <w:u w:val="single" w:color="auto"/>
        </w:rPr>
        <w:t>《广西壮族自治区交通运输厅关于进一步做好公路水运工程建设领域农民工工资支付与管理有关工作的意见》桂交建管发〔</w:t>
      </w:r>
      <w:r>
        <w:rPr>
          <w:rFonts w:hint="eastAsia" w:ascii="宋体" w:hAnsi="宋体" w:eastAsia="宋体" w:cs="宋体"/>
          <w:color w:val="auto"/>
          <w:spacing w:val="-1"/>
          <w:sz w:val="24"/>
          <w:szCs w:val="24"/>
          <w:u w:val="single" w:color="auto"/>
          <w:lang w:val="en-US"/>
        </w:rPr>
        <w:t>2018</w:t>
      </w:r>
      <w:r>
        <w:rPr>
          <w:rFonts w:hint="eastAsia" w:ascii="宋体" w:hAnsi="宋体" w:eastAsia="宋体" w:cs="宋体"/>
          <w:color w:val="auto"/>
          <w:spacing w:val="-1"/>
          <w:sz w:val="24"/>
          <w:szCs w:val="24"/>
          <w:u w:val="single" w:color="auto"/>
        </w:rPr>
        <w:t>〕</w:t>
      </w:r>
      <w:r>
        <w:rPr>
          <w:rFonts w:hint="eastAsia" w:ascii="宋体" w:hAnsi="宋体" w:eastAsia="宋体" w:cs="宋体"/>
          <w:color w:val="auto"/>
          <w:spacing w:val="-1"/>
          <w:sz w:val="24"/>
          <w:szCs w:val="24"/>
          <w:u w:val="single" w:color="auto"/>
          <w:lang w:val="en-US"/>
        </w:rPr>
        <w:t>117</w:t>
      </w:r>
      <w:r>
        <w:rPr>
          <w:rFonts w:hint="eastAsia" w:ascii="宋体" w:hAnsi="宋体" w:eastAsia="宋体" w:cs="宋体"/>
          <w:color w:val="auto"/>
          <w:spacing w:val="-1"/>
          <w:sz w:val="24"/>
          <w:szCs w:val="24"/>
          <w:u w:val="single" w:color="auto"/>
        </w:rPr>
        <w:t>号文件规定，我方在此向采购人承诺：</w:t>
      </w:r>
    </w:p>
    <w:p w14:paraId="63D1CC53">
      <w:pPr>
        <w:spacing w:before="35" w:line="360" w:lineRule="auto"/>
        <w:ind w:right="2" w:firstLine="480" w:firstLineChars="200"/>
        <w:jc w:val="both"/>
        <w:rPr>
          <w:rFonts w:ascii="宋体" w:hAnsi="宋体" w:eastAsia="宋体" w:cs="宋体"/>
          <w:color w:val="auto"/>
          <w:sz w:val="24"/>
          <w:szCs w:val="24"/>
        </w:rPr>
      </w:pPr>
      <w:r>
        <w:rPr>
          <w:rFonts w:ascii="宋体" w:hAnsi="宋体" w:eastAsia="宋体" w:cs="宋体"/>
          <w:color w:val="auto"/>
          <w:sz w:val="24"/>
          <w:szCs w:val="24"/>
        </w:rPr>
        <w:t xml:space="preserve">1. </w:t>
      </w:r>
      <w:r>
        <w:rPr>
          <w:rFonts w:ascii="宋体" w:hAnsi="宋体" w:eastAsia="宋体" w:cs="宋体"/>
          <w:color w:val="auto"/>
          <w:sz w:val="24"/>
          <w:szCs w:val="24"/>
          <w:u w:val="single"/>
        </w:rPr>
        <w:t xml:space="preserve">我方参与竞标的           </w:t>
      </w:r>
      <w:r>
        <w:rPr>
          <w:rFonts w:ascii="宋体" w:hAnsi="宋体" w:eastAsia="宋体" w:cs="宋体"/>
          <w:color w:val="auto"/>
          <w:spacing w:val="-1"/>
          <w:sz w:val="24"/>
          <w:szCs w:val="24"/>
          <w:u w:val="single"/>
        </w:rPr>
        <w:t xml:space="preserve"> （工程名称</w:t>
      </w:r>
      <w:r>
        <w:rPr>
          <w:rFonts w:ascii="宋体" w:hAnsi="宋体" w:eastAsia="宋体" w:cs="宋体"/>
          <w:color w:val="auto"/>
          <w:spacing w:val="-7"/>
          <w:sz w:val="24"/>
          <w:szCs w:val="24"/>
          <w:u w:val="single"/>
        </w:rPr>
        <w:t>），</w:t>
      </w:r>
      <w:r>
        <w:rPr>
          <w:rFonts w:ascii="宋体" w:hAnsi="宋体" w:eastAsia="宋体" w:cs="宋体"/>
          <w:color w:val="auto"/>
          <w:spacing w:val="-1"/>
          <w:sz w:val="24"/>
          <w:szCs w:val="24"/>
          <w:u w:val="single"/>
        </w:rPr>
        <w:t>一旦中标，我方保证按竞争</w:t>
      </w:r>
      <w:r>
        <w:rPr>
          <w:rFonts w:ascii="宋体" w:hAnsi="宋体" w:eastAsia="宋体" w:cs="宋体"/>
          <w:color w:val="auto"/>
          <w:spacing w:val="1"/>
          <w:sz w:val="24"/>
          <w:szCs w:val="24"/>
          <w:u w:val="single" w:color="auto"/>
        </w:rPr>
        <w:t>性磋商文件的要求，及时并足额将农民工工资</w:t>
      </w:r>
      <w:r>
        <w:rPr>
          <w:rFonts w:ascii="宋体" w:hAnsi="宋体" w:eastAsia="宋体" w:cs="宋体"/>
          <w:color w:val="auto"/>
          <w:sz w:val="24"/>
          <w:szCs w:val="24"/>
          <w:u w:val="single" w:color="auto"/>
        </w:rPr>
        <w:t>保障金转入指定的资金专户，作为本项目农民</w:t>
      </w:r>
      <w:r>
        <w:rPr>
          <w:rFonts w:ascii="宋体" w:hAnsi="宋体" w:eastAsia="宋体" w:cs="宋体"/>
          <w:color w:val="auto"/>
          <w:spacing w:val="2"/>
          <w:sz w:val="24"/>
          <w:szCs w:val="24"/>
          <w:u w:val="single" w:color="auto"/>
        </w:rPr>
        <w:t>工工资保障金。</w:t>
      </w:r>
    </w:p>
    <w:p w14:paraId="0A89ED15">
      <w:pPr>
        <w:spacing w:before="35" w:line="448" w:lineRule="auto"/>
        <w:ind w:left="6" w:right="2" w:firstLine="484"/>
        <w:rPr>
          <w:rFonts w:ascii="宋体" w:hAnsi="宋体" w:eastAsia="宋体" w:cs="宋体"/>
          <w:color w:val="auto"/>
          <w:sz w:val="24"/>
          <w:szCs w:val="24"/>
        </w:rPr>
      </w:pPr>
      <w:r>
        <w:rPr>
          <w:rFonts w:ascii="宋体" w:hAnsi="宋体" w:eastAsia="宋体" w:cs="宋体"/>
          <w:color w:val="auto"/>
          <w:sz w:val="24"/>
          <w:szCs w:val="24"/>
          <w:u w:val="single" w:color="auto"/>
        </w:rPr>
        <w:t>2. 如我方在承包的            （工程名称）中出现拖欠农民工和工人工资</w:t>
      </w:r>
      <w:r>
        <w:rPr>
          <w:rFonts w:ascii="宋体" w:hAnsi="宋体" w:eastAsia="宋体" w:cs="宋体"/>
          <w:color w:val="auto"/>
          <w:spacing w:val="1"/>
          <w:sz w:val="24"/>
          <w:szCs w:val="24"/>
          <w:u w:val="single" w:color="auto"/>
        </w:rPr>
        <w:t>情况的，由建设行政主管部门从其农民工工资保障金中</w:t>
      </w:r>
      <w:r>
        <w:rPr>
          <w:rFonts w:ascii="宋体" w:hAnsi="宋体" w:eastAsia="宋体" w:cs="宋体"/>
          <w:color w:val="auto"/>
          <w:sz w:val="24"/>
          <w:szCs w:val="24"/>
          <w:u w:val="single" w:color="auto"/>
        </w:rPr>
        <w:t>先予划支。</w:t>
      </w:r>
    </w:p>
    <w:p w14:paraId="543BF80B">
      <w:pPr>
        <w:spacing w:before="36" w:line="219" w:lineRule="auto"/>
        <w:ind w:left="492"/>
        <w:rPr>
          <w:rFonts w:ascii="宋体" w:hAnsi="宋体" w:eastAsia="宋体" w:cs="宋体"/>
          <w:color w:val="auto"/>
          <w:sz w:val="24"/>
          <w:szCs w:val="24"/>
        </w:rPr>
      </w:pPr>
      <w:r>
        <w:rPr>
          <w:rFonts w:ascii="宋体" w:hAnsi="宋体" w:eastAsia="宋体" w:cs="宋体"/>
          <w:color w:val="auto"/>
          <w:sz w:val="24"/>
          <w:szCs w:val="24"/>
          <w:u w:val="single" w:color="auto"/>
        </w:rPr>
        <w:t>3. 如我方不按时、足额存入农民工工资保障金，采购单位有权取消我方成交资格。</w:t>
      </w:r>
    </w:p>
    <w:p w14:paraId="3EDA4746">
      <w:pPr>
        <w:pStyle w:val="18"/>
        <w:spacing w:line="250" w:lineRule="auto"/>
        <w:rPr>
          <w:color w:val="auto"/>
        </w:rPr>
      </w:pPr>
    </w:p>
    <w:p w14:paraId="15B658AA">
      <w:pPr>
        <w:pStyle w:val="18"/>
        <w:spacing w:line="250" w:lineRule="auto"/>
        <w:rPr>
          <w:color w:val="auto"/>
        </w:rPr>
      </w:pPr>
    </w:p>
    <w:p w14:paraId="18A8ACE0">
      <w:pPr>
        <w:spacing w:before="66" w:line="362" w:lineRule="auto"/>
        <w:ind w:left="3927" w:right="3282" w:hanging="35"/>
        <w:rPr>
          <w:rFonts w:ascii="宋体" w:hAnsi="宋体" w:eastAsia="宋体" w:cs="宋体"/>
          <w:color w:val="auto"/>
          <w:sz w:val="20"/>
          <w:szCs w:val="20"/>
        </w:rPr>
      </w:pPr>
      <w:r>
        <w:rPr>
          <w:rFonts w:ascii="宋体" w:hAnsi="宋体" w:eastAsia="宋体" w:cs="宋体"/>
          <w:color w:val="auto"/>
          <w:spacing w:val="8"/>
          <w:sz w:val="20"/>
          <w:szCs w:val="20"/>
        </w:rPr>
        <w:t>供应商名称（电子签章</w:t>
      </w:r>
      <w:r>
        <w:rPr>
          <w:rFonts w:ascii="宋体" w:hAnsi="宋体" w:eastAsia="宋体" w:cs="宋体"/>
          <w:color w:val="auto"/>
          <w:spacing w:val="-12"/>
          <w:sz w:val="20"/>
          <w:szCs w:val="20"/>
        </w:rPr>
        <w:t>）：</w:t>
      </w:r>
      <w:r>
        <w:rPr>
          <w:rFonts w:ascii="宋体" w:hAnsi="宋体" w:eastAsia="宋体" w:cs="宋体"/>
          <w:color w:val="auto"/>
          <w:sz w:val="20"/>
          <w:szCs w:val="20"/>
        </w:rPr>
        <w:t xml:space="preserve"> </w:t>
      </w:r>
    </w:p>
    <w:p w14:paraId="6DBE6AC1">
      <w:pPr>
        <w:spacing w:before="66" w:line="362" w:lineRule="auto"/>
        <w:ind w:left="3927" w:right="3282" w:hanging="35"/>
        <w:rPr>
          <w:rFonts w:ascii="宋体" w:hAnsi="宋体" w:eastAsia="宋体" w:cs="宋体"/>
          <w:color w:val="auto"/>
          <w:sz w:val="20"/>
          <w:szCs w:val="20"/>
        </w:rPr>
      </w:pPr>
      <w:r>
        <w:rPr>
          <w:rFonts w:ascii="宋体" w:hAnsi="宋体" w:eastAsia="宋体" w:cs="宋体"/>
          <w:color w:val="auto"/>
          <w:spacing w:val="-6"/>
          <w:sz w:val="20"/>
          <w:szCs w:val="20"/>
        </w:rPr>
        <w:t>日期：</w:t>
      </w:r>
      <w:r>
        <w:rPr>
          <w:rFonts w:ascii="宋体" w:hAnsi="宋体" w:eastAsia="宋体" w:cs="宋体"/>
          <w:color w:val="auto"/>
          <w:spacing w:val="17"/>
          <w:sz w:val="20"/>
          <w:szCs w:val="20"/>
        </w:rPr>
        <w:t xml:space="preserve">  </w:t>
      </w:r>
      <w:r>
        <w:rPr>
          <w:rFonts w:ascii="宋体" w:hAnsi="宋体" w:eastAsia="宋体" w:cs="宋体"/>
          <w:color w:val="auto"/>
          <w:spacing w:val="-6"/>
          <w:sz w:val="20"/>
          <w:szCs w:val="20"/>
        </w:rPr>
        <w:t>年</w:t>
      </w:r>
      <w:r>
        <w:rPr>
          <w:rFonts w:ascii="宋体" w:hAnsi="宋体" w:eastAsia="宋体" w:cs="宋体"/>
          <w:color w:val="auto"/>
          <w:spacing w:val="12"/>
          <w:sz w:val="20"/>
          <w:szCs w:val="20"/>
        </w:rPr>
        <w:t xml:space="preserve">  </w:t>
      </w:r>
      <w:r>
        <w:rPr>
          <w:rFonts w:ascii="宋体" w:hAnsi="宋体" w:eastAsia="宋体" w:cs="宋体"/>
          <w:color w:val="auto"/>
          <w:spacing w:val="-6"/>
          <w:sz w:val="20"/>
          <w:szCs w:val="20"/>
        </w:rPr>
        <w:t>月</w:t>
      </w:r>
      <w:r>
        <w:rPr>
          <w:rFonts w:ascii="宋体" w:hAnsi="宋体" w:eastAsia="宋体" w:cs="宋体"/>
          <w:color w:val="auto"/>
          <w:spacing w:val="20"/>
          <w:sz w:val="20"/>
          <w:szCs w:val="20"/>
        </w:rPr>
        <w:t xml:space="preserve">   </w:t>
      </w:r>
      <w:r>
        <w:rPr>
          <w:rFonts w:ascii="宋体" w:hAnsi="宋体" w:eastAsia="宋体" w:cs="宋体"/>
          <w:color w:val="auto"/>
          <w:spacing w:val="-6"/>
          <w:sz w:val="20"/>
          <w:szCs w:val="20"/>
        </w:rPr>
        <w:t>日</w:t>
      </w:r>
    </w:p>
    <w:p w14:paraId="56743462">
      <w:pPr>
        <w:spacing w:line="362" w:lineRule="auto"/>
        <w:rPr>
          <w:rFonts w:ascii="宋体" w:hAnsi="宋体" w:eastAsia="宋体" w:cs="宋体"/>
          <w:color w:val="auto"/>
          <w:sz w:val="20"/>
          <w:szCs w:val="20"/>
        </w:rPr>
        <w:sectPr>
          <w:footerReference r:id="rId9" w:type="default"/>
          <w:pgSz w:w="11900" w:h="16839"/>
          <w:pgMar w:top="1440" w:right="1080" w:bottom="1440" w:left="1080" w:header="0" w:footer="569" w:gutter="0"/>
          <w:pgNumType w:fmt="decimal"/>
          <w:cols w:space="720" w:num="1"/>
        </w:sectPr>
      </w:pPr>
    </w:p>
    <w:p w14:paraId="2ECAFD34">
      <w:pPr>
        <w:spacing w:line="500" w:lineRule="exact"/>
        <w:jc w:val="center"/>
        <w:rPr>
          <w:rFonts w:hint="eastAsia" w:ascii="宋体" w:hAnsi="宋体" w:cs="方正小标宋简体"/>
          <w:b/>
          <w:color w:val="auto"/>
          <w:sz w:val="32"/>
          <w:szCs w:val="32"/>
          <w:highlight w:val="none"/>
        </w:rPr>
      </w:pPr>
    </w:p>
    <w:p w14:paraId="77255847">
      <w:pPr>
        <w:spacing w:line="500" w:lineRule="exact"/>
        <w:jc w:val="center"/>
        <w:rPr>
          <w:rFonts w:ascii="宋体" w:hAnsi="宋体" w:cs="方正小标宋简体"/>
          <w:b/>
          <w:color w:val="auto"/>
          <w:sz w:val="32"/>
          <w:szCs w:val="32"/>
          <w:highlight w:val="none"/>
        </w:rPr>
      </w:pPr>
      <w:r>
        <w:rPr>
          <w:rFonts w:hint="eastAsia" w:ascii="宋体" w:hAnsi="宋体" w:cs="方正小标宋简体"/>
          <w:b/>
          <w:color w:val="auto"/>
          <w:sz w:val="32"/>
          <w:szCs w:val="32"/>
          <w:highlight w:val="none"/>
        </w:rPr>
        <w:t>质疑函（格式）</w:t>
      </w:r>
    </w:p>
    <w:p w14:paraId="1635C0BD">
      <w:pPr>
        <w:pStyle w:val="18"/>
        <w:rPr>
          <w:color w:val="auto"/>
          <w:highlight w:val="none"/>
        </w:rPr>
      </w:pPr>
    </w:p>
    <w:p w14:paraId="60F70B35">
      <w:pPr>
        <w:pStyle w:val="24"/>
        <w:spacing w:line="440" w:lineRule="exact"/>
        <w:ind w:firstLine="480" w:firstLineChars="200"/>
        <w:rPr>
          <w:rFonts w:hAnsi="宋体"/>
          <w:b/>
          <w:bCs/>
          <w:color w:val="auto"/>
          <w:sz w:val="24"/>
          <w:szCs w:val="24"/>
          <w:highlight w:val="none"/>
        </w:rPr>
      </w:pPr>
      <w:r>
        <w:rPr>
          <w:rFonts w:hint="eastAsia" w:hAnsi="宋体"/>
          <w:b/>
          <w:bCs/>
          <w:color w:val="auto"/>
          <w:sz w:val="24"/>
          <w:szCs w:val="24"/>
          <w:highlight w:val="none"/>
        </w:rPr>
        <w:t>一、质疑供应商基本信息：</w:t>
      </w:r>
    </w:p>
    <w:p w14:paraId="785337D5">
      <w:pPr>
        <w:pStyle w:val="24"/>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质疑供应商：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637C1199">
      <w:pPr>
        <w:pStyle w:val="24"/>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67CA174C">
      <w:pPr>
        <w:pStyle w:val="24"/>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p>
    <w:p w14:paraId="56342133">
      <w:pPr>
        <w:pStyle w:val="24"/>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p>
    <w:p w14:paraId="3473AC6B">
      <w:pPr>
        <w:pStyle w:val="24"/>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p>
    <w:p w14:paraId="6C259421">
      <w:pPr>
        <w:pStyle w:val="24"/>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7C4826FF">
      <w:pPr>
        <w:pStyle w:val="24"/>
        <w:spacing w:line="440" w:lineRule="exact"/>
        <w:ind w:firstLine="480" w:firstLineChars="200"/>
        <w:rPr>
          <w:rFonts w:hAnsi="宋体"/>
          <w:b/>
          <w:bCs/>
          <w:color w:val="auto"/>
          <w:sz w:val="24"/>
          <w:szCs w:val="24"/>
          <w:highlight w:val="none"/>
        </w:rPr>
      </w:pPr>
      <w:r>
        <w:rPr>
          <w:rFonts w:hint="eastAsia" w:hAnsi="宋体"/>
          <w:b/>
          <w:bCs/>
          <w:color w:val="auto"/>
          <w:sz w:val="24"/>
          <w:szCs w:val="24"/>
          <w:highlight w:val="none"/>
        </w:rPr>
        <w:t>二、质疑项目基本情况：</w:t>
      </w:r>
    </w:p>
    <w:p w14:paraId="35B1BEEE">
      <w:pPr>
        <w:pStyle w:val="24"/>
        <w:spacing w:line="440" w:lineRule="exact"/>
        <w:ind w:left="25" w:leftChars="12" w:firstLine="472" w:firstLineChars="197"/>
        <w:contextualSpacing/>
        <w:rPr>
          <w:rFonts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1A449B03">
      <w:pPr>
        <w:pStyle w:val="24"/>
        <w:spacing w:line="440" w:lineRule="exact"/>
        <w:ind w:left="25" w:leftChars="12" w:firstLine="472" w:firstLineChars="197"/>
        <w:contextualSpacing/>
        <w:rPr>
          <w:rFonts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2128BBEC">
      <w:pPr>
        <w:pStyle w:val="24"/>
        <w:spacing w:line="440" w:lineRule="exact"/>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0ED7D2F4">
      <w:pPr>
        <w:pStyle w:val="24"/>
        <w:spacing w:line="440" w:lineRule="exact"/>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质疑事项：</w:t>
      </w:r>
    </w:p>
    <w:p w14:paraId="10460E77">
      <w:pPr>
        <w:pStyle w:val="24"/>
        <w:spacing w:line="440" w:lineRule="exact"/>
        <w:ind w:left="25" w:leftChars="12" w:firstLine="352" w:firstLineChars="147"/>
        <w:contextualSpacing/>
        <w:rPr>
          <w:rFonts w:hAnsi="宋体"/>
          <w:color w:val="auto"/>
          <w:sz w:val="24"/>
          <w:szCs w:val="24"/>
          <w:highlight w:val="none"/>
        </w:rPr>
      </w:pPr>
      <w:r>
        <w:rPr>
          <w:rFonts w:hint="eastAsia" w:hAnsi="宋体"/>
          <w:color w:val="auto"/>
          <w:sz w:val="24"/>
          <w:szCs w:val="24"/>
          <w:highlight w:val="none"/>
        </w:rPr>
        <w:t>□采购文件   采购文件获取日期：</w:t>
      </w:r>
      <w:r>
        <w:rPr>
          <w:rFonts w:hint="eastAsia" w:hAnsi="宋体"/>
          <w:bCs/>
          <w:color w:val="auto"/>
          <w:sz w:val="24"/>
          <w:szCs w:val="24"/>
          <w:highlight w:val="none"/>
          <w:u w:val="single"/>
        </w:rPr>
        <w:t xml:space="preserve">                                   </w:t>
      </w:r>
    </w:p>
    <w:p w14:paraId="460AE660">
      <w:pPr>
        <w:pStyle w:val="24"/>
        <w:spacing w:line="440" w:lineRule="exact"/>
        <w:ind w:left="25" w:leftChars="12" w:firstLine="352" w:firstLineChars="147"/>
        <w:contextualSpacing/>
        <w:rPr>
          <w:rFonts w:hAnsi="宋体"/>
          <w:color w:val="auto"/>
          <w:sz w:val="24"/>
          <w:szCs w:val="24"/>
          <w:highlight w:val="none"/>
        </w:rPr>
      </w:pPr>
      <w:r>
        <w:rPr>
          <w:rFonts w:hint="eastAsia" w:hAnsi="宋体"/>
          <w:color w:val="auto"/>
          <w:sz w:val="24"/>
          <w:szCs w:val="24"/>
          <w:highlight w:val="none"/>
        </w:rPr>
        <w:t xml:space="preserve">□采购过程   </w:t>
      </w:r>
    </w:p>
    <w:p w14:paraId="5D4442E2">
      <w:pPr>
        <w:pStyle w:val="24"/>
        <w:spacing w:line="440" w:lineRule="exact"/>
        <w:ind w:left="25" w:leftChars="12" w:firstLine="352" w:firstLineChars="147"/>
        <w:contextualSpacing/>
        <w:rPr>
          <w:rFonts w:hAnsi="宋体"/>
          <w:bCs/>
          <w:color w:val="auto"/>
          <w:sz w:val="24"/>
          <w:szCs w:val="24"/>
          <w:highlight w:val="none"/>
          <w:u w:val="single"/>
        </w:rPr>
      </w:pPr>
      <w:r>
        <w:rPr>
          <w:rFonts w:hint="eastAsia" w:hAnsi="宋体"/>
          <w:color w:val="auto"/>
          <w:sz w:val="24"/>
          <w:szCs w:val="24"/>
          <w:highlight w:val="none"/>
        </w:rPr>
        <w:t xml:space="preserve">□成交结果   </w:t>
      </w:r>
    </w:p>
    <w:p w14:paraId="60B4FA54">
      <w:pPr>
        <w:pStyle w:val="24"/>
        <w:spacing w:line="440" w:lineRule="exact"/>
        <w:ind w:left="25" w:leftChars="12" w:firstLine="470" w:firstLineChars="196"/>
        <w:contextualSpacing/>
        <w:rPr>
          <w:rFonts w:hAnsi="宋体"/>
          <w:b/>
          <w:color w:val="auto"/>
          <w:sz w:val="24"/>
          <w:szCs w:val="24"/>
          <w:highlight w:val="none"/>
        </w:rPr>
      </w:pPr>
      <w:r>
        <w:rPr>
          <w:rFonts w:hint="eastAsia" w:hAnsi="宋体"/>
          <w:b/>
          <w:color w:val="auto"/>
          <w:sz w:val="24"/>
          <w:szCs w:val="24"/>
          <w:highlight w:val="none"/>
        </w:rPr>
        <w:t>三、质疑事项具体内容</w:t>
      </w:r>
    </w:p>
    <w:p w14:paraId="591BEE8B">
      <w:pPr>
        <w:pStyle w:val="24"/>
        <w:spacing w:line="440" w:lineRule="exact"/>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质疑事项1：</w:t>
      </w:r>
      <w:r>
        <w:rPr>
          <w:rFonts w:hint="eastAsia" w:hAnsi="宋体"/>
          <w:bCs/>
          <w:color w:val="auto"/>
          <w:sz w:val="24"/>
          <w:szCs w:val="24"/>
          <w:highlight w:val="none"/>
          <w:u w:val="single"/>
        </w:rPr>
        <w:t xml:space="preserve">                                                                    </w:t>
      </w:r>
    </w:p>
    <w:p w14:paraId="396CBA3F">
      <w:pPr>
        <w:pStyle w:val="24"/>
        <w:spacing w:line="440" w:lineRule="exact"/>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事实依据：</w:t>
      </w:r>
      <w:r>
        <w:rPr>
          <w:rFonts w:hint="eastAsia" w:hAnsi="宋体"/>
          <w:bCs/>
          <w:color w:val="auto"/>
          <w:sz w:val="24"/>
          <w:szCs w:val="24"/>
          <w:highlight w:val="none"/>
          <w:u w:val="single"/>
        </w:rPr>
        <w:t xml:space="preserve">                                                                      </w:t>
      </w:r>
    </w:p>
    <w:p w14:paraId="798DDF6F">
      <w:pPr>
        <w:pStyle w:val="24"/>
        <w:spacing w:line="440" w:lineRule="exact"/>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法律依据：</w:t>
      </w:r>
      <w:r>
        <w:rPr>
          <w:rFonts w:hint="eastAsia" w:hAnsi="宋体"/>
          <w:color w:val="auto"/>
          <w:sz w:val="24"/>
          <w:szCs w:val="24"/>
          <w:highlight w:val="none"/>
          <w:u w:val="single"/>
        </w:rPr>
        <w:t xml:space="preserve">                                                        </w:t>
      </w:r>
      <w:r>
        <w:rPr>
          <w:rFonts w:hint="eastAsia" w:hAnsi="宋体"/>
          <w:bCs/>
          <w:color w:val="auto"/>
          <w:sz w:val="24"/>
          <w:szCs w:val="24"/>
          <w:highlight w:val="none"/>
          <w:u w:val="single"/>
        </w:rPr>
        <w:t xml:space="preserve">               </w:t>
      </w:r>
    </w:p>
    <w:p w14:paraId="3E8C189B">
      <w:pPr>
        <w:pStyle w:val="24"/>
        <w:spacing w:line="440" w:lineRule="exact"/>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质疑事项2</w:t>
      </w:r>
    </w:p>
    <w:p w14:paraId="128E8CE4">
      <w:pPr>
        <w:pStyle w:val="24"/>
        <w:spacing w:line="440" w:lineRule="exact"/>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w:t>
      </w:r>
    </w:p>
    <w:p w14:paraId="7699D526">
      <w:pPr>
        <w:pStyle w:val="24"/>
        <w:spacing w:line="440" w:lineRule="exact"/>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四、与质疑事项相关的质疑请求：</w:t>
      </w:r>
    </w:p>
    <w:p w14:paraId="289F3DE0">
      <w:pPr>
        <w:pStyle w:val="24"/>
        <w:spacing w:line="440" w:lineRule="exact"/>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1102AF8B">
      <w:pPr>
        <w:pStyle w:val="24"/>
        <w:spacing w:line="440" w:lineRule="exact"/>
        <w:ind w:left="25" w:leftChars="12" w:firstLine="352" w:firstLineChars="147"/>
        <w:contextualSpacing/>
        <w:rPr>
          <w:rFonts w:hAnsi="宋体"/>
          <w:color w:val="auto"/>
          <w:sz w:val="24"/>
          <w:szCs w:val="24"/>
          <w:highlight w:val="none"/>
        </w:rPr>
      </w:pPr>
    </w:p>
    <w:p w14:paraId="6A2F9A8C">
      <w:pPr>
        <w:pStyle w:val="24"/>
        <w:spacing w:line="440" w:lineRule="exact"/>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签字（签章）：                                       公章：</w:t>
      </w:r>
    </w:p>
    <w:p w14:paraId="14927F0B">
      <w:pPr>
        <w:pStyle w:val="24"/>
        <w:spacing w:line="440" w:lineRule="exact"/>
        <w:ind w:firstLine="480" w:firstLineChars="200"/>
        <w:rPr>
          <w:rFonts w:hAnsi="宋体"/>
          <w:b/>
          <w:color w:val="auto"/>
          <w:sz w:val="24"/>
          <w:szCs w:val="24"/>
          <w:highlight w:val="none"/>
        </w:rPr>
      </w:pPr>
      <w:r>
        <w:rPr>
          <w:rFonts w:hint="eastAsia" w:hAnsi="宋体"/>
          <w:color w:val="auto"/>
          <w:sz w:val="24"/>
          <w:szCs w:val="24"/>
          <w:highlight w:val="none"/>
        </w:rPr>
        <w:t>日期：</w:t>
      </w:r>
    </w:p>
    <w:p w14:paraId="5E9C6CC4">
      <w:pPr>
        <w:pStyle w:val="24"/>
        <w:spacing w:line="440" w:lineRule="exact"/>
        <w:rPr>
          <w:rFonts w:ascii="楷体" w:hAnsi="楷体" w:eastAsia="楷体"/>
          <w:b/>
          <w:color w:val="auto"/>
          <w:sz w:val="24"/>
          <w:szCs w:val="24"/>
          <w:highlight w:val="none"/>
        </w:rPr>
      </w:pPr>
      <w:r>
        <w:rPr>
          <w:rFonts w:hint="eastAsia" w:ascii="楷体" w:hAnsi="楷体" w:eastAsia="楷体"/>
          <w:b/>
          <w:color w:val="auto"/>
          <w:sz w:val="24"/>
          <w:szCs w:val="24"/>
          <w:highlight w:val="none"/>
        </w:rPr>
        <w:t>说明：</w:t>
      </w:r>
    </w:p>
    <w:p w14:paraId="4C5197FB">
      <w:pPr>
        <w:pStyle w:val="24"/>
        <w:spacing w:line="440" w:lineRule="exact"/>
        <w:ind w:left="25" w:leftChars="12" w:firstLine="352" w:firstLineChars="147"/>
        <w:contextualSpacing/>
        <w:rPr>
          <w:rFonts w:ascii="楷体" w:hAnsi="楷体" w:eastAsia="楷体"/>
          <w:b/>
          <w:bCs/>
          <w:color w:val="auto"/>
          <w:sz w:val="24"/>
          <w:szCs w:val="24"/>
          <w:highlight w:val="none"/>
        </w:rPr>
      </w:pPr>
      <w:r>
        <w:rPr>
          <w:rFonts w:hint="eastAsia" w:ascii="楷体" w:hAnsi="楷体" w:eastAsia="楷体"/>
          <w:b/>
          <w:color w:val="auto"/>
          <w:sz w:val="24"/>
          <w:szCs w:val="24"/>
          <w:highlight w:val="none"/>
        </w:rPr>
        <w:t>1.供应商提出质疑时，应提交质疑函和必要的证明材料</w:t>
      </w:r>
      <w:r>
        <w:rPr>
          <w:rFonts w:hint="eastAsia" w:ascii="楷体" w:hAnsi="楷体" w:eastAsia="楷体"/>
          <w:b/>
          <w:bCs/>
          <w:color w:val="auto"/>
          <w:sz w:val="24"/>
          <w:szCs w:val="24"/>
          <w:highlight w:val="none"/>
        </w:rPr>
        <w:t>。</w:t>
      </w:r>
    </w:p>
    <w:p w14:paraId="32195E0A">
      <w:pPr>
        <w:pStyle w:val="24"/>
        <w:spacing w:line="440" w:lineRule="exact"/>
        <w:ind w:left="25" w:leftChars="12" w:firstLine="352" w:firstLineChars="147"/>
        <w:contextualSpacing/>
        <w:rPr>
          <w:rFonts w:ascii="楷体" w:hAnsi="楷体" w:eastAsia="楷体"/>
          <w:b/>
          <w:color w:val="auto"/>
          <w:sz w:val="24"/>
          <w:szCs w:val="24"/>
          <w:highlight w:val="none"/>
        </w:rPr>
      </w:pPr>
      <w:r>
        <w:rPr>
          <w:rFonts w:hint="eastAsia" w:ascii="楷体" w:hAnsi="楷体" w:eastAsia="楷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5F600BE6">
      <w:pPr>
        <w:pStyle w:val="24"/>
        <w:spacing w:line="440" w:lineRule="exact"/>
        <w:ind w:left="25" w:leftChars="12" w:firstLine="352" w:firstLineChars="147"/>
        <w:contextualSpacing/>
        <w:rPr>
          <w:rFonts w:ascii="楷体" w:hAnsi="楷体" w:eastAsia="楷体"/>
          <w:b/>
          <w:color w:val="auto"/>
          <w:sz w:val="24"/>
          <w:szCs w:val="24"/>
          <w:highlight w:val="none"/>
        </w:rPr>
      </w:pPr>
      <w:r>
        <w:rPr>
          <w:rFonts w:hint="eastAsia" w:ascii="楷体" w:hAnsi="楷体" w:eastAsia="楷体"/>
          <w:b/>
          <w:color w:val="auto"/>
          <w:sz w:val="24"/>
          <w:szCs w:val="24"/>
          <w:highlight w:val="none"/>
        </w:rPr>
        <w:t>3.质疑函的质疑事项应具体、明确，并有必要的事实依据和法律依据。</w:t>
      </w:r>
    </w:p>
    <w:p w14:paraId="15D79F4C">
      <w:pPr>
        <w:pStyle w:val="24"/>
        <w:spacing w:line="440" w:lineRule="exact"/>
        <w:ind w:left="25" w:leftChars="12" w:firstLine="352" w:firstLineChars="147"/>
        <w:contextualSpacing/>
        <w:rPr>
          <w:rFonts w:ascii="楷体" w:hAnsi="楷体" w:eastAsia="楷体"/>
          <w:b/>
          <w:color w:val="auto"/>
          <w:sz w:val="24"/>
          <w:szCs w:val="24"/>
          <w:highlight w:val="none"/>
        </w:rPr>
      </w:pPr>
      <w:r>
        <w:rPr>
          <w:rFonts w:hint="eastAsia" w:ascii="楷体" w:hAnsi="楷体" w:eastAsia="楷体"/>
          <w:b/>
          <w:color w:val="auto"/>
          <w:sz w:val="24"/>
          <w:szCs w:val="24"/>
          <w:highlight w:val="none"/>
        </w:rPr>
        <w:t>4.质疑函的质疑请求应与质疑事项相关。</w:t>
      </w:r>
    </w:p>
    <w:p w14:paraId="06FA608E">
      <w:pPr>
        <w:pStyle w:val="24"/>
        <w:spacing w:line="440" w:lineRule="exact"/>
        <w:ind w:left="25" w:leftChars="12" w:firstLine="352" w:firstLineChars="147"/>
        <w:contextualSpacing/>
        <w:rPr>
          <w:rFonts w:ascii="楷体" w:hAnsi="楷体" w:eastAsia="楷体"/>
          <w:b/>
          <w:color w:val="auto"/>
          <w:highlight w:val="none"/>
        </w:rPr>
      </w:pPr>
      <w:r>
        <w:rPr>
          <w:rFonts w:hint="eastAsia" w:ascii="楷体" w:hAnsi="楷体" w:eastAsia="楷体"/>
          <w:b/>
          <w:color w:val="auto"/>
          <w:sz w:val="24"/>
          <w:szCs w:val="24"/>
          <w:highlight w:val="none"/>
        </w:rPr>
        <w:t>5.质疑供应商为法人或者其他组织的，质疑函应由法定代表人、主要负责人，或者其授权代表签字或者盖章，并加盖公章。</w:t>
      </w:r>
    </w:p>
    <w:p w14:paraId="70D8EF85">
      <w:pPr>
        <w:pStyle w:val="24"/>
        <w:snapToGrid w:val="0"/>
        <w:rPr>
          <w:b/>
          <w:color w:val="auto"/>
          <w:sz w:val="24"/>
          <w:szCs w:val="24"/>
          <w:highlight w:val="none"/>
        </w:rPr>
      </w:pPr>
    </w:p>
    <w:p w14:paraId="69631321">
      <w:pPr>
        <w:rPr>
          <w:color w:val="auto"/>
          <w:sz w:val="32"/>
          <w:szCs w:val="40"/>
          <w:highlight w:val="none"/>
        </w:rPr>
      </w:pPr>
    </w:p>
    <w:p w14:paraId="2262B949">
      <w:pPr>
        <w:rPr>
          <w:color w:val="auto"/>
          <w:sz w:val="32"/>
          <w:szCs w:val="40"/>
          <w:highlight w:val="none"/>
        </w:rPr>
      </w:pPr>
    </w:p>
    <w:p w14:paraId="3F861482">
      <w:pPr>
        <w:rPr>
          <w:color w:val="auto"/>
          <w:sz w:val="32"/>
          <w:szCs w:val="40"/>
          <w:highlight w:val="none"/>
        </w:rPr>
      </w:pPr>
    </w:p>
    <w:p w14:paraId="07E7A51D">
      <w:pPr>
        <w:rPr>
          <w:color w:val="auto"/>
          <w:sz w:val="32"/>
          <w:szCs w:val="40"/>
          <w:highlight w:val="none"/>
        </w:rPr>
      </w:pPr>
    </w:p>
    <w:p w14:paraId="46B85BD2">
      <w:pPr>
        <w:rPr>
          <w:color w:val="auto"/>
          <w:sz w:val="32"/>
          <w:szCs w:val="40"/>
          <w:highlight w:val="none"/>
        </w:rPr>
      </w:pPr>
    </w:p>
    <w:p w14:paraId="638B839C">
      <w:pPr>
        <w:rPr>
          <w:color w:val="auto"/>
          <w:sz w:val="32"/>
          <w:szCs w:val="40"/>
          <w:highlight w:val="none"/>
        </w:rPr>
      </w:pPr>
    </w:p>
    <w:p w14:paraId="1905EEE4">
      <w:pPr>
        <w:rPr>
          <w:color w:val="auto"/>
          <w:sz w:val="32"/>
          <w:szCs w:val="40"/>
          <w:highlight w:val="none"/>
        </w:rPr>
      </w:pPr>
    </w:p>
    <w:p w14:paraId="60C8D7B3">
      <w:pPr>
        <w:rPr>
          <w:color w:val="auto"/>
          <w:sz w:val="32"/>
          <w:szCs w:val="40"/>
          <w:highlight w:val="none"/>
        </w:rPr>
      </w:pPr>
    </w:p>
    <w:p w14:paraId="77D9AFBE">
      <w:pPr>
        <w:rPr>
          <w:color w:val="auto"/>
          <w:sz w:val="32"/>
          <w:szCs w:val="40"/>
          <w:highlight w:val="none"/>
        </w:rPr>
      </w:pPr>
    </w:p>
    <w:p w14:paraId="72511826">
      <w:pPr>
        <w:rPr>
          <w:color w:val="auto"/>
          <w:sz w:val="32"/>
          <w:szCs w:val="40"/>
          <w:highlight w:val="none"/>
        </w:rPr>
      </w:pPr>
    </w:p>
    <w:p w14:paraId="0DAFDD76">
      <w:pPr>
        <w:rPr>
          <w:color w:val="auto"/>
          <w:sz w:val="32"/>
          <w:szCs w:val="40"/>
          <w:highlight w:val="none"/>
        </w:rPr>
      </w:pPr>
    </w:p>
    <w:p w14:paraId="46753639">
      <w:pPr>
        <w:pStyle w:val="65"/>
        <w:ind w:firstLine="480"/>
        <w:rPr>
          <w:color w:val="auto"/>
          <w:highlight w:val="none"/>
          <w:lang w:eastAsia="zh-CN" w:bidi="ar-SA"/>
        </w:rPr>
      </w:pPr>
    </w:p>
    <w:p w14:paraId="0B1C8007">
      <w:pPr>
        <w:pStyle w:val="65"/>
        <w:ind w:firstLine="480"/>
        <w:rPr>
          <w:color w:val="auto"/>
          <w:highlight w:val="none"/>
          <w:lang w:eastAsia="zh-CN" w:bidi="ar-SA"/>
        </w:rPr>
      </w:pPr>
    </w:p>
    <w:p w14:paraId="152F9966">
      <w:pPr>
        <w:pStyle w:val="65"/>
        <w:ind w:firstLine="480"/>
        <w:rPr>
          <w:color w:val="auto"/>
          <w:highlight w:val="none"/>
          <w:lang w:eastAsia="zh-CN" w:bidi="ar-SA"/>
        </w:rPr>
      </w:pPr>
    </w:p>
    <w:p w14:paraId="16A48D89">
      <w:pPr>
        <w:pStyle w:val="65"/>
        <w:ind w:firstLine="480"/>
        <w:rPr>
          <w:color w:val="auto"/>
          <w:highlight w:val="none"/>
          <w:lang w:eastAsia="zh-CN" w:bidi="ar-SA"/>
        </w:rPr>
      </w:pPr>
    </w:p>
    <w:p w14:paraId="2CE1B841">
      <w:pPr>
        <w:pStyle w:val="65"/>
        <w:ind w:firstLine="480"/>
        <w:rPr>
          <w:color w:val="auto"/>
          <w:highlight w:val="none"/>
          <w:lang w:eastAsia="zh-CN" w:bidi="ar-SA"/>
        </w:rPr>
      </w:pPr>
    </w:p>
    <w:p w14:paraId="094FAD5C">
      <w:pPr>
        <w:pStyle w:val="65"/>
        <w:ind w:firstLine="480"/>
        <w:rPr>
          <w:color w:val="auto"/>
          <w:highlight w:val="none"/>
          <w:lang w:eastAsia="zh-CN" w:bidi="ar-SA"/>
        </w:rPr>
      </w:pPr>
    </w:p>
    <w:p w14:paraId="6D0E3B5C">
      <w:pPr>
        <w:spacing w:line="500" w:lineRule="exact"/>
        <w:jc w:val="center"/>
        <w:rPr>
          <w:rFonts w:ascii="宋体" w:hAnsi="宋体" w:cs="方正小标宋简体"/>
          <w:b/>
          <w:color w:val="auto"/>
          <w:sz w:val="32"/>
          <w:szCs w:val="32"/>
          <w:highlight w:val="none"/>
        </w:rPr>
      </w:pPr>
      <w:r>
        <w:rPr>
          <w:rFonts w:hint="eastAsia" w:ascii="宋体" w:hAnsi="宋体" w:cs="方正小标宋简体"/>
          <w:b/>
          <w:color w:val="auto"/>
          <w:sz w:val="32"/>
          <w:szCs w:val="32"/>
          <w:highlight w:val="none"/>
        </w:rPr>
        <w:t>投诉书（格式）</w:t>
      </w:r>
    </w:p>
    <w:p w14:paraId="70E9A8CB">
      <w:pPr>
        <w:pStyle w:val="18"/>
        <w:rPr>
          <w:rFonts w:ascii="宋体" w:hAnsi="宋体"/>
          <w:b/>
          <w:color w:val="auto"/>
          <w:sz w:val="32"/>
          <w:szCs w:val="32"/>
          <w:highlight w:val="none"/>
        </w:rPr>
      </w:pPr>
    </w:p>
    <w:p w14:paraId="39C759D1">
      <w:pPr>
        <w:pStyle w:val="24"/>
        <w:snapToGrid w:val="0"/>
        <w:spacing w:line="440" w:lineRule="exact"/>
        <w:ind w:firstLine="480" w:firstLineChars="200"/>
        <w:rPr>
          <w:rFonts w:hAnsi="宋体"/>
          <w:b/>
          <w:bCs/>
          <w:color w:val="auto"/>
          <w:sz w:val="24"/>
          <w:szCs w:val="24"/>
          <w:highlight w:val="none"/>
        </w:rPr>
      </w:pPr>
      <w:r>
        <w:rPr>
          <w:rFonts w:hint="eastAsia" w:hAnsi="宋体"/>
          <w:b/>
          <w:bCs/>
          <w:color w:val="auto"/>
          <w:sz w:val="24"/>
          <w:szCs w:val="24"/>
          <w:highlight w:val="none"/>
        </w:rPr>
        <w:t>一、投诉相关主体基本情况：</w:t>
      </w:r>
    </w:p>
    <w:p w14:paraId="42AA6C24">
      <w:pPr>
        <w:pStyle w:val="24"/>
        <w:snapToGrid w:val="0"/>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65FB3BE3">
      <w:pPr>
        <w:pStyle w:val="24"/>
        <w:snapToGrid w:val="0"/>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3DDC692B">
      <w:pPr>
        <w:pStyle w:val="24"/>
        <w:snapToGrid w:val="0"/>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法定代表人/主要负责人：</w:t>
      </w:r>
      <w:r>
        <w:rPr>
          <w:rFonts w:hint="eastAsia" w:hAnsi="宋体"/>
          <w:bCs/>
          <w:color w:val="auto"/>
          <w:sz w:val="24"/>
          <w:szCs w:val="24"/>
          <w:highlight w:val="none"/>
          <w:u w:val="single"/>
        </w:rPr>
        <w:t xml:space="preserve">                                                         </w:t>
      </w:r>
    </w:p>
    <w:p w14:paraId="7ED2A23D">
      <w:pPr>
        <w:pStyle w:val="24"/>
        <w:snapToGrid w:val="0"/>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p>
    <w:p w14:paraId="51B717E2">
      <w:pPr>
        <w:pStyle w:val="24"/>
        <w:snapToGrid w:val="0"/>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p>
    <w:p w14:paraId="6FCC2788">
      <w:pPr>
        <w:pStyle w:val="24"/>
        <w:snapToGrid w:val="0"/>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14:paraId="1A38413C">
      <w:pPr>
        <w:pStyle w:val="24"/>
        <w:snapToGrid w:val="0"/>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2334A510">
      <w:pPr>
        <w:pStyle w:val="24"/>
        <w:snapToGrid w:val="0"/>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被投诉人1：</w:t>
      </w:r>
    </w:p>
    <w:p w14:paraId="6851B60A">
      <w:pPr>
        <w:pStyle w:val="24"/>
        <w:snapToGrid w:val="0"/>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14:paraId="3A49CFBC">
      <w:pPr>
        <w:pStyle w:val="24"/>
        <w:snapToGrid w:val="0"/>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680FBCB8">
      <w:pPr>
        <w:pStyle w:val="24"/>
        <w:snapToGrid w:val="0"/>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p>
    <w:p w14:paraId="12DA38E4">
      <w:pPr>
        <w:pStyle w:val="24"/>
        <w:snapToGrid w:val="0"/>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被投诉人2：</w:t>
      </w:r>
    </w:p>
    <w:p w14:paraId="30945117">
      <w:pPr>
        <w:pStyle w:val="24"/>
        <w:snapToGrid w:val="0"/>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w:t>
      </w:r>
    </w:p>
    <w:p w14:paraId="2FC76C67">
      <w:pPr>
        <w:pStyle w:val="24"/>
        <w:snapToGrid w:val="0"/>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相关供应商：</w:t>
      </w:r>
      <w:r>
        <w:rPr>
          <w:rFonts w:hint="eastAsia" w:hAnsi="宋体"/>
          <w:bCs/>
          <w:color w:val="auto"/>
          <w:sz w:val="24"/>
          <w:szCs w:val="24"/>
          <w:highlight w:val="none"/>
          <w:u w:val="single"/>
        </w:rPr>
        <w:t xml:space="preserve">                                                                       </w:t>
      </w:r>
    </w:p>
    <w:p w14:paraId="229EA61E">
      <w:pPr>
        <w:pStyle w:val="24"/>
        <w:snapToGrid w:val="0"/>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p>
    <w:p w14:paraId="40445247">
      <w:pPr>
        <w:pStyle w:val="24"/>
        <w:snapToGrid w:val="0"/>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33841337">
      <w:pPr>
        <w:pStyle w:val="24"/>
        <w:snapToGrid w:val="0"/>
        <w:spacing w:line="440" w:lineRule="exact"/>
        <w:ind w:firstLine="480" w:firstLineChars="200"/>
        <w:rPr>
          <w:rFonts w:hAnsi="宋体"/>
          <w:b/>
          <w:bCs/>
          <w:color w:val="auto"/>
          <w:sz w:val="24"/>
          <w:szCs w:val="24"/>
          <w:highlight w:val="none"/>
        </w:rPr>
      </w:pPr>
      <w:r>
        <w:rPr>
          <w:rFonts w:hint="eastAsia" w:hAnsi="宋体"/>
          <w:b/>
          <w:bCs/>
          <w:color w:val="auto"/>
          <w:sz w:val="24"/>
          <w:szCs w:val="24"/>
          <w:highlight w:val="none"/>
        </w:rPr>
        <w:t>二、投诉项目基本情况：</w:t>
      </w:r>
    </w:p>
    <w:p w14:paraId="24363508">
      <w:pPr>
        <w:pStyle w:val="24"/>
        <w:spacing w:line="440" w:lineRule="exact"/>
        <w:ind w:left="25" w:leftChars="12" w:firstLine="472" w:firstLineChars="197"/>
        <w:rPr>
          <w:rFonts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2688D8BE">
      <w:pPr>
        <w:pStyle w:val="24"/>
        <w:spacing w:line="440" w:lineRule="exact"/>
        <w:ind w:left="25" w:leftChars="12" w:firstLine="472" w:firstLineChars="197"/>
        <w:rPr>
          <w:rFonts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42EE27FB">
      <w:pPr>
        <w:pStyle w:val="24"/>
        <w:spacing w:line="440" w:lineRule="exact"/>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50ECC993">
      <w:pPr>
        <w:pStyle w:val="24"/>
        <w:spacing w:line="440" w:lineRule="exact"/>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代理机构名称：</w:t>
      </w:r>
      <w:r>
        <w:rPr>
          <w:rFonts w:hint="eastAsia" w:hAnsi="宋体"/>
          <w:bCs/>
          <w:color w:val="auto"/>
          <w:sz w:val="24"/>
          <w:szCs w:val="24"/>
          <w:highlight w:val="none"/>
          <w:u w:val="single"/>
        </w:rPr>
        <w:t xml:space="preserve">                                                                      </w:t>
      </w:r>
    </w:p>
    <w:p w14:paraId="2C79701A">
      <w:pPr>
        <w:pStyle w:val="24"/>
        <w:spacing w:line="440" w:lineRule="exact"/>
        <w:ind w:left="25" w:leftChars="12" w:firstLine="472" w:firstLineChars="197"/>
        <w:rPr>
          <w:rFonts w:hAnsi="宋体"/>
          <w:bCs/>
          <w:color w:val="auto"/>
          <w:sz w:val="24"/>
          <w:szCs w:val="24"/>
          <w:highlight w:val="none"/>
          <w:u w:val="single"/>
        </w:rPr>
      </w:pPr>
      <w:r>
        <w:rPr>
          <w:rFonts w:hint="eastAsia" w:hAnsi="宋体"/>
          <w:bCs/>
          <w:color w:val="auto"/>
          <w:sz w:val="24"/>
          <w:szCs w:val="24"/>
          <w:highlight w:val="none"/>
        </w:rPr>
        <w:t>采购文件公告：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31C3A10A">
      <w:pPr>
        <w:pStyle w:val="24"/>
        <w:spacing w:line="440" w:lineRule="exact"/>
        <w:ind w:left="25" w:leftChars="12" w:firstLine="472" w:firstLineChars="197"/>
        <w:rPr>
          <w:rFonts w:hAnsi="宋体"/>
          <w:b/>
          <w:color w:val="auto"/>
          <w:sz w:val="24"/>
          <w:szCs w:val="24"/>
          <w:highlight w:val="none"/>
        </w:rPr>
      </w:pPr>
      <w:r>
        <w:rPr>
          <w:rFonts w:hint="eastAsia" w:hAnsi="宋体"/>
          <w:bCs/>
          <w:color w:val="auto"/>
          <w:sz w:val="24"/>
          <w:szCs w:val="24"/>
          <w:highlight w:val="none"/>
        </w:rPr>
        <w:t>采购结果公告：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1BE0CE33">
      <w:pPr>
        <w:pStyle w:val="24"/>
        <w:spacing w:line="440" w:lineRule="exact"/>
        <w:ind w:left="25" w:leftChars="12" w:firstLine="470" w:firstLineChars="196"/>
        <w:rPr>
          <w:rFonts w:hAnsi="宋体"/>
          <w:b/>
          <w:color w:val="auto"/>
          <w:sz w:val="24"/>
          <w:szCs w:val="24"/>
          <w:highlight w:val="none"/>
        </w:rPr>
      </w:pPr>
      <w:r>
        <w:rPr>
          <w:rFonts w:hint="eastAsia" w:hAnsi="宋体"/>
          <w:b/>
          <w:color w:val="auto"/>
          <w:sz w:val="24"/>
          <w:szCs w:val="24"/>
          <w:highlight w:val="none"/>
        </w:rPr>
        <w:t>三、质疑基本情况</w:t>
      </w:r>
    </w:p>
    <w:p w14:paraId="3057AA43">
      <w:pPr>
        <w:pStyle w:val="24"/>
        <w:spacing w:line="440" w:lineRule="exact"/>
        <w:ind w:firstLine="480" w:firstLineChars="200"/>
        <w:rPr>
          <w:rFonts w:hAnsi="宋体"/>
          <w:color w:val="auto"/>
          <w:sz w:val="24"/>
          <w:szCs w:val="24"/>
          <w:highlight w:val="none"/>
        </w:rPr>
      </w:pPr>
      <w:r>
        <w:rPr>
          <w:rFonts w:hint="eastAsia" w:hAnsi="宋体"/>
          <w:color w:val="auto"/>
          <w:sz w:val="24"/>
          <w:szCs w:val="24"/>
          <w:highlight w:val="none"/>
        </w:rPr>
        <w:t>投诉人于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日，向</w:t>
      </w:r>
      <w:r>
        <w:rPr>
          <w:rFonts w:hint="eastAsia" w:hAnsi="宋体"/>
          <w:color w:val="auto"/>
          <w:sz w:val="24"/>
          <w:szCs w:val="24"/>
          <w:highlight w:val="none"/>
          <w:u w:val="single"/>
        </w:rPr>
        <w:t xml:space="preserve">                                </w:t>
      </w:r>
      <w:r>
        <w:rPr>
          <w:rFonts w:hint="eastAsia" w:hAnsi="宋体"/>
          <w:color w:val="auto"/>
          <w:sz w:val="24"/>
          <w:szCs w:val="24"/>
          <w:highlight w:val="none"/>
        </w:rPr>
        <w:t>提出质疑，质疑事项为：</w:t>
      </w:r>
    </w:p>
    <w:p w14:paraId="24D19284">
      <w:pPr>
        <w:pStyle w:val="24"/>
        <w:spacing w:line="440" w:lineRule="exact"/>
        <w:ind w:firstLine="241"/>
        <w:rPr>
          <w:rFonts w:hAnsi="宋体"/>
          <w:bCs/>
          <w:color w:val="auto"/>
          <w:sz w:val="24"/>
          <w:szCs w:val="24"/>
          <w:highlight w:val="none"/>
          <w:u w:val="single"/>
        </w:rPr>
      </w:pP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11B47B53">
      <w:pPr>
        <w:pStyle w:val="24"/>
        <w:spacing w:line="440" w:lineRule="exact"/>
        <w:ind w:firstLine="241"/>
        <w:rPr>
          <w:rFonts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1A0FDD84">
      <w:pPr>
        <w:pStyle w:val="24"/>
        <w:spacing w:line="440" w:lineRule="exact"/>
        <w:ind w:firstLine="480" w:firstLineChars="200"/>
        <w:rPr>
          <w:rFonts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r>
        <w:rPr>
          <w:rFonts w:hint="eastAsia" w:hAnsi="宋体"/>
          <w:bCs/>
          <w:color w:val="auto"/>
          <w:sz w:val="24"/>
          <w:szCs w:val="24"/>
          <w:highlight w:val="none"/>
        </w:rPr>
        <w:t xml:space="preserve">就质疑事项作出了答复/没有在法定期限内作出答复。                                                                                             </w:t>
      </w:r>
    </w:p>
    <w:p w14:paraId="10201DE0">
      <w:pPr>
        <w:pStyle w:val="24"/>
        <w:spacing w:line="440" w:lineRule="exact"/>
        <w:ind w:left="25" w:leftChars="12" w:firstLine="470" w:firstLineChars="196"/>
        <w:rPr>
          <w:rFonts w:hAnsi="宋体"/>
          <w:b/>
          <w:color w:val="auto"/>
          <w:sz w:val="24"/>
          <w:szCs w:val="24"/>
          <w:highlight w:val="none"/>
        </w:rPr>
      </w:pPr>
      <w:r>
        <w:rPr>
          <w:rFonts w:hint="eastAsia" w:hAnsi="宋体"/>
          <w:b/>
          <w:color w:val="auto"/>
          <w:sz w:val="24"/>
          <w:szCs w:val="24"/>
          <w:highlight w:val="none"/>
        </w:rPr>
        <w:t>四、投诉事项具体内容</w:t>
      </w:r>
    </w:p>
    <w:p w14:paraId="37190560">
      <w:pPr>
        <w:pStyle w:val="24"/>
        <w:spacing w:line="440" w:lineRule="exact"/>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投诉事项1：</w:t>
      </w:r>
      <w:r>
        <w:rPr>
          <w:rFonts w:hint="eastAsia" w:hAnsi="宋体"/>
          <w:bCs/>
          <w:color w:val="auto"/>
          <w:sz w:val="24"/>
          <w:szCs w:val="24"/>
          <w:highlight w:val="none"/>
          <w:u w:val="single"/>
        </w:rPr>
        <w:t xml:space="preserve">                                                                           </w:t>
      </w:r>
    </w:p>
    <w:p w14:paraId="028F425D">
      <w:pPr>
        <w:pStyle w:val="24"/>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事实依据：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7FD2D49A">
      <w:pPr>
        <w:pStyle w:val="24"/>
        <w:spacing w:line="440" w:lineRule="exact"/>
        <w:ind w:left="25" w:leftChars="12" w:firstLine="472" w:firstLineChars="197"/>
        <w:rPr>
          <w:rFonts w:hAnsi="宋体"/>
          <w:color w:val="auto"/>
          <w:sz w:val="24"/>
          <w:szCs w:val="24"/>
          <w:highlight w:val="none"/>
        </w:rPr>
      </w:pPr>
      <w:r>
        <w:rPr>
          <w:rFonts w:hint="eastAsia" w:hAnsi="宋体"/>
          <w:bCs/>
          <w:color w:val="auto"/>
          <w:sz w:val="24"/>
          <w:szCs w:val="24"/>
          <w:highlight w:val="none"/>
          <w:u w:val="single"/>
        </w:rPr>
        <w:t xml:space="preserve">                                                                                        </w:t>
      </w:r>
    </w:p>
    <w:p w14:paraId="61C5F19E">
      <w:pPr>
        <w:pStyle w:val="24"/>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法律依据：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7A7069BD">
      <w:pPr>
        <w:pStyle w:val="24"/>
        <w:spacing w:line="440" w:lineRule="exact"/>
        <w:ind w:left="25" w:leftChars="12" w:firstLine="352" w:firstLineChars="147"/>
        <w:rPr>
          <w:rFonts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30134DC5">
      <w:pPr>
        <w:pStyle w:val="24"/>
        <w:spacing w:line="440" w:lineRule="exact"/>
        <w:ind w:left="25" w:leftChars="12" w:firstLine="472" w:firstLineChars="197"/>
        <w:rPr>
          <w:rFonts w:hAnsi="宋体"/>
          <w:bCs/>
          <w:color w:val="auto"/>
          <w:sz w:val="24"/>
          <w:szCs w:val="24"/>
          <w:highlight w:val="none"/>
        </w:rPr>
      </w:pPr>
      <w:r>
        <w:rPr>
          <w:rFonts w:hint="eastAsia" w:hAnsi="宋体"/>
          <w:color w:val="auto"/>
          <w:sz w:val="24"/>
          <w:szCs w:val="24"/>
          <w:highlight w:val="none"/>
        </w:rPr>
        <w:t xml:space="preserve">投诉事项2  </w:t>
      </w:r>
      <w:r>
        <w:rPr>
          <w:rFonts w:hint="eastAsia" w:hAnsi="宋体"/>
          <w:bCs/>
          <w:color w:val="auto"/>
          <w:sz w:val="24"/>
          <w:szCs w:val="24"/>
          <w:highlight w:val="none"/>
        </w:rPr>
        <w:t xml:space="preserve">   </w:t>
      </w:r>
    </w:p>
    <w:p w14:paraId="69ADAD3F">
      <w:pPr>
        <w:pStyle w:val="24"/>
        <w:spacing w:line="440" w:lineRule="exact"/>
        <w:ind w:left="25" w:leftChars="12" w:firstLine="472" w:firstLineChars="197"/>
        <w:rPr>
          <w:rFonts w:hAnsi="宋体"/>
          <w:bCs/>
          <w:color w:val="auto"/>
          <w:sz w:val="24"/>
          <w:szCs w:val="24"/>
          <w:highlight w:val="none"/>
        </w:rPr>
      </w:pPr>
      <w:r>
        <w:rPr>
          <w:rFonts w:hint="eastAsia" w:hAnsi="宋体"/>
          <w:bCs/>
          <w:color w:val="auto"/>
          <w:sz w:val="24"/>
          <w:szCs w:val="24"/>
          <w:highlight w:val="none"/>
        </w:rPr>
        <w:t>……</w:t>
      </w:r>
    </w:p>
    <w:p w14:paraId="1EBC1C53">
      <w:pPr>
        <w:pStyle w:val="24"/>
        <w:spacing w:line="440" w:lineRule="exact"/>
        <w:ind w:left="25" w:leftChars="12" w:firstLine="470" w:firstLineChars="196"/>
        <w:rPr>
          <w:rFonts w:hAnsi="宋体"/>
          <w:b/>
          <w:color w:val="auto"/>
          <w:sz w:val="24"/>
          <w:szCs w:val="24"/>
          <w:highlight w:val="none"/>
        </w:rPr>
      </w:pPr>
      <w:r>
        <w:rPr>
          <w:rFonts w:hint="eastAsia" w:hAnsi="宋体"/>
          <w:b/>
          <w:color w:val="auto"/>
          <w:sz w:val="24"/>
          <w:szCs w:val="24"/>
          <w:highlight w:val="none"/>
        </w:rPr>
        <w:t>五、与投诉事项相关的投诉请求：</w:t>
      </w:r>
    </w:p>
    <w:p w14:paraId="55A4313D">
      <w:pPr>
        <w:pStyle w:val="24"/>
        <w:spacing w:line="440" w:lineRule="exact"/>
        <w:ind w:left="25" w:leftChars="12" w:firstLine="472" w:firstLineChars="197"/>
        <w:rPr>
          <w:rFonts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58EF5674">
      <w:pPr>
        <w:pStyle w:val="24"/>
        <w:spacing w:line="440" w:lineRule="exact"/>
        <w:ind w:left="25" w:leftChars="12" w:firstLine="352" w:firstLineChars="147"/>
        <w:rPr>
          <w:rFonts w:hAnsi="宋体"/>
          <w:color w:val="auto"/>
          <w:sz w:val="24"/>
          <w:szCs w:val="24"/>
          <w:highlight w:val="none"/>
        </w:rPr>
      </w:pPr>
    </w:p>
    <w:p w14:paraId="41D30DDC">
      <w:pPr>
        <w:pStyle w:val="24"/>
        <w:spacing w:line="440" w:lineRule="exact"/>
        <w:ind w:left="25" w:leftChars="12" w:firstLine="472" w:firstLineChars="197"/>
        <w:rPr>
          <w:rFonts w:hAnsi="宋体"/>
          <w:color w:val="auto"/>
          <w:sz w:val="24"/>
          <w:szCs w:val="24"/>
          <w:highlight w:val="none"/>
        </w:rPr>
      </w:pPr>
      <w:r>
        <w:rPr>
          <w:rFonts w:hint="eastAsia" w:hAnsi="宋体"/>
          <w:color w:val="auto"/>
          <w:sz w:val="24"/>
          <w:szCs w:val="24"/>
          <w:highlight w:val="none"/>
        </w:rPr>
        <w:t>签字（签章）：                                       公章：</w:t>
      </w:r>
    </w:p>
    <w:p w14:paraId="3D62985D">
      <w:pPr>
        <w:pStyle w:val="24"/>
        <w:spacing w:line="440" w:lineRule="exact"/>
        <w:ind w:left="25" w:leftChars="12" w:firstLine="352" w:firstLineChars="147"/>
        <w:rPr>
          <w:rFonts w:hAnsi="宋体"/>
          <w:color w:val="auto"/>
          <w:sz w:val="24"/>
          <w:szCs w:val="24"/>
          <w:highlight w:val="none"/>
        </w:rPr>
      </w:pPr>
    </w:p>
    <w:p w14:paraId="3017ACEA">
      <w:pPr>
        <w:pStyle w:val="24"/>
        <w:spacing w:line="440" w:lineRule="exact"/>
        <w:ind w:left="25" w:leftChars="12" w:firstLine="472" w:firstLineChars="197"/>
        <w:rPr>
          <w:rFonts w:hAnsi="宋体"/>
          <w:color w:val="auto"/>
          <w:sz w:val="24"/>
          <w:szCs w:val="24"/>
          <w:highlight w:val="none"/>
        </w:rPr>
      </w:pPr>
      <w:r>
        <w:rPr>
          <w:rFonts w:hint="eastAsia" w:hAnsi="宋体"/>
          <w:color w:val="auto"/>
          <w:sz w:val="24"/>
          <w:szCs w:val="24"/>
          <w:highlight w:val="none"/>
        </w:rPr>
        <w:t>日期：       年  月  日</w:t>
      </w:r>
    </w:p>
    <w:p w14:paraId="5DE6D58B">
      <w:pPr>
        <w:pStyle w:val="24"/>
        <w:spacing w:line="440" w:lineRule="exact"/>
        <w:ind w:left="25" w:leftChars="12" w:firstLine="472" w:firstLineChars="197"/>
        <w:rPr>
          <w:rFonts w:hAnsi="宋体"/>
          <w:b/>
          <w:color w:val="auto"/>
          <w:sz w:val="24"/>
          <w:szCs w:val="24"/>
          <w:highlight w:val="none"/>
        </w:rPr>
      </w:pPr>
      <w:r>
        <w:rPr>
          <w:rFonts w:hint="eastAsia" w:hAnsi="宋体"/>
          <w:bCs/>
          <w:color w:val="auto"/>
          <w:sz w:val="24"/>
          <w:szCs w:val="24"/>
          <w:highlight w:val="none"/>
        </w:rPr>
        <w:t xml:space="preserve">                                                                                 </w:t>
      </w:r>
    </w:p>
    <w:p w14:paraId="78A49CF1">
      <w:pPr>
        <w:pStyle w:val="24"/>
        <w:snapToGrid w:val="0"/>
        <w:spacing w:line="440" w:lineRule="exact"/>
        <w:rPr>
          <w:rFonts w:ascii="楷体" w:hAnsi="楷体" w:eastAsia="楷体"/>
          <w:b/>
          <w:color w:val="auto"/>
          <w:sz w:val="24"/>
          <w:szCs w:val="24"/>
          <w:highlight w:val="none"/>
        </w:rPr>
      </w:pPr>
      <w:r>
        <w:rPr>
          <w:rFonts w:hint="eastAsia" w:ascii="楷体" w:hAnsi="楷体" w:eastAsia="楷体"/>
          <w:b/>
          <w:color w:val="auto"/>
          <w:sz w:val="24"/>
          <w:szCs w:val="24"/>
          <w:highlight w:val="none"/>
        </w:rPr>
        <w:t>说明：</w:t>
      </w:r>
    </w:p>
    <w:p w14:paraId="78D6ED0A">
      <w:pPr>
        <w:pStyle w:val="24"/>
        <w:spacing w:line="440" w:lineRule="exact"/>
        <w:ind w:left="25" w:leftChars="12" w:firstLine="352" w:firstLineChars="147"/>
        <w:rPr>
          <w:rFonts w:ascii="楷体" w:hAnsi="楷体" w:eastAsia="楷体"/>
          <w:b/>
          <w:bCs/>
          <w:color w:val="auto"/>
          <w:sz w:val="24"/>
          <w:szCs w:val="24"/>
          <w:highlight w:val="none"/>
        </w:rPr>
      </w:pPr>
      <w:r>
        <w:rPr>
          <w:rFonts w:hint="eastAsia" w:ascii="楷体" w:hAnsi="楷体" w:eastAsia="楷体"/>
          <w:b/>
          <w:color w:val="auto"/>
          <w:sz w:val="24"/>
          <w:szCs w:val="24"/>
          <w:highlight w:val="none"/>
        </w:rPr>
        <w:t>1.投诉人提起投诉时，应当提交投诉书和必要的证明材料，并按照被投诉人和与投诉事项有关的供应商数量提供投诉书副本</w:t>
      </w:r>
      <w:r>
        <w:rPr>
          <w:rFonts w:hint="eastAsia" w:ascii="楷体" w:hAnsi="楷体" w:eastAsia="楷体"/>
          <w:b/>
          <w:bCs/>
          <w:color w:val="auto"/>
          <w:sz w:val="24"/>
          <w:szCs w:val="24"/>
          <w:highlight w:val="none"/>
        </w:rPr>
        <w:t>。</w:t>
      </w:r>
    </w:p>
    <w:p w14:paraId="3F093C1D">
      <w:pPr>
        <w:pStyle w:val="24"/>
        <w:spacing w:line="440" w:lineRule="exact"/>
        <w:ind w:left="25" w:leftChars="12" w:firstLine="352" w:firstLineChars="147"/>
        <w:rPr>
          <w:rFonts w:ascii="楷体" w:hAnsi="楷体" w:eastAsia="楷体"/>
          <w:b/>
          <w:color w:val="auto"/>
          <w:sz w:val="24"/>
          <w:szCs w:val="24"/>
          <w:highlight w:val="none"/>
        </w:rPr>
      </w:pPr>
      <w:r>
        <w:rPr>
          <w:rFonts w:hint="eastAsia" w:ascii="楷体" w:hAnsi="楷体" w:eastAsia="楷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0495267A">
      <w:pPr>
        <w:pStyle w:val="24"/>
        <w:spacing w:line="440" w:lineRule="exact"/>
        <w:ind w:left="25" w:leftChars="12" w:firstLine="352" w:firstLineChars="147"/>
        <w:rPr>
          <w:rFonts w:ascii="楷体" w:hAnsi="楷体" w:eastAsia="楷体"/>
          <w:b/>
          <w:color w:val="auto"/>
          <w:sz w:val="24"/>
          <w:szCs w:val="24"/>
          <w:highlight w:val="none"/>
        </w:rPr>
      </w:pPr>
      <w:r>
        <w:rPr>
          <w:rFonts w:hint="eastAsia" w:ascii="楷体" w:hAnsi="楷体" w:eastAsia="楷体"/>
          <w:b/>
          <w:color w:val="auto"/>
          <w:sz w:val="24"/>
          <w:szCs w:val="24"/>
          <w:highlight w:val="none"/>
        </w:rPr>
        <w:t>3.投诉书应简要列明质疑事项，质疑函、质疑答复等作为附件材料提供。</w:t>
      </w:r>
    </w:p>
    <w:p w14:paraId="16D30467">
      <w:pPr>
        <w:pStyle w:val="24"/>
        <w:spacing w:line="440" w:lineRule="exact"/>
        <w:ind w:left="25" w:leftChars="12" w:firstLine="352" w:firstLineChars="147"/>
        <w:rPr>
          <w:rFonts w:ascii="楷体" w:hAnsi="楷体" w:eastAsia="楷体"/>
          <w:b/>
          <w:color w:val="auto"/>
          <w:sz w:val="24"/>
          <w:szCs w:val="24"/>
          <w:highlight w:val="none"/>
        </w:rPr>
      </w:pPr>
      <w:r>
        <w:rPr>
          <w:rFonts w:hint="eastAsia" w:ascii="楷体" w:hAnsi="楷体" w:eastAsia="楷体"/>
          <w:b/>
          <w:color w:val="auto"/>
          <w:sz w:val="24"/>
          <w:szCs w:val="24"/>
          <w:highlight w:val="none"/>
        </w:rPr>
        <w:t>4.投诉书的投诉事项应具体、明确，并有必要的事实依据和法律依据。</w:t>
      </w:r>
    </w:p>
    <w:p w14:paraId="0F89A9B1">
      <w:pPr>
        <w:pStyle w:val="24"/>
        <w:spacing w:line="440" w:lineRule="exact"/>
        <w:ind w:left="25" w:leftChars="12" w:firstLine="352" w:firstLineChars="147"/>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5.投诉书的投诉请求应与投诉事项相关。</w:t>
      </w:r>
    </w:p>
    <w:p w14:paraId="13CA29D2">
      <w:pPr>
        <w:pStyle w:val="24"/>
        <w:spacing w:line="440" w:lineRule="exact"/>
        <w:ind w:left="25" w:leftChars="12" w:firstLine="352" w:firstLineChars="147"/>
        <w:rPr>
          <w:rFonts w:hint="eastAsia"/>
          <w:color w:val="auto"/>
          <w:highlight w:val="none"/>
        </w:rPr>
      </w:pPr>
      <w:r>
        <w:rPr>
          <w:rFonts w:hint="eastAsia" w:ascii="楷体" w:hAnsi="楷体" w:eastAsia="楷体"/>
          <w:b/>
          <w:color w:val="auto"/>
          <w:sz w:val="24"/>
          <w:szCs w:val="24"/>
          <w:highlight w:val="none"/>
        </w:rPr>
        <w:t>6.投诉人为法人或者其他组织的，投诉书应由法定代表人、主要负责人，或者其授权代表签字或者盖章，并加盖公章。</w:t>
      </w:r>
    </w:p>
    <w:p w14:paraId="3219CEF2">
      <w:pPr>
        <w:rPr>
          <w:rFonts w:hint="eastAsia"/>
          <w:color w:val="auto"/>
          <w:highlight w:val="none"/>
        </w:rPr>
      </w:pPr>
    </w:p>
    <w:p w14:paraId="04262AC9">
      <w:pPr>
        <w:rPr>
          <w:rFonts w:hint="eastAsia"/>
          <w:color w:val="auto"/>
          <w:highlight w:val="none"/>
        </w:rPr>
      </w:pPr>
    </w:p>
    <w:p w14:paraId="02C8DF06">
      <w:pPr>
        <w:rPr>
          <w:rFonts w:hint="eastAsia"/>
          <w:color w:val="auto"/>
          <w:highlight w:val="none"/>
        </w:rPr>
      </w:pPr>
    </w:p>
    <w:p w14:paraId="7684096C">
      <w:pPr>
        <w:pStyle w:val="2"/>
        <w:jc w:val="center"/>
        <w:rPr>
          <w:rFonts w:hint="eastAsia"/>
          <w:color w:val="auto"/>
          <w:highlight w:val="none"/>
        </w:rPr>
      </w:pPr>
      <w:bookmarkStart w:id="113" w:name="_Toc18166"/>
      <w:r>
        <w:rPr>
          <w:rFonts w:hint="eastAsia"/>
          <w:color w:val="auto"/>
          <w:highlight w:val="none"/>
        </w:rPr>
        <w:t>第</w:t>
      </w:r>
      <w:r>
        <w:rPr>
          <w:rFonts w:hint="eastAsia"/>
          <w:color w:val="auto"/>
          <w:highlight w:val="none"/>
          <w:lang w:val="en-US" w:eastAsia="zh-CN"/>
        </w:rPr>
        <w:t>十</w:t>
      </w:r>
      <w:r>
        <w:rPr>
          <w:rFonts w:hint="eastAsia"/>
          <w:color w:val="auto"/>
          <w:highlight w:val="none"/>
        </w:rPr>
        <w:t>章</w:t>
      </w:r>
      <w:r>
        <w:rPr>
          <w:rFonts w:hint="eastAsia"/>
          <w:color w:val="auto"/>
          <w:highlight w:val="none"/>
          <w:lang w:val="en-US" w:eastAsia="zh-CN"/>
        </w:rPr>
        <w:t xml:space="preserve"> </w:t>
      </w:r>
      <w:r>
        <w:rPr>
          <w:rFonts w:hint="eastAsia"/>
          <w:color w:val="auto"/>
          <w:highlight w:val="none"/>
        </w:rPr>
        <w:t>合同文本</w:t>
      </w:r>
      <w:bookmarkEnd w:id="113"/>
    </w:p>
    <w:p w14:paraId="0325CAE0">
      <w:pPr>
        <w:jc w:val="center"/>
        <w:rPr>
          <w:rFonts w:hint="eastAsia" w:ascii="宋体" w:hAnsi="宋体" w:eastAsia="宋体" w:cs="宋体"/>
          <w:b/>
          <w:bCs w:val="0"/>
          <w:color w:val="auto"/>
          <w:sz w:val="72"/>
          <w:szCs w:val="72"/>
          <w:highlight w:val="red"/>
          <w:lang w:eastAsia="zh-CN"/>
        </w:rPr>
      </w:pPr>
      <w:r>
        <w:rPr>
          <w:rFonts w:hint="eastAsia" w:ascii="宋体" w:hAnsi="宋体" w:eastAsia="宋体" w:cs="宋体"/>
          <w:b/>
          <w:bCs w:val="0"/>
          <w:color w:val="auto"/>
          <w:sz w:val="72"/>
          <w:szCs w:val="72"/>
          <w:lang w:eastAsia="zh-CN"/>
        </w:rPr>
        <w:t>XXX工程</w:t>
      </w:r>
    </w:p>
    <w:p w14:paraId="30D67661">
      <w:pPr>
        <w:rPr>
          <w:rFonts w:hint="eastAsia" w:ascii="宋体" w:hAnsi="宋体" w:eastAsia="宋体" w:cs="宋体"/>
          <w:b/>
          <w:bCs w:val="0"/>
          <w:color w:val="auto"/>
          <w:sz w:val="36"/>
        </w:rPr>
      </w:pPr>
    </w:p>
    <w:p w14:paraId="2DD83629">
      <w:pPr>
        <w:jc w:val="center"/>
        <w:rPr>
          <w:rFonts w:hint="eastAsia" w:ascii="宋体" w:hAnsi="宋体" w:eastAsia="宋体" w:cs="宋体"/>
          <w:b/>
          <w:bCs w:val="0"/>
          <w:color w:val="auto"/>
          <w:spacing w:val="60"/>
          <w:w w:val="90"/>
          <w:sz w:val="84"/>
        </w:rPr>
      </w:pPr>
    </w:p>
    <w:p w14:paraId="73C96095">
      <w:pPr>
        <w:jc w:val="center"/>
        <w:rPr>
          <w:rFonts w:hint="eastAsia" w:ascii="宋体" w:hAnsi="宋体" w:eastAsia="宋体" w:cs="宋体"/>
          <w:b/>
          <w:bCs w:val="0"/>
          <w:color w:val="auto"/>
          <w:spacing w:val="60"/>
          <w:w w:val="90"/>
          <w:sz w:val="84"/>
        </w:rPr>
      </w:pPr>
    </w:p>
    <w:p w14:paraId="48A7D922">
      <w:pPr>
        <w:jc w:val="center"/>
        <w:rPr>
          <w:rFonts w:hint="eastAsia" w:ascii="宋体" w:hAnsi="宋体" w:eastAsia="宋体" w:cs="宋体"/>
          <w:b/>
          <w:bCs w:val="0"/>
          <w:color w:val="auto"/>
          <w:spacing w:val="60"/>
          <w:w w:val="90"/>
          <w:sz w:val="72"/>
          <w:szCs w:val="72"/>
          <w:lang w:eastAsia="zh-CN"/>
        </w:rPr>
      </w:pPr>
      <w:r>
        <w:rPr>
          <w:rFonts w:hint="eastAsia" w:ascii="宋体" w:hAnsi="宋体" w:eastAsia="宋体" w:cs="宋体"/>
          <w:b/>
          <w:bCs w:val="0"/>
          <w:color w:val="auto"/>
          <w:spacing w:val="60"/>
          <w:w w:val="90"/>
          <w:sz w:val="72"/>
          <w:szCs w:val="72"/>
        </w:rPr>
        <w:t>施工合同</w:t>
      </w:r>
      <w:r>
        <w:rPr>
          <w:rFonts w:hint="eastAsia" w:ascii="宋体" w:hAnsi="宋体" w:eastAsia="宋体" w:cs="宋体"/>
          <w:b/>
          <w:bCs w:val="0"/>
          <w:color w:val="auto"/>
          <w:spacing w:val="60"/>
          <w:w w:val="90"/>
          <w:sz w:val="72"/>
          <w:szCs w:val="72"/>
          <w:lang w:eastAsia="zh-CN"/>
        </w:rPr>
        <w:t>（样版）</w:t>
      </w:r>
    </w:p>
    <w:p w14:paraId="338022F8">
      <w:pPr>
        <w:rPr>
          <w:rFonts w:hint="eastAsia" w:ascii="宋体" w:hAnsi="宋体" w:eastAsia="宋体" w:cs="宋体"/>
          <w:b/>
          <w:bCs w:val="0"/>
          <w:color w:val="auto"/>
          <w:sz w:val="36"/>
        </w:rPr>
      </w:pPr>
    </w:p>
    <w:p w14:paraId="0926E41C">
      <w:pPr>
        <w:rPr>
          <w:rFonts w:hint="eastAsia" w:ascii="宋体" w:hAnsi="宋体" w:eastAsia="宋体" w:cs="宋体"/>
          <w:b/>
          <w:bCs w:val="0"/>
          <w:color w:val="auto"/>
          <w:sz w:val="36"/>
        </w:rPr>
      </w:pPr>
    </w:p>
    <w:p w14:paraId="5BBF2B99">
      <w:pPr>
        <w:spacing w:line="360" w:lineRule="auto"/>
        <w:rPr>
          <w:rFonts w:hint="eastAsia" w:ascii="宋体" w:hAnsi="宋体" w:eastAsia="宋体" w:cs="宋体"/>
          <w:b/>
          <w:bCs w:val="0"/>
          <w:color w:val="auto"/>
          <w:sz w:val="32"/>
          <w:szCs w:val="32"/>
        </w:rPr>
      </w:pPr>
    </w:p>
    <w:p w14:paraId="3DE655E2">
      <w:pPr>
        <w:spacing w:line="360" w:lineRule="auto"/>
        <w:rPr>
          <w:rFonts w:hint="eastAsia" w:ascii="宋体" w:hAnsi="宋体" w:eastAsia="宋体" w:cs="宋体"/>
          <w:b/>
          <w:bCs w:val="0"/>
          <w:color w:val="auto"/>
          <w:sz w:val="32"/>
          <w:szCs w:val="32"/>
        </w:rPr>
      </w:pPr>
    </w:p>
    <w:p w14:paraId="321536D5">
      <w:pPr>
        <w:keepNext w:val="0"/>
        <w:keepLines w:val="0"/>
        <w:pageBreakBefore w:val="0"/>
        <w:widowControl w:val="0"/>
        <w:kinsoku/>
        <w:wordWrap/>
        <w:overflowPunct/>
        <w:topLinePunct w:val="0"/>
        <w:autoSpaceDE/>
        <w:autoSpaceDN/>
        <w:bidi w:val="0"/>
        <w:adjustRightInd/>
        <w:snapToGrid/>
        <w:spacing w:line="360" w:lineRule="auto"/>
        <w:ind w:firstLine="2560" w:firstLineChars="800"/>
        <w:textAlignment w:val="auto"/>
        <w:rPr>
          <w:rFonts w:hint="eastAsia" w:ascii="宋体" w:hAnsi="宋体" w:eastAsia="宋体" w:cs="宋体"/>
          <w:b/>
          <w:bCs w:val="0"/>
          <w:color w:val="auto"/>
          <w:sz w:val="32"/>
          <w:szCs w:val="32"/>
          <w:lang w:eastAsia="zh-CN"/>
        </w:rPr>
      </w:pPr>
      <w:r>
        <w:rPr>
          <w:rFonts w:hint="eastAsia" w:ascii="宋体" w:hAnsi="宋体" w:eastAsia="宋体" w:cs="宋体"/>
          <w:b/>
          <w:bCs w:val="0"/>
          <w:color w:val="auto"/>
          <w:sz w:val="32"/>
          <w:szCs w:val="32"/>
          <w:lang w:eastAsia="zh-CN"/>
        </w:rPr>
        <w:t>甲  方</w:t>
      </w:r>
      <w:r>
        <w:rPr>
          <w:rFonts w:hint="eastAsia" w:ascii="宋体" w:hAnsi="宋体" w:eastAsia="宋体" w:cs="宋体"/>
          <w:b/>
          <w:bCs w:val="0"/>
          <w:color w:val="auto"/>
          <w:sz w:val="32"/>
          <w:szCs w:val="32"/>
        </w:rPr>
        <w:t>：</w:t>
      </w:r>
      <w:r>
        <w:rPr>
          <w:rFonts w:hint="eastAsia" w:ascii="宋体" w:hAnsi="宋体" w:eastAsia="宋体" w:cs="宋体"/>
          <w:b/>
          <w:bCs w:val="0"/>
          <w:color w:val="auto"/>
          <w:sz w:val="32"/>
          <w:szCs w:val="32"/>
          <w:lang w:eastAsia="zh-CN"/>
        </w:rPr>
        <w:t>XX局(或xx中心）</w:t>
      </w:r>
    </w:p>
    <w:p w14:paraId="0DD021BE">
      <w:pPr>
        <w:keepNext w:val="0"/>
        <w:keepLines w:val="0"/>
        <w:pageBreakBefore w:val="0"/>
        <w:widowControl w:val="0"/>
        <w:kinsoku/>
        <w:wordWrap/>
        <w:overflowPunct/>
        <w:topLinePunct w:val="0"/>
        <w:autoSpaceDE/>
        <w:autoSpaceDN/>
        <w:bidi w:val="0"/>
        <w:adjustRightInd/>
        <w:snapToGrid/>
        <w:spacing w:line="360" w:lineRule="auto"/>
        <w:ind w:firstLine="2560" w:firstLineChars="800"/>
        <w:textAlignment w:val="auto"/>
        <w:rPr>
          <w:rFonts w:hint="eastAsia" w:ascii="宋体" w:hAnsi="宋体" w:eastAsia="宋体" w:cs="宋体"/>
          <w:b/>
          <w:bCs w:val="0"/>
          <w:color w:val="auto"/>
          <w:sz w:val="32"/>
          <w:szCs w:val="32"/>
        </w:rPr>
      </w:pPr>
    </w:p>
    <w:p w14:paraId="2C0EAC92">
      <w:pPr>
        <w:keepNext w:val="0"/>
        <w:keepLines w:val="0"/>
        <w:pageBreakBefore w:val="0"/>
        <w:widowControl w:val="0"/>
        <w:kinsoku/>
        <w:wordWrap/>
        <w:overflowPunct/>
        <w:topLinePunct w:val="0"/>
        <w:autoSpaceDE/>
        <w:autoSpaceDN/>
        <w:bidi w:val="0"/>
        <w:adjustRightInd/>
        <w:snapToGrid/>
        <w:spacing w:line="360" w:lineRule="auto"/>
        <w:ind w:firstLine="2560" w:firstLineChars="800"/>
        <w:textAlignment w:val="auto"/>
        <w:rPr>
          <w:rFonts w:hint="eastAsia" w:ascii="宋体" w:hAnsi="宋体" w:eastAsia="宋体" w:cs="宋体"/>
          <w:b/>
          <w:bCs w:val="0"/>
          <w:color w:val="auto"/>
          <w:sz w:val="32"/>
          <w:szCs w:val="32"/>
          <w:lang w:eastAsia="zh-CN"/>
        </w:rPr>
      </w:pPr>
      <w:r>
        <w:rPr>
          <w:rFonts w:hint="eastAsia" w:ascii="宋体" w:hAnsi="宋体" w:eastAsia="宋体" w:cs="宋体"/>
          <w:b/>
          <w:bCs w:val="0"/>
          <w:color w:val="auto"/>
          <w:sz w:val="32"/>
          <w:szCs w:val="32"/>
          <w:lang w:eastAsia="zh-CN"/>
        </w:rPr>
        <w:t>乙  方</w:t>
      </w:r>
      <w:r>
        <w:rPr>
          <w:rFonts w:hint="eastAsia" w:ascii="宋体" w:hAnsi="宋体" w:eastAsia="宋体" w:cs="宋体"/>
          <w:b/>
          <w:bCs w:val="0"/>
          <w:color w:val="auto"/>
          <w:sz w:val="32"/>
          <w:szCs w:val="32"/>
        </w:rPr>
        <w:t>：</w:t>
      </w:r>
      <w:r>
        <w:rPr>
          <w:rFonts w:hint="eastAsia" w:ascii="宋体" w:hAnsi="宋体" w:eastAsia="宋体" w:cs="宋体"/>
          <w:b/>
          <w:bCs w:val="0"/>
          <w:color w:val="auto"/>
          <w:sz w:val="32"/>
          <w:szCs w:val="32"/>
          <w:lang w:eastAsia="zh-CN"/>
        </w:rPr>
        <w:t>XX公司</w:t>
      </w:r>
    </w:p>
    <w:p w14:paraId="1DDDE086">
      <w:pPr>
        <w:keepNext w:val="0"/>
        <w:keepLines w:val="0"/>
        <w:pageBreakBefore w:val="0"/>
        <w:widowControl w:val="0"/>
        <w:kinsoku/>
        <w:wordWrap/>
        <w:overflowPunct/>
        <w:topLinePunct w:val="0"/>
        <w:autoSpaceDE/>
        <w:autoSpaceDN/>
        <w:bidi w:val="0"/>
        <w:adjustRightInd/>
        <w:snapToGrid/>
        <w:ind w:firstLine="1280" w:firstLineChars="400"/>
        <w:jc w:val="center"/>
        <w:textAlignment w:val="auto"/>
        <w:rPr>
          <w:rFonts w:hint="eastAsia" w:ascii="宋体" w:hAnsi="宋体" w:eastAsia="宋体" w:cs="宋体"/>
          <w:b/>
          <w:bCs w:val="0"/>
          <w:color w:val="auto"/>
          <w:sz w:val="32"/>
          <w:szCs w:val="32"/>
        </w:rPr>
      </w:pPr>
    </w:p>
    <w:p w14:paraId="366F108E">
      <w:pPr>
        <w:keepNext w:val="0"/>
        <w:keepLines w:val="0"/>
        <w:pageBreakBefore w:val="0"/>
        <w:widowControl w:val="0"/>
        <w:kinsoku/>
        <w:wordWrap/>
        <w:overflowPunct/>
        <w:topLinePunct w:val="0"/>
        <w:autoSpaceDE/>
        <w:autoSpaceDN/>
        <w:bidi w:val="0"/>
        <w:adjustRightInd/>
        <w:snapToGrid/>
        <w:ind w:firstLine="3520" w:firstLineChars="1100"/>
        <w:jc w:val="both"/>
        <w:textAlignment w:val="auto"/>
        <w:rPr>
          <w:rFonts w:hint="eastAsia" w:ascii="宋体" w:hAnsi="宋体" w:eastAsia="宋体" w:cs="宋体"/>
          <w:b/>
          <w:bCs w:val="0"/>
          <w:color w:val="auto"/>
          <w:spacing w:val="60"/>
          <w:sz w:val="32"/>
          <w:szCs w:val="32"/>
        </w:rPr>
      </w:pPr>
      <w:r>
        <w:rPr>
          <w:rFonts w:hint="eastAsia" w:ascii="宋体" w:hAnsi="宋体" w:eastAsia="宋体" w:cs="宋体"/>
          <w:b/>
          <w:bCs w:val="0"/>
          <w:color w:val="auto"/>
          <w:sz w:val="32"/>
          <w:szCs w:val="32"/>
        </w:rPr>
        <w:t>年    月</w:t>
      </w:r>
    </w:p>
    <w:p w14:paraId="5E5FA843">
      <w:pPr>
        <w:jc w:val="center"/>
        <w:rPr>
          <w:rFonts w:hint="eastAsia"/>
          <w:b/>
          <w:color w:val="auto"/>
          <w:spacing w:val="60"/>
          <w:sz w:val="48"/>
          <w:szCs w:val="48"/>
        </w:rPr>
      </w:pPr>
    </w:p>
    <w:p w14:paraId="197DD407">
      <w:pPr>
        <w:jc w:val="center"/>
        <w:rPr>
          <w:rFonts w:hint="eastAsia"/>
          <w:b/>
          <w:color w:val="auto"/>
          <w:spacing w:val="60"/>
          <w:sz w:val="48"/>
          <w:szCs w:val="48"/>
        </w:rPr>
        <w:sectPr>
          <w:footerReference r:id="rId10" w:type="default"/>
          <w:pgSz w:w="11906" w:h="16838"/>
          <w:pgMar w:top="1276" w:right="1276" w:bottom="1276" w:left="1440" w:header="851" w:footer="992" w:gutter="0"/>
          <w:cols w:space="720" w:num="1"/>
          <w:docGrid w:type="linesAndChars" w:linePitch="312" w:charSpace="0"/>
        </w:sectPr>
      </w:pPr>
    </w:p>
    <w:p w14:paraId="548A1CFE">
      <w:pPr>
        <w:jc w:val="center"/>
        <w:rPr>
          <w:rFonts w:hint="eastAsia"/>
          <w:b/>
          <w:color w:val="auto"/>
          <w:spacing w:val="60"/>
          <w:sz w:val="48"/>
          <w:szCs w:val="48"/>
        </w:rPr>
      </w:pPr>
      <w:r>
        <w:rPr>
          <w:rFonts w:hint="eastAsia"/>
          <w:b/>
          <w:color w:val="auto"/>
          <w:spacing w:val="60"/>
          <w:sz w:val="48"/>
          <w:szCs w:val="48"/>
        </w:rPr>
        <w:t>合同文件目录</w:t>
      </w:r>
    </w:p>
    <w:p w14:paraId="4E7CFA3E">
      <w:pPr>
        <w:spacing w:line="700" w:lineRule="exact"/>
        <w:rPr>
          <w:rFonts w:hint="eastAsia"/>
          <w:b/>
          <w:color w:val="auto"/>
          <w:spacing w:val="60"/>
          <w:sz w:val="48"/>
          <w:szCs w:val="48"/>
        </w:rPr>
      </w:pPr>
      <w:r>
        <w:rPr>
          <w:rFonts w:hint="eastAsia"/>
          <w:color w:val="auto"/>
          <w:sz w:val="28"/>
          <w:szCs w:val="28"/>
        </w:rPr>
        <w:t>一、合同协议书</w:t>
      </w:r>
    </w:p>
    <w:p w14:paraId="239387F1">
      <w:pPr>
        <w:spacing w:line="700" w:lineRule="exact"/>
        <w:rPr>
          <w:color w:val="auto"/>
          <w:sz w:val="28"/>
          <w:szCs w:val="28"/>
        </w:rPr>
      </w:pPr>
      <w:r>
        <w:rPr>
          <w:rFonts w:hint="eastAsia"/>
          <w:color w:val="auto"/>
          <w:sz w:val="28"/>
          <w:szCs w:val="28"/>
        </w:rPr>
        <w:t>二、廉政合同</w:t>
      </w:r>
    </w:p>
    <w:p w14:paraId="76248B75">
      <w:pPr>
        <w:spacing w:line="700" w:lineRule="exact"/>
        <w:rPr>
          <w:color w:val="auto"/>
          <w:sz w:val="28"/>
          <w:szCs w:val="28"/>
        </w:rPr>
      </w:pPr>
      <w:r>
        <w:rPr>
          <w:rFonts w:hint="eastAsia"/>
          <w:color w:val="auto"/>
          <w:sz w:val="28"/>
          <w:szCs w:val="28"/>
        </w:rPr>
        <w:t>三、安全生产合同</w:t>
      </w:r>
    </w:p>
    <w:p w14:paraId="4A9205D7">
      <w:pPr>
        <w:spacing w:line="700" w:lineRule="exact"/>
        <w:rPr>
          <w:color w:val="auto"/>
          <w:sz w:val="28"/>
          <w:szCs w:val="28"/>
        </w:rPr>
      </w:pPr>
      <w:r>
        <w:rPr>
          <w:rFonts w:hint="eastAsia"/>
          <w:color w:val="auto"/>
          <w:sz w:val="28"/>
          <w:szCs w:val="28"/>
        </w:rPr>
        <w:t>四、通用合同条款</w:t>
      </w:r>
    </w:p>
    <w:p w14:paraId="61A97758">
      <w:pPr>
        <w:spacing w:line="700" w:lineRule="exact"/>
        <w:rPr>
          <w:color w:val="auto"/>
          <w:sz w:val="28"/>
          <w:szCs w:val="28"/>
        </w:rPr>
      </w:pPr>
      <w:r>
        <w:rPr>
          <w:rFonts w:hint="eastAsia"/>
          <w:color w:val="auto"/>
          <w:sz w:val="28"/>
          <w:szCs w:val="28"/>
        </w:rPr>
        <w:t>五、专用合同条款</w:t>
      </w:r>
    </w:p>
    <w:p w14:paraId="7CEF4E33">
      <w:pPr>
        <w:spacing w:line="700" w:lineRule="exact"/>
        <w:rPr>
          <w:color w:val="auto"/>
          <w:sz w:val="28"/>
          <w:szCs w:val="28"/>
        </w:rPr>
      </w:pPr>
      <w:r>
        <w:rPr>
          <w:rFonts w:hint="eastAsia"/>
          <w:color w:val="auto"/>
          <w:sz w:val="28"/>
          <w:szCs w:val="28"/>
        </w:rPr>
        <w:t>六、项目专用条款</w:t>
      </w:r>
    </w:p>
    <w:p w14:paraId="74C5A743">
      <w:pPr>
        <w:spacing w:line="700" w:lineRule="exact"/>
        <w:rPr>
          <w:rFonts w:hint="eastAsia"/>
          <w:color w:val="auto"/>
          <w:sz w:val="28"/>
          <w:szCs w:val="28"/>
        </w:rPr>
      </w:pPr>
      <w:r>
        <w:rPr>
          <w:rFonts w:hint="eastAsia"/>
          <w:color w:val="auto"/>
          <w:sz w:val="28"/>
          <w:szCs w:val="28"/>
        </w:rPr>
        <w:t>七、技术规范专用条款</w:t>
      </w:r>
    </w:p>
    <w:p w14:paraId="7BDC3AB1">
      <w:pPr>
        <w:spacing w:line="700" w:lineRule="exact"/>
        <w:rPr>
          <w:rFonts w:hint="eastAsia"/>
          <w:color w:val="auto"/>
          <w:sz w:val="28"/>
          <w:szCs w:val="28"/>
        </w:rPr>
      </w:pPr>
      <w:r>
        <w:rPr>
          <w:rFonts w:hint="eastAsia"/>
          <w:color w:val="auto"/>
          <w:sz w:val="28"/>
          <w:szCs w:val="28"/>
        </w:rPr>
        <w:t>八、工程量清单</w:t>
      </w:r>
    </w:p>
    <w:p w14:paraId="710A8384">
      <w:pPr>
        <w:spacing w:line="700" w:lineRule="exact"/>
        <w:rPr>
          <w:rFonts w:hint="eastAsia"/>
          <w:color w:val="auto"/>
          <w:sz w:val="28"/>
          <w:szCs w:val="28"/>
        </w:rPr>
      </w:pPr>
      <w:r>
        <w:rPr>
          <w:rFonts w:hint="eastAsia"/>
          <w:color w:val="auto"/>
          <w:sz w:val="28"/>
          <w:szCs w:val="28"/>
          <w:lang w:eastAsia="zh-CN"/>
        </w:rPr>
        <w:t>九</w:t>
      </w:r>
      <w:r>
        <w:rPr>
          <w:rFonts w:hint="eastAsia"/>
          <w:color w:val="auto"/>
          <w:sz w:val="28"/>
          <w:szCs w:val="28"/>
        </w:rPr>
        <w:t>、中标通知书</w:t>
      </w:r>
    </w:p>
    <w:p w14:paraId="37D868F2">
      <w:pPr>
        <w:spacing w:line="700" w:lineRule="exact"/>
        <w:rPr>
          <w:rFonts w:hint="eastAsia" w:eastAsia="宋体"/>
          <w:color w:val="auto"/>
          <w:sz w:val="28"/>
          <w:szCs w:val="28"/>
          <w:lang w:eastAsia="zh-CN"/>
        </w:rPr>
      </w:pPr>
      <w:r>
        <w:rPr>
          <w:rFonts w:hint="eastAsia"/>
          <w:color w:val="auto"/>
          <w:sz w:val="28"/>
          <w:szCs w:val="28"/>
          <w:lang w:eastAsia="zh-CN"/>
        </w:rPr>
        <w:t>十、营业执照、资质证书</w:t>
      </w:r>
      <w:r>
        <w:rPr>
          <w:rFonts w:hint="eastAsia"/>
          <w:color w:val="auto"/>
          <w:sz w:val="28"/>
          <w:szCs w:val="28"/>
        </w:rPr>
        <w:t>或法人证书</w:t>
      </w:r>
    </w:p>
    <w:p w14:paraId="0722EBEE">
      <w:pPr>
        <w:spacing w:line="700" w:lineRule="exact"/>
        <w:rPr>
          <w:color w:val="auto"/>
          <w:sz w:val="28"/>
          <w:szCs w:val="28"/>
        </w:rPr>
      </w:pPr>
      <w:r>
        <w:rPr>
          <w:rFonts w:hint="eastAsia"/>
          <w:color w:val="auto"/>
          <w:sz w:val="28"/>
          <w:szCs w:val="28"/>
        </w:rPr>
        <w:t>十一、项目经理委托书</w:t>
      </w:r>
    </w:p>
    <w:p w14:paraId="4E013BEB">
      <w:pPr>
        <w:spacing w:line="700" w:lineRule="exact"/>
        <w:rPr>
          <w:color w:val="auto"/>
          <w:sz w:val="28"/>
          <w:szCs w:val="28"/>
        </w:rPr>
      </w:pPr>
      <w:r>
        <w:rPr>
          <w:rFonts w:hint="eastAsia"/>
          <w:color w:val="auto"/>
          <w:sz w:val="28"/>
          <w:szCs w:val="28"/>
        </w:rPr>
        <w:t>十</w:t>
      </w:r>
      <w:r>
        <w:rPr>
          <w:rFonts w:hint="eastAsia"/>
          <w:color w:val="auto"/>
          <w:sz w:val="28"/>
          <w:szCs w:val="28"/>
          <w:lang w:eastAsia="zh-CN"/>
        </w:rPr>
        <w:t>二</w:t>
      </w:r>
      <w:r>
        <w:rPr>
          <w:rFonts w:hint="eastAsia"/>
          <w:color w:val="auto"/>
          <w:sz w:val="28"/>
          <w:szCs w:val="28"/>
        </w:rPr>
        <w:t>、法人代表身份证复印件</w:t>
      </w:r>
    </w:p>
    <w:p w14:paraId="56A74980">
      <w:pPr>
        <w:spacing w:line="700" w:lineRule="exact"/>
        <w:rPr>
          <w:color w:val="auto"/>
          <w:sz w:val="28"/>
          <w:szCs w:val="28"/>
        </w:rPr>
      </w:pPr>
      <w:r>
        <w:rPr>
          <w:rFonts w:hint="eastAsia"/>
          <w:color w:val="auto"/>
          <w:sz w:val="28"/>
          <w:szCs w:val="28"/>
        </w:rPr>
        <w:t>十</w:t>
      </w:r>
      <w:r>
        <w:rPr>
          <w:rFonts w:hint="eastAsia"/>
          <w:color w:val="auto"/>
          <w:sz w:val="28"/>
          <w:szCs w:val="28"/>
          <w:lang w:eastAsia="zh-CN"/>
        </w:rPr>
        <w:t>三</w:t>
      </w:r>
      <w:r>
        <w:rPr>
          <w:rFonts w:hint="eastAsia"/>
          <w:color w:val="auto"/>
          <w:sz w:val="28"/>
          <w:szCs w:val="28"/>
        </w:rPr>
        <w:t>、项目经理身份证、建造师证、职称证复印件</w:t>
      </w:r>
    </w:p>
    <w:p w14:paraId="3C37AC88">
      <w:pPr>
        <w:spacing w:line="700" w:lineRule="exact"/>
        <w:rPr>
          <w:rFonts w:hint="eastAsia"/>
          <w:color w:val="auto"/>
          <w:sz w:val="28"/>
          <w:szCs w:val="28"/>
        </w:rPr>
      </w:pPr>
      <w:r>
        <w:rPr>
          <w:rFonts w:hint="eastAsia"/>
          <w:color w:val="auto"/>
          <w:sz w:val="28"/>
          <w:szCs w:val="28"/>
        </w:rPr>
        <w:t>十</w:t>
      </w:r>
      <w:r>
        <w:rPr>
          <w:rFonts w:hint="eastAsia"/>
          <w:color w:val="auto"/>
          <w:sz w:val="28"/>
          <w:szCs w:val="28"/>
          <w:lang w:eastAsia="zh-CN"/>
        </w:rPr>
        <w:t>四</w:t>
      </w:r>
      <w:r>
        <w:rPr>
          <w:rFonts w:hint="eastAsia"/>
          <w:color w:val="auto"/>
          <w:sz w:val="28"/>
          <w:szCs w:val="28"/>
        </w:rPr>
        <w:t>、主要施工机具和设备进场时间表</w:t>
      </w:r>
    </w:p>
    <w:p w14:paraId="4B98E399">
      <w:pPr>
        <w:spacing w:line="700" w:lineRule="exact"/>
        <w:rPr>
          <w:rFonts w:ascii="黑体" w:hAnsi="宋体" w:eastAsia="黑体"/>
          <w:bCs/>
          <w:color w:val="auto"/>
          <w:spacing w:val="60"/>
          <w:sz w:val="52"/>
          <w:szCs w:val="52"/>
        </w:rPr>
        <w:sectPr>
          <w:footerReference r:id="rId11" w:type="default"/>
          <w:pgSz w:w="11906" w:h="16838"/>
          <w:pgMar w:top="1276" w:right="1276" w:bottom="1276" w:left="1440" w:header="851" w:footer="992" w:gutter="0"/>
          <w:pgNumType w:start="1"/>
          <w:cols w:space="720" w:num="1"/>
          <w:docGrid w:type="linesAndChars" w:linePitch="312" w:charSpace="0"/>
        </w:sectPr>
      </w:pPr>
      <w:r>
        <w:rPr>
          <w:rFonts w:hint="eastAsia"/>
          <w:color w:val="auto"/>
          <w:sz w:val="28"/>
          <w:szCs w:val="28"/>
        </w:rPr>
        <w:t>十</w:t>
      </w:r>
      <w:r>
        <w:rPr>
          <w:rFonts w:hint="eastAsia"/>
          <w:color w:val="auto"/>
          <w:sz w:val="28"/>
          <w:szCs w:val="28"/>
          <w:lang w:eastAsia="zh-CN"/>
        </w:rPr>
        <w:t>五</w:t>
      </w:r>
      <w:r>
        <w:rPr>
          <w:rFonts w:hint="eastAsia"/>
          <w:color w:val="auto"/>
          <w:sz w:val="28"/>
          <w:szCs w:val="28"/>
        </w:rPr>
        <w:t>、开户证明</w:t>
      </w:r>
    </w:p>
    <w:p w14:paraId="16074199">
      <w:pPr>
        <w:snapToGrid w:val="0"/>
        <w:spacing w:line="460" w:lineRule="exact"/>
        <w:ind w:firstLine="3360" w:firstLineChars="700"/>
        <w:jc w:val="both"/>
        <w:rPr>
          <w:rFonts w:hint="eastAsia" w:ascii="宋体" w:hAnsi="宋体"/>
          <w:b/>
          <w:bCs/>
          <w:color w:val="auto"/>
          <w:sz w:val="36"/>
          <w:szCs w:val="36"/>
        </w:rPr>
      </w:pPr>
      <w:r>
        <w:rPr>
          <w:rFonts w:hint="eastAsia" w:ascii="宋体" w:hAnsi="宋体"/>
          <w:b/>
          <w:bCs/>
          <w:color w:val="auto"/>
          <w:spacing w:val="60"/>
          <w:sz w:val="36"/>
          <w:szCs w:val="36"/>
        </w:rPr>
        <w:t>合同协议书</w:t>
      </w:r>
    </w:p>
    <w:p w14:paraId="01534F2A">
      <w:pPr>
        <w:snapToGrid w:val="0"/>
        <w:spacing w:line="360" w:lineRule="auto"/>
        <w:rPr>
          <w:rFonts w:hint="eastAsia" w:ascii="宋体" w:hAnsi="宋体"/>
          <w:color w:val="auto"/>
          <w:sz w:val="13"/>
          <w:szCs w:val="13"/>
          <w:u w:val="single"/>
        </w:rPr>
      </w:pPr>
    </w:p>
    <w:p w14:paraId="584D0185">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鉴于</w:t>
      </w:r>
      <w:r>
        <w:rPr>
          <w:rFonts w:hint="eastAsia" w:ascii="宋体" w:hAnsi="宋体" w:cs="宋体"/>
          <w:b/>
          <w:bCs/>
          <w:color w:val="auto"/>
          <w:sz w:val="24"/>
          <w:u w:val="single"/>
          <w:lang w:eastAsia="zh-CN"/>
        </w:rPr>
        <w:t>XX局(或xx中心）</w:t>
      </w:r>
      <w:r>
        <w:rPr>
          <w:rFonts w:hint="eastAsia" w:ascii="宋体" w:hAnsi="宋体" w:cs="宋体"/>
          <w:color w:val="auto"/>
          <w:sz w:val="24"/>
          <w:lang w:eastAsia="zh-CN"/>
        </w:rPr>
        <w:t>（以下简称甲方）</w:t>
      </w:r>
      <w:r>
        <w:rPr>
          <w:rFonts w:hint="eastAsia" w:ascii="宋体" w:hAnsi="宋体" w:cs="宋体"/>
          <w:color w:val="auto"/>
          <w:sz w:val="24"/>
        </w:rPr>
        <w:t>为修建</w:t>
      </w:r>
      <w:r>
        <w:rPr>
          <w:rStyle w:val="254"/>
          <w:rFonts w:hint="eastAsia" w:ascii="宋体" w:hAnsi="宋体" w:eastAsia="宋体" w:cs="宋体"/>
          <w:b/>
          <w:bCs/>
          <w:color w:val="auto"/>
          <w:sz w:val="24"/>
          <w:szCs w:val="24"/>
          <w:highlight w:val="none"/>
          <w:u w:val="single"/>
          <w:lang w:eastAsia="zh-CN"/>
        </w:rPr>
        <w:t>XXX工程</w:t>
      </w:r>
      <w:r>
        <w:rPr>
          <w:rFonts w:hint="eastAsia" w:ascii="宋体" w:hAnsi="宋体" w:cs="宋体"/>
          <w:color w:val="auto"/>
          <w:sz w:val="24"/>
        </w:rPr>
        <w:t>并接受</w:t>
      </w:r>
      <w:r>
        <w:rPr>
          <w:rFonts w:hint="eastAsia" w:ascii="宋体" w:hAnsi="宋体" w:cs="宋体"/>
          <w:b/>
          <w:color w:val="auto"/>
          <w:sz w:val="24"/>
          <w:u w:val="single"/>
          <w:lang w:eastAsia="zh-CN"/>
        </w:rPr>
        <w:t>XX公司</w:t>
      </w:r>
      <w:r>
        <w:rPr>
          <w:rFonts w:hint="eastAsia" w:ascii="宋体" w:hAnsi="宋体" w:cs="宋体"/>
          <w:b w:val="0"/>
          <w:bCs/>
          <w:color w:val="auto"/>
          <w:sz w:val="24"/>
          <w:u w:val="none"/>
          <w:lang w:eastAsia="zh-CN"/>
        </w:rPr>
        <w:t>（以下简称乙方）</w:t>
      </w:r>
      <w:r>
        <w:rPr>
          <w:rFonts w:hint="eastAsia" w:ascii="宋体" w:hAnsi="宋体" w:cs="宋体"/>
          <w:color w:val="auto"/>
          <w:sz w:val="24"/>
        </w:rPr>
        <w:t>对该工程的投标书，现由</w:t>
      </w:r>
      <w:r>
        <w:rPr>
          <w:rFonts w:hint="eastAsia" w:ascii="宋体" w:hAnsi="宋体" w:cs="宋体"/>
          <w:color w:val="auto"/>
          <w:sz w:val="24"/>
          <w:lang w:eastAsia="zh-CN"/>
        </w:rPr>
        <w:t>甲乙双方</w:t>
      </w:r>
      <w:r>
        <w:rPr>
          <w:rFonts w:hint="eastAsia" w:ascii="宋体" w:hAnsi="宋体" w:cs="宋体"/>
          <w:color w:val="auto"/>
          <w:sz w:val="24"/>
        </w:rPr>
        <w:t>于</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b/>
          <w:bCs/>
          <w:color w:val="auto"/>
          <w:sz w:val="24"/>
          <w:u w:val="single"/>
        </w:rPr>
        <w:t xml:space="preserve">   </w:t>
      </w:r>
      <w:r>
        <w:rPr>
          <w:rFonts w:hint="eastAsia" w:ascii="宋体" w:hAnsi="宋体" w:cs="宋体"/>
          <w:b w:val="0"/>
          <w:bCs w:val="0"/>
          <w:color w:val="auto"/>
          <w:sz w:val="24"/>
        </w:rPr>
        <w:t>月</w:t>
      </w:r>
      <w:r>
        <w:rPr>
          <w:rFonts w:hint="eastAsia" w:ascii="宋体" w:hAnsi="宋体" w:cs="宋体"/>
          <w:b/>
          <w:bCs/>
          <w:color w:val="auto"/>
          <w:sz w:val="24"/>
          <w:u w:val="single"/>
        </w:rPr>
        <w:t xml:space="preserve">    </w:t>
      </w:r>
      <w:r>
        <w:rPr>
          <w:rFonts w:hint="eastAsia" w:ascii="宋体" w:hAnsi="宋体" w:cs="宋体"/>
          <w:color w:val="auto"/>
          <w:sz w:val="24"/>
        </w:rPr>
        <w:t>日共同达成并签订本协议如下：</w:t>
      </w:r>
    </w:p>
    <w:p w14:paraId="56133A74">
      <w:pPr>
        <w:widowControl/>
        <w:spacing w:line="360" w:lineRule="auto"/>
        <w:ind w:firstLine="480" w:firstLineChars="200"/>
        <w:jc w:val="left"/>
        <w:rPr>
          <w:rFonts w:hint="eastAsia" w:ascii="宋体" w:hAnsi="宋体" w:cs="宋体"/>
          <w:color w:val="auto"/>
          <w:sz w:val="24"/>
        </w:rPr>
      </w:pPr>
      <w:r>
        <w:rPr>
          <w:rFonts w:hint="eastAsia" w:ascii="宋体" w:hAnsi="宋体" w:eastAsia="宋体" w:cs="宋体"/>
          <w:color w:val="auto"/>
          <w:kern w:val="0"/>
          <w:sz w:val="24"/>
          <w:szCs w:val="24"/>
          <w:highlight w:val="none"/>
          <w:lang w:val="en-US" w:bidi="zh-CN"/>
        </w:rPr>
        <w:t>1、</w:t>
      </w:r>
      <w:r>
        <w:rPr>
          <w:rFonts w:hint="eastAsia" w:ascii="宋体" w:hAnsi="宋体" w:eastAsia="宋体" w:cs="宋体"/>
          <w:b/>
          <w:bCs/>
          <w:color w:val="auto"/>
          <w:kern w:val="0"/>
          <w:sz w:val="24"/>
          <w:szCs w:val="24"/>
          <w:highlight w:val="none"/>
          <w:u w:val="single"/>
          <w:lang w:val="en-US" w:eastAsia="zh-CN" w:bidi="zh-CN"/>
        </w:rPr>
        <w:t>XXX工程</w:t>
      </w:r>
      <w:r>
        <w:rPr>
          <w:rFonts w:hint="eastAsia" w:ascii="宋体" w:hAnsi="宋体" w:eastAsia="宋体" w:cs="宋体"/>
          <w:color w:val="auto"/>
          <w:kern w:val="0"/>
          <w:sz w:val="24"/>
          <w:szCs w:val="24"/>
          <w:highlight w:val="none"/>
          <w:lang w:val="en-US" w:eastAsia="zh-CN" w:bidi="zh-CN"/>
        </w:rPr>
        <w:t>概况：项目位于</w:t>
      </w:r>
      <w:r>
        <w:rPr>
          <w:rFonts w:hint="default" w:ascii="Arial" w:hAnsi="Arial" w:eastAsia="宋体" w:cs="Arial"/>
          <w:color w:val="auto"/>
          <w:kern w:val="0"/>
          <w:sz w:val="24"/>
          <w:szCs w:val="24"/>
          <w:highlight w:val="none"/>
          <w:lang w:val="en-US" w:eastAsia="zh-CN" w:bidi="zh-CN"/>
        </w:rPr>
        <w:t>……</w:t>
      </w:r>
      <w:r>
        <w:rPr>
          <w:rFonts w:hint="eastAsia" w:ascii="宋体" w:hAnsi="宋体" w:eastAsia="宋体" w:cs="宋体"/>
          <w:color w:val="auto"/>
          <w:kern w:val="0"/>
          <w:sz w:val="24"/>
          <w:szCs w:val="24"/>
          <w:highlight w:val="none"/>
          <w:lang w:val="en-US" w:bidi="zh-CN"/>
        </w:rPr>
        <w:t>，起止桩号</w:t>
      </w:r>
      <w:r>
        <w:rPr>
          <w:rFonts w:hint="default" w:ascii="Arial" w:hAnsi="Arial" w:eastAsia="宋体" w:cs="Arial"/>
          <w:color w:val="auto"/>
          <w:kern w:val="0"/>
          <w:sz w:val="24"/>
          <w:szCs w:val="24"/>
          <w:highlight w:val="none"/>
          <w:lang w:val="en-US" w:eastAsia="zh-CN" w:bidi="zh-CN"/>
        </w:rPr>
        <w:t>……</w:t>
      </w:r>
      <w:r>
        <w:rPr>
          <w:rFonts w:hint="eastAsia" w:ascii="宋体" w:hAnsi="宋体" w:eastAsia="宋体" w:cs="宋体"/>
          <w:color w:val="auto"/>
          <w:kern w:val="0"/>
          <w:sz w:val="24"/>
          <w:szCs w:val="24"/>
          <w:highlight w:val="none"/>
          <w:lang w:val="en-US" w:bidi="zh-CN"/>
        </w:rPr>
        <w:t>，总里程</w:t>
      </w:r>
      <w:r>
        <w:rPr>
          <w:rFonts w:hint="default" w:ascii="Arial" w:hAnsi="Arial" w:eastAsia="宋体" w:cs="Arial"/>
          <w:color w:val="auto"/>
          <w:kern w:val="0"/>
          <w:sz w:val="24"/>
          <w:szCs w:val="24"/>
          <w:highlight w:val="none"/>
          <w:lang w:val="en-US" w:eastAsia="zh-CN" w:bidi="zh-CN"/>
        </w:rPr>
        <w:t>……</w:t>
      </w:r>
      <w:r>
        <w:rPr>
          <w:rFonts w:hint="eastAsia" w:ascii="宋体" w:hAnsi="宋体" w:eastAsia="宋体" w:cs="宋体"/>
          <w:color w:val="auto"/>
          <w:kern w:val="0"/>
          <w:sz w:val="24"/>
          <w:szCs w:val="24"/>
          <w:highlight w:val="none"/>
          <w:lang w:val="en-US" w:bidi="zh-CN"/>
        </w:rPr>
        <w:t>，主要工程量为</w:t>
      </w:r>
      <w:r>
        <w:rPr>
          <w:rFonts w:hint="default" w:ascii="Arial" w:hAnsi="Arial" w:eastAsia="宋体" w:cs="Arial"/>
          <w:color w:val="auto"/>
          <w:kern w:val="0"/>
          <w:sz w:val="24"/>
          <w:szCs w:val="24"/>
          <w:highlight w:val="none"/>
          <w:lang w:val="en-US" w:eastAsia="zh-CN" w:bidi="zh-CN"/>
        </w:rPr>
        <w:t>……</w:t>
      </w:r>
      <w:r>
        <w:rPr>
          <w:rFonts w:hint="eastAsia" w:ascii="宋体" w:hAnsi="宋体" w:eastAsia="宋体" w:cs="宋体"/>
          <w:color w:val="auto"/>
          <w:kern w:val="0"/>
          <w:sz w:val="24"/>
          <w:szCs w:val="24"/>
          <w:highlight w:val="none"/>
          <w:lang w:val="en-US" w:bidi="zh-CN"/>
        </w:rPr>
        <w:t>，具体内容详见工程量清单及图纸。</w:t>
      </w:r>
    </w:p>
    <w:p w14:paraId="60094B5B">
      <w:pPr>
        <w:snapToGrid w:val="0"/>
        <w:spacing w:line="360" w:lineRule="auto"/>
        <w:ind w:firstLine="484" w:firstLineChars="202"/>
        <w:rPr>
          <w:rFonts w:hint="eastAsia" w:ascii="宋体" w:hAnsi="宋体" w:cs="宋体"/>
          <w:color w:val="auto"/>
          <w:sz w:val="24"/>
        </w:rPr>
      </w:pPr>
      <w:r>
        <w:rPr>
          <w:rFonts w:hint="eastAsia" w:ascii="宋体" w:hAnsi="宋体" w:cs="宋体"/>
          <w:color w:val="auto"/>
          <w:sz w:val="24"/>
        </w:rPr>
        <w:t>2、下列文件应视为构成并作为阅读和理解本协议书的组成部分，既：</w:t>
      </w:r>
    </w:p>
    <w:p w14:paraId="2E73B35D">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（1）本协议书及各种合同附件（含评标期间和合同谈判过程中的澄清文件和补充资料）；</w:t>
      </w:r>
    </w:p>
    <w:p w14:paraId="54324E9A">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（2）中标通知书；</w:t>
      </w:r>
    </w:p>
    <w:p w14:paraId="2843361A">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（3）补遗书；</w:t>
      </w:r>
    </w:p>
    <w:p w14:paraId="7E96E74B">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（4）投标函及投标函附录；</w:t>
      </w:r>
    </w:p>
    <w:p w14:paraId="46989C25">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（5）项目专用合同条款；</w:t>
      </w:r>
    </w:p>
    <w:p w14:paraId="38D38196">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（6）公路工程专用合同条款；</w:t>
      </w:r>
    </w:p>
    <w:p w14:paraId="07AC8CA9">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（7）通用合同条款；</w:t>
      </w:r>
    </w:p>
    <w:p w14:paraId="094E4332">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（8）技术规范；</w:t>
      </w:r>
    </w:p>
    <w:p w14:paraId="4105AEC0">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（9）图纸；</w:t>
      </w:r>
    </w:p>
    <w:p w14:paraId="0A60CED4">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（10）已标价工程量清单；</w:t>
      </w:r>
    </w:p>
    <w:p w14:paraId="1760293A">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（11）</w:t>
      </w:r>
      <w:r>
        <w:rPr>
          <w:rFonts w:hint="eastAsia" w:ascii="宋体" w:hAnsi="宋体" w:cs="宋体"/>
          <w:color w:val="auto"/>
          <w:sz w:val="24"/>
          <w:lang w:eastAsia="zh-CN"/>
        </w:rPr>
        <w:t>乙方</w:t>
      </w:r>
      <w:r>
        <w:rPr>
          <w:rFonts w:hint="eastAsia" w:ascii="宋体" w:hAnsi="宋体" w:cs="宋体"/>
          <w:color w:val="auto"/>
          <w:sz w:val="24"/>
        </w:rPr>
        <w:t>有关人员、设备投入的承诺及投标文件中的施工组织设计；</w:t>
      </w:r>
    </w:p>
    <w:p w14:paraId="2F5D3D07">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（12）其他合同文件。</w:t>
      </w:r>
    </w:p>
    <w:p w14:paraId="20B6DF49">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3. 上述文件互相补充和解释，如有不明确或不一致之处，以合同约定次序在先者为准。</w:t>
      </w:r>
    </w:p>
    <w:p w14:paraId="68BFD119">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4. 签约合同价：人民币（大写）</w:t>
      </w:r>
      <w:r>
        <w:rPr>
          <w:rFonts w:hint="eastAsia" w:ascii="宋体" w:hAnsi="宋体" w:cs="宋体"/>
          <w:color w:val="auto"/>
          <w:sz w:val="24"/>
          <w:u w:val="single"/>
          <w:lang w:eastAsia="zh-CN"/>
        </w:rPr>
        <w:t xml:space="preserve">                       元</w:t>
      </w:r>
      <w:r>
        <w:rPr>
          <w:rFonts w:hint="eastAsia" w:ascii="宋体" w:hAnsi="宋体" w:cs="宋体"/>
          <w:color w:val="auto"/>
          <w:sz w:val="24"/>
          <w:u w:val="single"/>
        </w:rPr>
        <w:t>（</w:t>
      </w:r>
      <w:r>
        <w:rPr>
          <w:rFonts w:hint="eastAsia" w:ascii="宋体" w:hAnsi="宋体" w:cs="宋体"/>
          <w:color w:val="auto"/>
          <w:sz w:val="24"/>
          <w:u w:val="single"/>
          <w:lang w:eastAsia="zh-CN"/>
        </w:rPr>
        <w:t xml:space="preserve"> ¥       元</w:t>
      </w:r>
      <w:r>
        <w:rPr>
          <w:rFonts w:hint="eastAsia" w:ascii="宋体" w:hAnsi="宋体" w:cs="宋体"/>
          <w:color w:val="auto"/>
          <w:sz w:val="24"/>
          <w:u w:val="single"/>
        </w:rPr>
        <w:t>）</w:t>
      </w:r>
      <w:r>
        <w:rPr>
          <w:rFonts w:hint="eastAsia" w:ascii="宋体" w:hAnsi="宋体" w:cs="宋体"/>
          <w:color w:val="auto"/>
          <w:sz w:val="24"/>
        </w:rPr>
        <w:t>。</w:t>
      </w:r>
    </w:p>
    <w:p w14:paraId="0C873E82">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5.合同价格形式：</w:t>
      </w:r>
      <w:r>
        <w:rPr>
          <w:rFonts w:hint="eastAsia" w:ascii="宋体" w:hAnsi="宋体" w:cs="宋体"/>
          <w:color w:val="auto"/>
          <w:sz w:val="24"/>
          <w:u w:val="single"/>
        </w:rPr>
        <w:t>工程量清单报价、固定单价。</w:t>
      </w:r>
    </w:p>
    <w:p w14:paraId="750BEF6A">
      <w:pPr>
        <w:snapToGrid w:val="0"/>
        <w:spacing w:line="360" w:lineRule="auto"/>
        <w:ind w:firstLine="480" w:firstLineChars="200"/>
        <w:rPr>
          <w:rFonts w:hint="eastAsia" w:ascii="宋体" w:hAnsi="宋体" w:eastAsia="宋体" w:cs="宋体"/>
          <w:color w:val="auto"/>
          <w:sz w:val="24"/>
          <w:lang w:eastAsia="zh-CN"/>
        </w:rPr>
      </w:pPr>
      <w:r>
        <w:rPr>
          <w:rFonts w:hint="eastAsia" w:ascii="宋体" w:hAnsi="宋体" w:cs="宋体"/>
          <w:color w:val="auto"/>
          <w:sz w:val="24"/>
        </w:rPr>
        <w:t>6. 承包方式：</w:t>
      </w:r>
      <w:r>
        <w:rPr>
          <w:rFonts w:hint="eastAsia" w:ascii="宋体" w:hAnsi="宋体" w:cs="宋体"/>
          <w:color w:val="auto"/>
          <w:sz w:val="24"/>
          <w:u w:val="single"/>
        </w:rPr>
        <w:t>包工包料</w:t>
      </w:r>
      <w:r>
        <w:rPr>
          <w:rFonts w:hint="eastAsia" w:ascii="宋体" w:hAnsi="宋体" w:cs="宋体"/>
          <w:color w:val="auto"/>
          <w:sz w:val="24"/>
        </w:rPr>
        <w:t>。</w:t>
      </w:r>
      <w:r>
        <w:rPr>
          <w:rFonts w:hint="eastAsia" w:ascii="宋体" w:hAnsi="宋体" w:cs="宋体"/>
          <w:color w:val="auto"/>
          <w:sz w:val="24"/>
          <w:lang w:eastAsia="zh-CN"/>
        </w:rPr>
        <w:t>乙方</w:t>
      </w:r>
      <w:r>
        <w:rPr>
          <w:rFonts w:hint="eastAsia" w:ascii="宋体" w:hAnsi="宋体" w:cs="宋体"/>
          <w:color w:val="auto"/>
          <w:sz w:val="24"/>
        </w:rPr>
        <w:t>项目经理</w:t>
      </w:r>
      <w:r>
        <w:rPr>
          <w:rFonts w:hint="eastAsia" w:ascii="宋体" w:hAnsi="宋体" w:cs="宋体"/>
          <w:color w:val="auto"/>
          <w:sz w:val="24"/>
          <w:u w:val="single"/>
        </w:rPr>
        <w:t>：</w:t>
      </w:r>
      <w:r>
        <w:rPr>
          <w:rFonts w:hint="eastAsia" w:ascii="宋体" w:hAnsi="宋体" w:cs="宋体"/>
          <w:color w:val="auto"/>
          <w:sz w:val="24"/>
          <w:u w:val="single"/>
          <w:lang w:eastAsia="zh-CN"/>
        </w:rPr>
        <w:t xml:space="preserve">           </w:t>
      </w:r>
      <w:r>
        <w:rPr>
          <w:rFonts w:hint="eastAsia" w:ascii="宋体" w:hAnsi="宋体" w:cs="宋体"/>
          <w:color w:val="auto"/>
          <w:sz w:val="24"/>
        </w:rPr>
        <w:t>。</w:t>
      </w:r>
      <w:r>
        <w:rPr>
          <w:rFonts w:hint="eastAsia" w:ascii="宋体" w:hAnsi="宋体" w:cs="宋体"/>
          <w:color w:val="auto"/>
          <w:sz w:val="24"/>
          <w:lang w:eastAsia="zh-CN"/>
        </w:rPr>
        <w:t>乙方</w:t>
      </w:r>
      <w:r>
        <w:rPr>
          <w:rFonts w:hint="eastAsia" w:ascii="宋体" w:hAnsi="宋体" w:cs="宋体"/>
          <w:color w:val="auto"/>
          <w:sz w:val="24"/>
        </w:rPr>
        <w:t>项目总工</w:t>
      </w:r>
      <w:r>
        <w:rPr>
          <w:rFonts w:hint="eastAsia" w:ascii="宋体" w:hAnsi="宋体" w:cs="宋体"/>
          <w:color w:val="auto"/>
          <w:sz w:val="24"/>
          <w:u w:val="single"/>
        </w:rPr>
        <w:t>：</w:t>
      </w:r>
      <w:r>
        <w:rPr>
          <w:rFonts w:hint="eastAsia" w:ascii="宋体" w:hAnsi="宋体" w:cs="宋体"/>
          <w:color w:val="auto"/>
          <w:sz w:val="24"/>
          <w:u w:val="single"/>
          <w:lang w:val="en-US" w:eastAsia="zh-CN"/>
        </w:rPr>
        <w:t xml:space="preserve">            </w:t>
      </w:r>
      <w:r>
        <w:rPr>
          <w:rFonts w:hint="eastAsia" w:ascii="宋体" w:hAnsi="宋体" w:cs="宋体"/>
          <w:color w:val="auto"/>
          <w:sz w:val="24"/>
        </w:rPr>
        <w:t>。安全员</w:t>
      </w:r>
      <w:r>
        <w:rPr>
          <w:rFonts w:hint="eastAsia" w:ascii="宋体" w:hAnsi="宋体" w:cs="宋体"/>
          <w:color w:val="auto"/>
          <w:sz w:val="24"/>
          <w:u w:val="single"/>
        </w:rPr>
        <w:t>：</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lang w:eastAsia="zh-CN"/>
        </w:rPr>
        <w:t>。</w:t>
      </w:r>
    </w:p>
    <w:p w14:paraId="0D6B1DAB">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7. 工程质量符合</w:t>
      </w:r>
      <w:r>
        <w:rPr>
          <w:rFonts w:hint="eastAsia" w:ascii="宋体" w:hAnsi="宋体" w:cs="宋体"/>
          <w:color w:val="auto"/>
          <w:sz w:val="24"/>
          <w:u w:val="single"/>
        </w:rPr>
        <w:t>合格</w:t>
      </w:r>
      <w:r>
        <w:rPr>
          <w:rFonts w:hint="eastAsia" w:ascii="宋体" w:hAnsi="宋体" w:cs="宋体"/>
          <w:color w:val="auto"/>
          <w:sz w:val="24"/>
        </w:rPr>
        <w:t>标准。</w:t>
      </w:r>
    </w:p>
    <w:p w14:paraId="3C6DE491">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8. </w:t>
      </w:r>
      <w:r>
        <w:rPr>
          <w:rFonts w:hint="eastAsia" w:ascii="宋体" w:hAnsi="宋体" w:cs="宋体"/>
          <w:color w:val="auto"/>
          <w:sz w:val="24"/>
          <w:lang w:eastAsia="zh-CN"/>
        </w:rPr>
        <w:t>乙方</w:t>
      </w:r>
      <w:r>
        <w:rPr>
          <w:rFonts w:hint="eastAsia" w:ascii="宋体" w:hAnsi="宋体" w:cs="宋体"/>
          <w:color w:val="auto"/>
          <w:sz w:val="24"/>
        </w:rPr>
        <w:t>承诺按合同约定承担工程的实施、完成及缺陷修复。</w:t>
      </w:r>
    </w:p>
    <w:p w14:paraId="782DD754">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9. 合同约定的工程价款的拨付原则：①预付款：合同</w:t>
      </w:r>
      <w:r>
        <w:rPr>
          <w:rFonts w:hint="eastAsia" w:ascii="宋体" w:hAnsi="宋体" w:cs="宋体"/>
          <w:color w:val="auto"/>
          <w:sz w:val="24"/>
          <w:lang w:val="en-US" w:eastAsia="zh-CN"/>
        </w:rPr>
        <w:t>价款</w:t>
      </w:r>
      <w:r>
        <w:rPr>
          <w:rFonts w:hint="eastAsia" w:ascii="宋体" w:hAnsi="宋体" w:cs="宋体"/>
          <w:color w:val="auto"/>
          <w:sz w:val="24"/>
        </w:rPr>
        <w:t>的30%，合同签订后，甲方在收到乙方开具相应发票的20个工作日内支付；当完成工程量产值超过预付款时，将在下一期支付进度款时进行预付款扣回。②合同内进度款支付限额为已完成工程量的80%，工程变更部分进度款支付限额为已完成工程量的60%；待工程完工验收达到质量要求，支付至合同价的80%。③预付款、进度款根据财政资金到位情况进行支付，支付不超过预付款、进度款限额比例。④结算经审计后并有完整的备案验收资料，工程款支付至结算总价的97%（扣除已支付合同款）；</w:t>
      </w:r>
      <w:r>
        <w:rPr>
          <w:rFonts w:hint="eastAsia" w:ascii="宋体" w:hAnsi="宋体" w:cs="宋体"/>
          <w:color w:val="auto"/>
          <w:sz w:val="24"/>
          <w:lang w:eastAsia="zh-CN"/>
        </w:rPr>
        <w:t>甲方</w:t>
      </w:r>
      <w:r>
        <w:rPr>
          <w:rFonts w:hint="eastAsia" w:ascii="宋体" w:hAnsi="宋体" w:cs="宋体"/>
          <w:color w:val="auto"/>
          <w:sz w:val="24"/>
        </w:rPr>
        <w:t>按工程价款结算总额的3%预留工程质量保修金，待工程质量保修期满后返还（工程验收合格后一年内为保修期）。每次付款前，</w:t>
      </w:r>
      <w:r>
        <w:rPr>
          <w:rFonts w:hint="eastAsia" w:ascii="宋体" w:hAnsi="宋体" w:cs="宋体"/>
          <w:color w:val="auto"/>
          <w:sz w:val="24"/>
          <w:lang w:eastAsia="zh-CN"/>
        </w:rPr>
        <w:t>乙方</w:t>
      </w:r>
      <w:r>
        <w:rPr>
          <w:rFonts w:hint="eastAsia" w:ascii="宋体" w:hAnsi="宋体" w:cs="宋体"/>
          <w:color w:val="auto"/>
          <w:sz w:val="24"/>
        </w:rPr>
        <w:t>应提供相应数额的增值税发票，</w:t>
      </w:r>
      <w:r>
        <w:rPr>
          <w:rFonts w:hint="eastAsia" w:ascii="宋体" w:hAnsi="宋体" w:cs="宋体"/>
          <w:color w:val="auto"/>
          <w:sz w:val="24"/>
          <w:lang w:eastAsia="zh-CN"/>
        </w:rPr>
        <w:t>甲方</w:t>
      </w:r>
      <w:r>
        <w:rPr>
          <w:rFonts w:hint="eastAsia" w:ascii="宋体" w:hAnsi="宋体" w:cs="宋体"/>
          <w:color w:val="auto"/>
          <w:sz w:val="24"/>
        </w:rPr>
        <w:t>收到发票后30日内进行资金支付。</w:t>
      </w:r>
    </w:p>
    <w:p w14:paraId="10F65E0F">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10. </w:t>
      </w:r>
      <w:r>
        <w:rPr>
          <w:rFonts w:hint="eastAsia" w:ascii="宋体" w:hAnsi="宋体" w:cs="宋体"/>
          <w:color w:val="auto"/>
          <w:sz w:val="24"/>
          <w:lang w:eastAsia="zh-CN"/>
        </w:rPr>
        <w:t>乙方</w:t>
      </w:r>
      <w:r>
        <w:rPr>
          <w:rFonts w:hint="eastAsia" w:ascii="宋体" w:hAnsi="宋体" w:cs="宋体"/>
          <w:color w:val="auto"/>
          <w:sz w:val="24"/>
        </w:rPr>
        <w:t>应按照监理人指示开工，工期为</w:t>
      </w:r>
      <w:r>
        <w:rPr>
          <w:rFonts w:hint="eastAsia" w:ascii="宋体" w:hAnsi="宋体" w:cs="宋体"/>
          <w:b/>
          <w:bCs/>
          <w:color w:val="auto"/>
          <w:sz w:val="24"/>
          <w:u w:val="single"/>
          <w:lang w:eastAsia="zh-CN"/>
        </w:rPr>
        <w:t xml:space="preserve">     </w:t>
      </w:r>
      <w:r>
        <w:rPr>
          <w:rFonts w:hint="eastAsia" w:ascii="宋体" w:hAnsi="宋体" w:cs="宋体"/>
          <w:b w:val="0"/>
          <w:bCs w:val="0"/>
          <w:color w:val="auto"/>
          <w:sz w:val="24"/>
          <w:u w:val="none"/>
          <w:lang w:eastAsia="zh-CN"/>
        </w:rPr>
        <w:t>日历天</w:t>
      </w:r>
      <w:r>
        <w:rPr>
          <w:rFonts w:hint="eastAsia" w:ascii="宋体" w:hAnsi="宋体" w:cs="宋体"/>
          <w:color w:val="auto"/>
          <w:sz w:val="24"/>
        </w:rPr>
        <w:t>，逾期交工违约金：5000元/天。当逾期交工违约金累计达签约合同价10%，</w:t>
      </w:r>
      <w:r>
        <w:rPr>
          <w:rFonts w:hint="eastAsia" w:ascii="宋体" w:hAnsi="宋体" w:cs="宋体"/>
          <w:color w:val="auto"/>
          <w:sz w:val="24"/>
          <w:lang w:eastAsia="zh-CN"/>
        </w:rPr>
        <w:t>甲方</w:t>
      </w:r>
      <w:r>
        <w:rPr>
          <w:rFonts w:hint="eastAsia" w:ascii="宋体" w:hAnsi="宋体" w:cs="宋体"/>
          <w:color w:val="auto"/>
          <w:sz w:val="24"/>
        </w:rPr>
        <w:t>可解除合同并追缴违约金。解除合同后，</w:t>
      </w:r>
      <w:r>
        <w:rPr>
          <w:rFonts w:hint="eastAsia" w:ascii="宋体" w:hAnsi="宋体" w:cs="宋体"/>
          <w:color w:val="auto"/>
          <w:sz w:val="24"/>
          <w:lang w:eastAsia="zh-CN"/>
        </w:rPr>
        <w:t>乙方</w:t>
      </w:r>
      <w:r>
        <w:rPr>
          <w:rFonts w:hint="eastAsia" w:ascii="宋体" w:hAnsi="宋体" w:cs="宋体"/>
          <w:color w:val="auto"/>
          <w:sz w:val="24"/>
        </w:rPr>
        <w:t>所完成的工程量如经双方及监理签认合格的，</w:t>
      </w:r>
      <w:r>
        <w:rPr>
          <w:rFonts w:hint="eastAsia" w:ascii="宋体" w:hAnsi="宋体" w:cs="宋体"/>
          <w:color w:val="auto"/>
          <w:sz w:val="24"/>
          <w:lang w:eastAsia="zh-CN"/>
        </w:rPr>
        <w:t>甲方</w:t>
      </w:r>
      <w:r>
        <w:rPr>
          <w:rFonts w:hint="eastAsia" w:ascii="宋体" w:hAnsi="宋体" w:cs="宋体"/>
          <w:color w:val="auto"/>
          <w:sz w:val="24"/>
        </w:rPr>
        <w:t>按合同价支付工程款；如未经双方签认或不合格的，</w:t>
      </w:r>
      <w:r>
        <w:rPr>
          <w:rFonts w:hint="eastAsia" w:ascii="宋体" w:hAnsi="宋体" w:cs="宋体"/>
          <w:color w:val="auto"/>
          <w:sz w:val="24"/>
          <w:lang w:eastAsia="zh-CN"/>
        </w:rPr>
        <w:t>甲方</w:t>
      </w:r>
      <w:r>
        <w:rPr>
          <w:rFonts w:hint="eastAsia" w:ascii="宋体" w:hAnsi="宋体" w:cs="宋体"/>
          <w:color w:val="auto"/>
          <w:sz w:val="24"/>
        </w:rPr>
        <w:t>不予支付工程款。</w:t>
      </w:r>
    </w:p>
    <w:p w14:paraId="6FBCDF98">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11. 本协议书在</w:t>
      </w:r>
      <w:r>
        <w:rPr>
          <w:rFonts w:hint="eastAsia" w:ascii="宋体" w:hAnsi="宋体" w:cs="宋体"/>
          <w:color w:val="auto"/>
          <w:sz w:val="24"/>
          <w:lang w:eastAsia="zh-CN"/>
        </w:rPr>
        <w:t>乙方</w:t>
      </w:r>
      <w:r>
        <w:rPr>
          <w:rFonts w:hint="eastAsia" w:ascii="宋体" w:hAnsi="宋体" w:cs="宋体"/>
          <w:color w:val="auto"/>
          <w:sz w:val="24"/>
        </w:rPr>
        <w:t>提供履约担保、农民工工资保证金和民工意外险保单</w:t>
      </w:r>
      <w:r>
        <w:rPr>
          <w:rFonts w:hint="eastAsia" w:ascii="宋体" w:hAnsi="宋体" w:cs="宋体"/>
          <w:color w:val="auto"/>
          <w:sz w:val="24"/>
          <w:lang w:eastAsia="zh-CN"/>
        </w:rPr>
        <w:t>和项目工伤事故保险</w:t>
      </w:r>
      <w:r>
        <w:rPr>
          <w:rFonts w:hint="eastAsia" w:ascii="宋体" w:hAnsi="宋体" w:cs="宋体"/>
          <w:color w:val="auto"/>
          <w:sz w:val="24"/>
        </w:rPr>
        <w:t>，由双方法定代表人或其委托代理人签署并加盖单位章后生效。全部工程完工后经竣交工验收合格、缺陷责任期满签发缺陷责任终止证书后失效。</w:t>
      </w:r>
    </w:p>
    <w:p w14:paraId="24D1E917">
      <w:pPr>
        <w:snapToGrid w:val="0"/>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lang w:val="en-US" w:eastAsia="zh-CN"/>
        </w:rPr>
        <w:t>12. 本合同在履行过程中双方发生争议时，由双方共同协商解决，双方无法协商解决的，任何一方均可向合同履行地人民法院提起诉讼。</w:t>
      </w:r>
    </w:p>
    <w:p w14:paraId="75A193CA">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3</w:t>
      </w:r>
      <w:r>
        <w:rPr>
          <w:rFonts w:hint="eastAsia" w:ascii="宋体" w:hAnsi="宋体" w:cs="宋体"/>
          <w:color w:val="auto"/>
          <w:sz w:val="24"/>
        </w:rPr>
        <w:t>．本协议书正本二份、副本</w:t>
      </w:r>
      <w:r>
        <w:rPr>
          <w:rFonts w:hint="eastAsia" w:ascii="宋体" w:hAnsi="宋体" w:cs="宋体"/>
          <w:color w:val="auto"/>
          <w:sz w:val="24"/>
          <w:u w:val="single"/>
        </w:rPr>
        <w:t>四</w:t>
      </w:r>
      <w:r>
        <w:rPr>
          <w:rFonts w:hint="eastAsia" w:ascii="宋体" w:hAnsi="宋体" w:cs="宋体"/>
          <w:color w:val="auto"/>
          <w:sz w:val="24"/>
        </w:rPr>
        <w:t>份，合同双方各执正本一份，副本</w:t>
      </w:r>
      <w:r>
        <w:rPr>
          <w:rFonts w:hint="eastAsia" w:ascii="宋体" w:hAnsi="宋体" w:cs="宋体"/>
          <w:color w:val="auto"/>
          <w:sz w:val="24"/>
          <w:u w:val="single"/>
        </w:rPr>
        <w:t>二</w:t>
      </w:r>
      <w:r>
        <w:rPr>
          <w:rFonts w:hint="eastAsia" w:ascii="宋体" w:hAnsi="宋体" w:cs="宋体"/>
          <w:color w:val="auto"/>
          <w:sz w:val="24"/>
        </w:rPr>
        <w:t>份，当正本与副本的内容不一致时，以正本为准。</w:t>
      </w:r>
    </w:p>
    <w:p w14:paraId="5CB4DAE1">
      <w:pPr>
        <w:snapToGrid w:val="0"/>
        <w:spacing w:line="360" w:lineRule="auto"/>
        <w:ind w:firstLine="480" w:firstLineChars="200"/>
        <w:rPr>
          <w:rFonts w:hint="eastAsia" w:ascii="宋体" w:hAnsi="宋体"/>
          <w:color w:val="auto"/>
          <w:sz w:val="28"/>
        </w:rPr>
      </w:pPr>
      <w:r>
        <w:rPr>
          <w:rFonts w:hint="eastAsia" w:ascii="宋体" w:hAnsi="宋体" w:cs="宋体"/>
          <w:color w:val="auto"/>
          <w:sz w:val="24"/>
        </w:rPr>
        <w:t>1</w:t>
      </w:r>
      <w:r>
        <w:rPr>
          <w:rFonts w:hint="eastAsia" w:ascii="宋体" w:hAnsi="宋体" w:cs="宋体"/>
          <w:color w:val="auto"/>
          <w:sz w:val="24"/>
          <w:lang w:val="en-US" w:eastAsia="zh-CN"/>
        </w:rPr>
        <w:t>4</w:t>
      </w:r>
      <w:r>
        <w:rPr>
          <w:rFonts w:hint="eastAsia" w:ascii="宋体" w:hAnsi="宋体" w:cs="宋体"/>
          <w:color w:val="auto"/>
          <w:sz w:val="24"/>
        </w:rPr>
        <w:t>.合同未尽事宜，双方另行签订补充协议。补充协议是合同的组成部分。</w:t>
      </w:r>
    </w:p>
    <w:tbl>
      <w:tblPr>
        <w:tblStyle w:val="44"/>
        <w:tblW w:w="9240" w:type="dxa"/>
        <w:tblInd w:w="-2" w:type="dxa"/>
        <w:tblLayout w:type="fixed"/>
        <w:tblCellMar>
          <w:top w:w="0" w:type="dxa"/>
          <w:left w:w="108" w:type="dxa"/>
          <w:bottom w:w="0" w:type="dxa"/>
          <w:right w:w="108" w:type="dxa"/>
        </w:tblCellMar>
      </w:tblPr>
      <w:tblGrid>
        <w:gridCol w:w="4023"/>
        <w:gridCol w:w="5217"/>
      </w:tblGrid>
      <w:tr w14:paraId="4F305812">
        <w:tblPrEx>
          <w:tblCellMar>
            <w:top w:w="0" w:type="dxa"/>
            <w:left w:w="108" w:type="dxa"/>
            <w:bottom w:w="0" w:type="dxa"/>
            <w:right w:w="108" w:type="dxa"/>
          </w:tblCellMar>
        </w:tblPrEx>
        <w:trPr>
          <w:trHeight w:val="340" w:hRule="atLeast"/>
        </w:trPr>
        <w:tc>
          <w:tcPr>
            <w:tcW w:w="9240" w:type="dxa"/>
            <w:gridSpan w:val="2"/>
            <w:noWrap w:val="0"/>
            <w:vAlign w:val="top"/>
          </w:tcPr>
          <w:p w14:paraId="7F2218AF">
            <w:pPr>
              <w:snapToGrid w:val="0"/>
              <w:spacing w:line="460" w:lineRule="exact"/>
              <w:rPr>
                <w:rFonts w:hint="eastAsia" w:ascii="宋体" w:hAnsi="宋体"/>
                <w:color w:val="auto"/>
                <w:sz w:val="24"/>
              </w:rPr>
            </w:pPr>
          </w:p>
          <w:p w14:paraId="75786D1F">
            <w:pPr>
              <w:snapToGrid w:val="0"/>
              <w:spacing w:line="460" w:lineRule="exact"/>
              <w:ind w:left="5040" w:hanging="5040" w:hangingChars="2100"/>
              <w:rPr>
                <w:rFonts w:hint="eastAsia" w:ascii="宋体" w:hAnsi="宋体"/>
                <w:color w:val="auto"/>
                <w:sz w:val="24"/>
              </w:rPr>
            </w:pPr>
          </w:p>
          <w:p w14:paraId="67B02B32">
            <w:pPr>
              <w:snapToGrid w:val="0"/>
              <w:spacing w:line="460" w:lineRule="exact"/>
              <w:ind w:left="5040" w:hanging="5040" w:hangingChars="2100"/>
              <w:rPr>
                <w:rFonts w:hint="eastAsia" w:ascii="宋体" w:hAnsi="宋体" w:eastAsia="宋体"/>
                <w:color w:val="auto"/>
                <w:sz w:val="24"/>
                <w:lang w:eastAsia="zh-CN"/>
              </w:rPr>
            </w:pPr>
            <w:r>
              <w:rPr>
                <w:rFonts w:hint="eastAsia" w:ascii="宋体" w:hAnsi="宋体"/>
                <w:color w:val="auto"/>
                <w:sz w:val="24"/>
                <w:lang w:eastAsia="zh-CN"/>
              </w:rPr>
              <w:t>甲方</w:t>
            </w:r>
            <w:r>
              <w:rPr>
                <w:rFonts w:hint="eastAsia" w:ascii="宋体" w:hAnsi="宋体"/>
                <w:color w:val="auto"/>
                <w:sz w:val="24"/>
              </w:rPr>
              <w:t xml:space="preserve">： </w:t>
            </w:r>
            <w:r>
              <w:rPr>
                <w:rFonts w:hint="eastAsia" w:ascii="宋体" w:hAnsi="宋体"/>
                <w:color w:val="auto"/>
                <w:sz w:val="24"/>
                <w:lang w:eastAsia="zh-CN"/>
              </w:rPr>
              <w:t>XX局(或xx中心）</w:t>
            </w:r>
            <w:r>
              <w:rPr>
                <w:rFonts w:hint="eastAsia" w:ascii="宋体" w:hAnsi="宋体"/>
                <w:color w:val="auto"/>
                <w:sz w:val="24"/>
              </w:rPr>
              <w:t xml:space="preserve">        </w:t>
            </w:r>
            <w:r>
              <w:rPr>
                <w:rFonts w:hint="eastAsia" w:ascii="宋体" w:hAnsi="宋体"/>
                <w:color w:val="auto"/>
                <w:sz w:val="24"/>
                <w:lang w:val="en-US" w:eastAsia="zh-CN"/>
              </w:rPr>
              <w:t xml:space="preserve"> </w:t>
            </w:r>
            <w:r>
              <w:rPr>
                <w:rFonts w:hint="eastAsia" w:ascii="宋体" w:hAnsi="宋体"/>
                <w:color w:val="auto"/>
                <w:sz w:val="24"/>
                <w:lang w:eastAsia="zh-CN"/>
              </w:rPr>
              <w:t>乙方</w:t>
            </w:r>
            <w:r>
              <w:rPr>
                <w:rFonts w:hint="eastAsia" w:ascii="宋体" w:hAnsi="宋体"/>
                <w:color w:val="auto"/>
                <w:sz w:val="24"/>
              </w:rPr>
              <w:t>：</w:t>
            </w:r>
            <w:r>
              <w:rPr>
                <w:rFonts w:hint="eastAsia" w:ascii="宋体" w:hAnsi="宋体"/>
                <w:color w:val="auto"/>
                <w:sz w:val="24"/>
                <w:lang w:eastAsia="zh-CN"/>
              </w:rPr>
              <w:t>XX公司</w:t>
            </w:r>
          </w:p>
        </w:tc>
      </w:tr>
      <w:tr w14:paraId="573B96B2">
        <w:tblPrEx>
          <w:tblCellMar>
            <w:top w:w="0" w:type="dxa"/>
            <w:left w:w="108" w:type="dxa"/>
            <w:bottom w:w="0" w:type="dxa"/>
            <w:right w:w="108" w:type="dxa"/>
          </w:tblCellMar>
        </w:tblPrEx>
        <w:trPr>
          <w:trHeight w:val="344" w:hRule="atLeast"/>
        </w:trPr>
        <w:tc>
          <w:tcPr>
            <w:tcW w:w="9240" w:type="dxa"/>
            <w:gridSpan w:val="2"/>
            <w:noWrap w:val="0"/>
            <w:vAlign w:val="top"/>
          </w:tcPr>
          <w:p w14:paraId="71A6C1F8">
            <w:pPr>
              <w:snapToGrid w:val="0"/>
              <w:spacing w:line="460" w:lineRule="exact"/>
              <w:rPr>
                <w:rFonts w:hint="eastAsia" w:ascii="宋体" w:hAnsi="宋体"/>
                <w:color w:val="auto"/>
                <w:sz w:val="24"/>
              </w:rPr>
            </w:pPr>
            <w:r>
              <w:rPr>
                <w:rFonts w:hint="eastAsia" w:ascii="宋体" w:hAnsi="宋体"/>
                <w:color w:val="auto"/>
                <w:sz w:val="24"/>
              </w:rPr>
              <w:t>法定代表人：                      法定代表人或其授权的代理人：</w:t>
            </w:r>
          </w:p>
        </w:tc>
      </w:tr>
      <w:tr w14:paraId="7E1BDC6A">
        <w:tblPrEx>
          <w:tblCellMar>
            <w:top w:w="0" w:type="dxa"/>
            <w:left w:w="108" w:type="dxa"/>
            <w:bottom w:w="0" w:type="dxa"/>
            <w:right w:w="108" w:type="dxa"/>
          </w:tblCellMar>
        </w:tblPrEx>
        <w:trPr>
          <w:trHeight w:val="340" w:hRule="atLeast"/>
        </w:trPr>
        <w:tc>
          <w:tcPr>
            <w:tcW w:w="9240" w:type="dxa"/>
            <w:gridSpan w:val="2"/>
            <w:noWrap w:val="0"/>
            <w:vAlign w:val="top"/>
          </w:tcPr>
          <w:p w14:paraId="06E6553B">
            <w:pPr>
              <w:snapToGrid w:val="0"/>
              <w:spacing w:line="460" w:lineRule="exact"/>
              <w:rPr>
                <w:rFonts w:hint="eastAsia" w:ascii="宋体" w:hAnsi="宋体"/>
                <w:color w:val="auto"/>
                <w:sz w:val="24"/>
              </w:rPr>
            </w:pPr>
            <w:r>
              <w:rPr>
                <w:rFonts w:hint="eastAsia" w:ascii="宋体" w:hAnsi="宋体"/>
                <w:color w:val="auto"/>
                <w:sz w:val="24"/>
              </w:rPr>
              <w:t>职  务：</w:t>
            </w:r>
            <w:r>
              <w:rPr>
                <w:rFonts w:hint="eastAsia" w:ascii="宋体" w:hAnsi="宋体"/>
                <w:color w:val="auto"/>
                <w:sz w:val="24"/>
                <w:u w:val="single"/>
              </w:rPr>
              <w:t xml:space="preserve">                </w:t>
            </w:r>
            <w:r>
              <w:rPr>
                <w:rFonts w:hint="eastAsia" w:ascii="宋体" w:hAnsi="宋体"/>
                <w:color w:val="auto"/>
                <w:sz w:val="24"/>
              </w:rPr>
              <w:t xml:space="preserve">          职  务：</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r>
              <w:rPr>
                <w:rFonts w:hint="eastAsia" w:ascii="宋体" w:hAnsi="宋体"/>
                <w:color w:val="auto"/>
                <w:sz w:val="24"/>
                <w:u w:val="single"/>
              </w:rPr>
              <w:t xml:space="preserve">              </w:t>
            </w:r>
          </w:p>
        </w:tc>
      </w:tr>
      <w:tr w14:paraId="03E690B6">
        <w:tblPrEx>
          <w:tblCellMar>
            <w:top w:w="0" w:type="dxa"/>
            <w:left w:w="108" w:type="dxa"/>
            <w:bottom w:w="0" w:type="dxa"/>
            <w:right w:w="108" w:type="dxa"/>
          </w:tblCellMar>
        </w:tblPrEx>
        <w:trPr>
          <w:trHeight w:val="340" w:hRule="atLeast"/>
        </w:trPr>
        <w:tc>
          <w:tcPr>
            <w:tcW w:w="9240" w:type="dxa"/>
            <w:gridSpan w:val="2"/>
            <w:noWrap w:val="0"/>
            <w:vAlign w:val="top"/>
          </w:tcPr>
          <w:p w14:paraId="6AD85715">
            <w:pPr>
              <w:snapToGrid w:val="0"/>
              <w:spacing w:line="460" w:lineRule="exact"/>
              <w:rPr>
                <w:rFonts w:hint="eastAsia" w:ascii="宋体" w:hAnsi="宋体"/>
                <w:color w:val="auto"/>
                <w:sz w:val="24"/>
              </w:rPr>
            </w:pPr>
            <w:r>
              <w:rPr>
                <w:rFonts w:hint="eastAsia" w:ascii="宋体" w:hAnsi="宋体"/>
                <w:color w:val="auto"/>
                <w:sz w:val="24"/>
              </w:rPr>
              <w:t>姓  名：</w:t>
            </w:r>
            <w:r>
              <w:rPr>
                <w:rFonts w:hint="eastAsia" w:ascii="宋体" w:hAnsi="宋体"/>
                <w:color w:val="auto"/>
                <w:sz w:val="24"/>
                <w:u w:val="single"/>
              </w:rPr>
              <w:t xml:space="preserve">                </w:t>
            </w:r>
            <w:r>
              <w:rPr>
                <w:rFonts w:hint="eastAsia" w:ascii="宋体" w:hAnsi="宋体"/>
                <w:color w:val="auto"/>
                <w:sz w:val="24"/>
              </w:rPr>
              <w:t xml:space="preserve">          姓  名：</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r>
              <w:rPr>
                <w:rFonts w:hint="eastAsia" w:ascii="宋体" w:hAnsi="宋体"/>
                <w:color w:val="auto"/>
                <w:sz w:val="24"/>
                <w:u w:val="single"/>
              </w:rPr>
              <w:t xml:space="preserve">              </w:t>
            </w:r>
            <w:r>
              <w:rPr>
                <w:rFonts w:hint="eastAsia" w:ascii="宋体" w:hAnsi="宋体"/>
                <w:color w:val="auto"/>
                <w:sz w:val="24"/>
              </w:rPr>
              <w:t xml:space="preserve"> </w:t>
            </w:r>
          </w:p>
        </w:tc>
      </w:tr>
      <w:tr w14:paraId="571DB37D">
        <w:tblPrEx>
          <w:tblCellMar>
            <w:top w:w="0" w:type="dxa"/>
            <w:left w:w="108" w:type="dxa"/>
            <w:bottom w:w="0" w:type="dxa"/>
            <w:right w:w="108" w:type="dxa"/>
          </w:tblCellMar>
        </w:tblPrEx>
        <w:trPr>
          <w:trHeight w:val="340" w:hRule="atLeast"/>
        </w:trPr>
        <w:tc>
          <w:tcPr>
            <w:tcW w:w="4023" w:type="dxa"/>
            <w:noWrap w:val="0"/>
            <w:vAlign w:val="top"/>
          </w:tcPr>
          <w:p w14:paraId="4ED669CC">
            <w:pPr>
              <w:snapToGrid w:val="0"/>
              <w:spacing w:line="460" w:lineRule="exact"/>
              <w:rPr>
                <w:rFonts w:hint="eastAsia" w:ascii="宋体" w:hAnsi="宋体"/>
                <w:color w:val="auto"/>
                <w:sz w:val="24"/>
              </w:rPr>
            </w:pPr>
            <w:r>
              <w:rPr>
                <w:rFonts w:hint="eastAsia" w:ascii="宋体" w:hAnsi="宋体"/>
                <w:color w:val="auto"/>
                <w:sz w:val="24"/>
              </w:rPr>
              <w:t>日  期：</w:t>
            </w:r>
            <w:r>
              <w:rPr>
                <w:rFonts w:hint="eastAsia"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hint="eastAsia" w:ascii="宋体" w:hAnsi="宋体"/>
                <w:color w:val="auto"/>
                <w:sz w:val="24"/>
              </w:rPr>
              <w:t xml:space="preserve">日        </w:t>
            </w:r>
          </w:p>
        </w:tc>
        <w:tc>
          <w:tcPr>
            <w:tcW w:w="5217" w:type="dxa"/>
            <w:noWrap w:val="0"/>
            <w:vAlign w:val="top"/>
          </w:tcPr>
          <w:p w14:paraId="0308A973">
            <w:pPr>
              <w:snapToGrid w:val="0"/>
              <w:spacing w:line="460" w:lineRule="exact"/>
              <w:rPr>
                <w:rFonts w:hint="eastAsia" w:ascii="宋体" w:hAnsi="宋体"/>
                <w:color w:val="auto"/>
                <w:sz w:val="24"/>
              </w:rPr>
            </w:pPr>
            <w:r>
              <w:rPr>
                <w:rFonts w:hint="eastAsia" w:ascii="宋体" w:hAnsi="宋体"/>
                <w:color w:val="auto"/>
                <w:sz w:val="24"/>
              </w:rPr>
              <w:t>日  期：</w:t>
            </w:r>
            <w:r>
              <w:rPr>
                <w:rFonts w:hint="eastAsia"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hint="eastAsia" w:ascii="宋体" w:hAnsi="宋体"/>
                <w:color w:val="auto"/>
                <w:sz w:val="24"/>
              </w:rPr>
              <w:t xml:space="preserve">日        </w:t>
            </w:r>
          </w:p>
        </w:tc>
      </w:tr>
      <w:tr w14:paraId="7AD9412E">
        <w:tblPrEx>
          <w:tblCellMar>
            <w:top w:w="0" w:type="dxa"/>
            <w:left w:w="108" w:type="dxa"/>
            <w:bottom w:w="0" w:type="dxa"/>
            <w:right w:w="108" w:type="dxa"/>
          </w:tblCellMar>
        </w:tblPrEx>
        <w:trPr>
          <w:trHeight w:val="340" w:hRule="atLeast"/>
        </w:trPr>
        <w:tc>
          <w:tcPr>
            <w:tcW w:w="4023" w:type="dxa"/>
            <w:noWrap w:val="0"/>
            <w:vAlign w:val="top"/>
          </w:tcPr>
          <w:p w14:paraId="116E4E1A">
            <w:pPr>
              <w:snapToGrid w:val="0"/>
              <w:spacing w:line="460" w:lineRule="exact"/>
              <w:rPr>
                <w:rFonts w:hint="eastAsia" w:ascii="宋体" w:hAnsi="宋体"/>
                <w:color w:val="auto"/>
                <w:sz w:val="24"/>
              </w:rPr>
            </w:pPr>
          </w:p>
        </w:tc>
        <w:tc>
          <w:tcPr>
            <w:tcW w:w="5217" w:type="dxa"/>
            <w:noWrap w:val="0"/>
            <w:vAlign w:val="top"/>
          </w:tcPr>
          <w:p w14:paraId="0F32FA8D">
            <w:pPr>
              <w:snapToGrid w:val="0"/>
              <w:spacing w:line="460" w:lineRule="exact"/>
              <w:rPr>
                <w:rFonts w:hint="eastAsia" w:ascii="宋体" w:hAnsi="宋体"/>
                <w:color w:val="auto"/>
                <w:sz w:val="24"/>
              </w:rPr>
            </w:pPr>
          </w:p>
        </w:tc>
      </w:tr>
    </w:tbl>
    <w:p w14:paraId="16888F2A">
      <w:pPr>
        <w:snapToGrid w:val="0"/>
        <w:spacing w:line="460" w:lineRule="exact"/>
        <w:outlineLvl w:val="0"/>
        <w:rPr>
          <w:rFonts w:hint="eastAsia" w:ascii="黑体" w:hAnsi="宋体" w:eastAsia="黑体"/>
          <w:bCs/>
          <w:color w:val="auto"/>
          <w:spacing w:val="60"/>
          <w:sz w:val="52"/>
          <w:szCs w:val="52"/>
        </w:rPr>
        <w:sectPr>
          <w:footerReference r:id="rId12" w:type="default"/>
          <w:pgSz w:w="11906" w:h="16838"/>
          <w:pgMar w:top="1276" w:right="1276" w:bottom="1276" w:left="1440" w:header="851" w:footer="992" w:gutter="0"/>
          <w:pgNumType w:fmt="decimal" w:start="1"/>
          <w:cols w:space="720" w:num="1"/>
          <w:docGrid w:type="linesAndChars" w:linePitch="312" w:charSpace="0"/>
        </w:sectPr>
      </w:pPr>
    </w:p>
    <w:p w14:paraId="02D1547C">
      <w:pPr>
        <w:snapToGrid w:val="0"/>
        <w:spacing w:line="360" w:lineRule="auto"/>
        <w:jc w:val="center"/>
        <w:outlineLvl w:val="0"/>
        <w:rPr>
          <w:rFonts w:hint="eastAsia" w:ascii="宋体" w:hAnsi="宋体"/>
          <w:bCs/>
          <w:color w:val="auto"/>
          <w:spacing w:val="60"/>
          <w:sz w:val="18"/>
          <w:szCs w:val="18"/>
        </w:rPr>
      </w:pPr>
      <w:r>
        <w:rPr>
          <w:rFonts w:hint="eastAsia" w:ascii="宋体" w:hAnsi="宋体"/>
          <w:b/>
          <w:bCs/>
          <w:color w:val="auto"/>
          <w:spacing w:val="60"/>
          <w:sz w:val="36"/>
          <w:szCs w:val="36"/>
        </w:rPr>
        <w:t>廉政合同</w:t>
      </w:r>
    </w:p>
    <w:p w14:paraId="32694AEC">
      <w:pPr>
        <w:spacing w:line="312" w:lineRule="auto"/>
        <w:ind w:firstLine="480" w:firstLineChars="200"/>
        <w:rPr>
          <w:rFonts w:hint="eastAsia" w:ascii="宋体" w:hAnsi="宋体"/>
          <w:color w:val="auto"/>
          <w:sz w:val="24"/>
        </w:rPr>
      </w:pPr>
      <w:r>
        <w:rPr>
          <w:rFonts w:hint="eastAsia" w:ascii="宋体" w:hAnsi="宋体"/>
          <w:color w:val="auto"/>
          <w:sz w:val="24"/>
        </w:rPr>
        <w:t>根据交通部《关于在交通基础设施建设中加强廉政建设的若干意见》以及有关工程建设、廉政建设的规定，为做好工程建设中的党风廉政建设，保证工程建设高效优质，保证建设资金的安全和有效使用以及投资效益，建设工程的项目法人</w:t>
      </w:r>
      <w:r>
        <w:rPr>
          <w:rFonts w:hint="eastAsia" w:ascii="宋体" w:hAnsi="宋体"/>
          <w:b/>
          <w:color w:val="auto"/>
          <w:sz w:val="24"/>
          <w:u w:val="single"/>
        </w:rPr>
        <w:t xml:space="preserve"> </w:t>
      </w:r>
      <w:r>
        <w:rPr>
          <w:rFonts w:hint="eastAsia" w:ascii="宋体" w:hAnsi="宋体"/>
          <w:b/>
          <w:color w:val="auto"/>
          <w:sz w:val="24"/>
          <w:u w:val="single"/>
          <w:lang w:eastAsia="zh-CN"/>
        </w:rPr>
        <w:t>XX局(或xx中心）</w:t>
      </w:r>
      <w:r>
        <w:rPr>
          <w:rFonts w:hint="eastAsia" w:ascii="宋体" w:hAnsi="宋体"/>
          <w:b/>
          <w:color w:val="auto"/>
          <w:sz w:val="24"/>
          <w:u w:val="single"/>
        </w:rPr>
        <w:t xml:space="preserve"> </w:t>
      </w:r>
      <w:r>
        <w:rPr>
          <w:rFonts w:hint="eastAsia" w:ascii="宋体" w:hAnsi="宋体"/>
          <w:color w:val="auto"/>
          <w:sz w:val="24"/>
        </w:rPr>
        <w:t>（以下简称“甲方”）与施工单位</w:t>
      </w:r>
      <w:r>
        <w:rPr>
          <w:rFonts w:hint="eastAsia" w:ascii="宋体" w:hAnsi="宋体"/>
          <w:b/>
          <w:bCs/>
          <w:color w:val="auto"/>
          <w:sz w:val="24"/>
          <w:u w:val="single"/>
          <w:lang w:eastAsia="zh-CN"/>
        </w:rPr>
        <w:t>XX公司</w:t>
      </w:r>
      <w:r>
        <w:rPr>
          <w:rFonts w:hint="eastAsia" w:ascii="宋体" w:hAnsi="宋体"/>
          <w:b/>
          <w:bCs/>
          <w:color w:val="auto"/>
          <w:sz w:val="24"/>
          <w:u w:val="single"/>
        </w:rPr>
        <w:t xml:space="preserve"> </w:t>
      </w:r>
      <w:r>
        <w:rPr>
          <w:rFonts w:hint="eastAsia" w:ascii="宋体" w:hAnsi="宋体"/>
          <w:color w:val="auto"/>
          <w:sz w:val="24"/>
        </w:rPr>
        <w:t>（以下简称“乙方”），特订立如下合同。</w:t>
      </w:r>
    </w:p>
    <w:p w14:paraId="5E9D69A6">
      <w:pPr>
        <w:spacing w:line="312" w:lineRule="auto"/>
        <w:ind w:firstLine="480" w:firstLineChars="200"/>
        <w:rPr>
          <w:rFonts w:hint="eastAsia" w:ascii="宋体" w:hAnsi="宋体"/>
          <w:color w:val="auto"/>
          <w:sz w:val="24"/>
        </w:rPr>
      </w:pPr>
      <w:r>
        <w:rPr>
          <w:rFonts w:hint="eastAsia" w:ascii="宋体" w:hAnsi="宋体"/>
          <w:color w:val="auto"/>
          <w:sz w:val="24"/>
        </w:rPr>
        <w:t>1．甲乙双方的权利和义务</w:t>
      </w:r>
    </w:p>
    <w:p w14:paraId="4B35B780">
      <w:pPr>
        <w:spacing w:line="312" w:lineRule="auto"/>
        <w:ind w:firstLine="480" w:firstLineChars="200"/>
        <w:rPr>
          <w:rFonts w:hint="eastAsia" w:ascii="宋体" w:hAnsi="宋体"/>
          <w:color w:val="auto"/>
          <w:sz w:val="24"/>
        </w:rPr>
      </w:pPr>
      <w:r>
        <w:rPr>
          <w:rFonts w:hint="eastAsia" w:ascii="宋体" w:hAnsi="宋体"/>
          <w:color w:val="auto"/>
          <w:sz w:val="24"/>
        </w:rPr>
        <w:t>（1）严格遵守党的政策规定和国家有关法律法规及交通部的有关规定。</w:t>
      </w:r>
    </w:p>
    <w:p w14:paraId="45AAF75F">
      <w:pPr>
        <w:spacing w:line="312" w:lineRule="auto"/>
        <w:ind w:firstLine="480" w:firstLineChars="200"/>
        <w:rPr>
          <w:rFonts w:hint="eastAsia" w:ascii="宋体" w:hAnsi="宋体"/>
          <w:color w:val="auto"/>
          <w:sz w:val="24"/>
        </w:rPr>
      </w:pPr>
      <w:r>
        <w:rPr>
          <w:rFonts w:hint="eastAsia" w:ascii="宋体" w:hAnsi="宋体"/>
          <w:color w:val="auto"/>
          <w:sz w:val="24"/>
        </w:rPr>
        <w:t>（2）严格执行</w:t>
      </w:r>
      <w:r>
        <w:rPr>
          <w:rFonts w:hint="eastAsia" w:ascii="宋体" w:hAnsi="宋体"/>
          <w:b/>
          <w:bCs/>
          <w:color w:val="auto"/>
          <w:sz w:val="24"/>
          <w:u w:val="single"/>
          <w:lang w:eastAsia="zh-CN"/>
        </w:rPr>
        <w:t>XXX工程</w:t>
      </w:r>
      <w:r>
        <w:rPr>
          <w:rFonts w:hint="eastAsia" w:ascii="宋体" w:hAnsi="宋体" w:cs="宋体"/>
          <w:b/>
          <w:bCs/>
          <w:color w:val="auto"/>
          <w:sz w:val="24"/>
          <w:u w:val="single"/>
        </w:rPr>
        <w:t xml:space="preserve"> </w:t>
      </w:r>
      <w:r>
        <w:rPr>
          <w:rFonts w:hint="eastAsia" w:ascii="宋体" w:hAnsi="宋体"/>
          <w:color w:val="auto"/>
          <w:sz w:val="24"/>
        </w:rPr>
        <w:t>的合同文件，自觉按合同办事。</w:t>
      </w:r>
    </w:p>
    <w:p w14:paraId="1702EB9F">
      <w:pPr>
        <w:spacing w:line="312" w:lineRule="auto"/>
        <w:ind w:firstLine="480" w:firstLineChars="200"/>
        <w:rPr>
          <w:rFonts w:hint="eastAsia" w:ascii="宋体" w:hAnsi="宋体"/>
          <w:color w:val="auto"/>
          <w:sz w:val="24"/>
        </w:rPr>
      </w:pPr>
      <w:r>
        <w:rPr>
          <w:rFonts w:hint="eastAsia" w:ascii="宋体" w:hAnsi="宋体"/>
          <w:color w:val="auto"/>
          <w:sz w:val="24"/>
        </w:rPr>
        <w:t>（3）双方的业务活动坚持公开、公正、诚信、透明的原则（法律认定的商业秘密和合同文件另有规定除外），不得损害国家和集体利益，违反工程建设管理规章制度。</w:t>
      </w:r>
    </w:p>
    <w:p w14:paraId="25F32013">
      <w:pPr>
        <w:spacing w:line="312" w:lineRule="auto"/>
        <w:ind w:firstLine="480" w:firstLineChars="200"/>
        <w:rPr>
          <w:rFonts w:hint="eastAsia" w:ascii="宋体" w:hAnsi="宋体"/>
          <w:color w:val="auto"/>
          <w:sz w:val="24"/>
        </w:rPr>
      </w:pPr>
      <w:r>
        <w:rPr>
          <w:rFonts w:hint="eastAsia" w:ascii="宋体" w:hAnsi="宋体"/>
          <w:color w:val="auto"/>
          <w:sz w:val="24"/>
        </w:rPr>
        <w:t>（4）建立健全廉政制度，开展廉政教育，设计廉政告示牌，公布举报电话，监督并认真查处违法违纪行为。</w:t>
      </w:r>
    </w:p>
    <w:p w14:paraId="0F12C9CA">
      <w:pPr>
        <w:spacing w:line="312" w:lineRule="auto"/>
        <w:ind w:firstLine="480" w:firstLineChars="200"/>
        <w:rPr>
          <w:rFonts w:hint="eastAsia" w:ascii="宋体" w:hAnsi="宋体"/>
          <w:color w:val="auto"/>
          <w:sz w:val="24"/>
        </w:rPr>
      </w:pPr>
      <w:r>
        <w:rPr>
          <w:rFonts w:hint="eastAsia" w:ascii="宋体" w:hAnsi="宋体"/>
          <w:color w:val="auto"/>
          <w:sz w:val="24"/>
        </w:rPr>
        <w:t>（5）发现对方在业务活动中有违反廉政规定的行为，有及时提醒对方纠正的权利和义务。</w:t>
      </w:r>
    </w:p>
    <w:p w14:paraId="068ED10F">
      <w:pPr>
        <w:spacing w:line="312" w:lineRule="auto"/>
        <w:ind w:firstLine="480" w:firstLineChars="200"/>
        <w:rPr>
          <w:rFonts w:hint="eastAsia" w:ascii="宋体" w:hAnsi="宋体"/>
          <w:color w:val="auto"/>
          <w:sz w:val="24"/>
        </w:rPr>
      </w:pPr>
      <w:r>
        <w:rPr>
          <w:rFonts w:hint="eastAsia" w:ascii="宋体" w:hAnsi="宋体"/>
          <w:color w:val="auto"/>
          <w:sz w:val="24"/>
        </w:rPr>
        <w:t>（6）发现对方严重违反合同义务条款的行为，有向其上级有关部门举报、建议给予处理并要求告知处理结果的权利。</w:t>
      </w:r>
    </w:p>
    <w:p w14:paraId="37A3BA89">
      <w:pPr>
        <w:spacing w:line="312" w:lineRule="auto"/>
        <w:ind w:firstLine="480" w:firstLineChars="200"/>
        <w:rPr>
          <w:rFonts w:hint="eastAsia" w:ascii="宋体" w:hAnsi="宋体"/>
          <w:color w:val="auto"/>
          <w:sz w:val="24"/>
        </w:rPr>
      </w:pPr>
      <w:r>
        <w:rPr>
          <w:rFonts w:hint="eastAsia" w:ascii="宋体" w:hAnsi="宋体"/>
          <w:color w:val="auto"/>
          <w:sz w:val="24"/>
        </w:rPr>
        <w:t>2．甲方的义务</w:t>
      </w:r>
    </w:p>
    <w:p w14:paraId="487433DE">
      <w:pPr>
        <w:spacing w:line="312" w:lineRule="auto"/>
        <w:ind w:firstLine="480" w:firstLineChars="200"/>
        <w:rPr>
          <w:rFonts w:hint="eastAsia" w:ascii="宋体" w:hAnsi="宋体"/>
          <w:color w:val="auto"/>
          <w:sz w:val="24"/>
        </w:rPr>
      </w:pPr>
      <w:r>
        <w:rPr>
          <w:rFonts w:hint="eastAsia" w:ascii="宋体" w:hAnsi="宋体"/>
          <w:color w:val="auto"/>
          <w:sz w:val="24"/>
        </w:rPr>
        <w:t>（1）甲方及其工作人员不得索要或接受乙方的礼金、有价证券和贵重物品，不得在乙方报销任何应由甲方或甲方工作人员个人支付的费用等。</w:t>
      </w:r>
    </w:p>
    <w:p w14:paraId="41B1AD8C">
      <w:pPr>
        <w:spacing w:line="312" w:lineRule="auto"/>
        <w:ind w:firstLine="480" w:firstLineChars="200"/>
        <w:rPr>
          <w:rFonts w:hint="eastAsia" w:ascii="宋体" w:hAnsi="宋体"/>
          <w:color w:val="auto"/>
          <w:sz w:val="24"/>
        </w:rPr>
      </w:pPr>
      <w:r>
        <w:rPr>
          <w:rFonts w:hint="eastAsia" w:ascii="宋体" w:hAnsi="宋体"/>
          <w:color w:val="auto"/>
          <w:sz w:val="24"/>
        </w:rPr>
        <w:t>（2）甲方工作人员不得参加乙方安排的超标准宴请和娱乐活动；不得接受乙方提供的通讯工具、交通工具和高档办公用品等。</w:t>
      </w:r>
    </w:p>
    <w:p w14:paraId="44C7825C">
      <w:pPr>
        <w:spacing w:line="312" w:lineRule="auto"/>
        <w:ind w:firstLine="480" w:firstLineChars="200"/>
        <w:rPr>
          <w:rFonts w:hint="eastAsia" w:ascii="宋体" w:hAnsi="宋体"/>
          <w:color w:val="auto"/>
          <w:sz w:val="24"/>
        </w:rPr>
      </w:pPr>
      <w:r>
        <w:rPr>
          <w:rFonts w:hint="eastAsia" w:ascii="宋体" w:hAnsi="宋体"/>
          <w:color w:val="auto"/>
          <w:sz w:val="24"/>
        </w:rPr>
        <w:t>（3）甲方及其工作人员不得要求或者接受乙方为其住房装修、婚丧嫁娶活动、配偶子女的工作安排以及出国出境、旅游等提供方便等。</w:t>
      </w:r>
    </w:p>
    <w:p w14:paraId="3C7A70AC">
      <w:pPr>
        <w:spacing w:line="312" w:lineRule="auto"/>
        <w:ind w:firstLine="480" w:firstLineChars="200"/>
        <w:rPr>
          <w:rFonts w:hint="eastAsia" w:ascii="宋体" w:hAnsi="宋体"/>
          <w:color w:val="auto"/>
          <w:sz w:val="24"/>
        </w:rPr>
      </w:pPr>
      <w:r>
        <w:rPr>
          <w:rFonts w:hint="eastAsia" w:ascii="宋体" w:hAnsi="宋体"/>
          <w:color w:val="auto"/>
          <w:sz w:val="24"/>
        </w:rPr>
        <w:t>（4）甲方工作人员及其配偶、子女不得从事与甲方工程有关的材料设备供应、工程分包、劳务等经济活动等。</w:t>
      </w:r>
    </w:p>
    <w:p w14:paraId="68DBC173">
      <w:pPr>
        <w:spacing w:line="312" w:lineRule="auto"/>
        <w:ind w:firstLine="480" w:firstLineChars="200"/>
        <w:rPr>
          <w:rFonts w:hint="eastAsia" w:ascii="宋体" w:hAnsi="宋体"/>
          <w:color w:val="auto"/>
          <w:sz w:val="24"/>
        </w:rPr>
      </w:pPr>
      <w:r>
        <w:rPr>
          <w:rFonts w:hint="eastAsia" w:ascii="宋体" w:hAnsi="宋体"/>
          <w:color w:val="auto"/>
          <w:sz w:val="24"/>
        </w:rPr>
        <w:t>（5）甲方及其工作人员不得以任何理由向乙方推荐分包单位或推销材料，不得要求乙方购买合同规定外的材料和设备。</w:t>
      </w:r>
    </w:p>
    <w:p w14:paraId="2A5632AE">
      <w:pPr>
        <w:spacing w:line="312" w:lineRule="auto"/>
        <w:ind w:firstLine="480" w:firstLineChars="200"/>
        <w:rPr>
          <w:rFonts w:hint="eastAsia" w:ascii="宋体" w:hAnsi="宋体"/>
          <w:color w:val="auto"/>
          <w:sz w:val="24"/>
        </w:rPr>
      </w:pPr>
      <w:r>
        <w:rPr>
          <w:rFonts w:hint="eastAsia" w:ascii="宋体" w:hAnsi="宋体"/>
          <w:color w:val="auto"/>
          <w:sz w:val="24"/>
        </w:rPr>
        <w:t>（6）甲方工作人员要秉公办事，不准营私舞弊，不准利用职权从事各种个人有偿中介活动和安排个人施工队伍。</w:t>
      </w:r>
    </w:p>
    <w:p w14:paraId="11E4CF9F">
      <w:pPr>
        <w:spacing w:line="312" w:lineRule="auto"/>
        <w:ind w:firstLine="480" w:firstLineChars="200"/>
        <w:rPr>
          <w:rFonts w:hint="eastAsia" w:ascii="宋体" w:hAnsi="宋体"/>
          <w:color w:val="auto"/>
          <w:sz w:val="24"/>
        </w:rPr>
      </w:pPr>
      <w:r>
        <w:rPr>
          <w:rFonts w:hint="eastAsia" w:ascii="宋体" w:hAnsi="宋体"/>
          <w:color w:val="auto"/>
          <w:sz w:val="24"/>
        </w:rPr>
        <w:t>3．乙方义务</w:t>
      </w:r>
    </w:p>
    <w:p w14:paraId="35308969">
      <w:pPr>
        <w:spacing w:line="312" w:lineRule="auto"/>
        <w:ind w:firstLine="480" w:firstLineChars="200"/>
        <w:rPr>
          <w:rFonts w:hint="eastAsia" w:ascii="宋体" w:hAnsi="宋体"/>
          <w:color w:val="auto"/>
          <w:sz w:val="24"/>
        </w:rPr>
      </w:pPr>
      <w:r>
        <w:rPr>
          <w:rFonts w:hint="eastAsia" w:ascii="宋体" w:hAnsi="宋体"/>
          <w:color w:val="auto"/>
          <w:sz w:val="24"/>
        </w:rPr>
        <w:t>（1）乙方不得以任何理由向甲方及其工作人员行贿或馈赠礼金、有价证券、贵重礼品。</w:t>
      </w:r>
    </w:p>
    <w:p w14:paraId="74A539D6">
      <w:pPr>
        <w:spacing w:line="312" w:lineRule="auto"/>
        <w:ind w:firstLine="480" w:firstLineChars="200"/>
        <w:rPr>
          <w:rFonts w:hint="eastAsia" w:ascii="宋体" w:hAnsi="宋体"/>
          <w:color w:val="auto"/>
          <w:sz w:val="24"/>
        </w:rPr>
      </w:pPr>
      <w:r>
        <w:rPr>
          <w:rFonts w:hint="eastAsia" w:ascii="宋体" w:hAnsi="宋体"/>
          <w:color w:val="auto"/>
          <w:sz w:val="24"/>
        </w:rPr>
        <w:t>（2）乙方不得以任何名义为甲方及其工作人员报销应由甲方单位或个人支付的任何费用。</w:t>
      </w:r>
    </w:p>
    <w:p w14:paraId="03053AC5">
      <w:pPr>
        <w:spacing w:line="312" w:lineRule="auto"/>
        <w:ind w:firstLine="480" w:firstLineChars="200"/>
        <w:rPr>
          <w:rFonts w:hint="eastAsia" w:ascii="宋体" w:hAnsi="宋体"/>
          <w:color w:val="auto"/>
          <w:sz w:val="24"/>
        </w:rPr>
      </w:pPr>
      <w:r>
        <w:rPr>
          <w:rFonts w:hint="eastAsia" w:ascii="宋体" w:hAnsi="宋体"/>
          <w:color w:val="auto"/>
          <w:sz w:val="24"/>
        </w:rPr>
        <w:t>（3）乙方不得以任何理由安排甲方工作人员参加超标准宴请及娱乐活动。</w:t>
      </w:r>
    </w:p>
    <w:p w14:paraId="7E1031D0">
      <w:pPr>
        <w:spacing w:line="312" w:lineRule="auto"/>
        <w:ind w:firstLine="480" w:firstLineChars="200"/>
        <w:rPr>
          <w:rFonts w:hint="eastAsia" w:ascii="宋体" w:hAnsi="宋体"/>
          <w:color w:val="auto"/>
          <w:sz w:val="24"/>
        </w:rPr>
      </w:pPr>
      <w:r>
        <w:rPr>
          <w:rFonts w:hint="eastAsia" w:ascii="宋体" w:hAnsi="宋体"/>
          <w:color w:val="auto"/>
          <w:sz w:val="24"/>
        </w:rPr>
        <w:t>（4）乙方不得为甲方单位和个人购置或提拱通讯工具、交通工具和高档办公用品等。</w:t>
      </w:r>
    </w:p>
    <w:p w14:paraId="7ABDE83D">
      <w:pPr>
        <w:spacing w:line="312" w:lineRule="auto"/>
        <w:ind w:firstLine="480" w:firstLineChars="200"/>
        <w:rPr>
          <w:rFonts w:hint="eastAsia" w:ascii="宋体" w:hAnsi="宋体"/>
          <w:color w:val="auto"/>
          <w:sz w:val="24"/>
        </w:rPr>
      </w:pPr>
      <w:r>
        <w:rPr>
          <w:rFonts w:hint="eastAsia" w:ascii="宋体" w:hAnsi="宋体"/>
          <w:color w:val="auto"/>
          <w:sz w:val="24"/>
        </w:rPr>
        <w:t>4．违约责任</w:t>
      </w:r>
    </w:p>
    <w:p w14:paraId="7B77D4AF">
      <w:pPr>
        <w:spacing w:line="312" w:lineRule="auto"/>
        <w:ind w:firstLine="480" w:firstLineChars="200"/>
        <w:rPr>
          <w:rFonts w:hint="eastAsia" w:ascii="宋体" w:hAnsi="宋体"/>
          <w:color w:val="auto"/>
          <w:sz w:val="24"/>
        </w:rPr>
      </w:pPr>
      <w:r>
        <w:rPr>
          <w:rFonts w:hint="eastAsia" w:ascii="宋体" w:hAnsi="宋体"/>
          <w:color w:val="auto"/>
          <w:sz w:val="24"/>
        </w:rPr>
        <w:t>（1）甲方及其工作人员违反本合同第</w:t>
      </w:r>
      <w:r>
        <w:rPr>
          <w:rFonts w:hint="eastAsia" w:ascii="宋体" w:hAnsi="宋体"/>
          <w:color w:val="auto"/>
          <w:sz w:val="24"/>
          <w:lang w:val="en-US" w:eastAsia="zh-CN"/>
        </w:rPr>
        <w:t>1</w:t>
      </w:r>
      <w:r>
        <w:rPr>
          <w:rFonts w:hint="eastAsia" w:ascii="宋体" w:hAnsi="宋体"/>
          <w:color w:val="auto"/>
          <w:sz w:val="24"/>
        </w:rPr>
        <w:t>、</w:t>
      </w:r>
      <w:r>
        <w:rPr>
          <w:rFonts w:hint="eastAsia" w:ascii="宋体" w:hAnsi="宋体"/>
          <w:color w:val="auto"/>
          <w:sz w:val="24"/>
          <w:lang w:val="en-US" w:eastAsia="zh-CN"/>
        </w:rPr>
        <w:t>2</w:t>
      </w:r>
      <w:r>
        <w:rPr>
          <w:rFonts w:hint="eastAsia" w:ascii="宋体" w:hAnsi="宋体"/>
          <w:color w:val="auto"/>
          <w:sz w:val="24"/>
        </w:rPr>
        <w:t>条，按管理权限，依据有关规定给予党纪、政纪或组织处理；涉嫌犯罪的，移交司法机关追究刑事责任；给乙方单位造成经济损失的，应予以赔偿。</w:t>
      </w:r>
    </w:p>
    <w:p w14:paraId="551C9EB0">
      <w:pPr>
        <w:spacing w:line="312" w:lineRule="auto"/>
        <w:ind w:firstLine="480" w:firstLineChars="200"/>
        <w:rPr>
          <w:rFonts w:hint="eastAsia" w:ascii="宋体" w:hAnsi="宋体"/>
          <w:color w:val="auto"/>
          <w:sz w:val="24"/>
        </w:rPr>
      </w:pPr>
      <w:r>
        <w:rPr>
          <w:rFonts w:hint="eastAsia" w:ascii="宋体" w:hAnsi="宋体"/>
          <w:color w:val="auto"/>
          <w:sz w:val="24"/>
        </w:rPr>
        <w:t>（2）乙方及其工作人员违反本合同第</w:t>
      </w:r>
      <w:r>
        <w:rPr>
          <w:rFonts w:hint="eastAsia" w:ascii="宋体" w:hAnsi="宋体"/>
          <w:color w:val="auto"/>
          <w:sz w:val="24"/>
          <w:lang w:val="en-US" w:eastAsia="zh-CN"/>
        </w:rPr>
        <w:t>1</w:t>
      </w:r>
      <w:r>
        <w:rPr>
          <w:rFonts w:hint="eastAsia" w:ascii="宋体" w:hAnsi="宋体"/>
          <w:color w:val="auto"/>
          <w:sz w:val="24"/>
        </w:rPr>
        <w:t>、</w:t>
      </w:r>
      <w:r>
        <w:rPr>
          <w:rFonts w:hint="eastAsia" w:ascii="宋体" w:hAnsi="宋体"/>
          <w:color w:val="auto"/>
          <w:sz w:val="24"/>
          <w:lang w:val="en-US" w:eastAsia="zh-CN"/>
        </w:rPr>
        <w:t>3</w:t>
      </w:r>
      <w:r>
        <w:rPr>
          <w:rFonts w:hint="eastAsia" w:ascii="宋体" w:hAnsi="宋体"/>
          <w:color w:val="auto"/>
          <w:sz w:val="24"/>
        </w:rPr>
        <w:t>条，按管理权限，依据有关规定给予党纪、政纪组织处理；给甲方单位造成经济损失的，应予以赔偿；情节严重的，甲方建议交通工程建设主管部门给予乙方一至三年内不得进入其主管的交通工程建设市场的处罚。</w:t>
      </w:r>
    </w:p>
    <w:p w14:paraId="6A324DAB">
      <w:pPr>
        <w:spacing w:line="312" w:lineRule="auto"/>
        <w:ind w:firstLine="480" w:firstLineChars="200"/>
        <w:rPr>
          <w:rFonts w:hint="eastAsia" w:ascii="宋体" w:hAnsi="宋体"/>
          <w:color w:val="auto"/>
          <w:sz w:val="24"/>
        </w:rPr>
      </w:pPr>
      <w:r>
        <w:rPr>
          <w:rFonts w:hint="eastAsia" w:ascii="宋体" w:hAnsi="宋体"/>
          <w:color w:val="auto"/>
          <w:sz w:val="24"/>
        </w:rPr>
        <w:t>5．双方约定：本合同由双方或双方上级单位的纪检监察机关负责监督执行。由甲方或甲方上级单位的纪检监察机关约请乙方或乙方上级单位纪检监察机关对本合同执行情况进行检查，提出在本合规定范围内的裁定意见。</w:t>
      </w:r>
    </w:p>
    <w:p w14:paraId="46227C1C">
      <w:pPr>
        <w:spacing w:line="312" w:lineRule="auto"/>
        <w:ind w:firstLine="480" w:firstLineChars="200"/>
        <w:rPr>
          <w:rFonts w:hint="eastAsia" w:ascii="宋体" w:hAnsi="宋体"/>
          <w:color w:val="auto"/>
          <w:sz w:val="24"/>
        </w:rPr>
      </w:pPr>
      <w:r>
        <w:rPr>
          <w:rFonts w:hint="eastAsia" w:ascii="宋体" w:hAnsi="宋体"/>
          <w:color w:val="auto"/>
          <w:sz w:val="24"/>
        </w:rPr>
        <w:t>6．本合同有效期为甲乙双方签署之日起至该工程项目竣工验收后止。</w:t>
      </w:r>
    </w:p>
    <w:p w14:paraId="53C2D6B2">
      <w:pPr>
        <w:spacing w:line="312" w:lineRule="auto"/>
        <w:ind w:firstLine="480" w:firstLineChars="200"/>
        <w:rPr>
          <w:rFonts w:hint="eastAsia" w:ascii="宋体" w:hAnsi="宋体"/>
          <w:color w:val="auto"/>
          <w:sz w:val="24"/>
        </w:rPr>
      </w:pPr>
      <w:r>
        <w:rPr>
          <w:rFonts w:hint="eastAsia" w:ascii="宋体" w:hAnsi="宋体"/>
          <w:color w:val="auto"/>
          <w:sz w:val="24"/>
        </w:rPr>
        <w:t>7．本合同作为</w:t>
      </w:r>
      <w:r>
        <w:rPr>
          <w:rFonts w:hint="eastAsia" w:ascii="宋体" w:hAnsi="宋体"/>
          <w:b/>
          <w:bCs/>
          <w:color w:val="auto"/>
          <w:sz w:val="24"/>
          <w:u w:val="single"/>
          <w:lang w:eastAsia="zh-CN"/>
        </w:rPr>
        <w:t>XXX工程</w:t>
      </w:r>
      <w:r>
        <w:rPr>
          <w:rFonts w:hint="eastAsia" w:ascii="宋体" w:hAnsi="宋体" w:cs="宋体"/>
          <w:b/>
          <w:bCs/>
          <w:color w:val="auto"/>
          <w:sz w:val="24"/>
          <w:u w:val="single"/>
        </w:rPr>
        <w:t xml:space="preserve"> </w:t>
      </w:r>
      <w:r>
        <w:rPr>
          <w:rFonts w:hint="eastAsia" w:ascii="宋体" w:hAnsi="宋体"/>
          <w:color w:val="auto"/>
          <w:sz w:val="24"/>
        </w:rPr>
        <w:t>施工合同的附件，与工程施工合同具有同等的法律效力，经合同双方签署立即生效。</w:t>
      </w:r>
    </w:p>
    <w:p w14:paraId="04DD4FF2">
      <w:pPr>
        <w:spacing w:line="312" w:lineRule="auto"/>
        <w:ind w:firstLine="480" w:firstLineChars="200"/>
        <w:rPr>
          <w:rFonts w:hint="eastAsia" w:ascii="宋体" w:hAnsi="宋体"/>
          <w:color w:val="auto"/>
          <w:sz w:val="24"/>
        </w:rPr>
      </w:pPr>
      <w:r>
        <w:rPr>
          <w:rFonts w:hint="eastAsia" w:ascii="宋体" w:hAnsi="宋体"/>
          <w:color w:val="auto"/>
          <w:sz w:val="24"/>
        </w:rPr>
        <w:t>8．本合同一式陆份，由甲乙双方各执贰份，送交甲乙双方的监督单位各一份。</w:t>
      </w:r>
    </w:p>
    <w:p w14:paraId="2CF1F0CA">
      <w:pPr>
        <w:spacing w:line="600" w:lineRule="exact"/>
        <w:rPr>
          <w:rFonts w:hint="eastAsia" w:ascii="宋体" w:hAnsi="宋体"/>
          <w:color w:val="auto"/>
          <w:sz w:val="28"/>
        </w:rPr>
      </w:pPr>
    </w:p>
    <w:p w14:paraId="0312E798">
      <w:pPr>
        <w:adjustRightInd w:val="0"/>
        <w:snapToGrid w:val="0"/>
        <w:spacing w:line="360" w:lineRule="auto"/>
        <w:ind w:left="4320" w:hanging="4320" w:hangingChars="1800"/>
        <w:rPr>
          <w:rFonts w:hint="eastAsia" w:ascii="宋体" w:hAnsi="宋体" w:eastAsia="宋体"/>
          <w:color w:val="auto"/>
          <w:sz w:val="24"/>
          <w:lang w:eastAsia="zh-CN"/>
        </w:rPr>
      </w:pPr>
      <w:r>
        <w:rPr>
          <w:rFonts w:hint="eastAsia" w:ascii="宋体" w:hAnsi="宋体"/>
          <w:color w:val="auto"/>
          <w:sz w:val="24"/>
        </w:rPr>
        <w:t>甲  方：</w:t>
      </w:r>
      <w:r>
        <w:rPr>
          <w:rFonts w:hint="eastAsia" w:ascii="宋体" w:hAnsi="宋体"/>
          <w:color w:val="auto"/>
          <w:sz w:val="24"/>
          <w:lang w:eastAsia="zh-CN"/>
        </w:rPr>
        <w:t>XX局(或xx中心）</w:t>
      </w:r>
      <w:r>
        <w:rPr>
          <w:rFonts w:hint="eastAsia" w:ascii="宋体" w:hAnsi="宋体"/>
          <w:color w:val="auto"/>
          <w:sz w:val="24"/>
        </w:rPr>
        <w:t xml:space="preserve">     </w:t>
      </w:r>
      <w:r>
        <w:rPr>
          <w:rFonts w:hint="eastAsia" w:ascii="宋体" w:hAnsi="宋体"/>
          <w:color w:val="auto"/>
          <w:sz w:val="24"/>
          <w:lang w:val="en-US" w:eastAsia="zh-CN"/>
        </w:rPr>
        <w:t xml:space="preserve"> </w:t>
      </w:r>
      <w:r>
        <w:rPr>
          <w:rFonts w:hint="eastAsia" w:ascii="宋体" w:hAnsi="宋体"/>
          <w:color w:val="auto"/>
          <w:sz w:val="24"/>
        </w:rPr>
        <w:t>乙 方：</w:t>
      </w:r>
      <w:r>
        <w:rPr>
          <w:rFonts w:hint="eastAsia" w:ascii="宋体" w:hAnsi="宋体"/>
          <w:color w:val="auto"/>
          <w:sz w:val="24"/>
          <w:lang w:eastAsia="zh-CN"/>
        </w:rPr>
        <w:t>XX公司</w:t>
      </w:r>
    </w:p>
    <w:p w14:paraId="213FCA2A">
      <w:pPr>
        <w:adjustRightInd w:val="0"/>
        <w:snapToGrid w:val="0"/>
        <w:spacing w:line="360" w:lineRule="auto"/>
        <w:rPr>
          <w:rFonts w:hint="eastAsia" w:ascii="宋体" w:hAnsi="宋体"/>
          <w:color w:val="auto"/>
          <w:sz w:val="24"/>
        </w:rPr>
      </w:pPr>
      <w:r>
        <w:rPr>
          <w:rFonts w:hint="eastAsia" w:ascii="宋体" w:hAnsi="宋体"/>
          <w:color w:val="auto"/>
          <w:sz w:val="24"/>
        </w:rPr>
        <w:t xml:space="preserve">法定代表人：                   </w:t>
      </w:r>
      <w:r>
        <w:rPr>
          <w:rFonts w:hint="eastAsia" w:ascii="宋体" w:hAnsi="宋体"/>
          <w:color w:val="auto"/>
          <w:sz w:val="24"/>
          <w:lang w:val="en-US" w:eastAsia="zh-CN"/>
        </w:rPr>
        <w:t xml:space="preserve"> </w:t>
      </w:r>
      <w:r>
        <w:rPr>
          <w:rFonts w:hint="eastAsia" w:ascii="宋体" w:hAnsi="宋体"/>
          <w:color w:val="auto"/>
          <w:sz w:val="24"/>
        </w:rPr>
        <w:t>法定代人或其</w:t>
      </w:r>
    </w:p>
    <w:p w14:paraId="6B16E734">
      <w:pPr>
        <w:adjustRightInd w:val="0"/>
        <w:snapToGrid w:val="0"/>
        <w:spacing w:line="360" w:lineRule="auto"/>
        <w:ind w:firstLine="1488" w:firstLineChars="620"/>
        <w:rPr>
          <w:rFonts w:hint="eastAsia" w:ascii="宋体" w:hAnsi="宋体"/>
          <w:color w:val="auto"/>
          <w:sz w:val="24"/>
        </w:rPr>
      </w:pPr>
      <w:r>
        <w:rPr>
          <w:rFonts w:hint="eastAsia" w:ascii="宋体" w:hAnsi="宋体"/>
          <w:color w:val="auto"/>
          <w:sz w:val="24"/>
        </w:rPr>
        <w:t xml:space="preserve">                   </w:t>
      </w:r>
      <w:r>
        <w:rPr>
          <w:rFonts w:hint="eastAsia" w:ascii="宋体" w:hAnsi="宋体"/>
          <w:color w:val="auto"/>
          <w:sz w:val="24"/>
          <w:lang w:val="en-US" w:eastAsia="zh-CN"/>
        </w:rPr>
        <w:t xml:space="preserve"> </w:t>
      </w:r>
      <w:r>
        <w:rPr>
          <w:rFonts w:hint="eastAsia" w:ascii="宋体" w:hAnsi="宋体"/>
          <w:color w:val="auto"/>
          <w:sz w:val="24"/>
        </w:rPr>
        <w:t>授权的代理人：</w:t>
      </w:r>
    </w:p>
    <w:p w14:paraId="17C0820B">
      <w:pPr>
        <w:adjustRightInd w:val="0"/>
        <w:snapToGrid w:val="0"/>
        <w:spacing w:line="360" w:lineRule="auto"/>
        <w:rPr>
          <w:rFonts w:hint="eastAsia" w:ascii="宋体" w:hAnsi="宋体"/>
          <w:color w:val="auto"/>
          <w:sz w:val="24"/>
        </w:rPr>
      </w:pPr>
      <w:r>
        <w:rPr>
          <w:rFonts w:hint="eastAsia" w:ascii="宋体" w:hAnsi="宋体"/>
          <w:color w:val="auto"/>
          <w:sz w:val="24"/>
        </w:rPr>
        <w:t>职  务：</w:t>
      </w:r>
      <w:r>
        <w:rPr>
          <w:rFonts w:hint="eastAsia" w:ascii="宋体" w:hAnsi="宋体"/>
          <w:color w:val="auto"/>
          <w:sz w:val="24"/>
          <w:u w:val="single"/>
        </w:rPr>
        <w:t xml:space="preserve">                </w:t>
      </w:r>
      <w:r>
        <w:rPr>
          <w:rFonts w:hint="eastAsia" w:ascii="宋体" w:hAnsi="宋体"/>
          <w:color w:val="auto"/>
          <w:sz w:val="24"/>
        </w:rPr>
        <w:t xml:space="preserve">        职  务： </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r>
        <w:rPr>
          <w:rFonts w:hint="eastAsia" w:ascii="宋体" w:hAnsi="宋体"/>
          <w:color w:val="auto"/>
          <w:sz w:val="24"/>
          <w:u w:val="single"/>
        </w:rPr>
        <w:t xml:space="preserve">             </w:t>
      </w:r>
      <w:r>
        <w:rPr>
          <w:rFonts w:hint="eastAsia" w:ascii="宋体" w:hAnsi="宋体"/>
          <w:color w:val="auto"/>
          <w:sz w:val="24"/>
        </w:rPr>
        <w:t xml:space="preserve">   </w:t>
      </w:r>
    </w:p>
    <w:p w14:paraId="3EB26D71">
      <w:pPr>
        <w:adjustRightInd w:val="0"/>
        <w:snapToGrid w:val="0"/>
        <w:spacing w:line="360" w:lineRule="auto"/>
        <w:rPr>
          <w:rFonts w:hint="eastAsia" w:ascii="宋体" w:hAnsi="宋体"/>
          <w:color w:val="auto"/>
          <w:sz w:val="24"/>
        </w:rPr>
      </w:pPr>
      <w:r>
        <w:rPr>
          <w:rFonts w:hint="eastAsia" w:ascii="宋体" w:hAnsi="宋体"/>
          <w:color w:val="auto"/>
          <w:sz w:val="24"/>
        </w:rPr>
        <w:t>姓  名：</w:t>
      </w:r>
      <w:r>
        <w:rPr>
          <w:rFonts w:hint="eastAsia" w:ascii="宋体" w:hAnsi="宋体"/>
          <w:color w:val="auto"/>
          <w:sz w:val="24"/>
          <w:u w:val="single"/>
        </w:rPr>
        <w:t xml:space="preserve">                </w:t>
      </w:r>
      <w:r>
        <w:rPr>
          <w:rFonts w:hint="eastAsia" w:ascii="宋体" w:hAnsi="宋体"/>
          <w:color w:val="auto"/>
          <w:sz w:val="24"/>
        </w:rPr>
        <w:t xml:space="preserve">        姓  名 ：</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r>
        <w:rPr>
          <w:rFonts w:hint="eastAsia" w:ascii="宋体" w:hAnsi="宋体"/>
          <w:color w:val="auto"/>
          <w:sz w:val="24"/>
          <w:u w:val="single"/>
        </w:rPr>
        <w:t xml:space="preserve">               </w:t>
      </w:r>
      <w:r>
        <w:rPr>
          <w:rFonts w:hint="eastAsia" w:ascii="宋体" w:hAnsi="宋体"/>
          <w:color w:val="auto"/>
          <w:sz w:val="24"/>
        </w:rPr>
        <w:t xml:space="preserve">  </w:t>
      </w:r>
    </w:p>
    <w:p w14:paraId="5205405C">
      <w:pPr>
        <w:adjustRightInd w:val="0"/>
        <w:snapToGrid w:val="0"/>
        <w:spacing w:line="360" w:lineRule="auto"/>
        <w:ind w:left="4560" w:hanging="4560" w:hangingChars="1900"/>
        <w:rPr>
          <w:rFonts w:hint="default" w:ascii="宋体" w:hAnsi="宋体"/>
          <w:color w:val="auto"/>
          <w:sz w:val="24"/>
          <w:u w:val="single"/>
          <w:lang w:val="en-US"/>
        </w:rPr>
      </w:pPr>
      <w:r>
        <w:rPr>
          <w:rFonts w:hint="eastAsia" w:ascii="宋体" w:hAnsi="宋体"/>
          <w:color w:val="auto"/>
          <w:sz w:val="24"/>
        </w:rPr>
        <w:t>地  址：</w:t>
      </w:r>
      <w:r>
        <w:rPr>
          <w:rFonts w:hint="eastAsia" w:ascii="宋体" w:hAnsi="宋体"/>
          <w:color w:val="auto"/>
          <w:sz w:val="24"/>
          <w:u w:val="single"/>
        </w:rPr>
        <w:t>龙州县城北路22号</w:t>
      </w:r>
      <w:r>
        <w:rPr>
          <w:rFonts w:hint="eastAsia" w:ascii="宋体" w:hAnsi="宋体"/>
          <w:color w:val="auto"/>
          <w:sz w:val="24"/>
        </w:rPr>
        <w:t xml:space="preserve">       地  址：</w:t>
      </w:r>
      <w:r>
        <w:rPr>
          <w:rFonts w:hint="eastAsia" w:ascii="宋体" w:hAnsi="宋体"/>
          <w:color w:val="auto"/>
          <w:sz w:val="24"/>
          <w:u w:val="single"/>
          <w:lang w:val="en-US" w:eastAsia="zh-CN"/>
        </w:rPr>
        <w:t xml:space="preserve">                       </w:t>
      </w:r>
    </w:p>
    <w:p w14:paraId="3DCBEBA0">
      <w:pPr>
        <w:adjustRightInd w:val="0"/>
        <w:snapToGrid w:val="0"/>
        <w:spacing w:line="360" w:lineRule="auto"/>
        <w:rPr>
          <w:rFonts w:hint="eastAsia" w:ascii="宋体" w:hAnsi="宋体"/>
          <w:color w:val="auto"/>
          <w:sz w:val="24"/>
        </w:rPr>
      </w:pPr>
      <w:r>
        <w:rPr>
          <w:rFonts w:hint="eastAsia" w:ascii="宋体" w:hAnsi="宋体"/>
          <w:color w:val="auto"/>
          <w:sz w:val="24"/>
        </w:rPr>
        <w:t>电  话：</w:t>
      </w:r>
      <w:r>
        <w:rPr>
          <w:rFonts w:hint="eastAsia" w:ascii="宋体" w:hAnsi="宋体"/>
          <w:color w:val="auto"/>
          <w:sz w:val="24"/>
          <w:u w:val="single"/>
        </w:rPr>
        <w:t xml:space="preserve">0771-8821868     </w:t>
      </w:r>
      <w:r>
        <w:rPr>
          <w:rFonts w:hint="eastAsia" w:ascii="宋体" w:hAnsi="宋体"/>
          <w:color w:val="auto"/>
          <w:sz w:val="24"/>
        </w:rPr>
        <w:t xml:space="preserve">       电  话：</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r>
        <w:rPr>
          <w:rFonts w:hint="eastAsia" w:ascii="宋体" w:hAnsi="宋体"/>
          <w:color w:val="auto"/>
          <w:sz w:val="24"/>
          <w:u w:val="single"/>
        </w:rPr>
        <w:t xml:space="preserve">                </w:t>
      </w:r>
    </w:p>
    <w:p w14:paraId="1F46D41E">
      <w:pPr>
        <w:adjustRightInd w:val="0"/>
        <w:snapToGrid w:val="0"/>
        <w:spacing w:line="360" w:lineRule="auto"/>
        <w:rPr>
          <w:rFonts w:hint="eastAsia" w:ascii="宋体" w:hAnsi="宋体"/>
          <w:color w:val="auto"/>
          <w:sz w:val="24"/>
        </w:rPr>
      </w:pPr>
      <w:r>
        <w:rPr>
          <w:rFonts w:hint="eastAsia" w:ascii="宋体" w:hAnsi="宋体"/>
          <w:color w:val="auto"/>
          <w:sz w:val="24"/>
        </w:rPr>
        <w:t>日  期：</w:t>
      </w:r>
      <w:r>
        <w:rPr>
          <w:rFonts w:hint="eastAsia"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hint="eastAsia" w:ascii="宋体" w:hAnsi="宋体"/>
          <w:color w:val="auto"/>
          <w:sz w:val="24"/>
        </w:rPr>
        <w:t>日       日  期：</w:t>
      </w:r>
      <w:r>
        <w:rPr>
          <w:rFonts w:hint="eastAsia"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hint="eastAsia" w:ascii="宋体" w:hAnsi="宋体"/>
          <w:color w:val="auto"/>
          <w:sz w:val="24"/>
        </w:rPr>
        <w:t>日</w:t>
      </w:r>
    </w:p>
    <w:p w14:paraId="3E92AD37">
      <w:pPr>
        <w:adjustRightInd w:val="0"/>
        <w:snapToGrid w:val="0"/>
        <w:spacing w:line="360" w:lineRule="auto"/>
        <w:rPr>
          <w:rFonts w:hint="eastAsia" w:ascii="黑体" w:hAnsi="宋体" w:eastAsia="黑体"/>
          <w:b/>
          <w:bCs/>
          <w:color w:val="auto"/>
          <w:spacing w:val="60"/>
          <w:sz w:val="36"/>
          <w:szCs w:val="36"/>
        </w:rPr>
      </w:pPr>
      <w:r>
        <w:rPr>
          <w:rFonts w:hint="eastAsia" w:ascii="宋体" w:hAnsi="宋体"/>
          <w:color w:val="auto"/>
          <w:sz w:val="24"/>
        </w:rPr>
        <w:t>甲方监督单位：</w:t>
      </w:r>
      <w:r>
        <w:rPr>
          <w:rFonts w:hint="eastAsia" w:ascii="宋体" w:hAnsi="宋体"/>
          <w:color w:val="auto"/>
          <w:sz w:val="24"/>
          <w:u w:val="single"/>
        </w:rPr>
        <w:t xml:space="preserve">               </w:t>
      </w:r>
      <w:r>
        <w:rPr>
          <w:rFonts w:hint="eastAsia" w:ascii="宋体" w:hAnsi="宋体"/>
          <w:color w:val="auto"/>
          <w:sz w:val="24"/>
        </w:rPr>
        <w:t xml:space="preserve">   乙方监督单位：</w:t>
      </w:r>
      <w:r>
        <w:rPr>
          <w:rFonts w:hint="eastAsia" w:ascii="宋体" w:hAnsi="宋体"/>
          <w:color w:val="auto"/>
          <w:sz w:val="24"/>
          <w:u w:val="single"/>
        </w:rPr>
        <w:t xml:space="preserve">                 </w:t>
      </w:r>
    </w:p>
    <w:p w14:paraId="6B105971">
      <w:pPr>
        <w:snapToGrid w:val="0"/>
        <w:spacing w:line="360" w:lineRule="auto"/>
        <w:jc w:val="center"/>
        <w:outlineLvl w:val="0"/>
        <w:rPr>
          <w:rFonts w:hint="eastAsia" w:ascii="宋体" w:hAnsi="宋体"/>
          <w:color w:val="auto"/>
          <w:sz w:val="28"/>
        </w:rPr>
      </w:pPr>
      <w:r>
        <w:rPr>
          <w:rFonts w:hint="eastAsia" w:ascii="黑体" w:hAnsi="宋体" w:eastAsia="黑体"/>
          <w:b/>
          <w:bCs/>
          <w:color w:val="auto"/>
          <w:spacing w:val="60"/>
          <w:sz w:val="36"/>
          <w:szCs w:val="36"/>
        </w:rPr>
        <w:br w:type="page"/>
      </w:r>
      <w:r>
        <w:rPr>
          <w:rFonts w:hint="eastAsia" w:ascii="宋体" w:hAnsi="宋体"/>
          <w:b/>
          <w:bCs/>
          <w:color w:val="auto"/>
          <w:spacing w:val="60"/>
          <w:sz w:val="36"/>
          <w:szCs w:val="36"/>
        </w:rPr>
        <w:t>安全生产合同</w:t>
      </w:r>
    </w:p>
    <w:p w14:paraId="230DD0DF">
      <w:pPr>
        <w:spacing w:line="336" w:lineRule="auto"/>
        <w:ind w:firstLine="480" w:firstLineChars="200"/>
        <w:rPr>
          <w:rFonts w:hint="eastAsia" w:ascii="宋体" w:hAnsi="宋体"/>
          <w:color w:val="auto"/>
          <w:sz w:val="24"/>
        </w:rPr>
      </w:pPr>
      <w:r>
        <w:rPr>
          <w:rFonts w:hint="eastAsia" w:ascii="宋体" w:hAnsi="宋体"/>
          <w:color w:val="auto"/>
          <w:sz w:val="24"/>
        </w:rPr>
        <w:t>为在</w:t>
      </w:r>
      <w:r>
        <w:rPr>
          <w:rFonts w:hint="eastAsia" w:ascii="宋体" w:hAnsi="宋体"/>
          <w:b/>
          <w:bCs/>
          <w:color w:val="auto"/>
          <w:sz w:val="24"/>
          <w:u w:val="single"/>
          <w:lang w:eastAsia="zh-CN"/>
        </w:rPr>
        <w:t>XXX工程</w:t>
      </w:r>
      <w:r>
        <w:rPr>
          <w:rFonts w:hint="eastAsia" w:ascii="宋体" w:hAnsi="宋体" w:cs="宋体"/>
          <w:b/>
          <w:bCs/>
          <w:color w:val="auto"/>
          <w:sz w:val="24"/>
          <w:u w:val="single"/>
        </w:rPr>
        <w:t xml:space="preserve"> </w:t>
      </w:r>
      <w:r>
        <w:rPr>
          <w:rFonts w:hint="eastAsia" w:ascii="宋体" w:hAnsi="宋体"/>
          <w:color w:val="auto"/>
          <w:sz w:val="24"/>
        </w:rPr>
        <w:t>施工合同的实施过程中创造安全、高效的施工环境，切实搞好本项目的安全管理工作，本项目</w:t>
      </w:r>
      <w:r>
        <w:rPr>
          <w:rFonts w:hint="eastAsia" w:ascii="宋体" w:hAnsi="宋体"/>
          <w:color w:val="auto"/>
          <w:sz w:val="24"/>
          <w:lang w:eastAsia="zh-CN"/>
        </w:rPr>
        <w:t>甲方</w:t>
      </w:r>
      <w:r>
        <w:rPr>
          <w:rFonts w:hint="eastAsia" w:ascii="宋体" w:hAnsi="宋体"/>
          <w:color w:val="auto"/>
          <w:sz w:val="24"/>
          <w:u w:val="single"/>
        </w:rPr>
        <w:t xml:space="preserve"> </w:t>
      </w:r>
      <w:r>
        <w:rPr>
          <w:rFonts w:hint="eastAsia" w:ascii="宋体" w:hAnsi="宋体"/>
          <w:b/>
          <w:color w:val="auto"/>
          <w:sz w:val="24"/>
          <w:u w:val="single"/>
          <w:lang w:eastAsia="zh-CN"/>
        </w:rPr>
        <w:t>XX局(或xx中心）</w:t>
      </w:r>
      <w:r>
        <w:rPr>
          <w:rFonts w:hint="eastAsia" w:ascii="宋体" w:hAnsi="宋体"/>
          <w:b/>
          <w:color w:val="auto"/>
          <w:sz w:val="24"/>
          <w:u w:val="single"/>
        </w:rPr>
        <w:t xml:space="preserve"> </w:t>
      </w:r>
      <w:r>
        <w:rPr>
          <w:rFonts w:hint="eastAsia" w:ascii="宋体" w:hAnsi="宋体"/>
          <w:color w:val="auto"/>
          <w:sz w:val="24"/>
        </w:rPr>
        <w:t>（以下简称“甲方”）与</w:t>
      </w:r>
      <w:r>
        <w:rPr>
          <w:rFonts w:hint="eastAsia" w:ascii="宋体" w:hAnsi="宋体"/>
          <w:color w:val="auto"/>
          <w:sz w:val="24"/>
          <w:lang w:eastAsia="zh-CN"/>
        </w:rPr>
        <w:t>乙方</w:t>
      </w:r>
      <w:r>
        <w:rPr>
          <w:rFonts w:hint="eastAsia" w:ascii="宋体" w:hAnsi="宋体"/>
          <w:b/>
          <w:color w:val="auto"/>
          <w:sz w:val="24"/>
          <w:u w:val="single"/>
          <w:lang w:eastAsia="zh-CN"/>
        </w:rPr>
        <w:t>XX公司</w:t>
      </w:r>
      <w:r>
        <w:rPr>
          <w:rFonts w:hint="eastAsia" w:ascii="宋体" w:hAnsi="宋体"/>
          <w:color w:val="auto"/>
          <w:sz w:val="24"/>
        </w:rPr>
        <w:t>（以下简称“乙方”）特此签订安全生产合同：</w:t>
      </w:r>
    </w:p>
    <w:p w14:paraId="04DCF298">
      <w:pPr>
        <w:spacing w:line="336" w:lineRule="auto"/>
        <w:ind w:firstLine="480" w:firstLineChars="200"/>
        <w:rPr>
          <w:rFonts w:hint="eastAsia" w:ascii="宋体" w:hAnsi="宋体"/>
          <w:color w:val="auto"/>
          <w:sz w:val="24"/>
        </w:rPr>
      </w:pPr>
      <w:r>
        <w:rPr>
          <w:rFonts w:hint="eastAsia" w:ascii="宋体" w:hAnsi="宋体"/>
          <w:color w:val="auto"/>
          <w:sz w:val="24"/>
        </w:rPr>
        <w:t>一、甲方职责</w:t>
      </w:r>
    </w:p>
    <w:p w14:paraId="4C7EDFDF">
      <w:pPr>
        <w:spacing w:line="336" w:lineRule="auto"/>
        <w:ind w:firstLine="480" w:firstLineChars="200"/>
        <w:rPr>
          <w:rFonts w:hint="eastAsia" w:ascii="宋体" w:hAnsi="宋体"/>
          <w:color w:val="auto"/>
          <w:sz w:val="24"/>
        </w:rPr>
      </w:pPr>
      <w:r>
        <w:rPr>
          <w:rFonts w:hint="eastAsia" w:ascii="宋体" w:hAnsi="宋体"/>
          <w:color w:val="auto"/>
          <w:sz w:val="24"/>
        </w:rPr>
        <w:t>1．严格遵守国家有关安全生产的法律法规，认真执行工程承包合同中的有关安全要求。</w:t>
      </w:r>
    </w:p>
    <w:p w14:paraId="5FE42759">
      <w:pPr>
        <w:spacing w:line="336" w:lineRule="auto"/>
        <w:ind w:firstLine="480" w:firstLineChars="200"/>
        <w:rPr>
          <w:rFonts w:hint="eastAsia" w:ascii="宋体" w:hAnsi="宋体"/>
          <w:color w:val="auto"/>
          <w:sz w:val="24"/>
        </w:rPr>
      </w:pPr>
      <w:r>
        <w:rPr>
          <w:rFonts w:hint="eastAsia" w:ascii="宋体" w:hAnsi="宋体"/>
          <w:color w:val="auto"/>
          <w:sz w:val="24"/>
        </w:rPr>
        <w:t>2．按照“安全第一、预防为主”和坚持“管生产必须管安全”的原则进行安全生产管理，做到生产与安全工作同时计划、布置、检查、总结和评比。</w:t>
      </w:r>
    </w:p>
    <w:p w14:paraId="538B08D2">
      <w:pPr>
        <w:spacing w:line="336" w:lineRule="auto"/>
        <w:ind w:firstLine="480" w:firstLineChars="200"/>
        <w:rPr>
          <w:rFonts w:hint="eastAsia" w:ascii="宋体" w:hAnsi="宋体"/>
          <w:color w:val="auto"/>
          <w:sz w:val="24"/>
        </w:rPr>
      </w:pPr>
      <w:r>
        <w:rPr>
          <w:rFonts w:hint="eastAsia" w:ascii="宋体" w:hAnsi="宋体"/>
          <w:color w:val="auto"/>
          <w:sz w:val="24"/>
        </w:rPr>
        <w:t>3．重要的安全设施必须坚持与主体工程“三同时”的原则，即：同时设计、审批，同时施工，同时验收，投入使用。</w:t>
      </w:r>
    </w:p>
    <w:p w14:paraId="4ABF1448">
      <w:pPr>
        <w:spacing w:line="336" w:lineRule="auto"/>
        <w:ind w:firstLine="480" w:firstLineChars="200"/>
        <w:rPr>
          <w:rFonts w:hint="eastAsia" w:ascii="宋体" w:hAnsi="宋体"/>
          <w:color w:val="auto"/>
          <w:sz w:val="24"/>
        </w:rPr>
      </w:pPr>
      <w:r>
        <w:rPr>
          <w:rFonts w:hint="eastAsia" w:ascii="宋体" w:hAnsi="宋体"/>
          <w:color w:val="auto"/>
          <w:sz w:val="24"/>
        </w:rPr>
        <w:t>4．定期召开安全生产调度会，及时传达中央及地方有关安全生产的精神。</w:t>
      </w:r>
    </w:p>
    <w:p w14:paraId="528A780A">
      <w:pPr>
        <w:spacing w:line="336" w:lineRule="auto"/>
        <w:ind w:firstLine="480" w:firstLineChars="200"/>
        <w:rPr>
          <w:rFonts w:hint="eastAsia" w:ascii="宋体" w:hAnsi="宋体"/>
          <w:color w:val="auto"/>
          <w:sz w:val="24"/>
        </w:rPr>
      </w:pPr>
      <w:r>
        <w:rPr>
          <w:rFonts w:hint="eastAsia" w:ascii="宋体" w:hAnsi="宋体"/>
          <w:color w:val="auto"/>
          <w:sz w:val="24"/>
        </w:rPr>
        <w:t>5．组织对乙方施工现场安全生产检查，监督乙方及时处理发现的各项安全隐患</w:t>
      </w:r>
      <w:r>
        <w:rPr>
          <w:rFonts w:hint="eastAsia" w:ascii="宋体" w:hAnsi="宋体"/>
          <w:color w:val="auto"/>
          <w:sz w:val="24"/>
          <w:lang w:eastAsia="zh-CN"/>
        </w:rPr>
        <w:t>并责令乙方整改</w:t>
      </w:r>
      <w:r>
        <w:rPr>
          <w:rFonts w:hint="eastAsia" w:ascii="宋体" w:hAnsi="宋体"/>
          <w:color w:val="auto"/>
          <w:sz w:val="24"/>
        </w:rPr>
        <w:t>。</w:t>
      </w:r>
    </w:p>
    <w:p w14:paraId="7F783DE5">
      <w:pPr>
        <w:spacing w:line="336" w:lineRule="auto"/>
        <w:ind w:firstLine="480" w:firstLineChars="200"/>
        <w:rPr>
          <w:rFonts w:hint="eastAsia" w:ascii="宋体" w:hAnsi="宋体"/>
          <w:color w:val="auto"/>
          <w:sz w:val="24"/>
        </w:rPr>
      </w:pPr>
      <w:r>
        <w:rPr>
          <w:rFonts w:hint="eastAsia" w:ascii="宋体" w:hAnsi="宋体"/>
          <w:color w:val="auto"/>
          <w:sz w:val="24"/>
        </w:rPr>
        <w:t>二、乙方职责</w:t>
      </w:r>
    </w:p>
    <w:p w14:paraId="30D50897">
      <w:pPr>
        <w:spacing w:line="336" w:lineRule="auto"/>
        <w:ind w:firstLine="480" w:firstLineChars="200"/>
        <w:rPr>
          <w:rFonts w:hint="eastAsia" w:ascii="宋体" w:hAnsi="宋体"/>
          <w:color w:val="auto"/>
          <w:sz w:val="24"/>
        </w:rPr>
      </w:pPr>
      <w:r>
        <w:rPr>
          <w:rFonts w:hint="eastAsia" w:ascii="宋体" w:hAnsi="宋体"/>
          <w:color w:val="auto"/>
          <w:sz w:val="24"/>
        </w:rPr>
        <w:t>1．严格遵守国家有关安全生产的法律法规、交通部颁发的《公路工程施工安全技术规程》（JTJ 076—95）和《公路筑养路机械操作规程》有关安全生产的规定，认真执行工程承包合现中的有安全要求。</w:t>
      </w:r>
    </w:p>
    <w:p w14:paraId="7628138D">
      <w:pPr>
        <w:spacing w:line="336" w:lineRule="auto"/>
        <w:ind w:firstLine="480" w:firstLineChars="200"/>
        <w:rPr>
          <w:rFonts w:hint="eastAsia" w:ascii="宋体" w:hAnsi="宋体"/>
          <w:color w:val="auto"/>
          <w:sz w:val="24"/>
        </w:rPr>
      </w:pPr>
      <w:r>
        <w:rPr>
          <w:rFonts w:hint="eastAsia" w:ascii="宋体" w:hAnsi="宋体"/>
          <w:color w:val="auto"/>
          <w:sz w:val="24"/>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w:t>
      </w:r>
      <w:r>
        <w:rPr>
          <w:rFonts w:hint="eastAsia" w:ascii="宋体" w:hAnsi="宋体"/>
          <w:color w:val="auto"/>
          <w:sz w:val="24"/>
          <w:lang w:eastAsia="zh-CN"/>
        </w:rPr>
        <w:t>教育和排查活动</w:t>
      </w:r>
      <w:r>
        <w:rPr>
          <w:rFonts w:hint="eastAsia" w:ascii="宋体" w:hAnsi="宋体"/>
          <w:color w:val="auto"/>
          <w:sz w:val="24"/>
        </w:rPr>
        <w:t>。各级领导、工程技术人员、生产管理人员和具体操作人员，必须熟悉和遵守本条款的各项规定，做到生产与安全工作同时计划、布置、检查、总结和评比。</w:t>
      </w:r>
    </w:p>
    <w:p w14:paraId="745117C1">
      <w:pPr>
        <w:spacing w:line="336" w:lineRule="auto"/>
        <w:ind w:firstLine="480" w:firstLineChars="200"/>
        <w:rPr>
          <w:rFonts w:hint="eastAsia" w:ascii="宋体" w:hAnsi="宋体"/>
          <w:color w:val="auto"/>
          <w:sz w:val="24"/>
        </w:rPr>
      </w:pPr>
      <w:r>
        <w:rPr>
          <w:rFonts w:hint="eastAsia" w:ascii="宋体" w:hAnsi="宋体"/>
          <w:color w:val="auto"/>
          <w:sz w:val="24"/>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施工人员的1%～3%配备安全员，专职负责所有员工的安全和治安保卫工作及预防事故的发生。安全机构人员，有权按有关规定发布指令，并采取保护性措施防止事故发生。</w:t>
      </w:r>
    </w:p>
    <w:p w14:paraId="6707D1F2">
      <w:pPr>
        <w:spacing w:line="336" w:lineRule="auto"/>
        <w:ind w:firstLine="480" w:firstLineChars="200"/>
        <w:rPr>
          <w:rFonts w:hint="eastAsia" w:ascii="宋体" w:hAnsi="宋体"/>
          <w:color w:val="auto"/>
          <w:sz w:val="24"/>
        </w:rPr>
      </w:pPr>
      <w:r>
        <w:rPr>
          <w:rFonts w:hint="eastAsia" w:ascii="宋体" w:hAnsi="宋体"/>
          <w:color w:val="auto"/>
          <w:sz w:val="24"/>
        </w:rPr>
        <w:t>4．乙方在任何时候都应采取各种合理的预防措施，防止其员工发生任何违法、违禁、暴力或妨碍治安的行为。</w:t>
      </w:r>
    </w:p>
    <w:p w14:paraId="2CDE7EAF">
      <w:pPr>
        <w:spacing w:line="324" w:lineRule="auto"/>
        <w:ind w:firstLine="480" w:firstLineChars="200"/>
        <w:rPr>
          <w:rFonts w:hint="eastAsia" w:ascii="宋体" w:hAnsi="宋体"/>
          <w:color w:val="auto"/>
          <w:sz w:val="24"/>
        </w:rPr>
      </w:pPr>
      <w:r>
        <w:rPr>
          <w:rFonts w:hint="eastAsia" w:ascii="宋体" w:hAnsi="宋体"/>
          <w:color w:val="auto"/>
          <w:sz w:val="24"/>
        </w:rPr>
        <w:t>5．乙方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驾驶、爆破、潜水、瓦斯检验等特殊工种的人员。经过专业培训，获得《安全操作合格证》后，方准持证上岗。施工现场如出现特种作业无证操作现象时，项目经理必须承担管理责任。</w:t>
      </w:r>
    </w:p>
    <w:p w14:paraId="1FC48A91">
      <w:pPr>
        <w:spacing w:line="324" w:lineRule="auto"/>
        <w:ind w:firstLine="480" w:firstLineChars="200"/>
        <w:rPr>
          <w:rFonts w:hint="eastAsia" w:ascii="宋体" w:hAnsi="宋体"/>
          <w:color w:val="auto"/>
          <w:sz w:val="24"/>
        </w:rPr>
      </w:pPr>
      <w:r>
        <w:rPr>
          <w:rFonts w:hint="eastAsia" w:ascii="宋体" w:hAnsi="宋体"/>
          <w:color w:val="auto"/>
          <w:sz w:val="24"/>
        </w:rPr>
        <w:t>6．对于易燃易爆的材料除应专门妥善保管之外，还应配备有足够的消防设施，所有施工人员都应熟悉消防设备的性能和使用方法；乙方不得将任何种类的爆炸物给予、易货或以其他方式转让给任何其他人，或允许、容忍上述同样行为。</w:t>
      </w:r>
    </w:p>
    <w:p w14:paraId="1093EBC2">
      <w:pPr>
        <w:spacing w:line="324" w:lineRule="auto"/>
        <w:ind w:firstLine="480" w:firstLineChars="200"/>
        <w:rPr>
          <w:rFonts w:hint="eastAsia" w:ascii="宋体" w:hAnsi="宋体"/>
          <w:color w:val="auto"/>
          <w:sz w:val="24"/>
        </w:rPr>
      </w:pPr>
      <w:r>
        <w:rPr>
          <w:rFonts w:hint="eastAsia" w:ascii="宋体" w:hAnsi="宋体"/>
          <w:color w:val="auto"/>
          <w:sz w:val="24"/>
        </w:rPr>
        <w:t>7．操作人员上岗，必须按规定穿戴防护用品。施工负责人和安全检查员应随时检查劳动防护用品的穿戴情况，不按规定穿戴防护用品的人员不得上岗。</w:t>
      </w:r>
    </w:p>
    <w:p w14:paraId="147C258A">
      <w:pPr>
        <w:spacing w:line="324" w:lineRule="auto"/>
        <w:ind w:firstLine="480" w:firstLineChars="200"/>
        <w:rPr>
          <w:rFonts w:hint="eastAsia" w:ascii="宋体" w:hAnsi="宋体"/>
          <w:color w:val="auto"/>
          <w:sz w:val="24"/>
        </w:rPr>
      </w:pPr>
      <w:r>
        <w:rPr>
          <w:rFonts w:hint="eastAsia" w:ascii="宋体" w:hAnsi="宋体"/>
          <w:color w:val="auto"/>
          <w:sz w:val="24"/>
        </w:rPr>
        <w:t>8．所有施工机具设备和高空作业的设备均应定期检查，并有安全员的签字记录，保证其经常处于完好状态；不合格的机具、设备和劳动保护用品严禁使用。</w:t>
      </w:r>
    </w:p>
    <w:p w14:paraId="2A272D8A">
      <w:pPr>
        <w:spacing w:line="324" w:lineRule="auto"/>
        <w:ind w:firstLine="480" w:firstLineChars="200"/>
        <w:rPr>
          <w:rFonts w:hint="eastAsia" w:ascii="宋体" w:hAnsi="宋体"/>
          <w:color w:val="auto"/>
          <w:sz w:val="24"/>
        </w:rPr>
      </w:pPr>
      <w:r>
        <w:rPr>
          <w:rFonts w:hint="eastAsia" w:ascii="宋体" w:hAnsi="宋体"/>
          <w:color w:val="auto"/>
          <w:sz w:val="24"/>
        </w:rPr>
        <w:t>9．施工中采用新技术、新工艺、新设备、新材料时，必须制定相应的安全技术措施，施工现场必须具有相关的安全标志牌。</w:t>
      </w:r>
    </w:p>
    <w:p w14:paraId="1DD01B7E">
      <w:pPr>
        <w:spacing w:line="324" w:lineRule="auto"/>
        <w:ind w:firstLine="480" w:firstLineChars="200"/>
        <w:rPr>
          <w:rFonts w:hint="eastAsia" w:ascii="宋体" w:hAnsi="宋体"/>
          <w:color w:val="auto"/>
          <w:sz w:val="24"/>
        </w:rPr>
      </w:pPr>
      <w:r>
        <w:rPr>
          <w:rFonts w:hint="eastAsia" w:ascii="宋体" w:hAnsi="宋体"/>
          <w:color w:val="auto"/>
          <w:sz w:val="24"/>
        </w:rPr>
        <w:t>10．乙方必须按照本工程项目特点，组织制定本工程实施中的生产安全事故应急救援预案；如果发生安全事故，</w:t>
      </w:r>
      <w:r>
        <w:rPr>
          <w:rFonts w:hint="eastAsia" w:ascii="宋体" w:hAnsi="宋体"/>
          <w:color w:val="auto"/>
          <w:sz w:val="24"/>
          <w:lang w:eastAsia="zh-CN"/>
        </w:rPr>
        <w:t>乙方承担全部责任，并</w:t>
      </w:r>
      <w:r>
        <w:rPr>
          <w:rFonts w:hint="eastAsia" w:ascii="宋体" w:hAnsi="宋体"/>
          <w:color w:val="auto"/>
          <w:sz w:val="24"/>
        </w:rPr>
        <w:t>按照《国务院关于特大安全事故行政责任追究的规定》以及其它有关规定，及时上报有关部门，并坚持“三不放过”的原则，严肃处理相关责任人。</w:t>
      </w:r>
    </w:p>
    <w:p w14:paraId="409B535B">
      <w:pPr>
        <w:spacing w:line="324" w:lineRule="auto"/>
        <w:ind w:firstLine="480" w:firstLineChars="200"/>
        <w:rPr>
          <w:rFonts w:hint="eastAsia" w:ascii="宋体" w:hAnsi="宋体"/>
          <w:color w:val="auto"/>
          <w:sz w:val="24"/>
        </w:rPr>
      </w:pPr>
      <w:r>
        <w:rPr>
          <w:rFonts w:hint="eastAsia" w:ascii="宋体" w:hAnsi="宋体"/>
          <w:color w:val="auto"/>
          <w:sz w:val="24"/>
        </w:rPr>
        <w:t>三、违约责任</w:t>
      </w:r>
    </w:p>
    <w:p w14:paraId="56D86006">
      <w:pPr>
        <w:spacing w:line="324" w:lineRule="auto"/>
        <w:ind w:firstLine="480" w:firstLineChars="200"/>
        <w:rPr>
          <w:rFonts w:hint="eastAsia" w:ascii="宋体" w:hAnsi="宋体"/>
          <w:color w:val="auto"/>
          <w:sz w:val="24"/>
        </w:rPr>
      </w:pPr>
      <w:r>
        <w:rPr>
          <w:rFonts w:hint="eastAsia" w:ascii="宋体" w:hAnsi="宋体"/>
          <w:color w:val="auto"/>
          <w:sz w:val="24"/>
        </w:rPr>
        <w:t>如因甲方或乙方违约造成安全事故，将依法追究责任。</w:t>
      </w:r>
    </w:p>
    <w:p w14:paraId="0DBC277C">
      <w:pPr>
        <w:spacing w:line="324" w:lineRule="auto"/>
        <w:ind w:firstLine="480" w:firstLineChars="200"/>
        <w:rPr>
          <w:rFonts w:hint="eastAsia" w:ascii="宋体" w:hAnsi="宋体"/>
          <w:color w:val="auto"/>
          <w:sz w:val="24"/>
        </w:rPr>
      </w:pPr>
      <w:r>
        <w:rPr>
          <w:rFonts w:hint="eastAsia" w:ascii="宋体" w:hAnsi="宋体"/>
          <w:color w:val="auto"/>
          <w:sz w:val="24"/>
        </w:rPr>
        <w:t>本合同正本一式贰份，副本贰份，合同双方各执正本壹份，副本壹份。由双方法定代表人或其授权的代理人签署与加盖公章后生效，全部工程竣工验收后失效。</w:t>
      </w:r>
    </w:p>
    <w:p w14:paraId="098FD1F6">
      <w:pPr>
        <w:spacing w:line="336" w:lineRule="auto"/>
        <w:rPr>
          <w:rFonts w:hint="eastAsia" w:ascii="宋体" w:hAnsi="宋体"/>
          <w:color w:val="auto"/>
          <w:sz w:val="24"/>
        </w:rPr>
      </w:pPr>
    </w:p>
    <w:p w14:paraId="68EC01FA">
      <w:pPr>
        <w:spacing w:line="312" w:lineRule="auto"/>
        <w:ind w:left="279" w:leftChars="133"/>
        <w:rPr>
          <w:rFonts w:hint="eastAsia" w:ascii="宋体" w:hAnsi="宋体" w:eastAsia="宋体"/>
          <w:color w:val="auto"/>
          <w:sz w:val="24"/>
          <w:lang w:eastAsia="zh-CN"/>
        </w:rPr>
      </w:pPr>
      <w:r>
        <w:rPr>
          <w:rFonts w:hint="eastAsia" w:ascii="宋体" w:hAnsi="宋体"/>
          <w:color w:val="auto"/>
          <w:sz w:val="24"/>
        </w:rPr>
        <w:t>甲 方：</w:t>
      </w:r>
      <w:r>
        <w:rPr>
          <w:rFonts w:hint="eastAsia" w:ascii="宋体" w:hAnsi="宋体"/>
          <w:color w:val="auto"/>
          <w:sz w:val="24"/>
          <w:lang w:eastAsia="zh-CN"/>
        </w:rPr>
        <w:t>XX局(或xx中心）</w:t>
      </w:r>
      <w:r>
        <w:rPr>
          <w:rFonts w:hint="eastAsia" w:ascii="宋体" w:hAnsi="宋体"/>
          <w:color w:val="auto"/>
          <w:sz w:val="24"/>
        </w:rPr>
        <w:t xml:space="preserve">           乙 方：</w:t>
      </w:r>
      <w:r>
        <w:rPr>
          <w:rFonts w:hint="eastAsia" w:ascii="宋体" w:hAnsi="宋体"/>
          <w:color w:val="auto"/>
          <w:sz w:val="24"/>
          <w:lang w:eastAsia="zh-CN"/>
        </w:rPr>
        <w:t>XX公司</w:t>
      </w:r>
    </w:p>
    <w:p w14:paraId="49DAF035">
      <w:pPr>
        <w:spacing w:line="312" w:lineRule="auto"/>
        <w:ind w:left="279" w:leftChars="133"/>
        <w:rPr>
          <w:rFonts w:hint="eastAsia" w:ascii="宋体" w:hAnsi="宋体"/>
          <w:color w:val="auto"/>
          <w:sz w:val="24"/>
        </w:rPr>
      </w:pPr>
      <w:r>
        <w:rPr>
          <w:rFonts w:hint="eastAsia" w:ascii="宋体" w:hAnsi="宋体"/>
          <w:color w:val="auto"/>
          <w:sz w:val="24"/>
        </w:rPr>
        <w:t>法定代表人：                      法定代人或其</w:t>
      </w:r>
    </w:p>
    <w:p w14:paraId="7FC29194">
      <w:pPr>
        <w:spacing w:line="312" w:lineRule="auto"/>
        <w:ind w:firstLine="1488" w:firstLineChars="620"/>
        <w:rPr>
          <w:rFonts w:hint="eastAsia" w:ascii="宋体" w:hAnsi="宋体"/>
          <w:color w:val="auto"/>
          <w:sz w:val="24"/>
        </w:rPr>
      </w:pPr>
      <w:r>
        <w:rPr>
          <w:rFonts w:hint="eastAsia" w:ascii="宋体" w:hAnsi="宋体"/>
          <w:color w:val="auto"/>
          <w:sz w:val="24"/>
        </w:rPr>
        <w:t xml:space="preserve">                        授权的代理人：</w:t>
      </w:r>
    </w:p>
    <w:p w14:paraId="056A4C29">
      <w:pPr>
        <w:spacing w:line="312" w:lineRule="auto"/>
        <w:ind w:firstLine="240" w:firstLineChars="100"/>
        <w:rPr>
          <w:rFonts w:hint="eastAsia" w:ascii="宋体" w:hAnsi="宋体"/>
          <w:color w:val="auto"/>
          <w:sz w:val="24"/>
        </w:rPr>
      </w:pPr>
      <w:r>
        <w:rPr>
          <w:rFonts w:hint="eastAsia" w:ascii="宋体" w:hAnsi="宋体"/>
          <w:color w:val="auto"/>
          <w:sz w:val="24"/>
        </w:rPr>
        <w:t>职  务：</w:t>
      </w:r>
      <w:r>
        <w:rPr>
          <w:rFonts w:hint="eastAsia" w:ascii="宋体" w:hAnsi="宋体"/>
          <w:color w:val="auto"/>
          <w:sz w:val="24"/>
          <w:u w:val="single"/>
        </w:rPr>
        <w:t xml:space="preserve">                </w:t>
      </w:r>
      <w:r>
        <w:rPr>
          <w:rFonts w:hint="eastAsia" w:ascii="宋体" w:hAnsi="宋体"/>
          <w:color w:val="auto"/>
          <w:sz w:val="24"/>
        </w:rPr>
        <w:t xml:space="preserve">          职  务： </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r>
        <w:rPr>
          <w:rFonts w:hint="eastAsia" w:ascii="宋体" w:hAnsi="宋体"/>
          <w:color w:val="auto"/>
          <w:sz w:val="24"/>
          <w:u w:val="single"/>
        </w:rPr>
        <w:t xml:space="preserve">         </w:t>
      </w:r>
      <w:r>
        <w:rPr>
          <w:rFonts w:hint="eastAsia" w:ascii="宋体" w:hAnsi="宋体"/>
          <w:color w:val="auto"/>
          <w:sz w:val="24"/>
        </w:rPr>
        <w:t xml:space="preserve">   </w:t>
      </w:r>
    </w:p>
    <w:p w14:paraId="39511189">
      <w:pPr>
        <w:spacing w:line="312" w:lineRule="auto"/>
        <w:rPr>
          <w:rFonts w:hint="eastAsia" w:ascii="宋体" w:hAnsi="宋体"/>
          <w:color w:val="auto"/>
          <w:sz w:val="24"/>
        </w:rPr>
      </w:pPr>
      <w:r>
        <w:rPr>
          <w:rFonts w:hint="eastAsia" w:ascii="宋体" w:hAnsi="宋体"/>
          <w:color w:val="auto"/>
          <w:sz w:val="24"/>
        </w:rPr>
        <w:t xml:space="preserve">  姓  名：</w:t>
      </w:r>
      <w:r>
        <w:rPr>
          <w:rFonts w:hint="eastAsia" w:ascii="宋体" w:hAnsi="宋体"/>
          <w:color w:val="auto"/>
          <w:sz w:val="24"/>
          <w:u w:val="single"/>
        </w:rPr>
        <w:t xml:space="preserve">                </w:t>
      </w:r>
      <w:r>
        <w:rPr>
          <w:rFonts w:hint="eastAsia" w:ascii="宋体" w:hAnsi="宋体"/>
          <w:color w:val="auto"/>
          <w:sz w:val="24"/>
        </w:rPr>
        <w:t xml:space="preserve">          姓  名 ：</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r>
        <w:rPr>
          <w:rFonts w:hint="eastAsia" w:ascii="宋体" w:hAnsi="宋体"/>
          <w:color w:val="auto"/>
          <w:sz w:val="24"/>
          <w:u w:val="single"/>
        </w:rPr>
        <w:t xml:space="preserve">        </w:t>
      </w:r>
      <w:r>
        <w:rPr>
          <w:rFonts w:hint="eastAsia" w:ascii="宋体" w:hAnsi="宋体"/>
          <w:color w:val="auto"/>
          <w:sz w:val="24"/>
        </w:rPr>
        <w:t xml:space="preserve">  </w:t>
      </w:r>
    </w:p>
    <w:p w14:paraId="38561B55">
      <w:pPr>
        <w:spacing w:line="312" w:lineRule="auto"/>
        <w:rPr>
          <w:rFonts w:hint="default" w:ascii="宋体" w:hAnsi="宋体"/>
          <w:color w:val="auto"/>
          <w:sz w:val="24"/>
          <w:u w:val="single"/>
          <w:lang w:val="en-US"/>
        </w:rPr>
      </w:pPr>
      <w:r>
        <w:rPr>
          <w:rFonts w:hint="eastAsia" w:ascii="宋体" w:hAnsi="宋体"/>
          <w:color w:val="auto"/>
          <w:sz w:val="24"/>
        </w:rPr>
        <w:t xml:space="preserve">  地  址：</w:t>
      </w:r>
      <w:r>
        <w:rPr>
          <w:rFonts w:hint="eastAsia" w:ascii="宋体" w:hAnsi="宋体"/>
          <w:color w:val="auto"/>
          <w:sz w:val="24"/>
          <w:u w:val="single"/>
        </w:rPr>
        <w:t>龙州县城北路22号</w:t>
      </w:r>
      <w:r>
        <w:rPr>
          <w:rFonts w:hint="eastAsia" w:ascii="宋体" w:hAnsi="宋体"/>
          <w:color w:val="auto"/>
          <w:sz w:val="24"/>
        </w:rPr>
        <w:t xml:space="preserve">         地  址：</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p w14:paraId="10CF7132">
      <w:pPr>
        <w:spacing w:line="312" w:lineRule="auto"/>
        <w:ind w:firstLine="240" w:firstLineChars="100"/>
        <w:rPr>
          <w:rFonts w:hint="eastAsia" w:ascii="宋体" w:hAnsi="宋体"/>
          <w:color w:val="auto"/>
          <w:sz w:val="24"/>
        </w:rPr>
      </w:pPr>
      <w:r>
        <w:rPr>
          <w:rFonts w:hint="eastAsia" w:ascii="宋体" w:hAnsi="宋体"/>
          <w:color w:val="auto"/>
          <w:sz w:val="24"/>
        </w:rPr>
        <w:t xml:space="preserve">电  话： </w:t>
      </w:r>
      <w:r>
        <w:rPr>
          <w:rFonts w:hint="eastAsia" w:ascii="宋体" w:hAnsi="宋体"/>
          <w:color w:val="auto"/>
          <w:sz w:val="24"/>
          <w:u w:val="single"/>
        </w:rPr>
        <w:t xml:space="preserve">0771-8821868   </w:t>
      </w:r>
      <w:r>
        <w:rPr>
          <w:rFonts w:hint="eastAsia" w:ascii="宋体" w:hAnsi="宋体"/>
          <w:color w:val="auto"/>
          <w:sz w:val="24"/>
        </w:rPr>
        <w:t xml:space="preserve">          电  话：</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r>
        <w:rPr>
          <w:rFonts w:hint="eastAsia" w:ascii="宋体" w:hAnsi="宋体"/>
          <w:color w:val="auto"/>
          <w:sz w:val="24"/>
          <w:u w:val="single"/>
        </w:rPr>
        <w:t xml:space="preserve">              </w:t>
      </w:r>
    </w:p>
    <w:p w14:paraId="7079BC5B">
      <w:pPr>
        <w:spacing w:line="312" w:lineRule="auto"/>
        <w:ind w:firstLine="240" w:firstLineChars="100"/>
        <w:jc w:val="both"/>
        <w:rPr>
          <w:rFonts w:hint="eastAsia" w:ascii="黑体" w:hAnsi="宋体" w:eastAsia="黑体"/>
          <w:b/>
          <w:bCs/>
          <w:color w:val="auto"/>
          <w:spacing w:val="60"/>
          <w:sz w:val="36"/>
          <w:szCs w:val="36"/>
        </w:rPr>
      </w:pPr>
      <w:r>
        <w:rPr>
          <w:rFonts w:hint="eastAsia" w:ascii="宋体" w:hAnsi="宋体"/>
          <w:color w:val="auto"/>
          <w:sz w:val="24"/>
        </w:rPr>
        <w:t>日  期：</w:t>
      </w:r>
      <w:r>
        <w:rPr>
          <w:rFonts w:hint="eastAsia"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hint="eastAsia" w:ascii="宋体" w:hAnsi="宋体"/>
          <w:color w:val="auto"/>
          <w:sz w:val="24"/>
        </w:rPr>
        <w:t>日        日  期：</w:t>
      </w:r>
      <w:r>
        <w:rPr>
          <w:rFonts w:hint="eastAsia"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hint="eastAsia" w:ascii="宋体" w:hAnsi="宋体"/>
          <w:color w:val="auto"/>
          <w:sz w:val="24"/>
        </w:rPr>
        <w:t>日</w:t>
      </w:r>
      <w:bookmarkStart w:id="114" w:name="_Toc234382953"/>
    </w:p>
    <w:p w14:paraId="618A7FAC">
      <w:pPr>
        <w:spacing w:line="312" w:lineRule="auto"/>
        <w:ind w:firstLine="480" w:firstLineChars="100"/>
        <w:jc w:val="center"/>
        <w:rPr>
          <w:rFonts w:hint="eastAsia" w:ascii="宋体" w:hAnsi="宋体"/>
          <w:b/>
          <w:bCs/>
          <w:color w:val="auto"/>
          <w:spacing w:val="60"/>
          <w:sz w:val="36"/>
          <w:szCs w:val="36"/>
        </w:rPr>
      </w:pPr>
    </w:p>
    <w:p w14:paraId="043A093F">
      <w:pPr>
        <w:spacing w:line="312" w:lineRule="auto"/>
        <w:ind w:firstLine="480" w:firstLineChars="100"/>
        <w:jc w:val="center"/>
        <w:rPr>
          <w:rFonts w:hint="eastAsia" w:ascii="黑体" w:hAnsi="宋体" w:eastAsia="黑体"/>
          <w:b/>
          <w:bCs/>
          <w:color w:val="auto"/>
          <w:spacing w:val="60"/>
          <w:sz w:val="36"/>
          <w:szCs w:val="36"/>
        </w:rPr>
      </w:pPr>
      <w:r>
        <w:rPr>
          <w:rFonts w:hint="eastAsia" w:ascii="宋体" w:hAnsi="宋体"/>
          <w:b/>
          <w:bCs/>
          <w:color w:val="auto"/>
          <w:spacing w:val="60"/>
          <w:sz w:val="36"/>
          <w:szCs w:val="36"/>
        </w:rPr>
        <w:t>通用合同条款</w:t>
      </w:r>
    </w:p>
    <w:p w14:paraId="01221B75">
      <w:pPr>
        <w:snapToGrid w:val="0"/>
        <w:spacing w:line="360" w:lineRule="auto"/>
        <w:outlineLvl w:val="0"/>
        <w:rPr>
          <w:rFonts w:hint="eastAsia" w:ascii="宋体" w:hAnsi="宋体"/>
          <w:color w:val="auto"/>
          <w:sz w:val="28"/>
        </w:rPr>
      </w:pPr>
      <w:r>
        <w:rPr>
          <w:rFonts w:hint="eastAsia" w:ascii="宋体" w:hAnsi="宋体"/>
          <w:bCs/>
          <w:color w:val="auto"/>
          <w:spacing w:val="60"/>
          <w:sz w:val="28"/>
          <w:szCs w:val="28"/>
        </w:rPr>
        <w:t xml:space="preserve"> </w:t>
      </w:r>
      <w:r>
        <w:rPr>
          <w:rFonts w:hint="eastAsia" w:ascii="宋体" w:hAnsi="宋体"/>
          <w:color w:val="auto"/>
          <w:sz w:val="28"/>
        </w:rPr>
        <w:t>“通用合同条款”采用2018年版《公路工程标准施工招标文件》的“通用合同条款”。</w:t>
      </w:r>
    </w:p>
    <w:p w14:paraId="77C8C3D2">
      <w:pPr>
        <w:snapToGrid w:val="0"/>
        <w:spacing w:line="360" w:lineRule="auto"/>
        <w:jc w:val="center"/>
        <w:outlineLvl w:val="0"/>
        <w:rPr>
          <w:rFonts w:hint="eastAsia" w:ascii="宋体" w:hAnsi="宋体"/>
          <w:b/>
          <w:bCs/>
          <w:color w:val="auto"/>
          <w:spacing w:val="60"/>
          <w:sz w:val="36"/>
          <w:szCs w:val="36"/>
        </w:rPr>
      </w:pPr>
      <w:r>
        <w:rPr>
          <w:rFonts w:ascii="黑体" w:hAnsi="宋体" w:eastAsia="黑体"/>
          <w:bCs/>
          <w:color w:val="auto"/>
          <w:spacing w:val="60"/>
          <w:sz w:val="52"/>
          <w:szCs w:val="52"/>
        </w:rPr>
        <w:br w:type="page"/>
      </w:r>
      <w:r>
        <w:rPr>
          <w:rFonts w:hint="eastAsia" w:ascii="宋体" w:hAnsi="宋体"/>
          <w:b/>
          <w:bCs/>
          <w:color w:val="auto"/>
          <w:spacing w:val="60"/>
          <w:sz w:val="36"/>
          <w:szCs w:val="36"/>
        </w:rPr>
        <w:t>专用合同条款</w:t>
      </w:r>
    </w:p>
    <w:p w14:paraId="05E701F7">
      <w:pPr>
        <w:tabs>
          <w:tab w:val="left" w:pos="1080"/>
        </w:tabs>
        <w:spacing w:line="360" w:lineRule="exact"/>
        <w:ind w:left="-359" w:leftChars="-171"/>
        <w:jc w:val="center"/>
        <w:rPr>
          <w:rFonts w:hint="eastAsia" w:ascii="宋体" w:hAnsi="宋体"/>
          <w:b/>
          <w:color w:val="auto"/>
          <w:sz w:val="30"/>
          <w:szCs w:val="30"/>
        </w:rPr>
      </w:pPr>
      <w:r>
        <w:rPr>
          <w:rFonts w:hint="eastAsia" w:ascii="宋体" w:hAnsi="宋体"/>
          <w:b/>
          <w:color w:val="auto"/>
          <w:sz w:val="30"/>
          <w:szCs w:val="30"/>
        </w:rPr>
        <w:t>A.公路工程专用合同条款</w:t>
      </w:r>
    </w:p>
    <w:p w14:paraId="0615B352">
      <w:pPr>
        <w:tabs>
          <w:tab w:val="left" w:pos="1080"/>
        </w:tabs>
        <w:spacing w:line="360" w:lineRule="exact"/>
        <w:ind w:left="-359" w:leftChars="-171"/>
        <w:jc w:val="center"/>
        <w:rPr>
          <w:rFonts w:hint="eastAsia" w:ascii="宋体" w:hAnsi="宋体"/>
          <w:b/>
          <w:color w:val="auto"/>
          <w:sz w:val="30"/>
          <w:szCs w:val="30"/>
        </w:rPr>
      </w:pPr>
    </w:p>
    <w:p w14:paraId="6D52C437">
      <w:pPr>
        <w:tabs>
          <w:tab w:val="left" w:pos="1080"/>
        </w:tabs>
        <w:spacing w:line="360" w:lineRule="exact"/>
        <w:ind w:firstLine="480" w:firstLineChars="200"/>
        <w:rPr>
          <w:rFonts w:hint="eastAsia" w:ascii="宋体" w:hAnsi="宋体"/>
          <w:b/>
          <w:color w:val="auto"/>
          <w:sz w:val="30"/>
          <w:szCs w:val="30"/>
        </w:rPr>
      </w:pPr>
      <w:r>
        <w:rPr>
          <w:rFonts w:hint="eastAsia" w:ascii="宋体" w:hAnsi="宋体"/>
          <w:color w:val="auto"/>
          <w:sz w:val="24"/>
        </w:rPr>
        <w:t>“</w:t>
      </w:r>
      <w:r>
        <w:rPr>
          <w:rFonts w:hint="eastAsia" w:ascii="宋体" w:hAnsi="宋体"/>
          <w:b/>
          <w:color w:val="auto"/>
          <w:sz w:val="24"/>
        </w:rPr>
        <w:t>公路工程专用合同条款”采用交通运输部《公路工程标准施工招标文件》（2018年版）的“公路工程专用合同条款”。</w:t>
      </w:r>
    </w:p>
    <w:p w14:paraId="3418379C">
      <w:pPr>
        <w:tabs>
          <w:tab w:val="left" w:pos="1080"/>
        </w:tabs>
        <w:spacing w:line="360" w:lineRule="exact"/>
        <w:ind w:left="-359" w:leftChars="-171"/>
        <w:jc w:val="center"/>
        <w:rPr>
          <w:rFonts w:hint="eastAsia" w:ascii="宋体" w:hAnsi="宋体"/>
          <w:b/>
          <w:color w:val="auto"/>
          <w:sz w:val="30"/>
          <w:szCs w:val="30"/>
        </w:rPr>
      </w:pPr>
    </w:p>
    <w:p w14:paraId="44998326">
      <w:pPr>
        <w:tabs>
          <w:tab w:val="left" w:pos="1080"/>
        </w:tabs>
        <w:spacing w:line="360" w:lineRule="exact"/>
        <w:ind w:left="-359" w:leftChars="-171"/>
        <w:jc w:val="center"/>
        <w:rPr>
          <w:rFonts w:hint="eastAsia" w:ascii="宋体" w:hAnsi="宋体"/>
          <w:b/>
          <w:color w:val="auto"/>
          <w:sz w:val="30"/>
          <w:szCs w:val="30"/>
        </w:rPr>
      </w:pPr>
    </w:p>
    <w:p w14:paraId="35FAF0C3">
      <w:pPr>
        <w:tabs>
          <w:tab w:val="left" w:pos="1080"/>
        </w:tabs>
        <w:spacing w:line="360" w:lineRule="exact"/>
        <w:ind w:left="-359" w:leftChars="-171"/>
        <w:jc w:val="center"/>
        <w:rPr>
          <w:rFonts w:hint="eastAsia" w:ascii="宋体" w:hAnsi="宋体"/>
          <w:b/>
          <w:color w:val="auto"/>
          <w:sz w:val="30"/>
          <w:szCs w:val="30"/>
        </w:rPr>
      </w:pPr>
    </w:p>
    <w:p w14:paraId="585E4749">
      <w:pPr>
        <w:tabs>
          <w:tab w:val="left" w:pos="1080"/>
        </w:tabs>
        <w:spacing w:line="360" w:lineRule="exact"/>
        <w:ind w:left="-359" w:leftChars="-171"/>
        <w:jc w:val="center"/>
        <w:rPr>
          <w:rFonts w:hint="eastAsia" w:ascii="宋体" w:hAnsi="宋体"/>
          <w:b/>
          <w:color w:val="auto"/>
          <w:sz w:val="30"/>
          <w:szCs w:val="30"/>
        </w:rPr>
      </w:pPr>
    </w:p>
    <w:p w14:paraId="0A801E69">
      <w:pPr>
        <w:tabs>
          <w:tab w:val="left" w:pos="1080"/>
        </w:tabs>
        <w:spacing w:line="360" w:lineRule="exact"/>
        <w:ind w:firstLine="480" w:firstLineChars="200"/>
        <w:rPr>
          <w:rFonts w:hint="eastAsia" w:ascii="宋体" w:hAnsi="宋体"/>
          <w:color w:val="auto"/>
          <w:sz w:val="24"/>
        </w:rPr>
      </w:pPr>
      <w:r>
        <w:rPr>
          <w:rFonts w:hint="eastAsia" w:ascii="宋体" w:hAnsi="宋体"/>
          <w:color w:val="auto"/>
          <w:sz w:val="24"/>
        </w:rPr>
        <w:t>注：《公路工程标准施工招标文件》（2018年版）由投标人自行到书店购买。</w:t>
      </w:r>
    </w:p>
    <w:p w14:paraId="43DAF7D0">
      <w:pPr>
        <w:tabs>
          <w:tab w:val="left" w:pos="1080"/>
        </w:tabs>
        <w:spacing w:line="360" w:lineRule="exact"/>
        <w:ind w:left="-359" w:leftChars="-171"/>
        <w:jc w:val="center"/>
        <w:rPr>
          <w:rFonts w:hint="eastAsia" w:ascii="宋体" w:hAnsi="宋体"/>
          <w:b/>
          <w:color w:val="auto"/>
          <w:sz w:val="30"/>
          <w:szCs w:val="30"/>
        </w:rPr>
      </w:pPr>
    </w:p>
    <w:p w14:paraId="47DF7861">
      <w:pPr>
        <w:snapToGrid w:val="0"/>
        <w:spacing w:line="360" w:lineRule="auto"/>
        <w:ind w:firstLine="280" w:firstLineChars="100"/>
        <w:outlineLvl w:val="0"/>
        <w:rPr>
          <w:rFonts w:hint="eastAsia" w:ascii="宋体" w:hAnsi="宋体"/>
          <w:color w:val="auto"/>
          <w:sz w:val="28"/>
        </w:rPr>
      </w:pPr>
    </w:p>
    <w:p w14:paraId="09B3E6AC">
      <w:pPr>
        <w:snapToGrid w:val="0"/>
        <w:spacing w:line="360" w:lineRule="auto"/>
        <w:ind w:firstLine="280" w:firstLineChars="100"/>
        <w:outlineLvl w:val="0"/>
        <w:rPr>
          <w:rFonts w:hint="eastAsia" w:ascii="宋体" w:hAnsi="宋体"/>
          <w:color w:val="auto"/>
          <w:sz w:val="28"/>
        </w:rPr>
      </w:pPr>
    </w:p>
    <w:p w14:paraId="2CDA6916">
      <w:pPr>
        <w:snapToGrid w:val="0"/>
        <w:spacing w:line="360" w:lineRule="auto"/>
        <w:ind w:firstLine="280"/>
        <w:jc w:val="center"/>
        <w:outlineLvl w:val="0"/>
        <w:rPr>
          <w:rFonts w:hint="eastAsia" w:ascii="宋体" w:hAnsi="宋体"/>
          <w:b/>
          <w:bCs/>
          <w:color w:val="auto"/>
          <w:spacing w:val="60"/>
          <w:sz w:val="28"/>
          <w:szCs w:val="28"/>
        </w:rPr>
      </w:pPr>
      <w:r>
        <w:rPr>
          <w:rFonts w:ascii="黑体" w:hAnsi="宋体" w:eastAsia="黑体"/>
          <w:bCs/>
          <w:color w:val="auto"/>
          <w:spacing w:val="60"/>
          <w:sz w:val="52"/>
          <w:szCs w:val="52"/>
        </w:rPr>
        <w:br w:type="page"/>
      </w:r>
      <w:r>
        <w:rPr>
          <w:rFonts w:hint="eastAsia" w:ascii="宋体" w:hAnsi="宋体"/>
          <w:b/>
          <w:bCs/>
          <w:color w:val="auto"/>
          <w:spacing w:val="60"/>
          <w:sz w:val="28"/>
          <w:szCs w:val="28"/>
        </w:rPr>
        <w:t>B.项目专用条款</w:t>
      </w:r>
    </w:p>
    <w:p w14:paraId="08B20C8A">
      <w:pPr>
        <w:tabs>
          <w:tab w:val="left" w:pos="1080"/>
        </w:tabs>
        <w:spacing w:line="360" w:lineRule="exact"/>
        <w:rPr>
          <w:rFonts w:hint="eastAsia" w:ascii="宋体" w:hAnsi="宋体"/>
          <w:color w:val="auto"/>
          <w:sz w:val="28"/>
          <w:szCs w:val="28"/>
        </w:rPr>
      </w:pPr>
      <w:r>
        <w:rPr>
          <w:rFonts w:hint="eastAsia" w:ascii="宋体" w:hAnsi="宋体"/>
          <w:color w:val="auto"/>
          <w:sz w:val="28"/>
          <w:szCs w:val="28"/>
        </w:rPr>
        <w:t>说明：</w:t>
      </w:r>
    </w:p>
    <w:p w14:paraId="61E88E99">
      <w:pPr>
        <w:tabs>
          <w:tab w:val="left" w:pos="1080"/>
        </w:tabs>
        <w:spacing w:line="400" w:lineRule="exact"/>
        <w:ind w:firstLine="420" w:firstLineChars="150"/>
        <w:rPr>
          <w:rFonts w:hint="eastAsia" w:ascii="宋体" w:hAnsi="宋体"/>
          <w:color w:val="auto"/>
          <w:sz w:val="28"/>
          <w:szCs w:val="28"/>
        </w:rPr>
      </w:pPr>
      <w:r>
        <w:rPr>
          <w:rFonts w:hint="eastAsia" w:ascii="宋体" w:hAnsi="宋体"/>
          <w:color w:val="auto"/>
          <w:sz w:val="28"/>
          <w:szCs w:val="28"/>
        </w:rPr>
        <w:t>1.招标人在根据《公路工程标准施工招标文件》（2018年版）编制项目招标文件中的“项目专用合同条款”时，可根据招标项目的具体特点和实际需要，对“通用合同条款”及“公路工程专用合同条款”进行补充和细化，除“通用合同条款”明确“专用合同条款”可作出不同约定以及“公路工程专用合同条款”明确“项目专用合同条款”可作出不同约定外，补充和细化的内容不得与“通用合同条款”及“公路工程专用合同条款”强制性规定相抵触。同时，补充、细化或约定的不同内容，不得违反法律、行政法规的强制性规定和平等、自愿、公平和诚实信用原则。</w:t>
      </w:r>
    </w:p>
    <w:p w14:paraId="259F204F">
      <w:pPr>
        <w:tabs>
          <w:tab w:val="left" w:pos="1080"/>
        </w:tabs>
        <w:spacing w:line="400" w:lineRule="exact"/>
        <w:ind w:firstLine="420"/>
        <w:rPr>
          <w:rFonts w:hint="eastAsia" w:ascii="宋体" w:hAnsi="宋体"/>
          <w:color w:val="auto"/>
          <w:sz w:val="28"/>
          <w:szCs w:val="28"/>
        </w:rPr>
      </w:pPr>
      <w:r>
        <w:rPr>
          <w:rFonts w:hint="eastAsia" w:ascii="宋体" w:hAnsi="宋体"/>
          <w:color w:val="auto"/>
          <w:sz w:val="28"/>
          <w:szCs w:val="28"/>
        </w:rPr>
        <w:t>2.项目专用合同条款的编号应与通用合同条款和公路工程专用合同条款一致。</w:t>
      </w:r>
    </w:p>
    <w:p w14:paraId="48642F6F">
      <w:pPr>
        <w:tabs>
          <w:tab w:val="left" w:pos="1080"/>
        </w:tabs>
        <w:spacing w:line="400" w:lineRule="exact"/>
        <w:ind w:firstLine="420"/>
        <w:rPr>
          <w:rFonts w:hint="eastAsia" w:ascii="宋体" w:hAnsi="宋体"/>
          <w:color w:val="auto"/>
          <w:sz w:val="28"/>
          <w:szCs w:val="28"/>
        </w:rPr>
      </w:pPr>
      <w:r>
        <w:rPr>
          <w:rFonts w:hint="eastAsia" w:ascii="宋体" w:hAnsi="宋体"/>
          <w:color w:val="auto"/>
          <w:sz w:val="28"/>
          <w:szCs w:val="28"/>
        </w:rPr>
        <w:t>3.项目专用合同条款可对下列内容进行补充和细化：</w:t>
      </w:r>
    </w:p>
    <w:p w14:paraId="268DE72B">
      <w:pPr>
        <w:tabs>
          <w:tab w:val="left" w:pos="1080"/>
        </w:tabs>
        <w:spacing w:line="400" w:lineRule="exact"/>
        <w:ind w:firstLine="420"/>
        <w:rPr>
          <w:rFonts w:hint="eastAsia" w:ascii="宋体" w:hAnsi="宋体"/>
          <w:color w:val="auto"/>
          <w:sz w:val="28"/>
          <w:szCs w:val="28"/>
        </w:rPr>
      </w:pPr>
      <w:r>
        <w:rPr>
          <w:rFonts w:hint="eastAsia" w:ascii="宋体" w:hAnsi="宋体"/>
          <w:color w:val="auto"/>
          <w:sz w:val="28"/>
          <w:szCs w:val="28"/>
        </w:rPr>
        <w:t>（1）“通用合同条款”中明确指出“专用合同条款”可对“通用合同条款”进行修改的内容（在“通用合同条款”中用“应按合同约定”、“应按专用合同条款约定”“除合同另有约定外”、“除专用合同条款另有约定外”、“在专用合同条款中约定”等多种文字形式表达）；</w:t>
      </w:r>
    </w:p>
    <w:p w14:paraId="08D4F45F">
      <w:pPr>
        <w:tabs>
          <w:tab w:val="left" w:pos="1080"/>
        </w:tabs>
        <w:spacing w:line="400" w:lineRule="exact"/>
        <w:ind w:firstLine="420"/>
        <w:rPr>
          <w:rFonts w:hint="eastAsia" w:ascii="宋体" w:hAnsi="宋体"/>
          <w:color w:val="auto"/>
          <w:sz w:val="28"/>
          <w:szCs w:val="28"/>
        </w:rPr>
      </w:pPr>
      <w:r>
        <w:rPr>
          <w:rFonts w:hint="eastAsia" w:ascii="宋体" w:hAnsi="宋体"/>
          <w:color w:val="auto"/>
          <w:sz w:val="28"/>
          <w:szCs w:val="28"/>
        </w:rPr>
        <w:t>（2）“公路工程专用合同条款”中明确指出“项目专用合同条款”可对“公路工程专用合同条款”进行修改的内容（在“公路工程专用合同条款”中用“除项目专用合同条款另有约定外”，“项目专用合同条款可能约定的”，“项目专用合同条款约定的其他情形”等多种文字形式表达）；</w:t>
      </w:r>
    </w:p>
    <w:p w14:paraId="432F32E4">
      <w:pPr>
        <w:tabs>
          <w:tab w:val="left" w:pos="1080"/>
        </w:tabs>
        <w:spacing w:line="400" w:lineRule="exact"/>
        <w:ind w:firstLine="420"/>
        <w:rPr>
          <w:rFonts w:hint="eastAsia" w:ascii="宋体" w:hAnsi="宋体"/>
          <w:color w:val="auto"/>
          <w:sz w:val="24"/>
        </w:rPr>
      </w:pPr>
      <w:r>
        <w:rPr>
          <w:rFonts w:hint="eastAsia" w:ascii="宋体" w:hAnsi="宋体"/>
          <w:color w:val="auto"/>
          <w:sz w:val="28"/>
          <w:szCs w:val="28"/>
        </w:rPr>
        <w:t>（3）其他需要补充、细化的内容。</w:t>
      </w:r>
    </w:p>
    <w:p w14:paraId="747159E9">
      <w:pPr>
        <w:snapToGrid w:val="0"/>
        <w:spacing w:line="360" w:lineRule="auto"/>
        <w:ind w:firstLine="1200" w:firstLineChars="300"/>
        <w:outlineLvl w:val="0"/>
        <w:rPr>
          <w:rFonts w:hint="eastAsia" w:ascii="宋体" w:hAnsi="宋体"/>
          <w:bCs/>
          <w:color w:val="auto"/>
          <w:spacing w:val="60"/>
          <w:sz w:val="28"/>
          <w:szCs w:val="28"/>
        </w:rPr>
      </w:pPr>
    </w:p>
    <w:p w14:paraId="4FB24008">
      <w:pPr>
        <w:spacing w:line="840" w:lineRule="auto"/>
        <w:jc w:val="center"/>
        <w:rPr>
          <w:rFonts w:hint="eastAsia" w:ascii="黑体" w:eastAsia="黑体"/>
          <w:color w:val="auto"/>
          <w:sz w:val="48"/>
          <w:szCs w:val="48"/>
        </w:rPr>
      </w:pPr>
    </w:p>
    <w:p w14:paraId="27498B8C">
      <w:pPr>
        <w:spacing w:line="840" w:lineRule="auto"/>
        <w:jc w:val="center"/>
        <w:rPr>
          <w:rFonts w:hint="eastAsia" w:ascii="黑体" w:eastAsia="黑体"/>
          <w:color w:val="auto"/>
          <w:sz w:val="48"/>
          <w:szCs w:val="48"/>
        </w:rPr>
      </w:pPr>
    </w:p>
    <w:p w14:paraId="04F173AE">
      <w:pPr>
        <w:tabs>
          <w:tab w:val="left" w:pos="1080"/>
        </w:tabs>
        <w:spacing w:line="360" w:lineRule="exact"/>
        <w:jc w:val="center"/>
        <w:rPr>
          <w:rFonts w:hint="eastAsia" w:ascii="宋体" w:hAnsi="宋体" w:cs="宋体"/>
          <w:b/>
          <w:color w:val="auto"/>
          <w:sz w:val="28"/>
          <w:szCs w:val="28"/>
        </w:rPr>
      </w:pPr>
      <w:r>
        <w:rPr>
          <w:rFonts w:ascii="黑体" w:eastAsia="黑体"/>
          <w:color w:val="auto"/>
          <w:sz w:val="48"/>
          <w:szCs w:val="48"/>
        </w:rPr>
        <w:br w:type="page"/>
      </w:r>
      <w:bookmarkStart w:id="115" w:name="_Toc406939642"/>
      <w:r>
        <w:rPr>
          <w:rFonts w:hint="eastAsia" w:ascii="宋体" w:hAnsi="宋体" w:cs="宋体"/>
          <w:b/>
          <w:color w:val="auto"/>
          <w:sz w:val="28"/>
          <w:szCs w:val="28"/>
        </w:rPr>
        <w:t>项目专用合同条款数据表</w:t>
      </w:r>
    </w:p>
    <w:p w14:paraId="2A1EF915">
      <w:pPr>
        <w:tabs>
          <w:tab w:val="left" w:pos="1080"/>
        </w:tabs>
        <w:spacing w:line="360" w:lineRule="exact"/>
        <w:rPr>
          <w:rFonts w:hint="eastAsia" w:ascii="宋体" w:hAnsi="宋体" w:cs="宋体"/>
          <w:color w:val="auto"/>
          <w:sz w:val="28"/>
          <w:szCs w:val="28"/>
        </w:rPr>
      </w:pPr>
    </w:p>
    <w:p w14:paraId="588D8D2C">
      <w:pPr>
        <w:tabs>
          <w:tab w:val="left" w:pos="1080"/>
        </w:tabs>
        <w:spacing w:line="400" w:lineRule="exact"/>
        <w:rPr>
          <w:rFonts w:hint="eastAsia" w:ascii="宋体" w:hAnsi="宋体" w:cs="宋体"/>
          <w:color w:val="auto"/>
          <w:sz w:val="28"/>
          <w:szCs w:val="28"/>
        </w:rPr>
      </w:pPr>
      <w:r>
        <w:rPr>
          <w:rFonts w:hint="eastAsia" w:ascii="宋体" w:hAnsi="宋体" w:cs="宋体"/>
          <w:b/>
          <w:color w:val="auto"/>
          <w:sz w:val="28"/>
          <w:szCs w:val="28"/>
        </w:rPr>
        <w:t>说明：</w:t>
      </w:r>
      <w:r>
        <w:rPr>
          <w:rFonts w:hint="eastAsia" w:ascii="宋体" w:hAnsi="宋体" w:cs="宋体"/>
          <w:color w:val="auto"/>
          <w:sz w:val="28"/>
          <w:szCs w:val="28"/>
        </w:rPr>
        <w:t>本数据表是项目专用合同条款中适用于本项目的信息和数据的归纳与提示，是项目专用合同条款的组成部分。第九章“投标文件格式”的投标函附录中的数据（供投标人确认）与本表所列有重复。编写招标文件的单位应仔细校核，不使数据出现差错或不一致。</w:t>
      </w:r>
    </w:p>
    <w:p w14:paraId="78BEEB23">
      <w:pPr>
        <w:tabs>
          <w:tab w:val="left" w:pos="1080"/>
        </w:tabs>
        <w:spacing w:line="360" w:lineRule="exact"/>
        <w:rPr>
          <w:rFonts w:hint="eastAsia" w:ascii="宋体" w:hAnsi="宋体" w:cs="宋体"/>
          <w:color w:val="auto"/>
          <w:sz w:val="24"/>
        </w:rPr>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253"/>
        <w:gridCol w:w="7100"/>
      </w:tblGrid>
      <w:tr w14:paraId="1DD7D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806" w:type="dxa"/>
            <w:noWrap w:val="0"/>
            <w:vAlign w:val="center"/>
          </w:tcPr>
          <w:p w14:paraId="4B943A0E">
            <w:pPr>
              <w:tabs>
                <w:tab w:val="left" w:pos="1080"/>
              </w:tabs>
              <w:spacing w:line="360" w:lineRule="exact"/>
              <w:jc w:val="center"/>
              <w:rPr>
                <w:rFonts w:hint="eastAsia" w:ascii="宋体" w:hAnsi="宋体" w:cs="宋体"/>
                <w:b/>
                <w:color w:val="auto"/>
                <w:szCs w:val="21"/>
              </w:rPr>
            </w:pPr>
            <w:r>
              <w:rPr>
                <w:rFonts w:hint="eastAsia" w:ascii="宋体" w:hAnsi="宋体" w:cs="宋体"/>
                <w:b/>
                <w:color w:val="auto"/>
                <w:szCs w:val="21"/>
              </w:rPr>
              <w:t>序号</w:t>
            </w:r>
          </w:p>
        </w:tc>
        <w:tc>
          <w:tcPr>
            <w:tcW w:w="1253" w:type="dxa"/>
            <w:noWrap w:val="0"/>
            <w:vAlign w:val="center"/>
          </w:tcPr>
          <w:p w14:paraId="5CA438EB">
            <w:pPr>
              <w:tabs>
                <w:tab w:val="left" w:pos="1080"/>
              </w:tabs>
              <w:spacing w:line="360" w:lineRule="exact"/>
              <w:jc w:val="center"/>
              <w:rPr>
                <w:rFonts w:hint="eastAsia" w:ascii="宋体" w:hAnsi="宋体" w:cs="宋体"/>
                <w:b/>
                <w:color w:val="auto"/>
                <w:szCs w:val="21"/>
              </w:rPr>
            </w:pPr>
            <w:r>
              <w:rPr>
                <w:rFonts w:hint="eastAsia" w:ascii="宋体" w:hAnsi="宋体" w:cs="宋体"/>
                <w:b/>
                <w:color w:val="auto"/>
                <w:szCs w:val="21"/>
              </w:rPr>
              <w:t>条目号</w:t>
            </w:r>
          </w:p>
        </w:tc>
        <w:tc>
          <w:tcPr>
            <w:tcW w:w="7100" w:type="dxa"/>
            <w:noWrap w:val="0"/>
            <w:vAlign w:val="center"/>
          </w:tcPr>
          <w:p w14:paraId="61DEAB2C">
            <w:pPr>
              <w:tabs>
                <w:tab w:val="left" w:pos="1080"/>
              </w:tabs>
              <w:spacing w:line="360" w:lineRule="exact"/>
              <w:jc w:val="center"/>
              <w:rPr>
                <w:rFonts w:hint="eastAsia" w:ascii="宋体" w:hAnsi="宋体" w:cs="宋体"/>
                <w:b/>
                <w:color w:val="auto"/>
                <w:szCs w:val="21"/>
              </w:rPr>
            </w:pPr>
            <w:r>
              <w:rPr>
                <w:rFonts w:hint="eastAsia" w:ascii="宋体" w:hAnsi="宋体" w:cs="宋体"/>
                <w:b/>
                <w:color w:val="auto"/>
                <w:szCs w:val="21"/>
              </w:rPr>
              <w:t>信 息 或 数 据</w:t>
            </w:r>
          </w:p>
        </w:tc>
      </w:tr>
      <w:tr w14:paraId="464E2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806" w:type="dxa"/>
            <w:noWrap w:val="0"/>
            <w:vAlign w:val="center"/>
          </w:tcPr>
          <w:p w14:paraId="1C8AC2E2">
            <w:pPr>
              <w:tabs>
                <w:tab w:val="left" w:pos="1080"/>
              </w:tabs>
              <w:spacing w:line="360" w:lineRule="exact"/>
              <w:jc w:val="center"/>
              <w:rPr>
                <w:rFonts w:hint="eastAsia" w:ascii="宋体" w:hAnsi="宋体" w:cs="宋体"/>
                <w:color w:val="auto"/>
                <w:szCs w:val="21"/>
              </w:rPr>
            </w:pPr>
            <w:r>
              <w:rPr>
                <w:rFonts w:hint="eastAsia" w:ascii="宋体" w:hAnsi="宋体" w:cs="宋体"/>
                <w:color w:val="auto"/>
                <w:szCs w:val="21"/>
              </w:rPr>
              <w:t>1</w:t>
            </w:r>
          </w:p>
        </w:tc>
        <w:tc>
          <w:tcPr>
            <w:tcW w:w="1253" w:type="dxa"/>
            <w:noWrap w:val="0"/>
            <w:vAlign w:val="center"/>
          </w:tcPr>
          <w:p w14:paraId="7050ECC5">
            <w:pPr>
              <w:tabs>
                <w:tab w:val="left" w:pos="1080"/>
              </w:tabs>
              <w:spacing w:line="360" w:lineRule="exact"/>
              <w:jc w:val="center"/>
              <w:rPr>
                <w:rFonts w:hint="eastAsia" w:ascii="宋体" w:hAnsi="宋体" w:cs="宋体"/>
                <w:color w:val="auto"/>
                <w:szCs w:val="21"/>
              </w:rPr>
            </w:pPr>
            <w:r>
              <w:rPr>
                <w:rFonts w:hint="eastAsia" w:ascii="宋体" w:hAnsi="宋体" w:cs="宋体"/>
                <w:color w:val="auto"/>
                <w:szCs w:val="21"/>
              </w:rPr>
              <w:t>1.1.2.2</w:t>
            </w:r>
          </w:p>
        </w:tc>
        <w:tc>
          <w:tcPr>
            <w:tcW w:w="7100" w:type="dxa"/>
            <w:noWrap w:val="0"/>
            <w:vAlign w:val="top"/>
          </w:tcPr>
          <w:p w14:paraId="711664FC">
            <w:pPr>
              <w:spacing w:line="300" w:lineRule="auto"/>
              <w:ind w:firstLine="113" w:firstLineChars="50"/>
              <w:jc w:val="left"/>
              <w:rPr>
                <w:rFonts w:hint="eastAsia" w:ascii="宋体" w:hAnsi="宋体" w:eastAsia="宋体" w:cs="宋体"/>
                <w:color w:val="auto"/>
                <w:spacing w:val="8"/>
                <w:szCs w:val="21"/>
                <w:lang w:eastAsia="zh-CN"/>
              </w:rPr>
            </w:pPr>
            <w:r>
              <w:rPr>
                <w:rFonts w:hint="eastAsia" w:ascii="宋体" w:hAnsi="宋体" w:cs="宋体"/>
                <w:color w:val="auto"/>
                <w:spacing w:val="8"/>
                <w:szCs w:val="21"/>
                <w:lang w:eastAsia="zh-CN"/>
              </w:rPr>
              <w:t>甲  方</w:t>
            </w:r>
            <w:r>
              <w:rPr>
                <w:rFonts w:hint="eastAsia" w:ascii="宋体" w:hAnsi="宋体" w:cs="宋体"/>
                <w:color w:val="auto"/>
                <w:spacing w:val="8"/>
                <w:szCs w:val="21"/>
              </w:rPr>
              <w:t>：</w:t>
            </w:r>
            <w:r>
              <w:rPr>
                <w:rFonts w:hint="eastAsia" w:ascii="宋体" w:hAnsi="宋体" w:cs="宋体"/>
                <w:color w:val="auto"/>
                <w:spacing w:val="8"/>
                <w:szCs w:val="21"/>
                <w:lang w:eastAsia="zh-CN"/>
              </w:rPr>
              <w:t>XX局(或xx中心）</w:t>
            </w:r>
          </w:p>
          <w:p w14:paraId="3948F30B">
            <w:pPr>
              <w:tabs>
                <w:tab w:val="left" w:pos="1080"/>
              </w:tabs>
              <w:spacing w:line="300" w:lineRule="auto"/>
              <w:ind w:firstLine="113" w:firstLineChars="50"/>
              <w:jc w:val="left"/>
              <w:rPr>
                <w:rFonts w:hint="eastAsia" w:ascii="宋体" w:hAnsi="宋体" w:cs="宋体"/>
                <w:color w:val="auto"/>
                <w:spacing w:val="8"/>
                <w:szCs w:val="21"/>
              </w:rPr>
            </w:pPr>
            <w:r>
              <w:rPr>
                <w:rFonts w:hint="eastAsia" w:ascii="宋体" w:hAnsi="宋体" w:cs="宋体"/>
                <w:color w:val="auto"/>
                <w:spacing w:val="8"/>
                <w:szCs w:val="21"/>
              </w:rPr>
              <w:t>地    址：龙州县城北路22号</w:t>
            </w:r>
          </w:p>
          <w:p w14:paraId="7138FCA6">
            <w:pPr>
              <w:tabs>
                <w:tab w:val="left" w:pos="1080"/>
              </w:tabs>
              <w:spacing w:line="300" w:lineRule="auto"/>
              <w:ind w:firstLine="113" w:firstLineChars="50"/>
              <w:jc w:val="left"/>
              <w:rPr>
                <w:rFonts w:hint="eastAsia" w:ascii="宋体" w:hAnsi="宋体" w:cs="宋体"/>
                <w:color w:val="auto"/>
                <w:szCs w:val="21"/>
              </w:rPr>
            </w:pPr>
            <w:r>
              <w:rPr>
                <w:rFonts w:hint="eastAsia" w:ascii="宋体" w:hAnsi="宋体" w:cs="宋体"/>
                <w:color w:val="auto"/>
                <w:spacing w:val="8"/>
                <w:szCs w:val="21"/>
              </w:rPr>
              <w:t xml:space="preserve">邮政编码：532400 </w:t>
            </w:r>
          </w:p>
        </w:tc>
      </w:tr>
      <w:tr w14:paraId="3F66E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trPr>
        <w:tc>
          <w:tcPr>
            <w:tcW w:w="806" w:type="dxa"/>
            <w:noWrap w:val="0"/>
            <w:vAlign w:val="center"/>
          </w:tcPr>
          <w:p w14:paraId="29FF57BE">
            <w:pPr>
              <w:tabs>
                <w:tab w:val="left" w:pos="1080"/>
              </w:tabs>
              <w:spacing w:line="360" w:lineRule="exact"/>
              <w:jc w:val="center"/>
              <w:rPr>
                <w:rFonts w:hint="eastAsia" w:ascii="宋体" w:hAnsi="宋体" w:cs="宋体"/>
                <w:color w:val="auto"/>
                <w:szCs w:val="21"/>
              </w:rPr>
            </w:pPr>
            <w:r>
              <w:rPr>
                <w:rFonts w:hint="eastAsia" w:ascii="宋体" w:hAnsi="宋体" w:cs="宋体"/>
                <w:color w:val="auto"/>
                <w:szCs w:val="21"/>
              </w:rPr>
              <w:t>2</w:t>
            </w:r>
          </w:p>
        </w:tc>
        <w:tc>
          <w:tcPr>
            <w:tcW w:w="1253" w:type="dxa"/>
            <w:noWrap w:val="0"/>
            <w:vAlign w:val="center"/>
          </w:tcPr>
          <w:p w14:paraId="6F5B8719">
            <w:pPr>
              <w:tabs>
                <w:tab w:val="left" w:pos="1080"/>
              </w:tabs>
              <w:spacing w:line="360" w:lineRule="exact"/>
              <w:jc w:val="center"/>
              <w:rPr>
                <w:rFonts w:hint="eastAsia" w:ascii="宋体" w:hAnsi="宋体" w:cs="宋体"/>
                <w:color w:val="auto"/>
                <w:szCs w:val="21"/>
              </w:rPr>
            </w:pPr>
            <w:r>
              <w:rPr>
                <w:rFonts w:hint="eastAsia" w:ascii="宋体" w:hAnsi="宋体" w:cs="宋体"/>
                <w:color w:val="auto"/>
                <w:szCs w:val="21"/>
              </w:rPr>
              <w:t>1.1.2.6</w:t>
            </w:r>
          </w:p>
        </w:tc>
        <w:tc>
          <w:tcPr>
            <w:tcW w:w="7100" w:type="dxa"/>
            <w:noWrap w:val="0"/>
            <w:vAlign w:val="top"/>
          </w:tcPr>
          <w:p w14:paraId="3B0045D6">
            <w:pPr>
              <w:tabs>
                <w:tab w:val="left" w:pos="1080"/>
              </w:tabs>
              <w:spacing w:line="440" w:lineRule="exact"/>
              <w:ind w:firstLine="210" w:firstLineChars="100"/>
              <w:rPr>
                <w:rFonts w:hint="eastAsia" w:ascii="宋体" w:hAnsi="宋体" w:cs="宋体"/>
                <w:color w:val="auto"/>
                <w:szCs w:val="21"/>
              </w:rPr>
            </w:pPr>
            <w:r>
              <w:rPr>
                <w:rFonts w:hint="eastAsia" w:ascii="宋体" w:hAnsi="宋体" w:cs="宋体"/>
                <w:color w:val="auto"/>
                <w:szCs w:val="21"/>
              </w:rPr>
              <w:t>监 理 人：待定</w:t>
            </w:r>
          </w:p>
          <w:p w14:paraId="7F3B0287">
            <w:pPr>
              <w:tabs>
                <w:tab w:val="left" w:pos="1080"/>
              </w:tabs>
              <w:spacing w:line="440" w:lineRule="exact"/>
              <w:ind w:firstLine="210" w:firstLineChars="100"/>
              <w:rPr>
                <w:rFonts w:hint="eastAsia" w:ascii="宋体" w:hAnsi="宋体" w:cs="宋体"/>
                <w:color w:val="auto"/>
                <w:szCs w:val="21"/>
              </w:rPr>
            </w:pPr>
            <w:r>
              <w:rPr>
                <w:rFonts w:hint="eastAsia" w:ascii="宋体" w:hAnsi="宋体" w:cs="宋体"/>
                <w:color w:val="auto"/>
                <w:szCs w:val="21"/>
              </w:rPr>
              <w:t xml:space="preserve">地    址： </w:t>
            </w:r>
          </w:p>
          <w:p w14:paraId="0DF77811">
            <w:pPr>
              <w:tabs>
                <w:tab w:val="left" w:pos="1080"/>
              </w:tabs>
              <w:spacing w:line="440" w:lineRule="exact"/>
              <w:ind w:firstLine="210" w:firstLineChars="100"/>
              <w:rPr>
                <w:rFonts w:hint="eastAsia" w:ascii="宋体" w:hAnsi="宋体" w:cs="宋体"/>
                <w:color w:val="auto"/>
                <w:szCs w:val="21"/>
              </w:rPr>
            </w:pPr>
            <w:r>
              <w:rPr>
                <w:rFonts w:hint="eastAsia" w:ascii="宋体" w:hAnsi="宋体" w:cs="宋体"/>
                <w:color w:val="auto"/>
                <w:szCs w:val="21"/>
              </w:rPr>
              <w:t xml:space="preserve">邮政编码：   </w:t>
            </w:r>
          </w:p>
        </w:tc>
      </w:tr>
      <w:tr w14:paraId="54DA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06" w:type="dxa"/>
            <w:noWrap w:val="0"/>
            <w:vAlign w:val="center"/>
          </w:tcPr>
          <w:p w14:paraId="68D3A2B8">
            <w:pPr>
              <w:tabs>
                <w:tab w:val="left" w:pos="1080"/>
              </w:tabs>
              <w:spacing w:line="360" w:lineRule="exact"/>
              <w:jc w:val="center"/>
              <w:rPr>
                <w:rFonts w:hint="eastAsia" w:ascii="宋体" w:hAnsi="宋体" w:cs="宋体"/>
                <w:color w:val="auto"/>
                <w:szCs w:val="21"/>
              </w:rPr>
            </w:pPr>
            <w:r>
              <w:rPr>
                <w:rFonts w:hint="eastAsia" w:ascii="宋体" w:hAnsi="宋体" w:cs="宋体"/>
                <w:color w:val="auto"/>
                <w:szCs w:val="21"/>
              </w:rPr>
              <w:t>3</w:t>
            </w:r>
          </w:p>
        </w:tc>
        <w:tc>
          <w:tcPr>
            <w:tcW w:w="1253" w:type="dxa"/>
            <w:noWrap w:val="0"/>
            <w:vAlign w:val="center"/>
          </w:tcPr>
          <w:p w14:paraId="4910960E">
            <w:pPr>
              <w:tabs>
                <w:tab w:val="left" w:pos="1080"/>
              </w:tabs>
              <w:spacing w:line="360" w:lineRule="exact"/>
              <w:jc w:val="center"/>
              <w:rPr>
                <w:rFonts w:hint="eastAsia" w:ascii="宋体" w:hAnsi="宋体" w:cs="宋体"/>
                <w:color w:val="auto"/>
                <w:szCs w:val="21"/>
              </w:rPr>
            </w:pPr>
            <w:r>
              <w:rPr>
                <w:rFonts w:hint="eastAsia" w:ascii="宋体" w:hAnsi="宋体" w:cs="宋体"/>
                <w:color w:val="auto"/>
                <w:szCs w:val="21"/>
              </w:rPr>
              <w:t>1.1.4.5</w:t>
            </w:r>
          </w:p>
        </w:tc>
        <w:tc>
          <w:tcPr>
            <w:tcW w:w="7100" w:type="dxa"/>
            <w:noWrap w:val="0"/>
            <w:vAlign w:val="top"/>
          </w:tcPr>
          <w:p w14:paraId="15B781CB">
            <w:pPr>
              <w:tabs>
                <w:tab w:val="left" w:pos="1080"/>
              </w:tabs>
              <w:spacing w:line="440" w:lineRule="exact"/>
              <w:ind w:firstLine="210" w:firstLineChars="100"/>
              <w:rPr>
                <w:rFonts w:hint="eastAsia" w:ascii="宋体" w:hAnsi="宋体" w:cs="宋体"/>
                <w:color w:val="auto"/>
                <w:szCs w:val="21"/>
              </w:rPr>
            </w:pPr>
            <w:r>
              <w:rPr>
                <w:rFonts w:hint="eastAsia" w:ascii="宋体" w:hAnsi="宋体" w:cs="宋体"/>
                <w:color w:val="auto"/>
                <w:szCs w:val="21"/>
              </w:rPr>
              <w:t>缺陷责任期：1年</w:t>
            </w:r>
          </w:p>
        </w:tc>
      </w:tr>
      <w:tr w14:paraId="4B064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806" w:type="dxa"/>
            <w:noWrap w:val="0"/>
            <w:vAlign w:val="center"/>
          </w:tcPr>
          <w:p w14:paraId="34E65BF7">
            <w:pPr>
              <w:tabs>
                <w:tab w:val="left" w:pos="1080"/>
              </w:tabs>
              <w:spacing w:line="360" w:lineRule="exact"/>
              <w:jc w:val="center"/>
              <w:rPr>
                <w:rFonts w:hint="eastAsia" w:ascii="宋体" w:hAnsi="宋体" w:cs="宋体"/>
                <w:color w:val="auto"/>
                <w:szCs w:val="21"/>
              </w:rPr>
            </w:pPr>
            <w:r>
              <w:rPr>
                <w:rFonts w:hint="eastAsia" w:ascii="宋体" w:hAnsi="宋体" w:cs="宋体"/>
                <w:color w:val="auto"/>
                <w:szCs w:val="21"/>
              </w:rPr>
              <w:t>4</w:t>
            </w:r>
          </w:p>
        </w:tc>
        <w:tc>
          <w:tcPr>
            <w:tcW w:w="1253" w:type="dxa"/>
            <w:noWrap w:val="0"/>
            <w:vAlign w:val="center"/>
          </w:tcPr>
          <w:p w14:paraId="3BCDD1A9">
            <w:pPr>
              <w:tabs>
                <w:tab w:val="left" w:pos="1080"/>
              </w:tabs>
              <w:spacing w:line="360" w:lineRule="exact"/>
              <w:jc w:val="center"/>
              <w:rPr>
                <w:rFonts w:hint="eastAsia" w:ascii="宋体" w:hAnsi="宋体" w:cs="宋体"/>
                <w:color w:val="auto"/>
                <w:szCs w:val="21"/>
              </w:rPr>
            </w:pPr>
            <w:r>
              <w:rPr>
                <w:rFonts w:hint="eastAsia" w:ascii="宋体" w:hAnsi="宋体" w:cs="宋体"/>
                <w:color w:val="auto"/>
                <w:szCs w:val="21"/>
              </w:rPr>
              <w:t>1.6.3</w:t>
            </w:r>
          </w:p>
        </w:tc>
        <w:tc>
          <w:tcPr>
            <w:tcW w:w="7100" w:type="dxa"/>
            <w:noWrap w:val="0"/>
            <w:vAlign w:val="top"/>
          </w:tcPr>
          <w:p w14:paraId="62BA5041">
            <w:pPr>
              <w:tabs>
                <w:tab w:val="left" w:pos="1080"/>
              </w:tabs>
              <w:spacing w:line="440" w:lineRule="exact"/>
              <w:ind w:firstLine="210" w:firstLineChars="100"/>
              <w:rPr>
                <w:rFonts w:hint="eastAsia" w:ascii="宋体" w:hAnsi="宋体" w:eastAsia="宋体" w:cs="宋体"/>
                <w:color w:val="auto"/>
                <w:szCs w:val="21"/>
                <w:lang w:eastAsia="zh-CN"/>
              </w:rPr>
            </w:pPr>
            <w:r>
              <w:rPr>
                <w:rFonts w:hint="eastAsia" w:ascii="宋体" w:hAnsi="宋体" w:cs="宋体"/>
                <w:color w:val="auto"/>
                <w:szCs w:val="21"/>
              </w:rPr>
              <w:t>图纸需要修改和补充的，应由监理人取得</w:t>
            </w:r>
            <w:r>
              <w:rPr>
                <w:rFonts w:hint="eastAsia" w:ascii="宋体" w:hAnsi="宋体" w:cs="宋体"/>
                <w:color w:val="auto"/>
                <w:szCs w:val="21"/>
                <w:lang w:eastAsia="zh-CN"/>
              </w:rPr>
              <w:t>甲方</w:t>
            </w:r>
            <w:r>
              <w:rPr>
                <w:rFonts w:hint="eastAsia" w:ascii="宋体" w:hAnsi="宋体" w:cs="宋体"/>
                <w:color w:val="auto"/>
                <w:szCs w:val="21"/>
              </w:rPr>
              <w:t>同意后，在该工程或工程相应部位施工前</w:t>
            </w:r>
            <w:r>
              <w:rPr>
                <w:rFonts w:hint="eastAsia" w:ascii="宋体" w:hAnsi="宋体" w:cs="宋体"/>
                <w:color w:val="auto"/>
                <w:szCs w:val="21"/>
                <w:u w:val="single"/>
              </w:rPr>
              <w:t xml:space="preserve"> </w:t>
            </w:r>
            <w:r>
              <w:rPr>
                <w:rFonts w:hint="eastAsia" w:ascii="宋体" w:hAnsi="宋体" w:cs="宋体"/>
                <w:b/>
                <w:color w:val="auto"/>
                <w:szCs w:val="21"/>
                <w:u w:val="single"/>
              </w:rPr>
              <w:t xml:space="preserve">14 </w:t>
            </w:r>
            <w:r>
              <w:rPr>
                <w:rFonts w:hint="eastAsia" w:ascii="宋体" w:hAnsi="宋体" w:cs="宋体"/>
                <w:color w:val="auto"/>
                <w:szCs w:val="21"/>
              </w:rPr>
              <w:t>天签发图纸修改图给</w:t>
            </w:r>
            <w:r>
              <w:rPr>
                <w:rFonts w:hint="eastAsia" w:ascii="宋体" w:hAnsi="宋体" w:cs="宋体"/>
                <w:color w:val="auto"/>
                <w:szCs w:val="21"/>
                <w:lang w:eastAsia="zh-CN"/>
              </w:rPr>
              <w:t>乙方</w:t>
            </w:r>
          </w:p>
        </w:tc>
      </w:tr>
      <w:tr w14:paraId="7212D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6" w:hRule="atLeast"/>
        </w:trPr>
        <w:tc>
          <w:tcPr>
            <w:tcW w:w="806" w:type="dxa"/>
            <w:noWrap w:val="0"/>
            <w:vAlign w:val="center"/>
          </w:tcPr>
          <w:p w14:paraId="09B0D0DD">
            <w:pPr>
              <w:tabs>
                <w:tab w:val="left" w:pos="1080"/>
              </w:tabs>
              <w:spacing w:line="360" w:lineRule="exact"/>
              <w:jc w:val="center"/>
              <w:rPr>
                <w:rFonts w:hint="eastAsia" w:ascii="宋体" w:hAnsi="宋体" w:cs="宋体"/>
                <w:color w:val="auto"/>
                <w:szCs w:val="21"/>
              </w:rPr>
            </w:pPr>
            <w:r>
              <w:rPr>
                <w:rFonts w:hint="eastAsia" w:ascii="宋体" w:hAnsi="宋体" w:cs="宋体"/>
                <w:color w:val="auto"/>
                <w:szCs w:val="21"/>
              </w:rPr>
              <w:t>5</w:t>
            </w:r>
          </w:p>
        </w:tc>
        <w:tc>
          <w:tcPr>
            <w:tcW w:w="1253" w:type="dxa"/>
            <w:noWrap w:val="0"/>
            <w:vAlign w:val="center"/>
          </w:tcPr>
          <w:p w14:paraId="4DD1991E">
            <w:pPr>
              <w:tabs>
                <w:tab w:val="left" w:pos="1080"/>
              </w:tabs>
              <w:spacing w:line="360" w:lineRule="exact"/>
              <w:jc w:val="center"/>
              <w:rPr>
                <w:rFonts w:hint="eastAsia" w:ascii="宋体" w:hAnsi="宋体" w:cs="宋体"/>
                <w:color w:val="auto"/>
                <w:szCs w:val="21"/>
              </w:rPr>
            </w:pPr>
            <w:r>
              <w:rPr>
                <w:rFonts w:hint="eastAsia" w:ascii="宋体" w:hAnsi="宋体" w:cs="宋体"/>
                <w:color w:val="auto"/>
                <w:szCs w:val="21"/>
              </w:rPr>
              <w:t>3.1.1</w:t>
            </w:r>
          </w:p>
        </w:tc>
        <w:tc>
          <w:tcPr>
            <w:tcW w:w="7100" w:type="dxa"/>
            <w:noWrap w:val="0"/>
            <w:vAlign w:val="top"/>
          </w:tcPr>
          <w:p w14:paraId="320898ED">
            <w:pPr>
              <w:rPr>
                <w:rFonts w:hint="eastAsia" w:ascii="宋体" w:hAnsi="宋体" w:cs="宋体"/>
                <w:color w:val="auto"/>
              </w:rPr>
            </w:pPr>
            <w:r>
              <w:rPr>
                <w:rFonts w:hint="eastAsia" w:ascii="宋体" w:hAnsi="宋体" w:cs="宋体"/>
                <w:color w:val="auto"/>
              </w:rPr>
              <w:t>监理人在行使下列权力前需要经</w:t>
            </w:r>
            <w:r>
              <w:rPr>
                <w:rFonts w:hint="eastAsia" w:ascii="宋体" w:hAnsi="宋体" w:cs="宋体"/>
                <w:color w:val="auto"/>
                <w:lang w:eastAsia="zh-CN"/>
              </w:rPr>
              <w:t>甲方</w:t>
            </w:r>
            <w:r>
              <w:rPr>
                <w:rFonts w:hint="eastAsia" w:ascii="宋体" w:hAnsi="宋体" w:cs="宋体"/>
                <w:color w:val="auto"/>
              </w:rPr>
              <w:t>事先批准：</w:t>
            </w:r>
          </w:p>
          <w:p w14:paraId="0951D154">
            <w:pPr>
              <w:tabs>
                <w:tab w:val="left" w:pos="1080"/>
              </w:tabs>
              <w:spacing w:line="440" w:lineRule="exact"/>
              <w:ind w:firstLine="315" w:firstLineChars="150"/>
              <w:rPr>
                <w:rFonts w:hint="eastAsia" w:ascii="宋体" w:hAnsi="宋体" w:cs="宋体"/>
                <w:color w:val="auto"/>
                <w:szCs w:val="21"/>
              </w:rPr>
            </w:pPr>
            <w:r>
              <w:rPr>
                <w:rFonts w:hint="eastAsia" w:ascii="宋体" w:hAnsi="宋体" w:cs="宋体"/>
                <w:color w:val="auto"/>
              </w:rPr>
              <w:t>（6）根据第15.3款发出的变更指示，其单项工程变更涉及的金额超过了该单项工程签约合同价的</w:t>
            </w:r>
            <w:r>
              <w:rPr>
                <w:rFonts w:hint="eastAsia" w:ascii="宋体" w:hAnsi="宋体" w:cs="宋体"/>
                <w:color w:val="auto"/>
                <w:u w:val="single"/>
              </w:rPr>
              <w:t xml:space="preserve"> / </w:t>
            </w:r>
            <w:r>
              <w:rPr>
                <w:rFonts w:hint="eastAsia" w:ascii="宋体" w:hAnsi="宋体" w:cs="宋体"/>
                <w:color w:val="auto"/>
              </w:rPr>
              <w:t>%或累计变更超过了签约合同价的</w:t>
            </w:r>
            <w:r>
              <w:rPr>
                <w:rFonts w:hint="eastAsia" w:ascii="宋体" w:hAnsi="宋体" w:cs="宋体"/>
                <w:color w:val="auto"/>
                <w:u w:val="single"/>
              </w:rPr>
              <w:t xml:space="preserve"> /</w:t>
            </w:r>
            <w:r>
              <w:rPr>
                <w:rFonts w:hint="eastAsia" w:ascii="宋体" w:hAnsi="宋体" w:cs="宋体"/>
                <w:color w:val="auto"/>
              </w:rPr>
              <w:t xml:space="preserve"> %（即凡涉及费用调整的均应事先取得</w:t>
            </w:r>
            <w:r>
              <w:rPr>
                <w:rFonts w:hint="eastAsia" w:ascii="宋体" w:hAnsi="宋体" w:cs="宋体"/>
                <w:color w:val="auto"/>
                <w:lang w:eastAsia="zh-CN"/>
              </w:rPr>
              <w:t>甲方</w:t>
            </w:r>
            <w:r>
              <w:rPr>
                <w:rFonts w:hint="eastAsia" w:ascii="宋体" w:hAnsi="宋体" w:cs="宋体"/>
                <w:color w:val="auto"/>
              </w:rPr>
              <w:t>的专门批准）</w:t>
            </w:r>
          </w:p>
        </w:tc>
      </w:tr>
      <w:tr w14:paraId="64792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06" w:type="dxa"/>
            <w:noWrap w:val="0"/>
            <w:vAlign w:val="center"/>
          </w:tcPr>
          <w:p w14:paraId="372F6A7B">
            <w:pPr>
              <w:tabs>
                <w:tab w:val="left" w:pos="1080"/>
              </w:tabs>
              <w:spacing w:line="360" w:lineRule="exact"/>
              <w:jc w:val="center"/>
              <w:rPr>
                <w:rFonts w:hint="eastAsia" w:ascii="宋体" w:hAnsi="宋体" w:cs="宋体"/>
                <w:color w:val="auto"/>
                <w:szCs w:val="21"/>
              </w:rPr>
            </w:pPr>
            <w:r>
              <w:rPr>
                <w:rFonts w:hint="eastAsia" w:ascii="宋体" w:hAnsi="宋体" w:cs="宋体"/>
                <w:color w:val="auto"/>
                <w:szCs w:val="21"/>
              </w:rPr>
              <w:t>6</w:t>
            </w:r>
          </w:p>
        </w:tc>
        <w:tc>
          <w:tcPr>
            <w:tcW w:w="1253" w:type="dxa"/>
            <w:noWrap w:val="0"/>
            <w:vAlign w:val="center"/>
          </w:tcPr>
          <w:p w14:paraId="25AF54CC">
            <w:pPr>
              <w:tabs>
                <w:tab w:val="left" w:pos="1080"/>
              </w:tabs>
              <w:spacing w:line="360" w:lineRule="exact"/>
              <w:jc w:val="center"/>
              <w:rPr>
                <w:rFonts w:hint="eastAsia" w:ascii="宋体" w:hAnsi="宋体" w:cs="宋体"/>
                <w:color w:val="auto"/>
                <w:szCs w:val="21"/>
              </w:rPr>
            </w:pPr>
            <w:r>
              <w:rPr>
                <w:rFonts w:hint="eastAsia" w:ascii="宋体" w:hAnsi="宋体" w:cs="宋体"/>
                <w:color w:val="auto"/>
                <w:szCs w:val="21"/>
              </w:rPr>
              <w:t>5.2.1</w:t>
            </w:r>
          </w:p>
        </w:tc>
        <w:tc>
          <w:tcPr>
            <w:tcW w:w="7100" w:type="dxa"/>
            <w:noWrap w:val="0"/>
            <w:vAlign w:val="center"/>
          </w:tcPr>
          <w:p w14:paraId="71F630FE">
            <w:pPr>
              <w:tabs>
                <w:tab w:val="left" w:pos="1080"/>
              </w:tabs>
              <w:spacing w:line="440" w:lineRule="exact"/>
              <w:ind w:firstLine="210" w:firstLineChars="100"/>
              <w:rPr>
                <w:rFonts w:hint="eastAsia" w:ascii="宋体" w:hAnsi="宋体" w:cs="宋体"/>
                <w:color w:val="auto"/>
                <w:szCs w:val="21"/>
                <w:u w:val="single"/>
              </w:rPr>
            </w:pPr>
            <w:r>
              <w:rPr>
                <w:rFonts w:hint="eastAsia" w:ascii="宋体" w:hAnsi="宋体" w:cs="宋体"/>
                <w:color w:val="auto"/>
                <w:szCs w:val="21"/>
                <w:lang w:eastAsia="zh-CN"/>
              </w:rPr>
              <w:t>甲方</w:t>
            </w:r>
            <w:r>
              <w:rPr>
                <w:rFonts w:hint="eastAsia" w:ascii="宋体" w:hAnsi="宋体" w:cs="宋体"/>
                <w:color w:val="auto"/>
                <w:szCs w:val="21"/>
              </w:rPr>
              <w:t>是否提供材料或施工设备：否</w:t>
            </w:r>
          </w:p>
        </w:tc>
      </w:tr>
      <w:tr w14:paraId="48581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06" w:type="dxa"/>
            <w:noWrap w:val="0"/>
            <w:vAlign w:val="center"/>
          </w:tcPr>
          <w:p w14:paraId="54D74A2F">
            <w:pPr>
              <w:tabs>
                <w:tab w:val="left" w:pos="1080"/>
              </w:tabs>
              <w:spacing w:line="360" w:lineRule="exact"/>
              <w:jc w:val="center"/>
              <w:rPr>
                <w:rFonts w:hint="eastAsia" w:ascii="宋体" w:hAnsi="宋体" w:cs="宋体"/>
                <w:color w:val="auto"/>
                <w:szCs w:val="21"/>
              </w:rPr>
            </w:pPr>
            <w:r>
              <w:rPr>
                <w:rFonts w:hint="eastAsia" w:ascii="宋体" w:hAnsi="宋体" w:cs="宋体"/>
                <w:color w:val="auto"/>
                <w:szCs w:val="21"/>
              </w:rPr>
              <w:t>7</w:t>
            </w:r>
          </w:p>
        </w:tc>
        <w:tc>
          <w:tcPr>
            <w:tcW w:w="1253" w:type="dxa"/>
            <w:noWrap w:val="0"/>
            <w:vAlign w:val="center"/>
          </w:tcPr>
          <w:p w14:paraId="77DBB849">
            <w:pPr>
              <w:tabs>
                <w:tab w:val="left" w:pos="1080"/>
              </w:tabs>
              <w:spacing w:line="360" w:lineRule="exact"/>
              <w:jc w:val="center"/>
              <w:rPr>
                <w:rFonts w:hint="eastAsia" w:ascii="宋体" w:hAnsi="宋体" w:cs="宋体"/>
                <w:color w:val="auto"/>
                <w:szCs w:val="21"/>
              </w:rPr>
            </w:pPr>
            <w:r>
              <w:rPr>
                <w:rFonts w:hint="eastAsia" w:ascii="宋体" w:hAnsi="宋体" w:cs="宋体"/>
                <w:color w:val="auto"/>
                <w:szCs w:val="21"/>
              </w:rPr>
              <w:t>6.2</w:t>
            </w:r>
          </w:p>
        </w:tc>
        <w:tc>
          <w:tcPr>
            <w:tcW w:w="7100" w:type="dxa"/>
            <w:noWrap w:val="0"/>
            <w:vAlign w:val="center"/>
          </w:tcPr>
          <w:p w14:paraId="52BDB38B">
            <w:pPr>
              <w:tabs>
                <w:tab w:val="left" w:pos="1080"/>
              </w:tabs>
              <w:spacing w:line="440" w:lineRule="exact"/>
              <w:ind w:firstLine="210" w:firstLineChars="100"/>
              <w:rPr>
                <w:rFonts w:hint="eastAsia" w:ascii="宋体" w:hAnsi="宋体" w:cs="宋体"/>
                <w:color w:val="auto"/>
                <w:szCs w:val="21"/>
              </w:rPr>
            </w:pPr>
            <w:r>
              <w:rPr>
                <w:rFonts w:hint="eastAsia" w:ascii="宋体" w:hAnsi="宋体" w:cs="宋体"/>
                <w:color w:val="auto"/>
                <w:szCs w:val="21"/>
                <w:lang w:eastAsia="zh-CN"/>
              </w:rPr>
              <w:t>甲方</w:t>
            </w:r>
            <w:r>
              <w:rPr>
                <w:rFonts w:hint="eastAsia" w:ascii="宋体" w:hAnsi="宋体" w:cs="宋体"/>
                <w:color w:val="auto"/>
                <w:szCs w:val="21"/>
              </w:rPr>
              <w:t>是否提供施工设备和临时设施：否</w:t>
            </w:r>
          </w:p>
        </w:tc>
      </w:tr>
      <w:tr w14:paraId="11108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1" w:hRule="atLeast"/>
        </w:trPr>
        <w:tc>
          <w:tcPr>
            <w:tcW w:w="806" w:type="dxa"/>
            <w:noWrap w:val="0"/>
            <w:vAlign w:val="center"/>
          </w:tcPr>
          <w:p w14:paraId="594A438B">
            <w:pPr>
              <w:tabs>
                <w:tab w:val="left" w:pos="1080"/>
              </w:tabs>
              <w:spacing w:line="360" w:lineRule="exact"/>
              <w:jc w:val="center"/>
              <w:rPr>
                <w:rFonts w:hint="eastAsia" w:ascii="宋体" w:hAnsi="宋体" w:cs="宋体"/>
                <w:color w:val="auto"/>
                <w:szCs w:val="21"/>
              </w:rPr>
            </w:pPr>
            <w:r>
              <w:rPr>
                <w:rFonts w:hint="eastAsia" w:ascii="宋体" w:hAnsi="宋体" w:cs="宋体"/>
                <w:color w:val="auto"/>
                <w:szCs w:val="21"/>
              </w:rPr>
              <w:t>8</w:t>
            </w:r>
          </w:p>
        </w:tc>
        <w:tc>
          <w:tcPr>
            <w:tcW w:w="1253" w:type="dxa"/>
            <w:noWrap w:val="0"/>
            <w:vAlign w:val="center"/>
          </w:tcPr>
          <w:p w14:paraId="114411DE">
            <w:pPr>
              <w:tabs>
                <w:tab w:val="left" w:pos="1080"/>
              </w:tabs>
              <w:spacing w:line="360" w:lineRule="exact"/>
              <w:jc w:val="center"/>
              <w:rPr>
                <w:rFonts w:hint="eastAsia" w:ascii="宋体" w:hAnsi="宋体" w:cs="宋体"/>
                <w:color w:val="auto"/>
                <w:szCs w:val="21"/>
              </w:rPr>
            </w:pPr>
            <w:r>
              <w:rPr>
                <w:rFonts w:hint="eastAsia" w:ascii="宋体" w:hAnsi="宋体" w:cs="宋体"/>
                <w:color w:val="auto"/>
                <w:szCs w:val="21"/>
              </w:rPr>
              <w:t>8.1.1</w:t>
            </w:r>
          </w:p>
        </w:tc>
        <w:tc>
          <w:tcPr>
            <w:tcW w:w="7100" w:type="dxa"/>
            <w:noWrap w:val="0"/>
            <w:vAlign w:val="top"/>
          </w:tcPr>
          <w:p w14:paraId="470AC440">
            <w:pPr>
              <w:tabs>
                <w:tab w:val="left" w:pos="1080"/>
              </w:tabs>
              <w:spacing w:line="440" w:lineRule="exact"/>
              <w:ind w:firstLine="210" w:firstLineChars="100"/>
              <w:rPr>
                <w:rFonts w:hint="eastAsia" w:ascii="宋体" w:hAnsi="宋体" w:cs="宋体"/>
                <w:color w:val="auto"/>
                <w:szCs w:val="21"/>
              </w:rPr>
            </w:pPr>
            <w:r>
              <w:rPr>
                <w:rFonts w:hint="eastAsia" w:ascii="宋体" w:hAnsi="宋体" w:cs="宋体"/>
                <w:color w:val="auto"/>
                <w:szCs w:val="21"/>
                <w:lang w:eastAsia="zh-CN"/>
              </w:rPr>
              <w:t>甲方</w:t>
            </w:r>
            <w:r>
              <w:rPr>
                <w:rFonts w:hint="eastAsia" w:ascii="宋体" w:hAnsi="宋体" w:cs="宋体"/>
                <w:color w:val="auto"/>
                <w:szCs w:val="21"/>
              </w:rPr>
              <w:t>提供测量基准点、基准线和水准点及其书面资料的期限：</w:t>
            </w:r>
            <w:r>
              <w:rPr>
                <w:rFonts w:hint="eastAsia" w:ascii="宋体" w:hAnsi="宋体" w:cs="宋体"/>
                <w:b/>
                <w:color w:val="auto"/>
                <w:szCs w:val="21"/>
                <w:u w:val="single"/>
                <w:lang w:eastAsia="zh-CN"/>
              </w:rPr>
              <w:t>乙方</w:t>
            </w:r>
            <w:r>
              <w:rPr>
                <w:rFonts w:hint="eastAsia" w:ascii="宋体" w:hAnsi="宋体" w:cs="宋体"/>
                <w:b/>
                <w:color w:val="auto"/>
                <w:szCs w:val="21"/>
                <w:u w:val="single"/>
              </w:rPr>
              <w:t>接到开工通知书后14天内</w:t>
            </w:r>
          </w:p>
          <w:p w14:paraId="496435E3">
            <w:pPr>
              <w:tabs>
                <w:tab w:val="left" w:pos="1080"/>
              </w:tabs>
              <w:spacing w:line="440" w:lineRule="exact"/>
              <w:ind w:firstLine="210" w:firstLineChars="100"/>
              <w:rPr>
                <w:rFonts w:hint="eastAsia" w:ascii="宋体" w:hAnsi="宋体" w:cs="宋体"/>
                <w:color w:val="auto"/>
                <w:szCs w:val="21"/>
              </w:rPr>
            </w:pPr>
            <w:r>
              <w:rPr>
                <w:rFonts w:hint="eastAsia" w:ascii="宋体" w:hAnsi="宋体" w:cs="宋体"/>
                <w:color w:val="auto"/>
                <w:szCs w:val="21"/>
              </w:rPr>
              <w:t xml:space="preserve"> </w:t>
            </w:r>
            <w:r>
              <w:rPr>
                <w:rFonts w:hint="eastAsia" w:ascii="宋体" w:hAnsi="宋体" w:cs="宋体"/>
                <w:color w:val="auto"/>
                <w:szCs w:val="21"/>
                <w:lang w:eastAsia="zh-CN"/>
              </w:rPr>
              <w:t>乙方</w:t>
            </w:r>
            <w:r>
              <w:rPr>
                <w:rFonts w:hint="eastAsia" w:ascii="宋体" w:hAnsi="宋体" w:cs="宋体"/>
                <w:color w:val="auto"/>
                <w:szCs w:val="21"/>
              </w:rPr>
              <w:t>将施工控制网资料报送监理人审批的期限：</w:t>
            </w:r>
            <w:r>
              <w:rPr>
                <w:rFonts w:hint="eastAsia" w:ascii="宋体" w:hAnsi="宋体" w:cs="宋体"/>
                <w:b/>
                <w:color w:val="auto"/>
                <w:szCs w:val="21"/>
                <w:u w:val="single"/>
              </w:rPr>
              <w:t>工程（单项工程）开工7天前</w:t>
            </w:r>
          </w:p>
        </w:tc>
      </w:tr>
      <w:tr w14:paraId="5D9F9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06" w:type="dxa"/>
            <w:noWrap w:val="0"/>
            <w:vAlign w:val="center"/>
          </w:tcPr>
          <w:p w14:paraId="392B4C21">
            <w:pPr>
              <w:tabs>
                <w:tab w:val="left" w:pos="1080"/>
              </w:tabs>
              <w:spacing w:line="360" w:lineRule="exact"/>
              <w:jc w:val="center"/>
              <w:rPr>
                <w:rFonts w:hint="eastAsia" w:ascii="宋体" w:hAnsi="宋体" w:cs="宋体"/>
                <w:color w:val="auto"/>
                <w:szCs w:val="21"/>
              </w:rPr>
            </w:pPr>
            <w:r>
              <w:rPr>
                <w:rFonts w:hint="eastAsia" w:ascii="宋体" w:hAnsi="宋体" w:cs="宋体"/>
                <w:color w:val="auto"/>
                <w:szCs w:val="21"/>
              </w:rPr>
              <w:t>9</w:t>
            </w:r>
          </w:p>
        </w:tc>
        <w:tc>
          <w:tcPr>
            <w:tcW w:w="1253" w:type="dxa"/>
            <w:noWrap w:val="0"/>
            <w:vAlign w:val="center"/>
          </w:tcPr>
          <w:p w14:paraId="354F7411">
            <w:pPr>
              <w:tabs>
                <w:tab w:val="left" w:pos="1080"/>
              </w:tabs>
              <w:spacing w:line="360" w:lineRule="exact"/>
              <w:jc w:val="center"/>
              <w:rPr>
                <w:rFonts w:hint="eastAsia" w:ascii="宋体" w:hAnsi="宋体" w:cs="宋体"/>
                <w:color w:val="auto"/>
                <w:szCs w:val="21"/>
              </w:rPr>
            </w:pPr>
            <w:r>
              <w:rPr>
                <w:rFonts w:hint="eastAsia" w:ascii="宋体" w:hAnsi="宋体" w:cs="宋体"/>
                <w:color w:val="auto"/>
                <w:szCs w:val="21"/>
              </w:rPr>
              <w:t>11.5</w:t>
            </w:r>
          </w:p>
        </w:tc>
        <w:tc>
          <w:tcPr>
            <w:tcW w:w="7100" w:type="dxa"/>
            <w:noWrap w:val="0"/>
            <w:vAlign w:val="top"/>
          </w:tcPr>
          <w:p w14:paraId="3E59ADAC">
            <w:pPr>
              <w:tabs>
                <w:tab w:val="left" w:pos="1080"/>
              </w:tabs>
              <w:spacing w:line="440" w:lineRule="exact"/>
              <w:ind w:firstLine="210" w:firstLineChars="100"/>
              <w:rPr>
                <w:rFonts w:ascii="宋体" w:hAnsi="宋体" w:cs="宋体"/>
                <w:color w:val="auto"/>
                <w:szCs w:val="21"/>
              </w:rPr>
            </w:pPr>
            <w:r>
              <w:rPr>
                <w:rFonts w:hint="eastAsia" w:ascii="宋体" w:hAnsi="宋体" w:cs="宋体"/>
                <w:color w:val="auto"/>
                <w:szCs w:val="21"/>
              </w:rPr>
              <w:t>逾期交工违约金：500元/天</w:t>
            </w:r>
          </w:p>
        </w:tc>
      </w:tr>
      <w:tr w14:paraId="7E4FC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06" w:type="dxa"/>
            <w:noWrap w:val="0"/>
            <w:vAlign w:val="center"/>
          </w:tcPr>
          <w:p w14:paraId="09D33DF7">
            <w:pPr>
              <w:tabs>
                <w:tab w:val="left" w:pos="1080"/>
              </w:tabs>
              <w:spacing w:line="360" w:lineRule="exact"/>
              <w:jc w:val="center"/>
              <w:rPr>
                <w:rFonts w:hint="eastAsia" w:ascii="宋体" w:hAnsi="宋体" w:cs="宋体"/>
                <w:color w:val="auto"/>
                <w:szCs w:val="21"/>
              </w:rPr>
            </w:pPr>
            <w:r>
              <w:rPr>
                <w:rFonts w:hint="eastAsia" w:ascii="宋体" w:hAnsi="宋体" w:cs="宋体"/>
                <w:color w:val="auto"/>
                <w:szCs w:val="21"/>
              </w:rPr>
              <w:t>10</w:t>
            </w:r>
          </w:p>
        </w:tc>
        <w:tc>
          <w:tcPr>
            <w:tcW w:w="1253" w:type="dxa"/>
            <w:noWrap w:val="0"/>
            <w:vAlign w:val="center"/>
          </w:tcPr>
          <w:p w14:paraId="0F3FFFC1">
            <w:pPr>
              <w:tabs>
                <w:tab w:val="left" w:pos="1080"/>
              </w:tabs>
              <w:spacing w:line="360" w:lineRule="exact"/>
              <w:jc w:val="center"/>
              <w:rPr>
                <w:rFonts w:hint="eastAsia" w:ascii="宋体" w:hAnsi="宋体" w:cs="宋体"/>
                <w:color w:val="auto"/>
                <w:szCs w:val="21"/>
              </w:rPr>
            </w:pPr>
            <w:r>
              <w:rPr>
                <w:rFonts w:hint="eastAsia" w:ascii="宋体" w:hAnsi="宋体" w:cs="宋体"/>
                <w:color w:val="auto"/>
                <w:szCs w:val="21"/>
              </w:rPr>
              <w:t>11.5</w:t>
            </w:r>
          </w:p>
        </w:tc>
        <w:tc>
          <w:tcPr>
            <w:tcW w:w="7100" w:type="dxa"/>
            <w:noWrap w:val="0"/>
            <w:vAlign w:val="top"/>
          </w:tcPr>
          <w:p w14:paraId="69E4CBBA">
            <w:pPr>
              <w:tabs>
                <w:tab w:val="left" w:pos="1080"/>
              </w:tabs>
              <w:spacing w:line="440" w:lineRule="exact"/>
              <w:ind w:firstLine="210" w:firstLineChars="100"/>
              <w:rPr>
                <w:rFonts w:ascii="宋体" w:hAnsi="宋体" w:cs="宋体"/>
                <w:color w:val="auto"/>
                <w:szCs w:val="21"/>
                <w:vertAlign w:val="superscript"/>
              </w:rPr>
            </w:pPr>
            <w:r>
              <w:rPr>
                <w:rFonts w:hint="eastAsia" w:ascii="宋体" w:hAnsi="宋体" w:cs="宋体"/>
                <w:color w:val="auto"/>
                <w:szCs w:val="21"/>
              </w:rPr>
              <w:t>逾期交工违约金限额：合同价格的10%</w:t>
            </w:r>
          </w:p>
        </w:tc>
      </w:tr>
      <w:tr w14:paraId="72A3E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06" w:type="dxa"/>
            <w:noWrap w:val="0"/>
            <w:vAlign w:val="center"/>
          </w:tcPr>
          <w:p w14:paraId="7DB29D01">
            <w:pPr>
              <w:tabs>
                <w:tab w:val="left" w:pos="1080"/>
              </w:tabs>
              <w:spacing w:line="360" w:lineRule="exact"/>
              <w:jc w:val="center"/>
              <w:rPr>
                <w:rFonts w:hint="eastAsia" w:ascii="宋体" w:hAnsi="宋体" w:cs="宋体"/>
                <w:color w:val="auto"/>
                <w:szCs w:val="21"/>
              </w:rPr>
            </w:pPr>
            <w:r>
              <w:rPr>
                <w:rFonts w:hint="eastAsia" w:ascii="宋体" w:hAnsi="宋体" w:cs="宋体"/>
                <w:color w:val="auto"/>
                <w:szCs w:val="21"/>
              </w:rPr>
              <w:t>11</w:t>
            </w:r>
          </w:p>
        </w:tc>
        <w:tc>
          <w:tcPr>
            <w:tcW w:w="1253" w:type="dxa"/>
            <w:noWrap w:val="0"/>
            <w:vAlign w:val="center"/>
          </w:tcPr>
          <w:p w14:paraId="17A12378">
            <w:pPr>
              <w:tabs>
                <w:tab w:val="left" w:pos="1080"/>
              </w:tabs>
              <w:spacing w:line="360" w:lineRule="exact"/>
              <w:jc w:val="center"/>
              <w:rPr>
                <w:rFonts w:hint="eastAsia" w:ascii="宋体" w:hAnsi="宋体" w:cs="宋体"/>
                <w:color w:val="auto"/>
                <w:szCs w:val="21"/>
              </w:rPr>
            </w:pPr>
            <w:r>
              <w:rPr>
                <w:rFonts w:hint="eastAsia" w:ascii="宋体" w:hAnsi="宋体" w:cs="宋体"/>
                <w:color w:val="auto"/>
                <w:szCs w:val="21"/>
              </w:rPr>
              <w:t>11.6</w:t>
            </w:r>
          </w:p>
        </w:tc>
        <w:tc>
          <w:tcPr>
            <w:tcW w:w="7100" w:type="dxa"/>
            <w:noWrap w:val="0"/>
            <w:vAlign w:val="top"/>
          </w:tcPr>
          <w:p w14:paraId="65A57057">
            <w:pPr>
              <w:tabs>
                <w:tab w:val="left" w:pos="1080"/>
              </w:tabs>
              <w:spacing w:line="440" w:lineRule="exact"/>
              <w:ind w:firstLine="210" w:firstLineChars="100"/>
              <w:rPr>
                <w:rFonts w:hint="eastAsia" w:ascii="宋体" w:hAnsi="宋体" w:cs="宋体"/>
                <w:color w:val="auto"/>
                <w:szCs w:val="21"/>
              </w:rPr>
            </w:pPr>
            <w:r>
              <w:rPr>
                <w:rFonts w:hint="eastAsia" w:ascii="宋体" w:hAnsi="宋体" w:cs="宋体"/>
                <w:color w:val="auto"/>
                <w:szCs w:val="21"/>
              </w:rPr>
              <w:t>提前交工的奖金：/</w:t>
            </w:r>
          </w:p>
        </w:tc>
      </w:tr>
      <w:tr w14:paraId="02E52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06" w:type="dxa"/>
            <w:noWrap w:val="0"/>
            <w:vAlign w:val="center"/>
          </w:tcPr>
          <w:p w14:paraId="127C3F7C">
            <w:pPr>
              <w:tabs>
                <w:tab w:val="left" w:pos="1080"/>
              </w:tabs>
              <w:spacing w:line="360" w:lineRule="exact"/>
              <w:jc w:val="center"/>
              <w:rPr>
                <w:rFonts w:hint="eastAsia" w:ascii="宋体" w:hAnsi="宋体" w:cs="宋体"/>
                <w:color w:val="auto"/>
                <w:szCs w:val="21"/>
              </w:rPr>
            </w:pPr>
            <w:r>
              <w:rPr>
                <w:rFonts w:hint="eastAsia" w:ascii="宋体" w:hAnsi="宋体" w:cs="宋体"/>
                <w:color w:val="auto"/>
                <w:szCs w:val="21"/>
              </w:rPr>
              <w:t>12</w:t>
            </w:r>
          </w:p>
        </w:tc>
        <w:tc>
          <w:tcPr>
            <w:tcW w:w="1253" w:type="dxa"/>
            <w:noWrap w:val="0"/>
            <w:vAlign w:val="center"/>
          </w:tcPr>
          <w:p w14:paraId="78DBDB35">
            <w:pPr>
              <w:tabs>
                <w:tab w:val="left" w:pos="1080"/>
              </w:tabs>
              <w:spacing w:line="360" w:lineRule="exact"/>
              <w:jc w:val="center"/>
              <w:rPr>
                <w:rFonts w:hint="eastAsia" w:ascii="宋体" w:hAnsi="宋体" w:cs="宋体"/>
                <w:color w:val="auto"/>
                <w:szCs w:val="21"/>
              </w:rPr>
            </w:pPr>
            <w:r>
              <w:rPr>
                <w:rFonts w:hint="eastAsia" w:ascii="宋体" w:hAnsi="宋体" w:cs="宋体"/>
                <w:color w:val="auto"/>
                <w:szCs w:val="21"/>
              </w:rPr>
              <w:t>11.6</w:t>
            </w:r>
          </w:p>
        </w:tc>
        <w:tc>
          <w:tcPr>
            <w:tcW w:w="7100" w:type="dxa"/>
            <w:noWrap w:val="0"/>
            <w:vAlign w:val="top"/>
          </w:tcPr>
          <w:p w14:paraId="45D7BCA8">
            <w:pPr>
              <w:tabs>
                <w:tab w:val="left" w:pos="1080"/>
              </w:tabs>
              <w:spacing w:line="440" w:lineRule="exact"/>
              <w:ind w:firstLine="210" w:firstLineChars="100"/>
              <w:rPr>
                <w:rFonts w:hint="eastAsia" w:ascii="宋体" w:hAnsi="宋体" w:cs="宋体"/>
                <w:color w:val="auto"/>
                <w:szCs w:val="21"/>
              </w:rPr>
            </w:pPr>
            <w:r>
              <w:rPr>
                <w:rFonts w:hint="eastAsia" w:ascii="宋体" w:hAnsi="宋体" w:cs="宋体"/>
                <w:color w:val="auto"/>
                <w:szCs w:val="21"/>
              </w:rPr>
              <w:t>提前交工的奖金限额：/</w:t>
            </w:r>
          </w:p>
        </w:tc>
      </w:tr>
      <w:tr w14:paraId="735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806" w:type="dxa"/>
            <w:noWrap w:val="0"/>
            <w:vAlign w:val="center"/>
          </w:tcPr>
          <w:p w14:paraId="6BEAB0D4">
            <w:pPr>
              <w:tabs>
                <w:tab w:val="left" w:pos="1080"/>
              </w:tabs>
              <w:spacing w:line="360" w:lineRule="exact"/>
              <w:jc w:val="center"/>
              <w:rPr>
                <w:rFonts w:hint="eastAsia" w:ascii="宋体" w:hAnsi="宋体" w:cs="宋体"/>
                <w:color w:val="auto"/>
                <w:szCs w:val="21"/>
              </w:rPr>
            </w:pPr>
            <w:r>
              <w:rPr>
                <w:rFonts w:hint="eastAsia" w:ascii="宋体" w:hAnsi="宋体" w:cs="宋体"/>
                <w:color w:val="auto"/>
                <w:szCs w:val="21"/>
              </w:rPr>
              <w:t>13</w:t>
            </w:r>
          </w:p>
        </w:tc>
        <w:tc>
          <w:tcPr>
            <w:tcW w:w="1253" w:type="dxa"/>
            <w:noWrap w:val="0"/>
            <w:vAlign w:val="center"/>
          </w:tcPr>
          <w:p w14:paraId="0B61AE89">
            <w:pPr>
              <w:tabs>
                <w:tab w:val="left" w:pos="1080"/>
              </w:tabs>
              <w:spacing w:line="360" w:lineRule="exact"/>
              <w:jc w:val="center"/>
              <w:rPr>
                <w:rFonts w:hint="eastAsia" w:ascii="宋体" w:hAnsi="宋体" w:cs="宋体"/>
                <w:color w:val="auto"/>
                <w:szCs w:val="21"/>
              </w:rPr>
            </w:pPr>
            <w:r>
              <w:rPr>
                <w:rFonts w:hint="eastAsia" w:ascii="宋体" w:hAnsi="宋体" w:cs="宋体"/>
                <w:color w:val="auto"/>
                <w:szCs w:val="21"/>
              </w:rPr>
              <w:t>15.5.2</w:t>
            </w:r>
          </w:p>
        </w:tc>
        <w:tc>
          <w:tcPr>
            <w:tcW w:w="7100" w:type="dxa"/>
            <w:noWrap w:val="0"/>
            <w:vAlign w:val="top"/>
          </w:tcPr>
          <w:p w14:paraId="4A6820BC">
            <w:pPr>
              <w:tabs>
                <w:tab w:val="left" w:pos="1080"/>
              </w:tabs>
              <w:spacing w:line="440" w:lineRule="exact"/>
              <w:ind w:firstLine="210" w:firstLineChars="100"/>
              <w:rPr>
                <w:rFonts w:hint="eastAsia" w:ascii="宋体" w:hAnsi="宋体" w:cs="宋体"/>
                <w:color w:val="auto"/>
                <w:szCs w:val="21"/>
              </w:rPr>
            </w:pPr>
            <w:r>
              <w:rPr>
                <w:rFonts w:hint="eastAsia" w:ascii="宋体" w:hAnsi="宋体" w:cs="宋体"/>
                <w:color w:val="auto"/>
                <w:szCs w:val="21"/>
                <w:lang w:eastAsia="zh-CN"/>
              </w:rPr>
              <w:t>乙方</w:t>
            </w:r>
            <w:r>
              <w:rPr>
                <w:rFonts w:hint="eastAsia" w:ascii="宋体" w:hAnsi="宋体" w:cs="宋体"/>
                <w:color w:val="auto"/>
                <w:szCs w:val="21"/>
              </w:rPr>
              <w:t>提出的合理化建议降低了合同价格的，</w:t>
            </w:r>
            <w:r>
              <w:rPr>
                <w:rFonts w:hint="eastAsia" w:ascii="宋体" w:hAnsi="宋体" w:cs="宋体"/>
                <w:color w:val="auto"/>
                <w:szCs w:val="21"/>
                <w:lang w:eastAsia="zh-CN"/>
              </w:rPr>
              <w:t>甲方</w:t>
            </w:r>
            <w:r>
              <w:rPr>
                <w:rFonts w:hint="eastAsia" w:ascii="宋体" w:hAnsi="宋体" w:cs="宋体"/>
                <w:color w:val="auto"/>
                <w:szCs w:val="21"/>
              </w:rPr>
              <w:t>按所节约金额的一定比例给予奖励</w:t>
            </w:r>
            <w:r>
              <w:rPr>
                <w:rFonts w:hint="eastAsia" w:ascii="宋体" w:hAnsi="宋体" w:cs="宋体"/>
                <w:color w:val="auto"/>
              </w:rPr>
              <w:t>，具体奖励办法按广西公路管理局有关管理办法办理</w:t>
            </w:r>
            <w:r>
              <w:rPr>
                <w:rFonts w:hint="eastAsia" w:ascii="宋体" w:hAnsi="宋体" w:cs="宋体"/>
                <w:color w:val="auto"/>
                <w:szCs w:val="21"/>
              </w:rPr>
              <w:t>。</w:t>
            </w:r>
          </w:p>
        </w:tc>
      </w:tr>
    </w:tbl>
    <w:p w14:paraId="36733C02">
      <w:pPr>
        <w:tabs>
          <w:tab w:val="left" w:pos="1080"/>
        </w:tabs>
        <w:spacing w:line="100" w:lineRule="exact"/>
        <w:rPr>
          <w:rFonts w:hint="eastAsia" w:ascii="宋体" w:hAnsi="宋体" w:cs="宋体"/>
          <w:color w:val="auto"/>
          <w:sz w:val="18"/>
          <w:szCs w:val="18"/>
        </w:rPr>
        <w:sectPr>
          <w:pgSz w:w="11906" w:h="16838"/>
          <w:pgMar w:top="1276" w:right="1276" w:bottom="1276" w:left="1440" w:header="851" w:footer="992" w:gutter="0"/>
          <w:pgNumType w:fmt="decimal"/>
          <w:cols w:space="720" w:num="1"/>
          <w:docGrid w:type="linesAndChars" w:linePitch="312" w:charSpace="0"/>
        </w:sectPr>
      </w:pPr>
    </w:p>
    <w:p w14:paraId="30E0D79B">
      <w:pPr>
        <w:tabs>
          <w:tab w:val="left" w:pos="1080"/>
        </w:tabs>
        <w:spacing w:line="100" w:lineRule="exact"/>
        <w:rPr>
          <w:rFonts w:hint="eastAsia" w:ascii="宋体" w:hAnsi="宋体" w:cs="宋体"/>
          <w:color w:val="auto"/>
          <w:sz w:val="18"/>
          <w:szCs w:val="18"/>
        </w:rPr>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261"/>
        <w:gridCol w:w="7205"/>
        <w:gridCol w:w="8"/>
      </w:tblGrid>
      <w:tr w14:paraId="15DA9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829" w:type="dxa"/>
            <w:noWrap w:val="0"/>
            <w:vAlign w:val="center"/>
          </w:tcPr>
          <w:p w14:paraId="735D7E5D">
            <w:pPr>
              <w:tabs>
                <w:tab w:val="left" w:pos="1080"/>
              </w:tabs>
              <w:spacing w:line="280" w:lineRule="exact"/>
              <w:jc w:val="center"/>
              <w:rPr>
                <w:rFonts w:hint="eastAsia" w:ascii="宋体" w:hAnsi="宋体" w:cs="宋体"/>
                <w:b/>
                <w:color w:val="auto"/>
                <w:szCs w:val="21"/>
              </w:rPr>
            </w:pPr>
            <w:r>
              <w:rPr>
                <w:rFonts w:hint="eastAsia" w:ascii="宋体" w:hAnsi="宋体" w:cs="宋体"/>
                <w:b/>
                <w:color w:val="auto"/>
                <w:szCs w:val="21"/>
              </w:rPr>
              <w:t>序号</w:t>
            </w:r>
          </w:p>
        </w:tc>
        <w:tc>
          <w:tcPr>
            <w:tcW w:w="1261" w:type="dxa"/>
            <w:noWrap w:val="0"/>
            <w:vAlign w:val="center"/>
          </w:tcPr>
          <w:p w14:paraId="54840212">
            <w:pPr>
              <w:tabs>
                <w:tab w:val="left" w:pos="1080"/>
              </w:tabs>
              <w:spacing w:line="280" w:lineRule="exact"/>
              <w:jc w:val="center"/>
              <w:rPr>
                <w:rFonts w:hint="eastAsia" w:ascii="宋体" w:hAnsi="宋体" w:cs="宋体"/>
                <w:b/>
                <w:color w:val="auto"/>
                <w:szCs w:val="21"/>
              </w:rPr>
            </w:pPr>
            <w:r>
              <w:rPr>
                <w:rFonts w:hint="eastAsia" w:ascii="宋体" w:hAnsi="宋体" w:cs="宋体"/>
                <w:b/>
                <w:color w:val="auto"/>
                <w:szCs w:val="21"/>
              </w:rPr>
              <w:t>条目号</w:t>
            </w:r>
          </w:p>
        </w:tc>
        <w:tc>
          <w:tcPr>
            <w:tcW w:w="7213" w:type="dxa"/>
            <w:gridSpan w:val="2"/>
            <w:noWrap w:val="0"/>
            <w:vAlign w:val="center"/>
          </w:tcPr>
          <w:p w14:paraId="665FA99F">
            <w:pPr>
              <w:tabs>
                <w:tab w:val="left" w:pos="1080"/>
              </w:tabs>
              <w:spacing w:line="280" w:lineRule="exact"/>
              <w:jc w:val="center"/>
              <w:rPr>
                <w:rFonts w:hint="eastAsia" w:ascii="宋体" w:hAnsi="宋体" w:cs="宋体"/>
                <w:b/>
                <w:color w:val="auto"/>
                <w:szCs w:val="21"/>
              </w:rPr>
            </w:pPr>
            <w:r>
              <w:rPr>
                <w:rFonts w:hint="eastAsia" w:ascii="宋体" w:hAnsi="宋体" w:cs="宋体"/>
                <w:b/>
                <w:color w:val="auto"/>
                <w:szCs w:val="21"/>
              </w:rPr>
              <w:t>信 息 或 数 据</w:t>
            </w:r>
          </w:p>
        </w:tc>
      </w:tr>
      <w:tr w14:paraId="4FDE6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829" w:type="dxa"/>
            <w:noWrap w:val="0"/>
            <w:vAlign w:val="center"/>
          </w:tcPr>
          <w:p w14:paraId="01C0ED53">
            <w:pPr>
              <w:tabs>
                <w:tab w:val="left" w:pos="1080"/>
              </w:tabs>
              <w:spacing w:line="280" w:lineRule="exact"/>
              <w:jc w:val="center"/>
              <w:rPr>
                <w:rFonts w:hint="eastAsia" w:ascii="宋体" w:hAnsi="宋体" w:cs="宋体"/>
                <w:color w:val="auto"/>
                <w:szCs w:val="21"/>
              </w:rPr>
            </w:pPr>
            <w:r>
              <w:rPr>
                <w:rFonts w:hint="eastAsia" w:ascii="宋体" w:hAnsi="宋体" w:cs="宋体"/>
                <w:color w:val="auto"/>
                <w:szCs w:val="21"/>
              </w:rPr>
              <w:t>14</w:t>
            </w:r>
          </w:p>
        </w:tc>
        <w:tc>
          <w:tcPr>
            <w:tcW w:w="1261" w:type="dxa"/>
            <w:noWrap w:val="0"/>
            <w:vAlign w:val="center"/>
          </w:tcPr>
          <w:p w14:paraId="7E9364D1">
            <w:pPr>
              <w:tabs>
                <w:tab w:val="left" w:pos="1080"/>
              </w:tabs>
              <w:spacing w:line="280" w:lineRule="exact"/>
              <w:jc w:val="center"/>
              <w:rPr>
                <w:rFonts w:hint="eastAsia" w:ascii="宋体" w:hAnsi="宋体" w:cs="宋体"/>
                <w:color w:val="auto"/>
                <w:szCs w:val="21"/>
              </w:rPr>
            </w:pPr>
            <w:r>
              <w:rPr>
                <w:rFonts w:hint="eastAsia" w:ascii="宋体" w:hAnsi="宋体" w:cs="宋体"/>
                <w:color w:val="auto"/>
                <w:szCs w:val="21"/>
              </w:rPr>
              <w:t>16.1</w:t>
            </w:r>
          </w:p>
        </w:tc>
        <w:tc>
          <w:tcPr>
            <w:tcW w:w="7213" w:type="dxa"/>
            <w:gridSpan w:val="2"/>
            <w:noWrap w:val="0"/>
            <w:vAlign w:val="center"/>
          </w:tcPr>
          <w:p w14:paraId="6EB64F84">
            <w:pPr>
              <w:tabs>
                <w:tab w:val="left" w:pos="1080"/>
              </w:tabs>
              <w:spacing w:line="440" w:lineRule="exact"/>
              <w:rPr>
                <w:rFonts w:hint="eastAsia" w:ascii="宋体" w:hAnsi="宋体" w:cs="宋体"/>
                <w:color w:val="auto"/>
                <w:szCs w:val="21"/>
              </w:rPr>
            </w:pPr>
            <w:r>
              <w:rPr>
                <w:rFonts w:hint="eastAsia" w:ascii="宋体" w:hAnsi="宋体" w:cs="宋体"/>
                <w:color w:val="auto"/>
                <w:szCs w:val="21"/>
              </w:rPr>
              <w:t>因物价波动引起的价格调整，不调价</w:t>
            </w:r>
          </w:p>
        </w:tc>
      </w:tr>
      <w:tr w14:paraId="2ABDD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29" w:type="dxa"/>
            <w:noWrap w:val="0"/>
            <w:vAlign w:val="center"/>
          </w:tcPr>
          <w:p w14:paraId="6156F3A1">
            <w:pPr>
              <w:tabs>
                <w:tab w:val="left" w:pos="1080"/>
              </w:tabs>
              <w:spacing w:line="280" w:lineRule="exact"/>
              <w:jc w:val="center"/>
              <w:rPr>
                <w:rFonts w:hint="eastAsia" w:ascii="宋体" w:hAnsi="宋体" w:cs="宋体"/>
                <w:color w:val="auto"/>
                <w:szCs w:val="21"/>
              </w:rPr>
            </w:pPr>
            <w:r>
              <w:rPr>
                <w:rFonts w:hint="eastAsia" w:ascii="宋体" w:hAnsi="宋体" w:cs="宋体"/>
                <w:color w:val="auto"/>
                <w:szCs w:val="21"/>
              </w:rPr>
              <w:t>15</w:t>
            </w:r>
          </w:p>
        </w:tc>
        <w:tc>
          <w:tcPr>
            <w:tcW w:w="1261" w:type="dxa"/>
            <w:noWrap w:val="0"/>
            <w:vAlign w:val="center"/>
          </w:tcPr>
          <w:p w14:paraId="3441ED18">
            <w:pPr>
              <w:tabs>
                <w:tab w:val="left" w:pos="1080"/>
              </w:tabs>
              <w:spacing w:line="280" w:lineRule="exact"/>
              <w:jc w:val="center"/>
              <w:rPr>
                <w:rFonts w:hint="eastAsia" w:ascii="宋体" w:hAnsi="宋体" w:cs="宋体"/>
                <w:color w:val="auto"/>
                <w:szCs w:val="21"/>
              </w:rPr>
            </w:pPr>
            <w:r>
              <w:rPr>
                <w:rFonts w:hint="eastAsia" w:ascii="宋体" w:hAnsi="宋体" w:cs="宋体"/>
                <w:color w:val="auto"/>
                <w:szCs w:val="21"/>
              </w:rPr>
              <w:t>17.2.1</w:t>
            </w:r>
          </w:p>
        </w:tc>
        <w:tc>
          <w:tcPr>
            <w:tcW w:w="7213" w:type="dxa"/>
            <w:gridSpan w:val="2"/>
            <w:noWrap w:val="0"/>
            <w:vAlign w:val="center"/>
          </w:tcPr>
          <w:p w14:paraId="7B97CC01">
            <w:pPr>
              <w:tabs>
                <w:tab w:val="left" w:pos="1080"/>
              </w:tabs>
              <w:spacing w:line="440" w:lineRule="exact"/>
              <w:rPr>
                <w:rFonts w:hint="eastAsia" w:ascii="宋体" w:hAnsi="宋体" w:cs="宋体"/>
                <w:color w:val="auto"/>
                <w:szCs w:val="21"/>
              </w:rPr>
            </w:pPr>
            <w:r>
              <w:rPr>
                <w:rFonts w:hint="eastAsia" w:ascii="宋体" w:hAnsi="宋体" w:cs="宋体"/>
                <w:color w:val="auto"/>
                <w:szCs w:val="21"/>
              </w:rPr>
              <w:t>开工预付款金额：</w:t>
            </w:r>
            <w:r>
              <w:rPr>
                <w:rFonts w:hint="eastAsia" w:ascii="宋体" w:hAnsi="宋体" w:cs="宋体"/>
                <w:bCs/>
                <w:color w:val="auto"/>
                <w:spacing w:val="-3"/>
              </w:rPr>
              <w:t xml:space="preserve"> </w:t>
            </w:r>
            <w:r>
              <w:rPr>
                <w:rFonts w:hint="eastAsia" w:ascii="宋体" w:hAnsi="宋体" w:cs="宋体"/>
                <w:bCs/>
                <w:color w:val="auto"/>
                <w:spacing w:val="-3"/>
                <w:lang w:val="en-US" w:eastAsia="zh-CN"/>
              </w:rPr>
              <w:t>合同价款的30%</w:t>
            </w:r>
            <w:r>
              <w:rPr>
                <w:rFonts w:hint="eastAsia" w:ascii="宋体" w:hAnsi="宋体" w:cs="宋体"/>
                <w:color w:val="auto"/>
                <w:szCs w:val="21"/>
              </w:rPr>
              <w:t>。</w:t>
            </w:r>
          </w:p>
        </w:tc>
      </w:tr>
      <w:tr w14:paraId="25616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9" w:type="dxa"/>
            <w:noWrap w:val="0"/>
            <w:vAlign w:val="center"/>
          </w:tcPr>
          <w:p w14:paraId="6D9C6137">
            <w:pPr>
              <w:tabs>
                <w:tab w:val="left" w:pos="1080"/>
              </w:tabs>
              <w:spacing w:line="280" w:lineRule="exact"/>
              <w:jc w:val="center"/>
              <w:rPr>
                <w:rFonts w:hint="eastAsia" w:ascii="宋体" w:hAnsi="宋体" w:cs="宋体"/>
                <w:color w:val="auto"/>
                <w:szCs w:val="21"/>
              </w:rPr>
            </w:pPr>
            <w:r>
              <w:rPr>
                <w:rFonts w:hint="eastAsia" w:ascii="宋体" w:hAnsi="宋体" w:cs="宋体"/>
                <w:color w:val="auto"/>
                <w:szCs w:val="21"/>
              </w:rPr>
              <w:t>16</w:t>
            </w:r>
          </w:p>
        </w:tc>
        <w:tc>
          <w:tcPr>
            <w:tcW w:w="1261" w:type="dxa"/>
            <w:noWrap w:val="0"/>
            <w:vAlign w:val="center"/>
          </w:tcPr>
          <w:p w14:paraId="304BE42D">
            <w:pPr>
              <w:tabs>
                <w:tab w:val="left" w:pos="1080"/>
              </w:tabs>
              <w:spacing w:line="280" w:lineRule="exact"/>
              <w:jc w:val="center"/>
              <w:rPr>
                <w:rFonts w:hint="eastAsia" w:ascii="宋体" w:hAnsi="宋体" w:cs="宋体"/>
                <w:color w:val="auto"/>
                <w:szCs w:val="21"/>
              </w:rPr>
            </w:pPr>
            <w:r>
              <w:rPr>
                <w:rFonts w:hint="eastAsia" w:ascii="宋体" w:hAnsi="宋体" w:cs="宋体"/>
                <w:color w:val="auto"/>
                <w:szCs w:val="21"/>
              </w:rPr>
              <w:t>17.2.1</w:t>
            </w:r>
          </w:p>
        </w:tc>
        <w:tc>
          <w:tcPr>
            <w:tcW w:w="7213" w:type="dxa"/>
            <w:gridSpan w:val="2"/>
            <w:noWrap w:val="0"/>
            <w:vAlign w:val="center"/>
          </w:tcPr>
          <w:p w14:paraId="3DD13896">
            <w:pPr>
              <w:tabs>
                <w:tab w:val="left" w:pos="1080"/>
              </w:tabs>
              <w:spacing w:line="440" w:lineRule="exact"/>
              <w:rPr>
                <w:rFonts w:hint="eastAsia" w:ascii="宋体" w:hAnsi="宋体" w:cs="宋体"/>
                <w:color w:val="auto"/>
                <w:szCs w:val="21"/>
              </w:rPr>
            </w:pPr>
            <w:r>
              <w:rPr>
                <w:rFonts w:hint="eastAsia" w:ascii="宋体" w:hAnsi="宋体" w:cs="宋体"/>
                <w:color w:val="auto"/>
                <w:szCs w:val="21"/>
              </w:rPr>
              <w:t>材料、设备预付款比例：</w:t>
            </w:r>
            <w:r>
              <w:rPr>
                <w:rFonts w:hint="eastAsia" w:ascii="宋体" w:hAnsi="宋体" w:cs="宋体"/>
                <w:color w:val="auto"/>
                <w:szCs w:val="21"/>
                <w:u w:val="single"/>
              </w:rPr>
              <w:t xml:space="preserve">钢材、水泥、沥青、砂石  </w:t>
            </w:r>
            <w:r>
              <w:rPr>
                <w:rFonts w:hint="eastAsia" w:ascii="宋体" w:hAnsi="宋体" w:cs="宋体"/>
                <w:color w:val="auto"/>
                <w:szCs w:val="21"/>
              </w:rPr>
              <w:t xml:space="preserve"> 等主要材料、设备单据所列费用的70%</w:t>
            </w:r>
          </w:p>
        </w:tc>
      </w:tr>
      <w:tr w14:paraId="2E5A7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9" w:type="dxa"/>
            <w:noWrap w:val="0"/>
            <w:vAlign w:val="center"/>
          </w:tcPr>
          <w:p w14:paraId="561C6DE7">
            <w:pPr>
              <w:tabs>
                <w:tab w:val="left" w:pos="1080"/>
              </w:tabs>
              <w:spacing w:line="280" w:lineRule="exact"/>
              <w:jc w:val="center"/>
              <w:rPr>
                <w:rFonts w:hint="eastAsia" w:ascii="宋体" w:hAnsi="宋体" w:cs="宋体"/>
                <w:color w:val="auto"/>
                <w:szCs w:val="21"/>
              </w:rPr>
            </w:pPr>
            <w:r>
              <w:rPr>
                <w:rFonts w:hint="eastAsia" w:ascii="宋体" w:hAnsi="宋体" w:cs="宋体"/>
                <w:color w:val="auto"/>
                <w:szCs w:val="21"/>
              </w:rPr>
              <w:t>17</w:t>
            </w:r>
          </w:p>
        </w:tc>
        <w:tc>
          <w:tcPr>
            <w:tcW w:w="1261" w:type="dxa"/>
            <w:noWrap w:val="0"/>
            <w:vAlign w:val="center"/>
          </w:tcPr>
          <w:p w14:paraId="7D4549F1">
            <w:pPr>
              <w:tabs>
                <w:tab w:val="left" w:pos="1080"/>
              </w:tabs>
              <w:spacing w:line="280" w:lineRule="exact"/>
              <w:jc w:val="center"/>
              <w:rPr>
                <w:rFonts w:hint="eastAsia" w:ascii="宋体" w:hAnsi="宋体" w:cs="宋体"/>
                <w:color w:val="auto"/>
                <w:szCs w:val="21"/>
              </w:rPr>
            </w:pPr>
            <w:r>
              <w:rPr>
                <w:rFonts w:hint="eastAsia" w:ascii="宋体" w:hAnsi="宋体" w:cs="宋体"/>
                <w:color w:val="auto"/>
                <w:szCs w:val="21"/>
              </w:rPr>
              <w:t>17.3.2</w:t>
            </w:r>
          </w:p>
        </w:tc>
        <w:tc>
          <w:tcPr>
            <w:tcW w:w="7213" w:type="dxa"/>
            <w:gridSpan w:val="2"/>
            <w:noWrap w:val="0"/>
            <w:vAlign w:val="center"/>
          </w:tcPr>
          <w:p w14:paraId="3EDB4332">
            <w:pPr>
              <w:tabs>
                <w:tab w:val="left" w:pos="1080"/>
              </w:tabs>
              <w:spacing w:line="440" w:lineRule="exact"/>
              <w:rPr>
                <w:rFonts w:hint="eastAsia" w:ascii="宋体" w:hAnsi="宋体" w:cs="宋体"/>
                <w:color w:val="auto"/>
                <w:szCs w:val="21"/>
              </w:rPr>
            </w:pPr>
            <w:r>
              <w:rPr>
                <w:rFonts w:hint="eastAsia" w:ascii="宋体" w:hAnsi="宋体" w:cs="宋体"/>
                <w:color w:val="auto"/>
                <w:szCs w:val="21"/>
                <w:lang w:eastAsia="zh-CN"/>
              </w:rPr>
              <w:t>乙方</w:t>
            </w:r>
            <w:r>
              <w:rPr>
                <w:rFonts w:hint="eastAsia" w:ascii="宋体" w:hAnsi="宋体" w:cs="宋体"/>
                <w:color w:val="auto"/>
                <w:szCs w:val="21"/>
              </w:rPr>
              <w:t>在每个付款周期末向监理人提交进度付款申请单的份数：4份。</w:t>
            </w:r>
          </w:p>
        </w:tc>
      </w:tr>
      <w:tr w14:paraId="650CE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829" w:type="dxa"/>
            <w:noWrap w:val="0"/>
            <w:vAlign w:val="center"/>
          </w:tcPr>
          <w:p w14:paraId="584D314E">
            <w:pPr>
              <w:tabs>
                <w:tab w:val="left" w:pos="1080"/>
              </w:tabs>
              <w:spacing w:line="280" w:lineRule="exact"/>
              <w:jc w:val="center"/>
              <w:rPr>
                <w:rFonts w:hint="eastAsia" w:ascii="宋体" w:hAnsi="宋体" w:cs="宋体"/>
                <w:color w:val="auto"/>
                <w:szCs w:val="21"/>
              </w:rPr>
            </w:pPr>
            <w:r>
              <w:rPr>
                <w:rFonts w:hint="eastAsia" w:ascii="宋体" w:hAnsi="宋体" w:cs="宋体"/>
                <w:color w:val="auto"/>
                <w:szCs w:val="21"/>
              </w:rPr>
              <w:t>18</w:t>
            </w:r>
          </w:p>
        </w:tc>
        <w:tc>
          <w:tcPr>
            <w:tcW w:w="1261" w:type="dxa"/>
            <w:noWrap w:val="0"/>
            <w:vAlign w:val="center"/>
          </w:tcPr>
          <w:p w14:paraId="39CF05F9">
            <w:pPr>
              <w:tabs>
                <w:tab w:val="left" w:pos="1080"/>
              </w:tabs>
              <w:spacing w:line="280" w:lineRule="exact"/>
              <w:jc w:val="center"/>
              <w:rPr>
                <w:rFonts w:hint="eastAsia" w:ascii="宋体" w:hAnsi="宋体" w:cs="宋体"/>
                <w:color w:val="auto"/>
                <w:szCs w:val="21"/>
              </w:rPr>
            </w:pPr>
            <w:r>
              <w:rPr>
                <w:rFonts w:hint="eastAsia" w:ascii="宋体" w:hAnsi="宋体" w:cs="宋体"/>
                <w:color w:val="auto"/>
                <w:szCs w:val="21"/>
              </w:rPr>
              <w:t>17.3.3(1)</w:t>
            </w:r>
          </w:p>
        </w:tc>
        <w:tc>
          <w:tcPr>
            <w:tcW w:w="7213" w:type="dxa"/>
            <w:gridSpan w:val="2"/>
            <w:noWrap w:val="0"/>
            <w:vAlign w:val="center"/>
          </w:tcPr>
          <w:p w14:paraId="05D4C339">
            <w:pPr>
              <w:tabs>
                <w:tab w:val="left" w:pos="1080"/>
              </w:tabs>
              <w:spacing w:line="440" w:lineRule="exact"/>
              <w:rPr>
                <w:rFonts w:hint="eastAsia" w:ascii="宋体" w:hAnsi="宋体" w:cs="宋体"/>
                <w:color w:val="auto"/>
                <w:szCs w:val="21"/>
              </w:rPr>
            </w:pPr>
            <w:r>
              <w:rPr>
                <w:rFonts w:hint="eastAsia" w:ascii="宋体" w:hAnsi="宋体" w:cs="宋体"/>
                <w:color w:val="auto"/>
                <w:szCs w:val="21"/>
              </w:rPr>
              <w:t>进度付款证书最低限额：0.3%签约合同价。</w:t>
            </w:r>
          </w:p>
        </w:tc>
      </w:tr>
      <w:tr w14:paraId="51875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9" w:type="dxa"/>
            <w:noWrap w:val="0"/>
            <w:vAlign w:val="center"/>
          </w:tcPr>
          <w:p w14:paraId="33F0F02B">
            <w:pPr>
              <w:tabs>
                <w:tab w:val="left" w:pos="1080"/>
              </w:tabs>
              <w:spacing w:line="280" w:lineRule="exact"/>
              <w:jc w:val="center"/>
              <w:rPr>
                <w:rFonts w:hint="eastAsia" w:ascii="宋体" w:hAnsi="宋体" w:cs="宋体"/>
                <w:color w:val="auto"/>
                <w:szCs w:val="21"/>
              </w:rPr>
            </w:pPr>
            <w:r>
              <w:rPr>
                <w:rFonts w:hint="eastAsia" w:ascii="宋体" w:hAnsi="宋体" w:cs="宋体"/>
                <w:color w:val="auto"/>
                <w:szCs w:val="21"/>
              </w:rPr>
              <w:t>19</w:t>
            </w:r>
          </w:p>
        </w:tc>
        <w:tc>
          <w:tcPr>
            <w:tcW w:w="1261" w:type="dxa"/>
            <w:noWrap w:val="0"/>
            <w:vAlign w:val="center"/>
          </w:tcPr>
          <w:p w14:paraId="7EB7C198">
            <w:pPr>
              <w:tabs>
                <w:tab w:val="left" w:pos="1080"/>
              </w:tabs>
              <w:spacing w:line="280" w:lineRule="exact"/>
              <w:jc w:val="center"/>
              <w:rPr>
                <w:rFonts w:hint="eastAsia" w:ascii="宋体" w:hAnsi="宋体" w:cs="宋体"/>
                <w:color w:val="auto"/>
                <w:szCs w:val="21"/>
              </w:rPr>
            </w:pPr>
            <w:r>
              <w:rPr>
                <w:rFonts w:hint="eastAsia" w:ascii="宋体" w:hAnsi="宋体" w:cs="宋体"/>
                <w:color w:val="auto"/>
                <w:szCs w:val="21"/>
              </w:rPr>
              <w:t>17.3.3(2)</w:t>
            </w:r>
          </w:p>
        </w:tc>
        <w:tc>
          <w:tcPr>
            <w:tcW w:w="7213" w:type="dxa"/>
            <w:gridSpan w:val="2"/>
            <w:noWrap w:val="0"/>
            <w:vAlign w:val="center"/>
          </w:tcPr>
          <w:p w14:paraId="00D8EB81">
            <w:pPr>
              <w:tabs>
                <w:tab w:val="left" w:pos="1080"/>
              </w:tabs>
              <w:spacing w:line="440" w:lineRule="exact"/>
              <w:rPr>
                <w:rFonts w:hint="eastAsia" w:ascii="宋体" w:hAnsi="宋体" w:cs="宋体"/>
                <w:color w:val="auto"/>
                <w:szCs w:val="21"/>
              </w:rPr>
            </w:pPr>
            <w:r>
              <w:rPr>
                <w:rFonts w:hint="eastAsia" w:ascii="宋体" w:hAnsi="宋体" w:cs="宋体"/>
                <w:color w:val="auto"/>
                <w:szCs w:val="21"/>
              </w:rPr>
              <w:t>逾期付款违约金的的利率：0.15‰/天。</w:t>
            </w:r>
          </w:p>
        </w:tc>
      </w:tr>
      <w:tr w14:paraId="31570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829" w:type="dxa"/>
            <w:noWrap w:val="0"/>
            <w:vAlign w:val="center"/>
          </w:tcPr>
          <w:p w14:paraId="1B6915B0">
            <w:pPr>
              <w:tabs>
                <w:tab w:val="left" w:pos="1080"/>
              </w:tabs>
              <w:spacing w:line="280" w:lineRule="exact"/>
              <w:jc w:val="center"/>
              <w:rPr>
                <w:rFonts w:hint="eastAsia" w:ascii="宋体" w:hAnsi="宋体" w:cs="宋体"/>
                <w:color w:val="auto"/>
                <w:szCs w:val="21"/>
              </w:rPr>
            </w:pPr>
            <w:r>
              <w:rPr>
                <w:rFonts w:hint="eastAsia" w:ascii="宋体" w:hAnsi="宋体" w:cs="宋体"/>
                <w:color w:val="auto"/>
                <w:szCs w:val="21"/>
              </w:rPr>
              <w:t>20</w:t>
            </w:r>
          </w:p>
        </w:tc>
        <w:tc>
          <w:tcPr>
            <w:tcW w:w="1261" w:type="dxa"/>
            <w:noWrap w:val="0"/>
            <w:vAlign w:val="center"/>
          </w:tcPr>
          <w:p w14:paraId="16FF5DB6">
            <w:pPr>
              <w:tabs>
                <w:tab w:val="left" w:pos="1080"/>
              </w:tabs>
              <w:spacing w:line="280" w:lineRule="exact"/>
              <w:jc w:val="center"/>
              <w:rPr>
                <w:rFonts w:hint="eastAsia" w:ascii="宋体" w:hAnsi="宋体" w:cs="宋体"/>
                <w:color w:val="auto"/>
                <w:szCs w:val="21"/>
              </w:rPr>
            </w:pPr>
            <w:r>
              <w:rPr>
                <w:rFonts w:hint="eastAsia" w:ascii="宋体" w:hAnsi="宋体" w:cs="宋体"/>
                <w:color w:val="auto"/>
                <w:szCs w:val="21"/>
              </w:rPr>
              <w:t>17.4.1</w:t>
            </w:r>
          </w:p>
        </w:tc>
        <w:tc>
          <w:tcPr>
            <w:tcW w:w="7213" w:type="dxa"/>
            <w:gridSpan w:val="2"/>
            <w:noWrap w:val="0"/>
            <w:vAlign w:val="center"/>
          </w:tcPr>
          <w:p w14:paraId="0FDA3C07">
            <w:pPr>
              <w:tabs>
                <w:tab w:val="left" w:pos="1080"/>
              </w:tabs>
              <w:spacing w:line="440" w:lineRule="exact"/>
              <w:rPr>
                <w:rFonts w:hint="eastAsia" w:ascii="宋体" w:hAnsi="宋体" w:cs="宋体"/>
                <w:color w:val="auto"/>
                <w:szCs w:val="21"/>
              </w:rPr>
            </w:pPr>
            <w:r>
              <w:rPr>
                <w:rFonts w:hint="eastAsia" w:ascii="宋体" w:hAnsi="宋体" w:cs="宋体"/>
                <w:color w:val="auto"/>
                <w:szCs w:val="21"/>
              </w:rPr>
              <w:t>质量保证金百分比：月支付额的20%。</w:t>
            </w:r>
          </w:p>
        </w:tc>
      </w:tr>
      <w:tr w14:paraId="41602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829" w:type="dxa"/>
            <w:noWrap w:val="0"/>
            <w:vAlign w:val="center"/>
          </w:tcPr>
          <w:p w14:paraId="6DF9EE5C">
            <w:pPr>
              <w:tabs>
                <w:tab w:val="left" w:pos="1080"/>
              </w:tabs>
              <w:spacing w:line="280" w:lineRule="exact"/>
              <w:jc w:val="center"/>
              <w:rPr>
                <w:rFonts w:hint="eastAsia" w:ascii="宋体" w:hAnsi="宋体" w:cs="宋体"/>
                <w:color w:val="auto"/>
                <w:szCs w:val="21"/>
              </w:rPr>
            </w:pPr>
            <w:r>
              <w:rPr>
                <w:rFonts w:hint="eastAsia" w:ascii="宋体" w:hAnsi="宋体" w:cs="宋体"/>
                <w:color w:val="auto"/>
                <w:szCs w:val="21"/>
              </w:rPr>
              <w:t>21</w:t>
            </w:r>
          </w:p>
        </w:tc>
        <w:tc>
          <w:tcPr>
            <w:tcW w:w="1261" w:type="dxa"/>
            <w:noWrap w:val="0"/>
            <w:vAlign w:val="center"/>
          </w:tcPr>
          <w:p w14:paraId="7A42A600">
            <w:pPr>
              <w:tabs>
                <w:tab w:val="left" w:pos="1080"/>
              </w:tabs>
              <w:spacing w:line="280" w:lineRule="exact"/>
              <w:jc w:val="center"/>
              <w:rPr>
                <w:rFonts w:hint="eastAsia" w:ascii="宋体" w:hAnsi="宋体" w:cs="宋体"/>
                <w:color w:val="auto"/>
                <w:szCs w:val="21"/>
              </w:rPr>
            </w:pPr>
            <w:r>
              <w:rPr>
                <w:rFonts w:hint="eastAsia" w:ascii="宋体" w:hAnsi="宋体" w:cs="宋体"/>
                <w:color w:val="auto"/>
                <w:szCs w:val="21"/>
              </w:rPr>
              <w:t>17.4.1</w:t>
            </w:r>
          </w:p>
        </w:tc>
        <w:tc>
          <w:tcPr>
            <w:tcW w:w="7213" w:type="dxa"/>
            <w:gridSpan w:val="2"/>
            <w:noWrap w:val="0"/>
            <w:vAlign w:val="center"/>
          </w:tcPr>
          <w:p w14:paraId="730818DD">
            <w:pPr>
              <w:tabs>
                <w:tab w:val="left" w:pos="1080"/>
              </w:tabs>
              <w:spacing w:line="440" w:lineRule="exact"/>
              <w:rPr>
                <w:rFonts w:hint="eastAsia" w:ascii="宋体" w:hAnsi="宋体" w:cs="宋体"/>
                <w:color w:val="auto"/>
                <w:szCs w:val="21"/>
              </w:rPr>
            </w:pPr>
            <w:r>
              <w:rPr>
                <w:rFonts w:hint="eastAsia" w:ascii="宋体" w:hAnsi="宋体" w:cs="宋体"/>
                <w:color w:val="auto"/>
                <w:szCs w:val="21"/>
              </w:rPr>
              <w:t>质量保证金限额：合同价格的3%</w:t>
            </w:r>
          </w:p>
        </w:tc>
      </w:tr>
      <w:tr w14:paraId="16F8A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29" w:type="dxa"/>
            <w:noWrap w:val="0"/>
            <w:vAlign w:val="center"/>
          </w:tcPr>
          <w:p w14:paraId="59A87697">
            <w:pPr>
              <w:tabs>
                <w:tab w:val="left" w:pos="1080"/>
              </w:tabs>
              <w:spacing w:line="280" w:lineRule="exact"/>
              <w:jc w:val="center"/>
              <w:rPr>
                <w:rFonts w:hint="eastAsia" w:ascii="宋体" w:hAnsi="宋体" w:cs="宋体"/>
                <w:color w:val="auto"/>
                <w:szCs w:val="21"/>
              </w:rPr>
            </w:pPr>
            <w:r>
              <w:rPr>
                <w:rFonts w:hint="eastAsia" w:ascii="宋体" w:hAnsi="宋体" w:cs="宋体"/>
                <w:color w:val="auto"/>
                <w:szCs w:val="21"/>
              </w:rPr>
              <w:t>22</w:t>
            </w:r>
          </w:p>
        </w:tc>
        <w:tc>
          <w:tcPr>
            <w:tcW w:w="1261" w:type="dxa"/>
            <w:noWrap w:val="0"/>
            <w:vAlign w:val="center"/>
          </w:tcPr>
          <w:p w14:paraId="0CC91B00">
            <w:pPr>
              <w:tabs>
                <w:tab w:val="left" w:pos="1080"/>
              </w:tabs>
              <w:spacing w:line="280" w:lineRule="exact"/>
              <w:jc w:val="center"/>
              <w:rPr>
                <w:rFonts w:hint="eastAsia" w:ascii="宋体" w:hAnsi="宋体" w:cs="宋体"/>
                <w:color w:val="auto"/>
                <w:szCs w:val="21"/>
              </w:rPr>
            </w:pPr>
            <w:r>
              <w:rPr>
                <w:rFonts w:hint="eastAsia" w:ascii="宋体" w:hAnsi="宋体" w:cs="宋体"/>
                <w:color w:val="auto"/>
                <w:szCs w:val="21"/>
              </w:rPr>
              <w:t>17.5.1</w:t>
            </w:r>
          </w:p>
        </w:tc>
        <w:tc>
          <w:tcPr>
            <w:tcW w:w="7213" w:type="dxa"/>
            <w:gridSpan w:val="2"/>
            <w:noWrap w:val="0"/>
            <w:vAlign w:val="center"/>
          </w:tcPr>
          <w:p w14:paraId="2F73FD3C">
            <w:pPr>
              <w:tabs>
                <w:tab w:val="left" w:pos="1080"/>
              </w:tabs>
              <w:spacing w:line="440" w:lineRule="exact"/>
              <w:rPr>
                <w:rFonts w:hint="eastAsia" w:ascii="宋体" w:hAnsi="宋体" w:cs="宋体"/>
                <w:color w:val="auto"/>
                <w:szCs w:val="21"/>
              </w:rPr>
            </w:pPr>
            <w:r>
              <w:rPr>
                <w:rFonts w:hint="eastAsia" w:ascii="宋体" w:hAnsi="宋体" w:cs="宋体"/>
                <w:color w:val="auto"/>
                <w:szCs w:val="21"/>
                <w:lang w:eastAsia="zh-CN"/>
              </w:rPr>
              <w:t>乙方</w:t>
            </w:r>
            <w:r>
              <w:rPr>
                <w:rFonts w:hint="eastAsia" w:ascii="宋体" w:hAnsi="宋体" w:cs="宋体"/>
                <w:color w:val="auto"/>
                <w:szCs w:val="21"/>
              </w:rPr>
              <w:t>向监理人提交交工付款申请单（包括相关证明材料）的份数：2份。</w:t>
            </w:r>
          </w:p>
        </w:tc>
      </w:tr>
      <w:tr w14:paraId="2CB68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29" w:type="dxa"/>
            <w:noWrap w:val="0"/>
            <w:vAlign w:val="center"/>
          </w:tcPr>
          <w:p w14:paraId="3221129B">
            <w:pPr>
              <w:tabs>
                <w:tab w:val="left" w:pos="1080"/>
              </w:tabs>
              <w:spacing w:line="280" w:lineRule="exact"/>
              <w:jc w:val="center"/>
              <w:rPr>
                <w:rFonts w:hint="eastAsia" w:ascii="宋体" w:hAnsi="宋体" w:cs="宋体"/>
                <w:color w:val="auto"/>
                <w:szCs w:val="21"/>
              </w:rPr>
            </w:pPr>
            <w:r>
              <w:rPr>
                <w:rFonts w:hint="eastAsia" w:ascii="宋体" w:hAnsi="宋体" w:cs="宋体"/>
                <w:color w:val="auto"/>
                <w:szCs w:val="21"/>
              </w:rPr>
              <w:t>23</w:t>
            </w:r>
          </w:p>
        </w:tc>
        <w:tc>
          <w:tcPr>
            <w:tcW w:w="1261" w:type="dxa"/>
            <w:noWrap w:val="0"/>
            <w:vAlign w:val="center"/>
          </w:tcPr>
          <w:p w14:paraId="24F73086">
            <w:pPr>
              <w:tabs>
                <w:tab w:val="left" w:pos="1080"/>
              </w:tabs>
              <w:spacing w:line="280" w:lineRule="exact"/>
              <w:jc w:val="center"/>
              <w:rPr>
                <w:rFonts w:hint="eastAsia" w:ascii="宋体" w:hAnsi="宋体" w:cs="宋体"/>
                <w:color w:val="auto"/>
                <w:szCs w:val="21"/>
              </w:rPr>
            </w:pPr>
            <w:r>
              <w:rPr>
                <w:rFonts w:hint="eastAsia" w:ascii="宋体" w:hAnsi="宋体" w:cs="宋体"/>
                <w:color w:val="auto"/>
                <w:szCs w:val="21"/>
              </w:rPr>
              <w:t>17.6.1</w:t>
            </w:r>
          </w:p>
        </w:tc>
        <w:tc>
          <w:tcPr>
            <w:tcW w:w="7213" w:type="dxa"/>
            <w:gridSpan w:val="2"/>
            <w:noWrap w:val="0"/>
            <w:vAlign w:val="center"/>
          </w:tcPr>
          <w:p w14:paraId="60C293FB">
            <w:pPr>
              <w:tabs>
                <w:tab w:val="left" w:pos="1080"/>
              </w:tabs>
              <w:spacing w:line="440" w:lineRule="exact"/>
              <w:rPr>
                <w:rFonts w:hint="eastAsia" w:ascii="宋体" w:hAnsi="宋体" w:cs="宋体"/>
                <w:color w:val="auto"/>
                <w:szCs w:val="21"/>
              </w:rPr>
            </w:pPr>
            <w:r>
              <w:rPr>
                <w:rFonts w:hint="eastAsia" w:ascii="宋体" w:hAnsi="宋体" w:cs="宋体"/>
                <w:color w:val="auto"/>
                <w:szCs w:val="21"/>
                <w:lang w:eastAsia="zh-CN"/>
              </w:rPr>
              <w:t>乙方</w:t>
            </w:r>
            <w:r>
              <w:rPr>
                <w:rFonts w:hint="eastAsia" w:ascii="宋体" w:hAnsi="宋体" w:cs="宋体"/>
                <w:color w:val="auto"/>
                <w:szCs w:val="21"/>
              </w:rPr>
              <w:t>向监理人提交最终结清申请单（包括相关证明材料）的份数：2份。</w:t>
            </w:r>
          </w:p>
        </w:tc>
      </w:tr>
      <w:tr w14:paraId="2EC7E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829" w:type="dxa"/>
            <w:noWrap w:val="0"/>
            <w:vAlign w:val="center"/>
          </w:tcPr>
          <w:p w14:paraId="14F4C863">
            <w:pPr>
              <w:tabs>
                <w:tab w:val="left" w:pos="1080"/>
              </w:tabs>
              <w:spacing w:line="280" w:lineRule="exact"/>
              <w:jc w:val="center"/>
              <w:rPr>
                <w:rFonts w:hint="eastAsia" w:ascii="宋体" w:hAnsi="宋体" w:cs="宋体"/>
                <w:color w:val="auto"/>
                <w:szCs w:val="21"/>
              </w:rPr>
            </w:pPr>
            <w:r>
              <w:rPr>
                <w:rFonts w:hint="eastAsia" w:ascii="宋体" w:hAnsi="宋体" w:cs="宋体"/>
                <w:color w:val="auto"/>
                <w:szCs w:val="21"/>
              </w:rPr>
              <w:t>24</w:t>
            </w:r>
          </w:p>
        </w:tc>
        <w:tc>
          <w:tcPr>
            <w:tcW w:w="1261" w:type="dxa"/>
            <w:noWrap w:val="0"/>
            <w:vAlign w:val="center"/>
          </w:tcPr>
          <w:p w14:paraId="1E3F940B">
            <w:pPr>
              <w:tabs>
                <w:tab w:val="left" w:pos="1080"/>
              </w:tabs>
              <w:spacing w:line="280" w:lineRule="exact"/>
              <w:jc w:val="center"/>
              <w:rPr>
                <w:rFonts w:hint="eastAsia" w:ascii="宋体" w:hAnsi="宋体" w:cs="宋体"/>
                <w:color w:val="auto"/>
                <w:szCs w:val="21"/>
              </w:rPr>
            </w:pPr>
            <w:r>
              <w:rPr>
                <w:rFonts w:hint="eastAsia" w:ascii="宋体" w:hAnsi="宋体" w:cs="宋体"/>
                <w:color w:val="auto"/>
                <w:szCs w:val="21"/>
              </w:rPr>
              <w:t>18.2</w:t>
            </w:r>
          </w:p>
        </w:tc>
        <w:tc>
          <w:tcPr>
            <w:tcW w:w="7213" w:type="dxa"/>
            <w:gridSpan w:val="2"/>
            <w:noWrap w:val="0"/>
            <w:vAlign w:val="center"/>
          </w:tcPr>
          <w:p w14:paraId="5AAD9202">
            <w:pPr>
              <w:tabs>
                <w:tab w:val="left" w:pos="1080"/>
              </w:tabs>
              <w:spacing w:line="440" w:lineRule="exact"/>
              <w:rPr>
                <w:rFonts w:hint="eastAsia" w:ascii="宋体" w:hAnsi="宋体" w:cs="宋体"/>
                <w:color w:val="auto"/>
                <w:szCs w:val="21"/>
              </w:rPr>
            </w:pPr>
            <w:r>
              <w:rPr>
                <w:rFonts w:hint="eastAsia" w:ascii="宋体" w:hAnsi="宋体" w:cs="宋体"/>
                <w:color w:val="auto"/>
                <w:szCs w:val="21"/>
              </w:rPr>
              <w:t>竣工资料的份数：</w:t>
            </w:r>
            <w:r>
              <w:rPr>
                <w:rFonts w:hint="eastAsia" w:ascii="宋体" w:hAnsi="宋体" w:cs="宋体"/>
                <w:b/>
                <w:color w:val="auto"/>
                <w:szCs w:val="21"/>
              </w:rPr>
              <w:t>2份。</w:t>
            </w:r>
          </w:p>
        </w:tc>
      </w:tr>
      <w:tr w14:paraId="0AD6D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829" w:type="dxa"/>
            <w:noWrap w:val="0"/>
            <w:vAlign w:val="center"/>
          </w:tcPr>
          <w:p w14:paraId="5818F494">
            <w:pPr>
              <w:tabs>
                <w:tab w:val="left" w:pos="1080"/>
              </w:tabs>
              <w:spacing w:line="280" w:lineRule="exact"/>
              <w:jc w:val="center"/>
              <w:rPr>
                <w:rFonts w:hint="eastAsia" w:ascii="宋体" w:hAnsi="宋体" w:cs="宋体"/>
                <w:color w:val="auto"/>
                <w:szCs w:val="21"/>
              </w:rPr>
            </w:pPr>
            <w:r>
              <w:rPr>
                <w:rFonts w:hint="eastAsia" w:ascii="宋体" w:hAnsi="宋体" w:cs="宋体"/>
                <w:color w:val="auto"/>
                <w:szCs w:val="21"/>
              </w:rPr>
              <w:t>25</w:t>
            </w:r>
          </w:p>
        </w:tc>
        <w:tc>
          <w:tcPr>
            <w:tcW w:w="1261" w:type="dxa"/>
            <w:noWrap w:val="0"/>
            <w:vAlign w:val="center"/>
          </w:tcPr>
          <w:p w14:paraId="35E5D2BD">
            <w:pPr>
              <w:tabs>
                <w:tab w:val="left" w:pos="1080"/>
              </w:tabs>
              <w:spacing w:line="280" w:lineRule="exact"/>
              <w:jc w:val="center"/>
              <w:rPr>
                <w:rFonts w:hint="eastAsia" w:ascii="宋体" w:hAnsi="宋体" w:cs="宋体"/>
                <w:color w:val="auto"/>
                <w:szCs w:val="21"/>
              </w:rPr>
            </w:pPr>
            <w:r>
              <w:rPr>
                <w:rFonts w:hint="eastAsia" w:ascii="宋体" w:hAnsi="宋体" w:cs="宋体"/>
                <w:color w:val="auto"/>
                <w:szCs w:val="21"/>
              </w:rPr>
              <w:t>18.5.1</w:t>
            </w:r>
          </w:p>
        </w:tc>
        <w:tc>
          <w:tcPr>
            <w:tcW w:w="7213" w:type="dxa"/>
            <w:gridSpan w:val="2"/>
            <w:noWrap w:val="0"/>
            <w:vAlign w:val="center"/>
          </w:tcPr>
          <w:p w14:paraId="5717A838">
            <w:pPr>
              <w:tabs>
                <w:tab w:val="left" w:pos="1080"/>
              </w:tabs>
              <w:spacing w:line="440" w:lineRule="exact"/>
              <w:rPr>
                <w:rFonts w:hint="eastAsia" w:ascii="宋体" w:hAnsi="宋体" w:cs="宋体"/>
                <w:color w:val="auto"/>
                <w:szCs w:val="21"/>
                <w:u w:val="single"/>
              </w:rPr>
            </w:pPr>
            <w:r>
              <w:rPr>
                <w:rFonts w:hint="eastAsia" w:ascii="宋体" w:hAnsi="宋体" w:cs="宋体"/>
                <w:color w:val="auto"/>
                <w:szCs w:val="21"/>
              </w:rPr>
              <w:t>单位工程或工程设备是否需投入施工期运行：是。</w:t>
            </w:r>
          </w:p>
        </w:tc>
      </w:tr>
      <w:tr w14:paraId="3ED47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829" w:type="dxa"/>
            <w:noWrap w:val="0"/>
            <w:vAlign w:val="center"/>
          </w:tcPr>
          <w:p w14:paraId="248D8431">
            <w:pPr>
              <w:tabs>
                <w:tab w:val="left" w:pos="1080"/>
              </w:tabs>
              <w:spacing w:line="280" w:lineRule="exact"/>
              <w:jc w:val="center"/>
              <w:rPr>
                <w:rFonts w:hint="eastAsia" w:ascii="宋体" w:hAnsi="宋体" w:cs="宋体"/>
                <w:color w:val="auto"/>
                <w:szCs w:val="21"/>
              </w:rPr>
            </w:pPr>
            <w:r>
              <w:rPr>
                <w:rFonts w:hint="eastAsia" w:ascii="宋体" w:hAnsi="宋体" w:cs="宋体"/>
                <w:color w:val="auto"/>
                <w:szCs w:val="21"/>
              </w:rPr>
              <w:t>26</w:t>
            </w:r>
          </w:p>
        </w:tc>
        <w:tc>
          <w:tcPr>
            <w:tcW w:w="1261" w:type="dxa"/>
            <w:noWrap w:val="0"/>
            <w:vAlign w:val="center"/>
          </w:tcPr>
          <w:p w14:paraId="5181746A">
            <w:pPr>
              <w:tabs>
                <w:tab w:val="left" w:pos="1080"/>
              </w:tabs>
              <w:spacing w:line="280" w:lineRule="exact"/>
              <w:jc w:val="center"/>
              <w:rPr>
                <w:rFonts w:hint="eastAsia" w:ascii="宋体" w:hAnsi="宋体" w:cs="宋体"/>
                <w:color w:val="auto"/>
                <w:szCs w:val="21"/>
              </w:rPr>
            </w:pPr>
            <w:r>
              <w:rPr>
                <w:rFonts w:hint="eastAsia" w:ascii="宋体" w:hAnsi="宋体" w:cs="宋体"/>
                <w:color w:val="auto"/>
                <w:szCs w:val="21"/>
              </w:rPr>
              <w:t>18.6.1</w:t>
            </w:r>
          </w:p>
        </w:tc>
        <w:tc>
          <w:tcPr>
            <w:tcW w:w="7213" w:type="dxa"/>
            <w:gridSpan w:val="2"/>
            <w:noWrap w:val="0"/>
            <w:vAlign w:val="center"/>
          </w:tcPr>
          <w:p w14:paraId="52F49096">
            <w:pPr>
              <w:tabs>
                <w:tab w:val="left" w:pos="1080"/>
              </w:tabs>
              <w:spacing w:line="440" w:lineRule="exact"/>
              <w:rPr>
                <w:rFonts w:hint="eastAsia" w:ascii="宋体" w:hAnsi="宋体" w:cs="宋体"/>
                <w:color w:val="auto"/>
                <w:szCs w:val="21"/>
                <w:u w:val="single"/>
              </w:rPr>
            </w:pPr>
            <w:r>
              <w:rPr>
                <w:rFonts w:hint="eastAsia" w:ascii="宋体" w:hAnsi="宋体" w:cs="宋体"/>
                <w:color w:val="auto"/>
                <w:szCs w:val="21"/>
              </w:rPr>
              <w:t>本工程及工程设备是否进行试运行：否。</w:t>
            </w:r>
          </w:p>
        </w:tc>
      </w:tr>
      <w:tr w14:paraId="75B05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482" w:hRule="atLeast"/>
        </w:trPr>
        <w:tc>
          <w:tcPr>
            <w:tcW w:w="829" w:type="dxa"/>
            <w:noWrap w:val="0"/>
            <w:vAlign w:val="center"/>
          </w:tcPr>
          <w:p w14:paraId="3FC36BD1">
            <w:pPr>
              <w:tabs>
                <w:tab w:val="left" w:pos="1080"/>
              </w:tabs>
              <w:spacing w:line="280" w:lineRule="exact"/>
              <w:jc w:val="center"/>
              <w:rPr>
                <w:rFonts w:hint="eastAsia" w:ascii="宋体" w:hAnsi="宋体" w:cs="宋体"/>
                <w:color w:val="auto"/>
                <w:szCs w:val="21"/>
              </w:rPr>
            </w:pPr>
            <w:r>
              <w:rPr>
                <w:rFonts w:hint="eastAsia" w:ascii="宋体" w:hAnsi="宋体" w:cs="宋体"/>
                <w:color w:val="auto"/>
                <w:szCs w:val="21"/>
              </w:rPr>
              <w:t>27</w:t>
            </w:r>
          </w:p>
        </w:tc>
        <w:tc>
          <w:tcPr>
            <w:tcW w:w="1261" w:type="dxa"/>
            <w:noWrap w:val="0"/>
            <w:vAlign w:val="center"/>
          </w:tcPr>
          <w:p w14:paraId="18345719">
            <w:pPr>
              <w:tabs>
                <w:tab w:val="left" w:pos="1080"/>
              </w:tabs>
              <w:spacing w:line="280" w:lineRule="exact"/>
              <w:jc w:val="center"/>
              <w:rPr>
                <w:rFonts w:hint="eastAsia" w:ascii="宋体" w:hAnsi="宋体" w:cs="宋体"/>
                <w:color w:val="auto"/>
                <w:szCs w:val="21"/>
              </w:rPr>
            </w:pPr>
            <w:r>
              <w:rPr>
                <w:rFonts w:hint="eastAsia" w:ascii="宋体" w:hAnsi="宋体" w:cs="宋体"/>
                <w:color w:val="auto"/>
                <w:szCs w:val="21"/>
              </w:rPr>
              <w:t>19.7</w:t>
            </w:r>
          </w:p>
        </w:tc>
        <w:tc>
          <w:tcPr>
            <w:tcW w:w="7205" w:type="dxa"/>
            <w:noWrap w:val="0"/>
            <w:vAlign w:val="center"/>
          </w:tcPr>
          <w:p w14:paraId="7228B00E">
            <w:pPr>
              <w:tabs>
                <w:tab w:val="left" w:pos="1080"/>
              </w:tabs>
              <w:spacing w:line="440" w:lineRule="exact"/>
              <w:rPr>
                <w:rFonts w:hint="eastAsia" w:ascii="宋体" w:hAnsi="宋体" w:cs="宋体"/>
                <w:color w:val="auto"/>
                <w:szCs w:val="21"/>
              </w:rPr>
            </w:pPr>
            <w:r>
              <w:rPr>
                <w:rFonts w:hint="eastAsia" w:ascii="宋体" w:hAnsi="宋体" w:cs="宋体"/>
                <w:color w:val="auto"/>
                <w:szCs w:val="21"/>
              </w:rPr>
              <w:t>保修期：自实际交工日期起计算</w:t>
            </w:r>
            <w:r>
              <w:rPr>
                <w:rFonts w:hint="eastAsia" w:ascii="宋体" w:hAnsi="宋体" w:cs="宋体"/>
                <w:color w:val="auto"/>
                <w:szCs w:val="21"/>
                <w:u w:val="single"/>
              </w:rPr>
              <w:t>1</w:t>
            </w:r>
            <w:r>
              <w:rPr>
                <w:rFonts w:hint="eastAsia" w:ascii="宋体" w:hAnsi="宋体" w:cs="宋体"/>
                <w:color w:val="auto"/>
                <w:szCs w:val="21"/>
              </w:rPr>
              <w:t>年。</w:t>
            </w:r>
          </w:p>
        </w:tc>
      </w:tr>
      <w:tr w14:paraId="2054C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509" w:hRule="atLeast"/>
        </w:trPr>
        <w:tc>
          <w:tcPr>
            <w:tcW w:w="829" w:type="dxa"/>
            <w:noWrap w:val="0"/>
            <w:vAlign w:val="center"/>
          </w:tcPr>
          <w:p w14:paraId="64BA5904">
            <w:pPr>
              <w:tabs>
                <w:tab w:val="left" w:pos="1080"/>
              </w:tabs>
              <w:spacing w:line="280" w:lineRule="exact"/>
              <w:jc w:val="center"/>
              <w:rPr>
                <w:rFonts w:hint="eastAsia" w:ascii="宋体" w:hAnsi="宋体" w:cs="宋体"/>
                <w:color w:val="auto"/>
                <w:szCs w:val="21"/>
              </w:rPr>
            </w:pPr>
            <w:r>
              <w:rPr>
                <w:rFonts w:hint="eastAsia" w:ascii="宋体" w:hAnsi="宋体" w:cs="宋体"/>
                <w:color w:val="auto"/>
                <w:szCs w:val="21"/>
              </w:rPr>
              <w:t>28</w:t>
            </w:r>
          </w:p>
        </w:tc>
        <w:tc>
          <w:tcPr>
            <w:tcW w:w="1261" w:type="dxa"/>
            <w:noWrap w:val="0"/>
            <w:vAlign w:val="center"/>
          </w:tcPr>
          <w:p w14:paraId="0D1D29B7">
            <w:pPr>
              <w:tabs>
                <w:tab w:val="left" w:pos="1080"/>
              </w:tabs>
              <w:spacing w:line="280" w:lineRule="exact"/>
              <w:jc w:val="center"/>
              <w:rPr>
                <w:rFonts w:hint="eastAsia" w:ascii="宋体" w:hAnsi="宋体" w:cs="宋体"/>
                <w:color w:val="auto"/>
                <w:szCs w:val="21"/>
              </w:rPr>
            </w:pPr>
            <w:r>
              <w:rPr>
                <w:rFonts w:hint="eastAsia" w:ascii="宋体" w:hAnsi="宋体" w:cs="宋体"/>
                <w:color w:val="auto"/>
                <w:szCs w:val="21"/>
              </w:rPr>
              <w:t>20.1</w:t>
            </w:r>
          </w:p>
        </w:tc>
        <w:tc>
          <w:tcPr>
            <w:tcW w:w="7205" w:type="dxa"/>
            <w:noWrap w:val="0"/>
            <w:vAlign w:val="center"/>
          </w:tcPr>
          <w:p w14:paraId="3BCC4E1A">
            <w:pPr>
              <w:tabs>
                <w:tab w:val="left" w:pos="1080"/>
              </w:tabs>
              <w:spacing w:line="440" w:lineRule="exact"/>
              <w:rPr>
                <w:rFonts w:hint="eastAsia" w:ascii="宋体" w:hAnsi="宋体" w:cs="宋体"/>
                <w:color w:val="auto"/>
                <w:szCs w:val="21"/>
              </w:rPr>
            </w:pPr>
            <w:r>
              <w:rPr>
                <w:rFonts w:hint="eastAsia" w:ascii="宋体" w:hAnsi="宋体" w:cs="宋体"/>
                <w:color w:val="auto"/>
                <w:szCs w:val="21"/>
              </w:rPr>
              <w:t>建筑工程一切险的保险费率：</w:t>
            </w:r>
            <w:r>
              <w:rPr>
                <w:rFonts w:hint="eastAsia" w:ascii="宋体" w:hAnsi="宋体" w:cs="宋体"/>
                <w:color w:val="auto"/>
                <w:szCs w:val="21"/>
                <w:u w:val="single"/>
              </w:rPr>
              <w:t>2.5</w:t>
            </w:r>
            <w:r>
              <w:rPr>
                <w:rFonts w:hint="eastAsia" w:ascii="宋体" w:hAnsi="宋体" w:cs="宋体"/>
                <w:color w:val="auto"/>
                <w:szCs w:val="21"/>
              </w:rPr>
              <w:t>‰。</w:t>
            </w:r>
          </w:p>
        </w:tc>
      </w:tr>
      <w:tr w14:paraId="3A376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851" w:hRule="atLeast"/>
        </w:trPr>
        <w:tc>
          <w:tcPr>
            <w:tcW w:w="829" w:type="dxa"/>
            <w:noWrap w:val="0"/>
            <w:vAlign w:val="center"/>
          </w:tcPr>
          <w:p w14:paraId="37A149F9">
            <w:pPr>
              <w:tabs>
                <w:tab w:val="left" w:pos="1080"/>
              </w:tabs>
              <w:spacing w:line="280" w:lineRule="exact"/>
              <w:jc w:val="center"/>
              <w:rPr>
                <w:rFonts w:hint="eastAsia" w:ascii="宋体" w:hAnsi="宋体" w:cs="宋体"/>
                <w:color w:val="auto"/>
                <w:szCs w:val="21"/>
              </w:rPr>
            </w:pPr>
            <w:r>
              <w:rPr>
                <w:rFonts w:hint="eastAsia" w:ascii="宋体" w:hAnsi="宋体" w:cs="宋体"/>
                <w:color w:val="auto"/>
                <w:szCs w:val="21"/>
              </w:rPr>
              <w:t>29</w:t>
            </w:r>
          </w:p>
        </w:tc>
        <w:tc>
          <w:tcPr>
            <w:tcW w:w="1261" w:type="dxa"/>
            <w:noWrap w:val="0"/>
            <w:vAlign w:val="center"/>
          </w:tcPr>
          <w:p w14:paraId="4226822F">
            <w:pPr>
              <w:tabs>
                <w:tab w:val="left" w:pos="1080"/>
              </w:tabs>
              <w:spacing w:line="280" w:lineRule="exact"/>
              <w:jc w:val="center"/>
              <w:rPr>
                <w:rFonts w:hint="eastAsia" w:ascii="宋体" w:hAnsi="宋体" w:cs="宋体"/>
                <w:color w:val="auto"/>
                <w:szCs w:val="21"/>
              </w:rPr>
            </w:pPr>
            <w:r>
              <w:rPr>
                <w:rFonts w:hint="eastAsia" w:ascii="宋体" w:hAnsi="宋体" w:cs="宋体"/>
                <w:color w:val="auto"/>
                <w:szCs w:val="21"/>
              </w:rPr>
              <w:t>20.4.2</w:t>
            </w:r>
          </w:p>
        </w:tc>
        <w:tc>
          <w:tcPr>
            <w:tcW w:w="7205" w:type="dxa"/>
            <w:noWrap w:val="0"/>
            <w:vAlign w:val="center"/>
          </w:tcPr>
          <w:p w14:paraId="38B04BCC">
            <w:pPr>
              <w:tabs>
                <w:tab w:val="left" w:pos="1080"/>
              </w:tabs>
              <w:spacing w:line="440" w:lineRule="exact"/>
              <w:rPr>
                <w:rFonts w:hint="eastAsia" w:ascii="宋体" w:hAnsi="宋体" w:cs="宋体"/>
                <w:color w:val="auto"/>
                <w:szCs w:val="21"/>
              </w:rPr>
            </w:pPr>
            <w:r>
              <w:rPr>
                <w:rFonts w:hint="eastAsia" w:ascii="宋体" w:hAnsi="宋体" w:cs="宋体"/>
                <w:color w:val="auto"/>
                <w:szCs w:val="21"/>
              </w:rPr>
              <w:t>第三者责任险的最低投保金额：100万元，事故次数不限（不计免赔额）</w:t>
            </w:r>
          </w:p>
          <w:p w14:paraId="784224DA">
            <w:pPr>
              <w:tabs>
                <w:tab w:val="left" w:pos="1080"/>
              </w:tabs>
              <w:spacing w:line="440" w:lineRule="exact"/>
              <w:rPr>
                <w:rFonts w:hint="eastAsia" w:ascii="宋体" w:hAnsi="宋体" w:cs="宋体"/>
                <w:color w:val="auto"/>
                <w:szCs w:val="21"/>
              </w:rPr>
            </w:pPr>
            <w:r>
              <w:rPr>
                <w:rFonts w:hint="eastAsia" w:ascii="宋体" w:hAnsi="宋体" w:cs="宋体"/>
                <w:color w:val="auto"/>
                <w:szCs w:val="21"/>
              </w:rPr>
              <w:t>保险费率：3‰（千分之三）</w:t>
            </w:r>
          </w:p>
        </w:tc>
      </w:tr>
      <w:tr w14:paraId="3A2D7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70" w:hRule="atLeast"/>
        </w:trPr>
        <w:tc>
          <w:tcPr>
            <w:tcW w:w="829" w:type="dxa"/>
            <w:noWrap w:val="0"/>
            <w:vAlign w:val="center"/>
          </w:tcPr>
          <w:p w14:paraId="09D1878B">
            <w:pPr>
              <w:tabs>
                <w:tab w:val="left" w:pos="1080"/>
              </w:tabs>
              <w:spacing w:line="280" w:lineRule="exact"/>
              <w:jc w:val="center"/>
              <w:rPr>
                <w:rFonts w:hint="eastAsia" w:ascii="宋体" w:hAnsi="宋体" w:cs="宋体"/>
                <w:color w:val="auto"/>
                <w:szCs w:val="21"/>
              </w:rPr>
            </w:pPr>
            <w:r>
              <w:rPr>
                <w:rFonts w:hint="eastAsia" w:ascii="宋体" w:hAnsi="宋体" w:cs="宋体"/>
                <w:color w:val="auto"/>
                <w:szCs w:val="21"/>
              </w:rPr>
              <w:t>30</w:t>
            </w:r>
          </w:p>
        </w:tc>
        <w:tc>
          <w:tcPr>
            <w:tcW w:w="1261" w:type="dxa"/>
            <w:noWrap w:val="0"/>
            <w:vAlign w:val="center"/>
          </w:tcPr>
          <w:p w14:paraId="2EADFCC2">
            <w:pPr>
              <w:tabs>
                <w:tab w:val="left" w:pos="1080"/>
              </w:tabs>
              <w:spacing w:line="280" w:lineRule="exact"/>
              <w:jc w:val="center"/>
              <w:rPr>
                <w:rFonts w:hint="eastAsia" w:ascii="宋体" w:hAnsi="宋体" w:cs="宋体"/>
                <w:color w:val="auto"/>
                <w:szCs w:val="21"/>
              </w:rPr>
            </w:pPr>
            <w:r>
              <w:rPr>
                <w:rFonts w:hint="eastAsia" w:ascii="宋体" w:hAnsi="宋体" w:cs="宋体"/>
                <w:color w:val="auto"/>
                <w:szCs w:val="21"/>
              </w:rPr>
              <w:t>24.1</w:t>
            </w:r>
          </w:p>
        </w:tc>
        <w:tc>
          <w:tcPr>
            <w:tcW w:w="7205" w:type="dxa"/>
            <w:noWrap w:val="0"/>
            <w:vAlign w:val="center"/>
          </w:tcPr>
          <w:p w14:paraId="526A00C5">
            <w:pPr>
              <w:tabs>
                <w:tab w:val="left" w:pos="1080"/>
              </w:tabs>
              <w:spacing w:line="440" w:lineRule="exact"/>
              <w:rPr>
                <w:rFonts w:hint="eastAsia" w:ascii="宋体" w:hAnsi="宋体" w:cs="宋体"/>
                <w:color w:val="auto"/>
                <w:szCs w:val="21"/>
                <w:u w:val="single"/>
              </w:rPr>
            </w:pPr>
            <w:r>
              <w:rPr>
                <w:rFonts w:hint="eastAsia" w:ascii="宋体" w:hAnsi="宋体" w:cs="宋体"/>
                <w:color w:val="auto"/>
                <w:szCs w:val="21"/>
              </w:rPr>
              <w:t>争议的最终解决方式：</w:t>
            </w:r>
            <w:r>
              <w:rPr>
                <w:rFonts w:hint="eastAsia" w:ascii="宋体" w:hAnsi="宋体" w:cs="宋体"/>
                <w:color w:val="auto"/>
                <w:szCs w:val="21"/>
                <w:u w:val="single"/>
              </w:rPr>
              <w:t>仲裁或诉讼。</w:t>
            </w:r>
          </w:p>
          <w:p w14:paraId="6133D2AA">
            <w:pPr>
              <w:tabs>
                <w:tab w:val="left" w:pos="1080"/>
              </w:tabs>
              <w:spacing w:line="440" w:lineRule="exact"/>
              <w:rPr>
                <w:rFonts w:hint="eastAsia" w:ascii="宋体" w:hAnsi="宋体" w:cs="宋体"/>
                <w:b/>
                <w:color w:val="auto"/>
                <w:szCs w:val="21"/>
              </w:rPr>
            </w:pPr>
            <w:r>
              <w:rPr>
                <w:rFonts w:hint="eastAsia" w:ascii="宋体" w:hAnsi="宋体" w:cs="宋体"/>
                <w:color w:val="auto"/>
                <w:szCs w:val="21"/>
              </w:rPr>
              <w:t>如采用仲裁,仲裁委员会名称：广西崇左市仲裁委员会。</w:t>
            </w:r>
          </w:p>
        </w:tc>
      </w:tr>
    </w:tbl>
    <w:p w14:paraId="6002353A">
      <w:pPr>
        <w:tabs>
          <w:tab w:val="left" w:pos="1080"/>
        </w:tabs>
        <w:spacing w:line="280" w:lineRule="exact"/>
        <w:rPr>
          <w:rFonts w:hint="eastAsia" w:ascii="宋体" w:hAnsi="宋体" w:cs="宋体"/>
          <w:color w:val="auto"/>
          <w:szCs w:val="21"/>
        </w:rPr>
      </w:pPr>
    </w:p>
    <w:p w14:paraId="087331B2">
      <w:pPr>
        <w:tabs>
          <w:tab w:val="left" w:pos="1080"/>
        </w:tabs>
        <w:spacing w:line="280" w:lineRule="exact"/>
        <w:rPr>
          <w:rFonts w:hint="eastAsia" w:ascii="宋体" w:hAnsi="宋体" w:cs="宋体"/>
          <w:color w:val="auto"/>
          <w:szCs w:val="21"/>
        </w:rPr>
      </w:pPr>
    </w:p>
    <w:p w14:paraId="3FB15121">
      <w:pPr>
        <w:tabs>
          <w:tab w:val="left" w:pos="1080"/>
        </w:tabs>
        <w:spacing w:line="280" w:lineRule="exact"/>
        <w:jc w:val="center"/>
        <w:rPr>
          <w:rFonts w:hint="eastAsia" w:ascii="宋体" w:hAnsi="宋体" w:cs="宋体"/>
          <w:b/>
          <w:color w:val="auto"/>
          <w:sz w:val="30"/>
          <w:szCs w:val="30"/>
        </w:rPr>
        <w:sectPr>
          <w:pgSz w:w="11906" w:h="16838"/>
          <w:pgMar w:top="1276" w:right="1276" w:bottom="1276" w:left="1440" w:header="851" w:footer="992" w:gutter="0"/>
          <w:pgNumType w:fmt="decimal"/>
          <w:cols w:space="720" w:num="1"/>
          <w:docGrid w:type="linesAndChars" w:linePitch="312" w:charSpace="0"/>
        </w:sectPr>
      </w:pPr>
    </w:p>
    <w:p w14:paraId="69A41392">
      <w:pPr>
        <w:tabs>
          <w:tab w:val="left" w:pos="1080"/>
        </w:tabs>
        <w:spacing w:line="320" w:lineRule="exact"/>
        <w:jc w:val="center"/>
        <w:rPr>
          <w:rFonts w:hint="eastAsia" w:ascii="宋体" w:hAnsi="宋体" w:cs="宋体"/>
          <w:b/>
          <w:color w:val="auto"/>
          <w:sz w:val="28"/>
          <w:szCs w:val="28"/>
        </w:rPr>
      </w:pPr>
      <w:r>
        <w:rPr>
          <w:rFonts w:hint="eastAsia" w:ascii="宋体" w:hAnsi="宋体" w:cs="宋体"/>
          <w:b/>
          <w:color w:val="auto"/>
          <w:sz w:val="28"/>
          <w:szCs w:val="28"/>
        </w:rPr>
        <w:t>项目专用合同条款</w:t>
      </w:r>
    </w:p>
    <w:p w14:paraId="2EFC0FB8">
      <w:pPr>
        <w:tabs>
          <w:tab w:val="left" w:pos="1080"/>
        </w:tabs>
        <w:spacing w:line="320" w:lineRule="exact"/>
        <w:jc w:val="center"/>
        <w:rPr>
          <w:rFonts w:hint="eastAsia" w:ascii="宋体" w:hAnsi="宋体" w:cs="宋体"/>
          <w:b/>
          <w:color w:val="auto"/>
          <w:sz w:val="28"/>
          <w:szCs w:val="28"/>
        </w:rPr>
      </w:pPr>
    </w:p>
    <w:p w14:paraId="6F8ED265">
      <w:pPr>
        <w:tabs>
          <w:tab w:val="left" w:pos="1080"/>
        </w:tabs>
        <w:spacing w:line="320" w:lineRule="exact"/>
        <w:rPr>
          <w:rFonts w:hint="eastAsia" w:ascii="宋体" w:hAnsi="宋体" w:cs="宋体"/>
          <w:bCs/>
          <w:color w:val="auto"/>
          <w:sz w:val="24"/>
        </w:rPr>
      </w:pPr>
      <w:r>
        <w:rPr>
          <w:rFonts w:hint="eastAsia" w:ascii="宋体" w:hAnsi="宋体" w:cs="宋体"/>
          <w:bCs/>
          <w:color w:val="auto"/>
          <w:sz w:val="24"/>
        </w:rPr>
        <w:t>说明：本部分所列的项目专用合同条款是对“公路工程专用合同条款”中规定必须在项目专用合同条款中明确的内容的集中，招标人编制的“项目专用合同条款”不限于本部分所列内容。</w:t>
      </w:r>
    </w:p>
    <w:p w14:paraId="1CF2F6CE">
      <w:pPr>
        <w:tabs>
          <w:tab w:val="left" w:pos="1080"/>
        </w:tabs>
        <w:spacing w:line="320" w:lineRule="exact"/>
        <w:rPr>
          <w:rFonts w:hint="eastAsia" w:ascii="宋体" w:hAnsi="宋体" w:cs="宋体"/>
          <w:bCs/>
          <w:color w:val="auto"/>
          <w:sz w:val="24"/>
        </w:rPr>
      </w:pPr>
    </w:p>
    <w:p w14:paraId="3A462984">
      <w:pPr>
        <w:tabs>
          <w:tab w:val="left" w:pos="1080"/>
        </w:tabs>
        <w:spacing w:line="320" w:lineRule="exact"/>
        <w:rPr>
          <w:rFonts w:hint="eastAsia" w:ascii="宋体" w:hAnsi="宋体" w:cs="宋体"/>
          <w:b/>
          <w:color w:val="auto"/>
          <w:sz w:val="24"/>
        </w:rPr>
      </w:pPr>
      <w:r>
        <w:rPr>
          <w:rFonts w:hint="eastAsia" w:ascii="宋体" w:hAnsi="宋体" w:cs="宋体"/>
          <w:b/>
          <w:color w:val="auto"/>
          <w:sz w:val="24"/>
        </w:rPr>
        <w:t xml:space="preserve">4.1  </w:t>
      </w:r>
      <w:r>
        <w:rPr>
          <w:rFonts w:hint="eastAsia" w:ascii="宋体" w:hAnsi="宋体" w:cs="宋体"/>
          <w:b/>
          <w:color w:val="auto"/>
          <w:sz w:val="24"/>
          <w:lang w:eastAsia="zh-CN"/>
        </w:rPr>
        <w:t>乙方</w:t>
      </w:r>
      <w:r>
        <w:rPr>
          <w:rFonts w:hint="eastAsia" w:ascii="宋体" w:hAnsi="宋体" w:cs="宋体"/>
          <w:b/>
          <w:color w:val="auto"/>
          <w:sz w:val="24"/>
        </w:rPr>
        <w:t>的一般义务</w:t>
      </w:r>
    </w:p>
    <w:p w14:paraId="5BC11406">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4.1.10  其他义务</w:t>
      </w:r>
    </w:p>
    <w:p w14:paraId="438CB74C">
      <w:pPr>
        <w:tabs>
          <w:tab w:val="left" w:pos="1080"/>
        </w:tabs>
        <w:spacing w:line="360" w:lineRule="auto"/>
        <w:ind w:firstLine="240" w:firstLineChars="100"/>
        <w:rPr>
          <w:rFonts w:hint="eastAsia" w:ascii="宋体" w:hAnsi="宋体" w:cs="宋体"/>
          <w:color w:val="auto"/>
          <w:sz w:val="24"/>
        </w:rPr>
      </w:pPr>
      <w:r>
        <w:rPr>
          <w:rFonts w:hint="eastAsia" w:ascii="宋体" w:hAnsi="宋体" w:cs="宋体"/>
          <w:color w:val="auto"/>
          <w:sz w:val="24"/>
        </w:rPr>
        <w:t>（3）增加内容：</w:t>
      </w:r>
      <w:r>
        <w:rPr>
          <w:rFonts w:hint="eastAsia" w:ascii="宋体" w:hAnsi="宋体" w:cs="宋体"/>
          <w:color w:val="auto"/>
          <w:sz w:val="24"/>
          <w:lang w:eastAsia="zh-CN"/>
        </w:rPr>
        <w:t>乙方</w:t>
      </w:r>
      <w:r>
        <w:rPr>
          <w:rFonts w:hint="eastAsia" w:ascii="宋体" w:hAnsi="宋体" w:cs="宋体"/>
          <w:color w:val="auto"/>
          <w:sz w:val="24"/>
        </w:rPr>
        <w:t>必须按国家法规、合同约定做好对农民工的管理工作，并执行广西壮族自治区公路管理局《关于印发广西壮族自治区公路管理局公路工程建设农民工管理实施细则（修订）的通知》(桂路工程发[2014]300号)要求（注：文件内容附后）、《</w:t>
      </w:r>
      <w:r>
        <w:rPr>
          <w:rFonts w:hint="eastAsia" w:ascii="宋体" w:hAnsi="宋体" w:cs="宋体"/>
          <w:bCs/>
          <w:color w:val="auto"/>
          <w:sz w:val="24"/>
        </w:rPr>
        <w:t>关于建立交通行业农民工工资保证金制度的通知》</w:t>
      </w:r>
      <w:r>
        <w:rPr>
          <w:rFonts w:hint="eastAsia" w:ascii="宋体" w:hAnsi="宋体" w:cs="宋体"/>
          <w:color w:val="auto"/>
          <w:sz w:val="24"/>
        </w:rPr>
        <w:t>（</w:t>
      </w:r>
      <w:r>
        <w:rPr>
          <w:rFonts w:hint="eastAsia" w:ascii="宋体" w:hAnsi="宋体" w:cs="宋体"/>
          <w:bCs/>
          <w:color w:val="auto"/>
          <w:sz w:val="24"/>
        </w:rPr>
        <w:t>桂劳社发</w:t>
      </w:r>
      <w:r>
        <w:rPr>
          <w:rFonts w:hint="eastAsia" w:ascii="宋体" w:hAnsi="宋体" w:cs="宋体"/>
          <w:color w:val="auto"/>
          <w:sz w:val="24"/>
        </w:rPr>
        <w:t>﹝</w:t>
      </w:r>
      <w:r>
        <w:rPr>
          <w:rFonts w:hint="eastAsia" w:ascii="宋体" w:hAnsi="宋体" w:cs="宋体"/>
          <w:bCs/>
          <w:color w:val="auto"/>
          <w:sz w:val="24"/>
        </w:rPr>
        <w:t>2007</w:t>
      </w:r>
      <w:r>
        <w:rPr>
          <w:rFonts w:hint="eastAsia" w:ascii="宋体" w:hAnsi="宋体" w:cs="宋体"/>
          <w:color w:val="auto"/>
          <w:sz w:val="24"/>
        </w:rPr>
        <w:t>﹞</w:t>
      </w:r>
      <w:r>
        <w:rPr>
          <w:rFonts w:hint="eastAsia" w:ascii="宋体" w:hAnsi="宋体" w:cs="宋体"/>
          <w:bCs/>
          <w:color w:val="auto"/>
          <w:sz w:val="24"/>
        </w:rPr>
        <w:t>147号</w:t>
      </w:r>
      <w:r>
        <w:rPr>
          <w:rFonts w:hint="eastAsia" w:ascii="宋体" w:hAnsi="宋体" w:cs="宋体"/>
          <w:color w:val="auto"/>
          <w:sz w:val="24"/>
        </w:rPr>
        <w:t>）、《关于印发广西壮族自治区工程建设领域工人工资支付专用账户管理办法的通知》（桂薪联发﹝</w:t>
      </w:r>
      <w:r>
        <w:rPr>
          <w:rFonts w:hint="eastAsia" w:ascii="宋体" w:hAnsi="宋体" w:cs="宋体"/>
          <w:bCs/>
          <w:color w:val="auto"/>
          <w:sz w:val="24"/>
        </w:rPr>
        <w:t>2016</w:t>
      </w:r>
      <w:r>
        <w:rPr>
          <w:rFonts w:hint="eastAsia" w:ascii="宋体" w:hAnsi="宋体" w:cs="宋体"/>
          <w:color w:val="auto"/>
          <w:sz w:val="24"/>
        </w:rPr>
        <w:t>﹞</w:t>
      </w:r>
      <w:r>
        <w:rPr>
          <w:rFonts w:hint="eastAsia" w:ascii="宋体" w:hAnsi="宋体" w:cs="宋体"/>
          <w:bCs/>
          <w:color w:val="auto"/>
          <w:sz w:val="24"/>
        </w:rPr>
        <w:t>1号</w:t>
      </w:r>
      <w:r>
        <w:rPr>
          <w:rFonts w:hint="eastAsia" w:ascii="宋体" w:hAnsi="宋体" w:cs="宋体"/>
          <w:color w:val="auto"/>
          <w:sz w:val="24"/>
        </w:rPr>
        <w:t>）、《关于明确农民工工资保证金制度有关问题的通知》（桂薪联发﹝</w:t>
      </w:r>
      <w:r>
        <w:rPr>
          <w:rFonts w:hint="eastAsia" w:ascii="宋体" w:hAnsi="宋体" w:cs="宋体"/>
          <w:bCs/>
          <w:color w:val="auto"/>
          <w:sz w:val="24"/>
        </w:rPr>
        <w:t>2016</w:t>
      </w:r>
      <w:r>
        <w:rPr>
          <w:rFonts w:hint="eastAsia" w:ascii="宋体" w:hAnsi="宋体" w:cs="宋体"/>
          <w:color w:val="auto"/>
          <w:sz w:val="24"/>
        </w:rPr>
        <w:t>﹞</w:t>
      </w:r>
      <w:r>
        <w:rPr>
          <w:rFonts w:hint="eastAsia" w:ascii="宋体" w:hAnsi="宋体" w:cs="宋体"/>
          <w:bCs/>
          <w:color w:val="auto"/>
          <w:sz w:val="24"/>
        </w:rPr>
        <w:t>2号</w:t>
      </w:r>
      <w:r>
        <w:rPr>
          <w:rFonts w:hint="eastAsia" w:ascii="宋体" w:hAnsi="宋体" w:cs="宋体"/>
          <w:color w:val="auto"/>
          <w:sz w:val="24"/>
        </w:rPr>
        <w:t>）要求。各投标人必须对农民工工资保证金的问题作出以下承诺，格式见第九章投标文件格式承诺函。</w:t>
      </w:r>
    </w:p>
    <w:p w14:paraId="6B8FCE64">
      <w:pPr>
        <w:tabs>
          <w:tab w:val="left" w:pos="1080"/>
        </w:tabs>
        <w:spacing w:line="360" w:lineRule="auto"/>
        <w:ind w:firstLine="480" w:firstLineChars="200"/>
        <w:rPr>
          <w:rFonts w:hint="eastAsia" w:ascii="宋体" w:hAnsi="宋体" w:cs="宋体"/>
          <w:color w:val="auto"/>
          <w:sz w:val="24"/>
          <w:u w:val="single"/>
        </w:rPr>
      </w:pPr>
      <w:r>
        <w:rPr>
          <w:rFonts w:hint="eastAsia" w:ascii="宋体" w:hAnsi="宋体" w:cs="宋体"/>
          <w:color w:val="auto"/>
          <w:sz w:val="24"/>
        </w:rPr>
        <w:t>（4）</w:t>
      </w:r>
      <w:r>
        <w:rPr>
          <w:rFonts w:hint="eastAsia" w:ascii="宋体" w:hAnsi="宋体" w:cs="宋体"/>
          <w:color w:val="auto"/>
          <w:sz w:val="24"/>
          <w:lang w:eastAsia="zh-CN"/>
        </w:rPr>
        <w:t>乙方</w:t>
      </w:r>
      <w:r>
        <w:rPr>
          <w:rFonts w:hint="eastAsia" w:ascii="宋体" w:hAnsi="宋体" w:cs="宋体"/>
          <w:color w:val="auto"/>
          <w:sz w:val="24"/>
        </w:rPr>
        <w:t>应履行的其他义务：</w:t>
      </w:r>
      <w:r>
        <w:rPr>
          <w:rFonts w:hint="eastAsia" w:ascii="宋体" w:hAnsi="宋体" w:cs="宋体"/>
          <w:color w:val="auto"/>
          <w:sz w:val="24"/>
          <w:u w:val="single"/>
          <w:lang w:eastAsia="zh-CN"/>
        </w:rPr>
        <w:t>乙方</w:t>
      </w:r>
      <w:r>
        <w:rPr>
          <w:rFonts w:hint="eastAsia" w:ascii="宋体" w:hAnsi="宋体" w:cs="宋体"/>
          <w:color w:val="auto"/>
          <w:sz w:val="24"/>
          <w:u w:val="single"/>
        </w:rPr>
        <w:t>应加强质量、进度、安全生产、文明施工、环境保护、交通通畅、合同履行等管理。</w:t>
      </w:r>
    </w:p>
    <w:p w14:paraId="67BBEA3C">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（5）（增加）</w:t>
      </w:r>
      <w:r>
        <w:rPr>
          <w:rFonts w:hint="eastAsia" w:ascii="宋体" w:hAnsi="宋体" w:cs="宋体"/>
          <w:color w:val="auto"/>
          <w:sz w:val="24"/>
          <w:lang w:eastAsia="zh-CN"/>
        </w:rPr>
        <w:t>乙方</w:t>
      </w:r>
      <w:r>
        <w:rPr>
          <w:rFonts w:hint="eastAsia" w:ascii="宋体" w:hAnsi="宋体" w:cs="宋体"/>
          <w:color w:val="auto"/>
          <w:sz w:val="24"/>
        </w:rPr>
        <w:t>应履行的其他义务：</w:t>
      </w:r>
    </w:p>
    <w:p w14:paraId="4CAB6EB3">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a.与本工程项目相关的审计和稽查、检查、视察等活动，</w:t>
      </w:r>
      <w:r>
        <w:rPr>
          <w:rFonts w:hint="eastAsia" w:ascii="宋体" w:hAnsi="宋体" w:cs="宋体"/>
          <w:color w:val="auto"/>
          <w:sz w:val="24"/>
          <w:lang w:eastAsia="zh-CN"/>
        </w:rPr>
        <w:t>乙方</w:t>
      </w:r>
      <w:r>
        <w:rPr>
          <w:rFonts w:hint="eastAsia" w:ascii="宋体" w:hAnsi="宋体" w:cs="宋体"/>
          <w:color w:val="auto"/>
          <w:sz w:val="24"/>
        </w:rPr>
        <w:t>应高度重视并有义务委派专人积极予以配合。</w:t>
      </w:r>
    </w:p>
    <w:p w14:paraId="1DFD45B0">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b.</w:t>
      </w:r>
      <w:r>
        <w:rPr>
          <w:rFonts w:hint="eastAsia" w:ascii="宋体" w:hAnsi="宋体" w:cs="宋体"/>
          <w:color w:val="auto"/>
          <w:sz w:val="24"/>
          <w:lang w:eastAsia="zh-CN"/>
        </w:rPr>
        <w:t>甲方</w:t>
      </w:r>
      <w:r>
        <w:rPr>
          <w:rFonts w:hint="eastAsia" w:ascii="宋体" w:hAnsi="宋体" w:cs="宋体"/>
          <w:color w:val="auto"/>
          <w:sz w:val="24"/>
        </w:rPr>
        <w:t>和监理有权监督检查</w:t>
      </w:r>
      <w:r>
        <w:rPr>
          <w:rFonts w:hint="eastAsia" w:ascii="宋体" w:hAnsi="宋体" w:cs="宋体"/>
          <w:color w:val="auto"/>
          <w:sz w:val="24"/>
          <w:lang w:eastAsia="zh-CN"/>
        </w:rPr>
        <w:t>乙方</w:t>
      </w:r>
      <w:r>
        <w:rPr>
          <w:rFonts w:hint="eastAsia" w:ascii="宋体" w:hAnsi="宋体" w:cs="宋体"/>
          <w:color w:val="auto"/>
          <w:sz w:val="24"/>
        </w:rPr>
        <w:t>的供货合同。</w:t>
      </w:r>
    </w:p>
    <w:p w14:paraId="569B7C24">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c.对项目使用的原有道路的维护和管理，以确保正常通行。</w:t>
      </w:r>
    </w:p>
    <w:p w14:paraId="0B70DF2A">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d.维护社会稳定，避免发生因</w:t>
      </w:r>
      <w:r>
        <w:rPr>
          <w:rFonts w:hint="eastAsia" w:ascii="宋体" w:hAnsi="宋体" w:cs="宋体"/>
          <w:color w:val="auto"/>
          <w:sz w:val="24"/>
          <w:lang w:eastAsia="zh-CN"/>
        </w:rPr>
        <w:t>乙方</w:t>
      </w:r>
      <w:r>
        <w:rPr>
          <w:rFonts w:hint="eastAsia" w:ascii="宋体" w:hAnsi="宋体" w:cs="宋体"/>
          <w:color w:val="auto"/>
          <w:sz w:val="24"/>
        </w:rPr>
        <w:t>原因引起施工队伍或施工引起周边群众等群体性上访事件</w:t>
      </w:r>
    </w:p>
    <w:p w14:paraId="43F5C0E7">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e.</w:t>
      </w:r>
      <w:r>
        <w:rPr>
          <w:rFonts w:hint="eastAsia" w:ascii="宋体" w:hAnsi="宋体" w:cs="宋体"/>
          <w:color w:val="auto"/>
          <w:sz w:val="24"/>
          <w:lang w:eastAsia="zh-CN"/>
        </w:rPr>
        <w:t>乙方</w:t>
      </w:r>
      <w:r>
        <w:rPr>
          <w:rFonts w:hint="eastAsia" w:ascii="宋体" w:hAnsi="宋体" w:cs="宋体"/>
          <w:color w:val="auto"/>
          <w:sz w:val="24"/>
        </w:rPr>
        <w:t>应自觉接受交通主管部门、质量监督单位、公路管理机构的监督，对指出的问题进行认真的整改，及时报告处理结果。</w:t>
      </w:r>
    </w:p>
    <w:p w14:paraId="58D7CD9A">
      <w:pPr>
        <w:adjustRightInd w:val="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4.1.11(增加) </w:t>
      </w:r>
      <w:r>
        <w:rPr>
          <w:rFonts w:hint="eastAsia" w:ascii="宋体" w:hAnsi="宋体" w:cs="宋体"/>
          <w:color w:val="auto"/>
          <w:sz w:val="24"/>
          <w:lang w:eastAsia="zh-CN"/>
        </w:rPr>
        <w:t>乙方</w:t>
      </w:r>
      <w:r>
        <w:rPr>
          <w:rFonts w:hint="eastAsia" w:ascii="宋体" w:hAnsi="宋体" w:cs="宋体"/>
          <w:color w:val="auto"/>
          <w:sz w:val="24"/>
        </w:rPr>
        <w:t>响应“美丽广西·清洁乡村”行动</w:t>
      </w:r>
    </w:p>
    <w:p w14:paraId="1FA41BD2">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  1、 </w:t>
      </w:r>
      <w:r>
        <w:rPr>
          <w:rFonts w:hint="eastAsia" w:ascii="宋体" w:hAnsi="宋体" w:cs="宋体"/>
          <w:color w:val="auto"/>
          <w:sz w:val="24"/>
          <w:lang w:eastAsia="zh-CN"/>
        </w:rPr>
        <w:t>乙方</w:t>
      </w:r>
      <w:r>
        <w:rPr>
          <w:rFonts w:hint="eastAsia" w:ascii="宋体" w:hAnsi="宋体" w:cs="宋体"/>
          <w:color w:val="auto"/>
          <w:sz w:val="24"/>
        </w:rPr>
        <w:t>应根据《中共广西壮族自治区交通厅党组关于印发自治区交通运输系统“美丽广西·清洁乡村”交通行动实施方案的通知》（桂交党宣[2013]15号）精神，响应号召，以清洁公路、清洁水路、清洁运输为目标，大力实施交通运输尤其是农村交通运输环境的净化、绿化、美化，为群众创造畅通、高效、平安、绿色的交通运输环境及服务，以实现“生态环境美、文明风尚美、平安和谐美”的“三美交通”。</w:t>
      </w:r>
    </w:p>
    <w:p w14:paraId="300633A0">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2、具体要求：在建公路项目要文明施工，严格实行驻地建设标准化，强化施工路段的环境整治，施工车辆要避免扬尘洒漏，避免对原有公路的破坏，做好水土保持、环境保护工作；旧路改建项目要保证施工期间维持良好通车秩序；</w:t>
      </w:r>
      <w:r>
        <w:rPr>
          <w:rFonts w:hint="eastAsia" w:ascii="宋体" w:hAnsi="宋体" w:cs="宋体"/>
          <w:color w:val="auto"/>
          <w:sz w:val="24"/>
          <w:lang w:eastAsia="zh-CN"/>
        </w:rPr>
        <w:t>乙方</w:t>
      </w:r>
      <w:r>
        <w:rPr>
          <w:rFonts w:hint="eastAsia" w:ascii="宋体" w:hAnsi="宋体" w:cs="宋体"/>
          <w:color w:val="auto"/>
          <w:sz w:val="24"/>
        </w:rPr>
        <w:t>应高度重视，有义务积极配合并委派专人参加“美丽广西·清洁乡村”的相关活动。</w:t>
      </w:r>
    </w:p>
    <w:p w14:paraId="12F6CCD6">
      <w:pPr>
        <w:tabs>
          <w:tab w:val="left" w:pos="1080"/>
        </w:tabs>
        <w:spacing w:line="360" w:lineRule="auto"/>
        <w:ind w:firstLine="482" w:firstLineChars="200"/>
        <w:rPr>
          <w:rFonts w:hint="eastAsia" w:ascii="宋体" w:hAnsi="宋体" w:cs="宋体"/>
          <w:b/>
          <w:color w:val="auto"/>
          <w:sz w:val="24"/>
        </w:rPr>
      </w:pPr>
      <w:r>
        <w:rPr>
          <w:rFonts w:hint="eastAsia" w:ascii="宋体" w:hAnsi="宋体" w:cs="宋体"/>
          <w:b/>
          <w:color w:val="auto"/>
          <w:sz w:val="24"/>
        </w:rPr>
        <w:t xml:space="preserve">4.6 </w:t>
      </w:r>
      <w:r>
        <w:rPr>
          <w:rFonts w:hint="eastAsia" w:ascii="宋体" w:hAnsi="宋体" w:cs="宋体"/>
          <w:b/>
          <w:color w:val="auto"/>
          <w:sz w:val="24"/>
          <w:lang w:eastAsia="zh-CN"/>
        </w:rPr>
        <w:t>乙方</w:t>
      </w:r>
      <w:r>
        <w:rPr>
          <w:rFonts w:hint="eastAsia" w:ascii="宋体" w:hAnsi="宋体" w:cs="宋体"/>
          <w:b/>
          <w:color w:val="auto"/>
          <w:sz w:val="24"/>
        </w:rPr>
        <w:t>人员的管理</w:t>
      </w:r>
    </w:p>
    <w:p w14:paraId="5A206A61">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（增加）4.6.6   项目经理、总工每年驻现场的时间应不少于</w:t>
      </w:r>
      <w:r>
        <w:rPr>
          <w:rFonts w:hint="eastAsia" w:ascii="宋体" w:hAnsi="宋体" w:cs="宋体"/>
          <w:color w:val="auto"/>
          <w:sz w:val="24"/>
          <w:lang w:val="en-US" w:eastAsia="zh-CN"/>
        </w:rPr>
        <w:t>80</w:t>
      </w:r>
      <w:r>
        <w:rPr>
          <w:rFonts w:hint="eastAsia" w:ascii="宋体" w:hAnsi="宋体" w:cs="宋体"/>
          <w:color w:val="auto"/>
          <w:sz w:val="24"/>
        </w:rPr>
        <w:t>天，因故需离开工地应得到业主、监理工程师的许可，否则将按第22.1款视为</w:t>
      </w:r>
      <w:r>
        <w:rPr>
          <w:rFonts w:hint="eastAsia" w:ascii="宋体" w:hAnsi="宋体" w:cs="宋体"/>
          <w:color w:val="auto"/>
          <w:sz w:val="24"/>
          <w:lang w:eastAsia="zh-CN"/>
        </w:rPr>
        <w:t>乙方</w:t>
      </w:r>
      <w:r>
        <w:rPr>
          <w:rFonts w:hint="eastAsia" w:ascii="宋体" w:hAnsi="宋体" w:cs="宋体"/>
          <w:color w:val="auto"/>
          <w:sz w:val="24"/>
        </w:rPr>
        <w:t>违约。</w:t>
      </w:r>
    </w:p>
    <w:p w14:paraId="5AB6F75F">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lang w:eastAsia="zh-CN"/>
        </w:rPr>
        <w:t>乙方</w:t>
      </w:r>
      <w:r>
        <w:rPr>
          <w:rFonts w:hint="eastAsia" w:ascii="宋体" w:hAnsi="宋体" w:cs="宋体"/>
          <w:color w:val="auto"/>
          <w:sz w:val="24"/>
        </w:rPr>
        <w:t>安排在施工场地的主要管理人员和技术骨干人员每年驻现场的时间应不少于3</w:t>
      </w:r>
      <w:r>
        <w:rPr>
          <w:rFonts w:hint="eastAsia" w:ascii="宋体" w:hAnsi="宋体" w:cs="宋体"/>
          <w:color w:val="auto"/>
          <w:sz w:val="24"/>
          <w:lang w:val="en-US" w:eastAsia="zh-CN"/>
        </w:rPr>
        <w:t>80</w:t>
      </w:r>
      <w:r>
        <w:rPr>
          <w:rFonts w:hint="eastAsia" w:ascii="宋体" w:hAnsi="宋体" w:cs="宋体"/>
          <w:color w:val="auto"/>
          <w:sz w:val="24"/>
        </w:rPr>
        <w:t>天，除非经业主、监理工程师同意，否则将按第22.1款视为</w:t>
      </w:r>
      <w:r>
        <w:rPr>
          <w:rFonts w:hint="eastAsia" w:ascii="宋体" w:hAnsi="宋体" w:cs="宋体"/>
          <w:color w:val="auto"/>
          <w:sz w:val="24"/>
          <w:lang w:eastAsia="zh-CN"/>
        </w:rPr>
        <w:t>乙方</w:t>
      </w:r>
      <w:r>
        <w:rPr>
          <w:rFonts w:hint="eastAsia" w:ascii="宋体" w:hAnsi="宋体" w:cs="宋体"/>
          <w:color w:val="auto"/>
          <w:sz w:val="24"/>
        </w:rPr>
        <w:t>违约。</w:t>
      </w:r>
    </w:p>
    <w:p w14:paraId="75859E3D">
      <w:pPr>
        <w:tabs>
          <w:tab w:val="left" w:pos="1080"/>
        </w:tabs>
        <w:spacing w:line="360" w:lineRule="auto"/>
        <w:ind w:firstLine="482" w:firstLineChars="200"/>
        <w:rPr>
          <w:rFonts w:hint="eastAsia" w:ascii="宋体" w:hAnsi="宋体" w:cs="宋体"/>
          <w:b/>
          <w:color w:val="auto"/>
          <w:sz w:val="24"/>
        </w:rPr>
      </w:pPr>
      <w:r>
        <w:rPr>
          <w:rFonts w:hint="eastAsia" w:ascii="宋体" w:hAnsi="宋体" w:cs="宋体"/>
          <w:b/>
          <w:color w:val="auto"/>
          <w:sz w:val="24"/>
        </w:rPr>
        <w:t>4.9工程价款应专款专用</w:t>
      </w:r>
    </w:p>
    <w:p w14:paraId="7FD9151F">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（1）乙方</w:t>
      </w:r>
      <w:r>
        <w:rPr>
          <w:rFonts w:hint="eastAsia" w:ascii="宋体" w:hAnsi="宋体" w:cs="宋体"/>
          <w:color w:val="auto"/>
          <w:sz w:val="24"/>
          <w:lang w:eastAsia="zh-CN"/>
        </w:rPr>
        <w:t>必须提供合法有效的银行账号</w:t>
      </w:r>
      <w:r>
        <w:rPr>
          <w:rFonts w:hint="eastAsia" w:ascii="宋体" w:hAnsi="宋体" w:cs="宋体"/>
          <w:color w:val="auto"/>
          <w:sz w:val="24"/>
        </w:rPr>
        <w:t>，</w:t>
      </w:r>
      <w:r>
        <w:rPr>
          <w:rFonts w:hint="eastAsia" w:ascii="宋体" w:hAnsi="宋体" w:cs="宋体"/>
          <w:color w:val="auto"/>
          <w:sz w:val="24"/>
          <w:lang w:eastAsia="zh-CN"/>
        </w:rPr>
        <w:t>否则甲方</w:t>
      </w:r>
      <w:r>
        <w:rPr>
          <w:rFonts w:hint="eastAsia" w:ascii="宋体" w:hAnsi="宋体" w:cs="宋体"/>
          <w:color w:val="auto"/>
          <w:sz w:val="24"/>
        </w:rPr>
        <w:t>将不对其支付任何款项。</w:t>
      </w:r>
    </w:p>
    <w:p w14:paraId="077B94DE">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（2）根据中国人民银行有关规定，每个</w:t>
      </w:r>
      <w:r>
        <w:rPr>
          <w:rFonts w:hint="eastAsia" w:ascii="宋体" w:hAnsi="宋体" w:cs="宋体"/>
          <w:color w:val="auto"/>
          <w:sz w:val="24"/>
          <w:lang w:eastAsia="zh-CN"/>
        </w:rPr>
        <w:t>乙方</w:t>
      </w:r>
      <w:r>
        <w:rPr>
          <w:rFonts w:hint="eastAsia" w:ascii="宋体" w:hAnsi="宋体" w:cs="宋体"/>
          <w:color w:val="auto"/>
          <w:sz w:val="24"/>
        </w:rPr>
        <w:t>只能在一个银行开立一个结算帐户，不允许多头开户。业主按合同条款规定对</w:t>
      </w:r>
      <w:r>
        <w:rPr>
          <w:rFonts w:hint="eastAsia" w:ascii="宋体" w:hAnsi="宋体" w:cs="宋体"/>
          <w:color w:val="auto"/>
          <w:sz w:val="24"/>
          <w:lang w:eastAsia="zh-CN"/>
        </w:rPr>
        <w:t>乙方</w:t>
      </w:r>
      <w:r>
        <w:rPr>
          <w:rFonts w:hint="eastAsia" w:ascii="宋体" w:hAnsi="宋体" w:cs="宋体"/>
          <w:color w:val="auto"/>
          <w:sz w:val="24"/>
        </w:rPr>
        <w:t>支付的款项，只对合同规定的法人或者法人代表的授权代理人支付，不对其内部独立核算单位或经批准的分包人直接支付（合同有专项规定者除外）。</w:t>
      </w:r>
    </w:p>
    <w:p w14:paraId="5F6267B2">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（3）在合同执行期间，业主或业主委托的公路审计部门有权不定期检查或审计</w:t>
      </w:r>
      <w:r>
        <w:rPr>
          <w:rFonts w:hint="eastAsia" w:ascii="宋体" w:hAnsi="宋体" w:cs="宋体"/>
          <w:color w:val="auto"/>
          <w:sz w:val="24"/>
          <w:lang w:eastAsia="zh-CN"/>
        </w:rPr>
        <w:t>乙方</w:t>
      </w:r>
      <w:r>
        <w:rPr>
          <w:rFonts w:hint="eastAsia" w:ascii="宋体" w:hAnsi="宋体" w:cs="宋体"/>
          <w:color w:val="auto"/>
          <w:sz w:val="24"/>
        </w:rPr>
        <w:t>项目经理部的财务收支情况，</w:t>
      </w:r>
      <w:r>
        <w:rPr>
          <w:rFonts w:hint="eastAsia" w:ascii="宋体" w:hAnsi="宋体" w:cs="宋体"/>
          <w:color w:val="auto"/>
          <w:sz w:val="24"/>
          <w:lang w:eastAsia="zh-CN"/>
        </w:rPr>
        <w:t>乙方</w:t>
      </w:r>
      <w:r>
        <w:rPr>
          <w:rFonts w:hint="eastAsia" w:ascii="宋体" w:hAnsi="宋体" w:cs="宋体"/>
          <w:color w:val="auto"/>
          <w:sz w:val="24"/>
        </w:rPr>
        <w:t>必须严格财经纪律，确保项目经理部的财务收支能客观、真实的反映工程实际成本，</w:t>
      </w:r>
      <w:r>
        <w:rPr>
          <w:rFonts w:hint="eastAsia" w:ascii="宋体" w:hAnsi="宋体" w:cs="宋体"/>
          <w:color w:val="auto"/>
          <w:sz w:val="24"/>
          <w:lang w:eastAsia="zh-CN"/>
        </w:rPr>
        <w:t>乙方</w:t>
      </w:r>
      <w:r>
        <w:rPr>
          <w:rFonts w:hint="eastAsia" w:ascii="宋体" w:hAnsi="宋体" w:cs="宋体"/>
          <w:color w:val="auto"/>
          <w:sz w:val="24"/>
        </w:rPr>
        <w:t>及项目经理部必须接受业主或业主委托部门的监督和检查。</w:t>
      </w:r>
    </w:p>
    <w:p w14:paraId="01D168F1">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（4）在合同执行期间，</w:t>
      </w:r>
      <w:r>
        <w:rPr>
          <w:rFonts w:hint="eastAsia" w:ascii="宋体" w:hAnsi="宋体" w:cs="宋体"/>
          <w:color w:val="auto"/>
          <w:sz w:val="24"/>
          <w:lang w:eastAsia="zh-CN"/>
        </w:rPr>
        <w:t>乙方</w:t>
      </w:r>
      <w:r>
        <w:rPr>
          <w:rFonts w:hint="eastAsia" w:ascii="宋体" w:hAnsi="宋体" w:cs="宋体"/>
          <w:color w:val="auto"/>
          <w:sz w:val="24"/>
        </w:rPr>
        <w:t>购买用于本工程的各种材料、施工机械设备、配件及支付人工工资等，在使用和购买前须签订好合同，并于使用和购买前报业主一份原件备案。</w:t>
      </w:r>
    </w:p>
    <w:p w14:paraId="15D040B4">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（5）在合同执行期间，为确保工程建设资金专款专用，</w:t>
      </w:r>
      <w:r>
        <w:rPr>
          <w:rFonts w:hint="eastAsia" w:ascii="宋体" w:hAnsi="宋体" w:cs="宋体"/>
          <w:color w:val="auto"/>
          <w:sz w:val="24"/>
          <w:lang w:eastAsia="zh-CN"/>
        </w:rPr>
        <w:t>乙方</w:t>
      </w:r>
      <w:r>
        <w:rPr>
          <w:rFonts w:hint="eastAsia" w:ascii="宋体" w:hAnsi="宋体" w:cs="宋体"/>
          <w:color w:val="auto"/>
          <w:sz w:val="24"/>
        </w:rPr>
        <w:t>在收到业主支付的款项后，须向业主提供资金使用计划，详细说明资金使用流向，经业主批准并在业主的监督下使用，必须优先支付工人特别是农民工的工资，其次是材料价款以及工程建设直接的成本。</w:t>
      </w:r>
    </w:p>
    <w:p w14:paraId="3A081209">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（6）根据《关于明确农民工工资保证金制度有关问题的通知》（桂薪联发﹝</w:t>
      </w:r>
      <w:r>
        <w:rPr>
          <w:rFonts w:hint="eastAsia" w:ascii="宋体" w:hAnsi="宋体" w:cs="宋体"/>
          <w:bCs/>
          <w:color w:val="auto"/>
          <w:sz w:val="24"/>
        </w:rPr>
        <w:t>2016</w:t>
      </w:r>
      <w:r>
        <w:rPr>
          <w:rFonts w:hint="eastAsia" w:ascii="宋体" w:hAnsi="宋体" w:cs="宋体"/>
          <w:color w:val="auto"/>
          <w:sz w:val="24"/>
        </w:rPr>
        <w:t>﹞</w:t>
      </w:r>
      <w:r>
        <w:rPr>
          <w:rFonts w:hint="eastAsia" w:ascii="宋体" w:hAnsi="宋体" w:cs="宋体"/>
          <w:bCs/>
          <w:color w:val="auto"/>
          <w:sz w:val="24"/>
        </w:rPr>
        <w:t>2号</w:t>
      </w:r>
      <w:r>
        <w:rPr>
          <w:rFonts w:hint="eastAsia" w:ascii="宋体" w:hAnsi="宋体" w:cs="宋体"/>
          <w:color w:val="auto"/>
          <w:sz w:val="24"/>
        </w:rPr>
        <w:t>），业主有权监督</w:t>
      </w:r>
      <w:r>
        <w:rPr>
          <w:rFonts w:hint="eastAsia" w:ascii="宋体" w:hAnsi="宋体" w:cs="宋体"/>
          <w:color w:val="auto"/>
          <w:sz w:val="24"/>
          <w:lang w:eastAsia="zh-CN"/>
        </w:rPr>
        <w:t>乙方</w:t>
      </w:r>
      <w:r>
        <w:rPr>
          <w:rFonts w:hint="eastAsia" w:ascii="宋体" w:hAnsi="宋体" w:cs="宋体"/>
          <w:color w:val="auto"/>
          <w:sz w:val="24"/>
        </w:rPr>
        <w:t>对其雇员的工资发放，</w:t>
      </w:r>
      <w:r>
        <w:rPr>
          <w:rFonts w:hint="eastAsia" w:ascii="宋体" w:hAnsi="宋体" w:cs="宋体"/>
          <w:color w:val="auto"/>
          <w:sz w:val="24"/>
          <w:lang w:eastAsia="zh-CN"/>
        </w:rPr>
        <w:t>乙方</w:t>
      </w:r>
      <w:r>
        <w:rPr>
          <w:rFonts w:hint="eastAsia" w:ascii="宋体" w:hAnsi="宋体" w:cs="宋体"/>
          <w:color w:val="auto"/>
          <w:sz w:val="24"/>
        </w:rPr>
        <w:t>应按投标承诺足额缴纳农民工工资保证金至</w:t>
      </w:r>
      <w:r>
        <w:rPr>
          <w:rFonts w:hint="eastAsia" w:ascii="宋体" w:hAnsi="宋体" w:cs="宋体"/>
          <w:color w:val="auto"/>
          <w:sz w:val="24"/>
          <w:lang w:eastAsia="zh-CN"/>
        </w:rPr>
        <w:t>乙方</w:t>
      </w:r>
      <w:r>
        <w:rPr>
          <w:rFonts w:hint="eastAsia" w:ascii="宋体" w:hAnsi="宋体" w:cs="宋体"/>
          <w:color w:val="auto"/>
          <w:sz w:val="24"/>
        </w:rPr>
        <w:t>在工程项目所在地商业银行开设的农民工工资保证金专用账户或向</w:t>
      </w:r>
      <w:r>
        <w:rPr>
          <w:rFonts w:hint="eastAsia" w:ascii="宋体" w:hAnsi="宋体" w:cs="宋体"/>
          <w:color w:val="auto"/>
          <w:sz w:val="24"/>
          <w:lang w:eastAsia="zh-CN"/>
        </w:rPr>
        <w:t>甲方</w:t>
      </w:r>
      <w:r>
        <w:rPr>
          <w:rFonts w:hint="eastAsia" w:ascii="宋体" w:hAnsi="宋体" w:cs="宋体"/>
          <w:color w:val="auto"/>
          <w:sz w:val="24"/>
        </w:rPr>
        <w:t>提供由工程项目所在地（工程项目所在省区范围内）商业银行出具同等金额农民工工资保证金银行保函，作为支付</w:t>
      </w:r>
      <w:r>
        <w:rPr>
          <w:rFonts w:hint="eastAsia" w:ascii="宋体" w:hAnsi="宋体" w:cs="宋体"/>
          <w:color w:val="auto"/>
          <w:sz w:val="24"/>
          <w:lang w:eastAsia="zh-CN"/>
        </w:rPr>
        <w:t>乙方</w:t>
      </w:r>
      <w:r>
        <w:rPr>
          <w:rFonts w:hint="eastAsia" w:ascii="宋体" w:hAnsi="宋体" w:cs="宋体"/>
          <w:color w:val="auto"/>
          <w:sz w:val="24"/>
        </w:rPr>
        <w:t>拖欠的农民工工资的保证。有关要求如下：</w:t>
      </w:r>
    </w:p>
    <w:p w14:paraId="4341DAAF">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a.</w:t>
      </w:r>
      <w:r>
        <w:rPr>
          <w:rFonts w:hint="eastAsia" w:ascii="宋体" w:hAnsi="宋体" w:cs="宋体"/>
          <w:color w:val="auto"/>
          <w:sz w:val="24"/>
          <w:lang w:eastAsia="zh-CN"/>
        </w:rPr>
        <w:t>乙方</w:t>
      </w:r>
      <w:r>
        <w:rPr>
          <w:rFonts w:hint="eastAsia" w:ascii="宋体" w:hAnsi="宋体" w:cs="宋体"/>
          <w:color w:val="auto"/>
          <w:sz w:val="24"/>
        </w:rPr>
        <w:t>应缴纳的农民工工资保证金额度为5000万元×2%+（A-5000万元）×1.5%，其中A为</w:t>
      </w:r>
      <w:r>
        <w:rPr>
          <w:rFonts w:hint="eastAsia" w:ascii="宋体" w:hAnsi="宋体" w:cs="宋体"/>
          <w:color w:val="auto"/>
          <w:sz w:val="24"/>
          <w:lang w:eastAsia="zh-CN"/>
        </w:rPr>
        <w:t>乙方</w:t>
      </w:r>
      <w:r>
        <w:rPr>
          <w:rFonts w:hint="eastAsia" w:ascii="宋体" w:hAnsi="宋体" w:cs="宋体"/>
          <w:color w:val="auto"/>
          <w:sz w:val="24"/>
        </w:rPr>
        <w:t>的中标价（结算价）。当A小于5000万元时，按2%存入。</w:t>
      </w:r>
    </w:p>
    <w:p w14:paraId="34209FC0">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b.人力资源社会保障部门调查认定施工单位拖欠或克扣农民工工资的，责令施工单位支付被拖欠的农民工工资。逾期仍不支付或无力支付的，经有管辖权限的人力资源社会保障部门同意，从该施工单位缴存的农民工工资保证</w:t>
      </w:r>
      <w:r>
        <w:rPr>
          <w:rFonts w:hint="eastAsia" w:ascii="宋体" w:hAnsi="宋体" w:cs="宋体"/>
          <w:color w:val="auto"/>
          <w:sz w:val="24"/>
          <w:lang w:eastAsia="zh-CN"/>
        </w:rPr>
        <w:t>金</w:t>
      </w:r>
      <w:r>
        <w:rPr>
          <w:rFonts w:hint="eastAsia" w:ascii="宋体" w:hAnsi="宋体" w:cs="宋体"/>
          <w:color w:val="auto"/>
          <w:sz w:val="24"/>
        </w:rPr>
        <w:t>中支付。</w:t>
      </w:r>
    </w:p>
    <w:p w14:paraId="06AD6502">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工程建设项目实行分包、转包的，发生拖欠农民工工资时，实施分包、转包的施工单位按照上述办法承担工资支付责任。</w:t>
      </w:r>
    </w:p>
    <w:p w14:paraId="29D41189">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c.已使用农民工工资保证金的施工单位，必须在使用农民工工资保证金之日起一个月内，向农民工工资保证金专用账户补缴存已使用的农民工工资保证金数额的2倍工资保证金。</w:t>
      </w:r>
    </w:p>
    <w:p w14:paraId="5F42BAF7">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（7）根据《关于印发广西壮族自治区工程建设领域工人工资支付专用账户管理办法的通知》（桂薪联发﹝2016﹞1号）要求，</w:t>
      </w:r>
      <w:r>
        <w:rPr>
          <w:rFonts w:hint="eastAsia" w:ascii="宋体" w:hAnsi="宋体" w:cs="宋体"/>
          <w:color w:val="auto"/>
          <w:sz w:val="24"/>
          <w:lang w:eastAsia="zh-CN"/>
        </w:rPr>
        <w:t>乙方</w:t>
      </w:r>
      <w:r>
        <w:rPr>
          <w:rFonts w:hint="eastAsia" w:ascii="宋体" w:hAnsi="宋体" w:cs="宋体"/>
          <w:color w:val="auto"/>
          <w:sz w:val="24"/>
        </w:rPr>
        <w:t>应在项目开工前在项目所在地商业银行设立工人工资支付账户，并在用工之日起15个工作日内为每个工人确定有效工资个人账户。</w:t>
      </w:r>
    </w:p>
    <w:p w14:paraId="3A72B73F">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（8）业主将在每次对</w:t>
      </w:r>
      <w:r>
        <w:rPr>
          <w:rFonts w:hint="eastAsia" w:ascii="宋体" w:hAnsi="宋体" w:cs="宋体"/>
          <w:color w:val="auto"/>
          <w:sz w:val="24"/>
          <w:lang w:eastAsia="zh-CN"/>
        </w:rPr>
        <w:t>乙方</w:t>
      </w:r>
      <w:r>
        <w:rPr>
          <w:rFonts w:hint="eastAsia" w:ascii="宋体" w:hAnsi="宋体" w:cs="宋体"/>
          <w:color w:val="auto"/>
          <w:sz w:val="24"/>
        </w:rPr>
        <w:t>进行计量支付时，将计量应付款的</w:t>
      </w:r>
      <w:r>
        <w:rPr>
          <w:rFonts w:hint="eastAsia" w:ascii="宋体" w:hAnsi="宋体" w:cs="宋体"/>
          <w:b/>
          <w:color w:val="auto"/>
          <w:sz w:val="24"/>
        </w:rPr>
        <w:t>25%</w:t>
      </w:r>
      <w:r>
        <w:rPr>
          <w:rFonts w:hint="eastAsia" w:ascii="宋体" w:hAnsi="宋体" w:cs="宋体"/>
          <w:color w:val="auto"/>
          <w:sz w:val="24"/>
        </w:rPr>
        <w:t>作为工人工资划入工人工资专用账户，由</w:t>
      </w:r>
      <w:r>
        <w:rPr>
          <w:rFonts w:hint="eastAsia" w:ascii="宋体" w:hAnsi="宋体" w:cs="宋体"/>
          <w:color w:val="auto"/>
          <w:sz w:val="24"/>
          <w:lang w:eastAsia="zh-CN"/>
        </w:rPr>
        <w:t>乙方</w:t>
      </w:r>
      <w:r>
        <w:rPr>
          <w:rFonts w:hint="eastAsia" w:ascii="宋体" w:hAnsi="宋体" w:cs="宋体"/>
          <w:color w:val="auto"/>
          <w:sz w:val="24"/>
        </w:rPr>
        <w:t>专门用于支付工人工资。</w:t>
      </w:r>
    </w:p>
    <w:p w14:paraId="671D11A9">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（9）</w:t>
      </w:r>
      <w:r>
        <w:rPr>
          <w:rFonts w:hint="eastAsia" w:ascii="宋体" w:hAnsi="宋体" w:cs="宋体"/>
          <w:color w:val="auto"/>
          <w:sz w:val="24"/>
          <w:lang w:eastAsia="zh-CN"/>
        </w:rPr>
        <w:t>乙方</w:t>
      </w:r>
      <w:r>
        <w:rPr>
          <w:rFonts w:hint="eastAsia" w:ascii="宋体" w:hAnsi="宋体" w:cs="宋体"/>
          <w:color w:val="auto"/>
          <w:sz w:val="24"/>
        </w:rPr>
        <w:t>应当通过工人工资支付专用账户，依法按时足额将工人工资直接支付至工人的工资个人账户，并按月及时将工人工资支付明细表报建设单位和当地劳动保障监察部门备案。</w:t>
      </w:r>
    </w:p>
    <w:p w14:paraId="0DF4B32E">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（10）</w:t>
      </w:r>
      <w:r>
        <w:rPr>
          <w:rFonts w:hint="eastAsia" w:ascii="宋体" w:hAnsi="宋体" w:cs="宋体"/>
          <w:color w:val="auto"/>
          <w:sz w:val="24"/>
          <w:lang w:eastAsia="zh-CN"/>
        </w:rPr>
        <w:t>乙方</w:t>
      </w:r>
      <w:r>
        <w:rPr>
          <w:rFonts w:hint="eastAsia" w:ascii="宋体" w:hAnsi="宋体" w:cs="宋体"/>
          <w:color w:val="auto"/>
          <w:sz w:val="24"/>
        </w:rPr>
        <w:t>应当建立劳动用工管理台账，真实、准确记录工人名册、劳动合同（集体合同）、劳务合同、工程进度、工时、劳务承包款和工人工资支付情况等信息，并保存两年以上备查。</w:t>
      </w:r>
    </w:p>
    <w:p w14:paraId="3EF77191">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工程通过交工验收后，由业主对</w:t>
      </w:r>
      <w:r>
        <w:rPr>
          <w:rFonts w:hint="eastAsia" w:ascii="宋体" w:hAnsi="宋体" w:cs="宋体"/>
          <w:color w:val="auto"/>
          <w:sz w:val="24"/>
          <w:lang w:eastAsia="zh-CN"/>
        </w:rPr>
        <w:t>乙方</w:t>
      </w:r>
      <w:r>
        <w:rPr>
          <w:rFonts w:hint="eastAsia" w:ascii="宋体" w:hAnsi="宋体" w:cs="宋体"/>
          <w:color w:val="auto"/>
          <w:sz w:val="24"/>
        </w:rPr>
        <w:t>支付农民工工资等内容进行公示，公示期不少于15天。业主支付的计量支付款，</w:t>
      </w:r>
      <w:r>
        <w:rPr>
          <w:rFonts w:hint="eastAsia" w:ascii="宋体" w:hAnsi="宋体" w:cs="宋体"/>
          <w:color w:val="auto"/>
          <w:sz w:val="24"/>
          <w:lang w:eastAsia="zh-CN"/>
        </w:rPr>
        <w:t>乙方</w:t>
      </w:r>
      <w:r>
        <w:rPr>
          <w:rFonts w:hint="eastAsia" w:ascii="宋体" w:hAnsi="宋体" w:cs="宋体"/>
          <w:color w:val="auto"/>
          <w:sz w:val="24"/>
        </w:rPr>
        <w:t>首先应支付民工工资，并做好记录备案。</w:t>
      </w:r>
    </w:p>
    <w:p w14:paraId="3353C83F">
      <w:pPr>
        <w:spacing w:line="360" w:lineRule="auto"/>
        <w:ind w:firstLine="480" w:firstLineChars="200"/>
        <w:rPr>
          <w:rFonts w:hint="eastAsia" w:ascii="宋体" w:hAnsi="宋体" w:cs="宋体"/>
          <w:color w:val="auto"/>
          <w:sz w:val="24"/>
        </w:rPr>
      </w:pPr>
      <w:r>
        <w:rPr>
          <w:rFonts w:hint="eastAsia" w:ascii="宋体" w:hAnsi="宋体" w:cs="宋体"/>
          <w:color w:val="auto"/>
          <w:sz w:val="24"/>
        </w:rPr>
        <w:t>（11）其它未尽事宜按《</w:t>
      </w:r>
      <w:r>
        <w:rPr>
          <w:rFonts w:hint="eastAsia" w:ascii="宋体" w:hAnsi="宋体" w:cs="宋体"/>
          <w:bCs/>
          <w:color w:val="auto"/>
          <w:sz w:val="24"/>
        </w:rPr>
        <w:t>关于建立交通行业农民工工资保证金制度的通知》</w:t>
      </w:r>
      <w:r>
        <w:rPr>
          <w:rFonts w:hint="eastAsia" w:ascii="宋体" w:hAnsi="宋体" w:cs="宋体"/>
          <w:color w:val="auto"/>
          <w:sz w:val="24"/>
        </w:rPr>
        <w:t>（</w:t>
      </w:r>
      <w:r>
        <w:rPr>
          <w:rFonts w:hint="eastAsia" w:ascii="宋体" w:hAnsi="宋体" w:cs="宋体"/>
          <w:bCs/>
          <w:color w:val="auto"/>
          <w:sz w:val="24"/>
        </w:rPr>
        <w:t>桂劳社发</w:t>
      </w:r>
      <w:r>
        <w:rPr>
          <w:rFonts w:hint="eastAsia" w:ascii="宋体" w:hAnsi="宋体" w:cs="宋体"/>
          <w:color w:val="auto"/>
          <w:sz w:val="24"/>
        </w:rPr>
        <w:t>﹝</w:t>
      </w:r>
      <w:r>
        <w:rPr>
          <w:rFonts w:hint="eastAsia" w:ascii="宋体" w:hAnsi="宋体" w:cs="宋体"/>
          <w:bCs/>
          <w:color w:val="auto"/>
          <w:sz w:val="24"/>
        </w:rPr>
        <w:t>2007</w:t>
      </w:r>
      <w:r>
        <w:rPr>
          <w:rFonts w:hint="eastAsia" w:ascii="宋体" w:hAnsi="宋体" w:cs="宋体"/>
          <w:color w:val="auto"/>
          <w:sz w:val="24"/>
        </w:rPr>
        <w:t>﹞</w:t>
      </w:r>
      <w:r>
        <w:rPr>
          <w:rFonts w:hint="eastAsia" w:ascii="宋体" w:hAnsi="宋体" w:cs="宋体"/>
          <w:bCs/>
          <w:color w:val="auto"/>
          <w:sz w:val="24"/>
        </w:rPr>
        <w:t>147号</w:t>
      </w:r>
      <w:r>
        <w:rPr>
          <w:rFonts w:hint="eastAsia" w:ascii="宋体" w:hAnsi="宋体" w:cs="宋体"/>
          <w:color w:val="auto"/>
          <w:sz w:val="24"/>
        </w:rPr>
        <w:t>）、《关于印发广西壮族自治区工程建设领域工人工资支付专用账户管理办法的通知》（桂薪联发﹝</w:t>
      </w:r>
      <w:r>
        <w:rPr>
          <w:rFonts w:hint="eastAsia" w:ascii="宋体" w:hAnsi="宋体" w:cs="宋体"/>
          <w:bCs/>
          <w:color w:val="auto"/>
          <w:sz w:val="24"/>
        </w:rPr>
        <w:t>2016</w:t>
      </w:r>
      <w:r>
        <w:rPr>
          <w:rFonts w:hint="eastAsia" w:ascii="宋体" w:hAnsi="宋体" w:cs="宋体"/>
          <w:color w:val="auto"/>
          <w:sz w:val="24"/>
        </w:rPr>
        <w:t>﹞</w:t>
      </w:r>
      <w:r>
        <w:rPr>
          <w:rFonts w:hint="eastAsia" w:ascii="宋体" w:hAnsi="宋体" w:cs="宋体"/>
          <w:bCs/>
          <w:color w:val="auto"/>
          <w:sz w:val="24"/>
        </w:rPr>
        <w:t>1号</w:t>
      </w:r>
      <w:r>
        <w:rPr>
          <w:rFonts w:hint="eastAsia" w:ascii="宋体" w:hAnsi="宋体" w:cs="宋体"/>
          <w:color w:val="auto"/>
          <w:sz w:val="24"/>
        </w:rPr>
        <w:t>）、《关于明确农民工工资保证金制度有关问题的通知》（桂薪联发﹝</w:t>
      </w:r>
      <w:r>
        <w:rPr>
          <w:rFonts w:hint="eastAsia" w:ascii="宋体" w:hAnsi="宋体" w:cs="宋体"/>
          <w:bCs/>
          <w:color w:val="auto"/>
          <w:sz w:val="24"/>
        </w:rPr>
        <w:t>2016</w:t>
      </w:r>
      <w:r>
        <w:rPr>
          <w:rFonts w:hint="eastAsia" w:ascii="宋体" w:hAnsi="宋体" w:cs="宋体"/>
          <w:color w:val="auto"/>
          <w:sz w:val="24"/>
        </w:rPr>
        <w:t>﹞</w:t>
      </w:r>
      <w:r>
        <w:rPr>
          <w:rFonts w:hint="eastAsia" w:ascii="宋体" w:hAnsi="宋体" w:cs="宋体"/>
          <w:bCs/>
          <w:color w:val="auto"/>
          <w:sz w:val="24"/>
        </w:rPr>
        <w:t>2号</w:t>
      </w:r>
      <w:r>
        <w:rPr>
          <w:rFonts w:hint="eastAsia" w:ascii="宋体" w:hAnsi="宋体" w:cs="宋体"/>
          <w:color w:val="auto"/>
          <w:sz w:val="24"/>
        </w:rPr>
        <w:t>）的有关规定执行。</w:t>
      </w:r>
    </w:p>
    <w:p w14:paraId="115999F1">
      <w:pPr>
        <w:tabs>
          <w:tab w:val="left" w:pos="1080"/>
        </w:tabs>
        <w:spacing w:line="360" w:lineRule="auto"/>
        <w:ind w:firstLine="482" w:firstLineChars="200"/>
        <w:rPr>
          <w:rFonts w:hint="eastAsia" w:ascii="宋体" w:hAnsi="宋体" w:cs="宋体"/>
          <w:b/>
          <w:color w:val="auto"/>
          <w:kern w:val="0"/>
          <w:sz w:val="24"/>
        </w:rPr>
      </w:pPr>
      <w:bookmarkStart w:id="116" w:name="_Toc367602701"/>
      <w:r>
        <w:rPr>
          <w:rFonts w:hint="eastAsia" w:ascii="宋体" w:hAnsi="宋体" w:cs="宋体"/>
          <w:b/>
          <w:color w:val="auto"/>
          <w:sz w:val="24"/>
        </w:rPr>
        <w:t>7.3 场外交通</w:t>
      </w:r>
      <w:bookmarkEnd w:id="116"/>
    </w:p>
    <w:p w14:paraId="076C207C">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（增加）7.3.3为保证道路交通安全及运输畅通，</w:t>
      </w:r>
      <w:r>
        <w:rPr>
          <w:rFonts w:hint="eastAsia" w:ascii="宋体" w:hAnsi="宋体" w:cs="宋体"/>
          <w:color w:val="auto"/>
          <w:sz w:val="24"/>
          <w:lang w:eastAsia="zh-CN"/>
        </w:rPr>
        <w:t>乙方</w:t>
      </w:r>
      <w:r>
        <w:rPr>
          <w:rFonts w:hint="eastAsia" w:ascii="宋体" w:hAnsi="宋体" w:cs="宋体"/>
          <w:color w:val="auto"/>
          <w:sz w:val="24"/>
        </w:rPr>
        <w:t>应采取以下措施：</w:t>
      </w:r>
    </w:p>
    <w:p w14:paraId="6C125C39">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当施工期间，因施工原因造成原有道路暂时堵塞时，</w:t>
      </w:r>
      <w:r>
        <w:rPr>
          <w:rFonts w:hint="eastAsia" w:ascii="宋体" w:hAnsi="宋体" w:cs="宋体"/>
          <w:color w:val="auto"/>
          <w:sz w:val="24"/>
          <w:lang w:eastAsia="zh-CN"/>
        </w:rPr>
        <w:t>乙方</w:t>
      </w:r>
      <w:r>
        <w:rPr>
          <w:rFonts w:hint="eastAsia" w:ascii="宋体" w:hAnsi="宋体" w:cs="宋体"/>
          <w:color w:val="auto"/>
          <w:sz w:val="24"/>
        </w:rPr>
        <w:t>必须与交通和公安部门协商，采取足够的措施引导、疏通交通。但不管何种原因，因其交通堵塞时间均不能超过60分钟。若堵塞交通超过上述规定的时间，将视为</w:t>
      </w:r>
      <w:r>
        <w:rPr>
          <w:rFonts w:hint="eastAsia" w:ascii="宋体" w:hAnsi="宋体" w:cs="宋体"/>
          <w:color w:val="auto"/>
          <w:sz w:val="24"/>
          <w:lang w:eastAsia="zh-CN"/>
        </w:rPr>
        <w:t>乙方</w:t>
      </w:r>
      <w:r>
        <w:rPr>
          <w:rFonts w:hint="eastAsia" w:ascii="宋体" w:hAnsi="宋体" w:cs="宋体"/>
          <w:color w:val="auto"/>
          <w:sz w:val="24"/>
        </w:rPr>
        <w:t>违约按22.1款等相关条款处理，同时监理人可指令采取任何措施疏通，一切费用由</w:t>
      </w:r>
      <w:r>
        <w:rPr>
          <w:rFonts w:hint="eastAsia" w:ascii="宋体" w:hAnsi="宋体" w:cs="宋体"/>
          <w:color w:val="auto"/>
          <w:sz w:val="24"/>
          <w:lang w:eastAsia="zh-CN"/>
        </w:rPr>
        <w:t>乙方</w:t>
      </w:r>
      <w:r>
        <w:rPr>
          <w:rFonts w:hint="eastAsia" w:ascii="宋体" w:hAnsi="宋体" w:cs="宋体"/>
          <w:color w:val="auto"/>
          <w:sz w:val="24"/>
        </w:rPr>
        <w:t>承担。</w:t>
      </w:r>
    </w:p>
    <w:p w14:paraId="2D58863E">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7.3.4 </w:t>
      </w:r>
      <w:r>
        <w:rPr>
          <w:rFonts w:hint="eastAsia" w:ascii="宋体" w:hAnsi="宋体" w:cs="宋体"/>
          <w:color w:val="auto"/>
          <w:sz w:val="24"/>
          <w:lang w:eastAsia="zh-CN"/>
        </w:rPr>
        <w:t>乙方</w:t>
      </w:r>
      <w:r>
        <w:rPr>
          <w:rFonts w:hint="eastAsia" w:ascii="宋体" w:hAnsi="宋体" w:cs="宋体"/>
          <w:color w:val="auto"/>
          <w:sz w:val="24"/>
        </w:rPr>
        <w:t>应加强文明施工，保障道路通畅的管理</w:t>
      </w:r>
    </w:p>
    <w:p w14:paraId="041B1D2C">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eastAsia="zh-CN"/>
        </w:rPr>
        <w:t>乙方</w:t>
      </w:r>
      <w:r>
        <w:rPr>
          <w:rFonts w:hint="eastAsia" w:ascii="宋体" w:hAnsi="宋体" w:cs="宋体"/>
          <w:color w:val="auto"/>
          <w:sz w:val="24"/>
        </w:rPr>
        <w:t>在施工期内应按国家、交通主管部门与公路管理机构有关文明施工，保障畅通的规定组织施工，对出现的交通堵塞无条件地采取措施进行疏通。</w:t>
      </w:r>
    </w:p>
    <w:p w14:paraId="0E2158FE">
      <w:pPr>
        <w:tabs>
          <w:tab w:val="left" w:pos="1080"/>
        </w:tabs>
        <w:spacing w:line="360" w:lineRule="auto"/>
        <w:ind w:firstLine="480" w:firstLineChars="200"/>
        <w:rPr>
          <w:rFonts w:hint="eastAsia" w:ascii="宋体" w:hAnsi="宋体" w:cs="宋体"/>
          <w:color w:val="auto"/>
          <w:kern w:val="0"/>
          <w:sz w:val="24"/>
        </w:rPr>
      </w:pPr>
      <w:r>
        <w:rPr>
          <w:rFonts w:hint="eastAsia" w:ascii="宋体" w:hAnsi="宋体" w:cs="宋体"/>
          <w:color w:val="auto"/>
          <w:sz w:val="24"/>
        </w:rPr>
        <w:t>（2）对于旧路改建工程项目：破坏旧路必须作出交通维持与恢复路面通行条件方案并必须取得监理工程师与项目建设办公室的书面批准，未经批准进行旧路开挖与填筑的，项目建设办公室和监理工程师有权责令停工，并由</w:t>
      </w:r>
      <w:r>
        <w:rPr>
          <w:rFonts w:hint="eastAsia" w:ascii="宋体" w:hAnsi="宋体" w:cs="宋体"/>
          <w:color w:val="auto"/>
          <w:sz w:val="24"/>
          <w:lang w:eastAsia="zh-CN"/>
        </w:rPr>
        <w:t>乙方</w:t>
      </w:r>
      <w:r>
        <w:rPr>
          <w:rFonts w:hint="eastAsia" w:ascii="宋体" w:hAnsi="宋体" w:cs="宋体"/>
          <w:color w:val="auto"/>
          <w:sz w:val="24"/>
        </w:rPr>
        <w:t>恢复原良好的通车条件，并需承担一切费用；不得在道路上堆放材料或占道施工影响交通；路基、路面施工应避免出现晴天扬尘，雨天打滑影响安全与交通和影响群众生活、生产的现象；维持交通的路基施工应保证表面平整，行车通畅。</w:t>
      </w:r>
    </w:p>
    <w:p w14:paraId="15C3CC64">
      <w:pPr>
        <w:tabs>
          <w:tab w:val="left" w:pos="1080"/>
        </w:tabs>
        <w:spacing w:line="360" w:lineRule="auto"/>
        <w:ind w:firstLine="482" w:firstLineChars="200"/>
        <w:rPr>
          <w:rFonts w:hint="eastAsia" w:ascii="宋体" w:hAnsi="宋体" w:cs="宋体"/>
          <w:b/>
          <w:color w:val="auto"/>
          <w:sz w:val="24"/>
        </w:rPr>
      </w:pPr>
      <w:r>
        <w:rPr>
          <w:rFonts w:hint="eastAsia" w:ascii="宋体" w:hAnsi="宋体" w:cs="宋体"/>
          <w:b/>
          <w:color w:val="auto"/>
          <w:sz w:val="24"/>
        </w:rPr>
        <w:t xml:space="preserve">9.2  </w:t>
      </w:r>
      <w:r>
        <w:rPr>
          <w:rFonts w:hint="eastAsia" w:ascii="宋体" w:hAnsi="宋体" w:cs="宋体"/>
          <w:b/>
          <w:color w:val="auto"/>
          <w:sz w:val="24"/>
          <w:lang w:eastAsia="zh-CN"/>
        </w:rPr>
        <w:t>乙方</w:t>
      </w:r>
      <w:r>
        <w:rPr>
          <w:rFonts w:hint="eastAsia" w:ascii="宋体" w:hAnsi="宋体" w:cs="宋体"/>
          <w:b/>
          <w:color w:val="auto"/>
          <w:sz w:val="24"/>
        </w:rPr>
        <w:t>的施工安全责任</w:t>
      </w:r>
    </w:p>
    <w:p w14:paraId="6626F0BD">
      <w:pPr>
        <w:spacing w:line="360" w:lineRule="auto"/>
        <w:ind w:firstLine="480" w:firstLineChars="200"/>
        <w:rPr>
          <w:rFonts w:hint="eastAsia" w:ascii="宋体" w:hAnsi="宋体" w:cs="宋体"/>
          <w:color w:val="auto"/>
          <w:sz w:val="24"/>
        </w:rPr>
      </w:pPr>
      <w:r>
        <w:rPr>
          <w:rFonts w:hint="eastAsia" w:ascii="宋体" w:hAnsi="宋体" w:cs="宋体"/>
          <w:color w:val="auto"/>
          <w:sz w:val="24"/>
        </w:rPr>
        <w:t>9.2.5 条款末增加： 如业主或监理在日常检查中发现</w:t>
      </w:r>
      <w:r>
        <w:rPr>
          <w:rFonts w:hint="eastAsia" w:ascii="宋体" w:hAnsi="宋体" w:cs="宋体"/>
          <w:color w:val="auto"/>
          <w:sz w:val="24"/>
          <w:lang w:eastAsia="zh-CN"/>
        </w:rPr>
        <w:t>乙方</w:t>
      </w:r>
      <w:r>
        <w:rPr>
          <w:rFonts w:hint="eastAsia" w:ascii="宋体" w:hAnsi="宋体" w:cs="宋体"/>
          <w:color w:val="auto"/>
          <w:sz w:val="24"/>
        </w:rPr>
        <w:t>用于危险路段、有安全隐患路段施工安全防护的设施和用具（含交通标志牌、安全危险告知牌、安全隐患告知牌等）不齐全或缺乏，并且</w:t>
      </w:r>
      <w:r>
        <w:rPr>
          <w:rFonts w:hint="eastAsia" w:ascii="宋体" w:hAnsi="宋体" w:cs="宋体"/>
          <w:color w:val="auto"/>
          <w:sz w:val="24"/>
          <w:lang w:eastAsia="zh-CN"/>
        </w:rPr>
        <w:t>乙方</w:t>
      </w:r>
      <w:r>
        <w:rPr>
          <w:rFonts w:hint="eastAsia" w:ascii="宋体" w:hAnsi="宋体" w:cs="宋体"/>
          <w:color w:val="auto"/>
          <w:sz w:val="24"/>
        </w:rPr>
        <w:t>没有按规定及时添置安放，则业主为</w:t>
      </w:r>
      <w:r>
        <w:rPr>
          <w:rFonts w:hint="eastAsia" w:ascii="宋体" w:hAnsi="宋体" w:cs="宋体"/>
          <w:color w:val="auto"/>
          <w:sz w:val="24"/>
          <w:lang w:eastAsia="zh-CN"/>
        </w:rPr>
        <w:t>乙方</w:t>
      </w:r>
      <w:r>
        <w:rPr>
          <w:rFonts w:hint="eastAsia" w:ascii="宋体" w:hAnsi="宋体" w:cs="宋体"/>
          <w:color w:val="auto"/>
          <w:sz w:val="24"/>
        </w:rPr>
        <w:t>添置的施工安全防护设施和用具（含交通标志牌、安全危险告知牌、安全隐患告知牌等）所花费的费用，以及业主对</w:t>
      </w:r>
      <w:r>
        <w:rPr>
          <w:rFonts w:hint="eastAsia" w:ascii="宋体" w:hAnsi="宋体" w:cs="宋体"/>
          <w:color w:val="auto"/>
          <w:sz w:val="24"/>
          <w:lang w:eastAsia="zh-CN"/>
        </w:rPr>
        <w:t>乙方</w:t>
      </w:r>
      <w:r>
        <w:rPr>
          <w:rFonts w:hint="eastAsia" w:ascii="宋体" w:hAnsi="宋体" w:cs="宋体"/>
          <w:color w:val="auto"/>
          <w:sz w:val="24"/>
        </w:rPr>
        <w:t>安全管理人员的培训费用均由</w:t>
      </w:r>
      <w:r>
        <w:rPr>
          <w:rFonts w:hint="eastAsia" w:ascii="宋体" w:hAnsi="宋体" w:cs="宋体"/>
          <w:color w:val="auto"/>
          <w:sz w:val="24"/>
          <w:lang w:eastAsia="zh-CN"/>
        </w:rPr>
        <w:t>乙方</w:t>
      </w:r>
      <w:r>
        <w:rPr>
          <w:rFonts w:hint="eastAsia" w:ascii="宋体" w:hAnsi="宋体" w:cs="宋体"/>
          <w:color w:val="auto"/>
          <w:sz w:val="24"/>
        </w:rPr>
        <w:t>负责，由业主在</w:t>
      </w:r>
      <w:r>
        <w:rPr>
          <w:rFonts w:hint="eastAsia" w:ascii="宋体" w:hAnsi="宋体" w:cs="宋体"/>
          <w:color w:val="auto"/>
          <w:sz w:val="24"/>
          <w:lang w:eastAsia="zh-CN"/>
        </w:rPr>
        <w:t>乙方</w:t>
      </w:r>
      <w:r>
        <w:rPr>
          <w:rFonts w:hint="eastAsia" w:ascii="宋体" w:hAnsi="宋体" w:cs="宋体"/>
          <w:color w:val="auto"/>
          <w:sz w:val="24"/>
        </w:rPr>
        <w:t>合同价中计量扣除。</w:t>
      </w:r>
    </w:p>
    <w:p w14:paraId="47445E6B">
      <w:pPr>
        <w:tabs>
          <w:tab w:val="left" w:pos="1080"/>
        </w:tabs>
        <w:spacing w:line="360" w:lineRule="auto"/>
        <w:ind w:firstLine="482" w:firstLineChars="200"/>
        <w:rPr>
          <w:rFonts w:hint="eastAsia" w:ascii="宋体" w:hAnsi="宋体" w:cs="宋体"/>
          <w:b/>
          <w:color w:val="auto"/>
          <w:sz w:val="24"/>
        </w:rPr>
      </w:pPr>
      <w:r>
        <w:rPr>
          <w:rFonts w:hint="eastAsia" w:ascii="宋体" w:hAnsi="宋体" w:cs="宋体"/>
          <w:b/>
          <w:color w:val="auto"/>
          <w:sz w:val="24"/>
        </w:rPr>
        <w:t>10.1  合同进度计划</w:t>
      </w:r>
    </w:p>
    <w:p w14:paraId="40635A2C">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lang w:eastAsia="zh-CN"/>
        </w:rPr>
        <w:t>乙方</w:t>
      </w:r>
      <w:r>
        <w:rPr>
          <w:rFonts w:hint="eastAsia" w:ascii="宋体" w:hAnsi="宋体" w:cs="宋体"/>
          <w:color w:val="auto"/>
          <w:sz w:val="24"/>
        </w:rPr>
        <w:t>编制施工方案的内容：</w:t>
      </w:r>
      <w:r>
        <w:rPr>
          <w:rFonts w:hint="eastAsia" w:ascii="宋体" w:hAnsi="宋体" w:cs="宋体"/>
          <w:color w:val="auto"/>
          <w:sz w:val="24"/>
          <w:lang w:eastAsia="zh-CN"/>
        </w:rPr>
        <w:t>乙方</w:t>
      </w:r>
      <w:r>
        <w:rPr>
          <w:rFonts w:hint="eastAsia" w:ascii="宋体" w:hAnsi="宋体" w:cs="宋体"/>
          <w:color w:val="auto"/>
          <w:sz w:val="24"/>
        </w:rPr>
        <w:t>应在签订合同协议书后7天内，向监理人提交2份其格式和内容符合监理人规定的工程进度计划，以及为完成该计划而建议采用的实施性的施工安排和施工方案的说明。监理人应在收到该计划后7天内审查同意或提出修改意见，否则该进度计划视为已得到批准。经监理人批准的施工进度计划称为合同进度计划，是控制合同工程进度的依据。工程进度计划应按照关键线路网络图和主要工作横道图两种形式分别绘制，并应包括每月预计完成的工作量和形象进度。</w:t>
      </w:r>
    </w:p>
    <w:p w14:paraId="550BF581">
      <w:pPr>
        <w:tabs>
          <w:tab w:val="left" w:pos="1080"/>
        </w:tabs>
        <w:spacing w:line="360" w:lineRule="auto"/>
        <w:ind w:firstLine="482" w:firstLineChars="200"/>
        <w:rPr>
          <w:rFonts w:hint="eastAsia" w:ascii="宋体" w:hAnsi="宋体" w:cs="宋体"/>
          <w:b/>
          <w:color w:val="auto"/>
          <w:sz w:val="24"/>
        </w:rPr>
      </w:pPr>
      <w:r>
        <w:rPr>
          <w:rFonts w:hint="eastAsia" w:ascii="宋体" w:hAnsi="宋体" w:cs="宋体"/>
          <w:b/>
          <w:color w:val="auto"/>
          <w:sz w:val="24"/>
        </w:rPr>
        <w:t>11.4  异常恶劣的气候条件</w:t>
      </w:r>
    </w:p>
    <w:p w14:paraId="2D30CD6F">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异常恶劣的气候条件的范围：对本项目而言，指发生烈度7度（含7度）以上地震、龙卷风、施工场地受淹超过业主提供的设计图纸指明的设计洪水水位引起的延误的情况。</w:t>
      </w:r>
      <w:bookmarkStart w:id="117" w:name="_Toc385244326"/>
    </w:p>
    <w:p w14:paraId="56FE041B">
      <w:pPr>
        <w:tabs>
          <w:tab w:val="left" w:pos="1080"/>
        </w:tabs>
        <w:spacing w:line="360" w:lineRule="auto"/>
        <w:ind w:firstLine="482" w:firstLineChars="200"/>
        <w:rPr>
          <w:rFonts w:hint="eastAsia" w:ascii="宋体" w:hAnsi="宋体" w:cs="宋体"/>
          <w:b/>
          <w:color w:val="auto"/>
          <w:sz w:val="24"/>
        </w:rPr>
      </w:pPr>
      <w:r>
        <w:rPr>
          <w:rFonts w:hint="eastAsia" w:ascii="宋体" w:hAnsi="宋体" w:cs="宋体"/>
          <w:b/>
          <w:color w:val="auto"/>
          <w:sz w:val="24"/>
        </w:rPr>
        <w:t>（增加）11.8 其它进度要求</w:t>
      </w:r>
      <w:bookmarkEnd w:id="117"/>
    </w:p>
    <w:p w14:paraId="6865166E">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lang w:eastAsia="zh-CN"/>
        </w:rPr>
        <w:t>乙方</w:t>
      </w:r>
      <w:r>
        <w:rPr>
          <w:rFonts w:hint="eastAsia" w:ascii="宋体" w:hAnsi="宋体" w:cs="宋体"/>
          <w:color w:val="auto"/>
          <w:sz w:val="24"/>
        </w:rPr>
        <w:t>应加强工程进度计划管理，努力实现均衡组织施工的目标。</w:t>
      </w:r>
    </w:p>
    <w:p w14:paraId="7DA16DCB">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a  旧路改建工程或施工影响原有道路交通的，应根据施工必须保证交通通畅的特点，科学合理安排施工时间，采取妥当的施工方法，避免在雨季破坏旧路利用新路基维持交通，对破坏旧路的路段应及时安排路面施工，确保不影响道路交通畅通。</w:t>
      </w:r>
    </w:p>
    <w:p w14:paraId="67D5DEE1">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b  路面碎石材料的采备应与路基施工进度同步，以保证路面施工进度。</w:t>
      </w:r>
    </w:p>
    <w:p w14:paraId="199CD9E3">
      <w:pPr>
        <w:tabs>
          <w:tab w:val="left" w:pos="1080"/>
        </w:tabs>
        <w:spacing w:line="360" w:lineRule="auto"/>
        <w:ind w:firstLine="480" w:firstLineChars="200"/>
        <w:rPr>
          <w:rFonts w:hint="eastAsia" w:ascii="宋体" w:hAnsi="宋体" w:cs="宋体"/>
          <w:color w:val="auto"/>
          <w:sz w:val="24"/>
          <w:u w:val="single"/>
        </w:rPr>
      </w:pPr>
      <w:r>
        <w:rPr>
          <w:rFonts w:hint="eastAsia" w:ascii="宋体" w:hAnsi="宋体" w:cs="宋体"/>
          <w:color w:val="auto"/>
          <w:sz w:val="24"/>
        </w:rPr>
        <w:t>c  桥梁、主要涵洞、高大支挡结构、旧路改建（破坏旧路路面）的路面等关键工程及分项应有独立详细的施工组织设计，并采取措施确保落实。</w:t>
      </w:r>
    </w:p>
    <w:p w14:paraId="3ADD8613">
      <w:pPr>
        <w:tabs>
          <w:tab w:val="left" w:pos="1080"/>
        </w:tabs>
        <w:spacing w:line="360" w:lineRule="auto"/>
        <w:ind w:firstLine="482" w:firstLineChars="200"/>
        <w:rPr>
          <w:rFonts w:hint="eastAsia" w:ascii="宋体" w:hAnsi="宋体" w:cs="宋体"/>
          <w:b/>
          <w:color w:val="auto"/>
          <w:sz w:val="24"/>
        </w:rPr>
      </w:pPr>
      <w:bookmarkStart w:id="118" w:name="_Toc152045743"/>
      <w:bookmarkStart w:id="119" w:name="_Toc152042522"/>
      <w:bookmarkStart w:id="120" w:name="_Toc179632761"/>
      <w:bookmarkStart w:id="121" w:name="_Toc144974714"/>
      <w:r>
        <w:rPr>
          <w:rFonts w:hint="eastAsia" w:ascii="宋体" w:hAnsi="宋体" w:cs="宋体"/>
          <w:b/>
          <w:color w:val="auto"/>
          <w:sz w:val="24"/>
        </w:rPr>
        <w:t xml:space="preserve">13.3  </w:t>
      </w:r>
      <w:r>
        <w:rPr>
          <w:rFonts w:hint="eastAsia" w:ascii="宋体" w:hAnsi="宋体" w:cs="宋体"/>
          <w:b/>
          <w:color w:val="auto"/>
          <w:sz w:val="24"/>
          <w:lang w:eastAsia="zh-CN"/>
        </w:rPr>
        <w:t>乙方</w:t>
      </w:r>
      <w:r>
        <w:rPr>
          <w:rFonts w:hint="eastAsia" w:ascii="宋体" w:hAnsi="宋体" w:cs="宋体"/>
          <w:b/>
          <w:color w:val="auto"/>
          <w:sz w:val="24"/>
        </w:rPr>
        <w:t>的质量检查</w:t>
      </w:r>
    </w:p>
    <w:p w14:paraId="122FAAC2">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增加内容：</w:t>
      </w:r>
    </w:p>
    <w:p w14:paraId="41ECCF65">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（1）落实质量责任制和质量保证体系</w:t>
      </w:r>
    </w:p>
    <w:p w14:paraId="21020FAD">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分项施工现场应实行标示牌管理，写明作业内容、项目质量管理责任人（施工作业管理专业工程师、试验、测量、质检工程师、总工、项目经理及监理工程师及现场监理）和质量管理举报电话； </w:t>
      </w:r>
    </w:p>
    <w:p w14:paraId="681D229E">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（2）认真执行三检制度：</w:t>
      </w:r>
    </w:p>
    <w:p w14:paraId="52586C49">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施工作业管理的专业工程师在测量、试验工程师配合下完成施工自检并作施工记录（工艺及原材料使用等）；</w:t>
      </w:r>
    </w:p>
    <w:p w14:paraId="1EFE72CB">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质检工程师在测量、试验工程师配合下加强中间质量检测，严格控制工序质量，及时完成工序、分项完工检验并提交质量检验记录，收集工序、分项资料与检验申请经项目总工签认后报送监理工程师。</w:t>
      </w:r>
    </w:p>
    <w:p w14:paraId="366DDCCE">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试验、测量工程师根据施工质检需要完成试验与测量作业并及时交检验结果报告专业工程师、质检工程师。</w:t>
      </w:r>
    </w:p>
    <w:p w14:paraId="56CC9816">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为保证质量责任制的落实，必须做到</w:t>
      </w:r>
      <w:r>
        <w:rPr>
          <w:rFonts w:hint="eastAsia" w:ascii="宋体" w:hAnsi="宋体" w:cs="宋体"/>
          <w:b/>
          <w:color w:val="auto"/>
          <w:sz w:val="24"/>
        </w:rPr>
        <w:t>“三个到位”、“三个同时”</w:t>
      </w:r>
      <w:r>
        <w:rPr>
          <w:rFonts w:hint="eastAsia" w:ascii="宋体" w:hAnsi="宋体" w:cs="宋体"/>
          <w:color w:val="auto"/>
          <w:sz w:val="24"/>
        </w:rPr>
        <w:t>，即：质量管理人员到位，检测工具到位，记录表格到位；施工作业与专业工程师质量检查、检验同时，</w:t>
      </w:r>
      <w:r>
        <w:rPr>
          <w:rFonts w:hint="eastAsia" w:ascii="宋体" w:hAnsi="宋体" w:cs="宋体"/>
          <w:color w:val="auto"/>
          <w:sz w:val="24"/>
          <w:lang w:eastAsia="zh-CN"/>
        </w:rPr>
        <w:t>乙方</w:t>
      </w:r>
      <w:r>
        <w:rPr>
          <w:rFonts w:hint="eastAsia" w:ascii="宋体" w:hAnsi="宋体" w:cs="宋体"/>
          <w:color w:val="auto"/>
          <w:sz w:val="24"/>
        </w:rPr>
        <w:t>质量检验工程师、监理的检验与施工作业同时，检查、检验与记录同时。</w:t>
      </w:r>
    </w:p>
    <w:p w14:paraId="4A8C92BB">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(3)质量管理记录的原始记录包括作业记录、测量记录、试验记录、检验记录及验收记录，地基、基础、填挖交界碾压，墙台背回填等隐蔽工程</w:t>
      </w:r>
      <w:r>
        <w:rPr>
          <w:rFonts w:hint="eastAsia" w:ascii="宋体" w:hAnsi="宋体" w:cs="宋体"/>
          <w:b/>
          <w:color w:val="auto"/>
          <w:sz w:val="24"/>
        </w:rPr>
        <w:t>应摄像或照相作为现场记录保存</w:t>
      </w:r>
      <w:r>
        <w:rPr>
          <w:rFonts w:hint="eastAsia" w:ascii="宋体" w:hAnsi="宋体" w:cs="宋体"/>
          <w:color w:val="auto"/>
          <w:sz w:val="24"/>
        </w:rPr>
        <w:t>。</w:t>
      </w:r>
    </w:p>
    <w:p w14:paraId="58730606">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(4)加强对质量通病的预防与治理，减少工程质量隐患。</w:t>
      </w:r>
    </w:p>
    <w:p w14:paraId="7749DD82">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(5)质量管理目标：</w:t>
      </w:r>
      <w:r>
        <w:rPr>
          <w:rFonts w:hint="eastAsia" w:ascii="宋体" w:hAnsi="宋体" w:cs="宋体"/>
          <w:b/>
          <w:color w:val="auto"/>
          <w:sz w:val="24"/>
        </w:rPr>
        <w:t>竣工验收质量优良。</w:t>
      </w:r>
    </w:p>
    <w:p w14:paraId="78CE4221">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（6）</w:t>
      </w:r>
      <w:r>
        <w:rPr>
          <w:rFonts w:hint="eastAsia" w:ascii="宋体" w:hAnsi="宋体" w:cs="宋体"/>
          <w:color w:val="auto"/>
          <w:sz w:val="24"/>
          <w:lang w:eastAsia="zh-CN"/>
        </w:rPr>
        <w:t>乙方</w:t>
      </w:r>
      <w:r>
        <w:rPr>
          <w:rFonts w:hint="eastAsia" w:ascii="宋体" w:hAnsi="宋体" w:cs="宋体"/>
          <w:color w:val="auto"/>
          <w:sz w:val="24"/>
        </w:rPr>
        <w:t>应加强工程进度计划管理，努力实现均衡组织施工的目标。</w:t>
      </w:r>
    </w:p>
    <w:p w14:paraId="7DFB7008">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a  旧路改建工程或施工影响原有道路交通的，应根据施工必须保证交通通畅的特点，科学合理安排施工时间，采取妥当的施工方法，避免在雨季破坏旧路利用新路基维持交通，对破坏旧路的路段应及时安排路面施工，确保不影响道路交通畅通。</w:t>
      </w:r>
    </w:p>
    <w:p w14:paraId="79685F3D">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b  路面碎石材料的采备至少应与路基施工进度同步。</w:t>
      </w:r>
    </w:p>
    <w:p w14:paraId="75E0C2B6">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c  桥梁、主要涵洞、高大支挡结构、旧路改建（破坏旧路路面）的路面等关键工程及分项应有独立详细的施工组织设计，并采取措施确保落实。</w:t>
      </w:r>
    </w:p>
    <w:p w14:paraId="31C10B23">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(7) </w:t>
      </w:r>
      <w:r>
        <w:rPr>
          <w:rFonts w:hint="eastAsia" w:ascii="宋体" w:hAnsi="宋体" w:cs="宋体"/>
          <w:color w:val="auto"/>
          <w:sz w:val="24"/>
          <w:lang w:eastAsia="zh-CN"/>
        </w:rPr>
        <w:t>乙方</w:t>
      </w:r>
      <w:r>
        <w:rPr>
          <w:rFonts w:hint="eastAsia" w:ascii="宋体" w:hAnsi="宋体" w:cs="宋体"/>
          <w:color w:val="auto"/>
          <w:sz w:val="24"/>
        </w:rPr>
        <w:t>应加强文明施工，保障道路通畅的管理</w:t>
      </w:r>
    </w:p>
    <w:p w14:paraId="5464AF75">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a  </w:t>
      </w:r>
      <w:r>
        <w:rPr>
          <w:rFonts w:hint="eastAsia" w:ascii="宋体" w:hAnsi="宋体" w:cs="宋体"/>
          <w:color w:val="auto"/>
          <w:sz w:val="24"/>
          <w:lang w:eastAsia="zh-CN"/>
        </w:rPr>
        <w:t>乙方</w:t>
      </w:r>
      <w:r>
        <w:rPr>
          <w:rFonts w:hint="eastAsia" w:ascii="宋体" w:hAnsi="宋体" w:cs="宋体"/>
          <w:color w:val="auto"/>
          <w:sz w:val="24"/>
        </w:rPr>
        <w:t>在施工期内应按国家、交通主管部门与公路管理机构文明施工，保障畅通的有关规定组织施工，对出现的交通堵塞无条件地采取措施进行疏通。</w:t>
      </w:r>
    </w:p>
    <w:p w14:paraId="2B75EDE3">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b 旧路改建工程项目</w:t>
      </w:r>
    </w:p>
    <w:p w14:paraId="23AB22A1">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(i)破坏旧路必须作出交通维持与恢复路面通行条件方案并必须取得监理工程师与业主的批准，未经批准进行旧路开挖与填筑的，业主和监理工程师有权责令停工，并由</w:t>
      </w:r>
      <w:r>
        <w:rPr>
          <w:rFonts w:hint="eastAsia" w:ascii="宋体" w:hAnsi="宋体" w:cs="宋体"/>
          <w:color w:val="auto"/>
          <w:sz w:val="24"/>
          <w:lang w:eastAsia="zh-CN"/>
        </w:rPr>
        <w:t>乙方</w:t>
      </w:r>
      <w:r>
        <w:rPr>
          <w:rFonts w:hint="eastAsia" w:ascii="宋体" w:hAnsi="宋体" w:cs="宋体"/>
          <w:color w:val="auto"/>
          <w:sz w:val="24"/>
        </w:rPr>
        <w:t>恢复原良好的通车条件，并需承担一切费用。</w:t>
      </w:r>
    </w:p>
    <w:p w14:paraId="767245F2">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(ii)不得在道路上堆放材料或占道施工影响交通。</w:t>
      </w:r>
    </w:p>
    <w:p w14:paraId="78CCF4BD">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路基、路面施工应避免出现晴天扬尘，雨天打滑影响安全与交通和影响群众生活、生产的现象。维持交通的路基施工应保证表面平整，保证通畅。</w:t>
      </w:r>
    </w:p>
    <w:p w14:paraId="71ACFF73">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(8) </w:t>
      </w:r>
      <w:r>
        <w:rPr>
          <w:rFonts w:hint="eastAsia" w:ascii="宋体" w:hAnsi="宋体" w:cs="宋体"/>
          <w:color w:val="auto"/>
          <w:sz w:val="24"/>
          <w:lang w:eastAsia="zh-CN"/>
        </w:rPr>
        <w:t>乙方</w:t>
      </w:r>
      <w:r>
        <w:rPr>
          <w:rFonts w:hint="eastAsia" w:ascii="宋体" w:hAnsi="宋体" w:cs="宋体"/>
          <w:color w:val="auto"/>
          <w:sz w:val="24"/>
        </w:rPr>
        <w:t>应自觉接受交通主管部门、质量监督单位、公路管理机构的监督，对指出的问题进行认真的整改，及时报告处理结果。</w:t>
      </w:r>
    </w:p>
    <w:p w14:paraId="2B91492E">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在整个施工过程中，监理工程师、业主对</w:t>
      </w:r>
      <w:r>
        <w:rPr>
          <w:rFonts w:hint="eastAsia" w:ascii="宋体" w:hAnsi="宋体" w:cs="宋体"/>
          <w:color w:val="auto"/>
          <w:sz w:val="24"/>
          <w:lang w:eastAsia="zh-CN"/>
        </w:rPr>
        <w:t>乙方</w:t>
      </w:r>
      <w:r>
        <w:rPr>
          <w:rFonts w:hint="eastAsia" w:ascii="宋体" w:hAnsi="宋体" w:cs="宋体"/>
          <w:color w:val="auto"/>
          <w:sz w:val="24"/>
        </w:rPr>
        <w:t>履行责任有权进行监督，并向</w:t>
      </w:r>
      <w:r>
        <w:rPr>
          <w:rFonts w:hint="eastAsia" w:ascii="宋体" w:hAnsi="宋体" w:cs="宋体"/>
          <w:color w:val="auto"/>
          <w:sz w:val="24"/>
          <w:lang w:eastAsia="zh-CN"/>
        </w:rPr>
        <w:t>乙方</w:t>
      </w:r>
      <w:r>
        <w:rPr>
          <w:rFonts w:hint="eastAsia" w:ascii="宋体" w:hAnsi="宋体" w:cs="宋体"/>
          <w:color w:val="auto"/>
          <w:sz w:val="24"/>
        </w:rPr>
        <w:t>提出整改要求。</w:t>
      </w:r>
      <w:r>
        <w:rPr>
          <w:rFonts w:hint="eastAsia" w:ascii="宋体" w:hAnsi="宋体" w:cs="宋体"/>
          <w:color w:val="auto"/>
          <w:sz w:val="24"/>
          <w:lang w:eastAsia="zh-CN"/>
        </w:rPr>
        <w:t>乙方</w:t>
      </w:r>
      <w:r>
        <w:rPr>
          <w:rFonts w:hint="eastAsia" w:ascii="宋体" w:hAnsi="宋体" w:cs="宋体"/>
          <w:color w:val="auto"/>
          <w:sz w:val="24"/>
        </w:rPr>
        <w:t>应认真履行责任，执行业主、监理工程师的指令，否则将按第22.1款视为</w:t>
      </w:r>
      <w:r>
        <w:rPr>
          <w:rFonts w:hint="eastAsia" w:ascii="宋体" w:hAnsi="宋体" w:cs="宋体"/>
          <w:color w:val="auto"/>
          <w:sz w:val="24"/>
          <w:lang w:eastAsia="zh-CN"/>
        </w:rPr>
        <w:t>乙方</w:t>
      </w:r>
      <w:r>
        <w:rPr>
          <w:rFonts w:hint="eastAsia" w:ascii="宋体" w:hAnsi="宋体" w:cs="宋体"/>
          <w:color w:val="auto"/>
          <w:sz w:val="24"/>
        </w:rPr>
        <w:t>违约。</w:t>
      </w:r>
      <w:bookmarkStart w:id="122" w:name="_Toc385244329"/>
    </w:p>
    <w:p w14:paraId="54905D34">
      <w:pPr>
        <w:tabs>
          <w:tab w:val="left" w:pos="1080"/>
        </w:tabs>
        <w:spacing w:line="360" w:lineRule="auto"/>
        <w:ind w:firstLine="482" w:firstLineChars="200"/>
        <w:rPr>
          <w:rFonts w:hint="eastAsia" w:ascii="宋体" w:hAnsi="宋体" w:cs="宋体"/>
          <w:b/>
          <w:color w:val="auto"/>
          <w:sz w:val="24"/>
        </w:rPr>
      </w:pPr>
      <w:r>
        <w:rPr>
          <w:rFonts w:hint="eastAsia" w:ascii="宋体" w:hAnsi="宋体" w:cs="宋体"/>
          <w:b/>
          <w:color w:val="auto"/>
          <w:sz w:val="24"/>
        </w:rPr>
        <w:t>13.5工程隐蔽部位覆盖前的检查</w:t>
      </w:r>
      <w:bookmarkEnd w:id="122"/>
    </w:p>
    <w:p w14:paraId="58D0BA95">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（增加）13.5.1项补充：</w:t>
      </w:r>
    </w:p>
    <w:p w14:paraId="168F32C9">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隐蔽部位覆盖前应经监理人检查确认,分阶段(工序)进行拍摄或照相,并向监理人提供相关影像相片等书面资料作为计量支付的依据，否则不应给予计量。</w:t>
      </w:r>
    </w:p>
    <w:p w14:paraId="2A0F4151">
      <w:pPr>
        <w:tabs>
          <w:tab w:val="left" w:pos="1080"/>
        </w:tabs>
        <w:spacing w:line="360" w:lineRule="auto"/>
        <w:ind w:firstLine="482" w:firstLineChars="200"/>
        <w:rPr>
          <w:rFonts w:hint="eastAsia" w:ascii="宋体" w:hAnsi="宋体" w:cs="宋体"/>
          <w:b/>
          <w:color w:val="auto"/>
          <w:sz w:val="24"/>
        </w:rPr>
      </w:pPr>
      <w:r>
        <w:rPr>
          <w:rFonts w:hint="eastAsia" w:ascii="宋体" w:hAnsi="宋体" w:cs="宋体"/>
          <w:b/>
          <w:color w:val="auto"/>
          <w:sz w:val="24"/>
        </w:rPr>
        <w:t>15.3 变更</w:t>
      </w:r>
    </w:p>
    <w:p w14:paraId="19962A07">
      <w:pPr>
        <w:spacing w:line="360" w:lineRule="auto"/>
        <w:ind w:firstLine="480" w:firstLineChars="200"/>
        <w:rPr>
          <w:rFonts w:hint="eastAsia" w:ascii="宋体" w:hAnsi="宋体" w:cs="宋体"/>
          <w:color w:val="auto"/>
          <w:sz w:val="24"/>
        </w:rPr>
      </w:pPr>
      <w:r>
        <w:rPr>
          <w:rFonts w:hint="eastAsia" w:ascii="宋体" w:hAnsi="宋体" w:cs="宋体"/>
          <w:color w:val="auto"/>
          <w:sz w:val="24"/>
        </w:rPr>
        <w:t>（增加）15.3.5 设计变更涉及到隐蔽工程的工程变更报告除附规定的相关资料外，还必须附上变更项目工程照片。</w:t>
      </w:r>
    </w:p>
    <w:p w14:paraId="6FB4D500">
      <w:pPr>
        <w:spacing w:line="360" w:lineRule="auto"/>
        <w:ind w:firstLine="480" w:firstLineChars="200"/>
        <w:rPr>
          <w:rFonts w:hint="eastAsia" w:ascii="宋体" w:hAnsi="宋体" w:cs="宋体"/>
          <w:color w:val="auto"/>
          <w:sz w:val="24"/>
        </w:rPr>
      </w:pPr>
      <w:r>
        <w:rPr>
          <w:rFonts w:hint="eastAsia" w:ascii="宋体" w:hAnsi="宋体" w:cs="宋体"/>
          <w:color w:val="auto"/>
          <w:sz w:val="24"/>
        </w:rPr>
        <w:t>（增加）15.3.6设计变更应符合《龙州县人民政府办公室关于印发龙州县政府性投资建设项目</w:t>
      </w:r>
      <w:r>
        <w:rPr>
          <w:rFonts w:hint="eastAsia" w:ascii="宋体" w:hAnsi="宋体" w:cs="宋体"/>
          <w:color w:val="auto"/>
          <w:sz w:val="24"/>
          <w:lang w:eastAsia="zh-CN"/>
        </w:rPr>
        <w:t>管理暂行办法</w:t>
      </w:r>
      <w:r>
        <w:rPr>
          <w:rFonts w:hint="eastAsia" w:ascii="宋体" w:hAnsi="宋体" w:cs="宋体"/>
          <w:color w:val="auto"/>
          <w:sz w:val="24"/>
        </w:rPr>
        <w:t>的通知》（龙政办发〔20</w:t>
      </w:r>
      <w:r>
        <w:rPr>
          <w:rFonts w:hint="eastAsia" w:ascii="宋体" w:hAnsi="宋体" w:cs="宋体"/>
          <w:color w:val="auto"/>
          <w:sz w:val="24"/>
          <w:lang w:val="en-US" w:eastAsia="zh-CN"/>
        </w:rPr>
        <w:t>23</w:t>
      </w:r>
      <w:r>
        <w:rPr>
          <w:rFonts w:hint="eastAsia" w:ascii="宋体" w:hAnsi="宋体" w:cs="宋体"/>
          <w:color w:val="auto"/>
          <w:sz w:val="24"/>
        </w:rPr>
        <w:t>〕</w:t>
      </w:r>
      <w:r>
        <w:rPr>
          <w:rFonts w:hint="eastAsia" w:ascii="宋体" w:hAnsi="宋体" w:cs="宋体"/>
          <w:color w:val="auto"/>
          <w:sz w:val="24"/>
          <w:lang w:val="en-US" w:eastAsia="zh-CN"/>
        </w:rPr>
        <w:t>4</w:t>
      </w:r>
      <w:r>
        <w:rPr>
          <w:rFonts w:hint="eastAsia" w:ascii="宋体" w:hAnsi="宋体" w:cs="宋体"/>
          <w:color w:val="auto"/>
          <w:sz w:val="24"/>
        </w:rPr>
        <w:t>号）文件要求。</w:t>
      </w:r>
    </w:p>
    <w:p w14:paraId="1C0FC0C2">
      <w:pPr>
        <w:tabs>
          <w:tab w:val="left" w:pos="1080"/>
        </w:tabs>
        <w:spacing w:line="360" w:lineRule="auto"/>
        <w:ind w:firstLine="482" w:firstLineChars="200"/>
        <w:rPr>
          <w:rFonts w:hint="eastAsia" w:ascii="宋体" w:hAnsi="宋体" w:cs="宋体"/>
          <w:color w:val="auto"/>
          <w:sz w:val="24"/>
        </w:rPr>
      </w:pPr>
      <w:r>
        <w:rPr>
          <w:rFonts w:hint="eastAsia" w:ascii="宋体" w:hAnsi="宋体" w:cs="宋体"/>
          <w:b/>
          <w:color w:val="auto"/>
          <w:sz w:val="24"/>
        </w:rPr>
        <w:t>17.3.3项后补充：</w:t>
      </w:r>
      <w:r>
        <w:rPr>
          <w:rFonts w:hint="eastAsia" w:ascii="宋体" w:hAnsi="宋体" w:cs="宋体"/>
          <w:color w:val="auto"/>
          <w:sz w:val="24"/>
        </w:rPr>
        <w:t>中期支付金额应符合《龙州县人民政府办公室关于印发龙州县政府性投资建设项目</w:t>
      </w:r>
      <w:r>
        <w:rPr>
          <w:rFonts w:hint="eastAsia" w:ascii="宋体" w:hAnsi="宋体" w:cs="宋体"/>
          <w:color w:val="auto"/>
          <w:sz w:val="24"/>
          <w:lang w:eastAsia="zh-CN"/>
        </w:rPr>
        <w:t>管理暂行办法</w:t>
      </w:r>
      <w:r>
        <w:rPr>
          <w:rFonts w:hint="eastAsia" w:ascii="宋体" w:hAnsi="宋体" w:cs="宋体"/>
          <w:color w:val="auto"/>
          <w:sz w:val="24"/>
        </w:rPr>
        <w:t>的通知》（龙政办发〔20</w:t>
      </w:r>
      <w:r>
        <w:rPr>
          <w:rFonts w:hint="eastAsia" w:ascii="宋体" w:hAnsi="宋体" w:cs="宋体"/>
          <w:color w:val="auto"/>
          <w:sz w:val="24"/>
          <w:lang w:val="en-US" w:eastAsia="zh-CN"/>
        </w:rPr>
        <w:t>23</w:t>
      </w:r>
      <w:r>
        <w:rPr>
          <w:rFonts w:hint="eastAsia" w:ascii="宋体" w:hAnsi="宋体" w:cs="宋体"/>
          <w:color w:val="auto"/>
          <w:sz w:val="24"/>
        </w:rPr>
        <w:t>〕</w:t>
      </w:r>
      <w:r>
        <w:rPr>
          <w:rFonts w:hint="eastAsia" w:ascii="宋体" w:hAnsi="宋体" w:cs="宋体"/>
          <w:color w:val="auto"/>
          <w:sz w:val="24"/>
          <w:lang w:val="en-US" w:eastAsia="zh-CN"/>
        </w:rPr>
        <w:t>4</w:t>
      </w:r>
      <w:r>
        <w:rPr>
          <w:rFonts w:hint="eastAsia" w:ascii="宋体" w:hAnsi="宋体" w:cs="宋体"/>
          <w:color w:val="auto"/>
          <w:sz w:val="24"/>
        </w:rPr>
        <w:t>号）文件要求，为当期计量金额扣除20%（含工程质量保证金、农民工工资保证金）后，缴纳相关税金后到财务股办理支付手续。</w:t>
      </w:r>
    </w:p>
    <w:p w14:paraId="0F683E09">
      <w:pPr>
        <w:spacing w:line="360" w:lineRule="auto"/>
        <w:ind w:firstLine="482" w:firstLineChars="200"/>
        <w:rPr>
          <w:rFonts w:hint="eastAsia" w:ascii="宋体" w:hAnsi="宋体" w:cs="宋体"/>
          <w:color w:val="auto"/>
          <w:sz w:val="24"/>
        </w:rPr>
      </w:pPr>
      <w:r>
        <w:rPr>
          <w:rFonts w:hint="eastAsia" w:ascii="宋体" w:hAnsi="宋体" w:cs="宋体"/>
          <w:b/>
          <w:color w:val="auto"/>
          <w:sz w:val="24"/>
        </w:rPr>
        <w:t>17.4.1项后补充：</w:t>
      </w:r>
      <w:r>
        <w:rPr>
          <w:rFonts w:hint="eastAsia" w:ascii="宋体" w:hAnsi="宋体" w:cs="宋体"/>
          <w:b/>
          <w:color w:val="auto"/>
          <w:sz w:val="24"/>
          <w:lang w:eastAsia="zh-CN"/>
        </w:rPr>
        <w:t>乙方</w:t>
      </w:r>
      <w:r>
        <w:rPr>
          <w:rFonts w:hint="eastAsia" w:ascii="宋体" w:hAnsi="宋体" w:cs="宋体"/>
          <w:b/>
          <w:color w:val="auto"/>
          <w:sz w:val="24"/>
        </w:rPr>
        <w:t>也可选择递交银行保函形式对工程质量进行担保。</w:t>
      </w:r>
      <w:r>
        <w:rPr>
          <w:rFonts w:hint="eastAsia" w:ascii="宋体" w:hAnsi="宋体" w:cs="宋体"/>
          <w:color w:val="auto"/>
          <w:sz w:val="24"/>
        </w:rPr>
        <w:t>质量保证金银行保函的要求：</w:t>
      </w:r>
    </w:p>
    <w:p w14:paraId="5B82600F">
      <w:pPr>
        <w:spacing w:line="360" w:lineRule="auto"/>
        <w:ind w:firstLine="480" w:firstLineChars="200"/>
        <w:rPr>
          <w:rFonts w:hint="eastAsia" w:ascii="宋体" w:hAnsi="宋体" w:cs="宋体"/>
          <w:color w:val="auto"/>
          <w:sz w:val="24"/>
        </w:rPr>
      </w:pPr>
      <w:r>
        <w:rPr>
          <w:rFonts w:hint="eastAsia" w:ascii="宋体" w:hAnsi="宋体" w:cs="宋体"/>
          <w:color w:val="auto"/>
          <w:sz w:val="24"/>
        </w:rPr>
        <w:t>a、担保金额为中标金额的3%；</w:t>
      </w:r>
    </w:p>
    <w:p w14:paraId="79AB5689">
      <w:pPr>
        <w:spacing w:line="360" w:lineRule="auto"/>
        <w:ind w:firstLine="480" w:firstLineChars="200"/>
        <w:rPr>
          <w:rFonts w:hint="eastAsia" w:ascii="宋体" w:hAnsi="宋体" w:cs="宋体"/>
          <w:color w:val="auto"/>
          <w:sz w:val="24"/>
        </w:rPr>
      </w:pPr>
      <w:r>
        <w:rPr>
          <w:rFonts w:hint="eastAsia" w:ascii="宋体" w:hAnsi="宋体" w:cs="宋体"/>
          <w:color w:val="auto"/>
          <w:sz w:val="24"/>
        </w:rPr>
        <w:t>b、一次性全额开具；</w:t>
      </w:r>
    </w:p>
    <w:p w14:paraId="798CF73C">
      <w:pPr>
        <w:spacing w:line="360" w:lineRule="auto"/>
        <w:ind w:firstLine="480" w:firstLineChars="200"/>
        <w:rPr>
          <w:rFonts w:hint="eastAsia" w:ascii="宋体" w:hAnsi="宋体" w:cs="宋体"/>
          <w:color w:val="auto"/>
          <w:sz w:val="24"/>
        </w:rPr>
      </w:pPr>
      <w:r>
        <w:rPr>
          <w:rFonts w:hint="eastAsia" w:ascii="宋体" w:hAnsi="宋体" w:cs="宋体"/>
          <w:color w:val="auto"/>
          <w:sz w:val="24"/>
        </w:rPr>
        <w:t>c、出具质量保证金保函的银行：采用银行保函时，出具履约担保的银行级别为：中国银行、中国农业银行、中国工商银行、中国建设银行、交通银行五大银行的全国性的地市级分行（支行）及以上级别银行，且开具前须报</w:t>
      </w:r>
      <w:r>
        <w:rPr>
          <w:rFonts w:hint="eastAsia" w:ascii="宋体" w:hAnsi="宋体" w:cs="宋体"/>
          <w:color w:val="auto"/>
          <w:sz w:val="24"/>
          <w:lang w:eastAsia="zh-CN"/>
        </w:rPr>
        <w:t>甲方</w:t>
      </w:r>
      <w:r>
        <w:rPr>
          <w:rFonts w:hint="eastAsia" w:ascii="宋体" w:hAnsi="宋体" w:cs="宋体"/>
          <w:color w:val="auto"/>
          <w:sz w:val="24"/>
        </w:rPr>
        <w:t>核准；</w:t>
      </w:r>
    </w:p>
    <w:p w14:paraId="453C1B91">
      <w:pPr>
        <w:spacing w:line="360" w:lineRule="auto"/>
        <w:ind w:firstLine="480" w:firstLineChars="200"/>
        <w:rPr>
          <w:rFonts w:hint="eastAsia" w:ascii="宋体" w:hAnsi="宋体" w:cs="宋体"/>
          <w:color w:val="auto"/>
          <w:sz w:val="24"/>
        </w:rPr>
      </w:pPr>
      <w:r>
        <w:rPr>
          <w:rFonts w:hint="eastAsia" w:ascii="宋体" w:hAnsi="宋体" w:cs="宋体"/>
          <w:color w:val="auto"/>
          <w:sz w:val="24"/>
        </w:rPr>
        <w:t>d、按招标文件提供的格式与内容（附件十）。</w:t>
      </w:r>
    </w:p>
    <w:p w14:paraId="452A9CC5">
      <w:pPr>
        <w:spacing w:line="360" w:lineRule="auto"/>
        <w:ind w:firstLine="480" w:firstLineChars="200"/>
        <w:rPr>
          <w:rFonts w:hint="eastAsia" w:ascii="宋体" w:hAnsi="宋体" w:cs="宋体"/>
          <w:color w:val="auto"/>
          <w:sz w:val="24"/>
        </w:rPr>
      </w:pPr>
      <w:r>
        <w:rPr>
          <w:rFonts w:hint="eastAsia" w:ascii="宋体" w:hAnsi="宋体" w:cs="宋体"/>
          <w:color w:val="auto"/>
          <w:sz w:val="24"/>
        </w:rPr>
        <w:t>如</w:t>
      </w:r>
      <w:r>
        <w:rPr>
          <w:rFonts w:hint="eastAsia" w:ascii="宋体" w:hAnsi="宋体" w:cs="宋体"/>
          <w:color w:val="auto"/>
          <w:sz w:val="24"/>
          <w:lang w:eastAsia="zh-CN"/>
        </w:rPr>
        <w:t>乙方</w:t>
      </w:r>
      <w:r>
        <w:rPr>
          <w:rFonts w:hint="eastAsia" w:ascii="宋体" w:hAnsi="宋体" w:cs="宋体"/>
          <w:color w:val="auto"/>
          <w:sz w:val="24"/>
        </w:rPr>
        <w:t>在第一次工程进度款申请支付时未向</w:t>
      </w:r>
      <w:r>
        <w:rPr>
          <w:rFonts w:hint="eastAsia" w:ascii="宋体" w:hAnsi="宋体" w:cs="宋体"/>
          <w:color w:val="auto"/>
          <w:sz w:val="24"/>
          <w:lang w:eastAsia="zh-CN"/>
        </w:rPr>
        <w:t>甲方</w:t>
      </w:r>
      <w:r>
        <w:rPr>
          <w:rFonts w:hint="eastAsia" w:ascii="宋体" w:hAnsi="宋体" w:cs="宋体"/>
          <w:color w:val="auto"/>
          <w:sz w:val="24"/>
        </w:rPr>
        <w:t>提交质量保证金保函或所提交的保函不符合上述的各点要求之一，</w:t>
      </w:r>
      <w:r>
        <w:rPr>
          <w:rFonts w:hint="eastAsia" w:ascii="宋体" w:hAnsi="宋体" w:cs="宋体"/>
          <w:color w:val="auto"/>
          <w:sz w:val="24"/>
          <w:lang w:eastAsia="zh-CN"/>
        </w:rPr>
        <w:t>甲方</w:t>
      </w:r>
      <w:r>
        <w:rPr>
          <w:rFonts w:hint="eastAsia" w:ascii="宋体" w:hAnsi="宋体" w:cs="宋体"/>
          <w:color w:val="auto"/>
          <w:sz w:val="24"/>
        </w:rPr>
        <w:t>视</w:t>
      </w:r>
      <w:r>
        <w:rPr>
          <w:rFonts w:hint="eastAsia" w:ascii="宋体" w:hAnsi="宋体" w:cs="宋体"/>
          <w:color w:val="auto"/>
          <w:sz w:val="24"/>
          <w:lang w:eastAsia="zh-CN"/>
        </w:rPr>
        <w:t>乙方</w:t>
      </w:r>
      <w:r>
        <w:rPr>
          <w:rFonts w:hint="eastAsia" w:ascii="宋体" w:hAnsi="宋体" w:cs="宋体"/>
          <w:color w:val="auto"/>
          <w:sz w:val="24"/>
        </w:rPr>
        <w:t>选择按进度计量额的10%扣缴方式缴纳质量保证金，无需另外通知</w:t>
      </w:r>
      <w:r>
        <w:rPr>
          <w:rFonts w:hint="eastAsia" w:ascii="宋体" w:hAnsi="宋体" w:cs="宋体"/>
          <w:color w:val="auto"/>
          <w:sz w:val="24"/>
          <w:lang w:eastAsia="zh-CN"/>
        </w:rPr>
        <w:t>乙方</w:t>
      </w:r>
      <w:r>
        <w:rPr>
          <w:rFonts w:hint="eastAsia" w:ascii="宋体" w:hAnsi="宋体" w:cs="宋体"/>
          <w:color w:val="auto"/>
          <w:sz w:val="24"/>
        </w:rPr>
        <w:t>。</w:t>
      </w:r>
    </w:p>
    <w:p w14:paraId="305A159F">
      <w:pPr>
        <w:tabs>
          <w:tab w:val="left" w:pos="1080"/>
        </w:tabs>
        <w:spacing w:line="360" w:lineRule="auto"/>
        <w:ind w:firstLine="480" w:firstLineChars="200"/>
        <w:rPr>
          <w:rFonts w:hint="eastAsia" w:ascii="宋体" w:hAnsi="宋体" w:cs="宋体"/>
          <w:b/>
          <w:color w:val="auto"/>
          <w:sz w:val="24"/>
        </w:rPr>
      </w:pPr>
      <w:r>
        <w:rPr>
          <w:rFonts w:hint="eastAsia" w:ascii="宋体" w:hAnsi="宋体" w:cs="宋体"/>
          <w:color w:val="auto"/>
          <w:sz w:val="24"/>
        </w:rPr>
        <w:t>开具该保函所需费用由</w:t>
      </w:r>
      <w:r>
        <w:rPr>
          <w:rFonts w:hint="eastAsia" w:ascii="宋体" w:hAnsi="宋体" w:cs="宋体"/>
          <w:color w:val="auto"/>
          <w:sz w:val="24"/>
          <w:lang w:eastAsia="zh-CN"/>
        </w:rPr>
        <w:t>乙方</w:t>
      </w:r>
      <w:r>
        <w:rPr>
          <w:rFonts w:hint="eastAsia" w:ascii="宋体" w:hAnsi="宋体" w:cs="宋体"/>
          <w:color w:val="auto"/>
          <w:sz w:val="24"/>
        </w:rPr>
        <w:t>承担。银行保函的正本由</w:t>
      </w:r>
      <w:r>
        <w:rPr>
          <w:rFonts w:hint="eastAsia" w:ascii="宋体" w:hAnsi="宋体" w:cs="宋体"/>
          <w:color w:val="auto"/>
          <w:sz w:val="24"/>
          <w:lang w:eastAsia="zh-CN"/>
        </w:rPr>
        <w:t>甲方</w:t>
      </w:r>
      <w:r>
        <w:rPr>
          <w:rFonts w:hint="eastAsia" w:ascii="宋体" w:hAnsi="宋体" w:cs="宋体"/>
          <w:color w:val="auto"/>
          <w:sz w:val="24"/>
        </w:rPr>
        <w:t>保存，在缺陷责任期满之前一直有效。缺陷责任期满，质量保证金保函原件不予退还</w:t>
      </w:r>
      <w:r>
        <w:rPr>
          <w:rFonts w:hint="eastAsia" w:ascii="宋体" w:hAnsi="宋体" w:cs="宋体"/>
          <w:color w:val="auto"/>
          <w:sz w:val="24"/>
          <w:lang w:eastAsia="zh-CN"/>
        </w:rPr>
        <w:t>乙方</w:t>
      </w:r>
      <w:r>
        <w:rPr>
          <w:rFonts w:hint="eastAsia" w:ascii="宋体" w:hAnsi="宋体" w:cs="宋体"/>
          <w:color w:val="auto"/>
          <w:sz w:val="24"/>
        </w:rPr>
        <w:t>，可由</w:t>
      </w:r>
      <w:r>
        <w:rPr>
          <w:rFonts w:hint="eastAsia" w:ascii="宋体" w:hAnsi="宋体" w:cs="宋体"/>
          <w:color w:val="auto"/>
          <w:sz w:val="24"/>
          <w:lang w:eastAsia="zh-CN"/>
        </w:rPr>
        <w:t>甲方</w:t>
      </w:r>
      <w:r>
        <w:rPr>
          <w:rFonts w:hint="eastAsia" w:ascii="宋体" w:hAnsi="宋体" w:cs="宋体"/>
          <w:color w:val="auto"/>
          <w:sz w:val="24"/>
        </w:rPr>
        <w:t>出具一份失效证明。</w:t>
      </w:r>
    </w:p>
    <w:p w14:paraId="7F842920">
      <w:pPr>
        <w:tabs>
          <w:tab w:val="left" w:pos="1080"/>
        </w:tabs>
        <w:spacing w:line="360" w:lineRule="auto"/>
        <w:ind w:firstLine="482" w:firstLineChars="200"/>
        <w:rPr>
          <w:rFonts w:hint="eastAsia" w:ascii="宋体" w:hAnsi="宋体" w:cs="宋体"/>
          <w:b/>
          <w:color w:val="auto"/>
          <w:sz w:val="24"/>
        </w:rPr>
      </w:pPr>
      <w:r>
        <w:rPr>
          <w:rFonts w:hint="eastAsia" w:ascii="宋体" w:hAnsi="宋体" w:cs="宋体"/>
          <w:b/>
          <w:color w:val="auto"/>
          <w:sz w:val="24"/>
        </w:rPr>
        <w:t>18.9 竣工文件</w:t>
      </w:r>
    </w:p>
    <w:p w14:paraId="7A5CD49F">
      <w:pPr>
        <w:tabs>
          <w:tab w:val="left" w:pos="1080"/>
        </w:tabs>
        <w:spacing w:line="360" w:lineRule="auto"/>
        <w:ind w:firstLine="482" w:firstLineChars="200"/>
        <w:rPr>
          <w:rFonts w:hint="eastAsia" w:ascii="宋体" w:hAnsi="宋体" w:cs="宋体"/>
          <w:color w:val="auto"/>
          <w:sz w:val="24"/>
        </w:rPr>
      </w:pPr>
      <w:r>
        <w:rPr>
          <w:rFonts w:hint="eastAsia" w:ascii="宋体" w:hAnsi="宋体" w:cs="宋体"/>
          <w:b/>
          <w:color w:val="auto"/>
          <w:sz w:val="24"/>
        </w:rPr>
        <w:t xml:space="preserve"> （增加）</w:t>
      </w:r>
      <w:r>
        <w:rPr>
          <w:rFonts w:hint="eastAsia" w:ascii="宋体" w:hAnsi="宋体" w:cs="宋体"/>
          <w:color w:val="auto"/>
          <w:sz w:val="24"/>
        </w:rPr>
        <w:t>工程竣工文件的立卷归档按交通部《关于印发公路建设项目文件材料立卷归档管理办法的通知》（交办发[2010]382号）及《公路工程竣（交）工验收办法实施细则》（交公路发[2010]65号）和广西壮族自治区公路管理局《广西公路网项目公路工程文件材料收集立卷归档及验收实施细则（修订）》（桂路工程发[2014]316号）执行。</w:t>
      </w:r>
    </w:p>
    <w:bookmarkEnd w:id="118"/>
    <w:bookmarkEnd w:id="119"/>
    <w:bookmarkEnd w:id="120"/>
    <w:bookmarkEnd w:id="121"/>
    <w:p w14:paraId="76B282A0">
      <w:pPr>
        <w:tabs>
          <w:tab w:val="left" w:pos="1080"/>
        </w:tabs>
        <w:spacing w:line="360" w:lineRule="auto"/>
        <w:ind w:firstLine="482" w:firstLineChars="200"/>
        <w:rPr>
          <w:rFonts w:hint="eastAsia" w:ascii="宋体" w:hAnsi="宋体" w:cs="宋体"/>
          <w:b/>
          <w:color w:val="auto"/>
          <w:sz w:val="24"/>
        </w:rPr>
      </w:pPr>
      <w:bookmarkStart w:id="123" w:name="_Toc144974715"/>
      <w:bookmarkStart w:id="124" w:name="_Toc152042523"/>
      <w:bookmarkStart w:id="125" w:name="_Toc152045744"/>
      <w:bookmarkStart w:id="126" w:name="_Toc179632762"/>
      <w:r>
        <w:rPr>
          <w:rFonts w:hint="eastAsia" w:ascii="宋体" w:hAnsi="宋体" w:cs="宋体"/>
          <w:b/>
          <w:color w:val="auto"/>
          <w:sz w:val="24"/>
        </w:rPr>
        <w:t>20.2 人员工伤事故的保险</w:t>
      </w:r>
      <w:bookmarkEnd w:id="123"/>
      <w:bookmarkEnd w:id="124"/>
      <w:bookmarkEnd w:id="125"/>
      <w:bookmarkEnd w:id="126"/>
    </w:p>
    <w:p w14:paraId="30D4EFC3">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20.2.1 </w:t>
      </w:r>
      <w:r>
        <w:rPr>
          <w:rFonts w:hint="eastAsia" w:ascii="宋体" w:hAnsi="宋体" w:cs="宋体"/>
          <w:color w:val="auto"/>
          <w:sz w:val="24"/>
          <w:lang w:eastAsia="zh-CN"/>
        </w:rPr>
        <w:t>乙方</w:t>
      </w:r>
      <w:r>
        <w:rPr>
          <w:rFonts w:hint="eastAsia" w:ascii="宋体" w:hAnsi="宋体" w:cs="宋体"/>
          <w:color w:val="auto"/>
          <w:sz w:val="24"/>
        </w:rPr>
        <w:t>员工伤事故的保险</w:t>
      </w:r>
    </w:p>
    <w:p w14:paraId="7F9F6D96">
      <w:pPr>
        <w:tabs>
          <w:tab w:val="left" w:pos="1080"/>
        </w:tabs>
        <w:spacing w:line="360" w:lineRule="auto"/>
        <w:ind w:firstLine="480" w:firstLineChars="200"/>
        <w:rPr>
          <w:rFonts w:hint="eastAsia" w:ascii="宋体" w:hAnsi="宋体" w:cs="宋体"/>
          <w:b/>
          <w:color w:val="auto"/>
          <w:sz w:val="24"/>
        </w:rPr>
      </w:pPr>
      <w:r>
        <w:rPr>
          <w:rFonts w:hint="eastAsia" w:ascii="宋体" w:hAnsi="宋体" w:cs="宋体"/>
          <w:color w:val="auto"/>
          <w:sz w:val="24"/>
        </w:rPr>
        <w:t>增加内容：</w:t>
      </w:r>
    </w:p>
    <w:p w14:paraId="17058FDB">
      <w:pPr>
        <w:autoSpaceDE w:val="0"/>
        <w:autoSpaceDN w:val="0"/>
        <w:adjustRightIn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办理保险的一切费用均由</w:t>
      </w:r>
      <w:r>
        <w:rPr>
          <w:rFonts w:hint="eastAsia" w:ascii="宋体" w:hAnsi="宋体" w:cs="宋体"/>
          <w:color w:val="auto"/>
          <w:kern w:val="0"/>
          <w:sz w:val="24"/>
          <w:lang w:eastAsia="zh-CN"/>
        </w:rPr>
        <w:t>乙方</w:t>
      </w:r>
      <w:r>
        <w:rPr>
          <w:rFonts w:hint="eastAsia" w:ascii="宋体" w:hAnsi="宋体" w:cs="宋体"/>
          <w:color w:val="auto"/>
          <w:kern w:val="0"/>
          <w:sz w:val="24"/>
        </w:rPr>
        <w:t>承担，并包括在工程量清单的单价及总额价中，</w:t>
      </w:r>
      <w:r>
        <w:rPr>
          <w:rFonts w:hint="eastAsia" w:ascii="宋体" w:hAnsi="宋体" w:cs="宋体"/>
          <w:color w:val="auto"/>
          <w:kern w:val="0"/>
          <w:sz w:val="24"/>
          <w:lang w:eastAsia="zh-CN"/>
        </w:rPr>
        <w:t>甲方</w:t>
      </w:r>
      <w:r>
        <w:rPr>
          <w:rFonts w:hint="eastAsia" w:ascii="宋体" w:hAnsi="宋体" w:cs="宋体"/>
          <w:color w:val="auto"/>
          <w:kern w:val="0"/>
          <w:sz w:val="24"/>
        </w:rPr>
        <w:t>不单独支付。</w:t>
      </w:r>
    </w:p>
    <w:p w14:paraId="3939FB70">
      <w:pPr>
        <w:tabs>
          <w:tab w:val="left" w:pos="1080"/>
        </w:tabs>
        <w:spacing w:line="360" w:lineRule="auto"/>
        <w:ind w:firstLine="482" w:firstLineChars="200"/>
        <w:rPr>
          <w:rFonts w:hint="eastAsia" w:ascii="宋体" w:hAnsi="宋体" w:cs="宋体"/>
          <w:b/>
          <w:color w:val="auto"/>
          <w:sz w:val="24"/>
        </w:rPr>
      </w:pPr>
      <w:bookmarkStart w:id="127" w:name="_Toc152042524"/>
      <w:bookmarkStart w:id="128" w:name="_Toc152045745"/>
      <w:bookmarkStart w:id="129" w:name="_Toc144974716"/>
      <w:bookmarkStart w:id="130" w:name="_Toc179632763"/>
      <w:r>
        <w:rPr>
          <w:rFonts w:hint="eastAsia" w:ascii="宋体" w:hAnsi="宋体" w:cs="宋体"/>
          <w:b/>
          <w:color w:val="auto"/>
          <w:sz w:val="24"/>
        </w:rPr>
        <w:t>20.3 人身意外伤害险</w:t>
      </w:r>
      <w:bookmarkEnd w:id="127"/>
      <w:bookmarkEnd w:id="128"/>
      <w:bookmarkEnd w:id="129"/>
      <w:bookmarkEnd w:id="130"/>
    </w:p>
    <w:p w14:paraId="782002D5">
      <w:pPr>
        <w:tabs>
          <w:tab w:val="left" w:pos="1080"/>
        </w:tabs>
        <w:spacing w:line="360" w:lineRule="auto"/>
        <w:ind w:firstLine="480" w:firstLineChars="200"/>
        <w:rPr>
          <w:rFonts w:hint="eastAsia" w:ascii="宋体" w:hAnsi="宋体" w:cs="宋体"/>
          <w:color w:val="auto"/>
          <w:kern w:val="0"/>
          <w:sz w:val="24"/>
        </w:rPr>
      </w:pPr>
      <w:r>
        <w:rPr>
          <w:rFonts w:hint="eastAsia" w:ascii="宋体" w:hAnsi="宋体" w:cs="宋体"/>
          <w:color w:val="auto"/>
          <w:sz w:val="24"/>
        </w:rPr>
        <w:t xml:space="preserve">20.3.2 </w:t>
      </w:r>
      <w:r>
        <w:rPr>
          <w:rFonts w:hint="eastAsia" w:ascii="宋体" w:hAnsi="宋体" w:cs="宋体"/>
          <w:color w:val="auto"/>
          <w:sz w:val="24"/>
          <w:lang w:eastAsia="zh-CN"/>
        </w:rPr>
        <w:t>乙方</w:t>
      </w:r>
      <w:r>
        <w:rPr>
          <w:rFonts w:hint="eastAsia" w:ascii="宋体" w:hAnsi="宋体" w:cs="宋体"/>
          <w:color w:val="auto"/>
          <w:sz w:val="24"/>
        </w:rPr>
        <w:t>应在整个施工期间为其现场机构雇用的全部人员，投保人身意外伤害险，缴纳保险费，并要求其分包人也进行此项保险。</w:t>
      </w:r>
      <w:r>
        <w:rPr>
          <w:rFonts w:hint="eastAsia" w:ascii="宋体" w:hAnsi="宋体" w:cs="宋体"/>
          <w:color w:val="auto"/>
          <w:kern w:val="0"/>
          <w:sz w:val="24"/>
        </w:rPr>
        <w:t>办理保险的一切费用均由</w:t>
      </w:r>
      <w:r>
        <w:rPr>
          <w:rFonts w:hint="eastAsia" w:ascii="宋体" w:hAnsi="宋体" w:cs="宋体"/>
          <w:color w:val="auto"/>
          <w:kern w:val="0"/>
          <w:sz w:val="24"/>
          <w:lang w:eastAsia="zh-CN"/>
        </w:rPr>
        <w:t>乙方</w:t>
      </w:r>
      <w:r>
        <w:rPr>
          <w:rFonts w:hint="eastAsia" w:ascii="宋体" w:hAnsi="宋体" w:cs="宋体"/>
          <w:color w:val="auto"/>
          <w:kern w:val="0"/>
          <w:sz w:val="24"/>
        </w:rPr>
        <w:t>承担，并包括在工程量清单的单价及总额价中，</w:t>
      </w:r>
      <w:r>
        <w:rPr>
          <w:rFonts w:hint="eastAsia" w:ascii="宋体" w:hAnsi="宋体" w:cs="宋体"/>
          <w:color w:val="auto"/>
          <w:kern w:val="0"/>
          <w:sz w:val="24"/>
          <w:lang w:eastAsia="zh-CN"/>
        </w:rPr>
        <w:t>甲方</w:t>
      </w:r>
      <w:r>
        <w:rPr>
          <w:rFonts w:hint="eastAsia" w:ascii="宋体" w:hAnsi="宋体" w:cs="宋体"/>
          <w:color w:val="auto"/>
          <w:kern w:val="0"/>
          <w:sz w:val="24"/>
        </w:rPr>
        <w:t>不单独支付。</w:t>
      </w:r>
    </w:p>
    <w:p w14:paraId="0ADE1ABB">
      <w:pPr>
        <w:autoSpaceDE w:val="0"/>
        <w:autoSpaceDN w:val="0"/>
        <w:adjustRightIn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其中：人身意外伤害险每位被保险人的最低保险金额为</w:t>
      </w:r>
      <w:r>
        <w:rPr>
          <w:rFonts w:hint="eastAsia" w:ascii="宋体" w:hAnsi="宋体" w:cs="宋体"/>
          <w:b/>
          <w:color w:val="auto"/>
          <w:kern w:val="0"/>
          <w:sz w:val="24"/>
        </w:rPr>
        <w:t>10万元</w:t>
      </w:r>
      <w:r>
        <w:rPr>
          <w:rFonts w:hint="eastAsia" w:ascii="宋体" w:hAnsi="宋体" w:cs="宋体"/>
          <w:color w:val="auto"/>
          <w:kern w:val="0"/>
          <w:sz w:val="24"/>
        </w:rPr>
        <w:t>人民币，附加意外伤害险医疗险的保险金额为</w:t>
      </w:r>
      <w:r>
        <w:rPr>
          <w:rFonts w:hint="eastAsia" w:ascii="宋体" w:hAnsi="宋体" w:cs="宋体"/>
          <w:b/>
          <w:color w:val="auto"/>
          <w:kern w:val="0"/>
          <w:sz w:val="24"/>
        </w:rPr>
        <w:t>2万元</w:t>
      </w:r>
      <w:r>
        <w:rPr>
          <w:rFonts w:hint="eastAsia" w:ascii="宋体" w:hAnsi="宋体" w:cs="宋体"/>
          <w:color w:val="auto"/>
          <w:kern w:val="0"/>
          <w:sz w:val="24"/>
        </w:rPr>
        <w:t>人民币，每标段的人身意外伤害险和附加意外伤害医疗险保险费按合同价（不含该保险费）的</w:t>
      </w:r>
      <w:r>
        <w:rPr>
          <w:rFonts w:hint="eastAsia" w:ascii="宋体" w:hAnsi="宋体" w:cs="宋体"/>
          <w:b/>
          <w:color w:val="auto"/>
          <w:kern w:val="0"/>
          <w:sz w:val="24"/>
        </w:rPr>
        <w:t>3‰</w:t>
      </w:r>
      <w:r>
        <w:rPr>
          <w:rFonts w:hint="eastAsia" w:ascii="宋体" w:hAnsi="宋体" w:cs="宋体"/>
          <w:color w:val="auto"/>
          <w:kern w:val="0"/>
          <w:sz w:val="24"/>
        </w:rPr>
        <w:t>计列。人身意外伤害险和附加意外伤害医疗险的保险对象为建筑施工企业参加基建项目建设施工现场从事施工作业和管理的人员。时间上涵盖施工全过程的任一时段，在保险范围上覆盖所有参加工程建设的管理人员、施工人员（含农民工）。保险期限为自施工队伍进场之日起至工程通过竣工验收时止。</w:t>
      </w:r>
    </w:p>
    <w:p w14:paraId="3F390A98">
      <w:pPr>
        <w:tabs>
          <w:tab w:val="left" w:pos="1080"/>
        </w:tabs>
        <w:spacing w:line="360" w:lineRule="auto"/>
        <w:ind w:firstLine="480" w:firstLineChars="200"/>
        <w:rPr>
          <w:rFonts w:hint="eastAsia" w:ascii="宋体" w:hAnsi="宋体" w:cs="宋体"/>
          <w:b/>
          <w:color w:val="auto"/>
          <w:sz w:val="24"/>
        </w:rPr>
      </w:pPr>
      <w:r>
        <w:rPr>
          <w:rFonts w:hint="eastAsia" w:ascii="宋体" w:hAnsi="宋体" w:cs="宋体"/>
          <w:color w:val="auto"/>
          <w:kern w:val="0"/>
          <w:sz w:val="24"/>
        </w:rPr>
        <w:t>施工合同签订后工程开工前</w:t>
      </w:r>
      <w:r>
        <w:rPr>
          <w:rFonts w:hint="eastAsia" w:ascii="宋体" w:hAnsi="宋体" w:cs="宋体"/>
          <w:b/>
          <w:color w:val="auto"/>
          <w:kern w:val="0"/>
          <w:sz w:val="24"/>
        </w:rPr>
        <w:t>15</w:t>
      </w:r>
      <w:r>
        <w:rPr>
          <w:rFonts w:hint="eastAsia" w:ascii="宋体" w:hAnsi="宋体" w:cs="宋体"/>
          <w:color w:val="auto"/>
          <w:kern w:val="0"/>
          <w:sz w:val="24"/>
        </w:rPr>
        <w:t>日，</w:t>
      </w:r>
      <w:r>
        <w:rPr>
          <w:rFonts w:hint="eastAsia" w:ascii="宋体" w:hAnsi="宋体" w:cs="宋体"/>
          <w:color w:val="auto"/>
          <w:kern w:val="0"/>
          <w:sz w:val="24"/>
          <w:lang w:eastAsia="zh-CN"/>
        </w:rPr>
        <w:t>乙方</w:t>
      </w:r>
      <w:r>
        <w:rPr>
          <w:rFonts w:hint="eastAsia" w:ascii="宋体" w:hAnsi="宋体" w:cs="宋体"/>
          <w:color w:val="auto"/>
          <w:kern w:val="0"/>
          <w:sz w:val="24"/>
        </w:rPr>
        <w:t>必须按有关规定与保险公司签订人身意外伤害险和附加意外伤害医疗险以及其他需要投保的保险的保险合同。</w:t>
      </w:r>
    </w:p>
    <w:p w14:paraId="4620A049">
      <w:pPr>
        <w:tabs>
          <w:tab w:val="left" w:pos="1080"/>
        </w:tabs>
        <w:spacing w:line="360" w:lineRule="auto"/>
        <w:ind w:firstLine="482" w:firstLineChars="200"/>
        <w:rPr>
          <w:rFonts w:hint="eastAsia" w:ascii="宋体" w:hAnsi="宋体" w:cs="宋体"/>
          <w:b/>
          <w:color w:val="auto"/>
          <w:sz w:val="24"/>
        </w:rPr>
      </w:pPr>
      <w:r>
        <w:rPr>
          <w:rFonts w:hint="eastAsia" w:ascii="宋体" w:hAnsi="宋体" w:cs="宋体"/>
          <w:b/>
          <w:color w:val="auto"/>
          <w:sz w:val="24"/>
        </w:rPr>
        <w:t>20.4  第三者责任险</w:t>
      </w:r>
    </w:p>
    <w:p w14:paraId="560EA662">
      <w:pPr>
        <w:tabs>
          <w:tab w:val="left" w:pos="1080"/>
        </w:tabs>
        <w:spacing w:line="360" w:lineRule="auto"/>
        <w:ind w:firstLine="482" w:firstLineChars="200"/>
        <w:rPr>
          <w:rFonts w:hint="eastAsia" w:ascii="宋体" w:hAnsi="宋体" w:cs="宋体"/>
          <w:b/>
          <w:color w:val="auto"/>
          <w:sz w:val="24"/>
        </w:rPr>
      </w:pPr>
      <w:r>
        <w:rPr>
          <w:rFonts w:hint="eastAsia" w:ascii="宋体" w:hAnsi="宋体" w:cs="宋体"/>
          <w:b/>
          <w:color w:val="auto"/>
          <w:sz w:val="24"/>
        </w:rPr>
        <w:t xml:space="preserve">  </w:t>
      </w:r>
      <w:r>
        <w:rPr>
          <w:rFonts w:hint="eastAsia" w:ascii="宋体" w:hAnsi="宋体" w:cs="宋体"/>
          <w:color w:val="auto"/>
          <w:sz w:val="24"/>
        </w:rPr>
        <w:t>第三者责任险由</w:t>
      </w:r>
      <w:r>
        <w:rPr>
          <w:rFonts w:hint="eastAsia" w:ascii="宋体" w:hAnsi="宋体" w:cs="宋体"/>
          <w:color w:val="auto"/>
          <w:sz w:val="24"/>
          <w:lang w:eastAsia="zh-CN"/>
        </w:rPr>
        <w:t>乙方</w:t>
      </w:r>
      <w:r>
        <w:rPr>
          <w:rFonts w:hint="eastAsia" w:ascii="宋体" w:hAnsi="宋体" w:cs="宋体"/>
          <w:color w:val="auto"/>
          <w:sz w:val="24"/>
        </w:rPr>
        <w:t>以</w:t>
      </w:r>
      <w:r>
        <w:rPr>
          <w:rFonts w:hint="eastAsia" w:ascii="宋体" w:hAnsi="宋体" w:cs="宋体"/>
          <w:color w:val="auto"/>
          <w:sz w:val="24"/>
          <w:lang w:eastAsia="zh-CN"/>
        </w:rPr>
        <w:t>乙方</w:t>
      </w:r>
      <w:r>
        <w:rPr>
          <w:rFonts w:hint="eastAsia" w:ascii="宋体" w:hAnsi="宋体" w:cs="宋体"/>
          <w:color w:val="auto"/>
          <w:sz w:val="24"/>
        </w:rPr>
        <w:t>与业主的名义联名投保，最低投保额：100万元，事故次数不限，保险费由投标人在清单中报价，业主根据</w:t>
      </w:r>
      <w:r>
        <w:rPr>
          <w:rFonts w:hint="eastAsia" w:ascii="宋体" w:hAnsi="宋体" w:cs="宋体"/>
          <w:color w:val="auto"/>
          <w:sz w:val="24"/>
          <w:lang w:eastAsia="zh-CN"/>
        </w:rPr>
        <w:t>乙方</w:t>
      </w:r>
      <w:r>
        <w:rPr>
          <w:rFonts w:hint="eastAsia" w:ascii="宋体" w:hAnsi="宋体" w:cs="宋体"/>
          <w:color w:val="auto"/>
          <w:sz w:val="24"/>
        </w:rPr>
        <w:t>提供的保险发票在合同清单第三者险报价限额内进行计量支付。</w:t>
      </w:r>
    </w:p>
    <w:p w14:paraId="361D2211">
      <w:pPr>
        <w:tabs>
          <w:tab w:val="left" w:pos="1080"/>
        </w:tabs>
        <w:spacing w:line="360" w:lineRule="auto"/>
        <w:ind w:firstLine="482" w:firstLineChars="200"/>
        <w:rPr>
          <w:rFonts w:hint="eastAsia" w:ascii="宋体" w:hAnsi="宋体" w:cs="宋体"/>
          <w:b/>
          <w:color w:val="auto"/>
          <w:sz w:val="24"/>
        </w:rPr>
      </w:pPr>
      <w:r>
        <w:rPr>
          <w:rFonts w:hint="eastAsia" w:ascii="宋体" w:hAnsi="宋体" w:cs="宋体"/>
          <w:b/>
          <w:color w:val="auto"/>
          <w:sz w:val="24"/>
        </w:rPr>
        <w:t xml:space="preserve">22.1  </w:t>
      </w:r>
      <w:r>
        <w:rPr>
          <w:rFonts w:hint="eastAsia" w:ascii="宋体" w:hAnsi="宋体" w:cs="宋体"/>
          <w:b/>
          <w:color w:val="auto"/>
          <w:sz w:val="24"/>
          <w:lang w:eastAsia="zh-CN"/>
        </w:rPr>
        <w:t>乙方</w:t>
      </w:r>
      <w:r>
        <w:rPr>
          <w:rFonts w:hint="eastAsia" w:ascii="宋体" w:hAnsi="宋体" w:cs="宋体"/>
          <w:b/>
          <w:color w:val="auto"/>
          <w:sz w:val="24"/>
        </w:rPr>
        <w:t>违约</w:t>
      </w:r>
    </w:p>
    <w:p w14:paraId="18756E63">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22.1.2  当</w:t>
      </w:r>
      <w:r>
        <w:rPr>
          <w:rFonts w:hint="eastAsia" w:ascii="宋体" w:hAnsi="宋体" w:cs="宋体"/>
          <w:color w:val="auto"/>
          <w:sz w:val="24"/>
          <w:lang w:eastAsia="zh-CN"/>
        </w:rPr>
        <w:t>乙方</w:t>
      </w:r>
      <w:r>
        <w:rPr>
          <w:rFonts w:hint="eastAsia" w:ascii="宋体" w:hAnsi="宋体" w:cs="宋体"/>
          <w:color w:val="auto"/>
          <w:sz w:val="24"/>
        </w:rPr>
        <w:t>发生第22.1.1项约定的违约情况时，除按22.1.2对</w:t>
      </w:r>
      <w:r>
        <w:rPr>
          <w:rFonts w:hint="eastAsia" w:ascii="宋体" w:hAnsi="宋体" w:cs="宋体"/>
          <w:color w:val="auto"/>
          <w:sz w:val="24"/>
          <w:lang w:eastAsia="zh-CN"/>
        </w:rPr>
        <w:t>乙方</w:t>
      </w:r>
      <w:r>
        <w:rPr>
          <w:rFonts w:hint="eastAsia" w:ascii="宋体" w:hAnsi="宋体" w:cs="宋体"/>
          <w:color w:val="auto"/>
          <w:sz w:val="24"/>
        </w:rPr>
        <w:t>违约进行处理外,</w:t>
      </w:r>
      <w:r>
        <w:rPr>
          <w:rFonts w:hint="eastAsia" w:ascii="宋体" w:hAnsi="宋体" w:cs="宋体"/>
          <w:color w:val="auto"/>
          <w:sz w:val="24"/>
          <w:lang w:eastAsia="zh-CN"/>
        </w:rPr>
        <w:t>甲方</w:t>
      </w:r>
      <w:r>
        <w:rPr>
          <w:rFonts w:hint="eastAsia" w:ascii="宋体" w:hAnsi="宋体" w:cs="宋体"/>
          <w:color w:val="auto"/>
          <w:sz w:val="24"/>
        </w:rPr>
        <w:t>还</w:t>
      </w:r>
      <w:r>
        <w:rPr>
          <w:rFonts w:hint="eastAsia" w:ascii="宋体" w:hAnsi="宋体" w:cs="宋体"/>
          <w:b/>
          <w:color w:val="auto"/>
          <w:sz w:val="24"/>
        </w:rPr>
        <w:t>将</w:t>
      </w:r>
      <w:r>
        <w:rPr>
          <w:rFonts w:hint="eastAsia" w:ascii="宋体" w:hAnsi="宋体" w:cs="宋体"/>
          <w:b/>
          <w:color w:val="auto"/>
          <w:sz w:val="24"/>
          <w:lang w:eastAsia="zh-CN"/>
        </w:rPr>
        <w:t>乙方</w:t>
      </w:r>
      <w:r>
        <w:rPr>
          <w:rFonts w:hint="eastAsia" w:ascii="宋体" w:hAnsi="宋体" w:cs="宋体"/>
          <w:b/>
          <w:color w:val="auto"/>
          <w:sz w:val="24"/>
        </w:rPr>
        <w:t>的违约行为纳入信用评价，</w:t>
      </w:r>
      <w:r>
        <w:rPr>
          <w:rFonts w:hint="eastAsia" w:ascii="宋体" w:hAnsi="宋体" w:cs="宋体"/>
          <w:color w:val="auto"/>
          <w:sz w:val="24"/>
        </w:rPr>
        <w:t>并有权向</w:t>
      </w:r>
      <w:r>
        <w:rPr>
          <w:rFonts w:hint="eastAsia" w:ascii="宋体" w:hAnsi="宋体" w:cs="宋体"/>
          <w:color w:val="auto"/>
          <w:sz w:val="24"/>
          <w:lang w:eastAsia="zh-CN"/>
        </w:rPr>
        <w:t>乙方</w:t>
      </w:r>
      <w:r>
        <w:rPr>
          <w:rFonts w:hint="eastAsia" w:ascii="宋体" w:hAnsi="宋体" w:cs="宋体"/>
          <w:color w:val="auto"/>
          <w:sz w:val="24"/>
        </w:rPr>
        <w:t>课以违约金，具体约定如下：</w:t>
      </w:r>
    </w:p>
    <w:p w14:paraId="257257AA">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（1）～（3）按</w:t>
      </w:r>
      <w:r>
        <w:rPr>
          <w:rFonts w:hint="eastAsia" w:ascii="宋体" w:hAnsi="宋体" w:cs="宋体"/>
          <w:color w:val="auto"/>
          <w:sz w:val="24"/>
          <w:lang w:eastAsia="zh-CN"/>
        </w:rPr>
        <w:t>通用条款执行</w:t>
      </w:r>
      <w:r>
        <w:rPr>
          <w:rFonts w:hint="eastAsia" w:ascii="宋体" w:hAnsi="宋体" w:cs="宋体"/>
          <w:color w:val="auto"/>
          <w:sz w:val="24"/>
        </w:rPr>
        <w:t>。增加以下条款：</w:t>
      </w:r>
    </w:p>
    <w:p w14:paraId="3140409E">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（4）除工程主体、关健性工作以外的其他部分和工作允许分包，但</w:t>
      </w:r>
      <w:r>
        <w:rPr>
          <w:rFonts w:hint="eastAsia" w:ascii="宋体" w:hAnsi="宋体" w:cs="宋体"/>
          <w:color w:val="auto"/>
          <w:sz w:val="24"/>
          <w:lang w:eastAsia="zh-CN"/>
        </w:rPr>
        <w:t>乙方</w:t>
      </w:r>
      <w:r>
        <w:rPr>
          <w:rFonts w:hint="eastAsia" w:ascii="宋体" w:hAnsi="宋体" w:cs="宋体"/>
          <w:color w:val="auto"/>
          <w:sz w:val="24"/>
        </w:rPr>
        <w:t>未经</w:t>
      </w:r>
      <w:r>
        <w:rPr>
          <w:rFonts w:hint="eastAsia" w:ascii="宋体" w:hAnsi="宋体" w:cs="宋体"/>
          <w:color w:val="auto"/>
          <w:sz w:val="24"/>
          <w:lang w:eastAsia="zh-CN"/>
        </w:rPr>
        <w:t>甲方</w:t>
      </w:r>
      <w:r>
        <w:rPr>
          <w:rFonts w:hint="eastAsia" w:ascii="宋体" w:hAnsi="宋体" w:cs="宋体"/>
          <w:color w:val="auto"/>
          <w:sz w:val="24"/>
        </w:rPr>
        <w:t>书面同意,私自将工程中除工程主体、关健性工作以外的其他部分和工作分包给第三人，视为</w:t>
      </w:r>
      <w:r>
        <w:rPr>
          <w:rFonts w:hint="eastAsia" w:ascii="宋体" w:hAnsi="宋体" w:cs="宋体"/>
          <w:color w:val="auto"/>
          <w:sz w:val="24"/>
          <w:lang w:eastAsia="zh-CN"/>
        </w:rPr>
        <w:t>乙方</w:t>
      </w:r>
      <w:r>
        <w:rPr>
          <w:rFonts w:hint="eastAsia" w:ascii="宋体" w:hAnsi="宋体" w:cs="宋体"/>
          <w:color w:val="auto"/>
          <w:sz w:val="24"/>
        </w:rPr>
        <w:t>违约。</w:t>
      </w:r>
      <w:r>
        <w:rPr>
          <w:rFonts w:hint="eastAsia" w:ascii="宋体" w:hAnsi="宋体" w:cs="宋体"/>
          <w:color w:val="auto"/>
          <w:sz w:val="24"/>
          <w:lang w:eastAsia="zh-CN"/>
        </w:rPr>
        <w:t>甲方</w:t>
      </w:r>
      <w:r>
        <w:rPr>
          <w:rFonts w:hint="eastAsia" w:ascii="宋体" w:hAnsi="宋体" w:cs="宋体"/>
          <w:color w:val="auto"/>
          <w:sz w:val="24"/>
        </w:rPr>
        <w:t>可向</w:t>
      </w:r>
      <w:r>
        <w:rPr>
          <w:rFonts w:hint="eastAsia" w:ascii="宋体" w:hAnsi="宋体" w:cs="宋体"/>
          <w:color w:val="auto"/>
          <w:sz w:val="24"/>
          <w:lang w:eastAsia="zh-CN"/>
        </w:rPr>
        <w:t>乙方</w:t>
      </w:r>
      <w:r>
        <w:rPr>
          <w:rFonts w:hint="eastAsia" w:ascii="宋体" w:hAnsi="宋体" w:cs="宋体"/>
          <w:color w:val="auto"/>
          <w:sz w:val="24"/>
        </w:rPr>
        <w:t>发出限期整改通知，</w:t>
      </w:r>
      <w:r>
        <w:rPr>
          <w:rFonts w:hint="eastAsia" w:ascii="宋体" w:hAnsi="宋体" w:cs="宋体"/>
          <w:color w:val="auto"/>
          <w:sz w:val="24"/>
          <w:lang w:eastAsia="zh-CN"/>
        </w:rPr>
        <w:t>乙方</w:t>
      </w:r>
      <w:r>
        <w:rPr>
          <w:rFonts w:hint="eastAsia" w:ascii="宋体" w:hAnsi="宋体" w:cs="宋体"/>
          <w:color w:val="auto"/>
          <w:sz w:val="24"/>
        </w:rPr>
        <w:t>应在限期内改正。若</w:t>
      </w:r>
      <w:r>
        <w:rPr>
          <w:rFonts w:hint="eastAsia" w:ascii="宋体" w:hAnsi="宋体" w:cs="宋体"/>
          <w:color w:val="auto"/>
          <w:sz w:val="24"/>
          <w:lang w:eastAsia="zh-CN"/>
        </w:rPr>
        <w:t>乙方</w:t>
      </w:r>
      <w:r>
        <w:rPr>
          <w:rFonts w:hint="eastAsia" w:ascii="宋体" w:hAnsi="宋体" w:cs="宋体"/>
          <w:color w:val="auto"/>
          <w:sz w:val="24"/>
        </w:rPr>
        <w:t>未在限期内改正，</w:t>
      </w:r>
      <w:r>
        <w:rPr>
          <w:rFonts w:hint="eastAsia" w:ascii="宋体" w:hAnsi="宋体" w:cs="宋体"/>
          <w:color w:val="auto"/>
          <w:sz w:val="24"/>
          <w:lang w:eastAsia="zh-CN"/>
        </w:rPr>
        <w:t>甲方</w:t>
      </w:r>
      <w:r>
        <w:rPr>
          <w:rFonts w:hint="eastAsia" w:ascii="宋体" w:hAnsi="宋体" w:cs="宋体"/>
          <w:color w:val="auto"/>
          <w:sz w:val="24"/>
        </w:rPr>
        <w:t>可书面通知</w:t>
      </w:r>
      <w:r>
        <w:rPr>
          <w:rFonts w:hint="eastAsia" w:ascii="宋体" w:hAnsi="宋体" w:cs="宋体"/>
          <w:color w:val="auto"/>
          <w:sz w:val="24"/>
          <w:lang w:eastAsia="zh-CN"/>
        </w:rPr>
        <w:t>乙方</w:t>
      </w:r>
      <w:r>
        <w:rPr>
          <w:rFonts w:hint="eastAsia" w:ascii="宋体" w:hAnsi="宋体" w:cs="宋体"/>
          <w:color w:val="auto"/>
          <w:sz w:val="24"/>
        </w:rPr>
        <w:t>不再承担私自分包项目的施工，由</w:t>
      </w:r>
      <w:r>
        <w:rPr>
          <w:rFonts w:hint="eastAsia" w:ascii="宋体" w:hAnsi="宋体" w:cs="宋体"/>
          <w:color w:val="auto"/>
          <w:sz w:val="24"/>
          <w:lang w:eastAsia="zh-CN"/>
        </w:rPr>
        <w:t>甲方</w:t>
      </w:r>
      <w:r>
        <w:rPr>
          <w:rFonts w:hint="eastAsia" w:ascii="宋体" w:hAnsi="宋体" w:cs="宋体"/>
          <w:color w:val="auto"/>
          <w:sz w:val="24"/>
        </w:rPr>
        <w:t>另行组织人员或委托其他</w:t>
      </w:r>
      <w:r>
        <w:rPr>
          <w:rFonts w:hint="eastAsia" w:ascii="宋体" w:hAnsi="宋体" w:cs="宋体"/>
          <w:color w:val="auto"/>
          <w:sz w:val="24"/>
          <w:lang w:eastAsia="zh-CN"/>
        </w:rPr>
        <w:t>乙方</w:t>
      </w:r>
      <w:r>
        <w:rPr>
          <w:rFonts w:hint="eastAsia" w:ascii="宋体" w:hAnsi="宋体" w:cs="宋体"/>
          <w:color w:val="auto"/>
          <w:sz w:val="24"/>
        </w:rPr>
        <w:t>施工，并依法办理转让手续。</w:t>
      </w:r>
    </w:p>
    <w:p w14:paraId="473226A2">
      <w:pPr>
        <w:tabs>
          <w:tab w:val="left" w:pos="1080"/>
        </w:tabs>
        <w:spacing w:line="360" w:lineRule="auto"/>
        <w:ind w:firstLine="482" w:firstLineChars="200"/>
        <w:rPr>
          <w:rFonts w:hint="eastAsia" w:ascii="宋体" w:hAnsi="宋体" w:cs="宋体"/>
          <w:b/>
          <w:color w:val="auto"/>
          <w:sz w:val="24"/>
        </w:rPr>
      </w:pPr>
      <w:r>
        <w:rPr>
          <w:rFonts w:hint="eastAsia" w:ascii="宋体" w:hAnsi="宋体" w:cs="宋体"/>
          <w:b/>
          <w:color w:val="auto"/>
          <w:sz w:val="24"/>
        </w:rPr>
        <w:t>（5）有以下行为的，可对</w:t>
      </w:r>
      <w:r>
        <w:rPr>
          <w:rFonts w:hint="eastAsia" w:ascii="宋体" w:hAnsi="宋体" w:cs="宋体"/>
          <w:b/>
          <w:color w:val="auto"/>
          <w:sz w:val="24"/>
          <w:lang w:eastAsia="zh-CN"/>
        </w:rPr>
        <w:t>乙方</w:t>
      </w:r>
      <w:r>
        <w:rPr>
          <w:rFonts w:hint="eastAsia" w:ascii="宋体" w:hAnsi="宋体" w:cs="宋体"/>
          <w:b/>
          <w:color w:val="auto"/>
          <w:sz w:val="24"/>
        </w:rPr>
        <w:t>处以以下的违约金。</w:t>
      </w:r>
    </w:p>
    <w:p w14:paraId="6846DB9D">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a．由于</w:t>
      </w:r>
      <w:r>
        <w:rPr>
          <w:rFonts w:hint="eastAsia" w:ascii="宋体" w:hAnsi="宋体" w:cs="宋体"/>
          <w:color w:val="auto"/>
          <w:sz w:val="24"/>
          <w:lang w:eastAsia="zh-CN"/>
        </w:rPr>
        <w:t>乙方</w:t>
      </w:r>
      <w:r>
        <w:rPr>
          <w:rFonts w:hint="eastAsia" w:ascii="宋体" w:hAnsi="宋体" w:cs="宋体"/>
          <w:color w:val="auto"/>
          <w:sz w:val="24"/>
        </w:rPr>
        <w:t>没有履行合同规定的义务与责任，同类事件第一次被监理工程师、业主工作指令整改的处2000元/次；第二次出现指令整改的处5000元/次；多次重复出现被责令整改的处10000元/次。</w:t>
      </w:r>
    </w:p>
    <w:p w14:paraId="257EDE1F">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b．在指令规定时间内拒不整改的同一事件被第二次及以上责令整改的处10000元/次。</w:t>
      </w:r>
    </w:p>
    <w:p w14:paraId="373BCAB3">
      <w:pPr>
        <w:tabs>
          <w:tab w:val="left" w:pos="1080"/>
        </w:tabs>
        <w:suppressAutoHyphens/>
        <w:spacing w:line="360" w:lineRule="auto"/>
        <w:ind w:firstLine="480" w:firstLineChars="200"/>
        <w:rPr>
          <w:rFonts w:hint="eastAsia" w:ascii="宋体" w:hAnsi="宋体" w:cs="宋体"/>
          <w:color w:val="auto"/>
          <w:sz w:val="24"/>
        </w:rPr>
      </w:pPr>
      <w:r>
        <w:rPr>
          <w:rFonts w:hint="eastAsia" w:ascii="宋体" w:hAnsi="宋体" w:cs="宋体"/>
          <w:color w:val="auto"/>
          <w:sz w:val="24"/>
        </w:rPr>
        <w:t>（6）有22.1.1.（1）款行为的，一经按交通主管部门规定或合同规定认定，业主将责令</w:t>
      </w:r>
      <w:r>
        <w:rPr>
          <w:rFonts w:hint="eastAsia" w:ascii="宋体" w:hAnsi="宋体" w:cs="宋体"/>
          <w:color w:val="auto"/>
          <w:sz w:val="24"/>
          <w:lang w:eastAsia="zh-CN"/>
        </w:rPr>
        <w:t>乙方</w:t>
      </w:r>
      <w:r>
        <w:rPr>
          <w:rFonts w:hint="eastAsia" w:ascii="宋体" w:hAnsi="宋体" w:cs="宋体"/>
          <w:color w:val="auto"/>
          <w:sz w:val="24"/>
        </w:rPr>
        <w:t>纠正，并由</w:t>
      </w:r>
      <w:r>
        <w:rPr>
          <w:rFonts w:hint="eastAsia" w:ascii="宋体" w:hAnsi="宋体" w:cs="宋体"/>
          <w:color w:val="auto"/>
          <w:sz w:val="24"/>
          <w:lang w:eastAsia="zh-CN"/>
        </w:rPr>
        <w:t>乙方</w:t>
      </w:r>
      <w:r>
        <w:rPr>
          <w:rFonts w:hint="eastAsia" w:ascii="宋体" w:hAnsi="宋体" w:cs="宋体"/>
          <w:color w:val="auto"/>
          <w:sz w:val="24"/>
        </w:rPr>
        <w:t>承担由此产生的一切损失责任，并处以履约保证金20%的违约金。</w:t>
      </w:r>
    </w:p>
    <w:p w14:paraId="322E25D3">
      <w:pPr>
        <w:tabs>
          <w:tab w:val="left" w:pos="1080"/>
        </w:tabs>
        <w:suppressAutoHyphens/>
        <w:spacing w:line="360" w:lineRule="auto"/>
        <w:ind w:firstLine="480" w:firstLineChars="200"/>
        <w:rPr>
          <w:rFonts w:hint="eastAsia" w:ascii="宋体" w:hAnsi="宋体" w:cs="宋体"/>
          <w:color w:val="auto"/>
          <w:sz w:val="24"/>
        </w:rPr>
      </w:pPr>
      <w:r>
        <w:rPr>
          <w:rFonts w:hint="eastAsia" w:ascii="宋体" w:hAnsi="宋体" w:cs="宋体"/>
          <w:color w:val="auto"/>
          <w:sz w:val="24"/>
        </w:rPr>
        <w:t>（7）有</w:t>
      </w:r>
      <w:r>
        <w:rPr>
          <w:rFonts w:hint="eastAsia" w:ascii="宋体" w:hAnsi="宋体" w:cs="宋体"/>
          <w:b/>
          <w:color w:val="auto"/>
          <w:sz w:val="24"/>
        </w:rPr>
        <w:t>22.1.1.（3）</w:t>
      </w:r>
      <w:r>
        <w:rPr>
          <w:rFonts w:hint="eastAsia" w:ascii="宋体" w:hAnsi="宋体" w:cs="宋体"/>
          <w:color w:val="auto"/>
          <w:sz w:val="24"/>
        </w:rPr>
        <w:t>款行为的，由监理工程师发出整改工作指令，按本条（4）对</w:t>
      </w:r>
      <w:r>
        <w:rPr>
          <w:rFonts w:hint="eastAsia" w:ascii="宋体" w:hAnsi="宋体" w:cs="宋体"/>
          <w:color w:val="auto"/>
          <w:sz w:val="24"/>
          <w:lang w:eastAsia="zh-CN"/>
        </w:rPr>
        <w:t>乙方</w:t>
      </w:r>
      <w:r>
        <w:rPr>
          <w:rFonts w:hint="eastAsia" w:ascii="宋体" w:hAnsi="宋体" w:cs="宋体"/>
          <w:color w:val="auto"/>
          <w:sz w:val="24"/>
        </w:rPr>
        <w:t>处以违约金。</w:t>
      </w:r>
    </w:p>
    <w:p w14:paraId="72CCA38D">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（8）有</w:t>
      </w:r>
      <w:r>
        <w:rPr>
          <w:rFonts w:hint="eastAsia" w:ascii="宋体" w:hAnsi="宋体" w:cs="宋体"/>
          <w:b/>
          <w:color w:val="auto"/>
          <w:sz w:val="24"/>
        </w:rPr>
        <w:t>22.1.1.（5）</w:t>
      </w:r>
      <w:r>
        <w:rPr>
          <w:rFonts w:hint="eastAsia" w:ascii="宋体" w:hAnsi="宋体" w:cs="宋体"/>
          <w:color w:val="auto"/>
          <w:sz w:val="24"/>
        </w:rPr>
        <w:t>款行为的，除按合同相关条款处理外，由监理工程师发出整改工作指令，按本款（4）对</w:t>
      </w:r>
      <w:r>
        <w:rPr>
          <w:rFonts w:hint="eastAsia" w:ascii="宋体" w:hAnsi="宋体" w:cs="宋体"/>
          <w:color w:val="auto"/>
          <w:sz w:val="24"/>
          <w:lang w:eastAsia="zh-CN"/>
        </w:rPr>
        <w:t>乙方</w:t>
      </w:r>
      <w:r>
        <w:rPr>
          <w:rFonts w:hint="eastAsia" w:ascii="宋体" w:hAnsi="宋体" w:cs="宋体"/>
          <w:color w:val="auto"/>
          <w:sz w:val="24"/>
        </w:rPr>
        <w:t>处以违约金。</w:t>
      </w:r>
    </w:p>
    <w:p w14:paraId="186E0098">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（9）有</w:t>
      </w:r>
      <w:r>
        <w:rPr>
          <w:rFonts w:hint="eastAsia" w:ascii="宋体" w:hAnsi="宋体" w:cs="宋体"/>
          <w:b/>
          <w:color w:val="auto"/>
          <w:sz w:val="24"/>
        </w:rPr>
        <w:t>22.1.1.（7）</w:t>
      </w:r>
      <w:r>
        <w:rPr>
          <w:rFonts w:hint="eastAsia" w:ascii="宋体" w:hAnsi="宋体" w:cs="宋体"/>
          <w:color w:val="auto"/>
          <w:sz w:val="24"/>
        </w:rPr>
        <w:t>款行为的，可对</w:t>
      </w:r>
      <w:r>
        <w:rPr>
          <w:rFonts w:hint="eastAsia" w:ascii="宋体" w:hAnsi="宋体" w:cs="宋体"/>
          <w:color w:val="auto"/>
          <w:sz w:val="24"/>
          <w:lang w:eastAsia="zh-CN"/>
        </w:rPr>
        <w:t>乙方</w:t>
      </w:r>
      <w:r>
        <w:rPr>
          <w:rFonts w:hint="eastAsia" w:ascii="宋体" w:hAnsi="宋体" w:cs="宋体"/>
          <w:color w:val="auto"/>
          <w:sz w:val="24"/>
        </w:rPr>
        <w:t>处以以下的违约金。</w:t>
      </w:r>
    </w:p>
    <w:p w14:paraId="54D68EBC">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a．未按规定开工的，可处以5000元/天的业主延期损失偿金。</w:t>
      </w:r>
    </w:p>
    <w:p w14:paraId="0E9A1C88">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b．未按指令采取措施加快进行本工程或其关键部分的施工，可处以1000元/天的业主延期损失偿金。</w:t>
      </w:r>
    </w:p>
    <w:p w14:paraId="739ED89A">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c．路面碎石材料采备没有达到计划进度，按月检查处10000元/月。</w:t>
      </w:r>
    </w:p>
    <w:p w14:paraId="04B41AA3">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d．未按均衡组织施工要求组织施工的，处每项5000元/月次。</w:t>
      </w:r>
    </w:p>
    <w:p w14:paraId="00862E25">
      <w:pPr>
        <w:tabs>
          <w:tab w:val="left" w:pos="1080"/>
        </w:tabs>
        <w:spacing w:line="360" w:lineRule="auto"/>
        <w:ind w:firstLine="482" w:firstLineChars="200"/>
        <w:rPr>
          <w:rFonts w:hint="eastAsia" w:ascii="宋体" w:hAnsi="宋体" w:cs="宋体"/>
          <w:b/>
          <w:color w:val="auto"/>
          <w:sz w:val="24"/>
        </w:rPr>
      </w:pPr>
      <w:r>
        <w:rPr>
          <w:rFonts w:hint="eastAsia" w:ascii="宋体" w:hAnsi="宋体" w:cs="宋体"/>
          <w:b/>
          <w:color w:val="auto"/>
          <w:sz w:val="24"/>
        </w:rPr>
        <w:t>（10）有22.1.1.（8）款行为或以下行为的，视为</w:t>
      </w:r>
      <w:r>
        <w:rPr>
          <w:rFonts w:hint="eastAsia" w:ascii="宋体" w:hAnsi="宋体" w:cs="宋体"/>
          <w:b/>
          <w:color w:val="auto"/>
          <w:sz w:val="24"/>
          <w:lang w:eastAsia="zh-CN"/>
        </w:rPr>
        <w:t>乙方</w:t>
      </w:r>
      <w:r>
        <w:rPr>
          <w:rFonts w:hint="eastAsia" w:ascii="宋体" w:hAnsi="宋体" w:cs="宋体"/>
          <w:b/>
          <w:color w:val="auto"/>
          <w:sz w:val="24"/>
        </w:rPr>
        <w:t>违约，可对</w:t>
      </w:r>
      <w:r>
        <w:rPr>
          <w:rFonts w:hint="eastAsia" w:ascii="宋体" w:hAnsi="宋体" w:cs="宋体"/>
          <w:b/>
          <w:color w:val="auto"/>
          <w:sz w:val="24"/>
          <w:lang w:eastAsia="zh-CN"/>
        </w:rPr>
        <w:t>乙方</w:t>
      </w:r>
      <w:r>
        <w:rPr>
          <w:rFonts w:hint="eastAsia" w:ascii="宋体" w:hAnsi="宋体" w:cs="宋体"/>
          <w:b/>
          <w:color w:val="auto"/>
          <w:sz w:val="24"/>
        </w:rPr>
        <w:t>处以下的违约金。</w:t>
      </w:r>
    </w:p>
    <w:p w14:paraId="4F810C49">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a. </w:t>
      </w:r>
      <w:r>
        <w:rPr>
          <w:rFonts w:hint="eastAsia" w:ascii="宋体" w:hAnsi="宋体" w:cs="宋体"/>
          <w:color w:val="auto"/>
          <w:sz w:val="24"/>
          <w:lang w:eastAsia="zh-CN"/>
        </w:rPr>
        <w:t>乙方</w:t>
      </w:r>
      <w:r>
        <w:rPr>
          <w:rFonts w:hint="eastAsia" w:ascii="宋体" w:hAnsi="宋体" w:cs="宋体"/>
          <w:color w:val="auto"/>
          <w:sz w:val="24"/>
        </w:rPr>
        <w:t>更换主要人员的，项目经理处20万元/人次，总工（或技术负责人）处15万元/人次，其他主要人员（指测量工程师、计量工程师和试验工程师）处2万元/人次”。但如果其更换取得业主同意的，可以不进行违约金处罚。</w:t>
      </w:r>
    </w:p>
    <w:p w14:paraId="6C179A42">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b.项目经理、总工驻工地不满每年</w:t>
      </w:r>
      <w:r>
        <w:rPr>
          <w:rFonts w:hint="eastAsia" w:ascii="宋体" w:hAnsi="宋体" w:cs="宋体"/>
          <w:color w:val="auto"/>
          <w:sz w:val="24"/>
          <w:lang w:val="en-US" w:eastAsia="zh-CN"/>
        </w:rPr>
        <w:t>80</w:t>
      </w:r>
      <w:r>
        <w:rPr>
          <w:rFonts w:hint="eastAsia" w:ascii="宋体" w:hAnsi="宋体" w:cs="宋体"/>
          <w:color w:val="auto"/>
          <w:sz w:val="24"/>
        </w:rPr>
        <w:t>天，处1万元/人年，其他主要人员处5000元/人年。</w:t>
      </w:r>
    </w:p>
    <w:p w14:paraId="62811070">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c.未经请假准允离开工地，经理、总工处2000元/人日，其他主要人员处500元/人日。</w:t>
      </w:r>
    </w:p>
    <w:p w14:paraId="6D1D044D">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d．主要设备没有按承诺进场的处500元台/日。</w:t>
      </w:r>
    </w:p>
    <w:p w14:paraId="1C219B54">
      <w:pPr>
        <w:tabs>
          <w:tab w:val="left" w:pos="1080"/>
        </w:tabs>
        <w:spacing w:line="360" w:lineRule="auto"/>
        <w:ind w:firstLine="482" w:firstLineChars="200"/>
        <w:rPr>
          <w:rFonts w:hint="eastAsia" w:ascii="宋体" w:hAnsi="宋体" w:cs="宋体"/>
          <w:b/>
          <w:color w:val="auto"/>
          <w:sz w:val="24"/>
        </w:rPr>
      </w:pPr>
      <w:r>
        <w:rPr>
          <w:rFonts w:hint="eastAsia" w:ascii="宋体" w:hAnsi="宋体" w:cs="宋体"/>
          <w:b/>
          <w:color w:val="auto"/>
          <w:sz w:val="24"/>
        </w:rPr>
        <w:t>（11）有以下情形的，可对</w:t>
      </w:r>
      <w:r>
        <w:rPr>
          <w:rFonts w:hint="eastAsia" w:ascii="宋体" w:hAnsi="宋体" w:cs="宋体"/>
          <w:b/>
          <w:color w:val="auto"/>
          <w:sz w:val="24"/>
          <w:lang w:eastAsia="zh-CN"/>
        </w:rPr>
        <w:t>乙方</w:t>
      </w:r>
      <w:r>
        <w:rPr>
          <w:rFonts w:hint="eastAsia" w:ascii="宋体" w:hAnsi="宋体" w:cs="宋体"/>
          <w:b/>
          <w:color w:val="auto"/>
          <w:sz w:val="24"/>
        </w:rPr>
        <w:t>处以违约金。</w:t>
      </w:r>
    </w:p>
    <w:p w14:paraId="370352A7">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a.质量管理</w:t>
      </w:r>
    </w:p>
    <w:p w14:paraId="4D3CE90B">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(a)出现下列行为之一可处200元/（人）次。</w:t>
      </w:r>
    </w:p>
    <w:p w14:paraId="06ADA3A9">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Ⅰ 分项工程施工现场无合格的施工责任牌；或</w:t>
      </w:r>
    </w:p>
    <w:p w14:paraId="0F43162F">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Ⅱ 分项工程施工现场无其相关责任人；或</w:t>
      </w:r>
    </w:p>
    <w:p w14:paraId="43E00A61">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Ⅲ 施工现场无基本的检测检验工具；或</w:t>
      </w:r>
    </w:p>
    <w:p w14:paraId="51727DD0">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Ⅳ 施工现场相关责任人无检查检验记录表；或</w:t>
      </w:r>
    </w:p>
    <w:p w14:paraId="4DBF1168">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Ⅴ 现场已完成工作无检查记录。</w:t>
      </w:r>
    </w:p>
    <w:p w14:paraId="2745B587">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（b）出现以下行为之一，可处1000元/次。</w:t>
      </w:r>
    </w:p>
    <w:p w14:paraId="19A7362F">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Ⅰ　未按工序申请检验进入下一道工序的；或</w:t>
      </w:r>
    </w:p>
    <w:p w14:paraId="3570C428">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Ⅱ　隐蔽工程记录文件不全；或</w:t>
      </w:r>
    </w:p>
    <w:p w14:paraId="2814D0D9">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Ⅲ　施工试验检验频率不符合施工规范规定；或</w:t>
      </w:r>
    </w:p>
    <w:p w14:paraId="206716CB">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Ⅳ　分项工程质量自检验收检验频率不符合质量评定标准规定的。</w:t>
      </w:r>
    </w:p>
    <w:p w14:paraId="5135C06B">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（c）出现以下行为之一，可处2000元/次。</w:t>
      </w:r>
    </w:p>
    <w:p w14:paraId="6BD90703">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Ⅰ　出现质量问题，且</w:t>
      </w:r>
      <w:r>
        <w:rPr>
          <w:rFonts w:hint="eastAsia" w:ascii="宋体" w:hAnsi="宋体" w:cs="宋体"/>
          <w:color w:val="auto"/>
          <w:sz w:val="24"/>
          <w:lang w:eastAsia="zh-CN"/>
        </w:rPr>
        <w:t>乙方</w:t>
      </w:r>
      <w:r>
        <w:rPr>
          <w:rFonts w:hint="eastAsia" w:ascii="宋体" w:hAnsi="宋体" w:cs="宋体"/>
          <w:color w:val="auto"/>
          <w:sz w:val="24"/>
        </w:rPr>
        <w:t>负有直接责任的，或不能证明其履行其职责的。或</w:t>
      </w:r>
    </w:p>
    <w:p w14:paraId="26170982">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Ⅱ　发生质量事故，未按有关规定和时间向有关部门报告的；</w:t>
      </w:r>
    </w:p>
    <w:p w14:paraId="50A40286">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Ⅲ　已经施工完成的工程没有按竣工文件收集归档管理办法要求依分项工程、工序将施工作业记录、测量记录、试验检测记录及工序报验审批记录等收集归档。</w:t>
      </w:r>
    </w:p>
    <w:p w14:paraId="08DD3B6A">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（d ）出现以下行为之一，可处5000元/次。</w:t>
      </w:r>
    </w:p>
    <w:p w14:paraId="2FBC1898">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Ⅰ　施工单位不接受质监机构监督；或</w:t>
      </w:r>
    </w:p>
    <w:p w14:paraId="6698CFE3">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Ⅱ　出现二、三级一般质量事故，且</w:t>
      </w:r>
      <w:r>
        <w:rPr>
          <w:rFonts w:hint="eastAsia" w:ascii="宋体" w:hAnsi="宋体" w:cs="宋体"/>
          <w:color w:val="auto"/>
          <w:sz w:val="24"/>
          <w:lang w:eastAsia="zh-CN"/>
        </w:rPr>
        <w:t>乙方</w:t>
      </w:r>
      <w:r>
        <w:rPr>
          <w:rFonts w:hint="eastAsia" w:ascii="宋体" w:hAnsi="宋体" w:cs="宋体"/>
          <w:color w:val="auto"/>
          <w:sz w:val="24"/>
        </w:rPr>
        <w:t>负有直接责任，或不能证明其履行其职责的；或</w:t>
      </w:r>
    </w:p>
    <w:p w14:paraId="15495605">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Ⅲ　未按规定建立合格的工地试验室的；或</w:t>
      </w:r>
    </w:p>
    <w:p w14:paraId="478C9106">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Ⅳ　路基土石方，路面各结构层一次单项单点实体抽查合格率为50%—70%的；或</w:t>
      </w:r>
    </w:p>
    <w:p w14:paraId="4E67511D">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Ⅴ　砌筑、排水、小桥、涵洞等构造物，中小型预制构件等一次单点实体抽查合格率为50%—75%的；或</w:t>
      </w:r>
    </w:p>
    <w:p w14:paraId="288C9D36">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Ⅵ　特大桥、大桥、中桥、隧道、船闸、枢纽厂房、大坝等主要构造物，大型预制构件等一次单点实体抽查合格率为60%—75%的；或</w:t>
      </w:r>
    </w:p>
    <w:p w14:paraId="3B0A03B0">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Ⅶ　使用主要材料（钢筋、水泥、沥青、碎石、砂、砂砾等）不合格的。或</w:t>
      </w:r>
    </w:p>
    <w:p w14:paraId="57E16941">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Ⅷ　已经施工完成的工程无法提供按竣工文件收集归档管理办法要求应收集的分项工程、工序的施工作业记录、测量记录、试验检测记录及工序报验审批记录等质量管理文件的。</w:t>
      </w:r>
    </w:p>
    <w:p w14:paraId="01BA0BB0">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（e）出现以下行为之一，可处10000元/次。</w:t>
      </w:r>
    </w:p>
    <w:p w14:paraId="3D63230E">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Ⅰ　发生一级一般质量事故或重大质量事故，且</w:t>
      </w:r>
      <w:r>
        <w:rPr>
          <w:rFonts w:hint="eastAsia" w:ascii="宋体" w:hAnsi="宋体" w:cs="宋体"/>
          <w:color w:val="auto"/>
          <w:sz w:val="24"/>
          <w:lang w:eastAsia="zh-CN"/>
        </w:rPr>
        <w:t>乙方</w:t>
      </w:r>
      <w:r>
        <w:rPr>
          <w:rFonts w:hint="eastAsia" w:ascii="宋体" w:hAnsi="宋体" w:cs="宋体"/>
          <w:color w:val="auto"/>
          <w:sz w:val="24"/>
        </w:rPr>
        <w:t xml:space="preserve">负有直接责任，或不能证明其履行其职责的； </w:t>
      </w:r>
    </w:p>
    <w:p w14:paraId="653B1E9F">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Ⅱ　路基土石方，路面各结构一次单项单点实体抽查合格率在50%以下的（单点合格率计算以设计值为准，达不到设计值的点为不合格点，下同）；或</w:t>
      </w:r>
    </w:p>
    <w:p w14:paraId="737FFEE7">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Ⅲ　砌筑、排水、小桥、涵洞等构造物，中小型预制构件，房建工程等一次单点实体抽查合格率小于50%的；或</w:t>
      </w:r>
    </w:p>
    <w:p w14:paraId="411323F0">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Ⅳ　特大桥、大桥、中桥、隧道、船闸、枢纽厂房、大坝等主要构造物，大型预制构件等一次单点实体抽查合格率小于60%的；或</w:t>
      </w:r>
    </w:p>
    <w:p w14:paraId="4B7A0ACA">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Ⅴ　未按要求进行自检，弄虚作假、捏造数据、伪造试验报告的。</w:t>
      </w:r>
    </w:p>
    <w:p w14:paraId="040514A8">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（f）因质量问题被地市级及以上交通主管部门、质量监督单位、公路管理机构通报（批评）的，可对</w:t>
      </w:r>
      <w:r>
        <w:rPr>
          <w:rFonts w:hint="eastAsia" w:ascii="宋体" w:hAnsi="宋体" w:cs="宋体"/>
          <w:color w:val="auto"/>
          <w:sz w:val="24"/>
          <w:lang w:eastAsia="zh-CN"/>
        </w:rPr>
        <w:t>乙方</w:t>
      </w:r>
      <w:r>
        <w:rPr>
          <w:rFonts w:hint="eastAsia" w:ascii="宋体" w:hAnsi="宋体" w:cs="宋体"/>
          <w:color w:val="auto"/>
          <w:sz w:val="24"/>
        </w:rPr>
        <w:t>处以20000元违约金，红牌警告10000元，黄牌警告5000元。</w:t>
      </w:r>
    </w:p>
    <w:p w14:paraId="16EEA06E">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b．安全生产管理</w:t>
      </w:r>
    </w:p>
    <w:p w14:paraId="445604E2">
      <w:pPr>
        <w:numPr>
          <w:ilvl w:val="0"/>
          <w:numId w:val="7"/>
        </w:num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出现下列行为之一的，责令限期改正，并处10000元的罚款：</w:t>
      </w:r>
    </w:p>
    <w:p w14:paraId="3993618E">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  </w:t>
      </w:r>
      <w:r>
        <w:rPr>
          <w:rFonts w:hint="eastAsia" w:ascii="宋体" w:hAnsi="宋体" w:cs="宋体"/>
          <w:color w:val="auto"/>
          <w:sz w:val="24"/>
        </w:rPr>
        <w:fldChar w:fldCharType="begin"/>
      </w:r>
      <w:r>
        <w:rPr>
          <w:rFonts w:hint="eastAsia" w:ascii="宋体" w:hAnsi="宋体" w:cs="宋体"/>
          <w:color w:val="auto"/>
          <w:sz w:val="24"/>
        </w:rPr>
        <w:instrText xml:space="preserve"> = 1 \* ROMAN \* MERGEFORMAT </w:instrText>
      </w:r>
      <w:r>
        <w:rPr>
          <w:rFonts w:hint="eastAsia" w:ascii="宋体" w:hAnsi="宋体" w:cs="宋体"/>
          <w:color w:val="auto"/>
          <w:sz w:val="24"/>
        </w:rPr>
        <w:fldChar w:fldCharType="separate"/>
      </w:r>
      <w:r>
        <w:rPr>
          <w:rFonts w:hint="eastAsia" w:ascii="宋体" w:hAnsi="宋体" w:cs="宋体"/>
          <w:color w:val="auto"/>
          <w:sz w:val="24"/>
        </w:rPr>
        <w:t>I</w:t>
      </w:r>
      <w:r>
        <w:rPr>
          <w:rFonts w:hint="eastAsia" w:ascii="宋体" w:hAnsi="宋体" w:cs="宋体"/>
          <w:color w:val="auto"/>
          <w:sz w:val="24"/>
        </w:rPr>
        <w:fldChar w:fldCharType="end"/>
      </w:r>
      <w:r>
        <w:rPr>
          <w:rFonts w:hint="eastAsia" w:ascii="宋体" w:hAnsi="宋体" w:cs="宋体"/>
          <w:color w:val="auto"/>
          <w:sz w:val="24"/>
        </w:rPr>
        <w:t xml:space="preserve">  未按照规定设置安全生产管理机构或者配备安全管理人员的；</w:t>
      </w:r>
    </w:p>
    <w:p w14:paraId="7EA3A039">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  </w:t>
      </w:r>
      <w:r>
        <w:rPr>
          <w:rFonts w:hint="eastAsia" w:ascii="宋体" w:hAnsi="宋体" w:cs="宋体"/>
          <w:color w:val="auto"/>
          <w:sz w:val="24"/>
        </w:rPr>
        <w:fldChar w:fldCharType="begin"/>
      </w:r>
      <w:r>
        <w:rPr>
          <w:rFonts w:hint="eastAsia" w:ascii="宋体" w:hAnsi="宋体" w:cs="宋体"/>
          <w:color w:val="auto"/>
          <w:sz w:val="24"/>
        </w:rPr>
        <w:instrText xml:space="preserve"> = 2 \* ROMAN \* MERGEFORMAT </w:instrText>
      </w:r>
      <w:r>
        <w:rPr>
          <w:rFonts w:hint="eastAsia" w:ascii="宋体" w:hAnsi="宋体" w:cs="宋体"/>
          <w:color w:val="auto"/>
          <w:sz w:val="24"/>
        </w:rPr>
        <w:fldChar w:fldCharType="separate"/>
      </w:r>
      <w:r>
        <w:rPr>
          <w:rFonts w:hint="eastAsia" w:ascii="宋体" w:hAnsi="宋体" w:cs="宋体"/>
          <w:color w:val="auto"/>
          <w:sz w:val="24"/>
        </w:rPr>
        <w:t>II</w:t>
      </w:r>
      <w:r>
        <w:rPr>
          <w:rFonts w:hint="eastAsia" w:ascii="宋体" w:hAnsi="宋体" w:cs="宋体"/>
          <w:color w:val="auto"/>
          <w:sz w:val="24"/>
        </w:rPr>
        <w:fldChar w:fldCharType="end"/>
      </w:r>
      <w:r>
        <w:rPr>
          <w:rFonts w:hint="eastAsia" w:ascii="宋体" w:hAnsi="宋体" w:cs="宋体"/>
          <w:color w:val="auto"/>
          <w:sz w:val="24"/>
        </w:rPr>
        <w:t xml:space="preserve">  未按规定对从业人员、被派遣劳动者、实习学生进行安全生产教育和培训，或者未按照规定如实告知有关的安全生产事项的；</w:t>
      </w:r>
    </w:p>
    <w:p w14:paraId="7DAF741A">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  </w:t>
      </w:r>
      <w:r>
        <w:rPr>
          <w:rFonts w:hint="eastAsia" w:ascii="宋体" w:hAnsi="宋体" w:cs="宋体"/>
          <w:color w:val="auto"/>
          <w:sz w:val="24"/>
        </w:rPr>
        <w:fldChar w:fldCharType="begin"/>
      </w:r>
      <w:r>
        <w:rPr>
          <w:rFonts w:hint="eastAsia" w:ascii="宋体" w:hAnsi="宋体" w:cs="宋体"/>
          <w:color w:val="auto"/>
          <w:sz w:val="24"/>
        </w:rPr>
        <w:instrText xml:space="preserve"> = 3 \* ROMAN \* MERGEFORMAT </w:instrText>
      </w:r>
      <w:r>
        <w:rPr>
          <w:rFonts w:hint="eastAsia" w:ascii="宋体" w:hAnsi="宋体" w:cs="宋体"/>
          <w:color w:val="auto"/>
          <w:sz w:val="24"/>
        </w:rPr>
        <w:fldChar w:fldCharType="separate"/>
      </w:r>
      <w:r>
        <w:rPr>
          <w:rFonts w:hint="eastAsia" w:ascii="宋体" w:hAnsi="宋体" w:cs="宋体"/>
          <w:color w:val="auto"/>
          <w:sz w:val="24"/>
        </w:rPr>
        <w:t>III</w:t>
      </w:r>
      <w:r>
        <w:rPr>
          <w:rFonts w:hint="eastAsia" w:ascii="宋体" w:hAnsi="宋体" w:cs="宋体"/>
          <w:color w:val="auto"/>
          <w:sz w:val="24"/>
        </w:rPr>
        <w:fldChar w:fldCharType="end"/>
      </w:r>
      <w:r>
        <w:rPr>
          <w:rFonts w:hint="eastAsia" w:ascii="宋体" w:hAnsi="宋体" w:cs="宋体"/>
          <w:color w:val="auto"/>
          <w:sz w:val="24"/>
        </w:rPr>
        <w:t xml:space="preserve">  未如实记录安全生产教育和培训情况的；</w:t>
      </w:r>
    </w:p>
    <w:p w14:paraId="167C1D69">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  </w:t>
      </w:r>
      <w:r>
        <w:rPr>
          <w:rFonts w:hint="eastAsia" w:ascii="宋体" w:hAnsi="宋体" w:cs="宋体"/>
          <w:color w:val="auto"/>
          <w:sz w:val="24"/>
        </w:rPr>
        <w:fldChar w:fldCharType="begin"/>
      </w:r>
      <w:r>
        <w:rPr>
          <w:rFonts w:hint="eastAsia" w:ascii="宋体" w:hAnsi="宋体" w:cs="宋体"/>
          <w:color w:val="auto"/>
          <w:sz w:val="24"/>
        </w:rPr>
        <w:instrText xml:space="preserve"> = 4 \* ROMAN \* MERGEFORMAT </w:instrText>
      </w:r>
      <w:r>
        <w:rPr>
          <w:rFonts w:hint="eastAsia" w:ascii="宋体" w:hAnsi="宋体" w:cs="宋体"/>
          <w:color w:val="auto"/>
          <w:sz w:val="24"/>
        </w:rPr>
        <w:fldChar w:fldCharType="separate"/>
      </w:r>
      <w:r>
        <w:rPr>
          <w:rFonts w:hint="eastAsia" w:ascii="宋体" w:hAnsi="宋体" w:cs="宋体"/>
          <w:color w:val="auto"/>
          <w:sz w:val="24"/>
        </w:rPr>
        <w:t>IV</w:t>
      </w:r>
      <w:r>
        <w:rPr>
          <w:rFonts w:hint="eastAsia" w:ascii="宋体" w:hAnsi="宋体" w:cs="宋体"/>
          <w:color w:val="auto"/>
          <w:sz w:val="24"/>
        </w:rPr>
        <w:fldChar w:fldCharType="end"/>
      </w:r>
      <w:r>
        <w:rPr>
          <w:rFonts w:hint="eastAsia" w:ascii="宋体" w:hAnsi="宋体" w:cs="宋体"/>
          <w:color w:val="auto"/>
          <w:sz w:val="24"/>
        </w:rPr>
        <w:t xml:space="preserve">  未将事故隐患排查治理情况如实记录或者未向从业人员通报的；</w:t>
      </w:r>
    </w:p>
    <w:p w14:paraId="113F4D81">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  </w:t>
      </w:r>
      <w:r>
        <w:rPr>
          <w:rFonts w:hint="eastAsia" w:ascii="宋体" w:hAnsi="宋体" w:cs="宋体"/>
          <w:color w:val="auto"/>
          <w:sz w:val="24"/>
        </w:rPr>
        <w:fldChar w:fldCharType="begin"/>
      </w:r>
      <w:r>
        <w:rPr>
          <w:rFonts w:hint="eastAsia" w:ascii="宋体" w:hAnsi="宋体" w:cs="宋体"/>
          <w:color w:val="auto"/>
          <w:sz w:val="24"/>
        </w:rPr>
        <w:instrText xml:space="preserve"> = 5 \* ROMAN \* MERGEFORMAT </w:instrText>
      </w:r>
      <w:r>
        <w:rPr>
          <w:rFonts w:hint="eastAsia" w:ascii="宋体" w:hAnsi="宋体" w:cs="宋体"/>
          <w:color w:val="auto"/>
          <w:sz w:val="24"/>
        </w:rPr>
        <w:fldChar w:fldCharType="separate"/>
      </w:r>
      <w:r>
        <w:rPr>
          <w:rFonts w:hint="eastAsia" w:ascii="宋体" w:hAnsi="宋体" w:cs="宋体"/>
          <w:color w:val="auto"/>
          <w:sz w:val="24"/>
        </w:rPr>
        <w:t>V</w:t>
      </w:r>
      <w:r>
        <w:rPr>
          <w:rFonts w:hint="eastAsia" w:ascii="宋体" w:hAnsi="宋体" w:cs="宋体"/>
          <w:color w:val="auto"/>
          <w:sz w:val="24"/>
        </w:rPr>
        <w:fldChar w:fldCharType="end"/>
      </w:r>
      <w:r>
        <w:rPr>
          <w:rFonts w:hint="eastAsia" w:ascii="宋体" w:hAnsi="宋体" w:cs="宋体"/>
          <w:color w:val="auto"/>
          <w:sz w:val="24"/>
        </w:rPr>
        <w:t xml:space="preserve">  未按照规定制定生产安全事故应急救援预案或者从业人员定期组织演练的；</w:t>
      </w:r>
    </w:p>
    <w:p w14:paraId="64EF64D2">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  </w:t>
      </w:r>
      <w:r>
        <w:rPr>
          <w:rFonts w:hint="eastAsia" w:ascii="宋体" w:hAnsi="宋体" w:cs="宋体"/>
          <w:color w:val="auto"/>
          <w:sz w:val="24"/>
        </w:rPr>
        <w:fldChar w:fldCharType="begin"/>
      </w:r>
      <w:r>
        <w:rPr>
          <w:rFonts w:hint="eastAsia" w:ascii="宋体" w:hAnsi="宋体" w:cs="宋体"/>
          <w:color w:val="auto"/>
          <w:sz w:val="24"/>
        </w:rPr>
        <w:instrText xml:space="preserve"> = 6 \* ROMAN \* MERGEFORMAT </w:instrText>
      </w:r>
      <w:r>
        <w:rPr>
          <w:rFonts w:hint="eastAsia" w:ascii="宋体" w:hAnsi="宋体" w:cs="宋体"/>
          <w:color w:val="auto"/>
          <w:sz w:val="24"/>
        </w:rPr>
        <w:fldChar w:fldCharType="separate"/>
      </w:r>
      <w:r>
        <w:rPr>
          <w:rFonts w:hint="eastAsia" w:ascii="宋体" w:hAnsi="宋体" w:cs="宋体"/>
          <w:color w:val="auto"/>
          <w:sz w:val="24"/>
        </w:rPr>
        <w:t>VI</w:t>
      </w:r>
      <w:r>
        <w:rPr>
          <w:rFonts w:hint="eastAsia" w:ascii="宋体" w:hAnsi="宋体" w:cs="宋体"/>
          <w:color w:val="auto"/>
          <w:sz w:val="24"/>
        </w:rPr>
        <w:fldChar w:fldCharType="end"/>
      </w:r>
      <w:r>
        <w:rPr>
          <w:rFonts w:hint="eastAsia" w:ascii="宋体" w:hAnsi="宋体" w:cs="宋体"/>
          <w:color w:val="auto"/>
          <w:sz w:val="24"/>
        </w:rPr>
        <w:t xml:space="preserve">  特种作业人员未按照规定经专门的安全作业培训并取得相应资格，上岗作业的；</w:t>
      </w:r>
    </w:p>
    <w:p w14:paraId="74FCB222">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  </w:t>
      </w:r>
      <w:r>
        <w:rPr>
          <w:rFonts w:hint="eastAsia" w:ascii="宋体" w:hAnsi="宋体" w:cs="宋体"/>
          <w:color w:val="auto"/>
          <w:sz w:val="24"/>
        </w:rPr>
        <w:fldChar w:fldCharType="begin"/>
      </w:r>
      <w:r>
        <w:rPr>
          <w:rFonts w:hint="eastAsia" w:ascii="宋体" w:hAnsi="宋体" w:cs="宋体"/>
          <w:color w:val="auto"/>
          <w:sz w:val="24"/>
        </w:rPr>
        <w:instrText xml:space="preserve"> = 7 \* ROMAN \* MERGEFORMAT </w:instrText>
      </w:r>
      <w:r>
        <w:rPr>
          <w:rFonts w:hint="eastAsia" w:ascii="宋体" w:hAnsi="宋体" w:cs="宋体"/>
          <w:color w:val="auto"/>
          <w:sz w:val="24"/>
        </w:rPr>
        <w:fldChar w:fldCharType="separate"/>
      </w:r>
      <w:r>
        <w:rPr>
          <w:rFonts w:hint="eastAsia" w:ascii="宋体" w:hAnsi="宋体" w:cs="宋体"/>
          <w:color w:val="auto"/>
          <w:sz w:val="24"/>
        </w:rPr>
        <w:t>VII</w:t>
      </w:r>
      <w:r>
        <w:rPr>
          <w:rFonts w:hint="eastAsia" w:ascii="宋体" w:hAnsi="宋体" w:cs="宋体"/>
          <w:color w:val="auto"/>
          <w:sz w:val="24"/>
        </w:rPr>
        <w:fldChar w:fldCharType="end"/>
      </w:r>
      <w:r>
        <w:rPr>
          <w:rFonts w:hint="eastAsia" w:ascii="宋体" w:hAnsi="宋体" w:cs="宋体"/>
          <w:color w:val="auto"/>
          <w:sz w:val="24"/>
        </w:rPr>
        <w:t xml:space="preserve">  未在有较大危险因素的施工场所和有关设施、设备上设置明显的安全警示标志的；</w:t>
      </w:r>
    </w:p>
    <w:p w14:paraId="3DF2AAAE">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  </w:t>
      </w:r>
      <w:r>
        <w:rPr>
          <w:rFonts w:hint="eastAsia" w:ascii="宋体" w:hAnsi="宋体" w:cs="宋体"/>
          <w:color w:val="auto"/>
          <w:sz w:val="24"/>
        </w:rPr>
        <w:fldChar w:fldCharType="begin"/>
      </w:r>
      <w:r>
        <w:rPr>
          <w:rFonts w:hint="eastAsia" w:ascii="宋体" w:hAnsi="宋体" w:cs="宋体"/>
          <w:color w:val="auto"/>
          <w:sz w:val="24"/>
        </w:rPr>
        <w:instrText xml:space="preserve"> = 8 \* ROMAN \* MERGEFORMAT </w:instrText>
      </w:r>
      <w:r>
        <w:rPr>
          <w:rFonts w:hint="eastAsia" w:ascii="宋体" w:hAnsi="宋体" w:cs="宋体"/>
          <w:color w:val="auto"/>
          <w:sz w:val="24"/>
        </w:rPr>
        <w:fldChar w:fldCharType="separate"/>
      </w:r>
      <w:r>
        <w:rPr>
          <w:rFonts w:hint="eastAsia" w:ascii="宋体" w:hAnsi="宋体" w:cs="宋体"/>
          <w:color w:val="auto"/>
          <w:sz w:val="24"/>
        </w:rPr>
        <w:t>VIII</w:t>
      </w:r>
      <w:r>
        <w:rPr>
          <w:rFonts w:hint="eastAsia" w:ascii="宋体" w:hAnsi="宋体" w:cs="宋体"/>
          <w:color w:val="auto"/>
          <w:sz w:val="24"/>
        </w:rPr>
        <w:fldChar w:fldCharType="end"/>
      </w:r>
      <w:r>
        <w:rPr>
          <w:rFonts w:hint="eastAsia" w:ascii="宋体" w:hAnsi="宋体" w:cs="宋体"/>
          <w:color w:val="auto"/>
          <w:sz w:val="24"/>
        </w:rPr>
        <w:t xml:space="preserve">  安全设备的安装、使用、检测、改造不符合国家标准或者行业标准的；</w:t>
      </w:r>
    </w:p>
    <w:p w14:paraId="18E46809">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  </w:t>
      </w:r>
      <w:r>
        <w:rPr>
          <w:rFonts w:hint="eastAsia" w:ascii="宋体" w:hAnsi="宋体" w:cs="宋体"/>
          <w:color w:val="auto"/>
          <w:sz w:val="24"/>
        </w:rPr>
        <w:fldChar w:fldCharType="begin"/>
      </w:r>
      <w:r>
        <w:rPr>
          <w:rFonts w:hint="eastAsia" w:ascii="宋体" w:hAnsi="宋体" w:cs="宋体"/>
          <w:color w:val="auto"/>
          <w:sz w:val="24"/>
        </w:rPr>
        <w:instrText xml:space="preserve"> = 9 \* ROMAN \* MERGEFORMAT </w:instrText>
      </w:r>
      <w:r>
        <w:rPr>
          <w:rFonts w:hint="eastAsia" w:ascii="宋体" w:hAnsi="宋体" w:cs="宋体"/>
          <w:color w:val="auto"/>
          <w:sz w:val="24"/>
        </w:rPr>
        <w:fldChar w:fldCharType="separate"/>
      </w:r>
      <w:r>
        <w:rPr>
          <w:rFonts w:hint="eastAsia" w:ascii="宋体" w:hAnsi="宋体" w:cs="宋体"/>
          <w:color w:val="auto"/>
          <w:sz w:val="24"/>
        </w:rPr>
        <w:t>IX</w:t>
      </w:r>
      <w:r>
        <w:rPr>
          <w:rFonts w:hint="eastAsia" w:ascii="宋体" w:hAnsi="宋体" w:cs="宋体"/>
          <w:color w:val="auto"/>
          <w:sz w:val="24"/>
        </w:rPr>
        <w:fldChar w:fldCharType="end"/>
      </w:r>
      <w:r>
        <w:rPr>
          <w:rFonts w:hint="eastAsia" w:ascii="宋体" w:hAnsi="宋体" w:cs="宋体"/>
          <w:color w:val="auto"/>
          <w:sz w:val="24"/>
        </w:rPr>
        <w:t xml:space="preserve">   未对安全设备进行经常性维护、保养和定期检测的；</w:t>
      </w:r>
    </w:p>
    <w:p w14:paraId="730DE48B">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  </w:t>
      </w:r>
      <w:r>
        <w:rPr>
          <w:rFonts w:hint="eastAsia" w:ascii="宋体" w:hAnsi="宋体" w:cs="宋体"/>
          <w:color w:val="auto"/>
          <w:sz w:val="24"/>
        </w:rPr>
        <w:fldChar w:fldCharType="begin"/>
      </w:r>
      <w:r>
        <w:rPr>
          <w:rFonts w:hint="eastAsia" w:ascii="宋体" w:hAnsi="宋体" w:cs="宋体"/>
          <w:color w:val="auto"/>
          <w:sz w:val="24"/>
        </w:rPr>
        <w:instrText xml:space="preserve"> = 10 \* ROMAN \* MERGEFORMAT </w:instrText>
      </w:r>
      <w:r>
        <w:rPr>
          <w:rFonts w:hint="eastAsia" w:ascii="宋体" w:hAnsi="宋体" w:cs="宋体"/>
          <w:color w:val="auto"/>
          <w:sz w:val="24"/>
        </w:rPr>
        <w:fldChar w:fldCharType="separate"/>
      </w:r>
      <w:r>
        <w:rPr>
          <w:rFonts w:hint="eastAsia" w:ascii="宋体" w:hAnsi="宋体" w:cs="宋体"/>
          <w:color w:val="auto"/>
          <w:sz w:val="24"/>
        </w:rPr>
        <w:t>X</w:t>
      </w:r>
      <w:r>
        <w:rPr>
          <w:rFonts w:hint="eastAsia" w:ascii="宋体" w:hAnsi="宋体" w:cs="宋体"/>
          <w:color w:val="auto"/>
          <w:sz w:val="24"/>
        </w:rPr>
        <w:fldChar w:fldCharType="end"/>
      </w:r>
      <w:r>
        <w:rPr>
          <w:rFonts w:hint="eastAsia" w:ascii="宋体" w:hAnsi="宋体" w:cs="宋体"/>
          <w:color w:val="auto"/>
          <w:sz w:val="24"/>
        </w:rPr>
        <w:t xml:space="preserve">   未为从业人员提供符合国家标准或者行业标准的劳动防护用品的。</w:t>
      </w:r>
    </w:p>
    <w:p w14:paraId="254135A9">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（b)出现下列行为之一的，责令限期改正，并处20000元的罚款：</w:t>
      </w:r>
    </w:p>
    <w:p w14:paraId="6BD3E725">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fldChar w:fldCharType="begin"/>
      </w:r>
      <w:r>
        <w:rPr>
          <w:rFonts w:hint="eastAsia" w:ascii="宋体" w:hAnsi="宋体" w:cs="宋体"/>
          <w:color w:val="auto"/>
          <w:sz w:val="24"/>
        </w:rPr>
        <w:instrText xml:space="preserve"> = 1 \* ROMAN \* MERGEFORMAT </w:instrText>
      </w:r>
      <w:r>
        <w:rPr>
          <w:rFonts w:hint="eastAsia" w:ascii="宋体" w:hAnsi="宋体" w:cs="宋体"/>
          <w:color w:val="auto"/>
          <w:sz w:val="24"/>
        </w:rPr>
        <w:fldChar w:fldCharType="separate"/>
      </w:r>
      <w:r>
        <w:rPr>
          <w:rFonts w:hint="eastAsia" w:ascii="宋体" w:hAnsi="宋体" w:cs="宋体"/>
          <w:color w:val="auto"/>
          <w:sz w:val="24"/>
        </w:rPr>
        <w:t>I</w:t>
      </w:r>
      <w:r>
        <w:rPr>
          <w:rFonts w:hint="eastAsia" w:ascii="宋体" w:hAnsi="宋体" w:cs="宋体"/>
          <w:color w:val="auto"/>
          <w:sz w:val="24"/>
        </w:rPr>
        <w:fldChar w:fldCharType="end"/>
      </w:r>
      <w:r>
        <w:rPr>
          <w:rFonts w:hint="eastAsia" w:ascii="宋体" w:hAnsi="宋体" w:cs="宋体"/>
          <w:color w:val="auto"/>
          <w:sz w:val="24"/>
        </w:rPr>
        <w:t xml:space="preserve">  运输、储存、使用危险物品或者处置废弃危险物品，未建立专门安全管理制度、未采取可靠的安全措施的；</w:t>
      </w:r>
    </w:p>
    <w:p w14:paraId="3FEDD04B">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fldChar w:fldCharType="begin"/>
      </w:r>
      <w:r>
        <w:rPr>
          <w:rFonts w:hint="eastAsia" w:ascii="宋体" w:hAnsi="宋体" w:cs="宋体"/>
          <w:color w:val="auto"/>
          <w:sz w:val="24"/>
        </w:rPr>
        <w:instrText xml:space="preserve"> = 2 \* ROMAN \* MERGEFORMAT </w:instrText>
      </w:r>
      <w:r>
        <w:rPr>
          <w:rFonts w:hint="eastAsia" w:ascii="宋体" w:hAnsi="宋体" w:cs="宋体"/>
          <w:color w:val="auto"/>
          <w:sz w:val="24"/>
        </w:rPr>
        <w:fldChar w:fldCharType="separate"/>
      </w:r>
      <w:r>
        <w:rPr>
          <w:rFonts w:hint="eastAsia" w:ascii="宋体" w:hAnsi="宋体" w:cs="宋体"/>
          <w:color w:val="auto"/>
          <w:sz w:val="24"/>
        </w:rPr>
        <w:t>II</w:t>
      </w:r>
      <w:r>
        <w:rPr>
          <w:rFonts w:hint="eastAsia" w:ascii="宋体" w:hAnsi="宋体" w:cs="宋体"/>
          <w:color w:val="auto"/>
          <w:sz w:val="24"/>
        </w:rPr>
        <w:fldChar w:fldCharType="end"/>
      </w:r>
      <w:r>
        <w:rPr>
          <w:rFonts w:hint="eastAsia" w:ascii="宋体" w:hAnsi="宋体" w:cs="宋体"/>
          <w:color w:val="auto"/>
          <w:sz w:val="24"/>
        </w:rPr>
        <w:t xml:space="preserve">  对重大危险源未登记建档，或者未进行评估、监控，或者未制定应急预案的；</w:t>
      </w:r>
    </w:p>
    <w:p w14:paraId="140F6551">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fldChar w:fldCharType="begin"/>
      </w:r>
      <w:r>
        <w:rPr>
          <w:rFonts w:hint="eastAsia" w:ascii="宋体" w:hAnsi="宋体" w:cs="宋体"/>
          <w:color w:val="auto"/>
          <w:sz w:val="24"/>
        </w:rPr>
        <w:instrText xml:space="preserve"> = 3 \* ROMAN \* MERGEFORMAT </w:instrText>
      </w:r>
      <w:r>
        <w:rPr>
          <w:rFonts w:hint="eastAsia" w:ascii="宋体" w:hAnsi="宋体" w:cs="宋体"/>
          <w:color w:val="auto"/>
          <w:sz w:val="24"/>
        </w:rPr>
        <w:fldChar w:fldCharType="separate"/>
      </w:r>
      <w:r>
        <w:rPr>
          <w:rFonts w:hint="eastAsia" w:ascii="宋体" w:hAnsi="宋体" w:cs="宋体"/>
          <w:color w:val="auto"/>
          <w:sz w:val="24"/>
        </w:rPr>
        <w:t>III</w:t>
      </w:r>
      <w:r>
        <w:rPr>
          <w:rFonts w:hint="eastAsia" w:ascii="宋体" w:hAnsi="宋体" w:cs="宋体"/>
          <w:color w:val="auto"/>
          <w:sz w:val="24"/>
        </w:rPr>
        <w:fldChar w:fldCharType="end"/>
      </w:r>
      <w:r>
        <w:rPr>
          <w:rFonts w:hint="eastAsia" w:ascii="宋体" w:hAnsi="宋体" w:cs="宋体"/>
          <w:color w:val="auto"/>
          <w:sz w:val="24"/>
        </w:rPr>
        <w:t xml:space="preserve">  进行爆破、吊装以及国务院安全生产监督管理部门会同国务院有关部门规定的其他危险作业，未安排专门人员进行现场安全管理的；</w:t>
      </w:r>
    </w:p>
    <w:p w14:paraId="06758EEA">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fldChar w:fldCharType="begin"/>
      </w:r>
      <w:r>
        <w:rPr>
          <w:rFonts w:hint="eastAsia" w:ascii="宋体" w:hAnsi="宋体" w:cs="宋体"/>
          <w:color w:val="auto"/>
          <w:sz w:val="24"/>
        </w:rPr>
        <w:instrText xml:space="preserve"> = 4 \* ROMAN \* MERGEFORMAT </w:instrText>
      </w:r>
      <w:r>
        <w:rPr>
          <w:rFonts w:hint="eastAsia" w:ascii="宋体" w:hAnsi="宋体" w:cs="宋体"/>
          <w:color w:val="auto"/>
          <w:sz w:val="24"/>
        </w:rPr>
        <w:fldChar w:fldCharType="separate"/>
      </w:r>
      <w:r>
        <w:rPr>
          <w:rFonts w:hint="eastAsia" w:ascii="宋体" w:hAnsi="宋体" w:cs="宋体"/>
          <w:color w:val="auto"/>
          <w:sz w:val="24"/>
        </w:rPr>
        <w:t>IV</w:t>
      </w:r>
      <w:r>
        <w:rPr>
          <w:rFonts w:hint="eastAsia" w:ascii="宋体" w:hAnsi="宋体" w:cs="宋体"/>
          <w:color w:val="auto"/>
          <w:sz w:val="24"/>
        </w:rPr>
        <w:fldChar w:fldCharType="end"/>
      </w:r>
      <w:r>
        <w:rPr>
          <w:rFonts w:hint="eastAsia" w:ascii="宋体" w:hAnsi="宋体" w:cs="宋体"/>
          <w:color w:val="auto"/>
          <w:sz w:val="24"/>
        </w:rPr>
        <w:t xml:space="preserve">  未建立事故隐患排查治理制度的。</w:t>
      </w:r>
    </w:p>
    <w:p w14:paraId="3D9A3B05">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（c）出现下列行为之一可处1000元/（人）次。</w:t>
      </w:r>
    </w:p>
    <w:p w14:paraId="328850C8">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fldChar w:fldCharType="begin"/>
      </w:r>
      <w:r>
        <w:rPr>
          <w:rFonts w:hint="eastAsia" w:ascii="宋体" w:hAnsi="宋体" w:cs="宋体"/>
          <w:color w:val="auto"/>
          <w:sz w:val="24"/>
        </w:rPr>
        <w:instrText xml:space="preserve"> = 1 \* ROMAN \* MERGEFORMAT </w:instrText>
      </w:r>
      <w:r>
        <w:rPr>
          <w:rFonts w:hint="eastAsia" w:ascii="宋体" w:hAnsi="宋体" w:cs="宋体"/>
          <w:color w:val="auto"/>
          <w:sz w:val="24"/>
        </w:rPr>
        <w:fldChar w:fldCharType="separate"/>
      </w:r>
      <w:r>
        <w:rPr>
          <w:rFonts w:hint="eastAsia" w:ascii="宋体" w:hAnsi="宋体" w:cs="宋体"/>
          <w:color w:val="auto"/>
          <w:sz w:val="24"/>
        </w:rPr>
        <w:t>I</w:t>
      </w:r>
      <w:r>
        <w:rPr>
          <w:rFonts w:hint="eastAsia" w:ascii="宋体" w:hAnsi="宋体" w:cs="宋体"/>
          <w:color w:val="auto"/>
          <w:sz w:val="24"/>
        </w:rPr>
        <w:fldChar w:fldCharType="end"/>
      </w:r>
      <w:r>
        <w:rPr>
          <w:rFonts w:hint="eastAsia" w:ascii="宋体" w:hAnsi="宋体" w:cs="宋体"/>
          <w:color w:val="auto"/>
          <w:sz w:val="24"/>
        </w:rPr>
        <w:t>　 需配戴安全防护用具作业但未按规定配戴的；或</w:t>
      </w:r>
    </w:p>
    <w:p w14:paraId="4D8458A2">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    Ⅱ  无安全生产检查日志；或</w:t>
      </w:r>
    </w:p>
    <w:p w14:paraId="6D72715C">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Ⅲ　需设安全防护设施的未按规定设置；或</w:t>
      </w:r>
    </w:p>
    <w:p w14:paraId="5CDB949A">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Ⅳ  发生重大安全事故不按规定报告的。</w:t>
      </w:r>
    </w:p>
    <w:p w14:paraId="5D492DA5">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(d)出现下列行为之一可处10000元/处次。</w:t>
      </w:r>
    </w:p>
    <w:p w14:paraId="7A7404C3">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　出现一般安全生事故负有责任的.</w:t>
      </w:r>
    </w:p>
    <w:p w14:paraId="0CB15582">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（e）出现下列行为之一可处20000元/处次。</w:t>
      </w:r>
    </w:p>
    <w:p w14:paraId="381E7902">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  出现重大安全生产事故负有责任的。</w:t>
      </w:r>
    </w:p>
    <w:p w14:paraId="2D0C5473">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c．文明施工与环境保护，交通通畅</w:t>
      </w:r>
    </w:p>
    <w:p w14:paraId="52B986DB">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（a）路基路面施工扬尘影响交通安全的处500元/处天；</w:t>
      </w:r>
    </w:p>
    <w:p w14:paraId="366A3623">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（b）由于施工原因造成污染、破坏被群众向政府、主管单位投诉或被环保、水利部门责令整改的，处1000元/次。</w:t>
      </w:r>
    </w:p>
    <w:p w14:paraId="1D49C3D5">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（c）由于</w:t>
      </w:r>
      <w:r>
        <w:rPr>
          <w:rFonts w:hint="eastAsia" w:ascii="宋体" w:hAnsi="宋体" w:cs="宋体"/>
          <w:color w:val="auto"/>
          <w:sz w:val="24"/>
          <w:lang w:eastAsia="zh-CN"/>
        </w:rPr>
        <w:t>乙方</w:t>
      </w:r>
      <w:r>
        <w:rPr>
          <w:rFonts w:hint="eastAsia" w:ascii="宋体" w:hAnsi="宋体" w:cs="宋体"/>
          <w:color w:val="auto"/>
          <w:sz w:val="24"/>
        </w:rPr>
        <w:t>原因包括不及时处理堵车造成交通堵塞，堵车30分钟至一小时的处5000元/次，堵车一小时至二小时的处1万元/次，堵车二小时以上的处每小时（不满1小时按1小时计）1万元，并建议上级主管单位进行通报。</w:t>
      </w:r>
    </w:p>
    <w:p w14:paraId="2D243BB1">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d．其他重要规定违约处理</w:t>
      </w:r>
    </w:p>
    <w:p w14:paraId="1353F277">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　有下列行为之一的处500元/人次违约金并责令</w:t>
      </w:r>
      <w:r>
        <w:rPr>
          <w:rFonts w:hint="eastAsia" w:ascii="宋体" w:hAnsi="宋体" w:cs="宋体"/>
          <w:color w:val="auto"/>
          <w:sz w:val="24"/>
          <w:lang w:eastAsia="zh-CN"/>
        </w:rPr>
        <w:t>乙方</w:t>
      </w:r>
      <w:r>
        <w:rPr>
          <w:rFonts w:hint="eastAsia" w:ascii="宋体" w:hAnsi="宋体" w:cs="宋体"/>
          <w:color w:val="auto"/>
          <w:sz w:val="24"/>
        </w:rPr>
        <w:t>进行整改。</w:t>
      </w:r>
    </w:p>
    <w:p w14:paraId="20E93633">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(a)  劳务人员未按规定签订聘用合同并向业主、监理工程师报备；或</w:t>
      </w:r>
    </w:p>
    <w:p w14:paraId="4487A955">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(b )　签订的劳务合同不符合劳动法等法规要求；或</w:t>
      </w:r>
    </w:p>
    <w:p w14:paraId="042C4141">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(c )　劳务人员未编入</w:t>
      </w:r>
      <w:r>
        <w:rPr>
          <w:rFonts w:hint="eastAsia" w:ascii="宋体" w:hAnsi="宋体" w:cs="宋体"/>
          <w:color w:val="auto"/>
          <w:sz w:val="24"/>
          <w:lang w:eastAsia="zh-CN"/>
        </w:rPr>
        <w:t>乙方</w:t>
      </w:r>
      <w:r>
        <w:rPr>
          <w:rFonts w:hint="eastAsia" w:ascii="宋体" w:hAnsi="宋体" w:cs="宋体"/>
          <w:color w:val="auto"/>
          <w:sz w:val="24"/>
        </w:rPr>
        <w:t>施工班组，并持项目经理签发的劳务上岗证上岗。</w:t>
      </w:r>
    </w:p>
    <w:p w14:paraId="5269CC3F">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（12）</w:t>
      </w:r>
      <w:r>
        <w:rPr>
          <w:rFonts w:hint="eastAsia" w:ascii="宋体" w:hAnsi="宋体" w:cs="宋体"/>
          <w:color w:val="auto"/>
          <w:kern w:val="0"/>
          <w:sz w:val="24"/>
        </w:rPr>
        <w:t>施工单位对于监理检查或建设办检查所发现的不符合安全要求事项被责令整改，整改不能在规定时间内完成，每延期一天按500元追索违约金。同一违规事项连续在2次月度检查中出现时，每发生一次按500元追索违约金。</w:t>
      </w:r>
    </w:p>
    <w:p w14:paraId="7295FBCC">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（13）上述被处的违约金</w:t>
      </w:r>
      <w:r>
        <w:rPr>
          <w:rFonts w:hint="eastAsia" w:ascii="宋体" w:hAnsi="宋体" w:cs="宋体"/>
          <w:color w:val="auto"/>
          <w:sz w:val="24"/>
          <w:lang w:eastAsia="zh-CN"/>
        </w:rPr>
        <w:t>乙方</w:t>
      </w:r>
      <w:r>
        <w:rPr>
          <w:rFonts w:hint="eastAsia" w:ascii="宋体" w:hAnsi="宋体" w:cs="宋体"/>
          <w:color w:val="auto"/>
          <w:sz w:val="24"/>
        </w:rPr>
        <w:t>须以现金方式汇入业主指定的专用帐户，拒不执行者业主可在计量支付时无条件扣除并汇入指定的专用帐户。</w:t>
      </w:r>
    </w:p>
    <w:p w14:paraId="6AFF62AE">
      <w:pPr>
        <w:tabs>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（14）业主（招标人）按合同进行违约处理后，并不解除</w:t>
      </w:r>
      <w:r>
        <w:rPr>
          <w:rFonts w:hint="eastAsia" w:ascii="宋体" w:hAnsi="宋体" w:cs="宋体"/>
          <w:color w:val="auto"/>
          <w:sz w:val="24"/>
          <w:lang w:eastAsia="zh-CN"/>
        </w:rPr>
        <w:t>乙方</w:t>
      </w:r>
      <w:r>
        <w:rPr>
          <w:rFonts w:hint="eastAsia" w:ascii="宋体" w:hAnsi="宋体" w:cs="宋体"/>
          <w:color w:val="auto"/>
          <w:sz w:val="24"/>
        </w:rPr>
        <w:t>按照国家法规与合同应承担的责任与义务。</w:t>
      </w:r>
    </w:p>
    <w:p w14:paraId="5FB12EA2">
      <w:pPr>
        <w:tabs>
          <w:tab w:val="left" w:pos="1080"/>
        </w:tabs>
        <w:spacing w:line="360" w:lineRule="auto"/>
        <w:ind w:firstLine="560" w:firstLineChars="200"/>
        <w:rPr>
          <w:rFonts w:hint="eastAsia" w:ascii="宋体" w:hAnsi="宋体" w:cs="宋体"/>
          <w:color w:val="auto"/>
          <w:sz w:val="28"/>
          <w:szCs w:val="28"/>
        </w:rPr>
      </w:pPr>
    </w:p>
    <w:p w14:paraId="447E434D">
      <w:pPr>
        <w:tabs>
          <w:tab w:val="left" w:pos="1080"/>
        </w:tabs>
        <w:spacing w:line="360" w:lineRule="auto"/>
        <w:ind w:firstLine="420" w:firstLineChars="200"/>
        <w:rPr>
          <w:rFonts w:hint="eastAsia" w:ascii="宋体" w:hAnsi="宋体" w:cs="宋体"/>
          <w:color w:val="auto"/>
          <w:szCs w:val="21"/>
        </w:rPr>
      </w:pPr>
    </w:p>
    <w:p w14:paraId="235275E1">
      <w:pPr>
        <w:tabs>
          <w:tab w:val="left" w:pos="1080"/>
        </w:tabs>
        <w:spacing w:line="360" w:lineRule="auto"/>
        <w:ind w:firstLine="420" w:firstLineChars="200"/>
        <w:rPr>
          <w:rFonts w:hint="eastAsia" w:ascii="宋体" w:hAnsi="宋体" w:cs="宋体"/>
          <w:color w:val="auto"/>
          <w:szCs w:val="21"/>
        </w:rPr>
      </w:pPr>
    </w:p>
    <w:p w14:paraId="1A243910">
      <w:pPr>
        <w:tabs>
          <w:tab w:val="left" w:pos="1080"/>
        </w:tabs>
        <w:spacing w:line="360" w:lineRule="auto"/>
        <w:rPr>
          <w:rFonts w:hint="eastAsia" w:ascii="宋体" w:hAnsi="宋体" w:cs="宋体"/>
          <w:color w:val="auto"/>
          <w:szCs w:val="21"/>
        </w:rPr>
      </w:pPr>
    </w:p>
    <w:p w14:paraId="0C19059A">
      <w:pPr>
        <w:tabs>
          <w:tab w:val="left" w:pos="1080"/>
        </w:tabs>
        <w:spacing w:line="360" w:lineRule="auto"/>
        <w:rPr>
          <w:rFonts w:hint="eastAsia" w:ascii="宋体" w:hAnsi="宋体" w:cs="宋体"/>
          <w:color w:val="auto"/>
          <w:szCs w:val="21"/>
        </w:rPr>
      </w:pPr>
    </w:p>
    <w:p w14:paraId="72E67BA6">
      <w:pPr>
        <w:tabs>
          <w:tab w:val="left" w:pos="1080"/>
        </w:tabs>
        <w:spacing w:line="360" w:lineRule="auto"/>
        <w:ind w:firstLine="420" w:firstLineChars="200"/>
        <w:rPr>
          <w:rFonts w:hint="eastAsia" w:ascii="宋体" w:hAnsi="宋体" w:cs="宋体"/>
          <w:color w:val="auto"/>
          <w:szCs w:val="21"/>
        </w:rPr>
      </w:pPr>
    </w:p>
    <w:p w14:paraId="344466E7">
      <w:pPr>
        <w:tabs>
          <w:tab w:val="left" w:pos="1080"/>
        </w:tabs>
        <w:spacing w:line="360" w:lineRule="auto"/>
        <w:ind w:firstLine="420" w:firstLineChars="200"/>
        <w:rPr>
          <w:rFonts w:hint="eastAsia" w:ascii="宋体" w:hAnsi="宋体" w:cs="宋体"/>
          <w:color w:val="auto"/>
          <w:szCs w:val="21"/>
        </w:rPr>
      </w:pPr>
    </w:p>
    <w:p w14:paraId="3869516F">
      <w:pPr>
        <w:tabs>
          <w:tab w:val="left" w:pos="1080"/>
        </w:tabs>
        <w:spacing w:line="360" w:lineRule="auto"/>
        <w:ind w:firstLine="420" w:firstLineChars="200"/>
        <w:rPr>
          <w:rFonts w:hint="eastAsia" w:ascii="宋体" w:hAnsi="宋体" w:cs="宋体"/>
          <w:color w:val="auto"/>
          <w:szCs w:val="21"/>
        </w:rPr>
      </w:pPr>
    </w:p>
    <w:p w14:paraId="4CFF6ED9">
      <w:pPr>
        <w:tabs>
          <w:tab w:val="left" w:pos="1080"/>
        </w:tabs>
        <w:spacing w:line="360" w:lineRule="auto"/>
        <w:ind w:firstLine="420" w:firstLineChars="200"/>
        <w:rPr>
          <w:rFonts w:hint="eastAsia" w:ascii="宋体" w:hAnsi="宋体" w:cs="宋体"/>
          <w:color w:val="auto"/>
          <w:szCs w:val="21"/>
        </w:rPr>
      </w:pPr>
    </w:p>
    <w:p w14:paraId="1E7FFC03">
      <w:pPr>
        <w:tabs>
          <w:tab w:val="left" w:pos="1080"/>
        </w:tabs>
        <w:spacing w:line="360" w:lineRule="auto"/>
        <w:ind w:firstLine="420" w:firstLineChars="200"/>
        <w:rPr>
          <w:rFonts w:hint="eastAsia" w:ascii="宋体" w:hAnsi="宋体" w:cs="宋体"/>
          <w:color w:val="auto"/>
          <w:szCs w:val="21"/>
        </w:rPr>
      </w:pPr>
    </w:p>
    <w:p w14:paraId="4F211CF9">
      <w:pPr>
        <w:tabs>
          <w:tab w:val="left" w:pos="1080"/>
        </w:tabs>
        <w:spacing w:line="360" w:lineRule="auto"/>
        <w:rPr>
          <w:rFonts w:hint="eastAsia" w:ascii="宋体" w:hAnsi="宋体" w:cs="宋体"/>
          <w:color w:val="auto"/>
          <w:szCs w:val="21"/>
        </w:rPr>
      </w:pPr>
    </w:p>
    <w:p w14:paraId="565EAF2D">
      <w:pPr>
        <w:tabs>
          <w:tab w:val="left" w:pos="1080"/>
        </w:tabs>
        <w:spacing w:line="320" w:lineRule="exact"/>
        <w:rPr>
          <w:rFonts w:hint="eastAsia" w:ascii="宋体" w:hAnsi="宋体" w:cs="宋体"/>
          <w:b/>
          <w:color w:val="auto"/>
          <w:kern w:val="1"/>
        </w:rPr>
      </w:pPr>
    </w:p>
    <w:p w14:paraId="0124A09E">
      <w:pPr>
        <w:tabs>
          <w:tab w:val="left" w:pos="1080"/>
        </w:tabs>
        <w:spacing w:line="320" w:lineRule="exact"/>
        <w:rPr>
          <w:rFonts w:hint="eastAsia" w:ascii="宋体" w:hAnsi="宋体" w:cs="宋体"/>
          <w:b/>
          <w:color w:val="auto"/>
          <w:kern w:val="1"/>
        </w:rPr>
      </w:pPr>
    </w:p>
    <w:p w14:paraId="612295C2">
      <w:pPr>
        <w:tabs>
          <w:tab w:val="left" w:pos="1080"/>
        </w:tabs>
        <w:spacing w:line="320" w:lineRule="exact"/>
        <w:rPr>
          <w:rFonts w:hint="eastAsia" w:ascii="宋体" w:hAnsi="宋体" w:cs="宋体"/>
          <w:b/>
          <w:color w:val="auto"/>
          <w:kern w:val="1"/>
        </w:rPr>
      </w:pPr>
    </w:p>
    <w:p w14:paraId="63A17340">
      <w:pPr>
        <w:tabs>
          <w:tab w:val="left" w:pos="1080"/>
        </w:tabs>
        <w:spacing w:line="320" w:lineRule="exact"/>
        <w:rPr>
          <w:rFonts w:hint="eastAsia" w:ascii="宋体" w:hAnsi="宋体" w:cs="宋体"/>
          <w:b/>
          <w:color w:val="auto"/>
          <w:kern w:val="1"/>
        </w:rPr>
      </w:pPr>
    </w:p>
    <w:p w14:paraId="19A98ACF">
      <w:pPr>
        <w:tabs>
          <w:tab w:val="left" w:pos="1080"/>
        </w:tabs>
        <w:spacing w:line="320" w:lineRule="exact"/>
        <w:rPr>
          <w:rFonts w:hint="eastAsia" w:ascii="宋体" w:hAnsi="宋体" w:cs="宋体"/>
          <w:b/>
          <w:color w:val="auto"/>
          <w:kern w:val="1"/>
        </w:rPr>
      </w:pPr>
    </w:p>
    <w:p w14:paraId="344EEAAD">
      <w:pPr>
        <w:tabs>
          <w:tab w:val="left" w:pos="1080"/>
        </w:tabs>
        <w:spacing w:line="320" w:lineRule="exact"/>
        <w:rPr>
          <w:rFonts w:hint="eastAsia" w:ascii="宋体" w:hAnsi="宋体" w:cs="宋体"/>
          <w:b/>
          <w:color w:val="auto"/>
          <w:kern w:val="1"/>
        </w:rPr>
      </w:pPr>
    </w:p>
    <w:p w14:paraId="4619F389">
      <w:pPr>
        <w:tabs>
          <w:tab w:val="left" w:pos="1080"/>
        </w:tabs>
        <w:spacing w:line="320" w:lineRule="exact"/>
        <w:rPr>
          <w:rFonts w:hint="eastAsia" w:ascii="宋体" w:hAnsi="宋体" w:cs="宋体"/>
          <w:b/>
          <w:color w:val="auto"/>
          <w:kern w:val="1"/>
        </w:rPr>
      </w:pPr>
    </w:p>
    <w:p w14:paraId="58E9E959">
      <w:pPr>
        <w:tabs>
          <w:tab w:val="left" w:pos="1080"/>
        </w:tabs>
        <w:spacing w:line="320" w:lineRule="exact"/>
        <w:rPr>
          <w:rFonts w:hint="eastAsia" w:ascii="宋体" w:hAnsi="宋体" w:cs="宋体"/>
          <w:b/>
          <w:color w:val="auto"/>
          <w:kern w:val="1"/>
        </w:rPr>
      </w:pPr>
    </w:p>
    <w:p w14:paraId="7D08121F">
      <w:pPr>
        <w:tabs>
          <w:tab w:val="left" w:pos="1080"/>
        </w:tabs>
        <w:spacing w:line="320" w:lineRule="exact"/>
        <w:rPr>
          <w:rFonts w:hint="eastAsia" w:ascii="宋体" w:hAnsi="宋体" w:cs="宋体"/>
          <w:b/>
          <w:color w:val="auto"/>
          <w:kern w:val="1"/>
        </w:rPr>
      </w:pPr>
    </w:p>
    <w:p w14:paraId="5BF57FBC">
      <w:pPr>
        <w:tabs>
          <w:tab w:val="left" w:pos="1080"/>
        </w:tabs>
        <w:spacing w:line="320" w:lineRule="exact"/>
        <w:rPr>
          <w:rFonts w:hint="eastAsia" w:ascii="宋体" w:hAnsi="宋体" w:cs="宋体"/>
          <w:b/>
          <w:color w:val="auto"/>
          <w:kern w:val="1"/>
        </w:rPr>
      </w:pPr>
    </w:p>
    <w:p w14:paraId="25FB340A">
      <w:pPr>
        <w:tabs>
          <w:tab w:val="left" w:pos="1080"/>
        </w:tabs>
        <w:spacing w:line="320" w:lineRule="exact"/>
        <w:rPr>
          <w:rFonts w:hint="eastAsia" w:ascii="宋体" w:hAnsi="宋体" w:cs="宋体"/>
          <w:b/>
          <w:color w:val="auto"/>
          <w:kern w:val="1"/>
        </w:rPr>
      </w:pPr>
    </w:p>
    <w:p w14:paraId="5B9B4EB5">
      <w:pPr>
        <w:tabs>
          <w:tab w:val="left" w:pos="1080"/>
        </w:tabs>
        <w:spacing w:line="320" w:lineRule="exact"/>
        <w:rPr>
          <w:rFonts w:hint="eastAsia" w:ascii="宋体" w:hAnsi="宋体" w:cs="宋体"/>
          <w:b/>
          <w:color w:val="auto"/>
          <w:kern w:val="1"/>
        </w:rPr>
      </w:pPr>
    </w:p>
    <w:p w14:paraId="2E01D04E">
      <w:pPr>
        <w:tabs>
          <w:tab w:val="left" w:pos="1080"/>
        </w:tabs>
        <w:spacing w:line="320" w:lineRule="exact"/>
        <w:rPr>
          <w:rFonts w:hint="eastAsia" w:ascii="宋体" w:hAnsi="宋体" w:cs="宋体"/>
          <w:b/>
          <w:color w:val="auto"/>
          <w:kern w:val="1"/>
        </w:rPr>
      </w:pPr>
    </w:p>
    <w:p w14:paraId="0DCF1053">
      <w:pPr>
        <w:tabs>
          <w:tab w:val="left" w:pos="1080"/>
        </w:tabs>
        <w:spacing w:line="320" w:lineRule="exact"/>
        <w:rPr>
          <w:rFonts w:hint="eastAsia" w:ascii="宋体" w:hAnsi="宋体" w:cs="宋体"/>
          <w:b/>
          <w:color w:val="auto"/>
          <w:kern w:val="1"/>
        </w:rPr>
      </w:pPr>
    </w:p>
    <w:p w14:paraId="37F99DF7">
      <w:pPr>
        <w:tabs>
          <w:tab w:val="left" w:pos="1080"/>
        </w:tabs>
        <w:spacing w:line="320" w:lineRule="exact"/>
        <w:rPr>
          <w:rFonts w:hint="eastAsia" w:ascii="宋体" w:hAnsi="宋体" w:cs="宋体"/>
          <w:b/>
          <w:color w:val="auto"/>
          <w:kern w:val="1"/>
        </w:rPr>
      </w:pPr>
    </w:p>
    <w:p w14:paraId="4C859A9F">
      <w:pPr>
        <w:tabs>
          <w:tab w:val="left" w:pos="1080"/>
        </w:tabs>
        <w:spacing w:line="320" w:lineRule="exact"/>
        <w:rPr>
          <w:rFonts w:hint="eastAsia" w:ascii="宋体" w:hAnsi="宋体" w:cs="宋体"/>
          <w:b/>
          <w:color w:val="auto"/>
          <w:kern w:val="1"/>
        </w:rPr>
      </w:pPr>
    </w:p>
    <w:p w14:paraId="64075398">
      <w:pPr>
        <w:tabs>
          <w:tab w:val="left" w:pos="1080"/>
        </w:tabs>
        <w:spacing w:line="320" w:lineRule="exact"/>
        <w:rPr>
          <w:rFonts w:hint="eastAsia" w:ascii="宋体" w:hAnsi="宋体" w:cs="宋体"/>
          <w:b/>
          <w:color w:val="auto"/>
          <w:kern w:val="1"/>
        </w:rPr>
      </w:pPr>
    </w:p>
    <w:p w14:paraId="746F136F">
      <w:pPr>
        <w:tabs>
          <w:tab w:val="left" w:pos="1080"/>
        </w:tabs>
        <w:spacing w:line="320" w:lineRule="exact"/>
        <w:rPr>
          <w:rFonts w:hint="eastAsia" w:ascii="宋体" w:hAnsi="宋体" w:cs="宋体"/>
          <w:b/>
          <w:color w:val="auto"/>
          <w:kern w:val="1"/>
        </w:rPr>
      </w:pPr>
    </w:p>
    <w:p w14:paraId="7841606C">
      <w:pPr>
        <w:tabs>
          <w:tab w:val="left" w:pos="1080"/>
        </w:tabs>
        <w:spacing w:line="320" w:lineRule="exact"/>
        <w:rPr>
          <w:rFonts w:hint="eastAsia" w:ascii="宋体" w:hAnsi="宋体" w:cs="宋体"/>
          <w:b/>
          <w:color w:val="auto"/>
          <w:kern w:val="1"/>
        </w:rPr>
      </w:pPr>
    </w:p>
    <w:p w14:paraId="152A50E0">
      <w:pPr>
        <w:tabs>
          <w:tab w:val="left" w:pos="1080"/>
        </w:tabs>
        <w:spacing w:line="320" w:lineRule="exact"/>
        <w:rPr>
          <w:rFonts w:hint="eastAsia" w:ascii="宋体" w:hAnsi="宋体" w:cs="宋体"/>
          <w:b/>
          <w:color w:val="auto"/>
          <w:kern w:val="1"/>
        </w:rPr>
      </w:pPr>
    </w:p>
    <w:p w14:paraId="3DE5BB32">
      <w:pPr>
        <w:tabs>
          <w:tab w:val="left" w:pos="1080"/>
        </w:tabs>
        <w:spacing w:line="320" w:lineRule="exact"/>
        <w:rPr>
          <w:rFonts w:hint="eastAsia" w:ascii="宋体" w:hAnsi="宋体" w:cs="宋体"/>
          <w:b/>
          <w:color w:val="auto"/>
          <w:kern w:val="1"/>
        </w:rPr>
      </w:pPr>
    </w:p>
    <w:p w14:paraId="444D9502">
      <w:pPr>
        <w:tabs>
          <w:tab w:val="left" w:pos="1080"/>
        </w:tabs>
        <w:spacing w:line="320" w:lineRule="exact"/>
        <w:rPr>
          <w:rFonts w:hint="eastAsia" w:ascii="宋体" w:hAnsi="宋体" w:cs="宋体"/>
          <w:b/>
          <w:color w:val="auto"/>
          <w:kern w:val="1"/>
        </w:rPr>
      </w:pPr>
    </w:p>
    <w:p w14:paraId="0AB8CA3A">
      <w:pPr>
        <w:tabs>
          <w:tab w:val="left" w:pos="1080"/>
        </w:tabs>
        <w:spacing w:line="320" w:lineRule="exact"/>
        <w:rPr>
          <w:rFonts w:hint="eastAsia" w:ascii="宋体" w:hAnsi="宋体" w:cs="宋体"/>
          <w:b/>
          <w:color w:val="auto"/>
          <w:kern w:val="1"/>
        </w:rPr>
      </w:pPr>
    </w:p>
    <w:p w14:paraId="7FEFA078">
      <w:pPr>
        <w:tabs>
          <w:tab w:val="left" w:pos="1080"/>
        </w:tabs>
        <w:spacing w:line="320" w:lineRule="exact"/>
        <w:rPr>
          <w:rFonts w:hint="eastAsia" w:ascii="宋体" w:hAnsi="宋体" w:cs="宋体"/>
          <w:b/>
          <w:color w:val="auto"/>
          <w:kern w:val="1"/>
        </w:rPr>
      </w:pPr>
    </w:p>
    <w:p w14:paraId="1C03D454">
      <w:pPr>
        <w:tabs>
          <w:tab w:val="left" w:pos="1080"/>
        </w:tabs>
        <w:spacing w:line="320" w:lineRule="exact"/>
        <w:rPr>
          <w:rFonts w:hint="eastAsia" w:ascii="宋体" w:hAnsi="宋体" w:cs="宋体"/>
          <w:b/>
          <w:color w:val="auto"/>
          <w:kern w:val="1"/>
        </w:rPr>
      </w:pPr>
    </w:p>
    <w:p w14:paraId="25FEE2E4">
      <w:pPr>
        <w:tabs>
          <w:tab w:val="left" w:pos="1080"/>
        </w:tabs>
        <w:spacing w:line="320" w:lineRule="exact"/>
        <w:rPr>
          <w:rFonts w:hint="eastAsia" w:ascii="宋体" w:hAnsi="宋体" w:cs="宋体"/>
          <w:b/>
          <w:color w:val="auto"/>
          <w:kern w:val="1"/>
        </w:rPr>
      </w:pPr>
    </w:p>
    <w:p w14:paraId="19A8E737">
      <w:pPr>
        <w:tabs>
          <w:tab w:val="left" w:pos="1080"/>
        </w:tabs>
        <w:spacing w:line="400" w:lineRule="exact"/>
        <w:jc w:val="center"/>
        <w:rPr>
          <w:rFonts w:hint="eastAsia" w:ascii="宋体" w:hAnsi="宋体"/>
          <w:b/>
          <w:color w:val="auto"/>
          <w:sz w:val="36"/>
          <w:szCs w:val="36"/>
        </w:rPr>
      </w:pPr>
      <w:r>
        <w:rPr>
          <w:rFonts w:hint="eastAsia" w:ascii="宋体" w:hAnsi="宋体"/>
          <w:b/>
          <w:color w:val="auto"/>
          <w:sz w:val="36"/>
          <w:szCs w:val="36"/>
        </w:rPr>
        <w:t>技术规范专用条款</w:t>
      </w:r>
    </w:p>
    <w:p w14:paraId="44877C4A">
      <w:pPr>
        <w:tabs>
          <w:tab w:val="left" w:pos="1080"/>
        </w:tabs>
        <w:spacing w:line="400" w:lineRule="exact"/>
        <w:jc w:val="center"/>
        <w:rPr>
          <w:rFonts w:hint="eastAsia" w:ascii="黑体" w:hAnsi="黑体" w:eastAsia="黑体"/>
          <w:b/>
          <w:color w:val="auto"/>
          <w:sz w:val="36"/>
          <w:szCs w:val="36"/>
        </w:rPr>
      </w:pPr>
    </w:p>
    <w:p w14:paraId="63A49818">
      <w:pPr>
        <w:spacing w:line="360" w:lineRule="auto"/>
        <w:rPr>
          <w:rFonts w:hint="eastAsia" w:ascii="宋体" w:hAnsi="宋体"/>
          <w:color w:val="auto"/>
          <w:sz w:val="28"/>
          <w:szCs w:val="28"/>
        </w:rPr>
      </w:pPr>
      <w:r>
        <w:rPr>
          <w:rFonts w:hint="eastAsia" w:ascii="宋体" w:hAnsi="宋体"/>
          <w:b/>
          <w:color w:val="auto"/>
          <w:sz w:val="28"/>
          <w:szCs w:val="28"/>
        </w:rPr>
        <w:t>一、技术规范专用条款说明</w:t>
      </w:r>
    </w:p>
    <w:p w14:paraId="04FE393E">
      <w:pPr>
        <w:pStyle w:val="19"/>
        <w:ind w:left="0" w:leftChars="0" w:firstLine="480"/>
        <w:rPr>
          <w:rFonts w:ascii="宋体" w:hAnsi="宋体"/>
          <w:color w:val="auto"/>
          <w:sz w:val="24"/>
        </w:rPr>
      </w:pPr>
      <w:r>
        <w:rPr>
          <w:rFonts w:hint="eastAsia" w:ascii="宋体" w:hAnsi="宋体"/>
          <w:color w:val="auto"/>
          <w:sz w:val="24"/>
        </w:rPr>
        <w:t>1、技术规范专用条款是《技术规范》条款中明确指出要在技术规范专用条款中予以具体规定的信息或与工程所在地具体情况有关的规定，是必备的配套条款。</w:t>
      </w:r>
    </w:p>
    <w:p w14:paraId="5B5AAF63">
      <w:pPr>
        <w:pStyle w:val="19"/>
        <w:ind w:left="0" w:leftChars="0" w:firstLine="480"/>
        <w:rPr>
          <w:rFonts w:hint="eastAsia" w:ascii="宋体" w:hAnsi="宋体"/>
          <w:color w:val="auto"/>
          <w:sz w:val="24"/>
        </w:rPr>
      </w:pPr>
      <w:r>
        <w:rPr>
          <w:rFonts w:hint="eastAsia" w:ascii="宋体" w:hAnsi="宋体"/>
          <w:color w:val="auto"/>
          <w:sz w:val="24"/>
        </w:rPr>
        <w:t>2、技术规范专用条款是根据本工程具体情况对《技术规范》条款的补充、删改或具体化，阅读时应与交通运输部《公路工程标准施工招标文件》（2018年版）同时阅读。</w:t>
      </w:r>
    </w:p>
    <w:p w14:paraId="29504E2D">
      <w:pPr>
        <w:pStyle w:val="19"/>
        <w:ind w:left="0" w:leftChars="0" w:firstLine="480"/>
        <w:rPr>
          <w:rFonts w:hint="eastAsia" w:ascii="宋体" w:hAnsi="宋体"/>
          <w:color w:val="auto"/>
          <w:sz w:val="24"/>
        </w:rPr>
      </w:pPr>
    </w:p>
    <w:p w14:paraId="09685CFA">
      <w:pPr>
        <w:tabs>
          <w:tab w:val="left" w:pos="1080"/>
        </w:tabs>
        <w:spacing w:line="320" w:lineRule="exact"/>
        <w:rPr>
          <w:rFonts w:ascii="宋体" w:hAnsi="宋体" w:cs="宋体"/>
          <w:b/>
          <w:color w:val="auto"/>
          <w:kern w:val="1"/>
        </w:rPr>
      </w:pPr>
      <w:r>
        <w:rPr>
          <w:rFonts w:hint="eastAsia" w:ascii="宋体" w:hAnsi="宋体" w:cs="宋体"/>
          <w:b/>
          <w:color w:val="auto"/>
          <w:kern w:val="1"/>
        </w:rPr>
        <w:br w:type="page"/>
      </w:r>
      <w:r>
        <w:rPr>
          <w:rFonts w:hint="eastAsia" w:ascii="宋体" w:hAnsi="宋体" w:cs="宋体"/>
          <w:b/>
          <w:color w:val="auto"/>
          <w:kern w:val="1"/>
        </w:rPr>
        <w:t>附</w:t>
      </w:r>
      <w:r>
        <w:rPr>
          <w:rFonts w:ascii="宋体" w:hAnsi="宋体" w:cs="宋体"/>
          <w:b/>
          <w:color w:val="auto"/>
          <w:kern w:val="1"/>
        </w:rPr>
        <w:t>：</w:t>
      </w:r>
    </w:p>
    <w:p w14:paraId="4FFB1B3A">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jc w:val="center"/>
        <w:textAlignment w:val="auto"/>
        <w:rPr>
          <w:rFonts w:ascii="宋体" w:hAnsi="宋体" w:cs="宋体"/>
          <w:b/>
          <w:color w:val="auto"/>
          <w:kern w:val="1"/>
          <w:sz w:val="28"/>
        </w:rPr>
      </w:pPr>
      <w:r>
        <w:rPr>
          <w:rStyle w:val="47"/>
          <w:rFonts w:hint="eastAsia" w:ascii="宋体" w:hAnsi="宋体" w:eastAsia="宋体" w:cs="宋体"/>
          <w:color w:val="auto"/>
          <w:sz w:val="28"/>
          <w:szCs w:val="28"/>
        </w:rPr>
        <w:t>广西壮族自治区工程建设领域农民工工资专用账户管理暂行办法实施细则</w:t>
      </w:r>
    </w:p>
    <w:p w14:paraId="257A937F">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jc w:val="center"/>
        <w:textAlignment w:val="auto"/>
        <w:rPr>
          <w:rFonts w:hint="eastAsia" w:ascii="宋体" w:hAnsi="宋体" w:eastAsia="宋体" w:cs="宋体"/>
          <w:color w:val="auto"/>
          <w:sz w:val="24"/>
          <w:szCs w:val="24"/>
        </w:rPr>
      </w:pPr>
      <w:r>
        <w:rPr>
          <w:rStyle w:val="47"/>
          <w:rFonts w:hint="eastAsia" w:ascii="宋体" w:hAnsi="宋体" w:eastAsia="宋体" w:cs="宋体"/>
          <w:color w:val="auto"/>
          <w:sz w:val="24"/>
          <w:szCs w:val="24"/>
        </w:rPr>
        <w:t>第一章  总  则</w:t>
      </w:r>
    </w:p>
    <w:p w14:paraId="0865C46F">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第一条  为根治工程建设领域拖欠农民工工资问题，规范农民工工资专用账户管理，切实维护农民工劳动报酬权益，根据《保障农民工工资支付条例》《人民币银行结算账户管理办法》《工程建设领域农民工工资专用账户管理暂行办法》等有关规定，结合我区实际，制定本细则。</w:t>
      </w:r>
    </w:p>
    <w:p w14:paraId="17CA26D2">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第二条  本细则所称农民工工资专用账户（以下简称专用账户）是指施工总承包单位（以下简称总包单位）在自治区行政区域内依法设立或设有分支机构的银行业金融机构（以下简称银行）开立的，专项用于支付农民工工资的专用存款账户。人工费用是指建设单位向总包单位专用账户拨付的专项用于支付农民工工资的工程款。</w:t>
      </w:r>
    </w:p>
    <w:p w14:paraId="477372CD">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第三条  本细则所称建设单位是指工程建设项目的项目法人或负有建设管理责任的相关单位。</w:t>
      </w:r>
    </w:p>
    <w:p w14:paraId="7FC5571F">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总包单位是指从建设单位承包施工任务，具有施工承包资质的企业，包括工程总承包单位、施工总承包企业、直接承包建设单位发包工程的专业承包企业。</w:t>
      </w:r>
    </w:p>
    <w:p w14:paraId="70EA3EA3">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分包单位是指承包总包单位发包的专业工程或者劳务作业，具有相应资质的企业。</w:t>
      </w:r>
    </w:p>
    <w:p w14:paraId="78BF9B0B">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监理单位是指受建设单位委托依法执行工程监理任务，取得监理资质证书，具有法人资格的监理公司等单位。</w:t>
      </w:r>
    </w:p>
    <w:p w14:paraId="6C4E779E">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本细则所称相关行业工程建设主管部门是指各级住房和城乡建设、交通运输、水利、铁路、民航等工程建设项目的行政主管部门。</w:t>
      </w:r>
    </w:p>
    <w:p w14:paraId="349F65C2">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第四条  人力资源社会保障行政部门牵头，会同相关行业工程建设主管部门按照职责分工对工程建设项目农民工工资专用账户管理、人工费用拨付、农民工工资支付等情况进行监督检查，并及时处理有关投诉、举报、报告。</w:t>
      </w:r>
    </w:p>
    <w:p w14:paraId="526FAF9F">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第五条  本细则适用于房屋建筑、市政、交通运输、水利、铁路、民航及基础设施建设的建筑工程、线路管道、设备安装、工程装饰装修、城市园林绿化等各种新建、扩建、改建工程建设项目。</w:t>
      </w:r>
    </w:p>
    <w:p w14:paraId="077E97C8">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jc w:val="center"/>
        <w:textAlignment w:val="auto"/>
        <w:rPr>
          <w:rFonts w:hint="eastAsia" w:ascii="宋体" w:hAnsi="宋体" w:eastAsia="宋体" w:cs="宋体"/>
          <w:color w:val="auto"/>
          <w:sz w:val="24"/>
          <w:szCs w:val="24"/>
        </w:rPr>
      </w:pPr>
      <w:r>
        <w:rPr>
          <w:rStyle w:val="47"/>
          <w:rFonts w:hint="eastAsia" w:ascii="宋体" w:hAnsi="宋体" w:eastAsia="宋体" w:cs="宋体"/>
          <w:color w:val="auto"/>
          <w:sz w:val="24"/>
          <w:szCs w:val="24"/>
        </w:rPr>
        <w:t>第二章  专用账户的开立和撤销</w:t>
      </w:r>
    </w:p>
    <w:p w14:paraId="64A34647">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第六条  总包单位应当在工程施工合同签订之日起30日内，自主选择在自治区行政区域内依法设立或设有分支机构的银行开立专用账户，并与建设单位、开户银行签订《广西壮族自治区工程建设领域农民工工资专用账户资金管理三方协议》（附件1）。</w:t>
      </w:r>
    </w:p>
    <w:p w14:paraId="62BABE93">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总包单位应当在专用账户开立后的30日内报项目所在地人力资源社会保障行政部门、相关行业工程建设主管部门备案。</w:t>
      </w:r>
    </w:p>
    <w:p w14:paraId="5A489BAF">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建设单位拒不签订专用账户资金管理三方协议的，开户银行应先行为总包单位开立专用账户，并由总包单位报告项目所在地人力资源社会保障行政部门、相关行业工程建设主管部门。</w:t>
      </w:r>
    </w:p>
    <w:p w14:paraId="4B421D6C">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第七条  专用账户以工程建设项目为单位开立。总包单位有两个以上工程建设项目的，可以开立新的专用账户，也可在已有专用账户下按项目分别管理，各项目资金不得相互结转。</w:t>
      </w:r>
    </w:p>
    <w:p w14:paraId="34B895A9">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第八条  专用账户名称为总包单位名称加工程建设项目名称后加“农民工工资专用账户”，专用账户名称可规范使用简称。</w:t>
      </w:r>
    </w:p>
    <w:p w14:paraId="38F5B4AF">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第九条  符合下列情形之一的工程建设项目可以免于开立专用账户，由总包单位将农民工工资直接支付到农民工本人的银行账户：</w:t>
      </w:r>
    </w:p>
    <w:p w14:paraId="14485C5A">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（一）施工合同额（或年度合同额）在300万元以下；</w:t>
      </w:r>
    </w:p>
    <w:p w14:paraId="216DD5A7">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（二）工期不足3个月；</w:t>
      </w:r>
    </w:p>
    <w:p w14:paraId="65B094A2">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（三）使用农民工人数总计在30人以下。</w:t>
      </w:r>
    </w:p>
    <w:p w14:paraId="5EFEEFB3">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第十条  开户银行应当规范优化专用账户开立服务流程，配合总包单位及时做好专用账户开立和管理工作，在业务系统中对账户进行特殊标识。</w:t>
      </w:r>
    </w:p>
    <w:p w14:paraId="746EC149">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开户银行应当保障专用账户资金安全，在相关网络查控平台、电子化专线信息传输系统等作出整体限制查封、冻结或者划拨的设置，妥善处理查封、冻结或者划拨等事项。</w:t>
      </w:r>
    </w:p>
    <w:p w14:paraId="4FC5DDA2">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开户银行接到人民法院等有权机关对账户资金作出查封、冻结或者划拨指令时，应当提示该账户性质，并将相关情况告知项目所在地人力资源社会保障行政部门、相关行业工程建设主管部门。遇到账户资金因不当操作被有权机关查封、冻结或者划拨等重大异常情况时，应当及时向项目所在地人力资源社会保障行政部门、相关行业工程建设主管部门报告。</w:t>
      </w:r>
    </w:p>
    <w:p w14:paraId="6F290F28">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第十一条  开户银行应对专用账户资金管理负责，不得将专用账户资金转入除本项目农民工本人银行账户以外的账户，不得为专用账户提供现金支取和其他转账结算服务。</w:t>
      </w:r>
    </w:p>
    <w:p w14:paraId="48B1F79F">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第十二条  除法律另有规定外，专用账户资金不得因支付为本项目提供劳动的农民工工资之外的原因被查封、冻结或者划拨。</w:t>
      </w:r>
    </w:p>
    <w:p w14:paraId="4C291A6A">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第十三条  工程完工、总包单位或者开户银行发生变更需要撤销专用账户的，总包单位将本工程建设项目无拖欠农民工工资情况公示30日，并向项目所在地人力资源社会保障行政部门、相关行业工程建设主管部门出具无拖欠农民工工资承诺书。</w:t>
      </w:r>
    </w:p>
    <w:p w14:paraId="096ED17B">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开户银行依据经审核通过的《农民工工资专用账户销户审批表》（附件2），取消账户特殊标识，按程序办理专用账户撤销手续，专用账户余额归总包单位所有。</w:t>
      </w:r>
    </w:p>
    <w:p w14:paraId="7784519B">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总包单位或者开户银行发生变更，撤销账户后可按照第六条、第七条规定开立新的专用账户。</w:t>
      </w:r>
    </w:p>
    <w:p w14:paraId="0182B5E0">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第十四条  工程建设项目存在以下情况，总包单位不得向开户银行申请撤销专用账户：</w:t>
      </w:r>
    </w:p>
    <w:p w14:paraId="2DBB15C8">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（一）尚有拖欠农民工工资案件正在处理的；</w:t>
      </w:r>
    </w:p>
    <w:p w14:paraId="46DCB811">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（二）农民工因工资支付问题正在申请劳动争议仲裁或者向人民法院提起诉讼的；</w:t>
      </w:r>
    </w:p>
    <w:p w14:paraId="1DA54258">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（三）其他拖欠农民工工资的情形。</w:t>
      </w:r>
    </w:p>
    <w:p w14:paraId="3A5936FB">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jc w:val="center"/>
        <w:textAlignment w:val="auto"/>
        <w:rPr>
          <w:rFonts w:hint="eastAsia" w:ascii="宋体" w:hAnsi="宋体" w:eastAsia="宋体" w:cs="宋体"/>
          <w:color w:val="auto"/>
          <w:sz w:val="24"/>
          <w:szCs w:val="24"/>
        </w:rPr>
      </w:pPr>
      <w:r>
        <w:rPr>
          <w:rStyle w:val="47"/>
          <w:rFonts w:hint="eastAsia" w:ascii="宋体" w:hAnsi="宋体" w:eastAsia="宋体" w:cs="宋体"/>
          <w:color w:val="auto"/>
          <w:sz w:val="24"/>
          <w:szCs w:val="24"/>
        </w:rPr>
        <w:t>第三章  专用账户的使用</w:t>
      </w:r>
    </w:p>
    <w:p w14:paraId="1F3B227D">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第十五条  建设单位与总包单位订立书面工程施工合同时，应当约定以下事项：</w:t>
      </w:r>
    </w:p>
    <w:p w14:paraId="5065CB59">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（一）工程款计量周期和工程款进度结算办法。</w:t>
      </w:r>
    </w:p>
    <w:p w14:paraId="6744E668">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（二）建设单位拨付人工费用的周期和拨付日期。人工费用拨付周期不得超过1个月，拨付日期应当在每月20日之前。</w:t>
      </w:r>
    </w:p>
    <w:p w14:paraId="798EB036">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（三）人工费用的数额或者占工程款的比例。</w:t>
      </w:r>
    </w:p>
    <w:p w14:paraId="6719C52C">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（四）对工程建设项目建设资金全部到位的，鼓励建设单位按照合同约定，将人工费用一次性拨付至农民工工资专用账户。其管理按照本办法相关规定执行。</w:t>
      </w:r>
    </w:p>
    <w:p w14:paraId="1CCAE147">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前款第三、四项应当满足本项目农民工工资按时足额支付的要求。</w:t>
      </w:r>
    </w:p>
    <w:p w14:paraId="20E36C5C">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第十六条  建设单位应当按工程施工合同约定的数额或者比例等，按时将人工费用拨付到总包单位专用账户。</w:t>
      </w:r>
    </w:p>
    <w:p w14:paraId="0D4DCAA2">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第十七条  开户银行应当做好专用账户日常管理工作。每月15日前向建设单位发出拨付提醒。每月20日仍未按约定拨付人工费用的，开户银行应当通知总包单位，由总包单位报告项目所在地人力资源社会保障行政部门和相关行业工程建设主管部门，相关部门应当纳入欠薪预警并及时进行处置。</w:t>
      </w:r>
    </w:p>
    <w:p w14:paraId="616D6F77">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第十八条  建设单位已按约定足额向专用账户拨付资金，但总包单位依然拖欠农民工工资的，建设单位应及时向项目所在地人力资源社会保障行政部门、相关行业工程建设主管部门报告。</w:t>
      </w:r>
    </w:p>
    <w:p w14:paraId="02E975FF">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第十九条  因用工量增加等原因导致专用账户余额不足以按时足额支付农民工工资时，总包单位提出需增加的人工费用数额，由建设单位核准后及时追加拨付。</w:t>
      </w:r>
    </w:p>
    <w:p w14:paraId="411DB6D8">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第二十条  工程建设项目开工后，工程施工合同约定的人工费用的数额、占工程款的比例等需要修改的，总包单位可与建设单位签订施工合同补充协议并将相关修改情况通知开户银行，总包单位、建设单位与开户银行共同修订专用账户资金管理三方协议。</w:t>
      </w:r>
    </w:p>
    <w:p w14:paraId="695832D2">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第二十一条  工程建设领域总包单位对农民工工资支付负总责，施行分包单位农民工工资委托总包单位代发制度（以下简称总包代发制度）。分包单位与总包单位签订《广西壮族自治区工程建设领域农民工工资专用账户委托支付协议》（附件3）。</w:t>
      </w:r>
    </w:p>
    <w:p w14:paraId="5DCFA5EE">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第二十二条  总包单位或者分包单位应当按照相关行业工程建设主管部门的要求开展农民工实名制管理工作，依法与所招用的农民工订立劳动合同并进行用工实名登记。总包单位和分包单位对农民工实名制基本信息进行采集、核实、更新，建立实名制管理台账。工程建设项目应结合行业特点配备农民工实名制管理所必需的软硬件设施设备。</w:t>
      </w:r>
    </w:p>
    <w:p w14:paraId="64187865">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未与总包单位或者分包单位订立劳动合同并进行用工实名登记的人员，不得进入项目现场施工。</w:t>
      </w:r>
    </w:p>
    <w:p w14:paraId="500E93CF">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第二十三条  分包单位对所招用农民工的实名制管理和工资支付负直接责任。分包单位以实名制管理信息为基础，按月考核农民工工作量并编制工资支付表，经农民工本人签字确认后，与农民工考勤表、当月工程进度等情况一并交总包单位，并协助总包单位做好农民工工资支付工作。</w:t>
      </w:r>
    </w:p>
    <w:p w14:paraId="18E20054">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总包单位应当在工程建设项目部配备劳资专管员，对分包单位劳动用工实施监督管理，审核分包单位编制的农民工考勤表、工资支付表等工资发放资料。</w:t>
      </w:r>
    </w:p>
    <w:p w14:paraId="65F1BADA">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第二十四条  总包单位应当按时将审核后的工资支付表等工资发放资料报送开户银行；开户银行应当及时将工资通过专用账户直接支付到农民工本人的银行账户，并向总包单位提供发放工资凭证；总包单位应当向分包单位提供代发工资凭证。</w:t>
      </w:r>
    </w:p>
    <w:p w14:paraId="543C1574">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第二十五条  总包单位和分包单位应当将专用账户有关资料、用工管理台账等妥善保存，至少保存至工程完工且工资全部结清后3年。</w:t>
      </w:r>
    </w:p>
    <w:p w14:paraId="6C7C6327">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第二十六条  建设单位应当加强对总包单位开立、使用、撤销专用账户情况的监督。建设单位在签订工程监理合同时，可通过协商委托监理单位实施农民工工资支付审核及监督。</w:t>
      </w:r>
    </w:p>
    <w:p w14:paraId="4C857347">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第二十七条  农民工工资卡实行一人一卡、本人持卡，用人单位或者其他人员不得以任何理由扣押或者变相扣押。</w:t>
      </w:r>
    </w:p>
    <w:p w14:paraId="3B0E32BC">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开户银行应采取有效措施，积极防范本机构农民工工资卡被用于出租、出售、洗钱、赌博、诈骗和其他非法活动。</w:t>
      </w:r>
    </w:p>
    <w:p w14:paraId="04887033">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第二十八条  开户银行支持农民工使用本人的具有金融功能的社会保障卡或者现有银行卡领取工资，不得拒绝其使用他行社会保障卡银行账户或他行银行卡。任何单位和个人不得强制要求农民工重新办理工资卡。农民工使用他行社会保障卡银行账户或他行银行卡的，鼓励执行优惠的跨行代发工资手续费率。</w:t>
      </w:r>
    </w:p>
    <w:p w14:paraId="14A42724">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农民工本人确需办理新工资卡的，优先办理具有金融功能的社会保障卡，鼓励开户银行提供便利化服务，上门办理。</w:t>
      </w:r>
    </w:p>
    <w:p w14:paraId="7A921653">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jc w:val="center"/>
        <w:textAlignment w:val="auto"/>
        <w:rPr>
          <w:rFonts w:hint="eastAsia" w:ascii="宋体" w:hAnsi="宋体" w:eastAsia="宋体" w:cs="宋体"/>
          <w:color w:val="auto"/>
          <w:sz w:val="24"/>
          <w:szCs w:val="24"/>
        </w:rPr>
      </w:pPr>
      <w:r>
        <w:rPr>
          <w:rStyle w:val="47"/>
          <w:rFonts w:hint="eastAsia" w:ascii="宋体" w:hAnsi="宋体" w:eastAsia="宋体" w:cs="宋体"/>
          <w:color w:val="auto"/>
          <w:sz w:val="24"/>
          <w:szCs w:val="24"/>
        </w:rPr>
        <w:t>第四章  工资支付监控预警平台建设</w:t>
      </w:r>
    </w:p>
    <w:p w14:paraId="5C135A2E">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第二十九条  各级人力资源社会保障行政部门会同相关部门统筹开展农民工工资支付监控预警。</w:t>
      </w:r>
    </w:p>
    <w:p w14:paraId="7D8AAB9D">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自治区建立全自治区集中的农民工工资支付监控预警平台，指导市、县开展农民工工资支付监控预警。同时，按照网络安全和信息化有关要求，做好平台安全保障工作。</w:t>
      </w:r>
    </w:p>
    <w:p w14:paraId="79469249">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市、县可依托全自治区集中的农民工工资支付监控预警平台，结合实际开发本地功能。</w:t>
      </w:r>
    </w:p>
    <w:p w14:paraId="58F6A7FD">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自治区、市、县逐步实现与全国农民工工资支付监控预警数据信息互联互通，与建筑工人管理服务、投资项目在线审批监管、全国信用信息共享、全国水利建设市场监管、铁路工程监督管理等信息平台对接，实现信息比对、分析预警等功能。 </w:t>
      </w:r>
    </w:p>
    <w:p w14:paraId="445A1FDC">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第三十条  工程建设项目相关单位应当依法将工程施工合同中有关专用账户和工资支付的内容及修改情况、专用账户开立和撤销情况、人工费用拨付情况、劳动合同签订情况、实名制管理、考勤表、工资支付表、工资按月支付以及农民工工资保证金存储、维权信息告示牌等信息实时上传农民工工资支付监控预警平台。</w:t>
      </w:r>
    </w:p>
    <w:p w14:paraId="1FB78A6D">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第三十一条  各级人力资源社会保障、发展改革、财政、住房和城乡建设、交通运输、水利、铁路、民航等部门应当加强工程建设项目审批、资金落实、施工许可、劳动用工、工资支付等信息的及时共享，依托农民工工资支付监控预警平台开展多部门协同监管。</w:t>
      </w:r>
    </w:p>
    <w:p w14:paraId="7FD1F519">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统筹做好农民工工资支付监控预警平台与工程建设领域其他信息化平台的数据信息共享，避免企业重复采集、重复上传相关信息。</w:t>
      </w:r>
    </w:p>
    <w:p w14:paraId="4AC35A3C">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第三十二条  农民工工资支付监控预警平台依法归集专用账户管理、实名制管理和工资支付等方面信息，对违反专用账户管理、人工费用拨付、工资支付规定等情况及时进行预警，逐步实现工程建设项目农民工工资支付全过程动态监管。</w:t>
      </w:r>
    </w:p>
    <w:p w14:paraId="3F6BA2F7">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第三十三条  加强劳动保障监察相关系统与农民工工资支付监控预警平台的协同共享和有效衔接，开通工资支付通知、查询功能和拖欠工资的举报投诉功能，方便农民工及时掌握本人工资支付情况，依法维护劳动报酬权益。</w:t>
      </w:r>
    </w:p>
    <w:p w14:paraId="6FA41A18">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第三十四条  已建立农民工工资支付监控预警平台并实现工资支付动态监管，专用账户开立、撤销不再要求进行书面备案。</w:t>
      </w:r>
    </w:p>
    <w:p w14:paraId="11BC0E77">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jc w:val="center"/>
        <w:textAlignment w:val="auto"/>
        <w:rPr>
          <w:rFonts w:hint="eastAsia" w:ascii="宋体" w:hAnsi="宋体" w:eastAsia="宋体" w:cs="宋体"/>
          <w:color w:val="auto"/>
          <w:sz w:val="24"/>
          <w:szCs w:val="24"/>
        </w:rPr>
      </w:pPr>
      <w:r>
        <w:rPr>
          <w:rStyle w:val="47"/>
          <w:rFonts w:hint="eastAsia" w:ascii="宋体" w:hAnsi="宋体" w:eastAsia="宋体" w:cs="宋体"/>
          <w:color w:val="auto"/>
          <w:sz w:val="24"/>
          <w:szCs w:val="24"/>
        </w:rPr>
        <w:t>第五章  监督管理</w:t>
      </w:r>
    </w:p>
    <w:p w14:paraId="2814A20D">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第三十五条  各地应当完善工程建设领域农民工工资支付保障制度体系，坚持市场主体负责、政府依法监管、社会协同监督，按照源头治理、预防为主、防治结合、标本兼治的要求，依法根治工程建设领域拖欠农民工工资问题。</w:t>
      </w:r>
    </w:p>
    <w:p w14:paraId="21EB89F2">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第三十六条  人民银行广西区各分支机构、广西银保监局及属地银保监分局应当采取必要措施支持银行为专用账户管理提供便利化服务。</w:t>
      </w:r>
    </w:p>
    <w:p w14:paraId="5EF900DE">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第三十七条  各级人力资源社会保障行政部门和相关行业工程建设主管部门不得借推行专用账户制度的名义，指定开户银行和农民工工资卡办卡银行；不得巧立名目收取费用，增加企业负担。</w:t>
      </w:r>
    </w:p>
    <w:p w14:paraId="6E5F16A8">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第三十八条  开户银行违反本细则相关规定的，由项目所在地人力资源社会保障行政部门通报人民银行广西区各分支机构、广西银保监局及属地银保监分局，由金融监管部门负责督促限期整改；违反有关法律法规的，追究相关单位和个人的法律责任。</w:t>
      </w:r>
    </w:p>
    <w:p w14:paraId="187893EE">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jc w:val="center"/>
        <w:textAlignment w:val="auto"/>
        <w:rPr>
          <w:rFonts w:hint="eastAsia" w:ascii="宋体" w:hAnsi="宋体" w:eastAsia="宋体" w:cs="宋体"/>
          <w:color w:val="auto"/>
          <w:sz w:val="24"/>
          <w:szCs w:val="24"/>
        </w:rPr>
      </w:pPr>
      <w:r>
        <w:rPr>
          <w:rStyle w:val="47"/>
          <w:rFonts w:hint="eastAsia" w:ascii="宋体" w:hAnsi="宋体" w:eastAsia="宋体" w:cs="宋体"/>
          <w:color w:val="auto"/>
          <w:sz w:val="24"/>
          <w:szCs w:val="24"/>
        </w:rPr>
        <w:t>第六章  附  则</w:t>
      </w:r>
    </w:p>
    <w:p w14:paraId="1BA8FB15">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第三十九条  房屋建筑、市政、交通运输、水利、铁路、民航及基础设施建设的建筑工程、线路管道、设备安装、工程装饰装修、城市园林绿化等各种新建、扩建、改建工程建设项目之外的其他工程建设项目，参照本细则执行。</w:t>
      </w:r>
    </w:p>
    <w:p w14:paraId="4CEA447B">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第四十条  同一工程建设项目发生管辖争议的，由共同的上一级人力资源社会保障部门会同相关行业工程建设主管部门指定管辖。</w:t>
      </w:r>
    </w:p>
    <w:p w14:paraId="4A042050">
      <w:pPr>
        <w:pStyle w:val="4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宋体" w:hAnsi="宋体"/>
          <w:color w:val="auto"/>
          <w:sz w:val="28"/>
        </w:rPr>
      </w:pPr>
      <w:r>
        <w:rPr>
          <w:rFonts w:hint="eastAsia" w:ascii="宋体" w:hAnsi="宋体" w:eastAsia="宋体" w:cs="宋体"/>
          <w:color w:val="auto"/>
          <w:sz w:val="24"/>
          <w:szCs w:val="24"/>
        </w:rPr>
        <w:t>第四十一条  本细则自发布之日起实施，原自治区范围内出台的相关农民工工资专用账户政策文件与本细则不一致的，按本细则规定执行。细则施行前已开立的专用账户，可继续保留使用。</w:t>
      </w:r>
      <w:bookmarkEnd w:id="115"/>
    </w:p>
    <w:p w14:paraId="0F2B5BC7">
      <w:pPr>
        <w:spacing w:line="560" w:lineRule="exact"/>
        <w:rPr>
          <w:rFonts w:hint="eastAsia" w:ascii="宋体" w:hAnsi="宋体"/>
          <w:color w:val="auto"/>
          <w:sz w:val="28"/>
        </w:rPr>
      </w:pPr>
    </w:p>
    <w:p w14:paraId="13663A35">
      <w:pPr>
        <w:jc w:val="both"/>
        <w:rPr>
          <w:rFonts w:hint="eastAsia" w:ascii="Arial Unicode MS" w:hAnsi="Arial Unicode MS" w:eastAsia="Arial Unicode MS" w:cs="Arial Unicode MS"/>
          <w:color w:val="auto"/>
          <w:sz w:val="52"/>
          <w:szCs w:val="52"/>
        </w:rPr>
      </w:pPr>
      <w:r>
        <w:rPr>
          <w:rFonts w:hint="eastAsia" w:ascii="Arial Unicode MS" w:hAnsi="Arial Unicode MS" w:eastAsia="Arial Unicode MS" w:cs="Arial Unicode MS"/>
          <w:b/>
          <w:color w:val="auto"/>
          <w:sz w:val="52"/>
          <w:szCs w:val="52"/>
        </w:rPr>
        <w:br w:type="page"/>
      </w:r>
    </w:p>
    <w:p w14:paraId="1CE65CE8">
      <w:pPr>
        <w:jc w:val="center"/>
        <w:rPr>
          <w:rFonts w:hint="eastAsia" w:ascii="宋体" w:hAnsi="宋体" w:eastAsia="宋体" w:cs="Arial Unicode MS"/>
          <w:b/>
          <w:bCs/>
          <w:color w:val="auto"/>
          <w:spacing w:val="60"/>
          <w:w w:val="90"/>
          <w:sz w:val="72"/>
          <w:szCs w:val="72"/>
        </w:rPr>
      </w:pPr>
      <w:r>
        <w:rPr>
          <w:rFonts w:hint="eastAsia" w:ascii="宋体" w:hAnsi="宋体" w:eastAsia="宋体" w:cs="Arial Unicode MS"/>
          <w:b/>
          <w:bCs/>
          <w:color w:val="auto"/>
          <w:spacing w:val="60"/>
          <w:w w:val="90"/>
          <w:sz w:val="72"/>
          <w:szCs w:val="72"/>
          <w:lang w:eastAsia="zh-CN"/>
        </w:rPr>
        <w:t>XXX工程</w:t>
      </w:r>
    </w:p>
    <w:p w14:paraId="256B3578">
      <w:pPr>
        <w:ind w:firstLine="2629" w:firstLineChars="300"/>
        <w:rPr>
          <w:rFonts w:hint="eastAsia" w:ascii="Arial Unicode MS" w:hAnsi="Arial Unicode MS" w:eastAsia="Arial Unicode MS" w:cs="Arial Unicode MS"/>
          <w:b/>
          <w:bCs/>
          <w:color w:val="auto"/>
          <w:spacing w:val="60"/>
          <w:w w:val="90"/>
          <w:sz w:val="84"/>
        </w:rPr>
      </w:pPr>
    </w:p>
    <w:p w14:paraId="2650C160">
      <w:pPr>
        <w:jc w:val="center"/>
        <w:rPr>
          <w:rFonts w:hint="eastAsia" w:ascii="宋体" w:hAnsi="宋体" w:cs="Arial Unicode MS"/>
          <w:b/>
          <w:bCs/>
          <w:color w:val="auto"/>
          <w:sz w:val="52"/>
          <w:szCs w:val="52"/>
        </w:rPr>
      </w:pPr>
      <w:r>
        <w:rPr>
          <w:rFonts w:hint="eastAsia" w:ascii="宋体" w:hAnsi="宋体" w:cs="Arial Unicode MS"/>
          <w:b/>
          <w:bCs/>
          <w:color w:val="auto"/>
          <w:spacing w:val="60"/>
          <w:w w:val="90"/>
          <w:sz w:val="52"/>
          <w:szCs w:val="52"/>
        </w:rPr>
        <w:t>工程量清单</w:t>
      </w:r>
    </w:p>
    <w:p w14:paraId="116B8340">
      <w:pPr>
        <w:rPr>
          <w:rFonts w:hint="eastAsia" w:ascii="Arial Unicode MS" w:hAnsi="Arial Unicode MS" w:eastAsia="Arial Unicode MS" w:cs="Arial Unicode MS"/>
          <w:color w:val="auto"/>
          <w:sz w:val="36"/>
        </w:rPr>
      </w:pPr>
    </w:p>
    <w:p w14:paraId="4B6E2B9F">
      <w:pPr>
        <w:rPr>
          <w:rFonts w:hint="eastAsia" w:ascii="Arial Unicode MS" w:hAnsi="Arial Unicode MS" w:eastAsia="Arial Unicode MS" w:cs="Arial Unicode MS"/>
          <w:color w:val="auto"/>
          <w:sz w:val="36"/>
        </w:rPr>
      </w:pPr>
    </w:p>
    <w:p w14:paraId="66EC1EC6">
      <w:pPr>
        <w:rPr>
          <w:rFonts w:hint="eastAsia" w:ascii="Arial Unicode MS" w:hAnsi="Arial Unicode MS" w:eastAsia="Arial Unicode MS" w:cs="Arial Unicode MS"/>
          <w:color w:val="auto"/>
          <w:sz w:val="36"/>
        </w:rPr>
      </w:pPr>
    </w:p>
    <w:p w14:paraId="70E39C1B">
      <w:pPr>
        <w:rPr>
          <w:rFonts w:hint="eastAsia" w:ascii="Arial Unicode MS" w:hAnsi="Arial Unicode MS" w:eastAsia="Arial Unicode MS" w:cs="Arial Unicode MS"/>
          <w:color w:val="auto"/>
          <w:sz w:val="36"/>
        </w:rPr>
      </w:pPr>
    </w:p>
    <w:p w14:paraId="7A6084C3">
      <w:pPr>
        <w:rPr>
          <w:rFonts w:hint="eastAsia" w:ascii="Arial Unicode MS" w:hAnsi="Arial Unicode MS" w:eastAsia="Arial Unicode MS" w:cs="Arial Unicode MS"/>
          <w:color w:val="auto"/>
          <w:sz w:val="36"/>
        </w:rPr>
      </w:pPr>
    </w:p>
    <w:p w14:paraId="65848C6B">
      <w:pPr>
        <w:rPr>
          <w:rFonts w:hint="eastAsia" w:ascii="Arial Unicode MS" w:hAnsi="Arial Unicode MS" w:eastAsia="Arial Unicode MS" w:cs="Arial Unicode MS"/>
          <w:color w:val="auto"/>
          <w:sz w:val="36"/>
        </w:rPr>
      </w:pPr>
    </w:p>
    <w:p w14:paraId="157705D5">
      <w:pPr>
        <w:spacing w:line="360" w:lineRule="auto"/>
        <w:ind w:firstLine="1928" w:firstLineChars="600"/>
        <w:rPr>
          <w:rFonts w:hint="eastAsia" w:ascii="宋体" w:hAnsi="宋体" w:eastAsia="宋体" w:cs="Arial Unicode MS"/>
          <w:b/>
          <w:color w:val="auto"/>
          <w:sz w:val="32"/>
          <w:szCs w:val="32"/>
          <w:lang w:eastAsia="zh-CN"/>
        </w:rPr>
      </w:pPr>
      <w:r>
        <w:rPr>
          <w:rFonts w:hint="eastAsia" w:ascii="宋体" w:hAnsi="宋体" w:cs="Arial Unicode MS"/>
          <w:b/>
          <w:color w:val="auto"/>
          <w:sz w:val="32"/>
          <w:szCs w:val="32"/>
          <w:lang w:eastAsia="zh-CN"/>
        </w:rPr>
        <w:t>甲  方</w:t>
      </w:r>
      <w:r>
        <w:rPr>
          <w:rFonts w:hint="eastAsia" w:ascii="宋体" w:hAnsi="宋体" w:cs="Arial Unicode MS"/>
          <w:b/>
          <w:color w:val="auto"/>
          <w:sz w:val="32"/>
          <w:szCs w:val="32"/>
        </w:rPr>
        <w:t>：</w:t>
      </w:r>
      <w:r>
        <w:rPr>
          <w:rFonts w:hint="eastAsia" w:ascii="宋体" w:hAnsi="宋体" w:cs="Arial Unicode MS"/>
          <w:b/>
          <w:color w:val="auto"/>
          <w:sz w:val="32"/>
          <w:szCs w:val="32"/>
          <w:lang w:eastAsia="zh-CN"/>
        </w:rPr>
        <w:t>XX局(或xx中心）</w:t>
      </w:r>
    </w:p>
    <w:p w14:paraId="09AAA126">
      <w:pPr>
        <w:spacing w:line="360" w:lineRule="auto"/>
        <w:ind w:firstLine="1928" w:firstLineChars="600"/>
        <w:rPr>
          <w:rFonts w:hint="eastAsia" w:ascii="宋体" w:hAnsi="宋体" w:cs="Arial Unicode MS"/>
          <w:b/>
          <w:color w:val="auto"/>
          <w:sz w:val="32"/>
          <w:szCs w:val="32"/>
        </w:rPr>
      </w:pPr>
    </w:p>
    <w:p w14:paraId="60E95681">
      <w:pPr>
        <w:spacing w:line="360" w:lineRule="auto"/>
        <w:ind w:firstLine="1928" w:firstLineChars="600"/>
        <w:rPr>
          <w:rFonts w:hint="eastAsia" w:ascii="宋体" w:hAnsi="宋体" w:eastAsia="宋体" w:cs="Arial Unicode MS"/>
          <w:b/>
          <w:color w:val="auto"/>
          <w:sz w:val="32"/>
          <w:szCs w:val="32"/>
          <w:lang w:eastAsia="zh-CN"/>
        </w:rPr>
      </w:pPr>
      <w:r>
        <w:rPr>
          <w:rFonts w:hint="eastAsia" w:ascii="宋体" w:hAnsi="宋体" w:cs="Arial Unicode MS"/>
          <w:b/>
          <w:color w:val="auto"/>
          <w:sz w:val="32"/>
          <w:szCs w:val="32"/>
          <w:lang w:eastAsia="zh-CN"/>
        </w:rPr>
        <w:t>乙  方</w:t>
      </w:r>
      <w:r>
        <w:rPr>
          <w:rFonts w:hint="eastAsia" w:ascii="宋体" w:hAnsi="宋体" w:cs="Arial Unicode MS"/>
          <w:b/>
          <w:color w:val="auto"/>
          <w:sz w:val="32"/>
          <w:szCs w:val="32"/>
        </w:rPr>
        <w:t>：</w:t>
      </w:r>
      <w:r>
        <w:rPr>
          <w:rFonts w:hint="eastAsia" w:ascii="宋体" w:hAnsi="宋体" w:cs="Arial Unicode MS"/>
          <w:b/>
          <w:color w:val="auto"/>
          <w:sz w:val="32"/>
          <w:szCs w:val="32"/>
          <w:lang w:eastAsia="zh-CN"/>
        </w:rPr>
        <w:t>XX公司</w:t>
      </w:r>
    </w:p>
    <w:p w14:paraId="5C541903">
      <w:pPr>
        <w:jc w:val="center"/>
        <w:rPr>
          <w:rFonts w:hint="eastAsia" w:ascii="宋体" w:hAnsi="宋体" w:cs="Arial Unicode MS"/>
          <w:b/>
          <w:bCs/>
          <w:color w:val="auto"/>
          <w:sz w:val="32"/>
          <w:szCs w:val="32"/>
        </w:rPr>
      </w:pPr>
    </w:p>
    <w:p w14:paraId="0F812969">
      <w:pPr>
        <w:jc w:val="center"/>
        <w:rPr>
          <w:rFonts w:hint="eastAsia" w:ascii="宋体" w:hAnsi="宋体" w:cs="宋体"/>
          <w:b/>
          <w:color w:val="auto"/>
          <w:sz w:val="32"/>
          <w:szCs w:val="32"/>
        </w:rPr>
      </w:pPr>
      <w:r>
        <w:rPr>
          <w:rFonts w:hint="eastAsia" w:ascii="宋体" w:hAnsi="宋体" w:cs="Arial Unicode MS"/>
          <w:b/>
          <w:bCs/>
          <w:color w:val="auto"/>
          <w:sz w:val="32"/>
          <w:szCs w:val="32"/>
        </w:rPr>
        <w:t>年    月</w:t>
      </w:r>
    </w:p>
    <w:p w14:paraId="12E6AC54">
      <w:pPr>
        <w:pStyle w:val="2"/>
        <w:spacing w:after="600" w:line="240" w:lineRule="auto"/>
        <w:jc w:val="center"/>
        <w:rPr>
          <w:rFonts w:hint="eastAsia" w:ascii="黑体" w:eastAsia="黑体"/>
          <w:color w:val="auto"/>
          <w:sz w:val="28"/>
          <w:szCs w:val="28"/>
        </w:rPr>
      </w:pPr>
      <w:r>
        <w:rPr>
          <w:rFonts w:hint="eastAsia" w:ascii="宋体" w:hAnsi="宋体" w:cs="宋体"/>
          <w:color w:val="auto"/>
        </w:rPr>
        <w:br w:type="page"/>
      </w:r>
      <w:r>
        <w:rPr>
          <w:rFonts w:hint="eastAsia" w:ascii="宋体" w:hAnsi="宋体" w:cs="宋体"/>
          <w:color w:val="auto"/>
        </w:rPr>
        <w:t>工程量清单</w:t>
      </w:r>
      <w:bookmarkEnd w:id="114"/>
    </w:p>
    <w:p w14:paraId="495181F1">
      <w:pPr>
        <w:spacing w:before="120" w:after="120" w:line="312" w:lineRule="auto"/>
        <w:rPr>
          <w:rFonts w:hint="eastAsia" w:ascii="宋体" w:hAnsi="宋体" w:cs="宋体"/>
          <w:color w:val="auto"/>
          <w:sz w:val="24"/>
        </w:rPr>
      </w:pPr>
      <w:r>
        <w:rPr>
          <w:rFonts w:hint="eastAsia" w:ascii="宋体" w:hAnsi="宋体" w:cs="宋体"/>
          <w:color w:val="auto"/>
          <w:sz w:val="24"/>
        </w:rPr>
        <w:t>1.工程量清单说明</w:t>
      </w:r>
    </w:p>
    <w:p w14:paraId="6AEAA3F7">
      <w:pPr>
        <w:spacing w:line="312" w:lineRule="auto"/>
        <w:ind w:firstLine="480" w:firstLineChars="200"/>
        <w:rPr>
          <w:rFonts w:hint="eastAsia" w:ascii="宋体" w:hAnsi="宋体" w:cs="宋体"/>
          <w:color w:val="auto"/>
          <w:sz w:val="24"/>
        </w:rPr>
      </w:pPr>
      <w:r>
        <w:rPr>
          <w:rFonts w:hint="eastAsia" w:ascii="宋体" w:hAnsi="宋体" w:cs="宋体"/>
          <w:color w:val="auto"/>
          <w:sz w:val="24"/>
        </w:rPr>
        <w:t>1.1 本工程量清单是根据《公路工程标准施工招标文件》(2018年版)中包括的、有合同约束力的图纸以及有关工程量清单的国家标准、行业标准、合同条款中约定的工程量计算规则编制。约定计量规则中没有的子目，其工程量按照有合同约束力的图纸所标示尺寸的理论净量计算。计量采用中华人民共和国法定计量单位。</w:t>
      </w:r>
    </w:p>
    <w:p w14:paraId="5536F1F1">
      <w:pPr>
        <w:spacing w:line="312" w:lineRule="auto"/>
        <w:ind w:firstLine="480" w:firstLineChars="200"/>
        <w:rPr>
          <w:rFonts w:hint="eastAsia" w:ascii="宋体" w:hAnsi="宋体" w:cs="宋体"/>
          <w:color w:val="auto"/>
          <w:sz w:val="24"/>
        </w:rPr>
      </w:pPr>
      <w:r>
        <w:rPr>
          <w:rFonts w:hint="eastAsia" w:ascii="宋体" w:hAnsi="宋体" w:cs="宋体"/>
          <w:color w:val="auto"/>
          <w:sz w:val="24"/>
        </w:rPr>
        <w:t>1.2 本工程量清单应与招标文件中的投标人须知、通用合同条款、专用合同条款、技术规范及图纸等一起阅读和理解。</w:t>
      </w:r>
    </w:p>
    <w:p w14:paraId="4E4CAC3C">
      <w:pPr>
        <w:spacing w:line="312" w:lineRule="auto"/>
        <w:ind w:firstLine="480" w:firstLineChars="200"/>
        <w:rPr>
          <w:rFonts w:hint="eastAsia" w:ascii="宋体" w:hAnsi="宋体" w:cs="宋体"/>
          <w:color w:val="auto"/>
          <w:sz w:val="24"/>
        </w:rPr>
      </w:pPr>
      <w:r>
        <w:rPr>
          <w:rFonts w:hint="eastAsia" w:ascii="宋体" w:hAnsi="宋体" w:cs="宋体"/>
          <w:color w:val="auto"/>
          <w:sz w:val="24"/>
        </w:rPr>
        <w:t>1.3本工程量清单中所列工程数量是估算的或设计的预计数量，仅作为投标报价的共同基础，不能作为最终结算与支付的依据。实际支付应按实际完成的工程量，由</w:t>
      </w:r>
      <w:r>
        <w:rPr>
          <w:rFonts w:hint="eastAsia" w:ascii="宋体" w:hAnsi="宋体" w:cs="宋体"/>
          <w:color w:val="auto"/>
          <w:sz w:val="24"/>
          <w:lang w:eastAsia="zh-CN"/>
        </w:rPr>
        <w:t>乙方</w:t>
      </w:r>
      <w:r>
        <w:rPr>
          <w:rFonts w:hint="eastAsia" w:ascii="宋体" w:hAnsi="宋体" w:cs="宋体"/>
          <w:color w:val="auto"/>
          <w:sz w:val="24"/>
        </w:rPr>
        <w:t>按技术规范规定的计量方法，以监理人认可的尺寸、断面计量，按本工程量清单的单价和总额价计算支付金额；或者，根据具体情况，按合同条款第15．4款的规定，由监理人确定的单价或总额价计算支付额，</w:t>
      </w:r>
    </w:p>
    <w:p w14:paraId="11676B78">
      <w:pPr>
        <w:spacing w:line="312" w:lineRule="auto"/>
        <w:ind w:firstLine="480" w:firstLineChars="200"/>
        <w:rPr>
          <w:rFonts w:hint="eastAsia" w:ascii="宋体" w:hAnsi="宋体" w:cs="宋体"/>
          <w:color w:val="auto"/>
          <w:sz w:val="24"/>
        </w:rPr>
      </w:pPr>
      <w:r>
        <w:rPr>
          <w:rFonts w:hint="eastAsia" w:ascii="宋体" w:hAnsi="宋体" w:cs="宋体"/>
          <w:color w:val="auto"/>
          <w:sz w:val="24"/>
        </w:rPr>
        <w:t>1.4 工程量清单各章是按第七章“技术规范”的相应章次编号的，因此，工程量清单中各章的工程子目的范围与计量等应与“技术规范”相应章节的范围、计量与支付条款结合起来理解或解释。</w:t>
      </w:r>
    </w:p>
    <w:p w14:paraId="74E4A0C1">
      <w:pPr>
        <w:spacing w:line="312" w:lineRule="auto"/>
        <w:ind w:firstLine="480" w:firstLineChars="200"/>
        <w:rPr>
          <w:rFonts w:hint="eastAsia" w:ascii="宋体" w:hAnsi="宋体" w:cs="宋体"/>
          <w:color w:val="auto"/>
          <w:sz w:val="24"/>
        </w:rPr>
      </w:pPr>
      <w:r>
        <w:rPr>
          <w:rFonts w:hint="eastAsia" w:ascii="宋体" w:hAnsi="宋体" w:cs="宋体"/>
          <w:color w:val="auto"/>
          <w:sz w:val="24"/>
        </w:rPr>
        <w:t>1.5 对作业和材料的—般说明或规定，未重复写入工程量清单内，在给工程量清单各子目标价前，应参阅第七章“技术规范”的有关内容。</w:t>
      </w:r>
    </w:p>
    <w:p w14:paraId="63DF7556">
      <w:pPr>
        <w:spacing w:line="312" w:lineRule="auto"/>
        <w:ind w:firstLine="480" w:firstLineChars="200"/>
        <w:rPr>
          <w:rFonts w:hint="eastAsia" w:ascii="宋体" w:hAnsi="宋体" w:cs="宋体"/>
          <w:color w:val="auto"/>
          <w:sz w:val="24"/>
        </w:rPr>
      </w:pPr>
      <w:r>
        <w:rPr>
          <w:rFonts w:hint="eastAsia" w:ascii="宋体" w:hAnsi="宋体" w:cs="宋体"/>
          <w:color w:val="auto"/>
          <w:sz w:val="24"/>
        </w:rPr>
        <w:t>1.6 工程量清单中所列工程量的变动，丝毫不会降低或影响合同条款的效力，也不免除</w:t>
      </w:r>
      <w:r>
        <w:rPr>
          <w:rFonts w:hint="eastAsia" w:ascii="宋体" w:hAnsi="宋体" w:cs="宋体"/>
          <w:color w:val="auto"/>
          <w:sz w:val="24"/>
          <w:lang w:eastAsia="zh-CN"/>
        </w:rPr>
        <w:t>乙方</w:t>
      </w:r>
      <w:r>
        <w:rPr>
          <w:rFonts w:hint="eastAsia" w:ascii="宋体" w:hAnsi="宋体" w:cs="宋体"/>
          <w:color w:val="auto"/>
          <w:sz w:val="24"/>
        </w:rPr>
        <w:t>按规定的标准进行施工和修复缺陷的责任。</w:t>
      </w:r>
    </w:p>
    <w:p w14:paraId="1C1F2434">
      <w:pPr>
        <w:spacing w:line="312" w:lineRule="auto"/>
        <w:ind w:firstLine="480" w:firstLineChars="200"/>
        <w:rPr>
          <w:rFonts w:hint="eastAsia" w:ascii="宋体" w:hAnsi="宋体" w:cs="宋体"/>
          <w:color w:val="auto"/>
          <w:sz w:val="24"/>
        </w:rPr>
      </w:pPr>
      <w:r>
        <w:rPr>
          <w:rFonts w:hint="eastAsia" w:ascii="宋体" w:hAnsi="宋体" w:cs="宋体"/>
          <w:color w:val="auto"/>
          <w:sz w:val="24"/>
        </w:rPr>
        <w:t>1.7 图纸中所列的工程数量表及数量汇总表仅是提供资料，不是工程量清单的外延。当图纸与工程量清单所列数量不一致时，以工程量清单所列数量作为报价的依据。</w:t>
      </w:r>
    </w:p>
    <w:p w14:paraId="64A241E0">
      <w:pPr>
        <w:spacing w:before="240" w:after="120" w:line="312" w:lineRule="auto"/>
        <w:rPr>
          <w:rFonts w:hint="eastAsia" w:ascii="宋体" w:hAnsi="宋体" w:cs="宋体"/>
          <w:color w:val="auto"/>
          <w:sz w:val="24"/>
        </w:rPr>
      </w:pPr>
      <w:r>
        <w:rPr>
          <w:rFonts w:hint="eastAsia" w:ascii="宋体" w:hAnsi="宋体" w:cs="宋体"/>
          <w:color w:val="auto"/>
          <w:sz w:val="24"/>
        </w:rPr>
        <w:t>2．投标报价说明</w:t>
      </w:r>
    </w:p>
    <w:p w14:paraId="2C9F86E6">
      <w:pPr>
        <w:spacing w:line="312" w:lineRule="auto"/>
        <w:ind w:firstLine="480" w:firstLineChars="200"/>
        <w:rPr>
          <w:rFonts w:hint="eastAsia" w:ascii="宋体" w:hAnsi="宋体" w:cs="宋体"/>
          <w:color w:val="auto"/>
          <w:sz w:val="24"/>
        </w:rPr>
      </w:pPr>
      <w:r>
        <w:rPr>
          <w:rFonts w:hint="eastAsia" w:ascii="宋体" w:hAnsi="宋体" w:cs="宋体"/>
          <w:color w:val="auto"/>
          <w:sz w:val="24"/>
        </w:rPr>
        <w:t>2.1 工程量清单中的每一子目须填入单价或价格，且只允许有一个报价。</w:t>
      </w:r>
    </w:p>
    <w:p w14:paraId="58FC993F">
      <w:pPr>
        <w:spacing w:line="312" w:lineRule="auto"/>
        <w:ind w:firstLine="480" w:firstLineChars="200"/>
        <w:rPr>
          <w:rFonts w:hint="eastAsia" w:ascii="宋体" w:hAnsi="宋体" w:cs="宋体"/>
          <w:color w:val="auto"/>
          <w:sz w:val="24"/>
        </w:rPr>
      </w:pPr>
      <w:r>
        <w:rPr>
          <w:rFonts w:hint="eastAsia" w:ascii="宋体" w:hAnsi="宋体" w:cs="宋体"/>
          <w:color w:val="auto"/>
          <w:sz w:val="24"/>
        </w:rPr>
        <w:t>2.2 除非合同另有规定，工程量清单中有标价的单价和总额价均已包括了为实施和完成合同工程所需的劳务、材料、机械、质检（自检）、安装、缺陷修复、管理、保险、税费、利润等费用，以及合同明示或暗示的所有责任、义务和一般风险。</w:t>
      </w:r>
    </w:p>
    <w:p w14:paraId="73716691">
      <w:pPr>
        <w:spacing w:line="312" w:lineRule="auto"/>
        <w:ind w:firstLine="480" w:firstLineChars="200"/>
        <w:rPr>
          <w:rFonts w:hint="eastAsia" w:ascii="宋体" w:hAnsi="宋体" w:cs="宋体"/>
          <w:color w:val="auto"/>
          <w:sz w:val="24"/>
        </w:rPr>
      </w:pPr>
      <w:r>
        <w:rPr>
          <w:rFonts w:hint="eastAsia" w:ascii="宋体" w:hAnsi="宋体" w:cs="宋体"/>
          <w:color w:val="auto"/>
          <w:sz w:val="24"/>
        </w:rPr>
        <w:t>2.3 工程量清单中投标人没有填入单价或价格的子目，其费用视为己分摊在工程量清单中其他相关子目的单价或价格之中。</w:t>
      </w:r>
      <w:r>
        <w:rPr>
          <w:rFonts w:hint="eastAsia" w:ascii="宋体" w:hAnsi="宋体" w:cs="宋体"/>
          <w:color w:val="auto"/>
          <w:sz w:val="24"/>
          <w:lang w:eastAsia="zh-CN"/>
        </w:rPr>
        <w:t>乙方</w:t>
      </w:r>
      <w:r>
        <w:rPr>
          <w:rFonts w:hint="eastAsia" w:ascii="宋体" w:hAnsi="宋体" w:cs="宋体"/>
          <w:color w:val="auto"/>
          <w:sz w:val="24"/>
        </w:rPr>
        <w:t>必须按监理人指令完成工程量清单中未填入单价或价格的子目，但不能得到结算与支付。</w:t>
      </w:r>
    </w:p>
    <w:p w14:paraId="11D0F241">
      <w:pPr>
        <w:spacing w:line="312" w:lineRule="auto"/>
        <w:ind w:firstLine="480" w:firstLineChars="200"/>
        <w:rPr>
          <w:rFonts w:hint="eastAsia" w:ascii="宋体" w:hAnsi="宋体" w:cs="宋体"/>
          <w:color w:val="auto"/>
          <w:sz w:val="24"/>
        </w:rPr>
      </w:pPr>
      <w:r>
        <w:rPr>
          <w:rFonts w:hint="eastAsia" w:ascii="宋体" w:hAnsi="宋体" w:cs="宋体"/>
          <w:color w:val="auto"/>
          <w:sz w:val="24"/>
        </w:rPr>
        <w:t>2.4 符合合同条款规定的全部费用应认为已被计入有标价的工程量清单所列各子目之中，未列子目不予计量的工作，其费用应视为已分摊在本合同工程的有关子目的单价或总额价之中。</w:t>
      </w:r>
    </w:p>
    <w:p w14:paraId="295488F4">
      <w:pPr>
        <w:spacing w:line="312" w:lineRule="auto"/>
        <w:ind w:firstLine="480" w:firstLineChars="200"/>
        <w:rPr>
          <w:rFonts w:hint="eastAsia" w:ascii="宋体" w:hAnsi="宋体" w:cs="宋体"/>
          <w:color w:val="auto"/>
          <w:sz w:val="24"/>
        </w:rPr>
      </w:pPr>
      <w:r>
        <w:rPr>
          <w:rFonts w:hint="eastAsia" w:ascii="宋体" w:hAnsi="宋体" w:cs="宋体"/>
          <w:color w:val="auto"/>
          <w:sz w:val="24"/>
        </w:rPr>
        <w:t>2.5</w:t>
      </w:r>
      <w:r>
        <w:rPr>
          <w:rFonts w:hint="eastAsia" w:ascii="宋体" w:hAnsi="宋体" w:cs="宋体"/>
          <w:color w:val="auto"/>
          <w:sz w:val="24"/>
          <w:lang w:eastAsia="zh-CN"/>
        </w:rPr>
        <w:t>乙方</w:t>
      </w:r>
      <w:r>
        <w:rPr>
          <w:rFonts w:hint="eastAsia" w:ascii="宋体" w:hAnsi="宋体" w:cs="宋体"/>
          <w:color w:val="auto"/>
          <w:sz w:val="24"/>
        </w:rPr>
        <w:t>用于本合同工程的各类装备的提供、运输、维护、拆卸、拼装等支付的费用，已包括在工程量清单的单价与总额价之中。</w:t>
      </w:r>
    </w:p>
    <w:p w14:paraId="37915573">
      <w:pPr>
        <w:spacing w:line="312" w:lineRule="auto"/>
        <w:ind w:firstLine="480" w:firstLineChars="200"/>
        <w:rPr>
          <w:rFonts w:hint="eastAsia" w:ascii="宋体" w:hAnsi="宋体" w:cs="宋体"/>
          <w:color w:val="auto"/>
          <w:sz w:val="24"/>
        </w:rPr>
      </w:pPr>
      <w:r>
        <w:rPr>
          <w:rFonts w:hint="eastAsia" w:ascii="宋体" w:hAnsi="宋体" w:cs="宋体"/>
          <w:color w:val="auto"/>
          <w:sz w:val="24"/>
        </w:rPr>
        <w:t>2.6 工程量清单中各项金额均以人民币（元）结算。</w:t>
      </w:r>
    </w:p>
    <w:p w14:paraId="2FB9C834">
      <w:pPr>
        <w:spacing w:line="312" w:lineRule="auto"/>
        <w:ind w:firstLine="480" w:firstLineChars="200"/>
        <w:rPr>
          <w:rFonts w:hint="eastAsia" w:ascii="宋体" w:hAnsi="宋体" w:cs="宋体"/>
          <w:color w:val="auto"/>
          <w:sz w:val="24"/>
        </w:rPr>
      </w:pPr>
      <w:r>
        <w:rPr>
          <w:rFonts w:hint="eastAsia" w:ascii="宋体" w:hAnsi="宋体" w:cs="宋体"/>
          <w:color w:val="auto"/>
          <w:sz w:val="24"/>
        </w:rPr>
        <w:t>2.8 暂列金额（本工程不计）。</w:t>
      </w:r>
    </w:p>
    <w:p w14:paraId="45CF29B7">
      <w:pPr>
        <w:spacing w:before="240" w:after="120" w:line="312" w:lineRule="auto"/>
        <w:rPr>
          <w:rFonts w:hint="eastAsia" w:ascii="宋体" w:hAnsi="宋体" w:cs="宋体"/>
          <w:color w:val="auto"/>
          <w:sz w:val="24"/>
        </w:rPr>
      </w:pPr>
      <w:r>
        <w:rPr>
          <w:rFonts w:hint="eastAsia" w:ascii="宋体" w:hAnsi="宋体" w:cs="宋体"/>
          <w:color w:val="auto"/>
          <w:sz w:val="24"/>
        </w:rPr>
        <w:t>3．计日工说明</w:t>
      </w:r>
    </w:p>
    <w:p w14:paraId="0EC60786">
      <w:pPr>
        <w:spacing w:line="312" w:lineRule="auto"/>
        <w:rPr>
          <w:rFonts w:hint="eastAsia" w:ascii="宋体" w:hAnsi="宋体" w:cs="宋体"/>
          <w:color w:val="auto"/>
          <w:sz w:val="24"/>
        </w:rPr>
      </w:pPr>
      <w:r>
        <w:rPr>
          <w:rFonts w:hint="eastAsia" w:ascii="宋体" w:hAnsi="宋体" w:cs="宋体"/>
          <w:color w:val="auto"/>
          <w:sz w:val="24"/>
        </w:rPr>
        <w:t xml:space="preserve">    3.1 本工程无计日工。</w:t>
      </w:r>
    </w:p>
    <w:p w14:paraId="48FF2C0B">
      <w:pPr>
        <w:spacing w:line="312" w:lineRule="auto"/>
        <w:ind w:firstLine="480" w:firstLineChars="200"/>
        <w:rPr>
          <w:rFonts w:hint="eastAsia" w:ascii="宋体" w:hAnsi="宋体" w:cs="宋体"/>
          <w:color w:val="auto"/>
          <w:sz w:val="24"/>
        </w:rPr>
      </w:pPr>
      <w:r>
        <w:rPr>
          <w:rFonts w:hint="eastAsia" w:ascii="宋体" w:hAnsi="宋体" w:cs="宋体"/>
          <w:color w:val="auto"/>
          <w:sz w:val="24"/>
        </w:rPr>
        <w:t>3.2 本工程无计日工施工机械。</w:t>
      </w:r>
    </w:p>
    <w:p w14:paraId="5B25D803">
      <w:pPr>
        <w:spacing w:line="312" w:lineRule="auto"/>
        <w:ind w:firstLine="480" w:firstLineChars="200"/>
        <w:rPr>
          <w:rFonts w:hint="eastAsia" w:ascii="宋体" w:hAnsi="宋体" w:cs="宋体"/>
          <w:color w:val="auto"/>
          <w:sz w:val="24"/>
        </w:rPr>
      </w:pPr>
    </w:p>
    <w:p w14:paraId="5CE7B31D">
      <w:pPr>
        <w:numPr>
          <w:ilvl w:val="0"/>
          <w:numId w:val="8"/>
        </w:numPr>
        <w:spacing w:line="312" w:lineRule="auto"/>
        <w:rPr>
          <w:rFonts w:hint="eastAsia" w:ascii="宋体" w:hAnsi="宋体" w:cs="宋体"/>
          <w:color w:val="auto"/>
          <w:sz w:val="24"/>
        </w:rPr>
      </w:pPr>
      <w:r>
        <w:rPr>
          <w:rFonts w:hint="eastAsia" w:ascii="宋体" w:hAnsi="宋体" w:cs="宋体"/>
          <w:color w:val="auto"/>
          <w:sz w:val="24"/>
        </w:rPr>
        <w:t>其他说明（无）</w:t>
      </w:r>
    </w:p>
    <w:p w14:paraId="2E37C627">
      <w:pPr>
        <w:pStyle w:val="3"/>
        <w:keepNext/>
        <w:keepLines/>
        <w:pageBreakBefore w:val="0"/>
        <w:widowControl w:val="0"/>
        <w:kinsoku/>
        <w:wordWrap/>
        <w:overflowPunct/>
        <w:topLinePunct w:val="0"/>
        <w:autoSpaceDE/>
        <w:autoSpaceDN/>
        <w:bidi w:val="0"/>
        <w:adjustRightInd/>
        <w:snapToGrid/>
        <w:spacing w:before="0" w:after="0" w:line="416" w:lineRule="auto"/>
        <w:textAlignment w:val="auto"/>
        <w:rPr>
          <w:b w:val="0"/>
          <w:bCs w:val="0"/>
          <w:color w:val="auto"/>
          <w:highlight w:val="none"/>
        </w:rPr>
      </w:pPr>
    </w:p>
    <w:sectPr>
      <w:footerReference r:id="rId14" w:type="first"/>
      <w:footerReference r:id="rId13" w:type="default"/>
      <w:pgSz w:w="11906" w:h="16838"/>
      <w:pgMar w:top="1440" w:right="859" w:bottom="1440" w:left="1587"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8B95C76-0D85-49BE-B0DA-780739198A26}"/>
  </w:font>
  <w:font w:name="黑体">
    <w:panose1 w:val="02010609060101010101"/>
    <w:charset w:val="86"/>
    <w:family w:val="auto"/>
    <w:pitch w:val="default"/>
    <w:sig w:usb0="800002BF" w:usb1="38CF7CFA" w:usb2="00000016" w:usb3="00000000" w:csb0="00040001" w:csb1="00000000"/>
    <w:embedRegular r:id="rId2" w:fontKey="{14EF67A1-102C-4520-AA66-05CB0E374A20}"/>
  </w:font>
  <w:font w:name="Courier New">
    <w:panose1 w:val="02070309020205020404"/>
    <w:charset w:val="01"/>
    <w:family w:val="modern"/>
    <w:pitch w:val="default"/>
    <w:sig w:usb0="E0002EFF" w:usb1="C0007843" w:usb2="00000009" w:usb3="00000000" w:csb0="400001FF" w:csb1="FFFF0000"/>
    <w:embedRegular r:id="rId3" w:fontKey="{8ABD25EB-B372-4768-AA3C-A16C60F3700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DFEE8A32-4C3E-4824-91C0-F5630C748338}"/>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5" w:fontKey="{8368D272-B5AC-48B9-8A9B-143213EA2532}"/>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imes New Roman)">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宋体正文">
    <w:altName w:val="宋体"/>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embedRegular r:id="rId6" w:fontKey="{BF5B8876-8DD9-45D9-B858-CA7921A32476}"/>
  </w:font>
  <w:font w:name="Verdana">
    <w:panose1 w:val="020B0604030504040204"/>
    <w:charset w:val="00"/>
    <w:family w:val="swiss"/>
    <w:pitch w:val="default"/>
    <w:sig w:usb0="A00006FF" w:usb1="4000205B" w:usb2="00000010" w:usb3="00000000" w:csb0="2000019F" w:csb1="00000000"/>
    <w:embedRegular r:id="rId7" w:fontKey="{0B501BE8-FA3E-4C55-B89F-99ACE3990A3B}"/>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简体">
    <w:panose1 w:val="02000000000000000000"/>
    <w:charset w:val="86"/>
    <w:family w:val="script"/>
    <w:pitch w:val="default"/>
    <w:sig w:usb0="00000001" w:usb1="08000000" w:usb2="00000000" w:usb3="00000000" w:csb0="00040000" w:csb1="00000000"/>
    <w:embedRegular r:id="rId8" w:fontKey="{DBC4127D-5DDC-4962-8BB0-4DAF2BB33AEB}"/>
  </w:font>
  <w:font w:name="Arial Unicode MS">
    <w:panose1 w:val="020B0604020202020204"/>
    <w:charset w:val="86"/>
    <w:family w:val="auto"/>
    <w:pitch w:val="default"/>
    <w:sig w:usb0="FFFFFFFF" w:usb1="E9FFFFFF" w:usb2="0000003F" w:usb3="00000000" w:csb0="603F01FF" w:csb1="FFFF0000"/>
    <w:embedRegular r:id="rId9" w:fontKey="{63CA60DA-5C99-4696-B9C7-8239D0CF405E}"/>
  </w:font>
  <w:font w:name="仿宋">
    <w:panose1 w:val="02010609060101010101"/>
    <w:charset w:val="86"/>
    <w:family w:val="modern"/>
    <w:pitch w:val="default"/>
    <w:sig w:usb0="800002BF" w:usb1="38CF7CFA" w:usb2="00000016" w:usb3="00000000" w:csb0="00040001" w:csb1="00000000"/>
    <w:embedRegular r:id="rId10" w:fontKey="{A8109CEE-6F7E-491E-A53A-CBA336AE9492}"/>
  </w:font>
  <w:font w:name="方正小标宋_GBK">
    <w:altName w:val="微软雅黑"/>
    <w:panose1 w:val="02000000000000000000"/>
    <w:charset w:val="86"/>
    <w:family w:val="script"/>
    <w:pitch w:val="default"/>
    <w:sig w:usb0="00000000" w:usb1="00000000" w:usb2="00000000" w:usb3="00000000" w:csb0="00040000" w:csb1="00000000"/>
    <w:embedRegular r:id="rId11" w:fontKey="{17F3D66F-462A-43DE-A8E8-E88139B950D6}"/>
  </w:font>
  <w:font w:name="楷体">
    <w:panose1 w:val="02010609060101010101"/>
    <w:charset w:val="86"/>
    <w:family w:val="auto"/>
    <w:pitch w:val="default"/>
    <w:sig w:usb0="800002BF" w:usb1="38CF7CFA" w:usb2="00000016" w:usb3="00000000" w:csb0="00040001" w:csb1="00000000"/>
    <w:embedRegular r:id="rId12" w:fontKey="{42416468-5A73-4DFD-A771-A5773C4AC2E5}"/>
  </w:font>
  <w:font w:name="楷体_GB2312">
    <w:panose1 w:val="02010609030101010101"/>
    <w:charset w:val="86"/>
    <w:family w:val="modern"/>
    <w:pitch w:val="default"/>
    <w:sig w:usb0="00000001" w:usb1="080E0000" w:usb2="00000000" w:usb3="00000000" w:csb0="00040000" w:csb1="00000000"/>
    <w:embedRegular r:id="rId13" w:fontKey="{AE35E995-157B-4509-8FC5-181F00EABB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8298B">
    <w:pPr>
      <w:pStyle w:val="29"/>
      <w:tabs>
        <w:tab w:val="center" w:pos="4439"/>
        <w:tab w:val="clear" w:pos="4153"/>
      </w:tabs>
      <w:jc w:val="both"/>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72A323">
                          <w:pPr>
                            <w:pStyle w:val="2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3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jEWoXLAQAAnAMAAA4AAAAAAAAAAQAgAAAAHgEAAGRycy9lMm9E&#10;b2MueG1sUEsFBgAAAAAGAAYAWQEAAFsFAAAAAA==&#10;">
              <v:fill on="f" focussize="0,0"/>
              <v:stroke on="f"/>
              <v:imagedata o:title=""/>
              <o:lock v:ext="edit" aspectratio="f"/>
              <v:textbox inset="0mm,0mm,0mm,0mm" style="mso-fit-shape-to-text:t;">
                <w:txbxContent>
                  <w:p w14:paraId="2372A323">
                    <w:pPr>
                      <w:pStyle w:val="2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B2205">
    <w:pPr>
      <w:pStyle w:val="29"/>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0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107154">
                          <w:pPr>
                            <w:pStyle w:val="29"/>
                          </w:pPr>
                          <w:r>
                            <w:fldChar w:fldCharType="begin"/>
                          </w:r>
                          <w:r>
                            <w:instrText xml:space="preserve"> PAGE  \* MERGEFORMAT </w:instrText>
                          </w:r>
                          <w:r>
                            <w:fldChar w:fldCharType="separate"/>
                          </w:r>
                          <w:r>
                            <w:t>97</w:t>
                          </w:r>
                          <w:r>
                            <w:fldChar w:fldCharType="end"/>
                          </w:r>
                        </w:p>
                      </w:txbxContent>
                    </wps:txbx>
                    <wps:bodyPr wrap="none" lIns="0" tIns="0" rIns="0" bIns="0" upright="0">
                      <a:spAutoFit/>
                    </wps:bodyPr>
                  </wps:wsp>
                </a:graphicData>
              </a:graphic>
            </wp:anchor>
          </w:drawing>
        </mc:Choice>
        <mc:Fallback>
          <w:pict>
            <v:shape id="文本框 103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qEr6soBAACcAwAADgAAAAAAAAABACAAAAAeAQAAZHJzL2Uyb0Rv&#10;Yy54bWxQSwUGAAAAAAYABgBZAQAAWgUAAAAA&#10;">
              <v:fill on="f" focussize="0,0"/>
              <v:stroke on="f"/>
              <v:imagedata o:title=""/>
              <o:lock v:ext="edit" aspectratio="f"/>
              <v:textbox inset="0mm,0mm,0mm,0mm" style="mso-fit-shape-to-text:t;">
                <w:txbxContent>
                  <w:p w14:paraId="50107154">
                    <w:pPr>
                      <w:pStyle w:val="29"/>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96D96">
    <w:pPr>
      <w:pStyle w:val="29"/>
      <w:tabs>
        <w:tab w:val="center" w:pos="4439"/>
        <w:tab w:val="clear" w:pos="4153"/>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50C4417">
                          <w:pPr>
                            <w:pStyle w:val="29"/>
                          </w:pPr>
                          <w:r>
                            <w:fldChar w:fldCharType="begin"/>
                          </w:r>
                          <w:r>
                            <w:instrText xml:space="preserve"> PAGE  \* MERGEFORMAT </w:instrText>
                          </w:r>
                          <w:r>
                            <w:fldChar w:fldCharType="separate"/>
                          </w:r>
                          <w:r>
                            <w:t>0</w:t>
                          </w:r>
                          <w:r>
                            <w:fldChar w:fldCharType="end"/>
                          </w:r>
                        </w:p>
                      </w:txbxContent>
                    </wps:txbx>
                    <wps:bodyPr wrap="none" lIns="0" tIns="0" rIns="0" bIns="0" upright="0">
                      <a:spAutoFit/>
                    </wps:bodyPr>
                  </wps:wsp>
                </a:graphicData>
              </a:graphic>
            </wp:anchor>
          </w:drawing>
        </mc:Choice>
        <mc:Fallback>
          <w:pict>
            <v:shape id="文本框 103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snBM8oBAACcAwAADgAAAGRycy9lMm9Eb2MueG1srVPNjtMwEL4j8Q6W&#10;79RpE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lW&#10;L5d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csnBM8oBAACcAwAADgAAAAAAAAABACAAAAAeAQAAZHJzL2Uyb0Rv&#10;Yy54bWxQSwUGAAAAAAYABgBZAQAAWgUAAAAA&#10;">
              <v:fill on="f" focussize="0,0"/>
              <v:stroke on="f"/>
              <v:imagedata o:title=""/>
              <o:lock v:ext="edit" aspectratio="f"/>
              <v:textbox inset="0mm,0mm,0mm,0mm" style="mso-fit-shape-to-text:t;">
                <w:txbxContent>
                  <w:p w14:paraId="550C4417">
                    <w:pPr>
                      <w:pStyle w:val="29"/>
                    </w:pPr>
                    <w:r>
                      <w:fldChar w:fldCharType="begin"/>
                    </w:r>
                    <w:r>
                      <w:instrText xml:space="preserve"> PAGE  \* MERGEFORMAT </w:instrText>
                    </w:r>
                    <w:r>
                      <w:fldChar w:fldCharType="separate"/>
                    </w:r>
                    <w:r>
                      <w:t>0</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53035"/>
              <wp:effectExtent l="0" t="0" r="0" b="0"/>
              <wp:wrapNone/>
              <wp:docPr id="3" name="Text Box 4100"/>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54C447AF"/>
                      </w:txbxContent>
                    </wps:txbx>
                    <wps:bodyPr rot="0" vert="horz" wrap="none" lIns="0" tIns="0" rIns="0" bIns="0" anchor="t" anchorCtr="0" upright="1">
                      <a:spAutoFit/>
                    </wps:bodyPr>
                  </wps:wsp>
                </a:graphicData>
              </a:graphic>
            </wp:anchor>
          </w:drawing>
        </mc:Choice>
        <mc:Fallback>
          <w:pict>
            <v:shape id="Text Box 4100" o:spid="_x0000_s1026" o:spt="202" type="#_x0000_t202" style="position:absolute;left:0pt;margin-top:0pt;height:12.05pt;width:9.05pt;mso-position-horizontal:center;mso-position-horizontal-relative:margin;mso-wrap-style:none;z-index:251659264;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kFT5rQAAAAAwEAAA8AAAAAAAAAAQAgAAAAIgAAAGRycy9kb3ducmV2LnhtbFBL&#10;AQIUABQAAAAIAIdO4kBxCz4B/gEAABIEAAAOAAAAAAAAAAEAIAAAAB8BAABkcnMvZTJvRG9jLnht&#10;bFBLBQYAAAAABgAGAFkBAACPBQAAAAA=&#10;">
              <v:fill on="f" focussize="0,0"/>
              <v:stroke on="f"/>
              <v:imagedata o:title=""/>
              <o:lock v:ext="edit" aspectratio="f"/>
              <v:textbox inset="0mm,0mm,0mm,0mm" style="mso-fit-shape-to-text:t;">
                <w:txbxContent>
                  <w:p w14:paraId="54C447AF"/>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2BF84">
    <w:pPr>
      <w:pStyle w:val="29"/>
      <w:tabs>
        <w:tab w:val="center" w:pos="4439"/>
        <w:tab w:val="clear" w:pos="4153"/>
      </w:tabs>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BEFA9">
    <w:pPr>
      <w:pStyle w:val="29"/>
      <w:tabs>
        <w:tab w:val="center" w:pos="4439"/>
        <w:tab w:val="clear" w:pos="4153"/>
      </w:tabs>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14935" cy="153035"/>
              <wp:effectExtent l="0" t="0" r="0" b="0"/>
              <wp:wrapNone/>
              <wp:docPr id="10" name="文本框 1038"/>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06048AB8"/>
                      </w:txbxContent>
                    </wps:txbx>
                    <wps:bodyPr rot="0" vert="horz" wrap="none" lIns="0" tIns="0" rIns="0" bIns="0" anchor="t" anchorCtr="0" upright="1">
                      <a:spAutoFit/>
                    </wps:bodyPr>
                  </wps:wsp>
                </a:graphicData>
              </a:graphic>
            </wp:anchor>
          </w:drawing>
        </mc:Choice>
        <mc:Fallback>
          <w:pict>
            <v:shape id="文本框 1038" o:spid="_x0000_s1026" o:spt="202" type="#_x0000_t202" style="position:absolute;left:0pt;margin-top:0pt;height:12.05pt;width:9.05pt;mso-position-horizontal:center;mso-position-horizontal-relative:margin;mso-wrap-style:none;z-index:251665408;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QVPmtAAAAADAQAADwAAAAAAAAABACAAAAAiAAAA&#10;ZHJzL2Rvd25yZXYueG1sUEsBAhQAFAAAAAgAh07iQPu2fewPAgAAFAQAAA4AAAAAAAAAAQAgAAAA&#10;HwEAAGRycy9lMm9Eb2MueG1sUEsFBgAAAAAGAAYAWQEAAKAFAAAAAA==&#10;">
              <v:fill on="f" focussize="0,0"/>
              <v:stroke on="f"/>
              <v:imagedata o:title=""/>
              <o:lock v:ext="edit" aspectratio="f"/>
              <v:textbox inset="0mm,0mm,0mm,0mm" style="mso-fit-shape-to-text:t;">
                <w:txbxContent>
                  <w:p w14:paraId="06048AB8"/>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4EF95">
    <w:pPr>
      <w:spacing w:line="176" w:lineRule="auto"/>
      <w:ind w:left="473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619FE56">
                          <w:pPr>
                            <w:pStyle w:val="2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dkdM8sBAACcAwAADgAAAGRycy9lMm9Eb2MueG1srVPNjtMwEL4j8Q6W&#10;79Rpk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RZ&#10;vV5lhfoANSbeB0xNw1s/4N7MfkBnJj6oaPMXKRGMo77nq75ySETkR+vVel1hSGBsviA+e3geIqR3&#10;0luSjYZGHGDRlZ8+QBpT55Rczfk7bUwZonF/ORAze1jufewxW2nYDxOhvW/PyKfH2TfU4apTYt47&#10;lDavyWzE2djPxjFEfejKHuV6EN4cEzZRessVRtipMA6tsJsWLG/F43vJevipt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G3ZHTPLAQAAnAMAAA4AAAAAAAAAAQAgAAAAHgEAAGRycy9lMm9E&#10;b2MueG1sUEsFBgAAAAAGAAYAWQEAAFsFAAAAAA==&#10;">
              <v:fill on="f" focussize="0,0"/>
              <v:stroke on="f"/>
              <v:imagedata o:title=""/>
              <o:lock v:ext="edit" aspectratio="f"/>
              <v:textbox inset="0mm,0mm,0mm,0mm" style="mso-fit-shape-to-text:t;">
                <w:txbxContent>
                  <w:p w14:paraId="1619FE56">
                    <w:pPr>
                      <w:pStyle w:val="2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F305A">
    <w:pPr>
      <w:pStyle w:val="29"/>
    </w:pPr>
  </w:p>
  <w:p w14:paraId="6A2AAA78">
    <w:pPr>
      <w:pStyle w:val="2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B1908">
    <w:pPr>
      <w:pStyle w:val="29"/>
    </w:pPr>
  </w:p>
  <w:p w14:paraId="4191A89C">
    <w:pPr>
      <w:pStyle w:val="2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8AAD5">
    <w:pPr>
      <w:pStyle w:val="29"/>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813BD4">
                          <w:pPr>
                            <w:pStyle w:val="29"/>
                            <w:jc w:val="center"/>
                          </w:pPr>
                          <w:r>
                            <w:fldChar w:fldCharType="begin"/>
                          </w:r>
                          <w:r>
                            <w:instrText xml:space="preserve">PAGE   \* MERGEFORMAT</w:instrText>
                          </w:r>
                          <w:r>
                            <w:fldChar w:fldCharType="separate"/>
                          </w:r>
                          <w:r>
                            <w:rPr>
                              <w:lang w:val="zh-CN"/>
                            </w:rP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xjdksg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VhS4rjFiV9+/rj8+nP5/Z2g&#10;DwXqA9SYdx8wMw3v/IDJsx/QmXkPKtr8RUYE4yjv+SqvHBIR+dF6tV5XGBIYmy+Izx6ehwjpvfSW&#10;ZKOhEedXZOWnj5DG1DklV3P+ThtTZmjcPw7EzB6Wex97zFYa9sNEaO/bM/LpcfQNdbjplJgPDpXN&#10;WzIbcTb2s3EMUR+6ska5HoTbY8ImSm+5wgg7FcaZFXbTfuWleHwvWQ//1P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cY3ZLIAQAAmwMAAA4AAAAAAAAAAQAgAAAAHgEAAGRycy9lMm9Eb2Mu&#10;eG1sUEsFBgAAAAAGAAYAWQEAAFgFAAAAAA==&#10;">
              <v:fill on="f" focussize="0,0"/>
              <v:stroke on="f"/>
              <v:imagedata o:title=""/>
              <o:lock v:ext="edit" aspectratio="f"/>
              <v:textbox inset="0mm,0mm,0mm,0mm" style="mso-fit-shape-to-text:t;">
                <w:txbxContent>
                  <w:p w14:paraId="6D813BD4">
                    <w:pPr>
                      <w:pStyle w:val="29"/>
                      <w:jc w:val="center"/>
                    </w:pPr>
                    <w:r>
                      <w:fldChar w:fldCharType="begin"/>
                    </w:r>
                    <w:r>
                      <w:instrText xml:space="preserve">PAGE   \* MERGEFORMAT</w:instrText>
                    </w:r>
                    <w:r>
                      <w:fldChar w:fldCharType="separate"/>
                    </w:r>
                    <w:r>
                      <w:rPr>
                        <w:lang w:val="zh-CN"/>
                      </w:rPr>
                      <w:t>2</w:t>
                    </w:r>
                    <w:r>
                      <w:fldChar w:fldCharType="end"/>
                    </w:r>
                  </w:p>
                </w:txbxContent>
              </v:textbox>
            </v:shape>
          </w:pict>
        </mc:Fallback>
      </mc:AlternateContent>
    </w:r>
  </w:p>
  <w:p w14:paraId="5128655A">
    <w:pPr>
      <w:pStyle w:val="29"/>
      <w:tabs>
        <w:tab w:val="center" w:pos="4595"/>
        <w:tab w:val="clear" w:pos="4153"/>
        <w:tab w:val="clear" w:pos="8306"/>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AE04B">
    <w:pPr>
      <w:pStyle w:val="29"/>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0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6F3C72F">
                          <w:pPr>
                            <w:pStyle w:val="29"/>
                          </w:pPr>
                          <w:r>
                            <w:fldChar w:fldCharType="begin"/>
                          </w:r>
                          <w:r>
                            <w:instrText xml:space="preserve"> PAGE  \* MERGEFORMAT </w:instrText>
                          </w:r>
                          <w:r>
                            <w:fldChar w:fldCharType="separate"/>
                          </w:r>
                          <w:r>
                            <w:t>98</w:t>
                          </w:r>
                          <w:r>
                            <w:fldChar w:fldCharType="end"/>
                          </w:r>
                        </w:p>
                      </w:txbxContent>
                    </wps:txbx>
                    <wps:bodyPr wrap="none" lIns="0" tIns="0" rIns="0" bIns="0" upright="0">
                      <a:spAutoFit/>
                    </wps:bodyPr>
                  </wps:wsp>
                </a:graphicData>
              </a:graphic>
            </wp:anchor>
          </w:drawing>
        </mc:Choice>
        <mc:Fallback>
          <w:pict>
            <v:shape id="文本框 103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KywXMoBAACc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4tgdtzjwy/dvlx+/Lj+/kmX1&#10;8lVWqA9QY+JdwNQ0vPUD7s3sB3Rm4oOKNn+REsE46nu+6iuHRER+tF6t1xWGBMbmC+Kzh+chQnon&#10;vSXZaGjEARZd+ekDpDF1TsnVnL/VxpQhGveXAzGzh+Xexx6zlYb9MBHa+/aMfHqcfUMdrjol5r1D&#10;afOazEacjf1sHEPUh67sUa4H4c0xYROlt1xhhJ0K49AKu2nB8lb8eS9ZDz/V9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zKywXMoBAACcAwAADgAAAAAAAAABACAAAAAeAQAAZHJzL2Uyb0Rv&#10;Yy54bWxQSwUGAAAAAAYABgBZAQAAWgUAAAAA&#10;">
              <v:fill on="f" focussize="0,0"/>
              <v:stroke on="f"/>
              <v:imagedata o:title=""/>
              <o:lock v:ext="edit" aspectratio="f"/>
              <v:textbox inset="0mm,0mm,0mm,0mm" style="mso-fit-shape-to-text:t;">
                <w:txbxContent>
                  <w:p w14:paraId="46F3C72F">
                    <w:pPr>
                      <w:pStyle w:val="29"/>
                    </w:pPr>
                    <w:r>
                      <w:fldChar w:fldCharType="begin"/>
                    </w:r>
                    <w:r>
                      <w:instrText xml:space="preserve"> PAGE  \* MERGEFORMAT </w:instrText>
                    </w:r>
                    <w:r>
                      <w:fldChar w:fldCharType="separate"/>
                    </w:r>
                    <w:r>
                      <w:t>98</w:t>
                    </w:r>
                    <w:r>
                      <w:fldChar w:fldCharType="end"/>
                    </w:r>
                  </w:p>
                </w:txbxContent>
              </v:textbox>
            </v:shape>
          </w:pict>
        </mc:Fallback>
      </mc:AlternateContent>
    </w:r>
  </w:p>
  <w:p w14:paraId="3FD1F387">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6FA77">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6C73D">
    <w:pPr>
      <w:pStyle w:val="3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602E1"/>
    <w:multiLevelType w:val="singleLevel"/>
    <w:tmpl w:val="938602E1"/>
    <w:lvl w:ilvl="0" w:tentative="0">
      <w:start w:val="4"/>
      <w:numFmt w:val="decimal"/>
      <w:suff w:val="nothing"/>
      <w:lvlText w:val="（%1）"/>
      <w:lvlJc w:val="left"/>
    </w:lvl>
  </w:abstractNum>
  <w:abstractNum w:abstractNumId="1">
    <w:nsid w:val="9B420655"/>
    <w:multiLevelType w:val="singleLevel"/>
    <w:tmpl w:val="9B420655"/>
    <w:lvl w:ilvl="0" w:tentative="0">
      <w:start w:val="7"/>
      <w:numFmt w:val="decimal"/>
      <w:lvlText w:val="%1."/>
      <w:lvlJc w:val="left"/>
      <w:pPr>
        <w:tabs>
          <w:tab w:val="left" w:pos="312"/>
        </w:tabs>
      </w:pPr>
    </w:lvl>
  </w:abstractNum>
  <w:abstractNum w:abstractNumId="2">
    <w:nsid w:val="00AB9285"/>
    <w:multiLevelType w:val="singleLevel"/>
    <w:tmpl w:val="00AB9285"/>
    <w:lvl w:ilvl="0" w:tentative="0">
      <w:start w:val="1"/>
      <w:numFmt w:val="decimal"/>
      <w:lvlText w:val="%1."/>
      <w:lvlJc w:val="left"/>
      <w:pPr>
        <w:tabs>
          <w:tab w:val="left" w:pos="312"/>
        </w:tabs>
      </w:pPr>
    </w:lvl>
  </w:abstractNum>
  <w:abstractNum w:abstractNumId="3">
    <w:nsid w:val="0BAEFD0F"/>
    <w:multiLevelType w:val="singleLevel"/>
    <w:tmpl w:val="0BAEFD0F"/>
    <w:lvl w:ilvl="0" w:tentative="0">
      <w:start w:val="5"/>
      <w:numFmt w:val="chineseCounting"/>
      <w:suff w:val="space"/>
      <w:lvlText w:val="第%1章"/>
      <w:lvlJc w:val="left"/>
      <w:rPr>
        <w:rFonts w:hint="eastAsia"/>
      </w:rPr>
    </w:lvl>
  </w:abstractNum>
  <w:abstractNum w:abstractNumId="4">
    <w:nsid w:val="2A0A0AEB"/>
    <w:multiLevelType w:val="singleLevel"/>
    <w:tmpl w:val="2A0A0AEB"/>
    <w:lvl w:ilvl="0" w:tentative="0">
      <w:start w:val="4"/>
      <w:numFmt w:val="decimal"/>
      <w:suff w:val="nothing"/>
      <w:lvlText w:val="%1．"/>
      <w:lvlJc w:val="left"/>
    </w:lvl>
  </w:abstractNum>
  <w:abstractNum w:abstractNumId="5">
    <w:nsid w:val="324499CC"/>
    <w:multiLevelType w:val="singleLevel"/>
    <w:tmpl w:val="324499CC"/>
    <w:lvl w:ilvl="0" w:tentative="0">
      <w:start w:val="2"/>
      <w:numFmt w:val="decimal"/>
      <w:suff w:val="nothing"/>
      <w:lvlText w:val="（%1）"/>
      <w:lvlJc w:val="left"/>
    </w:lvl>
  </w:abstractNum>
  <w:abstractNum w:abstractNumId="6">
    <w:nsid w:val="555C5158"/>
    <w:multiLevelType w:val="singleLevel"/>
    <w:tmpl w:val="555C5158"/>
    <w:lvl w:ilvl="0" w:tentative="0">
      <w:start w:val="1"/>
      <w:numFmt w:val="lowerLetter"/>
      <w:suff w:val="nothing"/>
      <w:lvlText w:val="（%1）"/>
      <w:lvlJc w:val="left"/>
    </w:lvl>
  </w:abstractNum>
  <w:abstractNum w:abstractNumId="7">
    <w:nsid w:val="7B210B03"/>
    <w:multiLevelType w:val="singleLevel"/>
    <w:tmpl w:val="7B210B03"/>
    <w:lvl w:ilvl="0" w:tentative="0">
      <w:start w:val="1"/>
      <w:numFmt w:val="decimal"/>
      <w:lvlText w:val="%1."/>
      <w:lvlJc w:val="left"/>
      <w:pPr>
        <w:tabs>
          <w:tab w:val="left" w:pos="312"/>
        </w:tabs>
      </w:pPr>
    </w:lvl>
  </w:abstractNum>
  <w:num w:numId="1">
    <w:abstractNumId w:val="0"/>
  </w:num>
  <w:num w:numId="2">
    <w:abstractNumId w:val="1"/>
  </w:num>
  <w:num w:numId="3">
    <w:abstractNumId w:val="7"/>
  </w:num>
  <w:num w:numId="4">
    <w:abstractNumId w:val="5"/>
  </w:num>
  <w:num w:numId="5">
    <w:abstractNumId w:val="3"/>
  </w:num>
  <w:num w:numId="6">
    <w:abstractNumId w:val="2"/>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E5OWYxOGVlZmEwMDQ2MGZiOTA0ODZlNWEwMmRjNTcifQ=="/>
  </w:docVars>
  <w:rsids>
    <w:rsidRoot w:val="00F34B14"/>
    <w:rsid w:val="000002E0"/>
    <w:rsid w:val="000005CE"/>
    <w:rsid w:val="00000672"/>
    <w:rsid w:val="00000C53"/>
    <w:rsid w:val="00000E69"/>
    <w:rsid w:val="00000FD7"/>
    <w:rsid w:val="00001013"/>
    <w:rsid w:val="00001245"/>
    <w:rsid w:val="00001799"/>
    <w:rsid w:val="00001AF2"/>
    <w:rsid w:val="00001CA1"/>
    <w:rsid w:val="00001ECA"/>
    <w:rsid w:val="00002480"/>
    <w:rsid w:val="00002D29"/>
    <w:rsid w:val="00002DA0"/>
    <w:rsid w:val="0000347E"/>
    <w:rsid w:val="00003B93"/>
    <w:rsid w:val="0000474D"/>
    <w:rsid w:val="0000529E"/>
    <w:rsid w:val="000057F8"/>
    <w:rsid w:val="00005FDF"/>
    <w:rsid w:val="0000644A"/>
    <w:rsid w:val="00006D8A"/>
    <w:rsid w:val="00007081"/>
    <w:rsid w:val="000070B3"/>
    <w:rsid w:val="000076B8"/>
    <w:rsid w:val="00007AE6"/>
    <w:rsid w:val="0001010E"/>
    <w:rsid w:val="000109DC"/>
    <w:rsid w:val="00010B01"/>
    <w:rsid w:val="00010D39"/>
    <w:rsid w:val="0001172C"/>
    <w:rsid w:val="00011BC9"/>
    <w:rsid w:val="00012854"/>
    <w:rsid w:val="00012D72"/>
    <w:rsid w:val="00012EA6"/>
    <w:rsid w:val="00013359"/>
    <w:rsid w:val="000139CF"/>
    <w:rsid w:val="00013AA4"/>
    <w:rsid w:val="00013DFE"/>
    <w:rsid w:val="000141EA"/>
    <w:rsid w:val="00015111"/>
    <w:rsid w:val="000151DB"/>
    <w:rsid w:val="00015239"/>
    <w:rsid w:val="00015C28"/>
    <w:rsid w:val="000163AB"/>
    <w:rsid w:val="0001657F"/>
    <w:rsid w:val="00016ABC"/>
    <w:rsid w:val="00016C68"/>
    <w:rsid w:val="000177DB"/>
    <w:rsid w:val="000179C9"/>
    <w:rsid w:val="00017CCC"/>
    <w:rsid w:val="00020227"/>
    <w:rsid w:val="00020263"/>
    <w:rsid w:val="000202AC"/>
    <w:rsid w:val="00020455"/>
    <w:rsid w:val="00020813"/>
    <w:rsid w:val="00020A9E"/>
    <w:rsid w:val="00020C36"/>
    <w:rsid w:val="000215D0"/>
    <w:rsid w:val="00021F52"/>
    <w:rsid w:val="00021FCF"/>
    <w:rsid w:val="000220B2"/>
    <w:rsid w:val="0002264C"/>
    <w:rsid w:val="00022731"/>
    <w:rsid w:val="00022792"/>
    <w:rsid w:val="00023287"/>
    <w:rsid w:val="00023A6D"/>
    <w:rsid w:val="00024292"/>
    <w:rsid w:val="0002438A"/>
    <w:rsid w:val="00024463"/>
    <w:rsid w:val="00025461"/>
    <w:rsid w:val="00025636"/>
    <w:rsid w:val="00025E36"/>
    <w:rsid w:val="000260F7"/>
    <w:rsid w:val="000260FF"/>
    <w:rsid w:val="00026855"/>
    <w:rsid w:val="00026886"/>
    <w:rsid w:val="000273DE"/>
    <w:rsid w:val="0002754F"/>
    <w:rsid w:val="0002785D"/>
    <w:rsid w:val="00030544"/>
    <w:rsid w:val="000307BE"/>
    <w:rsid w:val="000317BF"/>
    <w:rsid w:val="000321AB"/>
    <w:rsid w:val="00032633"/>
    <w:rsid w:val="000329E0"/>
    <w:rsid w:val="000336D0"/>
    <w:rsid w:val="000351A2"/>
    <w:rsid w:val="000352E9"/>
    <w:rsid w:val="00035494"/>
    <w:rsid w:val="00035ECF"/>
    <w:rsid w:val="00036125"/>
    <w:rsid w:val="00036A07"/>
    <w:rsid w:val="0003780B"/>
    <w:rsid w:val="00037C41"/>
    <w:rsid w:val="00040571"/>
    <w:rsid w:val="00040973"/>
    <w:rsid w:val="0004156E"/>
    <w:rsid w:val="00041713"/>
    <w:rsid w:val="0004212E"/>
    <w:rsid w:val="00042A19"/>
    <w:rsid w:val="00042B32"/>
    <w:rsid w:val="00042EE8"/>
    <w:rsid w:val="000434FD"/>
    <w:rsid w:val="000439AA"/>
    <w:rsid w:val="0004440C"/>
    <w:rsid w:val="00046B5E"/>
    <w:rsid w:val="000470CB"/>
    <w:rsid w:val="000479D5"/>
    <w:rsid w:val="000501AA"/>
    <w:rsid w:val="000504A6"/>
    <w:rsid w:val="000506DE"/>
    <w:rsid w:val="000509D9"/>
    <w:rsid w:val="00051006"/>
    <w:rsid w:val="00051165"/>
    <w:rsid w:val="000512AF"/>
    <w:rsid w:val="000516F3"/>
    <w:rsid w:val="00051ACB"/>
    <w:rsid w:val="00052E40"/>
    <w:rsid w:val="000531EC"/>
    <w:rsid w:val="000533E7"/>
    <w:rsid w:val="00053B29"/>
    <w:rsid w:val="00054B4B"/>
    <w:rsid w:val="000550E8"/>
    <w:rsid w:val="00055519"/>
    <w:rsid w:val="00055D41"/>
    <w:rsid w:val="000560DE"/>
    <w:rsid w:val="00056EF6"/>
    <w:rsid w:val="000575CF"/>
    <w:rsid w:val="00057CD6"/>
    <w:rsid w:val="00060D7F"/>
    <w:rsid w:val="00060DCE"/>
    <w:rsid w:val="000610E3"/>
    <w:rsid w:val="00061143"/>
    <w:rsid w:val="000614F3"/>
    <w:rsid w:val="00061A1B"/>
    <w:rsid w:val="00061EB4"/>
    <w:rsid w:val="000623B4"/>
    <w:rsid w:val="00062405"/>
    <w:rsid w:val="000627E5"/>
    <w:rsid w:val="000628B7"/>
    <w:rsid w:val="00062EC2"/>
    <w:rsid w:val="0006347E"/>
    <w:rsid w:val="000634A7"/>
    <w:rsid w:val="00063B0B"/>
    <w:rsid w:val="00063F81"/>
    <w:rsid w:val="00064847"/>
    <w:rsid w:val="00065E08"/>
    <w:rsid w:val="00065E2D"/>
    <w:rsid w:val="00066AD9"/>
    <w:rsid w:val="00066D2E"/>
    <w:rsid w:val="000673E2"/>
    <w:rsid w:val="00067EF1"/>
    <w:rsid w:val="00070378"/>
    <w:rsid w:val="0007037E"/>
    <w:rsid w:val="0007063F"/>
    <w:rsid w:val="000707FD"/>
    <w:rsid w:val="00070949"/>
    <w:rsid w:val="00070C0E"/>
    <w:rsid w:val="000711E4"/>
    <w:rsid w:val="00071E9B"/>
    <w:rsid w:val="000720A1"/>
    <w:rsid w:val="000724D9"/>
    <w:rsid w:val="00072AED"/>
    <w:rsid w:val="00073F47"/>
    <w:rsid w:val="0007492F"/>
    <w:rsid w:val="00074B5B"/>
    <w:rsid w:val="00074BC7"/>
    <w:rsid w:val="00074ED8"/>
    <w:rsid w:val="00075B7E"/>
    <w:rsid w:val="00076852"/>
    <w:rsid w:val="00076D70"/>
    <w:rsid w:val="00077ACA"/>
    <w:rsid w:val="00077C70"/>
    <w:rsid w:val="00080C87"/>
    <w:rsid w:val="00080CFB"/>
    <w:rsid w:val="000813B5"/>
    <w:rsid w:val="000813E7"/>
    <w:rsid w:val="0008191E"/>
    <w:rsid w:val="00081BA3"/>
    <w:rsid w:val="00081D2E"/>
    <w:rsid w:val="00081F89"/>
    <w:rsid w:val="00082619"/>
    <w:rsid w:val="00082CDE"/>
    <w:rsid w:val="00082D02"/>
    <w:rsid w:val="0008381A"/>
    <w:rsid w:val="00083871"/>
    <w:rsid w:val="00083B91"/>
    <w:rsid w:val="0008473C"/>
    <w:rsid w:val="00084E4F"/>
    <w:rsid w:val="00085193"/>
    <w:rsid w:val="0008520B"/>
    <w:rsid w:val="0008527B"/>
    <w:rsid w:val="000857DE"/>
    <w:rsid w:val="000860BD"/>
    <w:rsid w:val="000871B8"/>
    <w:rsid w:val="00087B0A"/>
    <w:rsid w:val="00090339"/>
    <w:rsid w:val="00091373"/>
    <w:rsid w:val="000916DA"/>
    <w:rsid w:val="00091AAB"/>
    <w:rsid w:val="00092442"/>
    <w:rsid w:val="000929EF"/>
    <w:rsid w:val="00092C26"/>
    <w:rsid w:val="00092EC0"/>
    <w:rsid w:val="000933BE"/>
    <w:rsid w:val="00094428"/>
    <w:rsid w:val="000944FC"/>
    <w:rsid w:val="00094F71"/>
    <w:rsid w:val="0009560F"/>
    <w:rsid w:val="0009588E"/>
    <w:rsid w:val="000959ED"/>
    <w:rsid w:val="000959EE"/>
    <w:rsid w:val="00096C2E"/>
    <w:rsid w:val="00096DB9"/>
    <w:rsid w:val="00097183"/>
    <w:rsid w:val="000971C5"/>
    <w:rsid w:val="000972CB"/>
    <w:rsid w:val="00097608"/>
    <w:rsid w:val="000A0928"/>
    <w:rsid w:val="000A0DFC"/>
    <w:rsid w:val="000A0F35"/>
    <w:rsid w:val="000A1175"/>
    <w:rsid w:val="000A13F3"/>
    <w:rsid w:val="000A165B"/>
    <w:rsid w:val="000A1963"/>
    <w:rsid w:val="000A1C18"/>
    <w:rsid w:val="000A23B1"/>
    <w:rsid w:val="000A2818"/>
    <w:rsid w:val="000A2B0E"/>
    <w:rsid w:val="000A2D1D"/>
    <w:rsid w:val="000A3095"/>
    <w:rsid w:val="000A392D"/>
    <w:rsid w:val="000A398F"/>
    <w:rsid w:val="000A448C"/>
    <w:rsid w:val="000A4E26"/>
    <w:rsid w:val="000A509C"/>
    <w:rsid w:val="000A545A"/>
    <w:rsid w:val="000A54A7"/>
    <w:rsid w:val="000A5A17"/>
    <w:rsid w:val="000A5CC8"/>
    <w:rsid w:val="000A6007"/>
    <w:rsid w:val="000A6564"/>
    <w:rsid w:val="000A65A6"/>
    <w:rsid w:val="000A69C2"/>
    <w:rsid w:val="000A70E3"/>
    <w:rsid w:val="000A7275"/>
    <w:rsid w:val="000A7408"/>
    <w:rsid w:val="000A7A12"/>
    <w:rsid w:val="000A7A72"/>
    <w:rsid w:val="000A7DE5"/>
    <w:rsid w:val="000A7EEA"/>
    <w:rsid w:val="000B0382"/>
    <w:rsid w:val="000B0FE0"/>
    <w:rsid w:val="000B1202"/>
    <w:rsid w:val="000B12FF"/>
    <w:rsid w:val="000B1801"/>
    <w:rsid w:val="000B187E"/>
    <w:rsid w:val="000B1D0C"/>
    <w:rsid w:val="000B2273"/>
    <w:rsid w:val="000B2563"/>
    <w:rsid w:val="000B2BC6"/>
    <w:rsid w:val="000B2D03"/>
    <w:rsid w:val="000B37F2"/>
    <w:rsid w:val="000B3815"/>
    <w:rsid w:val="000B3C7B"/>
    <w:rsid w:val="000B3E68"/>
    <w:rsid w:val="000B4321"/>
    <w:rsid w:val="000B5367"/>
    <w:rsid w:val="000B544A"/>
    <w:rsid w:val="000B5CCB"/>
    <w:rsid w:val="000B5F6B"/>
    <w:rsid w:val="000B613A"/>
    <w:rsid w:val="000B6A6B"/>
    <w:rsid w:val="000B6C95"/>
    <w:rsid w:val="000B6F80"/>
    <w:rsid w:val="000B79FC"/>
    <w:rsid w:val="000B7E0A"/>
    <w:rsid w:val="000C0CF9"/>
    <w:rsid w:val="000C144E"/>
    <w:rsid w:val="000C1679"/>
    <w:rsid w:val="000C190E"/>
    <w:rsid w:val="000C1953"/>
    <w:rsid w:val="000C1BFE"/>
    <w:rsid w:val="000C1EE3"/>
    <w:rsid w:val="000C35D0"/>
    <w:rsid w:val="000C3AE5"/>
    <w:rsid w:val="000C3AE7"/>
    <w:rsid w:val="000C3CC9"/>
    <w:rsid w:val="000C3DBC"/>
    <w:rsid w:val="000C4D87"/>
    <w:rsid w:val="000C5823"/>
    <w:rsid w:val="000C59C6"/>
    <w:rsid w:val="000C67C7"/>
    <w:rsid w:val="000C6DE4"/>
    <w:rsid w:val="000C7202"/>
    <w:rsid w:val="000C7432"/>
    <w:rsid w:val="000C7926"/>
    <w:rsid w:val="000C7FC6"/>
    <w:rsid w:val="000D0A89"/>
    <w:rsid w:val="000D10F1"/>
    <w:rsid w:val="000D1389"/>
    <w:rsid w:val="000D1798"/>
    <w:rsid w:val="000D2626"/>
    <w:rsid w:val="000D264F"/>
    <w:rsid w:val="000D285A"/>
    <w:rsid w:val="000D2CD3"/>
    <w:rsid w:val="000D4016"/>
    <w:rsid w:val="000D411D"/>
    <w:rsid w:val="000D4589"/>
    <w:rsid w:val="000D4809"/>
    <w:rsid w:val="000D4FB6"/>
    <w:rsid w:val="000D5304"/>
    <w:rsid w:val="000D5C29"/>
    <w:rsid w:val="000D6C31"/>
    <w:rsid w:val="000D6F6B"/>
    <w:rsid w:val="000D73DD"/>
    <w:rsid w:val="000D7761"/>
    <w:rsid w:val="000E02E8"/>
    <w:rsid w:val="000E0C67"/>
    <w:rsid w:val="000E1C38"/>
    <w:rsid w:val="000E1C51"/>
    <w:rsid w:val="000E1D3E"/>
    <w:rsid w:val="000E230A"/>
    <w:rsid w:val="000E28AB"/>
    <w:rsid w:val="000E2E3E"/>
    <w:rsid w:val="000E3583"/>
    <w:rsid w:val="000E3AF0"/>
    <w:rsid w:val="000E43EC"/>
    <w:rsid w:val="000E450F"/>
    <w:rsid w:val="000E4DC7"/>
    <w:rsid w:val="000E4E04"/>
    <w:rsid w:val="000E592E"/>
    <w:rsid w:val="000E5AF5"/>
    <w:rsid w:val="000E5CCD"/>
    <w:rsid w:val="000E5D63"/>
    <w:rsid w:val="000E693B"/>
    <w:rsid w:val="000E6D5C"/>
    <w:rsid w:val="000E6DBC"/>
    <w:rsid w:val="000E6EC9"/>
    <w:rsid w:val="000E70B4"/>
    <w:rsid w:val="000E7B62"/>
    <w:rsid w:val="000E7EDC"/>
    <w:rsid w:val="000F0149"/>
    <w:rsid w:val="000F085D"/>
    <w:rsid w:val="000F0E1E"/>
    <w:rsid w:val="000F1129"/>
    <w:rsid w:val="000F1A1B"/>
    <w:rsid w:val="000F2A95"/>
    <w:rsid w:val="000F2BB7"/>
    <w:rsid w:val="000F324A"/>
    <w:rsid w:val="000F3281"/>
    <w:rsid w:val="000F32FD"/>
    <w:rsid w:val="000F3733"/>
    <w:rsid w:val="000F3F1F"/>
    <w:rsid w:val="000F5B2B"/>
    <w:rsid w:val="000F5F8B"/>
    <w:rsid w:val="000F6153"/>
    <w:rsid w:val="000F649D"/>
    <w:rsid w:val="000F64AA"/>
    <w:rsid w:val="000F6C7B"/>
    <w:rsid w:val="000F7055"/>
    <w:rsid w:val="000F73AD"/>
    <w:rsid w:val="000F7AF4"/>
    <w:rsid w:val="000F7C33"/>
    <w:rsid w:val="000F7F0C"/>
    <w:rsid w:val="001004D6"/>
    <w:rsid w:val="0010176A"/>
    <w:rsid w:val="00101D1B"/>
    <w:rsid w:val="00101E8E"/>
    <w:rsid w:val="00102676"/>
    <w:rsid w:val="00103646"/>
    <w:rsid w:val="00103918"/>
    <w:rsid w:val="00104897"/>
    <w:rsid w:val="00104EDE"/>
    <w:rsid w:val="00104F54"/>
    <w:rsid w:val="00105992"/>
    <w:rsid w:val="00105CDA"/>
    <w:rsid w:val="00105F97"/>
    <w:rsid w:val="00106BEE"/>
    <w:rsid w:val="00106EE0"/>
    <w:rsid w:val="0010711C"/>
    <w:rsid w:val="00107368"/>
    <w:rsid w:val="001078E7"/>
    <w:rsid w:val="00107BDF"/>
    <w:rsid w:val="00107C74"/>
    <w:rsid w:val="0011091C"/>
    <w:rsid w:val="00111266"/>
    <w:rsid w:val="001112EB"/>
    <w:rsid w:val="00111FD1"/>
    <w:rsid w:val="00111FD7"/>
    <w:rsid w:val="0011220E"/>
    <w:rsid w:val="0011247D"/>
    <w:rsid w:val="0011351F"/>
    <w:rsid w:val="00113678"/>
    <w:rsid w:val="00113A7D"/>
    <w:rsid w:val="00113C3E"/>
    <w:rsid w:val="001142A8"/>
    <w:rsid w:val="00115375"/>
    <w:rsid w:val="001157F8"/>
    <w:rsid w:val="001159A5"/>
    <w:rsid w:val="00115E11"/>
    <w:rsid w:val="00115EEE"/>
    <w:rsid w:val="00115F56"/>
    <w:rsid w:val="001164ED"/>
    <w:rsid w:val="00116872"/>
    <w:rsid w:val="00116AF3"/>
    <w:rsid w:val="00116CA9"/>
    <w:rsid w:val="00116F38"/>
    <w:rsid w:val="001170A4"/>
    <w:rsid w:val="00117987"/>
    <w:rsid w:val="00117AE7"/>
    <w:rsid w:val="00117B85"/>
    <w:rsid w:val="00117CBD"/>
    <w:rsid w:val="0012006A"/>
    <w:rsid w:val="001217E7"/>
    <w:rsid w:val="00121979"/>
    <w:rsid w:val="00122064"/>
    <w:rsid w:val="0012277A"/>
    <w:rsid w:val="0012301B"/>
    <w:rsid w:val="00123428"/>
    <w:rsid w:val="00124341"/>
    <w:rsid w:val="00124492"/>
    <w:rsid w:val="00124655"/>
    <w:rsid w:val="00124B12"/>
    <w:rsid w:val="001250A0"/>
    <w:rsid w:val="0012535C"/>
    <w:rsid w:val="001263B8"/>
    <w:rsid w:val="001273C1"/>
    <w:rsid w:val="00127B1A"/>
    <w:rsid w:val="00127E3E"/>
    <w:rsid w:val="00130217"/>
    <w:rsid w:val="00130641"/>
    <w:rsid w:val="00130783"/>
    <w:rsid w:val="00130A47"/>
    <w:rsid w:val="00130FB0"/>
    <w:rsid w:val="001315D9"/>
    <w:rsid w:val="00132B47"/>
    <w:rsid w:val="00132DDA"/>
    <w:rsid w:val="0013346C"/>
    <w:rsid w:val="00133768"/>
    <w:rsid w:val="001337F8"/>
    <w:rsid w:val="001341B2"/>
    <w:rsid w:val="001348B4"/>
    <w:rsid w:val="001349F4"/>
    <w:rsid w:val="00134B1F"/>
    <w:rsid w:val="0013506E"/>
    <w:rsid w:val="001351CB"/>
    <w:rsid w:val="00135530"/>
    <w:rsid w:val="00135947"/>
    <w:rsid w:val="001359A2"/>
    <w:rsid w:val="00135F92"/>
    <w:rsid w:val="00136020"/>
    <w:rsid w:val="00136445"/>
    <w:rsid w:val="00136965"/>
    <w:rsid w:val="00136A9C"/>
    <w:rsid w:val="00136EA0"/>
    <w:rsid w:val="00137389"/>
    <w:rsid w:val="00140132"/>
    <w:rsid w:val="00141455"/>
    <w:rsid w:val="0014190C"/>
    <w:rsid w:val="00141C1B"/>
    <w:rsid w:val="00141C9C"/>
    <w:rsid w:val="0014277F"/>
    <w:rsid w:val="00142AD2"/>
    <w:rsid w:val="001434BE"/>
    <w:rsid w:val="00143AAD"/>
    <w:rsid w:val="00144050"/>
    <w:rsid w:val="00144369"/>
    <w:rsid w:val="0014438A"/>
    <w:rsid w:val="00144398"/>
    <w:rsid w:val="0014479F"/>
    <w:rsid w:val="00144806"/>
    <w:rsid w:val="001452B4"/>
    <w:rsid w:val="00145320"/>
    <w:rsid w:val="00145A8E"/>
    <w:rsid w:val="00145B3E"/>
    <w:rsid w:val="001476D3"/>
    <w:rsid w:val="00147999"/>
    <w:rsid w:val="00147D03"/>
    <w:rsid w:val="001505DA"/>
    <w:rsid w:val="001509CF"/>
    <w:rsid w:val="00150B99"/>
    <w:rsid w:val="00150D1D"/>
    <w:rsid w:val="0015119C"/>
    <w:rsid w:val="00151948"/>
    <w:rsid w:val="001525AA"/>
    <w:rsid w:val="00152A87"/>
    <w:rsid w:val="00152AC1"/>
    <w:rsid w:val="00153A84"/>
    <w:rsid w:val="00153BB5"/>
    <w:rsid w:val="00154518"/>
    <w:rsid w:val="0015567E"/>
    <w:rsid w:val="001556B8"/>
    <w:rsid w:val="00155944"/>
    <w:rsid w:val="00156320"/>
    <w:rsid w:val="00156359"/>
    <w:rsid w:val="00156DD6"/>
    <w:rsid w:val="00160238"/>
    <w:rsid w:val="0016086E"/>
    <w:rsid w:val="001609B9"/>
    <w:rsid w:val="00160D0C"/>
    <w:rsid w:val="00160DC9"/>
    <w:rsid w:val="00160DD1"/>
    <w:rsid w:val="00160E03"/>
    <w:rsid w:val="00161172"/>
    <w:rsid w:val="00161998"/>
    <w:rsid w:val="00161E65"/>
    <w:rsid w:val="00161F0E"/>
    <w:rsid w:val="00162597"/>
    <w:rsid w:val="001629AF"/>
    <w:rsid w:val="001629FD"/>
    <w:rsid w:val="0016428A"/>
    <w:rsid w:val="001646D5"/>
    <w:rsid w:val="001647C9"/>
    <w:rsid w:val="00164C94"/>
    <w:rsid w:val="0016537E"/>
    <w:rsid w:val="00165627"/>
    <w:rsid w:val="001661A3"/>
    <w:rsid w:val="00166AD5"/>
    <w:rsid w:val="00166E81"/>
    <w:rsid w:val="00167226"/>
    <w:rsid w:val="0016782B"/>
    <w:rsid w:val="0016784D"/>
    <w:rsid w:val="00167853"/>
    <w:rsid w:val="00167887"/>
    <w:rsid w:val="00167AE7"/>
    <w:rsid w:val="00167CAA"/>
    <w:rsid w:val="00170613"/>
    <w:rsid w:val="00170F0C"/>
    <w:rsid w:val="00171319"/>
    <w:rsid w:val="00171B8F"/>
    <w:rsid w:val="001721F8"/>
    <w:rsid w:val="0017267A"/>
    <w:rsid w:val="00172CA8"/>
    <w:rsid w:val="00173256"/>
    <w:rsid w:val="00173B0E"/>
    <w:rsid w:val="00173D86"/>
    <w:rsid w:val="00173E03"/>
    <w:rsid w:val="0017405A"/>
    <w:rsid w:val="001741C9"/>
    <w:rsid w:val="0017461E"/>
    <w:rsid w:val="00174704"/>
    <w:rsid w:val="0017512C"/>
    <w:rsid w:val="001756AF"/>
    <w:rsid w:val="0017576E"/>
    <w:rsid w:val="0017586A"/>
    <w:rsid w:val="00175BA6"/>
    <w:rsid w:val="00175C6F"/>
    <w:rsid w:val="00176CA7"/>
    <w:rsid w:val="00176D0C"/>
    <w:rsid w:val="00176F8E"/>
    <w:rsid w:val="00177485"/>
    <w:rsid w:val="0017789A"/>
    <w:rsid w:val="001778C5"/>
    <w:rsid w:val="00177C07"/>
    <w:rsid w:val="00177E56"/>
    <w:rsid w:val="00177F0A"/>
    <w:rsid w:val="0018090D"/>
    <w:rsid w:val="00180DA0"/>
    <w:rsid w:val="00181813"/>
    <w:rsid w:val="00181EAD"/>
    <w:rsid w:val="00182862"/>
    <w:rsid w:val="00184F57"/>
    <w:rsid w:val="00185091"/>
    <w:rsid w:val="00185544"/>
    <w:rsid w:val="001855B2"/>
    <w:rsid w:val="00185617"/>
    <w:rsid w:val="00186FE1"/>
    <w:rsid w:val="00187A14"/>
    <w:rsid w:val="00190D50"/>
    <w:rsid w:val="00190E7C"/>
    <w:rsid w:val="00191177"/>
    <w:rsid w:val="0019171E"/>
    <w:rsid w:val="00192368"/>
    <w:rsid w:val="001923A0"/>
    <w:rsid w:val="001924F9"/>
    <w:rsid w:val="0019270F"/>
    <w:rsid w:val="001928B1"/>
    <w:rsid w:val="00192C38"/>
    <w:rsid w:val="00192CA1"/>
    <w:rsid w:val="00193537"/>
    <w:rsid w:val="00193808"/>
    <w:rsid w:val="00193846"/>
    <w:rsid w:val="00193F6A"/>
    <w:rsid w:val="00195117"/>
    <w:rsid w:val="00195424"/>
    <w:rsid w:val="001955FF"/>
    <w:rsid w:val="001972F8"/>
    <w:rsid w:val="00197EDD"/>
    <w:rsid w:val="001A02B3"/>
    <w:rsid w:val="001A04BB"/>
    <w:rsid w:val="001A06CC"/>
    <w:rsid w:val="001A0889"/>
    <w:rsid w:val="001A08D0"/>
    <w:rsid w:val="001A17B2"/>
    <w:rsid w:val="001A18EA"/>
    <w:rsid w:val="001A1B39"/>
    <w:rsid w:val="001A1D4A"/>
    <w:rsid w:val="001A2120"/>
    <w:rsid w:val="001A21DD"/>
    <w:rsid w:val="001A28C6"/>
    <w:rsid w:val="001A2E69"/>
    <w:rsid w:val="001A3C34"/>
    <w:rsid w:val="001A3EDE"/>
    <w:rsid w:val="001A41CD"/>
    <w:rsid w:val="001A4222"/>
    <w:rsid w:val="001A4235"/>
    <w:rsid w:val="001A43BE"/>
    <w:rsid w:val="001A48B2"/>
    <w:rsid w:val="001A4CFA"/>
    <w:rsid w:val="001A50EA"/>
    <w:rsid w:val="001A55A9"/>
    <w:rsid w:val="001A5BAA"/>
    <w:rsid w:val="001A5E24"/>
    <w:rsid w:val="001A661D"/>
    <w:rsid w:val="001A6795"/>
    <w:rsid w:val="001A6B27"/>
    <w:rsid w:val="001A6D8B"/>
    <w:rsid w:val="001A6DAA"/>
    <w:rsid w:val="001A7717"/>
    <w:rsid w:val="001A793A"/>
    <w:rsid w:val="001B035E"/>
    <w:rsid w:val="001B0464"/>
    <w:rsid w:val="001B125A"/>
    <w:rsid w:val="001B1EBA"/>
    <w:rsid w:val="001B2142"/>
    <w:rsid w:val="001B2F2B"/>
    <w:rsid w:val="001B31C2"/>
    <w:rsid w:val="001B327A"/>
    <w:rsid w:val="001B3379"/>
    <w:rsid w:val="001B35DE"/>
    <w:rsid w:val="001B3A13"/>
    <w:rsid w:val="001B3F5C"/>
    <w:rsid w:val="001B57C9"/>
    <w:rsid w:val="001B59FF"/>
    <w:rsid w:val="001B5D13"/>
    <w:rsid w:val="001B6512"/>
    <w:rsid w:val="001B65D7"/>
    <w:rsid w:val="001B6752"/>
    <w:rsid w:val="001B6768"/>
    <w:rsid w:val="001B6B39"/>
    <w:rsid w:val="001B6F1F"/>
    <w:rsid w:val="001B7ECC"/>
    <w:rsid w:val="001C025B"/>
    <w:rsid w:val="001C059D"/>
    <w:rsid w:val="001C0DD4"/>
    <w:rsid w:val="001C115F"/>
    <w:rsid w:val="001C1B1C"/>
    <w:rsid w:val="001C1DED"/>
    <w:rsid w:val="001C1EAB"/>
    <w:rsid w:val="001C25A7"/>
    <w:rsid w:val="001C2775"/>
    <w:rsid w:val="001C2895"/>
    <w:rsid w:val="001C2A1D"/>
    <w:rsid w:val="001C318C"/>
    <w:rsid w:val="001C35C4"/>
    <w:rsid w:val="001C4287"/>
    <w:rsid w:val="001C4479"/>
    <w:rsid w:val="001C4F79"/>
    <w:rsid w:val="001C5190"/>
    <w:rsid w:val="001C5951"/>
    <w:rsid w:val="001C5A1F"/>
    <w:rsid w:val="001C6081"/>
    <w:rsid w:val="001C7284"/>
    <w:rsid w:val="001C73EB"/>
    <w:rsid w:val="001C7781"/>
    <w:rsid w:val="001C7B48"/>
    <w:rsid w:val="001D0CFB"/>
    <w:rsid w:val="001D108A"/>
    <w:rsid w:val="001D16C5"/>
    <w:rsid w:val="001D1A0D"/>
    <w:rsid w:val="001D1DD1"/>
    <w:rsid w:val="001D22CB"/>
    <w:rsid w:val="001D23DA"/>
    <w:rsid w:val="001D266C"/>
    <w:rsid w:val="001D267C"/>
    <w:rsid w:val="001D2AB8"/>
    <w:rsid w:val="001D2F77"/>
    <w:rsid w:val="001D343C"/>
    <w:rsid w:val="001D56E2"/>
    <w:rsid w:val="001D58A1"/>
    <w:rsid w:val="001D58C2"/>
    <w:rsid w:val="001D5A8A"/>
    <w:rsid w:val="001D5B64"/>
    <w:rsid w:val="001D61CA"/>
    <w:rsid w:val="001D6210"/>
    <w:rsid w:val="001D62C9"/>
    <w:rsid w:val="001D654A"/>
    <w:rsid w:val="001D6E87"/>
    <w:rsid w:val="001D735E"/>
    <w:rsid w:val="001D73C8"/>
    <w:rsid w:val="001D7BC6"/>
    <w:rsid w:val="001D7CA4"/>
    <w:rsid w:val="001E00D2"/>
    <w:rsid w:val="001E0C72"/>
    <w:rsid w:val="001E129E"/>
    <w:rsid w:val="001E175C"/>
    <w:rsid w:val="001E199A"/>
    <w:rsid w:val="001E1B0E"/>
    <w:rsid w:val="001E2A86"/>
    <w:rsid w:val="001E308A"/>
    <w:rsid w:val="001E38EC"/>
    <w:rsid w:val="001E3B63"/>
    <w:rsid w:val="001E4996"/>
    <w:rsid w:val="001E57B2"/>
    <w:rsid w:val="001E5A94"/>
    <w:rsid w:val="001E5CBB"/>
    <w:rsid w:val="001E5CDC"/>
    <w:rsid w:val="001E6B4B"/>
    <w:rsid w:val="001E6CE9"/>
    <w:rsid w:val="001F0C0A"/>
    <w:rsid w:val="001F13FD"/>
    <w:rsid w:val="001F2A2E"/>
    <w:rsid w:val="001F3180"/>
    <w:rsid w:val="001F3356"/>
    <w:rsid w:val="001F3A99"/>
    <w:rsid w:val="001F3C63"/>
    <w:rsid w:val="001F3CBC"/>
    <w:rsid w:val="001F4141"/>
    <w:rsid w:val="001F4460"/>
    <w:rsid w:val="001F4724"/>
    <w:rsid w:val="001F4833"/>
    <w:rsid w:val="001F5869"/>
    <w:rsid w:val="001F61A6"/>
    <w:rsid w:val="001F6C96"/>
    <w:rsid w:val="001F711A"/>
    <w:rsid w:val="001F75B0"/>
    <w:rsid w:val="001F7CBE"/>
    <w:rsid w:val="0020057C"/>
    <w:rsid w:val="0020083C"/>
    <w:rsid w:val="00200CE5"/>
    <w:rsid w:val="00200F7C"/>
    <w:rsid w:val="002014DB"/>
    <w:rsid w:val="0020150B"/>
    <w:rsid w:val="00201815"/>
    <w:rsid w:val="00201D51"/>
    <w:rsid w:val="00201E12"/>
    <w:rsid w:val="00202295"/>
    <w:rsid w:val="002033B5"/>
    <w:rsid w:val="0020382C"/>
    <w:rsid w:val="0020390A"/>
    <w:rsid w:val="00203EDF"/>
    <w:rsid w:val="002042E9"/>
    <w:rsid w:val="0020437A"/>
    <w:rsid w:val="0020454C"/>
    <w:rsid w:val="00204740"/>
    <w:rsid w:val="00204942"/>
    <w:rsid w:val="00204C12"/>
    <w:rsid w:val="00205129"/>
    <w:rsid w:val="0020521F"/>
    <w:rsid w:val="0020532C"/>
    <w:rsid w:val="002065D6"/>
    <w:rsid w:val="00206AE8"/>
    <w:rsid w:val="00210A54"/>
    <w:rsid w:val="002114C7"/>
    <w:rsid w:val="00211A7B"/>
    <w:rsid w:val="0021302C"/>
    <w:rsid w:val="002131AF"/>
    <w:rsid w:val="002139F1"/>
    <w:rsid w:val="00213B18"/>
    <w:rsid w:val="00213B1C"/>
    <w:rsid w:val="00213F1E"/>
    <w:rsid w:val="00214202"/>
    <w:rsid w:val="00214530"/>
    <w:rsid w:val="002148E3"/>
    <w:rsid w:val="002148E5"/>
    <w:rsid w:val="00214C1A"/>
    <w:rsid w:val="0021552D"/>
    <w:rsid w:val="002156AE"/>
    <w:rsid w:val="0021577B"/>
    <w:rsid w:val="00215DC7"/>
    <w:rsid w:val="00215E99"/>
    <w:rsid w:val="00217B07"/>
    <w:rsid w:val="00217C26"/>
    <w:rsid w:val="00220043"/>
    <w:rsid w:val="0022054D"/>
    <w:rsid w:val="0022107B"/>
    <w:rsid w:val="00221AFB"/>
    <w:rsid w:val="002223EB"/>
    <w:rsid w:val="002238DD"/>
    <w:rsid w:val="00223DDB"/>
    <w:rsid w:val="00223FA4"/>
    <w:rsid w:val="00223FB0"/>
    <w:rsid w:val="0022405A"/>
    <w:rsid w:val="00224067"/>
    <w:rsid w:val="0022421C"/>
    <w:rsid w:val="0022454F"/>
    <w:rsid w:val="002249D1"/>
    <w:rsid w:val="00224C4A"/>
    <w:rsid w:val="00224E83"/>
    <w:rsid w:val="00225664"/>
    <w:rsid w:val="00225F84"/>
    <w:rsid w:val="0022663D"/>
    <w:rsid w:val="00226995"/>
    <w:rsid w:val="0022755B"/>
    <w:rsid w:val="00227669"/>
    <w:rsid w:val="00227682"/>
    <w:rsid w:val="00227896"/>
    <w:rsid w:val="00227C56"/>
    <w:rsid w:val="00227F2D"/>
    <w:rsid w:val="00227F52"/>
    <w:rsid w:val="00230EA4"/>
    <w:rsid w:val="00231851"/>
    <w:rsid w:val="002319FB"/>
    <w:rsid w:val="00231B89"/>
    <w:rsid w:val="00231F11"/>
    <w:rsid w:val="00231F5E"/>
    <w:rsid w:val="00232E5E"/>
    <w:rsid w:val="00233395"/>
    <w:rsid w:val="002346B4"/>
    <w:rsid w:val="00234CD9"/>
    <w:rsid w:val="00234F6E"/>
    <w:rsid w:val="002351FA"/>
    <w:rsid w:val="002355BE"/>
    <w:rsid w:val="002358EA"/>
    <w:rsid w:val="0023609B"/>
    <w:rsid w:val="00236578"/>
    <w:rsid w:val="00236A10"/>
    <w:rsid w:val="00236DE9"/>
    <w:rsid w:val="00237342"/>
    <w:rsid w:val="00237D5A"/>
    <w:rsid w:val="002401BC"/>
    <w:rsid w:val="002407BA"/>
    <w:rsid w:val="00240922"/>
    <w:rsid w:val="00240D75"/>
    <w:rsid w:val="00240F92"/>
    <w:rsid w:val="00241288"/>
    <w:rsid w:val="002412E4"/>
    <w:rsid w:val="002415AE"/>
    <w:rsid w:val="00241B38"/>
    <w:rsid w:val="00241BC7"/>
    <w:rsid w:val="00241D3C"/>
    <w:rsid w:val="00242109"/>
    <w:rsid w:val="00242B6B"/>
    <w:rsid w:val="00242F31"/>
    <w:rsid w:val="00243189"/>
    <w:rsid w:val="002439AB"/>
    <w:rsid w:val="00243C19"/>
    <w:rsid w:val="00244308"/>
    <w:rsid w:val="002448E7"/>
    <w:rsid w:val="00244AE8"/>
    <w:rsid w:val="00244DC9"/>
    <w:rsid w:val="00244EF3"/>
    <w:rsid w:val="0024531F"/>
    <w:rsid w:val="00245587"/>
    <w:rsid w:val="00245F2B"/>
    <w:rsid w:val="002460E2"/>
    <w:rsid w:val="002466CD"/>
    <w:rsid w:val="0024729B"/>
    <w:rsid w:val="00247F3A"/>
    <w:rsid w:val="00250122"/>
    <w:rsid w:val="0025024D"/>
    <w:rsid w:val="00250755"/>
    <w:rsid w:val="00251043"/>
    <w:rsid w:val="00251C4A"/>
    <w:rsid w:val="0025271C"/>
    <w:rsid w:val="0025277A"/>
    <w:rsid w:val="002533CD"/>
    <w:rsid w:val="002535EA"/>
    <w:rsid w:val="00253A8A"/>
    <w:rsid w:val="00254EAB"/>
    <w:rsid w:val="00255794"/>
    <w:rsid w:val="002557AF"/>
    <w:rsid w:val="0025589C"/>
    <w:rsid w:val="00255B62"/>
    <w:rsid w:val="002566B1"/>
    <w:rsid w:val="002575E3"/>
    <w:rsid w:val="00257A74"/>
    <w:rsid w:val="00257C5D"/>
    <w:rsid w:val="002603C1"/>
    <w:rsid w:val="002609A1"/>
    <w:rsid w:val="002612B1"/>
    <w:rsid w:val="00261997"/>
    <w:rsid w:val="00262B14"/>
    <w:rsid w:val="00264DF8"/>
    <w:rsid w:val="00265A12"/>
    <w:rsid w:val="00266165"/>
    <w:rsid w:val="00266A48"/>
    <w:rsid w:val="00266F2C"/>
    <w:rsid w:val="00267402"/>
    <w:rsid w:val="00267DAF"/>
    <w:rsid w:val="00270122"/>
    <w:rsid w:val="00270632"/>
    <w:rsid w:val="00270744"/>
    <w:rsid w:val="00270B87"/>
    <w:rsid w:val="0027125E"/>
    <w:rsid w:val="00271767"/>
    <w:rsid w:val="00272263"/>
    <w:rsid w:val="00272293"/>
    <w:rsid w:val="002723C8"/>
    <w:rsid w:val="00273633"/>
    <w:rsid w:val="00273C2A"/>
    <w:rsid w:val="00273CBE"/>
    <w:rsid w:val="002746B1"/>
    <w:rsid w:val="00274BAD"/>
    <w:rsid w:val="0027614E"/>
    <w:rsid w:val="002763A3"/>
    <w:rsid w:val="00276EB8"/>
    <w:rsid w:val="00277099"/>
    <w:rsid w:val="002775A6"/>
    <w:rsid w:val="002776FA"/>
    <w:rsid w:val="00277786"/>
    <w:rsid w:val="00277F6B"/>
    <w:rsid w:val="002807B0"/>
    <w:rsid w:val="00281B9B"/>
    <w:rsid w:val="00282446"/>
    <w:rsid w:val="002826C2"/>
    <w:rsid w:val="0028282C"/>
    <w:rsid w:val="00282D56"/>
    <w:rsid w:val="00283374"/>
    <w:rsid w:val="002835B0"/>
    <w:rsid w:val="00283C74"/>
    <w:rsid w:val="0028407E"/>
    <w:rsid w:val="0028410F"/>
    <w:rsid w:val="00284572"/>
    <w:rsid w:val="002850AA"/>
    <w:rsid w:val="00285221"/>
    <w:rsid w:val="002857F2"/>
    <w:rsid w:val="00285AB7"/>
    <w:rsid w:val="00286FB5"/>
    <w:rsid w:val="00287640"/>
    <w:rsid w:val="00287763"/>
    <w:rsid w:val="00290456"/>
    <w:rsid w:val="0029047D"/>
    <w:rsid w:val="00290606"/>
    <w:rsid w:val="002908D0"/>
    <w:rsid w:val="002909B2"/>
    <w:rsid w:val="00291263"/>
    <w:rsid w:val="00291D6D"/>
    <w:rsid w:val="00291E2B"/>
    <w:rsid w:val="00291FF1"/>
    <w:rsid w:val="00292AA2"/>
    <w:rsid w:val="00293361"/>
    <w:rsid w:val="00294F10"/>
    <w:rsid w:val="002952B1"/>
    <w:rsid w:val="002956E5"/>
    <w:rsid w:val="00295D11"/>
    <w:rsid w:val="0029667A"/>
    <w:rsid w:val="00296839"/>
    <w:rsid w:val="00296FB6"/>
    <w:rsid w:val="0029724C"/>
    <w:rsid w:val="00297FC7"/>
    <w:rsid w:val="002A0001"/>
    <w:rsid w:val="002A036C"/>
    <w:rsid w:val="002A09CC"/>
    <w:rsid w:val="002A0BD9"/>
    <w:rsid w:val="002A0BDB"/>
    <w:rsid w:val="002A0C3A"/>
    <w:rsid w:val="002A0DF8"/>
    <w:rsid w:val="002A0E0A"/>
    <w:rsid w:val="002A0F1C"/>
    <w:rsid w:val="002A1130"/>
    <w:rsid w:val="002A125D"/>
    <w:rsid w:val="002A1557"/>
    <w:rsid w:val="002A1880"/>
    <w:rsid w:val="002A23B7"/>
    <w:rsid w:val="002A3950"/>
    <w:rsid w:val="002A3A57"/>
    <w:rsid w:val="002A4320"/>
    <w:rsid w:val="002A4B4F"/>
    <w:rsid w:val="002A57A8"/>
    <w:rsid w:val="002A5D75"/>
    <w:rsid w:val="002A6DEF"/>
    <w:rsid w:val="002A739E"/>
    <w:rsid w:val="002A770B"/>
    <w:rsid w:val="002A7893"/>
    <w:rsid w:val="002B013E"/>
    <w:rsid w:val="002B058D"/>
    <w:rsid w:val="002B0C16"/>
    <w:rsid w:val="002B1420"/>
    <w:rsid w:val="002B1E01"/>
    <w:rsid w:val="002B1F54"/>
    <w:rsid w:val="002B2080"/>
    <w:rsid w:val="002B21BF"/>
    <w:rsid w:val="002B2456"/>
    <w:rsid w:val="002B2AC5"/>
    <w:rsid w:val="002B3528"/>
    <w:rsid w:val="002B3539"/>
    <w:rsid w:val="002B427F"/>
    <w:rsid w:val="002B4395"/>
    <w:rsid w:val="002B4532"/>
    <w:rsid w:val="002B4C9E"/>
    <w:rsid w:val="002B4DD9"/>
    <w:rsid w:val="002B5042"/>
    <w:rsid w:val="002B57C3"/>
    <w:rsid w:val="002B5832"/>
    <w:rsid w:val="002B612E"/>
    <w:rsid w:val="002B69CC"/>
    <w:rsid w:val="002B6D71"/>
    <w:rsid w:val="002B773F"/>
    <w:rsid w:val="002B7DC4"/>
    <w:rsid w:val="002C0389"/>
    <w:rsid w:val="002C03AE"/>
    <w:rsid w:val="002C0C1C"/>
    <w:rsid w:val="002C10A7"/>
    <w:rsid w:val="002C1190"/>
    <w:rsid w:val="002C2CC9"/>
    <w:rsid w:val="002C34F1"/>
    <w:rsid w:val="002C41BF"/>
    <w:rsid w:val="002C4B7E"/>
    <w:rsid w:val="002C5023"/>
    <w:rsid w:val="002C5424"/>
    <w:rsid w:val="002C54C2"/>
    <w:rsid w:val="002C5D34"/>
    <w:rsid w:val="002C60BB"/>
    <w:rsid w:val="002C661A"/>
    <w:rsid w:val="002D06EE"/>
    <w:rsid w:val="002D073E"/>
    <w:rsid w:val="002D0A40"/>
    <w:rsid w:val="002D0D6F"/>
    <w:rsid w:val="002D1E81"/>
    <w:rsid w:val="002D253D"/>
    <w:rsid w:val="002D25FC"/>
    <w:rsid w:val="002D3E71"/>
    <w:rsid w:val="002D4AC6"/>
    <w:rsid w:val="002D5181"/>
    <w:rsid w:val="002D59BF"/>
    <w:rsid w:val="002D5B5A"/>
    <w:rsid w:val="002D5BF5"/>
    <w:rsid w:val="002D5C5C"/>
    <w:rsid w:val="002D5EE8"/>
    <w:rsid w:val="002D63F6"/>
    <w:rsid w:val="002D7360"/>
    <w:rsid w:val="002D750C"/>
    <w:rsid w:val="002D7648"/>
    <w:rsid w:val="002D7C80"/>
    <w:rsid w:val="002E0FCE"/>
    <w:rsid w:val="002E109C"/>
    <w:rsid w:val="002E1334"/>
    <w:rsid w:val="002E13FA"/>
    <w:rsid w:val="002E193E"/>
    <w:rsid w:val="002E1A94"/>
    <w:rsid w:val="002E1D55"/>
    <w:rsid w:val="002E2407"/>
    <w:rsid w:val="002E25FB"/>
    <w:rsid w:val="002E26C4"/>
    <w:rsid w:val="002E2734"/>
    <w:rsid w:val="002E2AA6"/>
    <w:rsid w:val="002E30A5"/>
    <w:rsid w:val="002E34EA"/>
    <w:rsid w:val="002E3B96"/>
    <w:rsid w:val="002E4114"/>
    <w:rsid w:val="002E47E4"/>
    <w:rsid w:val="002E4BF9"/>
    <w:rsid w:val="002E4D61"/>
    <w:rsid w:val="002E5045"/>
    <w:rsid w:val="002E68A7"/>
    <w:rsid w:val="002E6E6C"/>
    <w:rsid w:val="002F016E"/>
    <w:rsid w:val="002F020D"/>
    <w:rsid w:val="002F03FD"/>
    <w:rsid w:val="002F0522"/>
    <w:rsid w:val="002F16DD"/>
    <w:rsid w:val="002F199D"/>
    <w:rsid w:val="002F213C"/>
    <w:rsid w:val="002F2453"/>
    <w:rsid w:val="002F2607"/>
    <w:rsid w:val="002F33D2"/>
    <w:rsid w:val="002F352D"/>
    <w:rsid w:val="002F381E"/>
    <w:rsid w:val="002F3C58"/>
    <w:rsid w:val="002F4084"/>
    <w:rsid w:val="002F4A08"/>
    <w:rsid w:val="002F4ADB"/>
    <w:rsid w:val="002F531E"/>
    <w:rsid w:val="002F548D"/>
    <w:rsid w:val="002F54FB"/>
    <w:rsid w:val="002F5ACC"/>
    <w:rsid w:val="002F65CD"/>
    <w:rsid w:val="002F66F9"/>
    <w:rsid w:val="002F6B6C"/>
    <w:rsid w:val="002F704B"/>
    <w:rsid w:val="002F72C3"/>
    <w:rsid w:val="002F768C"/>
    <w:rsid w:val="002F7D1E"/>
    <w:rsid w:val="002F7E89"/>
    <w:rsid w:val="00300201"/>
    <w:rsid w:val="0030025A"/>
    <w:rsid w:val="0030052F"/>
    <w:rsid w:val="00300A58"/>
    <w:rsid w:val="00300BF2"/>
    <w:rsid w:val="00302467"/>
    <w:rsid w:val="00302493"/>
    <w:rsid w:val="00302991"/>
    <w:rsid w:val="00302EFC"/>
    <w:rsid w:val="00303243"/>
    <w:rsid w:val="00303BCC"/>
    <w:rsid w:val="00303BEF"/>
    <w:rsid w:val="00303F2B"/>
    <w:rsid w:val="00303F8D"/>
    <w:rsid w:val="0030572D"/>
    <w:rsid w:val="0030586A"/>
    <w:rsid w:val="00305A5E"/>
    <w:rsid w:val="0030622D"/>
    <w:rsid w:val="00306811"/>
    <w:rsid w:val="00306F32"/>
    <w:rsid w:val="003074C5"/>
    <w:rsid w:val="00307A3C"/>
    <w:rsid w:val="00307FA4"/>
    <w:rsid w:val="00310178"/>
    <w:rsid w:val="00310290"/>
    <w:rsid w:val="003103B1"/>
    <w:rsid w:val="00310948"/>
    <w:rsid w:val="00310CC1"/>
    <w:rsid w:val="003118A8"/>
    <w:rsid w:val="00312504"/>
    <w:rsid w:val="00312B89"/>
    <w:rsid w:val="00313026"/>
    <w:rsid w:val="0031312C"/>
    <w:rsid w:val="00313913"/>
    <w:rsid w:val="00313DAA"/>
    <w:rsid w:val="0031421F"/>
    <w:rsid w:val="0031466A"/>
    <w:rsid w:val="00314B31"/>
    <w:rsid w:val="003151F4"/>
    <w:rsid w:val="00315569"/>
    <w:rsid w:val="00315A65"/>
    <w:rsid w:val="003165D7"/>
    <w:rsid w:val="0031666B"/>
    <w:rsid w:val="00316ABE"/>
    <w:rsid w:val="00317601"/>
    <w:rsid w:val="003179CC"/>
    <w:rsid w:val="00317BA7"/>
    <w:rsid w:val="00317EB1"/>
    <w:rsid w:val="003204AE"/>
    <w:rsid w:val="00320BE2"/>
    <w:rsid w:val="00320CD0"/>
    <w:rsid w:val="00321886"/>
    <w:rsid w:val="00321956"/>
    <w:rsid w:val="00321EDC"/>
    <w:rsid w:val="003226AC"/>
    <w:rsid w:val="00323694"/>
    <w:rsid w:val="00323BE7"/>
    <w:rsid w:val="00324B26"/>
    <w:rsid w:val="00324C3A"/>
    <w:rsid w:val="00324D63"/>
    <w:rsid w:val="0032547C"/>
    <w:rsid w:val="003255AF"/>
    <w:rsid w:val="003256EB"/>
    <w:rsid w:val="003259DB"/>
    <w:rsid w:val="0032795B"/>
    <w:rsid w:val="003303CD"/>
    <w:rsid w:val="003307BE"/>
    <w:rsid w:val="003314D9"/>
    <w:rsid w:val="00331653"/>
    <w:rsid w:val="00331A48"/>
    <w:rsid w:val="00331BCC"/>
    <w:rsid w:val="00332311"/>
    <w:rsid w:val="003330C9"/>
    <w:rsid w:val="0033364C"/>
    <w:rsid w:val="00334415"/>
    <w:rsid w:val="003345DA"/>
    <w:rsid w:val="00334972"/>
    <w:rsid w:val="00335C1B"/>
    <w:rsid w:val="00335EA1"/>
    <w:rsid w:val="0033691E"/>
    <w:rsid w:val="00336A6A"/>
    <w:rsid w:val="00336CCB"/>
    <w:rsid w:val="00340B4B"/>
    <w:rsid w:val="003411D1"/>
    <w:rsid w:val="003416BA"/>
    <w:rsid w:val="00342148"/>
    <w:rsid w:val="00342658"/>
    <w:rsid w:val="003427BE"/>
    <w:rsid w:val="00342F99"/>
    <w:rsid w:val="00343016"/>
    <w:rsid w:val="003432EE"/>
    <w:rsid w:val="00343749"/>
    <w:rsid w:val="00343AEA"/>
    <w:rsid w:val="003444BF"/>
    <w:rsid w:val="00344D99"/>
    <w:rsid w:val="0034575A"/>
    <w:rsid w:val="00345F1D"/>
    <w:rsid w:val="00345F57"/>
    <w:rsid w:val="003461A7"/>
    <w:rsid w:val="00346CC8"/>
    <w:rsid w:val="00350458"/>
    <w:rsid w:val="00350E6C"/>
    <w:rsid w:val="00350F55"/>
    <w:rsid w:val="0035153C"/>
    <w:rsid w:val="003518A6"/>
    <w:rsid w:val="00351E7F"/>
    <w:rsid w:val="00352953"/>
    <w:rsid w:val="00353D83"/>
    <w:rsid w:val="00353D91"/>
    <w:rsid w:val="00354062"/>
    <w:rsid w:val="0035459E"/>
    <w:rsid w:val="00354AE9"/>
    <w:rsid w:val="00355527"/>
    <w:rsid w:val="00355C0D"/>
    <w:rsid w:val="003560A6"/>
    <w:rsid w:val="003566A9"/>
    <w:rsid w:val="00356988"/>
    <w:rsid w:val="003569D3"/>
    <w:rsid w:val="00356CE9"/>
    <w:rsid w:val="003570BB"/>
    <w:rsid w:val="00357128"/>
    <w:rsid w:val="00357377"/>
    <w:rsid w:val="0035755E"/>
    <w:rsid w:val="00357A80"/>
    <w:rsid w:val="00357C97"/>
    <w:rsid w:val="00360116"/>
    <w:rsid w:val="00361441"/>
    <w:rsid w:val="00361B8B"/>
    <w:rsid w:val="00363F39"/>
    <w:rsid w:val="003640FC"/>
    <w:rsid w:val="0036445C"/>
    <w:rsid w:val="00364627"/>
    <w:rsid w:val="00364AB0"/>
    <w:rsid w:val="00364B13"/>
    <w:rsid w:val="00364D71"/>
    <w:rsid w:val="00365D7A"/>
    <w:rsid w:val="003667B0"/>
    <w:rsid w:val="003667DD"/>
    <w:rsid w:val="00366B48"/>
    <w:rsid w:val="00366D71"/>
    <w:rsid w:val="003674FB"/>
    <w:rsid w:val="0036774D"/>
    <w:rsid w:val="00367764"/>
    <w:rsid w:val="003678D7"/>
    <w:rsid w:val="00370316"/>
    <w:rsid w:val="003704EC"/>
    <w:rsid w:val="00370DC7"/>
    <w:rsid w:val="003713D7"/>
    <w:rsid w:val="003714AC"/>
    <w:rsid w:val="00371CBD"/>
    <w:rsid w:val="00371F20"/>
    <w:rsid w:val="003721E3"/>
    <w:rsid w:val="0037244B"/>
    <w:rsid w:val="00372B98"/>
    <w:rsid w:val="003732DC"/>
    <w:rsid w:val="003737B7"/>
    <w:rsid w:val="003740CC"/>
    <w:rsid w:val="003745F4"/>
    <w:rsid w:val="0037491A"/>
    <w:rsid w:val="00374E79"/>
    <w:rsid w:val="0037529A"/>
    <w:rsid w:val="00375388"/>
    <w:rsid w:val="00375496"/>
    <w:rsid w:val="00375559"/>
    <w:rsid w:val="00375FB9"/>
    <w:rsid w:val="00376170"/>
    <w:rsid w:val="003762F9"/>
    <w:rsid w:val="003766DE"/>
    <w:rsid w:val="00376851"/>
    <w:rsid w:val="00376FA2"/>
    <w:rsid w:val="00377133"/>
    <w:rsid w:val="00377A3B"/>
    <w:rsid w:val="00377B8B"/>
    <w:rsid w:val="00377E3C"/>
    <w:rsid w:val="00377F89"/>
    <w:rsid w:val="00380874"/>
    <w:rsid w:val="00380878"/>
    <w:rsid w:val="003809D4"/>
    <w:rsid w:val="00380BBE"/>
    <w:rsid w:val="00380EA3"/>
    <w:rsid w:val="00381243"/>
    <w:rsid w:val="00381B1B"/>
    <w:rsid w:val="00381D70"/>
    <w:rsid w:val="00382144"/>
    <w:rsid w:val="0038235E"/>
    <w:rsid w:val="0038260A"/>
    <w:rsid w:val="003826AC"/>
    <w:rsid w:val="003829D0"/>
    <w:rsid w:val="0038326A"/>
    <w:rsid w:val="0038444F"/>
    <w:rsid w:val="00384BB9"/>
    <w:rsid w:val="0038519A"/>
    <w:rsid w:val="003861F0"/>
    <w:rsid w:val="00386A27"/>
    <w:rsid w:val="00386EE5"/>
    <w:rsid w:val="00387051"/>
    <w:rsid w:val="003876F0"/>
    <w:rsid w:val="00387ECF"/>
    <w:rsid w:val="003901EA"/>
    <w:rsid w:val="0039021B"/>
    <w:rsid w:val="00390353"/>
    <w:rsid w:val="00390429"/>
    <w:rsid w:val="003906A0"/>
    <w:rsid w:val="00390D91"/>
    <w:rsid w:val="00390DBB"/>
    <w:rsid w:val="00391413"/>
    <w:rsid w:val="00391A48"/>
    <w:rsid w:val="0039207D"/>
    <w:rsid w:val="003923D5"/>
    <w:rsid w:val="00392AF4"/>
    <w:rsid w:val="00392D1F"/>
    <w:rsid w:val="00392D35"/>
    <w:rsid w:val="003931AF"/>
    <w:rsid w:val="0039338D"/>
    <w:rsid w:val="0039366C"/>
    <w:rsid w:val="00393C4C"/>
    <w:rsid w:val="00393EC8"/>
    <w:rsid w:val="003951CB"/>
    <w:rsid w:val="00395E42"/>
    <w:rsid w:val="00396409"/>
    <w:rsid w:val="003966DE"/>
    <w:rsid w:val="00396A2D"/>
    <w:rsid w:val="00396FC3"/>
    <w:rsid w:val="003972F3"/>
    <w:rsid w:val="0039779B"/>
    <w:rsid w:val="003A0291"/>
    <w:rsid w:val="003A0A27"/>
    <w:rsid w:val="003A13E2"/>
    <w:rsid w:val="003A1431"/>
    <w:rsid w:val="003A1A94"/>
    <w:rsid w:val="003A1B38"/>
    <w:rsid w:val="003A1FF5"/>
    <w:rsid w:val="003A204E"/>
    <w:rsid w:val="003A2B19"/>
    <w:rsid w:val="003A2D25"/>
    <w:rsid w:val="003A2DB1"/>
    <w:rsid w:val="003A5101"/>
    <w:rsid w:val="003A5265"/>
    <w:rsid w:val="003A5715"/>
    <w:rsid w:val="003A5728"/>
    <w:rsid w:val="003A60E7"/>
    <w:rsid w:val="003A6AE2"/>
    <w:rsid w:val="003A7092"/>
    <w:rsid w:val="003A72A1"/>
    <w:rsid w:val="003A7302"/>
    <w:rsid w:val="003A7566"/>
    <w:rsid w:val="003A7611"/>
    <w:rsid w:val="003A7A46"/>
    <w:rsid w:val="003A7D1F"/>
    <w:rsid w:val="003B0A4E"/>
    <w:rsid w:val="003B0B6A"/>
    <w:rsid w:val="003B0C41"/>
    <w:rsid w:val="003B129D"/>
    <w:rsid w:val="003B22F7"/>
    <w:rsid w:val="003B2518"/>
    <w:rsid w:val="003B29CF"/>
    <w:rsid w:val="003B2A86"/>
    <w:rsid w:val="003B3A90"/>
    <w:rsid w:val="003B3D01"/>
    <w:rsid w:val="003B4003"/>
    <w:rsid w:val="003B4391"/>
    <w:rsid w:val="003B455A"/>
    <w:rsid w:val="003B534F"/>
    <w:rsid w:val="003B6C60"/>
    <w:rsid w:val="003B7A79"/>
    <w:rsid w:val="003C0FE1"/>
    <w:rsid w:val="003C1016"/>
    <w:rsid w:val="003C151A"/>
    <w:rsid w:val="003C17F0"/>
    <w:rsid w:val="003C1D27"/>
    <w:rsid w:val="003C2A23"/>
    <w:rsid w:val="003C33A0"/>
    <w:rsid w:val="003C350C"/>
    <w:rsid w:val="003C3733"/>
    <w:rsid w:val="003C3903"/>
    <w:rsid w:val="003C3BA0"/>
    <w:rsid w:val="003C3EFA"/>
    <w:rsid w:val="003C4580"/>
    <w:rsid w:val="003C51C0"/>
    <w:rsid w:val="003C553C"/>
    <w:rsid w:val="003C5C5E"/>
    <w:rsid w:val="003C65C0"/>
    <w:rsid w:val="003C65D3"/>
    <w:rsid w:val="003C6692"/>
    <w:rsid w:val="003C6746"/>
    <w:rsid w:val="003C7555"/>
    <w:rsid w:val="003C7898"/>
    <w:rsid w:val="003C7A17"/>
    <w:rsid w:val="003D0FF5"/>
    <w:rsid w:val="003D11A3"/>
    <w:rsid w:val="003D1537"/>
    <w:rsid w:val="003D183C"/>
    <w:rsid w:val="003D2D1B"/>
    <w:rsid w:val="003D2F09"/>
    <w:rsid w:val="003D3558"/>
    <w:rsid w:val="003D36C0"/>
    <w:rsid w:val="003D40E5"/>
    <w:rsid w:val="003D48C7"/>
    <w:rsid w:val="003D4C27"/>
    <w:rsid w:val="003D572F"/>
    <w:rsid w:val="003D594C"/>
    <w:rsid w:val="003D6BEB"/>
    <w:rsid w:val="003D7109"/>
    <w:rsid w:val="003D71D7"/>
    <w:rsid w:val="003D7CE8"/>
    <w:rsid w:val="003E0514"/>
    <w:rsid w:val="003E0BAA"/>
    <w:rsid w:val="003E1032"/>
    <w:rsid w:val="003E1904"/>
    <w:rsid w:val="003E25B5"/>
    <w:rsid w:val="003E285E"/>
    <w:rsid w:val="003E2BD8"/>
    <w:rsid w:val="003E3124"/>
    <w:rsid w:val="003E3300"/>
    <w:rsid w:val="003E371E"/>
    <w:rsid w:val="003E3BC7"/>
    <w:rsid w:val="003E43D3"/>
    <w:rsid w:val="003E48E1"/>
    <w:rsid w:val="003E4F68"/>
    <w:rsid w:val="003E50F4"/>
    <w:rsid w:val="003E5797"/>
    <w:rsid w:val="003E59BB"/>
    <w:rsid w:val="003E6225"/>
    <w:rsid w:val="003E65AC"/>
    <w:rsid w:val="003E66AE"/>
    <w:rsid w:val="003E6CFE"/>
    <w:rsid w:val="003E7160"/>
    <w:rsid w:val="003E72B9"/>
    <w:rsid w:val="003E7612"/>
    <w:rsid w:val="003E7ED4"/>
    <w:rsid w:val="003F0187"/>
    <w:rsid w:val="003F0CAA"/>
    <w:rsid w:val="003F0E52"/>
    <w:rsid w:val="003F0F6B"/>
    <w:rsid w:val="003F1DCD"/>
    <w:rsid w:val="003F1FC6"/>
    <w:rsid w:val="003F1FE3"/>
    <w:rsid w:val="003F2112"/>
    <w:rsid w:val="003F2359"/>
    <w:rsid w:val="003F2457"/>
    <w:rsid w:val="003F2D23"/>
    <w:rsid w:val="003F3232"/>
    <w:rsid w:val="003F3369"/>
    <w:rsid w:val="003F359A"/>
    <w:rsid w:val="003F3865"/>
    <w:rsid w:val="003F38AC"/>
    <w:rsid w:val="003F3D55"/>
    <w:rsid w:val="003F44E2"/>
    <w:rsid w:val="003F4632"/>
    <w:rsid w:val="003F47BA"/>
    <w:rsid w:val="003F49F3"/>
    <w:rsid w:val="003F4FE6"/>
    <w:rsid w:val="003F5638"/>
    <w:rsid w:val="003F5B7B"/>
    <w:rsid w:val="003F6617"/>
    <w:rsid w:val="003F7305"/>
    <w:rsid w:val="003F7F36"/>
    <w:rsid w:val="00400A58"/>
    <w:rsid w:val="00400E70"/>
    <w:rsid w:val="00402332"/>
    <w:rsid w:val="004025C2"/>
    <w:rsid w:val="00402887"/>
    <w:rsid w:val="00402FB7"/>
    <w:rsid w:val="00403195"/>
    <w:rsid w:val="004033A9"/>
    <w:rsid w:val="00403E55"/>
    <w:rsid w:val="0040407C"/>
    <w:rsid w:val="0040416C"/>
    <w:rsid w:val="004041CA"/>
    <w:rsid w:val="004044B4"/>
    <w:rsid w:val="00404681"/>
    <w:rsid w:val="004048F9"/>
    <w:rsid w:val="00404A80"/>
    <w:rsid w:val="00404B32"/>
    <w:rsid w:val="00405445"/>
    <w:rsid w:val="0040579D"/>
    <w:rsid w:val="00405AC1"/>
    <w:rsid w:val="0040675A"/>
    <w:rsid w:val="00406923"/>
    <w:rsid w:val="0040763D"/>
    <w:rsid w:val="0041038E"/>
    <w:rsid w:val="00410D17"/>
    <w:rsid w:val="0041183A"/>
    <w:rsid w:val="00411DCB"/>
    <w:rsid w:val="00412656"/>
    <w:rsid w:val="00412AA9"/>
    <w:rsid w:val="00413442"/>
    <w:rsid w:val="00413821"/>
    <w:rsid w:val="00413BA5"/>
    <w:rsid w:val="004141A3"/>
    <w:rsid w:val="00414909"/>
    <w:rsid w:val="0041582F"/>
    <w:rsid w:val="00415AC9"/>
    <w:rsid w:val="00415CF3"/>
    <w:rsid w:val="00416112"/>
    <w:rsid w:val="004167AD"/>
    <w:rsid w:val="00416F8E"/>
    <w:rsid w:val="0041716A"/>
    <w:rsid w:val="0041745E"/>
    <w:rsid w:val="00417A18"/>
    <w:rsid w:val="00417AE0"/>
    <w:rsid w:val="00417BAA"/>
    <w:rsid w:val="00417E8E"/>
    <w:rsid w:val="0042042B"/>
    <w:rsid w:val="00420457"/>
    <w:rsid w:val="00420B45"/>
    <w:rsid w:val="00420D7A"/>
    <w:rsid w:val="00421257"/>
    <w:rsid w:val="00421621"/>
    <w:rsid w:val="004220C7"/>
    <w:rsid w:val="00422193"/>
    <w:rsid w:val="004223DE"/>
    <w:rsid w:val="00422645"/>
    <w:rsid w:val="00422A10"/>
    <w:rsid w:val="0042496A"/>
    <w:rsid w:val="00424D17"/>
    <w:rsid w:val="004259FC"/>
    <w:rsid w:val="00425DFD"/>
    <w:rsid w:val="00425EA9"/>
    <w:rsid w:val="004263A3"/>
    <w:rsid w:val="0042711B"/>
    <w:rsid w:val="00427713"/>
    <w:rsid w:val="00427C77"/>
    <w:rsid w:val="00427CCC"/>
    <w:rsid w:val="0043013A"/>
    <w:rsid w:val="00430421"/>
    <w:rsid w:val="00430A36"/>
    <w:rsid w:val="00430B4F"/>
    <w:rsid w:val="00430C37"/>
    <w:rsid w:val="00431084"/>
    <w:rsid w:val="004310D7"/>
    <w:rsid w:val="0043180D"/>
    <w:rsid w:val="00431FF2"/>
    <w:rsid w:val="004322D6"/>
    <w:rsid w:val="0043254E"/>
    <w:rsid w:val="00432589"/>
    <w:rsid w:val="00432A94"/>
    <w:rsid w:val="00432C95"/>
    <w:rsid w:val="00433359"/>
    <w:rsid w:val="00433827"/>
    <w:rsid w:val="00433A40"/>
    <w:rsid w:val="00433AEA"/>
    <w:rsid w:val="00434B70"/>
    <w:rsid w:val="004355EF"/>
    <w:rsid w:val="00435809"/>
    <w:rsid w:val="004360C8"/>
    <w:rsid w:val="00436823"/>
    <w:rsid w:val="004371D5"/>
    <w:rsid w:val="0043773F"/>
    <w:rsid w:val="00437FBF"/>
    <w:rsid w:val="0044006B"/>
    <w:rsid w:val="0044033F"/>
    <w:rsid w:val="00440576"/>
    <w:rsid w:val="00440630"/>
    <w:rsid w:val="00440D6B"/>
    <w:rsid w:val="00440E07"/>
    <w:rsid w:val="0044142F"/>
    <w:rsid w:val="00441F0F"/>
    <w:rsid w:val="00442965"/>
    <w:rsid w:val="004432B6"/>
    <w:rsid w:val="00444081"/>
    <w:rsid w:val="00444157"/>
    <w:rsid w:val="0044417C"/>
    <w:rsid w:val="00444DB3"/>
    <w:rsid w:val="00445617"/>
    <w:rsid w:val="00445A2F"/>
    <w:rsid w:val="004463FF"/>
    <w:rsid w:val="0044648F"/>
    <w:rsid w:val="0044680A"/>
    <w:rsid w:val="0044684E"/>
    <w:rsid w:val="00446F22"/>
    <w:rsid w:val="00447C74"/>
    <w:rsid w:val="00447E41"/>
    <w:rsid w:val="0045019F"/>
    <w:rsid w:val="004503A4"/>
    <w:rsid w:val="00450555"/>
    <w:rsid w:val="004506FA"/>
    <w:rsid w:val="004507B6"/>
    <w:rsid w:val="00450BC8"/>
    <w:rsid w:val="00450DC6"/>
    <w:rsid w:val="004516A5"/>
    <w:rsid w:val="00451E9C"/>
    <w:rsid w:val="00452145"/>
    <w:rsid w:val="004522D0"/>
    <w:rsid w:val="0045280F"/>
    <w:rsid w:val="00452E73"/>
    <w:rsid w:val="004533F6"/>
    <w:rsid w:val="004535AE"/>
    <w:rsid w:val="004537F7"/>
    <w:rsid w:val="00453C53"/>
    <w:rsid w:val="0045444D"/>
    <w:rsid w:val="0045463A"/>
    <w:rsid w:val="00454AC9"/>
    <w:rsid w:val="00455050"/>
    <w:rsid w:val="004554A3"/>
    <w:rsid w:val="00455626"/>
    <w:rsid w:val="00455A6E"/>
    <w:rsid w:val="00455AC4"/>
    <w:rsid w:val="00455EAD"/>
    <w:rsid w:val="004578EB"/>
    <w:rsid w:val="00457F74"/>
    <w:rsid w:val="004604D5"/>
    <w:rsid w:val="004605C6"/>
    <w:rsid w:val="00460697"/>
    <w:rsid w:val="0046117B"/>
    <w:rsid w:val="004619A3"/>
    <w:rsid w:val="00461FC2"/>
    <w:rsid w:val="0046281E"/>
    <w:rsid w:val="004632B9"/>
    <w:rsid w:val="004644A4"/>
    <w:rsid w:val="00464AB7"/>
    <w:rsid w:val="00465959"/>
    <w:rsid w:val="004659D0"/>
    <w:rsid w:val="00465DE5"/>
    <w:rsid w:val="00466103"/>
    <w:rsid w:val="004676DF"/>
    <w:rsid w:val="00467A83"/>
    <w:rsid w:val="00467EF8"/>
    <w:rsid w:val="00470006"/>
    <w:rsid w:val="00470611"/>
    <w:rsid w:val="00470848"/>
    <w:rsid w:val="00470CAB"/>
    <w:rsid w:val="00471796"/>
    <w:rsid w:val="00471AC3"/>
    <w:rsid w:val="00472429"/>
    <w:rsid w:val="004725E5"/>
    <w:rsid w:val="00472751"/>
    <w:rsid w:val="00473128"/>
    <w:rsid w:val="004748A5"/>
    <w:rsid w:val="00475078"/>
    <w:rsid w:val="00475767"/>
    <w:rsid w:val="00476FC2"/>
    <w:rsid w:val="004779A0"/>
    <w:rsid w:val="00477F17"/>
    <w:rsid w:val="004800A0"/>
    <w:rsid w:val="00480362"/>
    <w:rsid w:val="00480363"/>
    <w:rsid w:val="004808E3"/>
    <w:rsid w:val="00480B7E"/>
    <w:rsid w:val="00480CFE"/>
    <w:rsid w:val="00481016"/>
    <w:rsid w:val="0048124C"/>
    <w:rsid w:val="0048204C"/>
    <w:rsid w:val="004821BB"/>
    <w:rsid w:val="0048237A"/>
    <w:rsid w:val="004826FE"/>
    <w:rsid w:val="004827D5"/>
    <w:rsid w:val="00482AF2"/>
    <w:rsid w:val="004830C9"/>
    <w:rsid w:val="00483347"/>
    <w:rsid w:val="00483E2E"/>
    <w:rsid w:val="00484B69"/>
    <w:rsid w:val="0048529F"/>
    <w:rsid w:val="00485406"/>
    <w:rsid w:val="0048590F"/>
    <w:rsid w:val="004864D4"/>
    <w:rsid w:val="00486D60"/>
    <w:rsid w:val="00486DBC"/>
    <w:rsid w:val="00487180"/>
    <w:rsid w:val="00487BA1"/>
    <w:rsid w:val="0049155D"/>
    <w:rsid w:val="00491FA1"/>
    <w:rsid w:val="00492A25"/>
    <w:rsid w:val="004938A3"/>
    <w:rsid w:val="004950A6"/>
    <w:rsid w:val="0049558B"/>
    <w:rsid w:val="00496350"/>
    <w:rsid w:val="00496E62"/>
    <w:rsid w:val="00496F9C"/>
    <w:rsid w:val="0049765E"/>
    <w:rsid w:val="00497843"/>
    <w:rsid w:val="0049797C"/>
    <w:rsid w:val="004A1405"/>
    <w:rsid w:val="004A15BD"/>
    <w:rsid w:val="004A1E28"/>
    <w:rsid w:val="004A1FC6"/>
    <w:rsid w:val="004A2E5F"/>
    <w:rsid w:val="004A345A"/>
    <w:rsid w:val="004A38C2"/>
    <w:rsid w:val="004A3968"/>
    <w:rsid w:val="004A3C03"/>
    <w:rsid w:val="004A3DB7"/>
    <w:rsid w:val="004A463B"/>
    <w:rsid w:val="004A5088"/>
    <w:rsid w:val="004A50E5"/>
    <w:rsid w:val="004A5255"/>
    <w:rsid w:val="004A61CA"/>
    <w:rsid w:val="004A6B28"/>
    <w:rsid w:val="004A6CB0"/>
    <w:rsid w:val="004A70FF"/>
    <w:rsid w:val="004A77B5"/>
    <w:rsid w:val="004A7EDE"/>
    <w:rsid w:val="004B0283"/>
    <w:rsid w:val="004B0D93"/>
    <w:rsid w:val="004B19C8"/>
    <w:rsid w:val="004B1FA4"/>
    <w:rsid w:val="004B29AC"/>
    <w:rsid w:val="004B2AD4"/>
    <w:rsid w:val="004B35DF"/>
    <w:rsid w:val="004B3627"/>
    <w:rsid w:val="004B3837"/>
    <w:rsid w:val="004B3EEA"/>
    <w:rsid w:val="004B48E1"/>
    <w:rsid w:val="004B4922"/>
    <w:rsid w:val="004B52E0"/>
    <w:rsid w:val="004B57DF"/>
    <w:rsid w:val="004B5976"/>
    <w:rsid w:val="004B6E54"/>
    <w:rsid w:val="004B722E"/>
    <w:rsid w:val="004B72E8"/>
    <w:rsid w:val="004B7661"/>
    <w:rsid w:val="004B771A"/>
    <w:rsid w:val="004C01A5"/>
    <w:rsid w:val="004C0412"/>
    <w:rsid w:val="004C0882"/>
    <w:rsid w:val="004C2138"/>
    <w:rsid w:val="004C2B69"/>
    <w:rsid w:val="004C302E"/>
    <w:rsid w:val="004C3940"/>
    <w:rsid w:val="004C51FD"/>
    <w:rsid w:val="004C5ED7"/>
    <w:rsid w:val="004C64A1"/>
    <w:rsid w:val="004C64B8"/>
    <w:rsid w:val="004C65A8"/>
    <w:rsid w:val="004C6689"/>
    <w:rsid w:val="004C6BF3"/>
    <w:rsid w:val="004C7408"/>
    <w:rsid w:val="004C7850"/>
    <w:rsid w:val="004D0479"/>
    <w:rsid w:val="004D0DE7"/>
    <w:rsid w:val="004D139A"/>
    <w:rsid w:val="004D14DC"/>
    <w:rsid w:val="004D17C6"/>
    <w:rsid w:val="004D1FB2"/>
    <w:rsid w:val="004D2858"/>
    <w:rsid w:val="004D2E49"/>
    <w:rsid w:val="004D35BA"/>
    <w:rsid w:val="004D36FC"/>
    <w:rsid w:val="004D38E5"/>
    <w:rsid w:val="004D3A48"/>
    <w:rsid w:val="004D3C5A"/>
    <w:rsid w:val="004D449A"/>
    <w:rsid w:val="004D4701"/>
    <w:rsid w:val="004D47C7"/>
    <w:rsid w:val="004D4B2B"/>
    <w:rsid w:val="004D4F35"/>
    <w:rsid w:val="004D51EE"/>
    <w:rsid w:val="004D5C03"/>
    <w:rsid w:val="004D5D45"/>
    <w:rsid w:val="004D618D"/>
    <w:rsid w:val="004D62A9"/>
    <w:rsid w:val="004D6559"/>
    <w:rsid w:val="004D6FC3"/>
    <w:rsid w:val="004D7476"/>
    <w:rsid w:val="004D7716"/>
    <w:rsid w:val="004E0167"/>
    <w:rsid w:val="004E0306"/>
    <w:rsid w:val="004E0572"/>
    <w:rsid w:val="004E07BD"/>
    <w:rsid w:val="004E086D"/>
    <w:rsid w:val="004E1641"/>
    <w:rsid w:val="004E1818"/>
    <w:rsid w:val="004E1990"/>
    <w:rsid w:val="004E2186"/>
    <w:rsid w:val="004E25A8"/>
    <w:rsid w:val="004E299B"/>
    <w:rsid w:val="004E29E6"/>
    <w:rsid w:val="004E2A77"/>
    <w:rsid w:val="004E2B53"/>
    <w:rsid w:val="004E3672"/>
    <w:rsid w:val="004E3930"/>
    <w:rsid w:val="004E3A23"/>
    <w:rsid w:val="004E3ED9"/>
    <w:rsid w:val="004E4961"/>
    <w:rsid w:val="004E5866"/>
    <w:rsid w:val="004E6097"/>
    <w:rsid w:val="004E61EF"/>
    <w:rsid w:val="004E63C6"/>
    <w:rsid w:val="004E6805"/>
    <w:rsid w:val="004E76A7"/>
    <w:rsid w:val="004E7B03"/>
    <w:rsid w:val="004E7F95"/>
    <w:rsid w:val="004F0064"/>
    <w:rsid w:val="004F06AC"/>
    <w:rsid w:val="004F0E50"/>
    <w:rsid w:val="004F1D2A"/>
    <w:rsid w:val="004F243F"/>
    <w:rsid w:val="004F252C"/>
    <w:rsid w:val="004F3065"/>
    <w:rsid w:val="004F36A3"/>
    <w:rsid w:val="004F3E0C"/>
    <w:rsid w:val="004F4036"/>
    <w:rsid w:val="004F4308"/>
    <w:rsid w:val="004F4892"/>
    <w:rsid w:val="004F4D2C"/>
    <w:rsid w:val="004F5C3B"/>
    <w:rsid w:val="004F5DA0"/>
    <w:rsid w:val="004F7160"/>
    <w:rsid w:val="004F7F77"/>
    <w:rsid w:val="00500258"/>
    <w:rsid w:val="00500B2D"/>
    <w:rsid w:val="00500EC6"/>
    <w:rsid w:val="0050130B"/>
    <w:rsid w:val="00501A99"/>
    <w:rsid w:val="00501F1D"/>
    <w:rsid w:val="005021F2"/>
    <w:rsid w:val="00502219"/>
    <w:rsid w:val="00502456"/>
    <w:rsid w:val="00503180"/>
    <w:rsid w:val="0050336B"/>
    <w:rsid w:val="005038A4"/>
    <w:rsid w:val="00503DC4"/>
    <w:rsid w:val="00504AF6"/>
    <w:rsid w:val="00504C56"/>
    <w:rsid w:val="00504CD4"/>
    <w:rsid w:val="0050524B"/>
    <w:rsid w:val="00505450"/>
    <w:rsid w:val="00505FC6"/>
    <w:rsid w:val="00506DA6"/>
    <w:rsid w:val="00507170"/>
    <w:rsid w:val="005100B7"/>
    <w:rsid w:val="005105DE"/>
    <w:rsid w:val="005113C9"/>
    <w:rsid w:val="00511ACD"/>
    <w:rsid w:val="00512050"/>
    <w:rsid w:val="00512055"/>
    <w:rsid w:val="0051280C"/>
    <w:rsid w:val="00512842"/>
    <w:rsid w:val="005128BE"/>
    <w:rsid w:val="0051356F"/>
    <w:rsid w:val="00513DEC"/>
    <w:rsid w:val="00513E7C"/>
    <w:rsid w:val="005140BB"/>
    <w:rsid w:val="00514FBE"/>
    <w:rsid w:val="00514FD9"/>
    <w:rsid w:val="005154BB"/>
    <w:rsid w:val="0051550A"/>
    <w:rsid w:val="00515E31"/>
    <w:rsid w:val="0051608F"/>
    <w:rsid w:val="00516480"/>
    <w:rsid w:val="005171F4"/>
    <w:rsid w:val="005173D3"/>
    <w:rsid w:val="00517A4E"/>
    <w:rsid w:val="00520EF8"/>
    <w:rsid w:val="005210F7"/>
    <w:rsid w:val="00521753"/>
    <w:rsid w:val="00521C64"/>
    <w:rsid w:val="00522083"/>
    <w:rsid w:val="0052239D"/>
    <w:rsid w:val="005224EE"/>
    <w:rsid w:val="00522879"/>
    <w:rsid w:val="005229AD"/>
    <w:rsid w:val="00522FFE"/>
    <w:rsid w:val="0052363A"/>
    <w:rsid w:val="00523BB1"/>
    <w:rsid w:val="005241A0"/>
    <w:rsid w:val="00524B23"/>
    <w:rsid w:val="0052511C"/>
    <w:rsid w:val="00525235"/>
    <w:rsid w:val="0052570E"/>
    <w:rsid w:val="005260CD"/>
    <w:rsid w:val="00526265"/>
    <w:rsid w:val="00526332"/>
    <w:rsid w:val="0052655D"/>
    <w:rsid w:val="005265E0"/>
    <w:rsid w:val="00526BC3"/>
    <w:rsid w:val="00530064"/>
    <w:rsid w:val="00530440"/>
    <w:rsid w:val="005305D2"/>
    <w:rsid w:val="00530691"/>
    <w:rsid w:val="0053085C"/>
    <w:rsid w:val="00530FF0"/>
    <w:rsid w:val="005311F0"/>
    <w:rsid w:val="005313CA"/>
    <w:rsid w:val="00531761"/>
    <w:rsid w:val="0053248F"/>
    <w:rsid w:val="005327AB"/>
    <w:rsid w:val="00532F9C"/>
    <w:rsid w:val="00533055"/>
    <w:rsid w:val="0053332A"/>
    <w:rsid w:val="0053358A"/>
    <w:rsid w:val="00534465"/>
    <w:rsid w:val="00534668"/>
    <w:rsid w:val="005348CA"/>
    <w:rsid w:val="00534B28"/>
    <w:rsid w:val="00534DDD"/>
    <w:rsid w:val="00535291"/>
    <w:rsid w:val="00535A94"/>
    <w:rsid w:val="00536A40"/>
    <w:rsid w:val="00537874"/>
    <w:rsid w:val="0053795F"/>
    <w:rsid w:val="00537D3D"/>
    <w:rsid w:val="00540511"/>
    <w:rsid w:val="00540578"/>
    <w:rsid w:val="00540808"/>
    <w:rsid w:val="0054080E"/>
    <w:rsid w:val="00540D1A"/>
    <w:rsid w:val="00540DE5"/>
    <w:rsid w:val="00540EA1"/>
    <w:rsid w:val="00541E5A"/>
    <w:rsid w:val="00542769"/>
    <w:rsid w:val="0054277D"/>
    <w:rsid w:val="0054298C"/>
    <w:rsid w:val="00543066"/>
    <w:rsid w:val="0054358E"/>
    <w:rsid w:val="00543AF4"/>
    <w:rsid w:val="00543CD2"/>
    <w:rsid w:val="00543F53"/>
    <w:rsid w:val="00544191"/>
    <w:rsid w:val="0054440C"/>
    <w:rsid w:val="005448EC"/>
    <w:rsid w:val="00544C0A"/>
    <w:rsid w:val="00544F39"/>
    <w:rsid w:val="005452DC"/>
    <w:rsid w:val="005457FB"/>
    <w:rsid w:val="00545C5B"/>
    <w:rsid w:val="00546B96"/>
    <w:rsid w:val="00546F90"/>
    <w:rsid w:val="005477F7"/>
    <w:rsid w:val="00547EFB"/>
    <w:rsid w:val="00550186"/>
    <w:rsid w:val="00550192"/>
    <w:rsid w:val="0055037E"/>
    <w:rsid w:val="00550BD9"/>
    <w:rsid w:val="005522F2"/>
    <w:rsid w:val="005531DF"/>
    <w:rsid w:val="00553874"/>
    <w:rsid w:val="00553DCE"/>
    <w:rsid w:val="00553F4B"/>
    <w:rsid w:val="005541E0"/>
    <w:rsid w:val="005543B3"/>
    <w:rsid w:val="00554577"/>
    <w:rsid w:val="005545A1"/>
    <w:rsid w:val="00554AD8"/>
    <w:rsid w:val="00554F78"/>
    <w:rsid w:val="00555DA1"/>
    <w:rsid w:val="005562FB"/>
    <w:rsid w:val="00556731"/>
    <w:rsid w:val="00556BF7"/>
    <w:rsid w:val="00556C70"/>
    <w:rsid w:val="00556E53"/>
    <w:rsid w:val="00556FF1"/>
    <w:rsid w:val="0055745C"/>
    <w:rsid w:val="00557F60"/>
    <w:rsid w:val="00560D81"/>
    <w:rsid w:val="00561730"/>
    <w:rsid w:val="00561913"/>
    <w:rsid w:val="00561B97"/>
    <w:rsid w:val="00562149"/>
    <w:rsid w:val="00562285"/>
    <w:rsid w:val="0056248C"/>
    <w:rsid w:val="005640EB"/>
    <w:rsid w:val="00565559"/>
    <w:rsid w:val="005666A4"/>
    <w:rsid w:val="00567B5D"/>
    <w:rsid w:val="00570593"/>
    <w:rsid w:val="00570757"/>
    <w:rsid w:val="00570921"/>
    <w:rsid w:val="0057257D"/>
    <w:rsid w:val="00572DBE"/>
    <w:rsid w:val="00573293"/>
    <w:rsid w:val="00573733"/>
    <w:rsid w:val="00573DBC"/>
    <w:rsid w:val="00573E08"/>
    <w:rsid w:val="00573F8B"/>
    <w:rsid w:val="005743E0"/>
    <w:rsid w:val="00574554"/>
    <w:rsid w:val="00574E06"/>
    <w:rsid w:val="005751BB"/>
    <w:rsid w:val="00575713"/>
    <w:rsid w:val="00576089"/>
    <w:rsid w:val="005764B1"/>
    <w:rsid w:val="00576852"/>
    <w:rsid w:val="00576D06"/>
    <w:rsid w:val="005779E4"/>
    <w:rsid w:val="00577E82"/>
    <w:rsid w:val="00580B89"/>
    <w:rsid w:val="00580EC7"/>
    <w:rsid w:val="005813FA"/>
    <w:rsid w:val="00581EA9"/>
    <w:rsid w:val="005826D2"/>
    <w:rsid w:val="0058289C"/>
    <w:rsid w:val="005836C7"/>
    <w:rsid w:val="00583A83"/>
    <w:rsid w:val="0058408E"/>
    <w:rsid w:val="005844C3"/>
    <w:rsid w:val="005847D9"/>
    <w:rsid w:val="00584909"/>
    <w:rsid w:val="00585374"/>
    <w:rsid w:val="005854CA"/>
    <w:rsid w:val="00585FAB"/>
    <w:rsid w:val="0058607D"/>
    <w:rsid w:val="00590B77"/>
    <w:rsid w:val="00590D9A"/>
    <w:rsid w:val="005913A3"/>
    <w:rsid w:val="005919E6"/>
    <w:rsid w:val="00591A5A"/>
    <w:rsid w:val="005929D8"/>
    <w:rsid w:val="00592C40"/>
    <w:rsid w:val="00593B28"/>
    <w:rsid w:val="00593C06"/>
    <w:rsid w:val="005940D4"/>
    <w:rsid w:val="00594A7B"/>
    <w:rsid w:val="0059580E"/>
    <w:rsid w:val="00595D90"/>
    <w:rsid w:val="00596A6F"/>
    <w:rsid w:val="00596D11"/>
    <w:rsid w:val="00596FCE"/>
    <w:rsid w:val="00597A4D"/>
    <w:rsid w:val="005A0300"/>
    <w:rsid w:val="005A11BC"/>
    <w:rsid w:val="005A1525"/>
    <w:rsid w:val="005A16F6"/>
    <w:rsid w:val="005A188D"/>
    <w:rsid w:val="005A1A61"/>
    <w:rsid w:val="005A1E17"/>
    <w:rsid w:val="005A252B"/>
    <w:rsid w:val="005A2A8F"/>
    <w:rsid w:val="005A3008"/>
    <w:rsid w:val="005A3204"/>
    <w:rsid w:val="005A3341"/>
    <w:rsid w:val="005A3C3D"/>
    <w:rsid w:val="005A46EC"/>
    <w:rsid w:val="005A5EAE"/>
    <w:rsid w:val="005A5EB8"/>
    <w:rsid w:val="005A6407"/>
    <w:rsid w:val="005A726C"/>
    <w:rsid w:val="005A79CF"/>
    <w:rsid w:val="005A7DDF"/>
    <w:rsid w:val="005B05D8"/>
    <w:rsid w:val="005B07EC"/>
    <w:rsid w:val="005B21B0"/>
    <w:rsid w:val="005B2899"/>
    <w:rsid w:val="005B2B11"/>
    <w:rsid w:val="005B32A4"/>
    <w:rsid w:val="005B3371"/>
    <w:rsid w:val="005B338D"/>
    <w:rsid w:val="005B33A1"/>
    <w:rsid w:val="005B3852"/>
    <w:rsid w:val="005B3BAF"/>
    <w:rsid w:val="005B43D5"/>
    <w:rsid w:val="005B4470"/>
    <w:rsid w:val="005B479B"/>
    <w:rsid w:val="005B4DA3"/>
    <w:rsid w:val="005B4E69"/>
    <w:rsid w:val="005B536A"/>
    <w:rsid w:val="005B5BEE"/>
    <w:rsid w:val="005B6AA9"/>
    <w:rsid w:val="005B77D2"/>
    <w:rsid w:val="005B7BDA"/>
    <w:rsid w:val="005C0164"/>
    <w:rsid w:val="005C0195"/>
    <w:rsid w:val="005C019B"/>
    <w:rsid w:val="005C08D0"/>
    <w:rsid w:val="005C14A0"/>
    <w:rsid w:val="005C15A1"/>
    <w:rsid w:val="005C1AED"/>
    <w:rsid w:val="005C1FCB"/>
    <w:rsid w:val="005C2136"/>
    <w:rsid w:val="005C290E"/>
    <w:rsid w:val="005C30F5"/>
    <w:rsid w:val="005C3571"/>
    <w:rsid w:val="005C3840"/>
    <w:rsid w:val="005C3AD8"/>
    <w:rsid w:val="005C426B"/>
    <w:rsid w:val="005C5084"/>
    <w:rsid w:val="005C519C"/>
    <w:rsid w:val="005C51A5"/>
    <w:rsid w:val="005C557A"/>
    <w:rsid w:val="005C566F"/>
    <w:rsid w:val="005C5B5C"/>
    <w:rsid w:val="005C5BF5"/>
    <w:rsid w:val="005C5C47"/>
    <w:rsid w:val="005C5D2D"/>
    <w:rsid w:val="005C5EFA"/>
    <w:rsid w:val="005C61DD"/>
    <w:rsid w:val="005C6438"/>
    <w:rsid w:val="005C64D2"/>
    <w:rsid w:val="005C6B8B"/>
    <w:rsid w:val="005C6E67"/>
    <w:rsid w:val="005C727F"/>
    <w:rsid w:val="005C7B0E"/>
    <w:rsid w:val="005C7B20"/>
    <w:rsid w:val="005D02E3"/>
    <w:rsid w:val="005D1419"/>
    <w:rsid w:val="005D1F34"/>
    <w:rsid w:val="005D284B"/>
    <w:rsid w:val="005D2C1F"/>
    <w:rsid w:val="005D34B2"/>
    <w:rsid w:val="005D3B54"/>
    <w:rsid w:val="005D3BB3"/>
    <w:rsid w:val="005D3E28"/>
    <w:rsid w:val="005D40CD"/>
    <w:rsid w:val="005D6B59"/>
    <w:rsid w:val="005D71C3"/>
    <w:rsid w:val="005D74D2"/>
    <w:rsid w:val="005D784B"/>
    <w:rsid w:val="005D7B90"/>
    <w:rsid w:val="005D7DE0"/>
    <w:rsid w:val="005E00AF"/>
    <w:rsid w:val="005E03E4"/>
    <w:rsid w:val="005E0454"/>
    <w:rsid w:val="005E05F6"/>
    <w:rsid w:val="005E19CF"/>
    <w:rsid w:val="005E1B9D"/>
    <w:rsid w:val="005E1BDA"/>
    <w:rsid w:val="005E1FCB"/>
    <w:rsid w:val="005E1FE5"/>
    <w:rsid w:val="005E2442"/>
    <w:rsid w:val="005E2768"/>
    <w:rsid w:val="005E3111"/>
    <w:rsid w:val="005E3B1C"/>
    <w:rsid w:val="005E3CA0"/>
    <w:rsid w:val="005E3D11"/>
    <w:rsid w:val="005E3D25"/>
    <w:rsid w:val="005E3F85"/>
    <w:rsid w:val="005E4A5F"/>
    <w:rsid w:val="005E4D86"/>
    <w:rsid w:val="005E4F8C"/>
    <w:rsid w:val="005E516A"/>
    <w:rsid w:val="005E52F5"/>
    <w:rsid w:val="005E57B0"/>
    <w:rsid w:val="005E5A0F"/>
    <w:rsid w:val="005E5B01"/>
    <w:rsid w:val="005E648D"/>
    <w:rsid w:val="005E6D3B"/>
    <w:rsid w:val="005E7EDD"/>
    <w:rsid w:val="005F009E"/>
    <w:rsid w:val="005F06A3"/>
    <w:rsid w:val="005F0BF9"/>
    <w:rsid w:val="005F0DF1"/>
    <w:rsid w:val="005F1516"/>
    <w:rsid w:val="005F1A6F"/>
    <w:rsid w:val="005F229E"/>
    <w:rsid w:val="005F2564"/>
    <w:rsid w:val="005F3822"/>
    <w:rsid w:val="005F4635"/>
    <w:rsid w:val="005F46B7"/>
    <w:rsid w:val="005F4900"/>
    <w:rsid w:val="005F4B6B"/>
    <w:rsid w:val="005F4E52"/>
    <w:rsid w:val="005F4F34"/>
    <w:rsid w:val="005F5466"/>
    <w:rsid w:val="005F6D58"/>
    <w:rsid w:val="005F7060"/>
    <w:rsid w:val="005F7383"/>
    <w:rsid w:val="005F76BD"/>
    <w:rsid w:val="005F7A58"/>
    <w:rsid w:val="0060058E"/>
    <w:rsid w:val="00602A3C"/>
    <w:rsid w:val="00602A54"/>
    <w:rsid w:val="00602A60"/>
    <w:rsid w:val="0060377B"/>
    <w:rsid w:val="00603B89"/>
    <w:rsid w:val="00603EFD"/>
    <w:rsid w:val="0060475B"/>
    <w:rsid w:val="00604BED"/>
    <w:rsid w:val="00604FB6"/>
    <w:rsid w:val="00605387"/>
    <w:rsid w:val="00606302"/>
    <w:rsid w:val="006076FD"/>
    <w:rsid w:val="0061036A"/>
    <w:rsid w:val="00610470"/>
    <w:rsid w:val="006107B1"/>
    <w:rsid w:val="00610811"/>
    <w:rsid w:val="0061143F"/>
    <w:rsid w:val="006114D8"/>
    <w:rsid w:val="00611800"/>
    <w:rsid w:val="00611CA1"/>
    <w:rsid w:val="00612685"/>
    <w:rsid w:val="00613553"/>
    <w:rsid w:val="00613601"/>
    <w:rsid w:val="00613791"/>
    <w:rsid w:val="006143F9"/>
    <w:rsid w:val="00614CD4"/>
    <w:rsid w:val="006150D6"/>
    <w:rsid w:val="00615245"/>
    <w:rsid w:val="0061525A"/>
    <w:rsid w:val="0061526D"/>
    <w:rsid w:val="00615788"/>
    <w:rsid w:val="0061590D"/>
    <w:rsid w:val="00615C84"/>
    <w:rsid w:val="00617EEE"/>
    <w:rsid w:val="00620A1F"/>
    <w:rsid w:val="0062169D"/>
    <w:rsid w:val="00621737"/>
    <w:rsid w:val="0062181E"/>
    <w:rsid w:val="0062197C"/>
    <w:rsid w:val="0062211B"/>
    <w:rsid w:val="0062227E"/>
    <w:rsid w:val="00622827"/>
    <w:rsid w:val="006228D3"/>
    <w:rsid w:val="00622BB7"/>
    <w:rsid w:val="00622C1E"/>
    <w:rsid w:val="00623389"/>
    <w:rsid w:val="00623DAA"/>
    <w:rsid w:val="00623FAF"/>
    <w:rsid w:val="0062460C"/>
    <w:rsid w:val="00624B3E"/>
    <w:rsid w:val="00624D82"/>
    <w:rsid w:val="00625337"/>
    <w:rsid w:val="0062578C"/>
    <w:rsid w:val="006259B6"/>
    <w:rsid w:val="00625A24"/>
    <w:rsid w:val="006265C4"/>
    <w:rsid w:val="0062678A"/>
    <w:rsid w:val="00626AF1"/>
    <w:rsid w:val="00626FCA"/>
    <w:rsid w:val="006270AF"/>
    <w:rsid w:val="00627237"/>
    <w:rsid w:val="00631184"/>
    <w:rsid w:val="00631864"/>
    <w:rsid w:val="00632F83"/>
    <w:rsid w:val="00634367"/>
    <w:rsid w:val="006355C2"/>
    <w:rsid w:val="006360AD"/>
    <w:rsid w:val="006364D7"/>
    <w:rsid w:val="00636554"/>
    <w:rsid w:val="006367E9"/>
    <w:rsid w:val="00636CE3"/>
    <w:rsid w:val="00640082"/>
    <w:rsid w:val="00640291"/>
    <w:rsid w:val="0064058C"/>
    <w:rsid w:val="00640EFE"/>
    <w:rsid w:val="00641D6D"/>
    <w:rsid w:val="00641E5B"/>
    <w:rsid w:val="00641FAC"/>
    <w:rsid w:val="00643664"/>
    <w:rsid w:val="006437ED"/>
    <w:rsid w:val="00643A99"/>
    <w:rsid w:val="00643CAA"/>
    <w:rsid w:val="006447C9"/>
    <w:rsid w:val="00644F16"/>
    <w:rsid w:val="006455EB"/>
    <w:rsid w:val="006456C2"/>
    <w:rsid w:val="00645A65"/>
    <w:rsid w:val="00646959"/>
    <w:rsid w:val="006477F0"/>
    <w:rsid w:val="006478E4"/>
    <w:rsid w:val="00647FD1"/>
    <w:rsid w:val="006509EA"/>
    <w:rsid w:val="0065164D"/>
    <w:rsid w:val="0065171A"/>
    <w:rsid w:val="00652680"/>
    <w:rsid w:val="00653CDE"/>
    <w:rsid w:val="00653EDB"/>
    <w:rsid w:val="00654585"/>
    <w:rsid w:val="006548E4"/>
    <w:rsid w:val="00654AC8"/>
    <w:rsid w:val="0065566E"/>
    <w:rsid w:val="00655999"/>
    <w:rsid w:val="00655AB6"/>
    <w:rsid w:val="00655C67"/>
    <w:rsid w:val="00655E2B"/>
    <w:rsid w:val="00655EFA"/>
    <w:rsid w:val="00656061"/>
    <w:rsid w:val="00656281"/>
    <w:rsid w:val="0065636A"/>
    <w:rsid w:val="00656BFC"/>
    <w:rsid w:val="00657003"/>
    <w:rsid w:val="00657428"/>
    <w:rsid w:val="00657CE2"/>
    <w:rsid w:val="00660238"/>
    <w:rsid w:val="006602EF"/>
    <w:rsid w:val="00661277"/>
    <w:rsid w:val="006619E0"/>
    <w:rsid w:val="00663FEA"/>
    <w:rsid w:val="00664803"/>
    <w:rsid w:val="00664934"/>
    <w:rsid w:val="00664D53"/>
    <w:rsid w:val="00664EB7"/>
    <w:rsid w:val="006657C5"/>
    <w:rsid w:val="00665874"/>
    <w:rsid w:val="00665D75"/>
    <w:rsid w:val="00666186"/>
    <w:rsid w:val="006661A4"/>
    <w:rsid w:val="00666433"/>
    <w:rsid w:val="00666AC0"/>
    <w:rsid w:val="006670E0"/>
    <w:rsid w:val="006671B8"/>
    <w:rsid w:val="00667275"/>
    <w:rsid w:val="00667532"/>
    <w:rsid w:val="0066783E"/>
    <w:rsid w:val="00667E53"/>
    <w:rsid w:val="006704DF"/>
    <w:rsid w:val="00670A64"/>
    <w:rsid w:val="00670D03"/>
    <w:rsid w:val="006711C4"/>
    <w:rsid w:val="006713AB"/>
    <w:rsid w:val="00672680"/>
    <w:rsid w:val="00672A3A"/>
    <w:rsid w:val="00672CA5"/>
    <w:rsid w:val="00673711"/>
    <w:rsid w:val="00673CDA"/>
    <w:rsid w:val="00673F82"/>
    <w:rsid w:val="00674F74"/>
    <w:rsid w:val="0067508F"/>
    <w:rsid w:val="006752B2"/>
    <w:rsid w:val="00676B25"/>
    <w:rsid w:val="00676B3E"/>
    <w:rsid w:val="0067704E"/>
    <w:rsid w:val="00677576"/>
    <w:rsid w:val="0068051E"/>
    <w:rsid w:val="00680B9D"/>
    <w:rsid w:val="00680DF1"/>
    <w:rsid w:val="00681F13"/>
    <w:rsid w:val="0068231C"/>
    <w:rsid w:val="00682344"/>
    <w:rsid w:val="00682C87"/>
    <w:rsid w:val="00682F28"/>
    <w:rsid w:val="006834F9"/>
    <w:rsid w:val="00683515"/>
    <w:rsid w:val="00683AB2"/>
    <w:rsid w:val="00684842"/>
    <w:rsid w:val="006856CA"/>
    <w:rsid w:val="00685789"/>
    <w:rsid w:val="006859AA"/>
    <w:rsid w:val="00685BD6"/>
    <w:rsid w:val="00686A20"/>
    <w:rsid w:val="00687116"/>
    <w:rsid w:val="006872D2"/>
    <w:rsid w:val="006878A6"/>
    <w:rsid w:val="00687D5F"/>
    <w:rsid w:val="00687F2E"/>
    <w:rsid w:val="00690437"/>
    <w:rsid w:val="00690623"/>
    <w:rsid w:val="00690DC3"/>
    <w:rsid w:val="00690E65"/>
    <w:rsid w:val="006911B7"/>
    <w:rsid w:val="00691387"/>
    <w:rsid w:val="006915C2"/>
    <w:rsid w:val="0069188E"/>
    <w:rsid w:val="00691974"/>
    <w:rsid w:val="00692584"/>
    <w:rsid w:val="00692BF6"/>
    <w:rsid w:val="00692C92"/>
    <w:rsid w:val="00692CA6"/>
    <w:rsid w:val="00692CE6"/>
    <w:rsid w:val="00693186"/>
    <w:rsid w:val="00693381"/>
    <w:rsid w:val="006936E4"/>
    <w:rsid w:val="00693B6C"/>
    <w:rsid w:val="006942AE"/>
    <w:rsid w:val="0069464B"/>
    <w:rsid w:val="006947A1"/>
    <w:rsid w:val="00695421"/>
    <w:rsid w:val="00696A9C"/>
    <w:rsid w:val="006970BF"/>
    <w:rsid w:val="00697BD3"/>
    <w:rsid w:val="00697DFA"/>
    <w:rsid w:val="006A12BA"/>
    <w:rsid w:val="006A16D5"/>
    <w:rsid w:val="006A1772"/>
    <w:rsid w:val="006A1780"/>
    <w:rsid w:val="006A1851"/>
    <w:rsid w:val="006A21DD"/>
    <w:rsid w:val="006A234F"/>
    <w:rsid w:val="006A26C6"/>
    <w:rsid w:val="006A2DCC"/>
    <w:rsid w:val="006A3302"/>
    <w:rsid w:val="006A34AF"/>
    <w:rsid w:val="006A38DA"/>
    <w:rsid w:val="006A3B28"/>
    <w:rsid w:val="006A47DC"/>
    <w:rsid w:val="006A4A4B"/>
    <w:rsid w:val="006A4FEE"/>
    <w:rsid w:val="006A5522"/>
    <w:rsid w:val="006A5549"/>
    <w:rsid w:val="006A59CC"/>
    <w:rsid w:val="006A6182"/>
    <w:rsid w:val="006A6574"/>
    <w:rsid w:val="006A703E"/>
    <w:rsid w:val="006A7BE3"/>
    <w:rsid w:val="006A7D32"/>
    <w:rsid w:val="006A7E1A"/>
    <w:rsid w:val="006B01D1"/>
    <w:rsid w:val="006B0C04"/>
    <w:rsid w:val="006B0DF4"/>
    <w:rsid w:val="006B1214"/>
    <w:rsid w:val="006B16EA"/>
    <w:rsid w:val="006B1780"/>
    <w:rsid w:val="006B1B60"/>
    <w:rsid w:val="006B1C80"/>
    <w:rsid w:val="006B21DC"/>
    <w:rsid w:val="006B224E"/>
    <w:rsid w:val="006B2349"/>
    <w:rsid w:val="006B25FA"/>
    <w:rsid w:val="006B2943"/>
    <w:rsid w:val="006B2C00"/>
    <w:rsid w:val="006B351F"/>
    <w:rsid w:val="006B376E"/>
    <w:rsid w:val="006B4128"/>
    <w:rsid w:val="006B4589"/>
    <w:rsid w:val="006B4CFA"/>
    <w:rsid w:val="006B5157"/>
    <w:rsid w:val="006B5E49"/>
    <w:rsid w:val="006B610E"/>
    <w:rsid w:val="006B6805"/>
    <w:rsid w:val="006B6C07"/>
    <w:rsid w:val="006B6DE0"/>
    <w:rsid w:val="006B723D"/>
    <w:rsid w:val="006B7DEE"/>
    <w:rsid w:val="006C1337"/>
    <w:rsid w:val="006C16C3"/>
    <w:rsid w:val="006C1FA6"/>
    <w:rsid w:val="006C2187"/>
    <w:rsid w:val="006C2588"/>
    <w:rsid w:val="006C27D9"/>
    <w:rsid w:val="006C32F4"/>
    <w:rsid w:val="006C3C54"/>
    <w:rsid w:val="006C3CA5"/>
    <w:rsid w:val="006C3CAA"/>
    <w:rsid w:val="006C4B6B"/>
    <w:rsid w:val="006C4CE1"/>
    <w:rsid w:val="006C4F9F"/>
    <w:rsid w:val="006C54B1"/>
    <w:rsid w:val="006C71A2"/>
    <w:rsid w:val="006C73EC"/>
    <w:rsid w:val="006D0997"/>
    <w:rsid w:val="006D0C1D"/>
    <w:rsid w:val="006D1BB1"/>
    <w:rsid w:val="006D2519"/>
    <w:rsid w:val="006D28F3"/>
    <w:rsid w:val="006D2E9D"/>
    <w:rsid w:val="006D31F0"/>
    <w:rsid w:val="006D3B48"/>
    <w:rsid w:val="006D4305"/>
    <w:rsid w:val="006D4A4E"/>
    <w:rsid w:val="006D4C42"/>
    <w:rsid w:val="006D4CF3"/>
    <w:rsid w:val="006D5067"/>
    <w:rsid w:val="006D5389"/>
    <w:rsid w:val="006D53A2"/>
    <w:rsid w:val="006D5809"/>
    <w:rsid w:val="006D607E"/>
    <w:rsid w:val="006D6E12"/>
    <w:rsid w:val="006D70CB"/>
    <w:rsid w:val="006D715C"/>
    <w:rsid w:val="006D7363"/>
    <w:rsid w:val="006D774E"/>
    <w:rsid w:val="006D7F08"/>
    <w:rsid w:val="006E0754"/>
    <w:rsid w:val="006E1481"/>
    <w:rsid w:val="006E19A4"/>
    <w:rsid w:val="006E1D1D"/>
    <w:rsid w:val="006E2668"/>
    <w:rsid w:val="006E2C88"/>
    <w:rsid w:val="006E2D39"/>
    <w:rsid w:val="006E2FE9"/>
    <w:rsid w:val="006E30A2"/>
    <w:rsid w:val="006E32B0"/>
    <w:rsid w:val="006E348E"/>
    <w:rsid w:val="006E396A"/>
    <w:rsid w:val="006E3D63"/>
    <w:rsid w:val="006E445C"/>
    <w:rsid w:val="006E4632"/>
    <w:rsid w:val="006E4998"/>
    <w:rsid w:val="006E4B31"/>
    <w:rsid w:val="006E58BF"/>
    <w:rsid w:val="006E5CE6"/>
    <w:rsid w:val="006E5DD8"/>
    <w:rsid w:val="006E5EA1"/>
    <w:rsid w:val="006E6BE5"/>
    <w:rsid w:val="006E6DEE"/>
    <w:rsid w:val="006E6F44"/>
    <w:rsid w:val="006E7D4B"/>
    <w:rsid w:val="006E7F32"/>
    <w:rsid w:val="006F018A"/>
    <w:rsid w:val="006F0760"/>
    <w:rsid w:val="006F0D30"/>
    <w:rsid w:val="006F11E2"/>
    <w:rsid w:val="006F1A50"/>
    <w:rsid w:val="006F1A67"/>
    <w:rsid w:val="006F2574"/>
    <w:rsid w:val="006F292D"/>
    <w:rsid w:val="006F3231"/>
    <w:rsid w:val="006F3DE3"/>
    <w:rsid w:val="006F4787"/>
    <w:rsid w:val="006F4B8F"/>
    <w:rsid w:val="006F57E6"/>
    <w:rsid w:val="006F5E2E"/>
    <w:rsid w:val="006F61D8"/>
    <w:rsid w:val="006F62B7"/>
    <w:rsid w:val="006F63E7"/>
    <w:rsid w:val="006F70BC"/>
    <w:rsid w:val="006F726C"/>
    <w:rsid w:val="006F7A22"/>
    <w:rsid w:val="006F7E7C"/>
    <w:rsid w:val="006F7F66"/>
    <w:rsid w:val="006F7FEA"/>
    <w:rsid w:val="00700C5B"/>
    <w:rsid w:val="00701329"/>
    <w:rsid w:val="0070174E"/>
    <w:rsid w:val="007018DB"/>
    <w:rsid w:val="00701DE6"/>
    <w:rsid w:val="00702740"/>
    <w:rsid w:val="007028E3"/>
    <w:rsid w:val="00703407"/>
    <w:rsid w:val="0070381B"/>
    <w:rsid w:val="00703F81"/>
    <w:rsid w:val="007041BC"/>
    <w:rsid w:val="00704CC8"/>
    <w:rsid w:val="00706759"/>
    <w:rsid w:val="0070796C"/>
    <w:rsid w:val="007109BB"/>
    <w:rsid w:val="00710B2D"/>
    <w:rsid w:val="00710EBF"/>
    <w:rsid w:val="007110B8"/>
    <w:rsid w:val="00711A7A"/>
    <w:rsid w:val="00711CD1"/>
    <w:rsid w:val="0071209F"/>
    <w:rsid w:val="007123F0"/>
    <w:rsid w:val="007125A2"/>
    <w:rsid w:val="007126FC"/>
    <w:rsid w:val="00712A68"/>
    <w:rsid w:val="00713DD9"/>
    <w:rsid w:val="00713F79"/>
    <w:rsid w:val="0071477B"/>
    <w:rsid w:val="007148A8"/>
    <w:rsid w:val="00714A29"/>
    <w:rsid w:val="007153E7"/>
    <w:rsid w:val="00715C70"/>
    <w:rsid w:val="00715E44"/>
    <w:rsid w:val="007164B0"/>
    <w:rsid w:val="00716AC8"/>
    <w:rsid w:val="00716E54"/>
    <w:rsid w:val="00717280"/>
    <w:rsid w:val="007202D2"/>
    <w:rsid w:val="0072033C"/>
    <w:rsid w:val="00720AC7"/>
    <w:rsid w:val="00720B1B"/>
    <w:rsid w:val="00720C76"/>
    <w:rsid w:val="00721062"/>
    <w:rsid w:val="00721366"/>
    <w:rsid w:val="00721454"/>
    <w:rsid w:val="00721D3D"/>
    <w:rsid w:val="00721E5D"/>
    <w:rsid w:val="007229D4"/>
    <w:rsid w:val="00722C42"/>
    <w:rsid w:val="00722E35"/>
    <w:rsid w:val="007230F8"/>
    <w:rsid w:val="007233F4"/>
    <w:rsid w:val="007235E3"/>
    <w:rsid w:val="0072381D"/>
    <w:rsid w:val="00724044"/>
    <w:rsid w:val="007240DB"/>
    <w:rsid w:val="00724120"/>
    <w:rsid w:val="007243F2"/>
    <w:rsid w:val="007248D3"/>
    <w:rsid w:val="00724B75"/>
    <w:rsid w:val="00724DF8"/>
    <w:rsid w:val="00725137"/>
    <w:rsid w:val="00725378"/>
    <w:rsid w:val="00725C31"/>
    <w:rsid w:val="00727795"/>
    <w:rsid w:val="00727A43"/>
    <w:rsid w:val="00727DBF"/>
    <w:rsid w:val="00727FF2"/>
    <w:rsid w:val="00727FFD"/>
    <w:rsid w:val="00730550"/>
    <w:rsid w:val="00730C2A"/>
    <w:rsid w:val="00730DF1"/>
    <w:rsid w:val="00731125"/>
    <w:rsid w:val="00731434"/>
    <w:rsid w:val="0073165D"/>
    <w:rsid w:val="00731E59"/>
    <w:rsid w:val="007323E0"/>
    <w:rsid w:val="00732911"/>
    <w:rsid w:val="00733721"/>
    <w:rsid w:val="00733965"/>
    <w:rsid w:val="00733DE2"/>
    <w:rsid w:val="00734142"/>
    <w:rsid w:val="00734358"/>
    <w:rsid w:val="007352AB"/>
    <w:rsid w:val="007352EA"/>
    <w:rsid w:val="007362CC"/>
    <w:rsid w:val="0073792F"/>
    <w:rsid w:val="00737CB3"/>
    <w:rsid w:val="00740C81"/>
    <w:rsid w:val="00740DA6"/>
    <w:rsid w:val="0074197B"/>
    <w:rsid w:val="00741B4B"/>
    <w:rsid w:val="00741D1E"/>
    <w:rsid w:val="00741DD6"/>
    <w:rsid w:val="00741EE2"/>
    <w:rsid w:val="0074207F"/>
    <w:rsid w:val="00742118"/>
    <w:rsid w:val="00742367"/>
    <w:rsid w:val="00742CBD"/>
    <w:rsid w:val="00742EAA"/>
    <w:rsid w:val="00743360"/>
    <w:rsid w:val="00743818"/>
    <w:rsid w:val="00743857"/>
    <w:rsid w:val="0074411D"/>
    <w:rsid w:val="007441FB"/>
    <w:rsid w:val="007444D7"/>
    <w:rsid w:val="00744517"/>
    <w:rsid w:val="0074522A"/>
    <w:rsid w:val="00745D90"/>
    <w:rsid w:val="007465D3"/>
    <w:rsid w:val="00746AED"/>
    <w:rsid w:val="00747295"/>
    <w:rsid w:val="00747346"/>
    <w:rsid w:val="00747829"/>
    <w:rsid w:val="0074789C"/>
    <w:rsid w:val="00747D46"/>
    <w:rsid w:val="00747DE2"/>
    <w:rsid w:val="00747E6D"/>
    <w:rsid w:val="007502D0"/>
    <w:rsid w:val="007504BF"/>
    <w:rsid w:val="007506CD"/>
    <w:rsid w:val="0075267F"/>
    <w:rsid w:val="007526EC"/>
    <w:rsid w:val="00753B8A"/>
    <w:rsid w:val="00753C48"/>
    <w:rsid w:val="00754250"/>
    <w:rsid w:val="00754FE4"/>
    <w:rsid w:val="00755216"/>
    <w:rsid w:val="00756236"/>
    <w:rsid w:val="00756271"/>
    <w:rsid w:val="00756348"/>
    <w:rsid w:val="00756521"/>
    <w:rsid w:val="00756AB7"/>
    <w:rsid w:val="00757975"/>
    <w:rsid w:val="00760B3A"/>
    <w:rsid w:val="0076106D"/>
    <w:rsid w:val="007610DA"/>
    <w:rsid w:val="007623FB"/>
    <w:rsid w:val="00762517"/>
    <w:rsid w:val="00763191"/>
    <w:rsid w:val="00763240"/>
    <w:rsid w:val="0076376A"/>
    <w:rsid w:val="0076413A"/>
    <w:rsid w:val="007643A1"/>
    <w:rsid w:val="007648AD"/>
    <w:rsid w:val="0076504E"/>
    <w:rsid w:val="00765E8F"/>
    <w:rsid w:val="007660C0"/>
    <w:rsid w:val="0076767E"/>
    <w:rsid w:val="00767BFD"/>
    <w:rsid w:val="00767EA0"/>
    <w:rsid w:val="0077068F"/>
    <w:rsid w:val="00771C16"/>
    <w:rsid w:val="00771CB0"/>
    <w:rsid w:val="00771EDF"/>
    <w:rsid w:val="00772530"/>
    <w:rsid w:val="00772A90"/>
    <w:rsid w:val="00772F8D"/>
    <w:rsid w:val="0077408D"/>
    <w:rsid w:val="00774270"/>
    <w:rsid w:val="007743F6"/>
    <w:rsid w:val="00775679"/>
    <w:rsid w:val="0077574F"/>
    <w:rsid w:val="00775823"/>
    <w:rsid w:val="00775AB0"/>
    <w:rsid w:val="00775B63"/>
    <w:rsid w:val="00776206"/>
    <w:rsid w:val="00777153"/>
    <w:rsid w:val="007777CC"/>
    <w:rsid w:val="00777B32"/>
    <w:rsid w:val="0078010C"/>
    <w:rsid w:val="00780250"/>
    <w:rsid w:val="0078051E"/>
    <w:rsid w:val="00780A3E"/>
    <w:rsid w:val="00781089"/>
    <w:rsid w:val="007814DD"/>
    <w:rsid w:val="00781AC3"/>
    <w:rsid w:val="00781CB6"/>
    <w:rsid w:val="00782715"/>
    <w:rsid w:val="007838F3"/>
    <w:rsid w:val="0078419B"/>
    <w:rsid w:val="007853D6"/>
    <w:rsid w:val="00785612"/>
    <w:rsid w:val="007856FE"/>
    <w:rsid w:val="007857A0"/>
    <w:rsid w:val="00785A15"/>
    <w:rsid w:val="00785F46"/>
    <w:rsid w:val="007865F4"/>
    <w:rsid w:val="00786D5C"/>
    <w:rsid w:val="00786E96"/>
    <w:rsid w:val="00787BB6"/>
    <w:rsid w:val="00787DFF"/>
    <w:rsid w:val="00787F17"/>
    <w:rsid w:val="00787F93"/>
    <w:rsid w:val="00791E6D"/>
    <w:rsid w:val="00791EB5"/>
    <w:rsid w:val="00792377"/>
    <w:rsid w:val="0079343F"/>
    <w:rsid w:val="00793696"/>
    <w:rsid w:val="00793B8C"/>
    <w:rsid w:val="00793F13"/>
    <w:rsid w:val="007955DA"/>
    <w:rsid w:val="0079676B"/>
    <w:rsid w:val="00796A49"/>
    <w:rsid w:val="00796F65"/>
    <w:rsid w:val="00797813"/>
    <w:rsid w:val="007A11C2"/>
    <w:rsid w:val="007A1781"/>
    <w:rsid w:val="007A18BB"/>
    <w:rsid w:val="007A2489"/>
    <w:rsid w:val="007A27DD"/>
    <w:rsid w:val="007A2D2A"/>
    <w:rsid w:val="007A3C3F"/>
    <w:rsid w:val="007A41BF"/>
    <w:rsid w:val="007A490A"/>
    <w:rsid w:val="007A4F24"/>
    <w:rsid w:val="007A549E"/>
    <w:rsid w:val="007A54DC"/>
    <w:rsid w:val="007A5D50"/>
    <w:rsid w:val="007A6811"/>
    <w:rsid w:val="007A7289"/>
    <w:rsid w:val="007A7A78"/>
    <w:rsid w:val="007A7B95"/>
    <w:rsid w:val="007B0297"/>
    <w:rsid w:val="007B02FA"/>
    <w:rsid w:val="007B0F53"/>
    <w:rsid w:val="007B110A"/>
    <w:rsid w:val="007B1A4D"/>
    <w:rsid w:val="007B2027"/>
    <w:rsid w:val="007B21AE"/>
    <w:rsid w:val="007B2570"/>
    <w:rsid w:val="007B3113"/>
    <w:rsid w:val="007B3304"/>
    <w:rsid w:val="007B3BF0"/>
    <w:rsid w:val="007B6927"/>
    <w:rsid w:val="007B6B18"/>
    <w:rsid w:val="007B6D80"/>
    <w:rsid w:val="007B7490"/>
    <w:rsid w:val="007B7C17"/>
    <w:rsid w:val="007B7C61"/>
    <w:rsid w:val="007C00B9"/>
    <w:rsid w:val="007C0525"/>
    <w:rsid w:val="007C06DB"/>
    <w:rsid w:val="007C13F7"/>
    <w:rsid w:val="007C1D77"/>
    <w:rsid w:val="007C218D"/>
    <w:rsid w:val="007C2590"/>
    <w:rsid w:val="007C2C5B"/>
    <w:rsid w:val="007C2D28"/>
    <w:rsid w:val="007C3875"/>
    <w:rsid w:val="007C3E22"/>
    <w:rsid w:val="007C4DAF"/>
    <w:rsid w:val="007C58C1"/>
    <w:rsid w:val="007C5B39"/>
    <w:rsid w:val="007C6218"/>
    <w:rsid w:val="007C6484"/>
    <w:rsid w:val="007C67C6"/>
    <w:rsid w:val="007C7356"/>
    <w:rsid w:val="007C78BE"/>
    <w:rsid w:val="007C7A5D"/>
    <w:rsid w:val="007C7E59"/>
    <w:rsid w:val="007D0363"/>
    <w:rsid w:val="007D0476"/>
    <w:rsid w:val="007D0B91"/>
    <w:rsid w:val="007D0F24"/>
    <w:rsid w:val="007D0FE7"/>
    <w:rsid w:val="007D1197"/>
    <w:rsid w:val="007D1452"/>
    <w:rsid w:val="007D1563"/>
    <w:rsid w:val="007D1FC6"/>
    <w:rsid w:val="007D2367"/>
    <w:rsid w:val="007D26DC"/>
    <w:rsid w:val="007D2BFE"/>
    <w:rsid w:val="007D3983"/>
    <w:rsid w:val="007D3DCB"/>
    <w:rsid w:val="007D4601"/>
    <w:rsid w:val="007D460C"/>
    <w:rsid w:val="007D4996"/>
    <w:rsid w:val="007D4AD3"/>
    <w:rsid w:val="007D4E63"/>
    <w:rsid w:val="007D5C58"/>
    <w:rsid w:val="007D5D19"/>
    <w:rsid w:val="007D5FDC"/>
    <w:rsid w:val="007D6176"/>
    <w:rsid w:val="007D641C"/>
    <w:rsid w:val="007D69CD"/>
    <w:rsid w:val="007D6D68"/>
    <w:rsid w:val="007D715E"/>
    <w:rsid w:val="007D7A0D"/>
    <w:rsid w:val="007E03B4"/>
    <w:rsid w:val="007E066C"/>
    <w:rsid w:val="007E194F"/>
    <w:rsid w:val="007E201B"/>
    <w:rsid w:val="007E250B"/>
    <w:rsid w:val="007E2724"/>
    <w:rsid w:val="007E2EE9"/>
    <w:rsid w:val="007E32DA"/>
    <w:rsid w:val="007E3B12"/>
    <w:rsid w:val="007E3B29"/>
    <w:rsid w:val="007E3B6D"/>
    <w:rsid w:val="007E4998"/>
    <w:rsid w:val="007E4A9C"/>
    <w:rsid w:val="007E4B9D"/>
    <w:rsid w:val="007E5248"/>
    <w:rsid w:val="007E5C4F"/>
    <w:rsid w:val="007E6914"/>
    <w:rsid w:val="007E70FD"/>
    <w:rsid w:val="007E7F78"/>
    <w:rsid w:val="007F0179"/>
    <w:rsid w:val="007F0FF8"/>
    <w:rsid w:val="007F148A"/>
    <w:rsid w:val="007F159F"/>
    <w:rsid w:val="007F2640"/>
    <w:rsid w:val="007F2C13"/>
    <w:rsid w:val="007F2CEC"/>
    <w:rsid w:val="007F2ED1"/>
    <w:rsid w:val="007F3435"/>
    <w:rsid w:val="007F4D57"/>
    <w:rsid w:val="007F503A"/>
    <w:rsid w:val="007F505D"/>
    <w:rsid w:val="007F531B"/>
    <w:rsid w:val="007F54CF"/>
    <w:rsid w:val="007F55DE"/>
    <w:rsid w:val="007F5BAC"/>
    <w:rsid w:val="007F6153"/>
    <w:rsid w:val="007F6ACC"/>
    <w:rsid w:val="007F718F"/>
    <w:rsid w:val="007F762D"/>
    <w:rsid w:val="007F78B8"/>
    <w:rsid w:val="007F78F0"/>
    <w:rsid w:val="007F78FF"/>
    <w:rsid w:val="008001C5"/>
    <w:rsid w:val="00800F6C"/>
    <w:rsid w:val="00801065"/>
    <w:rsid w:val="0080148E"/>
    <w:rsid w:val="008015A1"/>
    <w:rsid w:val="008024CA"/>
    <w:rsid w:val="00802C0B"/>
    <w:rsid w:val="00802D83"/>
    <w:rsid w:val="0080319D"/>
    <w:rsid w:val="00803ADF"/>
    <w:rsid w:val="00803DF1"/>
    <w:rsid w:val="00804206"/>
    <w:rsid w:val="0080425E"/>
    <w:rsid w:val="00805040"/>
    <w:rsid w:val="008051FC"/>
    <w:rsid w:val="008055A9"/>
    <w:rsid w:val="008056C4"/>
    <w:rsid w:val="008057FD"/>
    <w:rsid w:val="00805D8B"/>
    <w:rsid w:val="00806C33"/>
    <w:rsid w:val="00806F21"/>
    <w:rsid w:val="00807BF7"/>
    <w:rsid w:val="0081010F"/>
    <w:rsid w:val="008109E0"/>
    <w:rsid w:val="00810BB6"/>
    <w:rsid w:val="00810E8E"/>
    <w:rsid w:val="00811A50"/>
    <w:rsid w:val="00812C44"/>
    <w:rsid w:val="008135E1"/>
    <w:rsid w:val="00813779"/>
    <w:rsid w:val="00813792"/>
    <w:rsid w:val="00813AA2"/>
    <w:rsid w:val="00813E26"/>
    <w:rsid w:val="00813EAD"/>
    <w:rsid w:val="00814321"/>
    <w:rsid w:val="0081481D"/>
    <w:rsid w:val="00814B60"/>
    <w:rsid w:val="00814BE8"/>
    <w:rsid w:val="00814D94"/>
    <w:rsid w:val="00814F6E"/>
    <w:rsid w:val="00815B84"/>
    <w:rsid w:val="00816342"/>
    <w:rsid w:val="008166F6"/>
    <w:rsid w:val="00816897"/>
    <w:rsid w:val="00816BE9"/>
    <w:rsid w:val="00817A39"/>
    <w:rsid w:val="00817D10"/>
    <w:rsid w:val="00821191"/>
    <w:rsid w:val="00822518"/>
    <w:rsid w:val="008225D3"/>
    <w:rsid w:val="008226F5"/>
    <w:rsid w:val="00823FAA"/>
    <w:rsid w:val="00823FC6"/>
    <w:rsid w:val="00824306"/>
    <w:rsid w:val="00824B1F"/>
    <w:rsid w:val="00825C74"/>
    <w:rsid w:val="00825CFA"/>
    <w:rsid w:val="00825F10"/>
    <w:rsid w:val="00826AB9"/>
    <w:rsid w:val="00826E0E"/>
    <w:rsid w:val="00826EB7"/>
    <w:rsid w:val="00827D11"/>
    <w:rsid w:val="00827E0F"/>
    <w:rsid w:val="00827F6E"/>
    <w:rsid w:val="0083077E"/>
    <w:rsid w:val="00830E66"/>
    <w:rsid w:val="00831758"/>
    <w:rsid w:val="008317D9"/>
    <w:rsid w:val="00831AEC"/>
    <w:rsid w:val="0083279F"/>
    <w:rsid w:val="00832CE9"/>
    <w:rsid w:val="008334DB"/>
    <w:rsid w:val="00833B7F"/>
    <w:rsid w:val="00833B82"/>
    <w:rsid w:val="00833D2C"/>
    <w:rsid w:val="00833E8E"/>
    <w:rsid w:val="0083407B"/>
    <w:rsid w:val="00834906"/>
    <w:rsid w:val="00835202"/>
    <w:rsid w:val="00836075"/>
    <w:rsid w:val="00836417"/>
    <w:rsid w:val="00836BC6"/>
    <w:rsid w:val="00836D47"/>
    <w:rsid w:val="008373B7"/>
    <w:rsid w:val="00837526"/>
    <w:rsid w:val="00837BB1"/>
    <w:rsid w:val="008407A7"/>
    <w:rsid w:val="00842275"/>
    <w:rsid w:val="0084322B"/>
    <w:rsid w:val="008433A0"/>
    <w:rsid w:val="00843F81"/>
    <w:rsid w:val="00844087"/>
    <w:rsid w:val="008448F1"/>
    <w:rsid w:val="00844A56"/>
    <w:rsid w:val="0084519E"/>
    <w:rsid w:val="00845CAE"/>
    <w:rsid w:val="008462C5"/>
    <w:rsid w:val="008462FA"/>
    <w:rsid w:val="00846370"/>
    <w:rsid w:val="00846873"/>
    <w:rsid w:val="00846D33"/>
    <w:rsid w:val="00847366"/>
    <w:rsid w:val="008474A6"/>
    <w:rsid w:val="00847544"/>
    <w:rsid w:val="008477E7"/>
    <w:rsid w:val="00847C2B"/>
    <w:rsid w:val="00850272"/>
    <w:rsid w:val="008506B9"/>
    <w:rsid w:val="0085086F"/>
    <w:rsid w:val="00850B42"/>
    <w:rsid w:val="00851822"/>
    <w:rsid w:val="00851C16"/>
    <w:rsid w:val="00851E20"/>
    <w:rsid w:val="00852744"/>
    <w:rsid w:val="008532BF"/>
    <w:rsid w:val="008539B2"/>
    <w:rsid w:val="00853BF4"/>
    <w:rsid w:val="00853F94"/>
    <w:rsid w:val="00854294"/>
    <w:rsid w:val="00854295"/>
    <w:rsid w:val="008545CE"/>
    <w:rsid w:val="0085572E"/>
    <w:rsid w:val="008577C8"/>
    <w:rsid w:val="0085788B"/>
    <w:rsid w:val="00857A9E"/>
    <w:rsid w:val="00857D1F"/>
    <w:rsid w:val="00857DE2"/>
    <w:rsid w:val="00857EEE"/>
    <w:rsid w:val="00857F1A"/>
    <w:rsid w:val="0086003D"/>
    <w:rsid w:val="00861D63"/>
    <w:rsid w:val="0086358C"/>
    <w:rsid w:val="00863A8E"/>
    <w:rsid w:val="0086407F"/>
    <w:rsid w:val="008640BE"/>
    <w:rsid w:val="008644DD"/>
    <w:rsid w:val="008645E3"/>
    <w:rsid w:val="0086486A"/>
    <w:rsid w:val="00864E79"/>
    <w:rsid w:val="00864EC0"/>
    <w:rsid w:val="0086542D"/>
    <w:rsid w:val="0086572B"/>
    <w:rsid w:val="008665BF"/>
    <w:rsid w:val="00866615"/>
    <w:rsid w:val="0086661F"/>
    <w:rsid w:val="00866A0D"/>
    <w:rsid w:val="00866DB5"/>
    <w:rsid w:val="0086701D"/>
    <w:rsid w:val="0086702B"/>
    <w:rsid w:val="008672E2"/>
    <w:rsid w:val="0086784E"/>
    <w:rsid w:val="0087110C"/>
    <w:rsid w:val="0087121C"/>
    <w:rsid w:val="00871225"/>
    <w:rsid w:val="00871EB0"/>
    <w:rsid w:val="00871FD2"/>
    <w:rsid w:val="00872084"/>
    <w:rsid w:val="00872827"/>
    <w:rsid w:val="00872A32"/>
    <w:rsid w:val="0087321D"/>
    <w:rsid w:val="00873653"/>
    <w:rsid w:val="00873D25"/>
    <w:rsid w:val="00873E90"/>
    <w:rsid w:val="00874911"/>
    <w:rsid w:val="008754E4"/>
    <w:rsid w:val="00876EAE"/>
    <w:rsid w:val="00877305"/>
    <w:rsid w:val="0087778B"/>
    <w:rsid w:val="00877983"/>
    <w:rsid w:val="00877A02"/>
    <w:rsid w:val="00880106"/>
    <w:rsid w:val="00880F95"/>
    <w:rsid w:val="00881EE2"/>
    <w:rsid w:val="00882910"/>
    <w:rsid w:val="00882B44"/>
    <w:rsid w:val="008838AD"/>
    <w:rsid w:val="008841D3"/>
    <w:rsid w:val="008847DB"/>
    <w:rsid w:val="00884940"/>
    <w:rsid w:val="00885381"/>
    <w:rsid w:val="0088572B"/>
    <w:rsid w:val="00885BC9"/>
    <w:rsid w:val="008864B3"/>
    <w:rsid w:val="008865E5"/>
    <w:rsid w:val="0088682F"/>
    <w:rsid w:val="008871B0"/>
    <w:rsid w:val="00887A0B"/>
    <w:rsid w:val="008905A6"/>
    <w:rsid w:val="00890B57"/>
    <w:rsid w:val="008916BA"/>
    <w:rsid w:val="0089217C"/>
    <w:rsid w:val="00892476"/>
    <w:rsid w:val="00892790"/>
    <w:rsid w:val="00893671"/>
    <w:rsid w:val="0089445B"/>
    <w:rsid w:val="008945B9"/>
    <w:rsid w:val="0089493F"/>
    <w:rsid w:val="00894979"/>
    <w:rsid w:val="00895838"/>
    <w:rsid w:val="00895A1E"/>
    <w:rsid w:val="00895A72"/>
    <w:rsid w:val="00895CDF"/>
    <w:rsid w:val="00895EE3"/>
    <w:rsid w:val="00896046"/>
    <w:rsid w:val="0089615A"/>
    <w:rsid w:val="00896679"/>
    <w:rsid w:val="00896D8C"/>
    <w:rsid w:val="00897184"/>
    <w:rsid w:val="008A0717"/>
    <w:rsid w:val="008A0FAC"/>
    <w:rsid w:val="008A0FC9"/>
    <w:rsid w:val="008A14C8"/>
    <w:rsid w:val="008A1956"/>
    <w:rsid w:val="008A1A7C"/>
    <w:rsid w:val="008A2CE2"/>
    <w:rsid w:val="008A3F0C"/>
    <w:rsid w:val="008A40D3"/>
    <w:rsid w:val="008A413F"/>
    <w:rsid w:val="008A451F"/>
    <w:rsid w:val="008A469C"/>
    <w:rsid w:val="008A50FB"/>
    <w:rsid w:val="008A51D1"/>
    <w:rsid w:val="008A5C90"/>
    <w:rsid w:val="008A5DCE"/>
    <w:rsid w:val="008A75D3"/>
    <w:rsid w:val="008A7F09"/>
    <w:rsid w:val="008B00D6"/>
    <w:rsid w:val="008B05DD"/>
    <w:rsid w:val="008B062C"/>
    <w:rsid w:val="008B07B8"/>
    <w:rsid w:val="008B17E8"/>
    <w:rsid w:val="008B1D32"/>
    <w:rsid w:val="008B2C45"/>
    <w:rsid w:val="008B2E7C"/>
    <w:rsid w:val="008B399A"/>
    <w:rsid w:val="008B3C16"/>
    <w:rsid w:val="008B45F0"/>
    <w:rsid w:val="008B4A70"/>
    <w:rsid w:val="008B502F"/>
    <w:rsid w:val="008B54FD"/>
    <w:rsid w:val="008B5692"/>
    <w:rsid w:val="008B5F31"/>
    <w:rsid w:val="008B6CE5"/>
    <w:rsid w:val="008B6DFC"/>
    <w:rsid w:val="008B7227"/>
    <w:rsid w:val="008C02FB"/>
    <w:rsid w:val="008C04E0"/>
    <w:rsid w:val="008C191C"/>
    <w:rsid w:val="008C1DA4"/>
    <w:rsid w:val="008C2138"/>
    <w:rsid w:val="008C2608"/>
    <w:rsid w:val="008C29B0"/>
    <w:rsid w:val="008C2CD5"/>
    <w:rsid w:val="008C33AE"/>
    <w:rsid w:val="008C3618"/>
    <w:rsid w:val="008C39E7"/>
    <w:rsid w:val="008C43AD"/>
    <w:rsid w:val="008C49A3"/>
    <w:rsid w:val="008C4C1E"/>
    <w:rsid w:val="008C5A63"/>
    <w:rsid w:val="008C602A"/>
    <w:rsid w:val="008C6118"/>
    <w:rsid w:val="008C6341"/>
    <w:rsid w:val="008C653D"/>
    <w:rsid w:val="008C731F"/>
    <w:rsid w:val="008C74D9"/>
    <w:rsid w:val="008C7569"/>
    <w:rsid w:val="008C7726"/>
    <w:rsid w:val="008D06EC"/>
    <w:rsid w:val="008D2050"/>
    <w:rsid w:val="008D21DD"/>
    <w:rsid w:val="008D2D79"/>
    <w:rsid w:val="008D35CA"/>
    <w:rsid w:val="008D3B2D"/>
    <w:rsid w:val="008D5433"/>
    <w:rsid w:val="008D58D9"/>
    <w:rsid w:val="008D5AD4"/>
    <w:rsid w:val="008D5E4E"/>
    <w:rsid w:val="008D5E9D"/>
    <w:rsid w:val="008D5F65"/>
    <w:rsid w:val="008D62B3"/>
    <w:rsid w:val="008D695E"/>
    <w:rsid w:val="008D6DD5"/>
    <w:rsid w:val="008D6E59"/>
    <w:rsid w:val="008D7155"/>
    <w:rsid w:val="008D76E0"/>
    <w:rsid w:val="008E03A3"/>
    <w:rsid w:val="008E079C"/>
    <w:rsid w:val="008E0B29"/>
    <w:rsid w:val="008E141A"/>
    <w:rsid w:val="008E1810"/>
    <w:rsid w:val="008E1A44"/>
    <w:rsid w:val="008E1EED"/>
    <w:rsid w:val="008E26CA"/>
    <w:rsid w:val="008E2859"/>
    <w:rsid w:val="008E28E6"/>
    <w:rsid w:val="008E2C57"/>
    <w:rsid w:val="008E3232"/>
    <w:rsid w:val="008E3674"/>
    <w:rsid w:val="008E3B6C"/>
    <w:rsid w:val="008E3DE7"/>
    <w:rsid w:val="008E5227"/>
    <w:rsid w:val="008E562C"/>
    <w:rsid w:val="008E5FB9"/>
    <w:rsid w:val="008E611D"/>
    <w:rsid w:val="008E6540"/>
    <w:rsid w:val="008E6758"/>
    <w:rsid w:val="008E6A1C"/>
    <w:rsid w:val="008E6FBE"/>
    <w:rsid w:val="008E77D4"/>
    <w:rsid w:val="008E7ADD"/>
    <w:rsid w:val="008F091F"/>
    <w:rsid w:val="008F1548"/>
    <w:rsid w:val="008F17B2"/>
    <w:rsid w:val="008F22B3"/>
    <w:rsid w:val="008F241E"/>
    <w:rsid w:val="008F2F1F"/>
    <w:rsid w:val="008F312B"/>
    <w:rsid w:val="008F357B"/>
    <w:rsid w:val="008F366E"/>
    <w:rsid w:val="008F36DE"/>
    <w:rsid w:val="008F3B56"/>
    <w:rsid w:val="008F44CA"/>
    <w:rsid w:val="008F4547"/>
    <w:rsid w:val="008F4578"/>
    <w:rsid w:val="008F49D3"/>
    <w:rsid w:val="008F51D3"/>
    <w:rsid w:val="008F5B69"/>
    <w:rsid w:val="008F6519"/>
    <w:rsid w:val="008F68C5"/>
    <w:rsid w:val="008F694F"/>
    <w:rsid w:val="008F6AC1"/>
    <w:rsid w:val="008F6B67"/>
    <w:rsid w:val="008F6F4C"/>
    <w:rsid w:val="008F7012"/>
    <w:rsid w:val="008F7576"/>
    <w:rsid w:val="008F7ADA"/>
    <w:rsid w:val="008F7B17"/>
    <w:rsid w:val="00900042"/>
    <w:rsid w:val="0090034B"/>
    <w:rsid w:val="009005D7"/>
    <w:rsid w:val="0090087C"/>
    <w:rsid w:val="00900D2F"/>
    <w:rsid w:val="00901121"/>
    <w:rsid w:val="00901B50"/>
    <w:rsid w:val="00902623"/>
    <w:rsid w:val="009029CF"/>
    <w:rsid w:val="00902A67"/>
    <w:rsid w:val="00902C5E"/>
    <w:rsid w:val="009032F7"/>
    <w:rsid w:val="009035FA"/>
    <w:rsid w:val="00904BE4"/>
    <w:rsid w:val="0090504A"/>
    <w:rsid w:val="009051F5"/>
    <w:rsid w:val="00905221"/>
    <w:rsid w:val="0090530B"/>
    <w:rsid w:val="00905664"/>
    <w:rsid w:val="009058FC"/>
    <w:rsid w:val="00905A7C"/>
    <w:rsid w:val="00905D7E"/>
    <w:rsid w:val="00907037"/>
    <w:rsid w:val="00907259"/>
    <w:rsid w:val="00907929"/>
    <w:rsid w:val="00910577"/>
    <w:rsid w:val="00910C5D"/>
    <w:rsid w:val="0091112C"/>
    <w:rsid w:val="009113F2"/>
    <w:rsid w:val="0091160A"/>
    <w:rsid w:val="00911A41"/>
    <w:rsid w:val="00912A06"/>
    <w:rsid w:val="00912E04"/>
    <w:rsid w:val="00913258"/>
    <w:rsid w:val="00913851"/>
    <w:rsid w:val="00913BB0"/>
    <w:rsid w:val="0091456C"/>
    <w:rsid w:val="009145DE"/>
    <w:rsid w:val="00914C58"/>
    <w:rsid w:val="00914D78"/>
    <w:rsid w:val="009151FC"/>
    <w:rsid w:val="009153D3"/>
    <w:rsid w:val="0091564D"/>
    <w:rsid w:val="009156DA"/>
    <w:rsid w:val="00915774"/>
    <w:rsid w:val="00916BC5"/>
    <w:rsid w:val="0091726A"/>
    <w:rsid w:val="0091733B"/>
    <w:rsid w:val="00917571"/>
    <w:rsid w:val="00917C01"/>
    <w:rsid w:val="00920184"/>
    <w:rsid w:val="00920421"/>
    <w:rsid w:val="00920EA4"/>
    <w:rsid w:val="00921792"/>
    <w:rsid w:val="00921BEA"/>
    <w:rsid w:val="009223AF"/>
    <w:rsid w:val="009227BE"/>
    <w:rsid w:val="00922C83"/>
    <w:rsid w:val="009233CE"/>
    <w:rsid w:val="009238FD"/>
    <w:rsid w:val="00923998"/>
    <w:rsid w:val="00923DB4"/>
    <w:rsid w:val="0092420B"/>
    <w:rsid w:val="0092430E"/>
    <w:rsid w:val="00924451"/>
    <w:rsid w:val="00926112"/>
    <w:rsid w:val="0092625F"/>
    <w:rsid w:val="00926B28"/>
    <w:rsid w:val="00926D9C"/>
    <w:rsid w:val="00927028"/>
    <w:rsid w:val="0092708F"/>
    <w:rsid w:val="0092734A"/>
    <w:rsid w:val="00927763"/>
    <w:rsid w:val="00927A2D"/>
    <w:rsid w:val="00927B37"/>
    <w:rsid w:val="00930CC5"/>
    <w:rsid w:val="009314B1"/>
    <w:rsid w:val="009321B1"/>
    <w:rsid w:val="0093236E"/>
    <w:rsid w:val="009327F0"/>
    <w:rsid w:val="00932A42"/>
    <w:rsid w:val="00932ECE"/>
    <w:rsid w:val="00932ED7"/>
    <w:rsid w:val="00933278"/>
    <w:rsid w:val="00933E30"/>
    <w:rsid w:val="0093422D"/>
    <w:rsid w:val="0093483B"/>
    <w:rsid w:val="00934CF9"/>
    <w:rsid w:val="00934DD7"/>
    <w:rsid w:val="00934F9C"/>
    <w:rsid w:val="00934FEB"/>
    <w:rsid w:val="009357C9"/>
    <w:rsid w:val="00935CB2"/>
    <w:rsid w:val="00936898"/>
    <w:rsid w:val="009369A9"/>
    <w:rsid w:val="00936CF7"/>
    <w:rsid w:val="00937783"/>
    <w:rsid w:val="00937EAD"/>
    <w:rsid w:val="00937F28"/>
    <w:rsid w:val="009401F5"/>
    <w:rsid w:val="00940FE1"/>
    <w:rsid w:val="0094117A"/>
    <w:rsid w:val="00941474"/>
    <w:rsid w:val="00942306"/>
    <w:rsid w:val="009424B8"/>
    <w:rsid w:val="0094286B"/>
    <w:rsid w:val="009432E2"/>
    <w:rsid w:val="009440DD"/>
    <w:rsid w:val="00944668"/>
    <w:rsid w:val="00944DC6"/>
    <w:rsid w:val="00945829"/>
    <w:rsid w:val="009458B0"/>
    <w:rsid w:val="00945B52"/>
    <w:rsid w:val="00945B7A"/>
    <w:rsid w:val="00945F05"/>
    <w:rsid w:val="00945FE0"/>
    <w:rsid w:val="00946348"/>
    <w:rsid w:val="00946B10"/>
    <w:rsid w:val="0094708D"/>
    <w:rsid w:val="009471C2"/>
    <w:rsid w:val="00947224"/>
    <w:rsid w:val="00947797"/>
    <w:rsid w:val="009478A2"/>
    <w:rsid w:val="00947942"/>
    <w:rsid w:val="00950181"/>
    <w:rsid w:val="00950402"/>
    <w:rsid w:val="00950865"/>
    <w:rsid w:val="0095321D"/>
    <w:rsid w:val="009533BD"/>
    <w:rsid w:val="00953557"/>
    <w:rsid w:val="009536FB"/>
    <w:rsid w:val="00953808"/>
    <w:rsid w:val="009539A6"/>
    <w:rsid w:val="00953C3A"/>
    <w:rsid w:val="00954032"/>
    <w:rsid w:val="00954537"/>
    <w:rsid w:val="0095472D"/>
    <w:rsid w:val="00954F0F"/>
    <w:rsid w:val="00955342"/>
    <w:rsid w:val="00955D57"/>
    <w:rsid w:val="00955FBB"/>
    <w:rsid w:val="0095694B"/>
    <w:rsid w:val="00956BD5"/>
    <w:rsid w:val="00956D84"/>
    <w:rsid w:val="00956F1E"/>
    <w:rsid w:val="009577B5"/>
    <w:rsid w:val="00957D66"/>
    <w:rsid w:val="00960491"/>
    <w:rsid w:val="009608E6"/>
    <w:rsid w:val="00960F57"/>
    <w:rsid w:val="00961669"/>
    <w:rsid w:val="009618AF"/>
    <w:rsid w:val="00961C26"/>
    <w:rsid w:val="00961C90"/>
    <w:rsid w:val="00962A26"/>
    <w:rsid w:val="00965186"/>
    <w:rsid w:val="00965443"/>
    <w:rsid w:val="00965954"/>
    <w:rsid w:val="00965A21"/>
    <w:rsid w:val="00965C3A"/>
    <w:rsid w:val="00965E55"/>
    <w:rsid w:val="0096608E"/>
    <w:rsid w:val="00966522"/>
    <w:rsid w:val="00966926"/>
    <w:rsid w:val="00966C33"/>
    <w:rsid w:val="00967288"/>
    <w:rsid w:val="009678D3"/>
    <w:rsid w:val="00970F18"/>
    <w:rsid w:val="00971CF1"/>
    <w:rsid w:val="00971F5D"/>
    <w:rsid w:val="009721E9"/>
    <w:rsid w:val="009722B5"/>
    <w:rsid w:val="00972C2E"/>
    <w:rsid w:val="00973330"/>
    <w:rsid w:val="009733D3"/>
    <w:rsid w:val="00973772"/>
    <w:rsid w:val="00974240"/>
    <w:rsid w:val="00974610"/>
    <w:rsid w:val="00975499"/>
    <w:rsid w:val="0097560A"/>
    <w:rsid w:val="0097598F"/>
    <w:rsid w:val="00975E1E"/>
    <w:rsid w:val="00975E70"/>
    <w:rsid w:val="009761DE"/>
    <w:rsid w:val="009766D4"/>
    <w:rsid w:val="009766FA"/>
    <w:rsid w:val="00976E80"/>
    <w:rsid w:val="00977714"/>
    <w:rsid w:val="00977944"/>
    <w:rsid w:val="00977CD6"/>
    <w:rsid w:val="009803E3"/>
    <w:rsid w:val="0098048B"/>
    <w:rsid w:val="00980908"/>
    <w:rsid w:val="00980DF9"/>
    <w:rsid w:val="00981CD8"/>
    <w:rsid w:val="0098243D"/>
    <w:rsid w:val="009825EF"/>
    <w:rsid w:val="00982C19"/>
    <w:rsid w:val="00982D26"/>
    <w:rsid w:val="00983B6E"/>
    <w:rsid w:val="00983FE5"/>
    <w:rsid w:val="00984544"/>
    <w:rsid w:val="009849E9"/>
    <w:rsid w:val="00984AFF"/>
    <w:rsid w:val="00985048"/>
    <w:rsid w:val="009855AC"/>
    <w:rsid w:val="009859E4"/>
    <w:rsid w:val="00985D7F"/>
    <w:rsid w:val="00987812"/>
    <w:rsid w:val="00987A48"/>
    <w:rsid w:val="00987B39"/>
    <w:rsid w:val="009900FE"/>
    <w:rsid w:val="00990225"/>
    <w:rsid w:val="00990678"/>
    <w:rsid w:val="00991307"/>
    <w:rsid w:val="0099157D"/>
    <w:rsid w:val="00991FAA"/>
    <w:rsid w:val="00991FD2"/>
    <w:rsid w:val="00992A13"/>
    <w:rsid w:val="00993DB1"/>
    <w:rsid w:val="00994AAD"/>
    <w:rsid w:val="00995150"/>
    <w:rsid w:val="009957A6"/>
    <w:rsid w:val="00995D67"/>
    <w:rsid w:val="009968C5"/>
    <w:rsid w:val="00997613"/>
    <w:rsid w:val="009A013B"/>
    <w:rsid w:val="009A02F4"/>
    <w:rsid w:val="009A0617"/>
    <w:rsid w:val="009A06BF"/>
    <w:rsid w:val="009A09C5"/>
    <w:rsid w:val="009A0D17"/>
    <w:rsid w:val="009A2494"/>
    <w:rsid w:val="009A32B1"/>
    <w:rsid w:val="009A33A3"/>
    <w:rsid w:val="009A36F2"/>
    <w:rsid w:val="009A40C3"/>
    <w:rsid w:val="009A40D5"/>
    <w:rsid w:val="009A5268"/>
    <w:rsid w:val="009A57D0"/>
    <w:rsid w:val="009A6559"/>
    <w:rsid w:val="009A68FC"/>
    <w:rsid w:val="009A6AE6"/>
    <w:rsid w:val="009A6CE4"/>
    <w:rsid w:val="009A7514"/>
    <w:rsid w:val="009A7665"/>
    <w:rsid w:val="009A7E7A"/>
    <w:rsid w:val="009B021B"/>
    <w:rsid w:val="009B0925"/>
    <w:rsid w:val="009B1584"/>
    <w:rsid w:val="009B18F0"/>
    <w:rsid w:val="009B194E"/>
    <w:rsid w:val="009B1F4C"/>
    <w:rsid w:val="009B2203"/>
    <w:rsid w:val="009B2471"/>
    <w:rsid w:val="009B314F"/>
    <w:rsid w:val="009B439C"/>
    <w:rsid w:val="009B49A1"/>
    <w:rsid w:val="009B4A6C"/>
    <w:rsid w:val="009B4DA8"/>
    <w:rsid w:val="009B4FA6"/>
    <w:rsid w:val="009B5125"/>
    <w:rsid w:val="009B519A"/>
    <w:rsid w:val="009B53E6"/>
    <w:rsid w:val="009B620C"/>
    <w:rsid w:val="009B6454"/>
    <w:rsid w:val="009B64CC"/>
    <w:rsid w:val="009B6753"/>
    <w:rsid w:val="009B676C"/>
    <w:rsid w:val="009B6A26"/>
    <w:rsid w:val="009C079D"/>
    <w:rsid w:val="009C0C12"/>
    <w:rsid w:val="009C0D70"/>
    <w:rsid w:val="009C1282"/>
    <w:rsid w:val="009C13D1"/>
    <w:rsid w:val="009C14A3"/>
    <w:rsid w:val="009C1E9D"/>
    <w:rsid w:val="009C2913"/>
    <w:rsid w:val="009C2BD4"/>
    <w:rsid w:val="009C2C5F"/>
    <w:rsid w:val="009C32F0"/>
    <w:rsid w:val="009C334C"/>
    <w:rsid w:val="009C3EED"/>
    <w:rsid w:val="009C4596"/>
    <w:rsid w:val="009C52FB"/>
    <w:rsid w:val="009C5314"/>
    <w:rsid w:val="009C5AFE"/>
    <w:rsid w:val="009C6606"/>
    <w:rsid w:val="009C6CE5"/>
    <w:rsid w:val="009C6D50"/>
    <w:rsid w:val="009C72B2"/>
    <w:rsid w:val="009C7547"/>
    <w:rsid w:val="009D05EC"/>
    <w:rsid w:val="009D18D4"/>
    <w:rsid w:val="009D1E82"/>
    <w:rsid w:val="009D1FCF"/>
    <w:rsid w:val="009D209F"/>
    <w:rsid w:val="009D2F60"/>
    <w:rsid w:val="009D3A2E"/>
    <w:rsid w:val="009D3E61"/>
    <w:rsid w:val="009D4C2E"/>
    <w:rsid w:val="009D53C0"/>
    <w:rsid w:val="009D5912"/>
    <w:rsid w:val="009D5ADE"/>
    <w:rsid w:val="009D5BAC"/>
    <w:rsid w:val="009D5C56"/>
    <w:rsid w:val="009D5EBC"/>
    <w:rsid w:val="009D6265"/>
    <w:rsid w:val="009D64BD"/>
    <w:rsid w:val="009D6CB1"/>
    <w:rsid w:val="009D799C"/>
    <w:rsid w:val="009E0286"/>
    <w:rsid w:val="009E0A4B"/>
    <w:rsid w:val="009E153F"/>
    <w:rsid w:val="009E18C5"/>
    <w:rsid w:val="009E2758"/>
    <w:rsid w:val="009E2B98"/>
    <w:rsid w:val="009E322A"/>
    <w:rsid w:val="009E32F4"/>
    <w:rsid w:val="009E3483"/>
    <w:rsid w:val="009E393E"/>
    <w:rsid w:val="009E42FD"/>
    <w:rsid w:val="009E444E"/>
    <w:rsid w:val="009E454D"/>
    <w:rsid w:val="009E4968"/>
    <w:rsid w:val="009E4E01"/>
    <w:rsid w:val="009E5676"/>
    <w:rsid w:val="009E663C"/>
    <w:rsid w:val="009E684A"/>
    <w:rsid w:val="009E6BB1"/>
    <w:rsid w:val="009E6E14"/>
    <w:rsid w:val="009E794A"/>
    <w:rsid w:val="009E7B26"/>
    <w:rsid w:val="009E7C14"/>
    <w:rsid w:val="009F0494"/>
    <w:rsid w:val="009F0CD9"/>
    <w:rsid w:val="009F1A79"/>
    <w:rsid w:val="009F1F57"/>
    <w:rsid w:val="009F246E"/>
    <w:rsid w:val="009F249F"/>
    <w:rsid w:val="009F2DDD"/>
    <w:rsid w:val="009F32B4"/>
    <w:rsid w:val="009F3447"/>
    <w:rsid w:val="009F4BBF"/>
    <w:rsid w:val="009F5847"/>
    <w:rsid w:val="009F65F4"/>
    <w:rsid w:val="009F6763"/>
    <w:rsid w:val="009F676B"/>
    <w:rsid w:val="009F6D2D"/>
    <w:rsid w:val="009F6D54"/>
    <w:rsid w:val="00A004DF"/>
    <w:rsid w:val="00A00A52"/>
    <w:rsid w:val="00A00EE6"/>
    <w:rsid w:val="00A00FD5"/>
    <w:rsid w:val="00A012C0"/>
    <w:rsid w:val="00A019A8"/>
    <w:rsid w:val="00A01B03"/>
    <w:rsid w:val="00A01B89"/>
    <w:rsid w:val="00A02C66"/>
    <w:rsid w:val="00A02C84"/>
    <w:rsid w:val="00A035E1"/>
    <w:rsid w:val="00A03842"/>
    <w:rsid w:val="00A04394"/>
    <w:rsid w:val="00A0464C"/>
    <w:rsid w:val="00A04F3F"/>
    <w:rsid w:val="00A050BB"/>
    <w:rsid w:val="00A05128"/>
    <w:rsid w:val="00A0521B"/>
    <w:rsid w:val="00A05262"/>
    <w:rsid w:val="00A054E0"/>
    <w:rsid w:val="00A05D91"/>
    <w:rsid w:val="00A06972"/>
    <w:rsid w:val="00A0734B"/>
    <w:rsid w:val="00A0740B"/>
    <w:rsid w:val="00A07ED3"/>
    <w:rsid w:val="00A10162"/>
    <w:rsid w:val="00A10CA8"/>
    <w:rsid w:val="00A10D5A"/>
    <w:rsid w:val="00A11042"/>
    <w:rsid w:val="00A12579"/>
    <w:rsid w:val="00A12CDC"/>
    <w:rsid w:val="00A12E1D"/>
    <w:rsid w:val="00A1304B"/>
    <w:rsid w:val="00A133D8"/>
    <w:rsid w:val="00A13464"/>
    <w:rsid w:val="00A13553"/>
    <w:rsid w:val="00A13F58"/>
    <w:rsid w:val="00A14382"/>
    <w:rsid w:val="00A15480"/>
    <w:rsid w:val="00A15655"/>
    <w:rsid w:val="00A160B0"/>
    <w:rsid w:val="00A1740C"/>
    <w:rsid w:val="00A17904"/>
    <w:rsid w:val="00A20069"/>
    <w:rsid w:val="00A2244D"/>
    <w:rsid w:val="00A2253D"/>
    <w:rsid w:val="00A2267F"/>
    <w:rsid w:val="00A22CDB"/>
    <w:rsid w:val="00A22D95"/>
    <w:rsid w:val="00A247B8"/>
    <w:rsid w:val="00A24914"/>
    <w:rsid w:val="00A2495A"/>
    <w:rsid w:val="00A24C7A"/>
    <w:rsid w:val="00A24D8F"/>
    <w:rsid w:val="00A25366"/>
    <w:rsid w:val="00A254D1"/>
    <w:rsid w:val="00A25B8B"/>
    <w:rsid w:val="00A2689F"/>
    <w:rsid w:val="00A26D30"/>
    <w:rsid w:val="00A26ECA"/>
    <w:rsid w:val="00A272C6"/>
    <w:rsid w:val="00A2734E"/>
    <w:rsid w:val="00A27461"/>
    <w:rsid w:val="00A27AE5"/>
    <w:rsid w:val="00A27D67"/>
    <w:rsid w:val="00A27EE9"/>
    <w:rsid w:val="00A27F23"/>
    <w:rsid w:val="00A30ABC"/>
    <w:rsid w:val="00A30D1F"/>
    <w:rsid w:val="00A310FB"/>
    <w:rsid w:val="00A320F4"/>
    <w:rsid w:val="00A3267D"/>
    <w:rsid w:val="00A3354D"/>
    <w:rsid w:val="00A33B74"/>
    <w:rsid w:val="00A3467F"/>
    <w:rsid w:val="00A34B4C"/>
    <w:rsid w:val="00A35030"/>
    <w:rsid w:val="00A3551A"/>
    <w:rsid w:val="00A3588F"/>
    <w:rsid w:val="00A36015"/>
    <w:rsid w:val="00A366A0"/>
    <w:rsid w:val="00A36952"/>
    <w:rsid w:val="00A37196"/>
    <w:rsid w:val="00A37209"/>
    <w:rsid w:val="00A37381"/>
    <w:rsid w:val="00A37584"/>
    <w:rsid w:val="00A376E8"/>
    <w:rsid w:val="00A37F8E"/>
    <w:rsid w:val="00A4103C"/>
    <w:rsid w:val="00A411DA"/>
    <w:rsid w:val="00A41537"/>
    <w:rsid w:val="00A41678"/>
    <w:rsid w:val="00A41737"/>
    <w:rsid w:val="00A42AD4"/>
    <w:rsid w:val="00A42B8F"/>
    <w:rsid w:val="00A42D8E"/>
    <w:rsid w:val="00A43254"/>
    <w:rsid w:val="00A43896"/>
    <w:rsid w:val="00A43951"/>
    <w:rsid w:val="00A43A26"/>
    <w:rsid w:val="00A4429D"/>
    <w:rsid w:val="00A447A0"/>
    <w:rsid w:val="00A4505E"/>
    <w:rsid w:val="00A459F5"/>
    <w:rsid w:val="00A45FC0"/>
    <w:rsid w:val="00A467AF"/>
    <w:rsid w:val="00A468C7"/>
    <w:rsid w:val="00A46B74"/>
    <w:rsid w:val="00A46E6A"/>
    <w:rsid w:val="00A47BF7"/>
    <w:rsid w:val="00A47ECC"/>
    <w:rsid w:val="00A50171"/>
    <w:rsid w:val="00A50418"/>
    <w:rsid w:val="00A504FA"/>
    <w:rsid w:val="00A50E40"/>
    <w:rsid w:val="00A5102E"/>
    <w:rsid w:val="00A5132E"/>
    <w:rsid w:val="00A51375"/>
    <w:rsid w:val="00A51533"/>
    <w:rsid w:val="00A516D4"/>
    <w:rsid w:val="00A51F1A"/>
    <w:rsid w:val="00A52E32"/>
    <w:rsid w:val="00A531D4"/>
    <w:rsid w:val="00A53622"/>
    <w:rsid w:val="00A53736"/>
    <w:rsid w:val="00A53C42"/>
    <w:rsid w:val="00A5429C"/>
    <w:rsid w:val="00A54572"/>
    <w:rsid w:val="00A559D8"/>
    <w:rsid w:val="00A570F2"/>
    <w:rsid w:val="00A575B8"/>
    <w:rsid w:val="00A6020A"/>
    <w:rsid w:val="00A60CE7"/>
    <w:rsid w:val="00A60CF8"/>
    <w:rsid w:val="00A619BB"/>
    <w:rsid w:val="00A61C60"/>
    <w:rsid w:val="00A61ECB"/>
    <w:rsid w:val="00A63D58"/>
    <w:rsid w:val="00A63FE9"/>
    <w:rsid w:val="00A6410C"/>
    <w:rsid w:val="00A647B1"/>
    <w:rsid w:val="00A64DEF"/>
    <w:rsid w:val="00A65311"/>
    <w:rsid w:val="00A654D2"/>
    <w:rsid w:val="00A665DF"/>
    <w:rsid w:val="00A67331"/>
    <w:rsid w:val="00A673F1"/>
    <w:rsid w:val="00A674DB"/>
    <w:rsid w:val="00A67625"/>
    <w:rsid w:val="00A67FCC"/>
    <w:rsid w:val="00A702C3"/>
    <w:rsid w:val="00A70AA5"/>
    <w:rsid w:val="00A70C03"/>
    <w:rsid w:val="00A70C34"/>
    <w:rsid w:val="00A71256"/>
    <w:rsid w:val="00A7147C"/>
    <w:rsid w:val="00A71CB8"/>
    <w:rsid w:val="00A72172"/>
    <w:rsid w:val="00A7217B"/>
    <w:rsid w:val="00A722D7"/>
    <w:rsid w:val="00A723A3"/>
    <w:rsid w:val="00A73861"/>
    <w:rsid w:val="00A738EE"/>
    <w:rsid w:val="00A739A6"/>
    <w:rsid w:val="00A73C97"/>
    <w:rsid w:val="00A740ED"/>
    <w:rsid w:val="00A74229"/>
    <w:rsid w:val="00A746C7"/>
    <w:rsid w:val="00A74C29"/>
    <w:rsid w:val="00A74C62"/>
    <w:rsid w:val="00A75A70"/>
    <w:rsid w:val="00A75EF9"/>
    <w:rsid w:val="00A7642C"/>
    <w:rsid w:val="00A7657C"/>
    <w:rsid w:val="00A76B5E"/>
    <w:rsid w:val="00A76BD8"/>
    <w:rsid w:val="00A76E4E"/>
    <w:rsid w:val="00A7744F"/>
    <w:rsid w:val="00A80018"/>
    <w:rsid w:val="00A80A5D"/>
    <w:rsid w:val="00A81E9C"/>
    <w:rsid w:val="00A81ECA"/>
    <w:rsid w:val="00A821D4"/>
    <w:rsid w:val="00A82764"/>
    <w:rsid w:val="00A8311C"/>
    <w:rsid w:val="00A835D0"/>
    <w:rsid w:val="00A83821"/>
    <w:rsid w:val="00A84150"/>
    <w:rsid w:val="00A84761"/>
    <w:rsid w:val="00A84BA0"/>
    <w:rsid w:val="00A84C5F"/>
    <w:rsid w:val="00A85240"/>
    <w:rsid w:val="00A85930"/>
    <w:rsid w:val="00A86116"/>
    <w:rsid w:val="00A863F7"/>
    <w:rsid w:val="00A86604"/>
    <w:rsid w:val="00A86ACC"/>
    <w:rsid w:val="00A87519"/>
    <w:rsid w:val="00A90213"/>
    <w:rsid w:val="00A90870"/>
    <w:rsid w:val="00A90C73"/>
    <w:rsid w:val="00A914DA"/>
    <w:rsid w:val="00A91E71"/>
    <w:rsid w:val="00A9246D"/>
    <w:rsid w:val="00A92C64"/>
    <w:rsid w:val="00A92CCA"/>
    <w:rsid w:val="00A93456"/>
    <w:rsid w:val="00A93BD0"/>
    <w:rsid w:val="00A93CC2"/>
    <w:rsid w:val="00A9451D"/>
    <w:rsid w:val="00A94D4B"/>
    <w:rsid w:val="00A951EE"/>
    <w:rsid w:val="00A95320"/>
    <w:rsid w:val="00A956AC"/>
    <w:rsid w:val="00A9592C"/>
    <w:rsid w:val="00A95A90"/>
    <w:rsid w:val="00A974CC"/>
    <w:rsid w:val="00A97EE7"/>
    <w:rsid w:val="00A97FC3"/>
    <w:rsid w:val="00AA0A68"/>
    <w:rsid w:val="00AA1F34"/>
    <w:rsid w:val="00AA2001"/>
    <w:rsid w:val="00AA217C"/>
    <w:rsid w:val="00AA2B5C"/>
    <w:rsid w:val="00AA32D2"/>
    <w:rsid w:val="00AA33AA"/>
    <w:rsid w:val="00AA3A5C"/>
    <w:rsid w:val="00AA3AA4"/>
    <w:rsid w:val="00AA3B8B"/>
    <w:rsid w:val="00AA4016"/>
    <w:rsid w:val="00AA416D"/>
    <w:rsid w:val="00AA4976"/>
    <w:rsid w:val="00AA4C1F"/>
    <w:rsid w:val="00AA4F0C"/>
    <w:rsid w:val="00AA5328"/>
    <w:rsid w:val="00AA5393"/>
    <w:rsid w:val="00AA5881"/>
    <w:rsid w:val="00AA63D4"/>
    <w:rsid w:val="00AA7931"/>
    <w:rsid w:val="00AA7BE1"/>
    <w:rsid w:val="00AB03FD"/>
    <w:rsid w:val="00AB09B8"/>
    <w:rsid w:val="00AB1678"/>
    <w:rsid w:val="00AB199F"/>
    <w:rsid w:val="00AB1C40"/>
    <w:rsid w:val="00AB2000"/>
    <w:rsid w:val="00AB21CC"/>
    <w:rsid w:val="00AB2C06"/>
    <w:rsid w:val="00AB38CB"/>
    <w:rsid w:val="00AB3BEC"/>
    <w:rsid w:val="00AB4080"/>
    <w:rsid w:val="00AB44E4"/>
    <w:rsid w:val="00AB4AEB"/>
    <w:rsid w:val="00AB4E5F"/>
    <w:rsid w:val="00AB5352"/>
    <w:rsid w:val="00AB56AE"/>
    <w:rsid w:val="00AB62D5"/>
    <w:rsid w:val="00AB65B5"/>
    <w:rsid w:val="00AB6DCD"/>
    <w:rsid w:val="00AB6EE0"/>
    <w:rsid w:val="00AB7240"/>
    <w:rsid w:val="00AB780C"/>
    <w:rsid w:val="00AB7D43"/>
    <w:rsid w:val="00AB7ECC"/>
    <w:rsid w:val="00AC1325"/>
    <w:rsid w:val="00AC13DA"/>
    <w:rsid w:val="00AC17A2"/>
    <w:rsid w:val="00AC3096"/>
    <w:rsid w:val="00AC33F3"/>
    <w:rsid w:val="00AC40B7"/>
    <w:rsid w:val="00AC49E2"/>
    <w:rsid w:val="00AC4EAC"/>
    <w:rsid w:val="00AC531F"/>
    <w:rsid w:val="00AC5448"/>
    <w:rsid w:val="00AC5459"/>
    <w:rsid w:val="00AC5B36"/>
    <w:rsid w:val="00AC5FFE"/>
    <w:rsid w:val="00AC6377"/>
    <w:rsid w:val="00AC651A"/>
    <w:rsid w:val="00AC66A4"/>
    <w:rsid w:val="00AC6CB1"/>
    <w:rsid w:val="00AC75E9"/>
    <w:rsid w:val="00AC7965"/>
    <w:rsid w:val="00AC7D6D"/>
    <w:rsid w:val="00AC7D76"/>
    <w:rsid w:val="00AD0091"/>
    <w:rsid w:val="00AD046F"/>
    <w:rsid w:val="00AD04C1"/>
    <w:rsid w:val="00AD1119"/>
    <w:rsid w:val="00AD1315"/>
    <w:rsid w:val="00AD21D4"/>
    <w:rsid w:val="00AD23EF"/>
    <w:rsid w:val="00AD2662"/>
    <w:rsid w:val="00AD307B"/>
    <w:rsid w:val="00AD34C4"/>
    <w:rsid w:val="00AD355F"/>
    <w:rsid w:val="00AD36D2"/>
    <w:rsid w:val="00AD3992"/>
    <w:rsid w:val="00AD4014"/>
    <w:rsid w:val="00AD41B3"/>
    <w:rsid w:val="00AD452D"/>
    <w:rsid w:val="00AD5721"/>
    <w:rsid w:val="00AD69F0"/>
    <w:rsid w:val="00AD7127"/>
    <w:rsid w:val="00AD730C"/>
    <w:rsid w:val="00AE04FD"/>
    <w:rsid w:val="00AE0F90"/>
    <w:rsid w:val="00AE123A"/>
    <w:rsid w:val="00AE1539"/>
    <w:rsid w:val="00AE1FB8"/>
    <w:rsid w:val="00AE28A7"/>
    <w:rsid w:val="00AE2A98"/>
    <w:rsid w:val="00AE2CA0"/>
    <w:rsid w:val="00AE2CF2"/>
    <w:rsid w:val="00AE2F19"/>
    <w:rsid w:val="00AE3012"/>
    <w:rsid w:val="00AE3297"/>
    <w:rsid w:val="00AE33A6"/>
    <w:rsid w:val="00AE34EE"/>
    <w:rsid w:val="00AE3513"/>
    <w:rsid w:val="00AE3729"/>
    <w:rsid w:val="00AE3C81"/>
    <w:rsid w:val="00AE4A3E"/>
    <w:rsid w:val="00AE4CCE"/>
    <w:rsid w:val="00AE59DB"/>
    <w:rsid w:val="00AE5C6A"/>
    <w:rsid w:val="00AE6358"/>
    <w:rsid w:val="00AE7058"/>
    <w:rsid w:val="00AE7280"/>
    <w:rsid w:val="00AE7B5F"/>
    <w:rsid w:val="00AF01FA"/>
    <w:rsid w:val="00AF033A"/>
    <w:rsid w:val="00AF0D26"/>
    <w:rsid w:val="00AF118E"/>
    <w:rsid w:val="00AF1658"/>
    <w:rsid w:val="00AF1699"/>
    <w:rsid w:val="00AF18D1"/>
    <w:rsid w:val="00AF1BA4"/>
    <w:rsid w:val="00AF1FD3"/>
    <w:rsid w:val="00AF237E"/>
    <w:rsid w:val="00AF2910"/>
    <w:rsid w:val="00AF34B8"/>
    <w:rsid w:val="00AF3896"/>
    <w:rsid w:val="00AF39C9"/>
    <w:rsid w:val="00AF3F97"/>
    <w:rsid w:val="00AF3FC2"/>
    <w:rsid w:val="00AF4DEC"/>
    <w:rsid w:val="00AF62F0"/>
    <w:rsid w:val="00AF6B57"/>
    <w:rsid w:val="00AF6BB9"/>
    <w:rsid w:val="00B003FF"/>
    <w:rsid w:val="00B0098A"/>
    <w:rsid w:val="00B00A5F"/>
    <w:rsid w:val="00B0116A"/>
    <w:rsid w:val="00B0139C"/>
    <w:rsid w:val="00B029B8"/>
    <w:rsid w:val="00B02F60"/>
    <w:rsid w:val="00B02F94"/>
    <w:rsid w:val="00B032B8"/>
    <w:rsid w:val="00B0396A"/>
    <w:rsid w:val="00B04074"/>
    <w:rsid w:val="00B04721"/>
    <w:rsid w:val="00B04B15"/>
    <w:rsid w:val="00B04B46"/>
    <w:rsid w:val="00B0534D"/>
    <w:rsid w:val="00B05685"/>
    <w:rsid w:val="00B05F9F"/>
    <w:rsid w:val="00B06070"/>
    <w:rsid w:val="00B062BE"/>
    <w:rsid w:val="00B06368"/>
    <w:rsid w:val="00B068DA"/>
    <w:rsid w:val="00B06A00"/>
    <w:rsid w:val="00B06FC6"/>
    <w:rsid w:val="00B0710D"/>
    <w:rsid w:val="00B074C9"/>
    <w:rsid w:val="00B07A70"/>
    <w:rsid w:val="00B07D9D"/>
    <w:rsid w:val="00B11AE5"/>
    <w:rsid w:val="00B12263"/>
    <w:rsid w:val="00B12ECA"/>
    <w:rsid w:val="00B12FE6"/>
    <w:rsid w:val="00B1303F"/>
    <w:rsid w:val="00B1364A"/>
    <w:rsid w:val="00B13859"/>
    <w:rsid w:val="00B13EC9"/>
    <w:rsid w:val="00B14319"/>
    <w:rsid w:val="00B14A06"/>
    <w:rsid w:val="00B14CF8"/>
    <w:rsid w:val="00B158E1"/>
    <w:rsid w:val="00B1599B"/>
    <w:rsid w:val="00B15C0E"/>
    <w:rsid w:val="00B15CCD"/>
    <w:rsid w:val="00B16715"/>
    <w:rsid w:val="00B16FFA"/>
    <w:rsid w:val="00B1768E"/>
    <w:rsid w:val="00B17910"/>
    <w:rsid w:val="00B20D7C"/>
    <w:rsid w:val="00B20F18"/>
    <w:rsid w:val="00B20FB7"/>
    <w:rsid w:val="00B21516"/>
    <w:rsid w:val="00B21723"/>
    <w:rsid w:val="00B219D9"/>
    <w:rsid w:val="00B21A37"/>
    <w:rsid w:val="00B21D23"/>
    <w:rsid w:val="00B21F62"/>
    <w:rsid w:val="00B223A4"/>
    <w:rsid w:val="00B22CE0"/>
    <w:rsid w:val="00B22F2E"/>
    <w:rsid w:val="00B232BF"/>
    <w:rsid w:val="00B23738"/>
    <w:rsid w:val="00B23BEF"/>
    <w:rsid w:val="00B247BB"/>
    <w:rsid w:val="00B2504A"/>
    <w:rsid w:val="00B25EE6"/>
    <w:rsid w:val="00B27365"/>
    <w:rsid w:val="00B3043F"/>
    <w:rsid w:val="00B3115A"/>
    <w:rsid w:val="00B3178B"/>
    <w:rsid w:val="00B31825"/>
    <w:rsid w:val="00B31A5C"/>
    <w:rsid w:val="00B32265"/>
    <w:rsid w:val="00B325CC"/>
    <w:rsid w:val="00B3276D"/>
    <w:rsid w:val="00B33331"/>
    <w:rsid w:val="00B333C8"/>
    <w:rsid w:val="00B33B06"/>
    <w:rsid w:val="00B33C19"/>
    <w:rsid w:val="00B33E0B"/>
    <w:rsid w:val="00B3462E"/>
    <w:rsid w:val="00B353A7"/>
    <w:rsid w:val="00B35A15"/>
    <w:rsid w:val="00B35B45"/>
    <w:rsid w:val="00B36165"/>
    <w:rsid w:val="00B36A99"/>
    <w:rsid w:val="00B37395"/>
    <w:rsid w:val="00B40385"/>
    <w:rsid w:val="00B40C29"/>
    <w:rsid w:val="00B419BB"/>
    <w:rsid w:val="00B42264"/>
    <w:rsid w:val="00B434B2"/>
    <w:rsid w:val="00B43B9E"/>
    <w:rsid w:val="00B43CA0"/>
    <w:rsid w:val="00B43D45"/>
    <w:rsid w:val="00B448C4"/>
    <w:rsid w:val="00B459AF"/>
    <w:rsid w:val="00B468F2"/>
    <w:rsid w:val="00B469DE"/>
    <w:rsid w:val="00B47286"/>
    <w:rsid w:val="00B4772A"/>
    <w:rsid w:val="00B47EB4"/>
    <w:rsid w:val="00B50234"/>
    <w:rsid w:val="00B5052F"/>
    <w:rsid w:val="00B51641"/>
    <w:rsid w:val="00B51BF4"/>
    <w:rsid w:val="00B521A2"/>
    <w:rsid w:val="00B52279"/>
    <w:rsid w:val="00B522D7"/>
    <w:rsid w:val="00B5235E"/>
    <w:rsid w:val="00B527AD"/>
    <w:rsid w:val="00B52C68"/>
    <w:rsid w:val="00B5324B"/>
    <w:rsid w:val="00B5372B"/>
    <w:rsid w:val="00B542FE"/>
    <w:rsid w:val="00B54360"/>
    <w:rsid w:val="00B546D2"/>
    <w:rsid w:val="00B5525E"/>
    <w:rsid w:val="00B55A1B"/>
    <w:rsid w:val="00B561DB"/>
    <w:rsid w:val="00B5645C"/>
    <w:rsid w:val="00B568A1"/>
    <w:rsid w:val="00B56DF9"/>
    <w:rsid w:val="00B56E80"/>
    <w:rsid w:val="00B570EC"/>
    <w:rsid w:val="00B571F1"/>
    <w:rsid w:val="00B5770A"/>
    <w:rsid w:val="00B6001F"/>
    <w:rsid w:val="00B600BD"/>
    <w:rsid w:val="00B60CB4"/>
    <w:rsid w:val="00B60E4E"/>
    <w:rsid w:val="00B61274"/>
    <w:rsid w:val="00B613F6"/>
    <w:rsid w:val="00B6141E"/>
    <w:rsid w:val="00B61DCE"/>
    <w:rsid w:val="00B62188"/>
    <w:rsid w:val="00B621D6"/>
    <w:rsid w:val="00B622E3"/>
    <w:rsid w:val="00B62F79"/>
    <w:rsid w:val="00B62F82"/>
    <w:rsid w:val="00B63028"/>
    <w:rsid w:val="00B6306A"/>
    <w:rsid w:val="00B635E3"/>
    <w:rsid w:val="00B64388"/>
    <w:rsid w:val="00B64B9A"/>
    <w:rsid w:val="00B662FF"/>
    <w:rsid w:val="00B665B8"/>
    <w:rsid w:val="00B665F6"/>
    <w:rsid w:val="00B66679"/>
    <w:rsid w:val="00B66C87"/>
    <w:rsid w:val="00B70139"/>
    <w:rsid w:val="00B70145"/>
    <w:rsid w:val="00B701C9"/>
    <w:rsid w:val="00B7035F"/>
    <w:rsid w:val="00B710AD"/>
    <w:rsid w:val="00B71A92"/>
    <w:rsid w:val="00B721D8"/>
    <w:rsid w:val="00B730CA"/>
    <w:rsid w:val="00B732EA"/>
    <w:rsid w:val="00B73747"/>
    <w:rsid w:val="00B747C5"/>
    <w:rsid w:val="00B74F2F"/>
    <w:rsid w:val="00B753ED"/>
    <w:rsid w:val="00B75C6D"/>
    <w:rsid w:val="00B7665F"/>
    <w:rsid w:val="00B769BC"/>
    <w:rsid w:val="00B770F7"/>
    <w:rsid w:val="00B77349"/>
    <w:rsid w:val="00B7761E"/>
    <w:rsid w:val="00B8020C"/>
    <w:rsid w:val="00B80A3D"/>
    <w:rsid w:val="00B80B04"/>
    <w:rsid w:val="00B821E4"/>
    <w:rsid w:val="00B823E0"/>
    <w:rsid w:val="00B8260D"/>
    <w:rsid w:val="00B82694"/>
    <w:rsid w:val="00B8286F"/>
    <w:rsid w:val="00B82B78"/>
    <w:rsid w:val="00B82FD9"/>
    <w:rsid w:val="00B845A8"/>
    <w:rsid w:val="00B845B4"/>
    <w:rsid w:val="00B84662"/>
    <w:rsid w:val="00B84C74"/>
    <w:rsid w:val="00B84CE9"/>
    <w:rsid w:val="00B84F6E"/>
    <w:rsid w:val="00B85191"/>
    <w:rsid w:val="00B85412"/>
    <w:rsid w:val="00B858A1"/>
    <w:rsid w:val="00B85FEC"/>
    <w:rsid w:val="00B864A3"/>
    <w:rsid w:val="00B867B8"/>
    <w:rsid w:val="00B86C2A"/>
    <w:rsid w:val="00B87575"/>
    <w:rsid w:val="00B902A5"/>
    <w:rsid w:val="00B90420"/>
    <w:rsid w:val="00B90848"/>
    <w:rsid w:val="00B91146"/>
    <w:rsid w:val="00B913E4"/>
    <w:rsid w:val="00B91DB9"/>
    <w:rsid w:val="00B91FF3"/>
    <w:rsid w:val="00B925F8"/>
    <w:rsid w:val="00B9330A"/>
    <w:rsid w:val="00B93EFE"/>
    <w:rsid w:val="00B944B9"/>
    <w:rsid w:val="00B94602"/>
    <w:rsid w:val="00B94956"/>
    <w:rsid w:val="00B94C7F"/>
    <w:rsid w:val="00B94E93"/>
    <w:rsid w:val="00B956B5"/>
    <w:rsid w:val="00B95956"/>
    <w:rsid w:val="00B96DF2"/>
    <w:rsid w:val="00B96E18"/>
    <w:rsid w:val="00B96F5A"/>
    <w:rsid w:val="00B97AF7"/>
    <w:rsid w:val="00BA02CF"/>
    <w:rsid w:val="00BA0A69"/>
    <w:rsid w:val="00BA0B39"/>
    <w:rsid w:val="00BA0CB2"/>
    <w:rsid w:val="00BA0E26"/>
    <w:rsid w:val="00BA138B"/>
    <w:rsid w:val="00BA207E"/>
    <w:rsid w:val="00BA238F"/>
    <w:rsid w:val="00BA2471"/>
    <w:rsid w:val="00BA305B"/>
    <w:rsid w:val="00BA31BF"/>
    <w:rsid w:val="00BA3258"/>
    <w:rsid w:val="00BA3C0F"/>
    <w:rsid w:val="00BA3FC7"/>
    <w:rsid w:val="00BA478B"/>
    <w:rsid w:val="00BA5224"/>
    <w:rsid w:val="00BA575E"/>
    <w:rsid w:val="00BA67B1"/>
    <w:rsid w:val="00BA69D5"/>
    <w:rsid w:val="00BA7524"/>
    <w:rsid w:val="00BA756D"/>
    <w:rsid w:val="00BA76B7"/>
    <w:rsid w:val="00BA7E3B"/>
    <w:rsid w:val="00BB078D"/>
    <w:rsid w:val="00BB079C"/>
    <w:rsid w:val="00BB0D7A"/>
    <w:rsid w:val="00BB10E1"/>
    <w:rsid w:val="00BB23BF"/>
    <w:rsid w:val="00BB2471"/>
    <w:rsid w:val="00BB3035"/>
    <w:rsid w:val="00BB3039"/>
    <w:rsid w:val="00BB39C1"/>
    <w:rsid w:val="00BB3DF5"/>
    <w:rsid w:val="00BB3EA7"/>
    <w:rsid w:val="00BB45BC"/>
    <w:rsid w:val="00BB4653"/>
    <w:rsid w:val="00BB5D16"/>
    <w:rsid w:val="00BB5E55"/>
    <w:rsid w:val="00BB6180"/>
    <w:rsid w:val="00BB6290"/>
    <w:rsid w:val="00BB69DC"/>
    <w:rsid w:val="00BB69E6"/>
    <w:rsid w:val="00BB7323"/>
    <w:rsid w:val="00BB73CA"/>
    <w:rsid w:val="00BB7BE5"/>
    <w:rsid w:val="00BB7C6D"/>
    <w:rsid w:val="00BC08BD"/>
    <w:rsid w:val="00BC1002"/>
    <w:rsid w:val="00BC11E8"/>
    <w:rsid w:val="00BC1418"/>
    <w:rsid w:val="00BC1B7A"/>
    <w:rsid w:val="00BC2C17"/>
    <w:rsid w:val="00BC3149"/>
    <w:rsid w:val="00BC3ACD"/>
    <w:rsid w:val="00BC3B20"/>
    <w:rsid w:val="00BC3EE4"/>
    <w:rsid w:val="00BC4A6C"/>
    <w:rsid w:val="00BC577D"/>
    <w:rsid w:val="00BC588C"/>
    <w:rsid w:val="00BC6E73"/>
    <w:rsid w:val="00BC74D3"/>
    <w:rsid w:val="00BC7ACA"/>
    <w:rsid w:val="00BC7E6E"/>
    <w:rsid w:val="00BD0014"/>
    <w:rsid w:val="00BD01D8"/>
    <w:rsid w:val="00BD1C96"/>
    <w:rsid w:val="00BD1E3A"/>
    <w:rsid w:val="00BD1F36"/>
    <w:rsid w:val="00BD255F"/>
    <w:rsid w:val="00BD2895"/>
    <w:rsid w:val="00BD4236"/>
    <w:rsid w:val="00BD4400"/>
    <w:rsid w:val="00BD483B"/>
    <w:rsid w:val="00BD4FBA"/>
    <w:rsid w:val="00BD51F9"/>
    <w:rsid w:val="00BD5BD8"/>
    <w:rsid w:val="00BD5CD4"/>
    <w:rsid w:val="00BD65D9"/>
    <w:rsid w:val="00BD6922"/>
    <w:rsid w:val="00BD6DF3"/>
    <w:rsid w:val="00BD6E09"/>
    <w:rsid w:val="00BD6EF9"/>
    <w:rsid w:val="00BE045C"/>
    <w:rsid w:val="00BE0ACB"/>
    <w:rsid w:val="00BE11F3"/>
    <w:rsid w:val="00BE1843"/>
    <w:rsid w:val="00BE2260"/>
    <w:rsid w:val="00BE25DA"/>
    <w:rsid w:val="00BE2826"/>
    <w:rsid w:val="00BE2D95"/>
    <w:rsid w:val="00BE2F75"/>
    <w:rsid w:val="00BE3917"/>
    <w:rsid w:val="00BE3D7E"/>
    <w:rsid w:val="00BE4A76"/>
    <w:rsid w:val="00BE4E87"/>
    <w:rsid w:val="00BE50FD"/>
    <w:rsid w:val="00BE51CA"/>
    <w:rsid w:val="00BE537F"/>
    <w:rsid w:val="00BE5B73"/>
    <w:rsid w:val="00BE5D77"/>
    <w:rsid w:val="00BE630A"/>
    <w:rsid w:val="00BE638C"/>
    <w:rsid w:val="00BE6914"/>
    <w:rsid w:val="00BE6BA1"/>
    <w:rsid w:val="00BE6D47"/>
    <w:rsid w:val="00BE6F9B"/>
    <w:rsid w:val="00BE6FBF"/>
    <w:rsid w:val="00BE7032"/>
    <w:rsid w:val="00BE7330"/>
    <w:rsid w:val="00BE77A7"/>
    <w:rsid w:val="00BF01C5"/>
    <w:rsid w:val="00BF061A"/>
    <w:rsid w:val="00BF066A"/>
    <w:rsid w:val="00BF0771"/>
    <w:rsid w:val="00BF0EDE"/>
    <w:rsid w:val="00BF14CC"/>
    <w:rsid w:val="00BF1821"/>
    <w:rsid w:val="00BF214F"/>
    <w:rsid w:val="00BF22E9"/>
    <w:rsid w:val="00BF3FE4"/>
    <w:rsid w:val="00BF4342"/>
    <w:rsid w:val="00BF4704"/>
    <w:rsid w:val="00BF4FFC"/>
    <w:rsid w:val="00BF5050"/>
    <w:rsid w:val="00BF50D1"/>
    <w:rsid w:val="00BF5422"/>
    <w:rsid w:val="00BF59B1"/>
    <w:rsid w:val="00BF5C4D"/>
    <w:rsid w:val="00BF6625"/>
    <w:rsid w:val="00BF6A78"/>
    <w:rsid w:val="00BF6B3F"/>
    <w:rsid w:val="00BF7118"/>
    <w:rsid w:val="00BF7695"/>
    <w:rsid w:val="00BF775D"/>
    <w:rsid w:val="00BF79B4"/>
    <w:rsid w:val="00BF7C61"/>
    <w:rsid w:val="00C00366"/>
    <w:rsid w:val="00C00686"/>
    <w:rsid w:val="00C013AC"/>
    <w:rsid w:val="00C01427"/>
    <w:rsid w:val="00C014C7"/>
    <w:rsid w:val="00C031CF"/>
    <w:rsid w:val="00C04172"/>
    <w:rsid w:val="00C047AB"/>
    <w:rsid w:val="00C053CF"/>
    <w:rsid w:val="00C058AF"/>
    <w:rsid w:val="00C069E5"/>
    <w:rsid w:val="00C06EAB"/>
    <w:rsid w:val="00C0709D"/>
    <w:rsid w:val="00C07136"/>
    <w:rsid w:val="00C075B6"/>
    <w:rsid w:val="00C10027"/>
    <w:rsid w:val="00C1118B"/>
    <w:rsid w:val="00C124C1"/>
    <w:rsid w:val="00C128AE"/>
    <w:rsid w:val="00C12BA8"/>
    <w:rsid w:val="00C13094"/>
    <w:rsid w:val="00C1359F"/>
    <w:rsid w:val="00C136D6"/>
    <w:rsid w:val="00C13D5B"/>
    <w:rsid w:val="00C141D7"/>
    <w:rsid w:val="00C16074"/>
    <w:rsid w:val="00C163A7"/>
    <w:rsid w:val="00C16F9E"/>
    <w:rsid w:val="00C1711B"/>
    <w:rsid w:val="00C17526"/>
    <w:rsid w:val="00C17AE2"/>
    <w:rsid w:val="00C20140"/>
    <w:rsid w:val="00C20CD6"/>
    <w:rsid w:val="00C20F27"/>
    <w:rsid w:val="00C215CF"/>
    <w:rsid w:val="00C21A89"/>
    <w:rsid w:val="00C21C6D"/>
    <w:rsid w:val="00C2244B"/>
    <w:rsid w:val="00C22711"/>
    <w:rsid w:val="00C2280A"/>
    <w:rsid w:val="00C22B0D"/>
    <w:rsid w:val="00C22BFF"/>
    <w:rsid w:val="00C23522"/>
    <w:rsid w:val="00C23581"/>
    <w:rsid w:val="00C23E71"/>
    <w:rsid w:val="00C24015"/>
    <w:rsid w:val="00C240C1"/>
    <w:rsid w:val="00C241CD"/>
    <w:rsid w:val="00C244A1"/>
    <w:rsid w:val="00C24AED"/>
    <w:rsid w:val="00C250D0"/>
    <w:rsid w:val="00C252AC"/>
    <w:rsid w:val="00C25C0F"/>
    <w:rsid w:val="00C26567"/>
    <w:rsid w:val="00C26923"/>
    <w:rsid w:val="00C271C9"/>
    <w:rsid w:val="00C27214"/>
    <w:rsid w:val="00C27597"/>
    <w:rsid w:val="00C27E5E"/>
    <w:rsid w:val="00C30382"/>
    <w:rsid w:val="00C30772"/>
    <w:rsid w:val="00C30D6F"/>
    <w:rsid w:val="00C31063"/>
    <w:rsid w:val="00C311E7"/>
    <w:rsid w:val="00C31492"/>
    <w:rsid w:val="00C31B7E"/>
    <w:rsid w:val="00C320D1"/>
    <w:rsid w:val="00C320E8"/>
    <w:rsid w:val="00C322D1"/>
    <w:rsid w:val="00C323E6"/>
    <w:rsid w:val="00C3242A"/>
    <w:rsid w:val="00C33201"/>
    <w:rsid w:val="00C3328B"/>
    <w:rsid w:val="00C33A39"/>
    <w:rsid w:val="00C33F55"/>
    <w:rsid w:val="00C343FF"/>
    <w:rsid w:val="00C34619"/>
    <w:rsid w:val="00C348D9"/>
    <w:rsid w:val="00C35D01"/>
    <w:rsid w:val="00C360B3"/>
    <w:rsid w:val="00C36451"/>
    <w:rsid w:val="00C365EA"/>
    <w:rsid w:val="00C367F0"/>
    <w:rsid w:val="00C37027"/>
    <w:rsid w:val="00C373BF"/>
    <w:rsid w:val="00C37B15"/>
    <w:rsid w:val="00C37B19"/>
    <w:rsid w:val="00C37B38"/>
    <w:rsid w:val="00C40B87"/>
    <w:rsid w:val="00C41318"/>
    <w:rsid w:val="00C41349"/>
    <w:rsid w:val="00C413CB"/>
    <w:rsid w:val="00C41429"/>
    <w:rsid w:val="00C41558"/>
    <w:rsid w:val="00C41F9F"/>
    <w:rsid w:val="00C42752"/>
    <w:rsid w:val="00C42973"/>
    <w:rsid w:val="00C43426"/>
    <w:rsid w:val="00C45267"/>
    <w:rsid w:val="00C4542D"/>
    <w:rsid w:val="00C46A3D"/>
    <w:rsid w:val="00C46B95"/>
    <w:rsid w:val="00C4712A"/>
    <w:rsid w:val="00C476B5"/>
    <w:rsid w:val="00C478F8"/>
    <w:rsid w:val="00C47E99"/>
    <w:rsid w:val="00C5001E"/>
    <w:rsid w:val="00C5034F"/>
    <w:rsid w:val="00C505D2"/>
    <w:rsid w:val="00C50830"/>
    <w:rsid w:val="00C52436"/>
    <w:rsid w:val="00C52479"/>
    <w:rsid w:val="00C5266E"/>
    <w:rsid w:val="00C52C59"/>
    <w:rsid w:val="00C5349E"/>
    <w:rsid w:val="00C539FF"/>
    <w:rsid w:val="00C54215"/>
    <w:rsid w:val="00C544BD"/>
    <w:rsid w:val="00C54D3D"/>
    <w:rsid w:val="00C55A30"/>
    <w:rsid w:val="00C55E1C"/>
    <w:rsid w:val="00C56076"/>
    <w:rsid w:val="00C561FB"/>
    <w:rsid w:val="00C56384"/>
    <w:rsid w:val="00C567E9"/>
    <w:rsid w:val="00C56ED2"/>
    <w:rsid w:val="00C60F8C"/>
    <w:rsid w:val="00C61424"/>
    <w:rsid w:val="00C61794"/>
    <w:rsid w:val="00C617AE"/>
    <w:rsid w:val="00C623E3"/>
    <w:rsid w:val="00C62A48"/>
    <w:rsid w:val="00C62AC4"/>
    <w:rsid w:val="00C62B59"/>
    <w:rsid w:val="00C62F96"/>
    <w:rsid w:val="00C631E1"/>
    <w:rsid w:val="00C638D8"/>
    <w:rsid w:val="00C63A43"/>
    <w:rsid w:val="00C63AE7"/>
    <w:rsid w:val="00C63D26"/>
    <w:rsid w:val="00C64127"/>
    <w:rsid w:val="00C6540A"/>
    <w:rsid w:val="00C65CF7"/>
    <w:rsid w:val="00C668A1"/>
    <w:rsid w:val="00C66E72"/>
    <w:rsid w:val="00C67223"/>
    <w:rsid w:val="00C67F42"/>
    <w:rsid w:val="00C707B8"/>
    <w:rsid w:val="00C712AC"/>
    <w:rsid w:val="00C7158C"/>
    <w:rsid w:val="00C71C15"/>
    <w:rsid w:val="00C71F3D"/>
    <w:rsid w:val="00C72767"/>
    <w:rsid w:val="00C72AA4"/>
    <w:rsid w:val="00C72F53"/>
    <w:rsid w:val="00C74035"/>
    <w:rsid w:val="00C748EA"/>
    <w:rsid w:val="00C74921"/>
    <w:rsid w:val="00C76FB0"/>
    <w:rsid w:val="00C77818"/>
    <w:rsid w:val="00C8063F"/>
    <w:rsid w:val="00C808BE"/>
    <w:rsid w:val="00C8121A"/>
    <w:rsid w:val="00C81282"/>
    <w:rsid w:val="00C8155F"/>
    <w:rsid w:val="00C8198D"/>
    <w:rsid w:val="00C82167"/>
    <w:rsid w:val="00C827B4"/>
    <w:rsid w:val="00C83214"/>
    <w:rsid w:val="00C8329F"/>
    <w:rsid w:val="00C84E65"/>
    <w:rsid w:val="00C84F8A"/>
    <w:rsid w:val="00C85743"/>
    <w:rsid w:val="00C85846"/>
    <w:rsid w:val="00C85BA4"/>
    <w:rsid w:val="00C8618F"/>
    <w:rsid w:val="00C8625D"/>
    <w:rsid w:val="00C863FA"/>
    <w:rsid w:val="00C865AD"/>
    <w:rsid w:val="00C86612"/>
    <w:rsid w:val="00C87402"/>
    <w:rsid w:val="00C90372"/>
    <w:rsid w:val="00C9041F"/>
    <w:rsid w:val="00C9166B"/>
    <w:rsid w:val="00C91945"/>
    <w:rsid w:val="00C91A45"/>
    <w:rsid w:val="00C91BA5"/>
    <w:rsid w:val="00C91FB4"/>
    <w:rsid w:val="00C92150"/>
    <w:rsid w:val="00C92328"/>
    <w:rsid w:val="00C928D6"/>
    <w:rsid w:val="00C9292F"/>
    <w:rsid w:val="00C92D42"/>
    <w:rsid w:val="00C938C2"/>
    <w:rsid w:val="00C9397B"/>
    <w:rsid w:val="00C93F8A"/>
    <w:rsid w:val="00C942C2"/>
    <w:rsid w:val="00C94EA1"/>
    <w:rsid w:val="00C95745"/>
    <w:rsid w:val="00C95813"/>
    <w:rsid w:val="00C95902"/>
    <w:rsid w:val="00C95999"/>
    <w:rsid w:val="00C95CCD"/>
    <w:rsid w:val="00C962E3"/>
    <w:rsid w:val="00C968C9"/>
    <w:rsid w:val="00C978E2"/>
    <w:rsid w:val="00C97997"/>
    <w:rsid w:val="00CA10A2"/>
    <w:rsid w:val="00CA1D83"/>
    <w:rsid w:val="00CA1FEB"/>
    <w:rsid w:val="00CA25C0"/>
    <w:rsid w:val="00CA2BFB"/>
    <w:rsid w:val="00CA3451"/>
    <w:rsid w:val="00CA35C6"/>
    <w:rsid w:val="00CA475F"/>
    <w:rsid w:val="00CA4948"/>
    <w:rsid w:val="00CA52F9"/>
    <w:rsid w:val="00CA5368"/>
    <w:rsid w:val="00CA547B"/>
    <w:rsid w:val="00CA568B"/>
    <w:rsid w:val="00CA573A"/>
    <w:rsid w:val="00CA58E0"/>
    <w:rsid w:val="00CA5C58"/>
    <w:rsid w:val="00CA68B2"/>
    <w:rsid w:val="00CA73A1"/>
    <w:rsid w:val="00CA7656"/>
    <w:rsid w:val="00CA7FB0"/>
    <w:rsid w:val="00CB0CC1"/>
    <w:rsid w:val="00CB160B"/>
    <w:rsid w:val="00CB17D8"/>
    <w:rsid w:val="00CB19D7"/>
    <w:rsid w:val="00CB19FE"/>
    <w:rsid w:val="00CB1AAE"/>
    <w:rsid w:val="00CB1C3F"/>
    <w:rsid w:val="00CB1FCA"/>
    <w:rsid w:val="00CB2364"/>
    <w:rsid w:val="00CB24C5"/>
    <w:rsid w:val="00CB2FEE"/>
    <w:rsid w:val="00CB304C"/>
    <w:rsid w:val="00CB3933"/>
    <w:rsid w:val="00CB5010"/>
    <w:rsid w:val="00CB53E8"/>
    <w:rsid w:val="00CB594A"/>
    <w:rsid w:val="00CB5CB2"/>
    <w:rsid w:val="00CB6979"/>
    <w:rsid w:val="00CB7A04"/>
    <w:rsid w:val="00CB7DDE"/>
    <w:rsid w:val="00CB7F55"/>
    <w:rsid w:val="00CC01D8"/>
    <w:rsid w:val="00CC043E"/>
    <w:rsid w:val="00CC04F2"/>
    <w:rsid w:val="00CC0A3D"/>
    <w:rsid w:val="00CC22B8"/>
    <w:rsid w:val="00CC2FF0"/>
    <w:rsid w:val="00CC33B8"/>
    <w:rsid w:val="00CC3A84"/>
    <w:rsid w:val="00CC3C53"/>
    <w:rsid w:val="00CC3D24"/>
    <w:rsid w:val="00CC3F91"/>
    <w:rsid w:val="00CC405D"/>
    <w:rsid w:val="00CC47EE"/>
    <w:rsid w:val="00CC4ACD"/>
    <w:rsid w:val="00CC4B0A"/>
    <w:rsid w:val="00CC5387"/>
    <w:rsid w:val="00CC544A"/>
    <w:rsid w:val="00CC57EA"/>
    <w:rsid w:val="00CC5954"/>
    <w:rsid w:val="00CC5CF8"/>
    <w:rsid w:val="00CC5F4B"/>
    <w:rsid w:val="00CC629B"/>
    <w:rsid w:val="00CC66A2"/>
    <w:rsid w:val="00CC6C4E"/>
    <w:rsid w:val="00CC7709"/>
    <w:rsid w:val="00CC770A"/>
    <w:rsid w:val="00CC7B1F"/>
    <w:rsid w:val="00CD009D"/>
    <w:rsid w:val="00CD05A2"/>
    <w:rsid w:val="00CD1049"/>
    <w:rsid w:val="00CD29D4"/>
    <w:rsid w:val="00CD2B5C"/>
    <w:rsid w:val="00CD2CA1"/>
    <w:rsid w:val="00CD2FF3"/>
    <w:rsid w:val="00CD3323"/>
    <w:rsid w:val="00CD3324"/>
    <w:rsid w:val="00CD356A"/>
    <w:rsid w:val="00CD37AE"/>
    <w:rsid w:val="00CD38F5"/>
    <w:rsid w:val="00CD3BF2"/>
    <w:rsid w:val="00CD437E"/>
    <w:rsid w:val="00CD4AAF"/>
    <w:rsid w:val="00CD5DAD"/>
    <w:rsid w:val="00CD5FFB"/>
    <w:rsid w:val="00CD72C5"/>
    <w:rsid w:val="00CD74E3"/>
    <w:rsid w:val="00CD79A7"/>
    <w:rsid w:val="00CD7B44"/>
    <w:rsid w:val="00CD7FAD"/>
    <w:rsid w:val="00CE074B"/>
    <w:rsid w:val="00CE0789"/>
    <w:rsid w:val="00CE0E8D"/>
    <w:rsid w:val="00CE1A03"/>
    <w:rsid w:val="00CE233E"/>
    <w:rsid w:val="00CE2346"/>
    <w:rsid w:val="00CE25B2"/>
    <w:rsid w:val="00CE2748"/>
    <w:rsid w:val="00CE312F"/>
    <w:rsid w:val="00CE3529"/>
    <w:rsid w:val="00CE35C8"/>
    <w:rsid w:val="00CE3962"/>
    <w:rsid w:val="00CE43FA"/>
    <w:rsid w:val="00CE4D0A"/>
    <w:rsid w:val="00CE4D1A"/>
    <w:rsid w:val="00CE4E8A"/>
    <w:rsid w:val="00CE5105"/>
    <w:rsid w:val="00CE5525"/>
    <w:rsid w:val="00CE56BD"/>
    <w:rsid w:val="00CE5EC0"/>
    <w:rsid w:val="00CE68AD"/>
    <w:rsid w:val="00CE6BA5"/>
    <w:rsid w:val="00CE6EA4"/>
    <w:rsid w:val="00CE6F15"/>
    <w:rsid w:val="00CE6F9F"/>
    <w:rsid w:val="00CE781A"/>
    <w:rsid w:val="00CE7B08"/>
    <w:rsid w:val="00CE7B7A"/>
    <w:rsid w:val="00CE7D52"/>
    <w:rsid w:val="00CF0AAA"/>
    <w:rsid w:val="00CF0AB7"/>
    <w:rsid w:val="00CF1D74"/>
    <w:rsid w:val="00CF1F8D"/>
    <w:rsid w:val="00CF2BE2"/>
    <w:rsid w:val="00CF371A"/>
    <w:rsid w:val="00CF37C2"/>
    <w:rsid w:val="00CF3DE4"/>
    <w:rsid w:val="00CF3DEB"/>
    <w:rsid w:val="00CF42C9"/>
    <w:rsid w:val="00CF4363"/>
    <w:rsid w:val="00CF4626"/>
    <w:rsid w:val="00CF55F9"/>
    <w:rsid w:val="00CF578D"/>
    <w:rsid w:val="00CF63B2"/>
    <w:rsid w:val="00CF7074"/>
    <w:rsid w:val="00CF7495"/>
    <w:rsid w:val="00CF76D6"/>
    <w:rsid w:val="00D00314"/>
    <w:rsid w:val="00D01CF9"/>
    <w:rsid w:val="00D01F93"/>
    <w:rsid w:val="00D021E8"/>
    <w:rsid w:val="00D02AA3"/>
    <w:rsid w:val="00D0334D"/>
    <w:rsid w:val="00D0374D"/>
    <w:rsid w:val="00D0411B"/>
    <w:rsid w:val="00D05614"/>
    <w:rsid w:val="00D05D5C"/>
    <w:rsid w:val="00D06312"/>
    <w:rsid w:val="00D06B62"/>
    <w:rsid w:val="00D06D7B"/>
    <w:rsid w:val="00D06DA5"/>
    <w:rsid w:val="00D07191"/>
    <w:rsid w:val="00D07319"/>
    <w:rsid w:val="00D07813"/>
    <w:rsid w:val="00D07F1D"/>
    <w:rsid w:val="00D10558"/>
    <w:rsid w:val="00D10AA3"/>
    <w:rsid w:val="00D10EE8"/>
    <w:rsid w:val="00D11140"/>
    <w:rsid w:val="00D11739"/>
    <w:rsid w:val="00D119A6"/>
    <w:rsid w:val="00D11D4D"/>
    <w:rsid w:val="00D11DB1"/>
    <w:rsid w:val="00D126DC"/>
    <w:rsid w:val="00D12B03"/>
    <w:rsid w:val="00D13E70"/>
    <w:rsid w:val="00D13EE7"/>
    <w:rsid w:val="00D147BE"/>
    <w:rsid w:val="00D148A0"/>
    <w:rsid w:val="00D158D5"/>
    <w:rsid w:val="00D15ECD"/>
    <w:rsid w:val="00D15FCD"/>
    <w:rsid w:val="00D16C58"/>
    <w:rsid w:val="00D17019"/>
    <w:rsid w:val="00D1705A"/>
    <w:rsid w:val="00D17ABA"/>
    <w:rsid w:val="00D17D34"/>
    <w:rsid w:val="00D17FC8"/>
    <w:rsid w:val="00D2015B"/>
    <w:rsid w:val="00D202B2"/>
    <w:rsid w:val="00D207E7"/>
    <w:rsid w:val="00D20B44"/>
    <w:rsid w:val="00D21168"/>
    <w:rsid w:val="00D21A90"/>
    <w:rsid w:val="00D21C3A"/>
    <w:rsid w:val="00D2224A"/>
    <w:rsid w:val="00D22700"/>
    <w:rsid w:val="00D230BF"/>
    <w:rsid w:val="00D2385D"/>
    <w:rsid w:val="00D23AAD"/>
    <w:rsid w:val="00D23FB9"/>
    <w:rsid w:val="00D23FF4"/>
    <w:rsid w:val="00D2438C"/>
    <w:rsid w:val="00D247E0"/>
    <w:rsid w:val="00D2585A"/>
    <w:rsid w:val="00D25920"/>
    <w:rsid w:val="00D259B0"/>
    <w:rsid w:val="00D259C2"/>
    <w:rsid w:val="00D26586"/>
    <w:rsid w:val="00D26C3F"/>
    <w:rsid w:val="00D27185"/>
    <w:rsid w:val="00D27338"/>
    <w:rsid w:val="00D3028A"/>
    <w:rsid w:val="00D30E98"/>
    <w:rsid w:val="00D3125C"/>
    <w:rsid w:val="00D3214D"/>
    <w:rsid w:val="00D32A92"/>
    <w:rsid w:val="00D32CF5"/>
    <w:rsid w:val="00D33488"/>
    <w:rsid w:val="00D33AB3"/>
    <w:rsid w:val="00D33F24"/>
    <w:rsid w:val="00D34160"/>
    <w:rsid w:val="00D343BA"/>
    <w:rsid w:val="00D346B8"/>
    <w:rsid w:val="00D34DCA"/>
    <w:rsid w:val="00D35AC8"/>
    <w:rsid w:val="00D36F05"/>
    <w:rsid w:val="00D36F87"/>
    <w:rsid w:val="00D37DF9"/>
    <w:rsid w:val="00D37E4E"/>
    <w:rsid w:val="00D40672"/>
    <w:rsid w:val="00D417D8"/>
    <w:rsid w:val="00D41F78"/>
    <w:rsid w:val="00D42687"/>
    <w:rsid w:val="00D42ABC"/>
    <w:rsid w:val="00D42E6C"/>
    <w:rsid w:val="00D430A5"/>
    <w:rsid w:val="00D4351C"/>
    <w:rsid w:val="00D43B80"/>
    <w:rsid w:val="00D44348"/>
    <w:rsid w:val="00D4485C"/>
    <w:rsid w:val="00D44988"/>
    <w:rsid w:val="00D45828"/>
    <w:rsid w:val="00D45B4C"/>
    <w:rsid w:val="00D45BA4"/>
    <w:rsid w:val="00D45C8D"/>
    <w:rsid w:val="00D471AF"/>
    <w:rsid w:val="00D471E2"/>
    <w:rsid w:val="00D4724F"/>
    <w:rsid w:val="00D47A34"/>
    <w:rsid w:val="00D50252"/>
    <w:rsid w:val="00D50519"/>
    <w:rsid w:val="00D50702"/>
    <w:rsid w:val="00D50779"/>
    <w:rsid w:val="00D50D4C"/>
    <w:rsid w:val="00D51601"/>
    <w:rsid w:val="00D51EC3"/>
    <w:rsid w:val="00D51ECB"/>
    <w:rsid w:val="00D520DE"/>
    <w:rsid w:val="00D5264C"/>
    <w:rsid w:val="00D52BBC"/>
    <w:rsid w:val="00D537FE"/>
    <w:rsid w:val="00D53CC9"/>
    <w:rsid w:val="00D54A6A"/>
    <w:rsid w:val="00D54B8F"/>
    <w:rsid w:val="00D55848"/>
    <w:rsid w:val="00D55951"/>
    <w:rsid w:val="00D559F0"/>
    <w:rsid w:val="00D56455"/>
    <w:rsid w:val="00D5650F"/>
    <w:rsid w:val="00D56594"/>
    <w:rsid w:val="00D576A4"/>
    <w:rsid w:val="00D57EB6"/>
    <w:rsid w:val="00D608C0"/>
    <w:rsid w:val="00D60D6D"/>
    <w:rsid w:val="00D6128C"/>
    <w:rsid w:val="00D63B22"/>
    <w:rsid w:val="00D63DF9"/>
    <w:rsid w:val="00D66009"/>
    <w:rsid w:val="00D66A9F"/>
    <w:rsid w:val="00D66D8B"/>
    <w:rsid w:val="00D66F72"/>
    <w:rsid w:val="00D671B2"/>
    <w:rsid w:val="00D674BE"/>
    <w:rsid w:val="00D67863"/>
    <w:rsid w:val="00D70849"/>
    <w:rsid w:val="00D70DFA"/>
    <w:rsid w:val="00D72297"/>
    <w:rsid w:val="00D72A1C"/>
    <w:rsid w:val="00D72CC0"/>
    <w:rsid w:val="00D7308F"/>
    <w:rsid w:val="00D7313E"/>
    <w:rsid w:val="00D73396"/>
    <w:rsid w:val="00D73580"/>
    <w:rsid w:val="00D73802"/>
    <w:rsid w:val="00D73883"/>
    <w:rsid w:val="00D73C2C"/>
    <w:rsid w:val="00D73D52"/>
    <w:rsid w:val="00D73E70"/>
    <w:rsid w:val="00D745E7"/>
    <w:rsid w:val="00D74C25"/>
    <w:rsid w:val="00D75296"/>
    <w:rsid w:val="00D75FDA"/>
    <w:rsid w:val="00D774ED"/>
    <w:rsid w:val="00D776AD"/>
    <w:rsid w:val="00D777C3"/>
    <w:rsid w:val="00D7797C"/>
    <w:rsid w:val="00D77C44"/>
    <w:rsid w:val="00D77F88"/>
    <w:rsid w:val="00D8131B"/>
    <w:rsid w:val="00D81AFA"/>
    <w:rsid w:val="00D81EAA"/>
    <w:rsid w:val="00D81FE2"/>
    <w:rsid w:val="00D8259F"/>
    <w:rsid w:val="00D825F2"/>
    <w:rsid w:val="00D8285C"/>
    <w:rsid w:val="00D828B1"/>
    <w:rsid w:val="00D82A55"/>
    <w:rsid w:val="00D830F8"/>
    <w:rsid w:val="00D83174"/>
    <w:rsid w:val="00D83D49"/>
    <w:rsid w:val="00D84181"/>
    <w:rsid w:val="00D846AD"/>
    <w:rsid w:val="00D84754"/>
    <w:rsid w:val="00D84F27"/>
    <w:rsid w:val="00D853F0"/>
    <w:rsid w:val="00D85862"/>
    <w:rsid w:val="00D85892"/>
    <w:rsid w:val="00D85B03"/>
    <w:rsid w:val="00D86D47"/>
    <w:rsid w:val="00D8710C"/>
    <w:rsid w:val="00D871CE"/>
    <w:rsid w:val="00D873C6"/>
    <w:rsid w:val="00D87819"/>
    <w:rsid w:val="00D878A3"/>
    <w:rsid w:val="00D87FA5"/>
    <w:rsid w:val="00D9074A"/>
    <w:rsid w:val="00D9099E"/>
    <w:rsid w:val="00D90E18"/>
    <w:rsid w:val="00D9193A"/>
    <w:rsid w:val="00D91D05"/>
    <w:rsid w:val="00D923B2"/>
    <w:rsid w:val="00D92463"/>
    <w:rsid w:val="00D924E7"/>
    <w:rsid w:val="00D927B5"/>
    <w:rsid w:val="00D92981"/>
    <w:rsid w:val="00D92C81"/>
    <w:rsid w:val="00D93037"/>
    <w:rsid w:val="00D93E64"/>
    <w:rsid w:val="00D93F64"/>
    <w:rsid w:val="00D94CA4"/>
    <w:rsid w:val="00D95E99"/>
    <w:rsid w:val="00D965D5"/>
    <w:rsid w:val="00D96F7C"/>
    <w:rsid w:val="00D9714B"/>
    <w:rsid w:val="00D97DA2"/>
    <w:rsid w:val="00DA0485"/>
    <w:rsid w:val="00DA1A3A"/>
    <w:rsid w:val="00DA1FC3"/>
    <w:rsid w:val="00DA2351"/>
    <w:rsid w:val="00DA249E"/>
    <w:rsid w:val="00DA2D3D"/>
    <w:rsid w:val="00DA35D9"/>
    <w:rsid w:val="00DA3855"/>
    <w:rsid w:val="00DA39BA"/>
    <w:rsid w:val="00DA3A03"/>
    <w:rsid w:val="00DA4C30"/>
    <w:rsid w:val="00DA52B3"/>
    <w:rsid w:val="00DA538E"/>
    <w:rsid w:val="00DA5FB3"/>
    <w:rsid w:val="00DA6980"/>
    <w:rsid w:val="00DA6A44"/>
    <w:rsid w:val="00DA7A3C"/>
    <w:rsid w:val="00DB145E"/>
    <w:rsid w:val="00DB1A94"/>
    <w:rsid w:val="00DB1D52"/>
    <w:rsid w:val="00DB1E2B"/>
    <w:rsid w:val="00DB1F62"/>
    <w:rsid w:val="00DB21E7"/>
    <w:rsid w:val="00DB2E03"/>
    <w:rsid w:val="00DB3742"/>
    <w:rsid w:val="00DB38F2"/>
    <w:rsid w:val="00DB3C5A"/>
    <w:rsid w:val="00DB3E9B"/>
    <w:rsid w:val="00DB3F4B"/>
    <w:rsid w:val="00DB495F"/>
    <w:rsid w:val="00DB4A80"/>
    <w:rsid w:val="00DB5375"/>
    <w:rsid w:val="00DB6003"/>
    <w:rsid w:val="00DB6103"/>
    <w:rsid w:val="00DB6769"/>
    <w:rsid w:val="00DB67C1"/>
    <w:rsid w:val="00DB6C0B"/>
    <w:rsid w:val="00DB70F4"/>
    <w:rsid w:val="00DB748A"/>
    <w:rsid w:val="00DB7AC2"/>
    <w:rsid w:val="00DB7CB7"/>
    <w:rsid w:val="00DC1056"/>
    <w:rsid w:val="00DC1442"/>
    <w:rsid w:val="00DC1781"/>
    <w:rsid w:val="00DC21D8"/>
    <w:rsid w:val="00DC282A"/>
    <w:rsid w:val="00DC2DE8"/>
    <w:rsid w:val="00DC3054"/>
    <w:rsid w:val="00DC34DC"/>
    <w:rsid w:val="00DC3780"/>
    <w:rsid w:val="00DC3ADA"/>
    <w:rsid w:val="00DC3CC6"/>
    <w:rsid w:val="00DC3F55"/>
    <w:rsid w:val="00DC4782"/>
    <w:rsid w:val="00DC4B02"/>
    <w:rsid w:val="00DC514A"/>
    <w:rsid w:val="00DC67B1"/>
    <w:rsid w:val="00DC7EAE"/>
    <w:rsid w:val="00DC7FBC"/>
    <w:rsid w:val="00DD0019"/>
    <w:rsid w:val="00DD132B"/>
    <w:rsid w:val="00DD1571"/>
    <w:rsid w:val="00DD1725"/>
    <w:rsid w:val="00DD2159"/>
    <w:rsid w:val="00DD218B"/>
    <w:rsid w:val="00DD28BA"/>
    <w:rsid w:val="00DD2A18"/>
    <w:rsid w:val="00DD3044"/>
    <w:rsid w:val="00DD33D1"/>
    <w:rsid w:val="00DD3985"/>
    <w:rsid w:val="00DD5A55"/>
    <w:rsid w:val="00DD61E8"/>
    <w:rsid w:val="00DD62C0"/>
    <w:rsid w:val="00DD63F8"/>
    <w:rsid w:val="00DD64DE"/>
    <w:rsid w:val="00DD66DE"/>
    <w:rsid w:val="00DD7197"/>
    <w:rsid w:val="00DD76DA"/>
    <w:rsid w:val="00DD7859"/>
    <w:rsid w:val="00DD7B41"/>
    <w:rsid w:val="00DE0784"/>
    <w:rsid w:val="00DE0A1D"/>
    <w:rsid w:val="00DE1584"/>
    <w:rsid w:val="00DE15B2"/>
    <w:rsid w:val="00DE1A9A"/>
    <w:rsid w:val="00DE3D2C"/>
    <w:rsid w:val="00DE57D0"/>
    <w:rsid w:val="00DE5E82"/>
    <w:rsid w:val="00DE5EC5"/>
    <w:rsid w:val="00DE5F7F"/>
    <w:rsid w:val="00DE5FA6"/>
    <w:rsid w:val="00DE5FC9"/>
    <w:rsid w:val="00DE6792"/>
    <w:rsid w:val="00DE6AA1"/>
    <w:rsid w:val="00DE77A3"/>
    <w:rsid w:val="00DE7EF7"/>
    <w:rsid w:val="00DF015B"/>
    <w:rsid w:val="00DF02EC"/>
    <w:rsid w:val="00DF0404"/>
    <w:rsid w:val="00DF10FC"/>
    <w:rsid w:val="00DF1185"/>
    <w:rsid w:val="00DF1299"/>
    <w:rsid w:val="00DF132C"/>
    <w:rsid w:val="00DF155A"/>
    <w:rsid w:val="00DF1620"/>
    <w:rsid w:val="00DF1A70"/>
    <w:rsid w:val="00DF1E5F"/>
    <w:rsid w:val="00DF224B"/>
    <w:rsid w:val="00DF23A8"/>
    <w:rsid w:val="00DF2EE1"/>
    <w:rsid w:val="00DF2F27"/>
    <w:rsid w:val="00DF36B6"/>
    <w:rsid w:val="00DF4296"/>
    <w:rsid w:val="00DF4E8F"/>
    <w:rsid w:val="00DF5267"/>
    <w:rsid w:val="00DF53F0"/>
    <w:rsid w:val="00DF5700"/>
    <w:rsid w:val="00DF5F38"/>
    <w:rsid w:val="00DF604C"/>
    <w:rsid w:val="00DF6075"/>
    <w:rsid w:val="00DF6608"/>
    <w:rsid w:val="00DF6CCC"/>
    <w:rsid w:val="00DF6D0C"/>
    <w:rsid w:val="00DF6F64"/>
    <w:rsid w:val="00DF721E"/>
    <w:rsid w:val="00DF72F3"/>
    <w:rsid w:val="00DF73CD"/>
    <w:rsid w:val="00DF7549"/>
    <w:rsid w:val="00DF78D0"/>
    <w:rsid w:val="00DF7B8A"/>
    <w:rsid w:val="00DF7C87"/>
    <w:rsid w:val="00E009B0"/>
    <w:rsid w:val="00E00A12"/>
    <w:rsid w:val="00E00B39"/>
    <w:rsid w:val="00E00C49"/>
    <w:rsid w:val="00E01C9C"/>
    <w:rsid w:val="00E01D7A"/>
    <w:rsid w:val="00E01FF4"/>
    <w:rsid w:val="00E0219D"/>
    <w:rsid w:val="00E030D1"/>
    <w:rsid w:val="00E032D9"/>
    <w:rsid w:val="00E03D4C"/>
    <w:rsid w:val="00E04482"/>
    <w:rsid w:val="00E04C0F"/>
    <w:rsid w:val="00E05510"/>
    <w:rsid w:val="00E0570B"/>
    <w:rsid w:val="00E05B1D"/>
    <w:rsid w:val="00E069C5"/>
    <w:rsid w:val="00E102E1"/>
    <w:rsid w:val="00E1065D"/>
    <w:rsid w:val="00E10913"/>
    <w:rsid w:val="00E10B87"/>
    <w:rsid w:val="00E121CE"/>
    <w:rsid w:val="00E12209"/>
    <w:rsid w:val="00E12FE9"/>
    <w:rsid w:val="00E1362E"/>
    <w:rsid w:val="00E144C4"/>
    <w:rsid w:val="00E14585"/>
    <w:rsid w:val="00E1478B"/>
    <w:rsid w:val="00E14FAC"/>
    <w:rsid w:val="00E15007"/>
    <w:rsid w:val="00E15102"/>
    <w:rsid w:val="00E15DC6"/>
    <w:rsid w:val="00E16277"/>
    <w:rsid w:val="00E16EC7"/>
    <w:rsid w:val="00E17DCC"/>
    <w:rsid w:val="00E20627"/>
    <w:rsid w:val="00E219CE"/>
    <w:rsid w:val="00E21D93"/>
    <w:rsid w:val="00E22A86"/>
    <w:rsid w:val="00E22D2A"/>
    <w:rsid w:val="00E24071"/>
    <w:rsid w:val="00E24142"/>
    <w:rsid w:val="00E24DCA"/>
    <w:rsid w:val="00E24EBC"/>
    <w:rsid w:val="00E2522C"/>
    <w:rsid w:val="00E2552F"/>
    <w:rsid w:val="00E2599B"/>
    <w:rsid w:val="00E2656E"/>
    <w:rsid w:val="00E26759"/>
    <w:rsid w:val="00E2710C"/>
    <w:rsid w:val="00E272BD"/>
    <w:rsid w:val="00E27428"/>
    <w:rsid w:val="00E305B4"/>
    <w:rsid w:val="00E305DE"/>
    <w:rsid w:val="00E31AFA"/>
    <w:rsid w:val="00E31CB7"/>
    <w:rsid w:val="00E32463"/>
    <w:rsid w:val="00E324EE"/>
    <w:rsid w:val="00E3367B"/>
    <w:rsid w:val="00E34D2F"/>
    <w:rsid w:val="00E34DB1"/>
    <w:rsid w:val="00E35931"/>
    <w:rsid w:val="00E359FF"/>
    <w:rsid w:val="00E36337"/>
    <w:rsid w:val="00E3699A"/>
    <w:rsid w:val="00E371E1"/>
    <w:rsid w:val="00E37BFE"/>
    <w:rsid w:val="00E402C5"/>
    <w:rsid w:val="00E402F4"/>
    <w:rsid w:val="00E405F1"/>
    <w:rsid w:val="00E4076D"/>
    <w:rsid w:val="00E40913"/>
    <w:rsid w:val="00E417DB"/>
    <w:rsid w:val="00E41998"/>
    <w:rsid w:val="00E41BB1"/>
    <w:rsid w:val="00E423C5"/>
    <w:rsid w:val="00E427A0"/>
    <w:rsid w:val="00E43054"/>
    <w:rsid w:val="00E432D1"/>
    <w:rsid w:val="00E433B4"/>
    <w:rsid w:val="00E43655"/>
    <w:rsid w:val="00E44440"/>
    <w:rsid w:val="00E44A8B"/>
    <w:rsid w:val="00E45958"/>
    <w:rsid w:val="00E46013"/>
    <w:rsid w:val="00E4673F"/>
    <w:rsid w:val="00E46839"/>
    <w:rsid w:val="00E46DAD"/>
    <w:rsid w:val="00E47099"/>
    <w:rsid w:val="00E47284"/>
    <w:rsid w:val="00E477C3"/>
    <w:rsid w:val="00E5017E"/>
    <w:rsid w:val="00E50734"/>
    <w:rsid w:val="00E5140B"/>
    <w:rsid w:val="00E51E16"/>
    <w:rsid w:val="00E5290C"/>
    <w:rsid w:val="00E52990"/>
    <w:rsid w:val="00E52DED"/>
    <w:rsid w:val="00E53593"/>
    <w:rsid w:val="00E53730"/>
    <w:rsid w:val="00E5410A"/>
    <w:rsid w:val="00E5438D"/>
    <w:rsid w:val="00E54511"/>
    <w:rsid w:val="00E54E50"/>
    <w:rsid w:val="00E55288"/>
    <w:rsid w:val="00E56429"/>
    <w:rsid w:val="00E5682A"/>
    <w:rsid w:val="00E57577"/>
    <w:rsid w:val="00E57CDA"/>
    <w:rsid w:val="00E600E5"/>
    <w:rsid w:val="00E60F05"/>
    <w:rsid w:val="00E62043"/>
    <w:rsid w:val="00E626B9"/>
    <w:rsid w:val="00E627C9"/>
    <w:rsid w:val="00E630F3"/>
    <w:rsid w:val="00E6332F"/>
    <w:rsid w:val="00E637A5"/>
    <w:rsid w:val="00E637C9"/>
    <w:rsid w:val="00E6402D"/>
    <w:rsid w:val="00E64322"/>
    <w:rsid w:val="00E64A19"/>
    <w:rsid w:val="00E65AE0"/>
    <w:rsid w:val="00E6680A"/>
    <w:rsid w:val="00E66960"/>
    <w:rsid w:val="00E669E3"/>
    <w:rsid w:val="00E66D44"/>
    <w:rsid w:val="00E66F0D"/>
    <w:rsid w:val="00E679F6"/>
    <w:rsid w:val="00E67BFA"/>
    <w:rsid w:val="00E7004F"/>
    <w:rsid w:val="00E70615"/>
    <w:rsid w:val="00E7159E"/>
    <w:rsid w:val="00E7161E"/>
    <w:rsid w:val="00E71BE3"/>
    <w:rsid w:val="00E72004"/>
    <w:rsid w:val="00E7207B"/>
    <w:rsid w:val="00E722CF"/>
    <w:rsid w:val="00E72880"/>
    <w:rsid w:val="00E7347A"/>
    <w:rsid w:val="00E73798"/>
    <w:rsid w:val="00E7384D"/>
    <w:rsid w:val="00E75383"/>
    <w:rsid w:val="00E75A36"/>
    <w:rsid w:val="00E75A47"/>
    <w:rsid w:val="00E75BB6"/>
    <w:rsid w:val="00E75C2B"/>
    <w:rsid w:val="00E75D8C"/>
    <w:rsid w:val="00E7719C"/>
    <w:rsid w:val="00E7757E"/>
    <w:rsid w:val="00E777F2"/>
    <w:rsid w:val="00E802C9"/>
    <w:rsid w:val="00E80BFB"/>
    <w:rsid w:val="00E80EC2"/>
    <w:rsid w:val="00E80F0A"/>
    <w:rsid w:val="00E81334"/>
    <w:rsid w:val="00E815D4"/>
    <w:rsid w:val="00E818FD"/>
    <w:rsid w:val="00E819BA"/>
    <w:rsid w:val="00E8291B"/>
    <w:rsid w:val="00E82E70"/>
    <w:rsid w:val="00E82F92"/>
    <w:rsid w:val="00E8395F"/>
    <w:rsid w:val="00E83C3D"/>
    <w:rsid w:val="00E83ECB"/>
    <w:rsid w:val="00E8408E"/>
    <w:rsid w:val="00E8410F"/>
    <w:rsid w:val="00E84358"/>
    <w:rsid w:val="00E84650"/>
    <w:rsid w:val="00E849D7"/>
    <w:rsid w:val="00E8559B"/>
    <w:rsid w:val="00E85868"/>
    <w:rsid w:val="00E85E41"/>
    <w:rsid w:val="00E85EA1"/>
    <w:rsid w:val="00E86703"/>
    <w:rsid w:val="00E86C01"/>
    <w:rsid w:val="00E87F57"/>
    <w:rsid w:val="00E900DA"/>
    <w:rsid w:val="00E91044"/>
    <w:rsid w:val="00E910D3"/>
    <w:rsid w:val="00E91CBA"/>
    <w:rsid w:val="00E92097"/>
    <w:rsid w:val="00E92154"/>
    <w:rsid w:val="00E923CF"/>
    <w:rsid w:val="00E93685"/>
    <w:rsid w:val="00E93B65"/>
    <w:rsid w:val="00E93C8C"/>
    <w:rsid w:val="00E93FED"/>
    <w:rsid w:val="00E94F33"/>
    <w:rsid w:val="00E95111"/>
    <w:rsid w:val="00E95D57"/>
    <w:rsid w:val="00E95FDF"/>
    <w:rsid w:val="00E960AD"/>
    <w:rsid w:val="00E9677F"/>
    <w:rsid w:val="00E96898"/>
    <w:rsid w:val="00E97043"/>
    <w:rsid w:val="00E97A16"/>
    <w:rsid w:val="00EA0185"/>
    <w:rsid w:val="00EA02A8"/>
    <w:rsid w:val="00EA14C8"/>
    <w:rsid w:val="00EA2110"/>
    <w:rsid w:val="00EA24AF"/>
    <w:rsid w:val="00EA283A"/>
    <w:rsid w:val="00EA2C90"/>
    <w:rsid w:val="00EA2E07"/>
    <w:rsid w:val="00EA2FF3"/>
    <w:rsid w:val="00EA383B"/>
    <w:rsid w:val="00EA44ED"/>
    <w:rsid w:val="00EA48F3"/>
    <w:rsid w:val="00EA4D46"/>
    <w:rsid w:val="00EA526B"/>
    <w:rsid w:val="00EA60BF"/>
    <w:rsid w:val="00EA6C71"/>
    <w:rsid w:val="00EA71B5"/>
    <w:rsid w:val="00EA7365"/>
    <w:rsid w:val="00EA763F"/>
    <w:rsid w:val="00EA77E9"/>
    <w:rsid w:val="00EA7BBA"/>
    <w:rsid w:val="00EA7E61"/>
    <w:rsid w:val="00EB0548"/>
    <w:rsid w:val="00EB05D0"/>
    <w:rsid w:val="00EB1151"/>
    <w:rsid w:val="00EB1D49"/>
    <w:rsid w:val="00EB23D9"/>
    <w:rsid w:val="00EB39A0"/>
    <w:rsid w:val="00EB430A"/>
    <w:rsid w:val="00EB4CB9"/>
    <w:rsid w:val="00EB4EF7"/>
    <w:rsid w:val="00EB559F"/>
    <w:rsid w:val="00EB566C"/>
    <w:rsid w:val="00EB5A18"/>
    <w:rsid w:val="00EB5D09"/>
    <w:rsid w:val="00EB5F3D"/>
    <w:rsid w:val="00EB60B2"/>
    <w:rsid w:val="00EB6C97"/>
    <w:rsid w:val="00EB7E87"/>
    <w:rsid w:val="00EC0317"/>
    <w:rsid w:val="00EC1CEB"/>
    <w:rsid w:val="00EC1DC0"/>
    <w:rsid w:val="00EC1DC2"/>
    <w:rsid w:val="00EC1E09"/>
    <w:rsid w:val="00EC210E"/>
    <w:rsid w:val="00EC21EC"/>
    <w:rsid w:val="00EC24B8"/>
    <w:rsid w:val="00EC268C"/>
    <w:rsid w:val="00EC3753"/>
    <w:rsid w:val="00EC3FB6"/>
    <w:rsid w:val="00EC471E"/>
    <w:rsid w:val="00EC4E71"/>
    <w:rsid w:val="00EC5409"/>
    <w:rsid w:val="00EC581D"/>
    <w:rsid w:val="00EC5B29"/>
    <w:rsid w:val="00EC5BC4"/>
    <w:rsid w:val="00EC5F1C"/>
    <w:rsid w:val="00EC7AEB"/>
    <w:rsid w:val="00ED033A"/>
    <w:rsid w:val="00ED0365"/>
    <w:rsid w:val="00ED0512"/>
    <w:rsid w:val="00ED0865"/>
    <w:rsid w:val="00ED0C1C"/>
    <w:rsid w:val="00ED1353"/>
    <w:rsid w:val="00ED1C60"/>
    <w:rsid w:val="00ED2EB9"/>
    <w:rsid w:val="00ED3722"/>
    <w:rsid w:val="00ED3A31"/>
    <w:rsid w:val="00ED4214"/>
    <w:rsid w:val="00ED4469"/>
    <w:rsid w:val="00ED5424"/>
    <w:rsid w:val="00ED5F23"/>
    <w:rsid w:val="00ED6DC0"/>
    <w:rsid w:val="00ED7A7A"/>
    <w:rsid w:val="00ED7F9C"/>
    <w:rsid w:val="00EE0327"/>
    <w:rsid w:val="00EE038C"/>
    <w:rsid w:val="00EE060A"/>
    <w:rsid w:val="00EE105A"/>
    <w:rsid w:val="00EE187A"/>
    <w:rsid w:val="00EE1D00"/>
    <w:rsid w:val="00EE1F23"/>
    <w:rsid w:val="00EE21F9"/>
    <w:rsid w:val="00EE259E"/>
    <w:rsid w:val="00EE25C8"/>
    <w:rsid w:val="00EE28C5"/>
    <w:rsid w:val="00EE2F09"/>
    <w:rsid w:val="00EE3244"/>
    <w:rsid w:val="00EE3FB2"/>
    <w:rsid w:val="00EE47C5"/>
    <w:rsid w:val="00EE490C"/>
    <w:rsid w:val="00EE4E57"/>
    <w:rsid w:val="00EE5738"/>
    <w:rsid w:val="00EE58BD"/>
    <w:rsid w:val="00EE5DDB"/>
    <w:rsid w:val="00EE5E59"/>
    <w:rsid w:val="00EE6108"/>
    <w:rsid w:val="00EE706B"/>
    <w:rsid w:val="00EE73D0"/>
    <w:rsid w:val="00EE7CB0"/>
    <w:rsid w:val="00EE7CD1"/>
    <w:rsid w:val="00EF08A8"/>
    <w:rsid w:val="00EF167B"/>
    <w:rsid w:val="00EF1C90"/>
    <w:rsid w:val="00EF2496"/>
    <w:rsid w:val="00EF2647"/>
    <w:rsid w:val="00EF270A"/>
    <w:rsid w:val="00EF41A8"/>
    <w:rsid w:val="00EF44FB"/>
    <w:rsid w:val="00EF474F"/>
    <w:rsid w:val="00EF5122"/>
    <w:rsid w:val="00EF5554"/>
    <w:rsid w:val="00EF5AD8"/>
    <w:rsid w:val="00EF6B90"/>
    <w:rsid w:val="00EF6DD7"/>
    <w:rsid w:val="00EF70C9"/>
    <w:rsid w:val="00EF741E"/>
    <w:rsid w:val="00EF7807"/>
    <w:rsid w:val="00EF79F7"/>
    <w:rsid w:val="00F006C0"/>
    <w:rsid w:val="00F00EB1"/>
    <w:rsid w:val="00F0125F"/>
    <w:rsid w:val="00F0176A"/>
    <w:rsid w:val="00F019AA"/>
    <w:rsid w:val="00F0267E"/>
    <w:rsid w:val="00F02686"/>
    <w:rsid w:val="00F030C0"/>
    <w:rsid w:val="00F03114"/>
    <w:rsid w:val="00F03291"/>
    <w:rsid w:val="00F03A85"/>
    <w:rsid w:val="00F04052"/>
    <w:rsid w:val="00F04314"/>
    <w:rsid w:val="00F0459B"/>
    <w:rsid w:val="00F04E15"/>
    <w:rsid w:val="00F056EC"/>
    <w:rsid w:val="00F05DF3"/>
    <w:rsid w:val="00F06829"/>
    <w:rsid w:val="00F069EA"/>
    <w:rsid w:val="00F06A4B"/>
    <w:rsid w:val="00F06A69"/>
    <w:rsid w:val="00F070E5"/>
    <w:rsid w:val="00F07D5E"/>
    <w:rsid w:val="00F07DDE"/>
    <w:rsid w:val="00F10396"/>
    <w:rsid w:val="00F10F30"/>
    <w:rsid w:val="00F11675"/>
    <w:rsid w:val="00F123DA"/>
    <w:rsid w:val="00F12557"/>
    <w:rsid w:val="00F1268D"/>
    <w:rsid w:val="00F127C8"/>
    <w:rsid w:val="00F12881"/>
    <w:rsid w:val="00F12C62"/>
    <w:rsid w:val="00F13321"/>
    <w:rsid w:val="00F134BA"/>
    <w:rsid w:val="00F13599"/>
    <w:rsid w:val="00F13A71"/>
    <w:rsid w:val="00F13B28"/>
    <w:rsid w:val="00F14DCD"/>
    <w:rsid w:val="00F151AB"/>
    <w:rsid w:val="00F156A0"/>
    <w:rsid w:val="00F15730"/>
    <w:rsid w:val="00F15AB9"/>
    <w:rsid w:val="00F16B7A"/>
    <w:rsid w:val="00F16CE3"/>
    <w:rsid w:val="00F176A6"/>
    <w:rsid w:val="00F17A24"/>
    <w:rsid w:val="00F202C2"/>
    <w:rsid w:val="00F204B3"/>
    <w:rsid w:val="00F20C3D"/>
    <w:rsid w:val="00F2124C"/>
    <w:rsid w:val="00F212F6"/>
    <w:rsid w:val="00F217F8"/>
    <w:rsid w:val="00F2190F"/>
    <w:rsid w:val="00F21B3B"/>
    <w:rsid w:val="00F22756"/>
    <w:rsid w:val="00F23248"/>
    <w:rsid w:val="00F23700"/>
    <w:rsid w:val="00F23890"/>
    <w:rsid w:val="00F23CD8"/>
    <w:rsid w:val="00F249A1"/>
    <w:rsid w:val="00F24FBA"/>
    <w:rsid w:val="00F2504D"/>
    <w:rsid w:val="00F2595D"/>
    <w:rsid w:val="00F25B26"/>
    <w:rsid w:val="00F2637F"/>
    <w:rsid w:val="00F268F7"/>
    <w:rsid w:val="00F30B83"/>
    <w:rsid w:val="00F30BDB"/>
    <w:rsid w:val="00F30CF8"/>
    <w:rsid w:val="00F31402"/>
    <w:rsid w:val="00F31EDF"/>
    <w:rsid w:val="00F32507"/>
    <w:rsid w:val="00F327D9"/>
    <w:rsid w:val="00F32CDE"/>
    <w:rsid w:val="00F32D4C"/>
    <w:rsid w:val="00F3327E"/>
    <w:rsid w:val="00F3343C"/>
    <w:rsid w:val="00F33746"/>
    <w:rsid w:val="00F33895"/>
    <w:rsid w:val="00F338C3"/>
    <w:rsid w:val="00F3401D"/>
    <w:rsid w:val="00F34B14"/>
    <w:rsid w:val="00F34CF1"/>
    <w:rsid w:val="00F34E35"/>
    <w:rsid w:val="00F34F58"/>
    <w:rsid w:val="00F3572F"/>
    <w:rsid w:val="00F35750"/>
    <w:rsid w:val="00F35DA7"/>
    <w:rsid w:val="00F35E35"/>
    <w:rsid w:val="00F36A6A"/>
    <w:rsid w:val="00F40101"/>
    <w:rsid w:val="00F404F7"/>
    <w:rsid w:val="00F40CCA"/>
    <w:rsid w:val="00F41968"/>
    <w:rsid w:val="00F41E02"/>
    <w:rsid w:val="00F42AA4"/>
    <w:rsid w:val="00F42D97"/>
    <w:rsid w:val="00F42F0E"/>
    <w:rsid w:val="00F42FCF"/>
    <w:rsid w:val="00F436B2"/>
    <w:rsid w:val="00F43813"/>
    <w:rsid w:val="00F43FEE"/>
    <w:rsid w:val="00F440B0"/>
    <w:rsid w:val="00F44114"/>
    <w:rsid w:val="00F4492F"/>
    <w:rsid w:val="00F44D46"/>
    <w:rsid w:val="00F45030"/>
    <w:rsid w:val="00F45A72"/>
    <w:rsid w:val="00F46723"/>
    <w:rsid w:val="00F46A81"/>
    <w:rsid w:val="00F4706D"/>
    <w:rsid w:val="00F47309"/>
    <w:rsid w:val="00F476E1"/>
    <w:rsid w:val="00F47855"/>
    <w:rsid w:val="00F47D1D"/>
    <w:rsid w:val="00F47F29"/>
    <w:rsid w:val="00F50016"/>
    <w:rsid w:val="00F5118A"/>
    <w:rsid w:val="00F515F3"/>
    <w:rsid w:val="00F51A21"/>
    <w:rsid w:val="00F51A35"/>
    <w:rsid w:val="00F523B9"/>
    <w:rsid w:val="00F52614"/>
    <w:rsid w:val="00F5276E"/>
    <w:rsid w:val="00F52E9F"/>
    <w:rsid w:val="00F532B2"/>
    <w:rsid w:val="00F53304"/>
    <w:rsid w:val="00F534C0"/>
    <w:rsid w:val="00F53B81"/>
    <w:rsid w:val="00F53C15"/>
    <w:rsid w:val="00F540FE"/>
    <w:rsid w:val="00F542F3"/>
    <w:rsid w:val="00F5459A"/>
    <w:rsid w:val="00F556FF"/>
    <w:rsid w:val="00F55D12"/>
    <w:rsid w:val="00F56836"/>
    <w:rsid w:val="00F5687F"/>
    <w:rsid w:val="00F56A02"/>
    <w:rsid w:val="00F56B58"/>
    <w:rsid w:val="00F56D3F"/>
    <w:rsid w:val="00F571AD"/>
    <w:rsid w:val="00F5725B"/>
    <w:rsid w:val="00F575C7"/>
    <w:rsid w:val="00F57CC1"/>
    <w:rsid w:val="00F57DF7"/>
    <w:rsid w:val="00F57FD0"/>
    <w:rsid w:val="00F60305"/>
    <w:rsid w:val="00F61B12"/>
    <w:rsid w:val="00F61C70"/>
    <w:rsid w:val="00F627D8"/>
    <w:rsid w:val="00F62869"/>
    <w:rsid w:val="00F62ED4"/>
    <w:rsid w:val="00F63264"/>
    <w:rsid w:val="00F634E4"/>
    <w:rsid w:val="00F6379E"/>
    <w:rsid w:val="00F64047"/>
    <w:rsid w:val="00F65171"/>
    <w:rsid w:val="00F6533A"/>
    <w:rsid w:val="00F6560D"/>
    <w:rsid w:val="00F6676A"/>
    <w:rsid w:val="00F669BD"/>
    <w:rsid w:val="00F67844"/>
    <w:rsid w:val="00F67B09"/>
    <w:rsid w:val="00F70221"/>
    <w:rsid w:val="00F705F6"/>
    <w:rsid w:val="00F70795"/>
    <w:rsid w:val="00F70799"/>
    <w:rsid w:val="00F70A8B"/>
    <w:rsid w:val="00F70B8D"/>
    <w:rsid w:val="00F70F0F"/>
    <w:rsid w:val="00F71236"/>
    <w:rsid w:val="00F71936"/>
    <w:rsid w:val="00F71F81"/>
    <w:rsid w:val="00F724FB"/>
    <w:rsid w:val="00F726B8"/>
    <w:rsid w:val="00F72A26"/>
    <w:rsid w:val="00F733C3"/>
    <w:rsid w:val="00F73E15"/>
    <w:rsid w:val="00F746A1"/>
    <w:rsid w:val="00F74820"/>
    <w:rsid w:val="00F74F08"/>
    <w:rsid w:val="00F7506D"/>
    <w:rsid w:val="00F755DD"/>
    <w:rsid w:val="00F756DD"/>
    <w:rsid w:val="00F77F4E"/>
    <w:rsid w:val="00F80047"/>
    <w:rsid w:val="00F800C7"/>
    <w:rsid w:val="00F8010B"/>
    <w:rsid w:val="00F80361"/>
    <w:rsid w:val="00F8104D"/>
    <w:rsid w:val="00F8153F"/>
    <w:rsid w:val="00F81587"/>
    <w:rsid w:val="00F819C3"/>
    <w:rsid w:val="00F81B2A"/>
    <w:rsid w:val="00F81B4C"/>
    <w:rsid w:val="00F81C12"/>
    <w:rsid w:val="00F81D9A"/>
    <w:rsid w:val="00F81DE7"/>
    <w:rsid w:val="00F8263C"/>
    <w:rsid w:val="00F8288F"/>
    <w:rsid w:val="00F82DD3"/>
    <w:rsid w:val="00F8376E"/>
    <w:rsid w:val="00F83C52"/>
    <w:rsid w:val="00F840EC"/>
    <w:rsid w:val="00F84802"/>
    <w:rsid w:val="00F84948"/>
    <w:rsid w:val="00F84B25"/>
    <w:rsid w:val="00F85B72"/>
    <w:rsid w:val="00F8652A"/>
    <w:rsid w:val="00F86540"/>
    <w:rsid w:val="00F865CE"/>
    <w:rsid w:val="00F8766F"/>
    <w:rsid w:val="00F901B3"/>
    <w:rsid w:val="00F90282"/>
    <w:rsid w:val="00F90BC8"/>
    <w:rsid w:val="00F91082"/>
    <w:rsid w:val="00F9116D"/>
    <w:rsid w:val="00F91171"/>
    <w:rsid w:val="00F91342"/>
    <w:rsid w:val="00F91543"/>
    <w:rsid w:val="00F91A9A"/>
    <w:rsid w:val="00F923AF"/>
    <w:rsid w:val="00F92634"/>
    <w:rsid w:val="00F933F3"/>
    <w:rsid w:val="00F93ABA"/>
    <w:rsid w:val="00F93ABB"/>
    <w:rsid w:val="00F94D79"/>
    <w:rsid w:val="00F95AEF"/>
    <w:rsid w:val="00F9658C"/>
    <w:rsid w:val="00F96EEB"/>
    <w:rsid w:val="00F9775D"/>
    <w:rsid w:val="00F97A7F"/>
    <w:rsid w:val="00F97CD0"/>
    <w:rsid w:val="00F97D7A"/>
    <w:rsid w:val="00FA0152"/>
    <w:rsid w:val="00FA0889"/>
    <w:rsid w:val="00FA16E7"/>
    <w:rsid w:val="00FA1998"/>
    <w:rsid w:val="00FA1D69"/>
    <w:rsid w:val="00FA2897"/>
    <w:rsid w:val="00FA31C7"/>
    <w:rsid w:val="00FA4394"/>
    <w:rsid w:val="00FA472D"/>
    <w:rsid w:val="00FA4A82"/>
    <w:rsid w:val="00FA5A92"/>
    <w:rsid w:val="00FA681F"/>
    <w:rsid w:val="00FA7373"/>
    <w:rsid w:val="00FB0261"/>
    <w:rsid w:val="00FB0CBF"/>
    <w:rsid w:val="00FB18F6"/>
    <w:rsid w:val="00FB2A52"/>
    <w:rsid w:val="00FB3961"/>
    <w:rsid w:val="00FB39E0"/>
    <w:rsid w:val="00FB3F92"/>
    <w:rsid w:val="00FB52C7"/>
    <w:rsid w:val="00FB57DC"/>
    <w:rsid w:val="00FB5915"/>
    <w:rsid w:val="00FB6E19"/>
    <w:rsid w:val="00FB71F6"/>
    <w:rsid w:val="00FB74F1"/>
    <w:rsid w:val="00FC0670"/>
    <w:rsid w:val="00FC07AF"/>
    <w:rsid w:val="00FC0AF8"/>
    <w:rsid w:val="00FC0B69"/>
    <w:rsid w:val="00FC1055"/>
    <w:rsid w:val="00FC1238"/>
    <w:rsid w:val="00FC1483"/>
    <w:rsid w:val="00FC1BEF"/>
    <w:rsid w:val="00FC1C47"/>
    <w:rsid w:val="00FC1EA7"/>
    <w:rsid w:val="00FC26DB"/>
    <w:rsid w:val="00FC2866"/>
    <w:rsid w:val="00FC2869"/>
    <w:rsid w:val="00FC2F9E"/>
    <w:rsid w:val="00FC3102"/>
    <w:rsid w:val="00FC3848"/>
    <w:rsid w:val="00FC39ED"/>
    <w:rsid w:val="00FC3D40"/>
    <w:rsid w:val="00FC3E1B"/>
    <w:rsid w:val="00FC4419"/>
    <w:rsid w:val="00FC47E2"/>
    <w:rsid w:val="00FC4AA5"/>
    <w:rsid w:val="00FC4B88"/>
    <w:rsid w:val="00FC4BB8"/>
    <w:rsid w:val="00FC4DD8"/>
    <w:rsid w:val="00FC5148"/>
    <w:rsid w:val="00FC56F0"/>
    <w:rsid w:val="00FC6524"/>
    <w:rsid w:val="00FC6B58"/>
    <w:rsid w:val="00FC6DE3"/>
    <w:rsid w:val="00FC711D"/>
    <w:rsid w:val="00FC75AC"/>
    <w:rsid w:val="00FC7984"/>
    <w:rsid w:val="00FD01BF"/>
    <w:rsid w:val="00FD0525"/>
    <w:rsid w:val="00FD0AB7"/>
    <w:rsid w:val="00FD1000"/>
    <w:rsid w:val="00FD15F8"/>
    <w:rsid w:val="00FD297D"/>
    <w:rsid w:val="00FD29A8"/>
    <w:rsid w:val="00FD2D13"/>
    <w:rsid w:val="00FD374D"/>
    <w:rsid w:val="00FD40F7"/>
    <w:rsid w:val="00FD4D2A"/>
    <w:rsid w:val="00FD5FA5"/>
    <w:rsid w:val="00FD6071"/>
    <w:rsid w:val="00FD633B"/>
    <w:rsid w:val="00FD66ED"/>
    <w:rsid w:val="00FD6ABA"/>
    <w:rsid w:val="00FD7AAD"/>
    <w:rsid w:val="00FE02C5"/>
    <w:rsid w:val="00FE0794"/>
    <w:rsid w:val="00FE1041"/>
    <w:rsid w:val="00FE1614"/>
    <w:rsid w:val="00FE1D32"/>
    <w:rsid w:val="00FE24CB"/>
    <w:rsid w:val="00FE323F"/>
    <w:rsid w:val="00FE3473"/>
    <w:rsid w:val="00FE38E5"/>
    <w:rsid w:val="00FE4049"/>
    <w:rsid w:val="00FE4794"/>
    <w:rsid w:val="00FE480F"/>
    <w:rsid w:val="00FE4998"/>
    <w:rsid w:val="00FE4CA2"/>
    <w:rsid w:val="00FE5382"/>
    <w:rsid w:val="00FE57DE"/>
    <w:rsid w:val="00FE6715"/>
    <w:rsid w:val="00FE719F"/>
    <w:rsid w:val="00FE795F"/>
    <w:rsid w:val="00FE7A68"/>
    <w:rsid w:val="00FF00A3"/>
    <w:rsid w:val="00FF0231"/>
    <w:rsid w:val="00FF056D"/>
    <w:rsid w:val="00FF0F87"/>
    <w:rsid w:val="00FF19D5"/>
    <w:rsid w:val="00FF1C9B"/>
    <w:rsid w:val="00FF1D49"/>
    <w:rsid w:val="00FF203B"/>
    <w:rsid w:val="00FF2562"/>
    <w:rsid w:val="00FF3A41"/>
    <w:rsid w:val="00FF3E5B"/>
    <w:rsid w:val="00FF5183"/>
    <w:rsid w:val="00FF57E4"/>
    <w:rsid w:val="00FF5E26"/>
    <w:rsid w:val="00FF5ECD"/>
    <w:rsid w:val="00FF6D57"/>
    <w:rsid w:val="00FF78E5"/>
    <w:rsid w:val="010D7DD7"/>
    <w:rsid w:val="011E3D92"/>
    <w:rsid w:val="012C5FAF"/>
    <w:rsid w:val="016F283F"/>
    <w:rsid w:val="0194674A"/>
    <w:rsid w:val="01995B0E"/>
    <w:rsid w:val="01AF3D99"/>
    <w:rsid w:val="01B42948"/>
    <w:rsid w:val="01D50B3C"/>
    <w:rsid w:val="01D6466C"/>
    <w:rsid w:val="01E274B5"/>
    <w:rsid w:val="02056D00"/>
    <w:rsid w:val="021F7DC1"/>
    <w:rsid w:val="0239626F"/>
    <w:rsid w:val="02447B02"/>
    <w:rsid w:val="02493090"/>
    <w:rsid w:val="02511F9D"/>
    <w:rsid w:val="02525169"/>
    <w:rsid w:val="028916DF"/>
    <w:rsid w:val="02906A7A"/>
    <w:rsid w:val="02985DC6"/>
    <w:rsid w:val="02EB239A"/>
    <w:rsid w:val="03393105"/>
    <w:rsid w:val="034C2E62"/>
    <w:rsid w:val="036D5585"/>
    <w:rsid w:val="0374238F"/>
    <w:rsid w:val="03800D34"/>
    <w:rsid w:val="03842DE7"/>
    <w:rsid w:val="03A10CAA"/>
    <w:rsid w:val="03A314B8"/>
    <w:rsid w:val="03A41E79"/>
    <w:rsid w:val="03C52F1A"/>
    <w:rsid w:val="03D42E2E"/>
    <w:rsid w:val="03D8291E"/>
    <w:rsid w:val="03D82B98"/>
    <w:rsid w:val="03EA66E6"/>
    <w:rsid w:val="03F83E8B"/>
    <w:rsid w:val="041E22FB"/>
    <w:rsid w:val="0422003D"/>
    <w:rsid w:val="043F299D"/>
    <w:rsid w:val="045B4EA6"/>
    <w:rsid w:val="046A46B1"/>
    <w:rsid w:val="049D5915"/>
    <w:rsid w:val="04C7745A"/>
    <w:rsid w:val="04F01EE9"/>
    <w:rsid w:val="052C3149"/>
    <w:rsid w:val="05347716"/>
    <w:rsid w:val="05545FD4"/>
    <w:rsid w:val="056F4631"/>
    <w:rsid w:val="058D24D1"/>
    <w:rsid w:val="05C518FE"/>
    <w:rsid w:val="05C56868"/>
    <w:rsid w:val="05E11832"/>
    <w:rsid w:val="05F3515E"/>
    <w:rsid w:val="0620235A"/>
    <w:rsid w:val="06D422E1"/>
    <w:rsid w:val="075E75DE"/>
    <w:rsid w:val="07754928"/>
    <w:rsid w:val="07835682"/>
    <w:rsid w:val="07A539BD"/>
    <w:rsid w:val="07B72767"/>
    <w:rsid w:val="07BB67DE"/>
    <w:rsid w:val="07F046C2"/>
    <w:rsid w:val="07F40C15"/>
    <w:rsid w:val="08077E72"/>
    <w:rsid w:val="081128A2"/>
    <w:rsid w:val="08163393"/>
    <w:rsid w:val="08332819"/>
    <w:rsid w:val="083E7A3A"/>
    <w:rsid w:val="08882DD0"/>
    <w:rsid w:val="08B374B6"/>
    <w:rsid w:val="09063A89"/>
    <w:rsid w:val="09297FF5"/>
    <w:rsid w:val="093700E7"/>
    <w:rsid w:val="093966C8"/>
    <w:rsid w:val="09470C3E"/>
    <w:rsid w:val="0963712E"/>
    <w:rsid w:val="09816C5A"/>
    <w:rsid w:val="09CC2AAC"/>
    <w:rsid w:val="0A1641A0"/>
    <w:rsid w:val="0A652D3E"/>
    <w:rsid w:val="0A656ED5"/>
    <w:rsid w:val="0ADA51CD"/>
    <w:rsid w:val="0AE5151C"/>
    <w:rsid w:val="0B2E6DF8"/>
    <w:rsid w:val="0B326F2A"/>
    <w:rsid w:val="0B3348DE"/>
    <w:rsid w:val="0B792C38"/>
    <w:rsid w:val="0B81389B"/>
    <w:rsid w:val="0BB27EF8"/>
    <w:rsid w:val="0BD5530E"/>
    <w:rsid w:val="0BD969CF"/>
    <w:rsid w:val="0C0C21B7"/>
    <w:rsid w:val="0C14470F"/>
    <w:rsid w:val="0C1E2888"/>
    <w:rsid w:val="0C201336"/>
    <w:rsid w:val="0C3B6140"/>
    <w:rsid w:val="0C3E79DE"/>
    <w:rsid w:val="0C607954"/>
    <w:rsid w:val="0C6E110E"/>
    <w:rsid w:val="0C92213C"/>
    <w:rsid w:val="0CA904A4"/>
    <w:rsid w:val="0CC2027E"/>
    <w:rsid w:val="0CCE2B10"/>
    <w:rsid w:val="0CD36378"/>
    <w:rsid w:val="0CD60C01"/>
    <w:rsid w:val="0CE91F70"/>
    <w:rsid w:val="0D1C7D1F"/>
    <w:rsid w:val="0D26294C"/>
    <w:rsid w:val="0D3161A1"/>
    <w:rsid w:val="0D556D8D"/>
    <w:rsid w:val="0D6276FC"/>
    <w:rsid w:val="0D70006B"/>
    <w:rsid w:val="0D84032B"/>
    <w:rsid w:val="0DCE08EE"/>
    <w:rsid w:val="0DE34AE4"/>
    <w:rsid w:val="0E4B1F3E"/>
    <w:rsid w:val="0E9438E5"/>
    <w:rsid w:val="0E9B1118"/>
    <w:rsid w:val="0ECD6DF7"/>
    <w:rsid w:val="0EEA6919"/>
    <w:rsid w:val="0EEB4CF5"/>
    <w:rsid w:val="0EFE31FC"/>
    <w:rsid w:val="0F1F58A5"/>
    <w:rsid w:val="0F221070"/>
    <w:rsid w:val="0F2A74C4"/>
    <w:rsid w:val="0F2B28FC"/>
    <w:rsid w:val="0F3C0B05"/>
    <w:rsid w:val="0F4F0957"/>
    <w:rsid w:val="0F9C3E1A"/>
    <w:rsid w:val="0FAB0EE6"/>
    <w:rsid w:val="10466E61"/>
    <w:rsid w:val="105668F7"/>
    <w:rsid w:val="107C13BF"/>
    <w:rsid w:val="109A0F5B"/>
    <w:rsid w:val="10A27F31"/>
    <w:rsid w:val="10BB15FD"/>
    <w:rsid w:val="10CA1D7D"/>
    <w:rsid w:val="110A66FB"/>
    <w:rsid w:val="110F36F7"/>
    <w:rsid w:val="11103304"/>
    <w:rsid w:val="11366ED6"/>
    <w:rsid w:val="116F4196"/>
    <w:rsid w:val="11807BE6"/>
    <w:rsid w:val="11914399"/>
    <w:rsid w:val="11927058"/>
    <w:rsid w:val="11FA7559"/>
    <w:rsid w:val="11FE3C9A"/>
    <w:rsid w:val="120E171E"/>
    <w:rsid w:val="1212797A"/>
    <w:rsid w:val="127557DC"/>
    <w:rsid w:val="12816876"/>
    <w:rsid w:val="12977E48"/>
    <w:rsid w:val="12D54B49"/>
    <w:rsid w:val="1311486C"/>
    <w:rsid w:val="131E40C5"/>
    <w:rsid w:val="138A175B"/>
    <w:rsid w:val="13AF4F03"/>
    <w:rsid w:val="14263231"/>
    <w:rsid w:val="143D524C"/>
    <w:rsid w:val="146F4D21"/>
    <w:rsid w:val="14736E66"/>
    <w:rsid w:val="147C5FAF"/>
    <w:rsid w:val="147F458F"/>
    <w:rsid w:val="14860174"/>
    <w:rsid w:val="1534169A"/>
    <w:rsid w:val="15436065"/>
    <w:rsid w:val="15837132"/>
    <w:rsid w:val="159D4B97"/>
    <w:rsid w:val="15C03E03"/>
    <w:rsid w:val="15CC1BB7"/>
    <w:rsid w:val="162A25EB"/>
    <w:rsid w:val="16353C00"/>
    <w:rsid w:val="16735895"/>
    <w:rsid w:val="16BA5EB3"/>
    <w:rsid w:val="16BE28AF"/>
    <w:rsid w:val="16D927DD"/>
    <w:rsid w:val="16FD2A55"/>
    <w:rsid w:val="17067C1A"/>
    <w:rsid w:val="17366761"/>
    <w:rsid w:val="177C01F0"/>
    <w:rsid w:val="17967349"/>
    <w:rsid w:val="179E3EFA"/>
    <w:rsid w:val="17A80401"/>
    <w:rsid w:val="17AF353E"/>
    <w:rsid w:val="17CE6630"/>
    <w:rsid w:val="17FD6E5C"/>
    <w:rsid w:val="184E796B"/>
    <w:rsid w:val="18B04FBB"/>
    <w:rsid w:val="18B3705E"/>
    <w:rsid w:val="18B54B84"/>
    <w:rsid w:val="18F27B86"/>
    <w:rsid w:val="18FA6A3B"/>
    <w:rsid w:val="190E33B2"/>
    <w:rsid w:val="19486FEA"/>
    <w:rsid w:val="194A1770"/>
    <w:rsid w:val="195C4D12"/>
    <w:rsid w:val="198F7ACB"/>
    <w:rsid w:val="19E27BFB"/>
    <w:rsid w:val="19FF69FF"/>
    <w:rsid w:val="1A0F24DC"/>
    <w:rsid w:val="1A4C32C6"/>
    <w:rsid w:val="1A5C26E5"/>
    <w:rsid w:val="1A613215"/>
    <w:rsid w:val="1A7A6085"/>
    <w:rsid w:val="1AA36883"/>
    <w:rsid w:val="1AA4449A"/>
    <w:rsid w:val="1AB0041E"/>
    <w:rsid w:val="1AB27051"/>
    <w:rsid w:val="1AFF0AFE"/>
    <w:rsid w:val="1B28788F"/>
    <w:rsid w:val="1B360468"/>
    <w:rsid w:val="1B38452B"/>
    <w:rsid w:val="1B401424"/>
    <w:rsid w:val="1B4A1EFB"/>
    <w:rsid w:val="1B4F19F8"/>
    <w:rsid w:val="1B60171F"/>
    <w:rsid w:val="1B744685"/>
    <w:rsid w:val="1B903686"/>
    <w:rsid w:val="1BD95505"/>
    <w:rsid w:val="1BF27E9D"/>
    <w:rsid w:val="1C5B1EE6"/>
    <w:rsid w:val="1CAB69CA"/>
    <w:rsid w:val="1CB33AD0"/>
    <w:rsid w:val="1CBB1081"/>
    <w:rsid w:val="1CDC3027"/>
    <w:rsid w:val="1D664516"/>
    <w:rsid w:val="1D6F5C49"/>
    <w:rsid w:val="1D8E5099"/>
    <w:rsid w:val="1DB4038D"/>
    <w:rsid w:val="1DCA08C1"/>
    <w:rsid w:val="1DCB4E4A"/>
    <w:rsid w:val="1E087E4C"/>
    <w:rsid w:val="1E296894"/>
    <w:rsid w:val="1E3173A3"/>
    <w:rsid w:val="1E3D5D47"/>
    <w:rsid w:val="1E4E1D03"/>
    <w:rsid w:val="1E766E25"/>
    <w:rsid w:val="1E94348E"/>
    <w:rsid w:val="1ECC44FA"/>
    <w:rsid w:val="1ED0096A"/>
    <w:rsid w:val="1EE93DB3"/>
    <w:rsid w:val="1EF108E0"/>
    <w:rsid w:val="1EFD698B"/>
    <w:rsid w:val="1F063325"/>
    <w:rsid w:val="1F1A1836"/>
    <w:rsid w:val="1F253AB8"/>
    <w:rsid w:val="1F311295"/>
    <w:rsid w:val="1F691F02"/>
    <w:rsid w:val="1F6D60EA"/>
    <w:rsid w:val="1F86727A"/>
    <w:rsid w:val="1FBC5DF5"/>
    <w:rsid w:val="1FC7371A"/>
    <w:rsid w:val="1FE2748A"/>
    <w:rsid w:val="1FF90588"/>
    <w:rsid w:val="20336B1C"/>
    <w:rsid w:val="208D1D8F"/>
    <w:rsid w:val="209F239D"/>
    <w:rsid w:val="20AE6A88"/>
    <w:rsid w:val="20C3623F"/>
    <w:rsid w:val="20C4005A"/>
    <w:rsid w:val="20F052F3"/>
    <w:rsid w:val="20F2349D"/>
    <w:rsid w:val="21250680"/>
    <w:rsid w:val="213D6736"/>
    <w:rsid w:val="214B42D7"/>
    <w:rsid w:val="21781212"/>
    <w:rsid w:val="2179094E"/>
    <w:rsid w:val="21AB746C"/>
    <w:rsid w:val="21B83F86"/>
    <w:rsid w:val="21BE719F"/>
    <w:rsid w:val="221178A8"/>
    <w:rsid w:val="221213CF"/>
    <w:rsid w:val="221E19EC"/>
    <w:rsid w:val="22327A92"/>
    <w:rsid w:val="22340084"/>
    <w:rsid w:val="223849BE"/>
    <w:rsid w:val="2254540E"/>
    <w:rsid w:val="22576CAC"/>
    <w:rsid w:val="22636AE2"/>
    <w:rsid w:val="22665141"/>
    <w:rsid w:val="22CE3412"/>
    <w:rsid w:val="231D53A2"/>
    <w:rsid w:val="23244DE0"/>
    <w:rsid w:val="236D5383"/>
    <w:rsid w:val="238166D6"/>
    <w:rsid w:val="23B7504C"/>
    <w:rsid w:val="23D34A58"/>
    <w:rsid w:val="23DA1A43"/>
    <w:rsid w:val="24184152"/>
    <w:rsid w:val="242500D9"/>
    <w:rsid w:val="242D5F16"/>
    <w:rsid w:val="24571307"/>
    <w:rsid w:val="246833F2"/>
    <w:rsid w:val="247B3126"/>
    <w:rsid w:val="24D33D4B"/>
    <w:rsid w:val="24E545B3"/>
    <w:rsid w:val="25110A2A"/>
    <w:rsid w:val="251A0B90"/>
    <w:rsid w:val="251F61A7"/>
    <w:rsid w:val="25252228"/>
    <w:rsid w:val="254E4396"/>
    <w:rsid w:val="2567153B"/>
    <w:rsid w:val="25672EFA"/>
    <w:rsid w:val="256C0944"/>
    <w:rsid w:val="25753ECD"/>
    <w:rsid w:val="25BD00FE"/>
    <w:rsid w:val="25CB28DB"/>
    <w:rsid w:val="26083315"/>
    <w:rsid w:val="2630659C"/>
    <w:rsid w:val="26307F40"/>
    <w:rsid w:val="26446DE3"/>
    <w:rsid w:val="26877DFE"/>
    <w:rsid w:val="26946721"/>
    <w:rsid w:val="269669E7"/>
    <w:rsid w:val="26A270C1"/>
    <w:rsid w:val="26A65413"/>
    <w:rsid w:val="26AD240F"/>
    <w:rsid w:val="26B25D32"/>
    <w:rsid w:val="26B97F35"/>
    <w:rsid w:val="26D27249"/>
    <w:rsid w:val="26D7699F"/>
    <w:rsid w:val="26EA00EF"/>
    <w:rsid w:val="26EF7DFB"/>
    <w:rsid w:val="270C4AA5"/>
    <w:rsid w:val="27374C7D"/>
    <w:rsid w:val="27441EF5"/>
    <w:rsid w:val="2747574B"/>
    <w:rsid w:val="276D7AF2"/>
    <w:rsid w:val="277F1584"/>
    <w:rsid w:val="27AC6CA1"/>
    <w:rsid w:val="288D0333"/>
    <w:rsid w:val="28926C90"/>
    <w:rsid w:val="28B46C06"/>
    <w:rsid w:val="28BF09DE"/>
    <w:rsid w:val="28C9248A"/>
    <w:rsid w:val="28DC43AF"/>
    <w:rsid w:val="28E13773"/>
    <w:rsid w:val="28F74D45"/>
    <w:rsid w:val="28FD67FF"/>
    <w:rsid w:val="293722C0"/>
    <w:rsid w:val="29977D32"/>
    <w:rsid w:val="29A273A6"/>
    <w:rsid w:val="29B42C36"/>
    <w:rsid w:val="29D75F7F"/>
    <w:rsid w:val="29DF54F2"/>
    <w:rsid w:val="2A3B6ADF"/>
    <w:rsid w:val="2A885A56"/>
    <w:rsid w:val="2A8F072F"/>
    <w:rsid w:val="2AB729DE"/>
    <w:rsid w:val="2AF94DA4"/>
    <w:rsid w:val="2B64127E"/>
    <w:rsid w:val="2B774624"/>
    <w:rsid w:val="2B822FEC"/>
    <w:rsid w:val="2BCB6C93"/>
    <w:rsid w:val="2BD64271"/>
    <w:rsid w:val="2BEC0BF4"/>
    <w:rsid w:val="2BED77E9"/>
    <w:rsid w:val="2C0167A4"/>
    <w:rsid w:val="2C027343"/>
    <w:rsid w:val="2C126F44"/>
    <w:rsid w:val="2C347FC6"/>
    <w:rsid w:val="2C4C2422"/>
    <w:rsid w:val="2C7A72BE"/>
    <w:rsid w:val="2C923702"/>
    <w:rsid w:val="2C954FA0"/>
    <w:rsid w:val="2C9A7D75"/>
    <w:rsid w:val="2C9F5E1F"/>
    <w:rsid w:val="2CAD22EA"/>
    <w:rsid w:val="2CC17412"/>
    <w:rsid w:val="2CD86C3B"/>
    <w:rsid w:val="2CFC0B7C"/>
    <w:rsid w:val="2D320A41"/>
    <w:rsid w:val="2D7C1E99"/>
    <w:rsid w:val="2D9C512F"/>
    <w:rsid w:val="2DB640F0"/>
    <w:rsid w:val="2DEA30CA"/>
    <w:rsid w:val="2E083213"/>
    <w:rsid w:val="2E0917A2"/>
    <w:rsid w:val="2E2B796A"/>
    <w:rsid w:val="2E30575E"/>
    <w:rsid w:val="2E6F510B"/>
    <w:rsid w:val="2E837C51"/>
    <w:rsid w:val="2E9976CE"/>
    <w:rsid w:val="2ECE6548"/>
    <w:rsid w:val="2ED52EBC"/>
    <w:rsid w:val="2EF01B85"/>
    <w:rsid w:val="2EF01DEE"/>
    <w:rsid w:val="2EF17594"/>
    <w:rsid w:val="2F1403FE"/>
    <w:rsid w:val="2F401D3C"/>
    <w:rsid w:val="2F5B24E1"/>
    <w:rsid w:val="2F7E6F0B"/>
    <w:rsid w:val="2F860BD0"/>
    <w:rsid w:val="2F86523C"/>
    <w:rsid w:val="2F8A7EF2"/>
    <w:rsid w:val="2FA95C88"/>
    <w:rsid w:val="2FAB3CC5"/>
    <w:rsid w:val="2FC6460C"/>
    <w:rsid w:val="3041370F"/>
    <w:rsid w:val="305331A8"/>
    <w:rsid w:val="3062519A"/>
    <w:rsid w:val="307B59E5"/>
    <w:rsid w:val="309506C7"/>
    <w:rsid w:val="30B87FED"/>
    <w:rsid w:val="30BD239F"/>
    <w:rsid w:val="30C31DCB"/>
    <w:rsid w:val="30D14C7E"/>
    <w:rsid w:val="30F77662"/>
    <w:rsid w:val="31191585"/>
    <w:rsid w:val="312B50A3"/>
    <w:rsid w:val="31894FD2"/>
    <w:rsid w:val="31BA1A73"/>
    <w:rsid w:val="31E93ED9"/>
    <w:rsid w:val="31F03994"/>
    <w:rsid w:val="321B5F48"/>
    <w:rsid w:val="32207918"/>
    <w:rsid w:val="32453A27"/>
    <w:rsid w:val="325133BE"/>
    <w:rsid w:val="3263064A"/>
    <w:rsid w:val="32866B73"/>
    <w:rsid w:val="32902492"/>
    <w:rsid w:val="329F5F42"/>
    <w:rsid w:val="32A43132"/>
    <w:rsid w:val="32AC0C06"/>
    <w:rsid w:val="32F01183"/>
    <w:rsid w:val="32F96C6C"/>
    <w:rsid w:val="331429F5"/>
    <w:rsid w:val="331A1D5C"/>
    <w:rsid w:val="33344EF5"/>
    <w:rsid w:val="337D24B8"/>
    <w:rsid w:val="33C837B3"/>
    <w:rsid w:val="33FB393B"/>
    <w:rsid w:val="340116DE"/>
    <w:rsid w:val="34117602"/>
    <w:rsid w:val="34806536"/>
    <w:rsid w:val="34883ED3"/>
    <w:rsid w:val="34B166F0"/>
    <w:rsid w:val="34C46423"/>
    <w:rsid w:val="34CA77B1"/>
    <w:rsid w:val="34CC693E"/>
    <w:rsid w:val="34D332FE"/>
    <w:rsid w:val="34D55C1E"/>
    <w:rsid w:val="35020CF9"/>
    <w:rsid w:val="35040F15"/>
    <w:rsid w:val="35067CBB"/>
    <w:rsid w:val="351A24E7"/>
    <w:rsid w:val="351F18AB"/>
    <w:rsid w:val="3537750C"/>
    <w:rsid w:val="3537798C"/>
    <w:rsid w:val="35466E38"/>
    <w:rsid w:val="356A2329"/>
    <w:rsid w:val="357C04F3"/>
    <w:rsid w:val="35A40002"/>
    <w:rsid w:val="35A6206D"/>
    <w:rsid w:val="35B2271F"/>
    <w:rsid w:val="35B75F88"/>
    <w:rsid w:val="35C13FC9"/>
    <w:rsid w:val="35D46B3A"/>
    <w:rsid w:val="35FF41CE"/>
    <w:rsid w:val="36023E3B"/>
    <w:rsid w:val="362A0508"/>
    <w:rsid w:val="36372B05"/>
    <w:rsid w:val="364257B6"/>
    <w:rsid w:val="3653711E"/>
    <w:rsid w:val="366652B8"/>
    <w:rsid w:val="36A738F6"/>
    <w:rsid w:val="36EC6AFA"/>
    <w:rsid w:val="371B2546"/>
    <w:rsid w:val="372A42BA"/>
    <w:rsid w:val="374A4436"/>
    <w:rsid w:val="374B2E2B"/>
    <w:rsid w:val="37585548"/>
    <w:rsid w:val="375F68D7"/>
    <w:rsid w:val="37D72911"/>
    <w:rsid w:val="37EA5922"/>
    <w:rsid w:val="38140676"/>
    <w:rsid w:val="38206C2F"/>
    <w:rsid w:val="38276B93"/>
    <w:rsid w:val="382D2531"/>
    <w:rsid w:val="382D2E86"/>
    <w:rsid w:val="382E58B8"/>
    <w:rsid w:val="386153A2"/>
    <w:rsid w:val="38657F1D"/>
    <w:rsid w:val="38AC3431"/>
    <w:rsid w:val="38E173A8"/>
    <w:rsid w:val="392F2E16"/>
    <w:rsid w:val="39504729"/>
    <w:rsid w:val="39B12CEE"/>
    <w:rsid w:val="39B60304"/>
    <w:rsid w:val="39D60FA5"/>
    <w:rsid w:val="39D92970"/>
    <w:rsid w:val="39DC0787"/>
    <w:rsid w:val="39DC5FBD"/>
    <w:rsid w:val="39E00529"/>
    <w:rsid w:val="39F452CD"/>
    <w:rsid w:val="3A0B64A7"/>
    <w:rsid w:val="3A345DF9"/>
    <w:rsid w:val="3A3A7BEF"/>
    <w:rsid w:val="3A574DDA"/>
    <w:rsid w:val="3ACD1DA9"/>
    <w:rsid w:val="3AD3075A"/>
    <w:rsid w:val="3AEA64B7"/>
    <w:rsid w:val="3AF74C02"/>
    <w:rsid w:val="3B0312A1"/>
    <w:rsid w:val="3B146A06"/>
    <w:rsid w:val="3B147F6A"/>
    <w:rsid w:val="3B717625"/>
    <w:rsid w:val="3B781D15"/>
    <w:rsid w:val="3BE73A1E"/>
    <w:rsid w:val="3BF70E8C"/>
    <w:rsid w:val="3BF910A8"/>
    <w:rsid w:val="3C0059A5"/>
    <w:rsid w:val="3C0271FA"/>
    <w:rsid w:val="3C134E78"/>
    <w:rsid w:val="3C185099"/>
    <w:rsid w:val="3C2105FF"/>
    <w:rsid w:val="3C4900D6"/>
    <w:rsid w:val="3C5067EE"/>
    <w:rsid w:val="3C53008C"/>
    <w:rsid w:val="3C5C33E5"/>
    <w:rsid w:val="3CDD2778"/>
    <w:rsid w:val="3CDE3DFA"/>
    <w:rsid w:val="3D10496D"/>
    <w:rsid w:val="3D3B124C"/>
    <w:rsid w:val="3D583BAC"/>
    <w:rsid w:val="3D866B18"/>
    <w:rsid w:val="3D8D43BC"/>
    <w:rsid w:val="3DA05553"/>
    <w:rsid w:val="3DA0781E"/>
    <w:rsid w:val="3DA72764"/>
    <w:rsid w:val="3DC2196D"/>
    <w:rsid w:val="3DE454E5"/>
    <w:rsid w:val="3DE6565C"/>
    <w:rsid w:val="3DF6345D"/>
    <w:rsid w:val="3E1D0952"/>
    <w:rsid w:val="3E265A58"/>
    <w:rsid w:val="3E2B5515"/>
    <w:rsid w:val="3E4D4F28"/>
    <w:rsid w:val="3E566392"/>
    <w:rsid w:val="3E6A003B"/>
    <w:rsid w:val="3E832EAB"/>
    <w:rsid w:val="3EA11583"/>
    <w:rsid w:val="3ED92EC4"/>
    <w:rsid w:val="3EE13701"/>
    <w:rsid w:val="3F143D5A"/>
    <w:rsid w:val="3F1A4BB3"/>
    <w:rsid w:val="3F300D14"/>
    <w:rsid w:val="3F827606"/>
    <w:rsid w:val="3F966C0E"/>
    <w:rsid w:val="3FBB5800"/>
    <w:rsid w:val="40192BA6"/>
    <w:rsid w:val="402E4641"/>
    <w:rsid w:val="402E5098"/>
    <w:rsid w:val="4032514F"/>
    <w:rsid w:val="403703F1"/>
    <w:rsid w:val="40436D96"/>
    <w:rsid w:val="40671125"/>
    <w:rsid w:val="40776A3F"/>
    <w:rsid w:val="41105CD2"/>
    <w:rsid w:val="412F08A6"/>
    <w:rsid w:val="416C40CA"/>
    <w:rsid w:val="41735459"/>
    <w:rsid w:val="41766EA9"/>
    <w:rsid w:val="41870F04"/>
    <w:rsid w:val="4193231D"/>
    <w:rsid w:val="41961147"/>
    <w:rsid w:val="41BF069E"/>
    <w:rsid w:val="41EA1493"/>
    <w:rsid w:val="41F06AA9"/>
    <w:rsid w:val="41F92AC6"/>
    <w:rsid w:val="421C10AE"/>
    <w:rsid w:val="422229DB"/>
    <w:rsid w:val="42550A18"/>
    <w:rsid w:val="426E3527"/>
    <w:rsid w:val="429D496A"/>
    <w:rsid w:val="42BF46CD"/>
    <w:rsid w:val="42E90FF2"/>
    <w:rsid w:val="42F41450"/>
    <w:rsid w:val="42F473A1"/>
    <w:rsid w:val="430D6B32"/>
    <w:rsid w:val="437217EA"/>
    <w:rsid w:val="43AB7156"/>
    <w:rsid w:val="43C5257A"/>
    <w:rsid w:val="43FF60DE"/>
    <w:rsid w:val="441E62C0"/>
    <w:rsid w:val="443133A9"/>
    <w:rsid w:val="4453331F"/>
    <w:rsid w:val="447334B4"/>
    <w:rsid w:val="44A41DCD"/>
    <w:rsid w:val="44EC107E"/>
    <w:rsid w:val="450703F9"/>
    <w:rsid w:val="45325D14"/>
    <w:rsid w:val="45366C08"/>
    <w:rsid w:val="45543180"/>
    <w:rsid w:val="45575091"/>
    <w:rsid w:val="45644E54"/>
    <w:rsid w:val="4577128F"/>
    <w:rsid w:val="45811C7C"/>
    <w:rsid w:val="45906116"/>
    <w:rsid w:val="45931B8C"/>
    <w:rsid w:val="45B20519"/>
    <w:rsid w:val="45B55914"/>
    <w:rsid w:val="45DB42AF"/>
    <w:rsid w:val="45EF2552"/>
    <w:rsid w:val="460A6E00"/>
    <w:rsid w:val="461D2E08"/>
    <w:rsid w:val="463158E2"/>
    <w:rsid w:val="46570FBE"/>
    <w:rsid w:val="4681606A"/>
    <w:rsid w:val="468B3EFB"/>
    <w:rsid w:val="468C48C7"/>
    <w:rsid w:val="469A6FE4"/>
    <w:rsid w:val="470A6193"/>
    <w:rsid w:val="470B7EE1"/>
    <w:rsid w:val="47166D8A"/>
    <w:rsid w:val="47385210"/>
    <w:rsid w:val="475510F8"/>
    <w:rsid w:val="47A11F37"/>
    <w:rsid w:val="47B520F5"/>
    <w:rsid w:val="47D46525"/>
    <w:rsid w:val="47D76015"/>
    <w:rsid w:val="47DC4F5C"/>
    <w:rsid w:val="47E30E5E"/>
    <w:rsid w:val="47F81B94"/>
    <w:rsid w:val="48472598"/>
    <w:rsid w:val="485F5EDD"/>
    <w:rsid w:val="488167F4"/>
    <w:rsid w:val="489F5472"/>
    <w:rsid w:val="48B40671"/>
    <w:rsid w:val="48C621F7"/>
    <w:rsid w:val="48EC789E"/>
    <w:rsid w:val="49107C37"/>
    <w:rsid w:val="49210164"/>
    <w:rsid w:val="49555444"/>
    <w:rsid w:val="499B5738"/>
    <w:rsid w:val="499C7825"/>
    <w:rsid w:val="499F244D"/>
    <w:rsid w:val="4A34774F"/>
    <w:rsid w:val="4A371FA0"/>
    <w:rsid w:val="4A3D66DE"/>
    <w:rsid w:val="4A8561FD"/>
    <w:rsid w:val="4A9138C5"/>
    <w:rsid w:val="4A973F3F"/>
    <w:rsid w:val="4ABE46B5"/>
    <w:rsid w:val="4ACF7478"/>
    <w:rsid w:val="4AF96BC7"/>
    <w:rsid w:val="4B182BCD"/>
    <w:rsid w:val="4B2C0426"/>
    <w:rsid w:val="4B315A3D"/>
    <w:rsid w:val="4B4A7B64"/>
    <w:rsid w:val="4B62209A"/>
    <w:rsid w:val="4B862A85"/>
    <w:rsid w:val="4B895879"/>
    <w:rsid w:val="4B8D35BB"/>
    <w:rsid w:val="4B9F1B8C"/>
    <w:rsid w:val="4BCF12F9"/>
    <w:rsid w:val="4BD411EA"/>
    <w:rsid w:val="4BDC3BFA"/>
    <w:rsid w:val="4BDC48DF"/>
    <w:rsid w:val="4BFA6210"/>
    <w:rsid w:val="4C0A0489"/>
    <w:rsid w:val="4C1930A0"/>
    <w:rsid w:val="4C1C049B"/>
    <w:rsid w:val="4C4A5008"/>
    <w:rsid w:val="4C5916EF"/>
    <w:rsid w:val="4C6D5B21"/>
    <w:rsid w:val="4C9E35A6"/>
    <w:rsid w:val="4CEF36E2"/>
    <w:rsid w:val="4CEF4DC5"/>
    <w:rsid w:val="4D3335ED"/>
    <w:rsid w:val="4D341814"/>
    <w:rsid w:val="4D663824"/>
    <w:rsid w:val="4D732CDE"/>
    <w:rsid w:val="4D746EAC"/>
    <w:rsid w:val="4D7A36CB"/>
    <w:rsid w:val="4DAD0C10"/>
    <w:rsid w:val="4DB74F29"/>
    <w:rsid w:val="4DDB0581"/>
    <w:rsid w:val="4DFF1E22"/>
    <w:rsid w:val="4E0D2505"/>
    <w:rsid w:val="4E257655"/>
    <w:rsid w:val="4E4075E2"/>
    <w:rsid w:val="4E5466E1"/>
    <w:rsid w:val="4EE51018"/>
    <w:rsid w:val="4F0C5D1C"/>
    <w:rsid w:val="4F227C49"/>
    <w:rsid w:val="4F2E29BF"/>
    <w:rsid w:val="4F372380"/>
    <w:rsid w:val="4F372FFB"/>
    <w:rsid w:val="4F563CC4"/>
    <w:rsid w:val="4F5663A6"/>
    <w:rsid w:val="4F6939F7"/>
    <w:rsid w:val="4F7A20A8"/>
    <w:rsid w:val="4F9071D6"/>
    <w:rsid w:val="4FA57B27"/>
    <w:rsid w:val="4FB1539E"/>
    <w:rsid w:val="4FDA66A3"/>
    <w:rsid w:val="4FF84D7B"/>
    <w:rsid w:val="500B2420"/>
    <w:rsid w:val="501A101B"/>
    <w:rsid w:val="5025116D"/>
    <w:rsid w:val="50632130"/>
    <w:rsid w:val="50744D49"/>
    <w:rsid w:val="50AC1F47"/>
    <w:rsid w:val="50D92D37"/>
    <w:rsid w:val="50F47C38"/>
    <w:rsid w:val="510B7A55"/>
    <w:rsid w:val="512C1180"/>
    <w:rsid w:val="51340035"/>
    <w:rsid w:val="518A5306"/>
    <w:rsid w:val="51AB479B"/>
    <w:rsid w:val="51B15B29"/>
    <w:rsid w:val="51BD002A"/>
    <w:rsid w:val="51BE1BBC"/>
    <w:rsid w:val="51DA0BDC"/>
    <w:rsid w:val="521F68D8"/>
    <w:rsid w:val="522C710D"/>
    <w:rsid w:val="52395ECD"/>
    <w:rsid w:val="5252180B"/>
    <w:rsid w:val="526C37BE"/>
    <w:rsid w:val="52804889"/>
    <w:rsid w:val="52A31394"/>
    <w:rsid w:val="52C10D75"/>
    <w:rsid w:val="52C673B2"/>
    <w:rsid w:val="532279AC"/>
    <w:rsid w:val="53BD4881"/>
    <w:rsid w:val="53C27FF8"/>
    <w:rsid w:val="53CC6619"/>
    <w:rsid w:val="53E4465E"/>
    <w:rsid w:val="53F87A3F"/>
    <w:rsid w:val="53FD2283"/>
    <w:rsid w:val="54207F39"/>
    <w:rsid w:val="5425405E"/>
    <w:rsid w:val="54453340"/>
    <w:rsid w:val="546038E7"/>
    <w:rsid w:val="54806794"/>
    <w:rsid w:val="5492579E"/>
    <w:rsid w:val="549E1A80"/>
    <w:rsid w:val="54A83213"/>
    <w:rsid w:val="54B05C07"/>
    <w:rsid w:val="54C658F4"/>
    <w:rsid w:val="54D65C14"/>
    <w:rsid w:val="54DF6509"/>
    <w:rsid w:val="550C4BD7"/>
    <w:rsid w:val="55307D52"/>
    <w:rsid w:val="55371339"/>
    <w:rsid w:val="554C1D56"/>
    <w:rsid w:val="55572986"/>
    <w:rsid w:val="556D1D67"/>
    <w:rsid w:val="55774994"/>
    <w:rsid w:val="558414D6"/>
    <w:rsid w:val="56053FC8"/>
    <w:rsid w:val="560B59D8"/>
    <w:rsid w:val="562C577E"/>
    <w:rsid w:val="56502273"/>
    <w:rsid w:val="565340FA"/>
    <w:rsid w:val="567E2150"/>
    <w:rsid w:val="569C6DA8"/>
    <w:rsid w:val="56AD5F59"/>
    <w:rsid w:val="56B61904"/>
    <w:rsid w:val="56C60774"/>
    <w:rsid w:val="56E542AB"/>
    <w:rsid w:val="570B1838"/>
    <w:rsid w:val="57622118"/>
    <w:rsid w:val="576378C6"/>
    <w:rsid w:val="576757A8"/>
    <w:rsid w:val="57853398"/>
    <w:rsid w:val="57B12A52"/>
    <w:rsid w:val="580544D9"/>
    <w:rsid w:val="582726A1"/>
    <w:rsid w:val="584F05EC"/>
    <w:rsid w:val="585711D8"/>
    <w:rsid w:val="586F3C21"/>
    <w:rsid w:val="58931AE5"/>
    <w:rsid w:val="58953AAF"/>
    <w:rsid w:val="58BA3515"/>
    <w:rsid w:val="58C45F54"/>
    <w:rsid w:val="58FA0338"/>
    <w:rsid w:val="59480B21"/>
    <w:rsid w:val="597B512C"/>
    <w:rsid w:val="59993190"/>
    <w:rsid w:val="59A73A9A"/>
    <w:rsid w:val="5A1035F7"/>
    <w:rsid w:val="5A183FED"/>
    <w:rsid w:val="5A2F2CC8"/>
    <w:rsid w:val="5A5B4887"/>
    <w:rsid w:val="5A5E3F05"/>
    <w:rsid w:val="5A7A2F5C"/>
    <w:rsid w:val="5A83754C"/>
    <w:rsid w:val="5A9A061F"/>
    <w:rsid w:val="5AAE2C06"/>
    <w:rsid w:val="5AB5456B"/>
    <w:rsid w:val="5AE66844"/>
    <w:rsid w:val="5AF63B00"/>
    <w:rsid w:val="5AF80E2D"/>
    <w:rsid w:val="5B150ED7"/>
    <w:rsid w:val="5BA069F2"/>
    <w:rsid w:val="5BA74225"/>
    <w:rsid w:val="5C10702D"/>
    <w:rsid w:val="5C152601"/>
    <w:rsid w:val="5C182A2D"/>
    <w:rsid w:val="5C591F03"/>
    <w:rsid w:val="5C651676"/>
    <w:rsid w:val="5C7B120D"/>
    <w:rsid w:val="5C8A1B2F"/>
    <w:rsid w:val="5D1256CE"/>
    <w:rsid w:val="5D13037F"/>
    <w:rsid w:val="5D1458EA"/>
    <w:rsid w:val="5D352EBF"/>
    <w:rsid w:val="5D3B7615"/>
    <w:rsid w:val="5D4E6CF7"/>
    <w:rsid w:val="5D645056"/>
    <w:rsid w:val="5D8365CC"/>
    <w:rsid w:val="5DD13A18"/>
    <w:rsid w:val="5DDC5CDC"/>
    <w:rsid w:val="5DF634D1"/>
    <w:rsid w:val="5DFC2FFA"/>
    <w:rsid w:val="5E341674"/>
    <w:rsid w:val="5E36034D"/>
    <w:rsid w:val="5E552A0F"/>
    <w:rsid w:val="5E581806"/>
    <w:rsid w:val="5EC56770"/>
    <w:rsid w:val="5F1073D0"/>
    <w:rsid w:val="5F561B72"/>
    <w:rsid w:val="5F8048A6"/>
    <w:rsid w:val="5FA97E40"/>
    <w:rsid w:val="5FE22FDD"/>
    <w:rsid w:val="60593614"/>
    <w:rsid w:val="606007BB"/>
    <w:rsid w:val="6094289E"/>
    <w:rsid w:val="609D1752"/>
    <w:rsid w:val="60A24FBB"/>
    <w:rsid w:val="60AC7F66"/>
    <w:rsid w:val="61023CAB"/>
    <w:rsid w:val="6106379C"/>
    <w:rsid w:val="611D1FCC"/>
    <w:rsid w:val="61330309"/>
    <w:rsid w:val="6151253D"/>
    <w:rsid w:val="616E1341"/>
    <w:rsid w:val="61972646"/>
    <w:rsid w:val="61B9495B"/>
    <w:rsid w:val="61BF10D9"/>
    <w:rsid w:val="61BF394A"/>
    <w:rsid w:val="61F8640D"/>
    <w:rsid w:val="62133759"/>
    <w:rsid w:val="62261C1B"/>
    <w:rsid w:val="623C143F"/>
    <w:rsid w:val="6241016B"/>
    <w:rsid w:val="62411979"/>
    <w:rsid w:val="624502F4"/>
    <w:rsid w:val="62487121"/>
    <w:rsid w:val="626C1660"/>
    <w:rsid w:val="62774225"/>
    <w:rsid w:val="627E3805"/>
    <w:rsid w:val="6280132C"/>
    <w:rsid w:val="628726BA"/>
    <w:rsid w:val="628A21AA"/>
    <w:rsid w:val="62961CE2"/>
    <w:rsid w:val="62AC22DC"/>
    <w:rsid w:val="62BF00A6"/>
    <w:rsid w:val="62D653F0"/>
    <w:rsid w:val="62D84CC4"/>
    <w:rsid w:val="62DA4EE0"/>
    <w:rsid w:val="62DD6A50"/>
    <w:rsid w:val="62F615EE"/>
    <w:rsid w:val="63055C5C"/>
    <w:rsid w:val="630F26B0"/>
    <w:rsid w:val="632679EE"/>
    <w:rsid w:val="63416268"/>
    <w:rsid w:val="63464323"/>
    <w:rsid w:val="6364795D"/>
    <w:rsid w:val="63A22BFD"/>
    <w:rsid w:val="63B958B4"/>
    <w:rsid w:val="63E25510"/>
    <w:rsid w:val="641066DF"/>
    <w:rsid w:val="6497295D"/>
    <w:rsid w:val="64CA2D32"/>
    <w:rsid w:val="64DC4A2F"/>
    <w:rsid w:val="64DD1E43"/>
    <w:rsid w:val="64E45EF7"/>
    <w:rsid w:val="64EF4547"/>
    <w:rsid w:val="64F658D5"/>
    <w:rsid w:val="65257F68"/>
    <w:rsid w:val="653326D6"/>
    <w:rsid w:val="65433422"/>
    <w:rsid w:val="655E40F7"/>
    <w:rsid w:val="657C14D3"/>
    <w:rsid w:val="65D752B4"/>
    <w:rsid w:val="660A5ADC"/>
    <w:rsid w:val="6626795D"/>
    <w:rsid w:val="66541BDE"/>
    <w:rsid w:val="667F3EFA"/>
    <w:rsid w:val="66803B32"/>
    <w:rsid w:val="66870AC6"/>
    <w:rsid w:val="6691014E"/>
    <w:rsid w:val="66C832A1"/>
    <w:rsid w:val="66C87CCE"/>
    <w:rsid w:val="66D71736"/>
    <w:rsid w:val="6723497B"/>
    <w:rsid w:val="67410D28"/>
    <w:rsid w:val="674B46F1"/>
    <w:rsid w:val="674E6DCA"/>
    <w:rsid w:val="677435B2"/>
    <w:rsid w:val="677F6056"/>
    <w:rsid w:val="67C223E6"/>
    <w:rsid w:val="67D0452E"/>
    <w:rsid w:val="67EF75F1"/>
    <w:rsid w:val="67F51E74"/>
    <w:rsid w:val="67F65BEC"/>
    <w:rsid w:val="67FA392E"/>
    <w:rsid w:val="683E7CBF"/>
    <w:rsid w:val="684F4F11"/>
    <w:rsid w:val="6858016C"/>
    <w:rsid w:val="68737356"/>
    <w:rsid w:val="68B24209"/>
    <w:rsid w:val="68BA5430"/>
    <w:rsid w:val="68E41A1C"/>
    <w:rsid w:val="69107D30"/>
    <w:rsid w:val="69124F16"/>
    <w:rsid w:val="69390486"/>
    <w:rsid w:val="697119CE"/>
    <w:rsid w:val="69956513"/>
    <w:rsid w:val="699C0F47"/>
    <w:rsid w:val="69A00BF2"/>
    <w:rsid w:val="69BD2E65"/>
    <w:rsid w:val="69C867E5"/>
    <w:rsid w:val="69CD5C14"/>
    <w:rsid w:val="69CF0D33"/>
    <w:rsid w:val="69F50186"/>
    <w:rsid w:val="6A0445F0"/>
    <w:rsid w:val="6A1F3085"/>
    <w:rsid w:val="6A234EB3"/>
    <w:rsid w:val="6A4610AD"/>
    <w:rsid w:val="6A795CC5"/>
    <w:rsid w:val="6A813E93"/>
    <w:rsid w:val="6A906F5C"/>
    <w:rsid w:val="6A921BE8"/>
    <w:rsid w:val="6AB53970"/>
    <w:rsid w:val="6AB97AD1"/>
    <w:rsid w:val="6ADD2CF4"/>
    <w:rsid w:val="6AEE5E05"/>
    <w:rsid w:val="6B0074AE"/>
    <w:rsid w:val="6B1A4B5B"/>
    <w:rsid w:val="6B243EA1"/>
    <w:rsid w:val="6B3B6738"/>
    <w:rsid w:val="6B8143A2"/>
    <w:rsid w:val="6B9156FC"/>
    <w:rsid w:val="6B9946B3"/>
    <w:rsid w:val="6B9D1512"/>
    <w:rsid w:val="6BB42357"/>
    <w:rsid w:val="6BE518DA"/>
    <w:rsid w:val="6BF608B1"/>
    <w:rsid w:val="6C276F3A"/>
    <w:rsid w:val="6C327B3B"/>
    <w:rsid w:val="6C4C4C1E"/>
    <w:rsid w:val="6C671463"/>
    <w:rsid w:val="6C6B4DFB"/>
    <w:rsid w:val="6C7007C7"/>
    <w:rsid w:val="6C9500C9"/>
    <w:rsid w:val="6CA43E69"/>
    <w:rsid w:val="6CBC11B2"/>
    <w:rsid w:val="6CF23940"/>
    <w:rsid w:val="6CFB10D7"/>
    <w:rsid w:val="6D147240"/>
    <w:rsid w:val="6D175EDC"/>
    <w:rsid w:val="6D4742F1"/>
    <w:rsid w:val="6D68758C"/>
    <w:rsid w:val="6D723F67"/>
    <w:rsid w:val="6DB868EA"/>
    <w:rsid w:val="6DC01176"/>
    <w:rsid w:val="6DDE2D99"/>
    <w:rsid w:val="6DE45ECC"/>
    <w:rsid w:val="6DE76850"/>
    <w:rsid w:val="6E054DDB"/>
    <w:rsid w:val="6E6721AC"/>
    <w:rsid w:val="6EA27431"/>
    <w:rsid w:val="6EDC3CAF"/>
    <w:rsid w:val="6EE662F5"/>
    <w:rsid w:val="6EF52990"/>
    <w:rsid w:val="6F06705D"/>
    <w:rsid w:val="6F477C56"/>
    <w:rsid w:val="6F977CB5"/>
    <w:rsid w:val="6F993A2D"/>
    <w:rsid w:val="6FA17290"/>
    <w:rsid w:val="6FA67EF8"/>
    <w:rsid w:val="6FB20BD4"/>
    <w:rsid w:val="6FBA59BE"/>
    <w:rsid w:val="6FDE58E3"/>
    <w:rsid w:val="7026309C"/>
    <w:rsid w:val="70296B3E"/>
    <w:rsid w:val="703A6FBE"/>
    <w:rsid w:val="7047792D"/>
    <w:rsid w:val="70611204"/>
    <w:rsid w:val="70983CE4"/>
    <w:rsid w:val="70BA2CE7"/>
    <w:rsid w:val="70C8281B"/>
    <w:rsid w:val="70E62CA2"/>
    <w:rsid w:val="713E488C"/>
    <w:rsid w:val="7165620F"/>
    <w:rsid w:val="717039F8"/>
    <w:rsid w:val="71950A73"/>
    <w:rsid w:val="71B7463E"/>
    <w:rsid w:val="71E60A7F"/>
    <w:rsid w:val="721455EC"/>
    <w:rsid w:val="721910BE"/>
    <w:rsid w:val="726716F8"/>
    <w:rsid w:val="72A9151F"/>
    <w:rsid w:val="730C2768"/>
    <w:rsid w:val="73424E40"/>
    <w:rsid w:val="7348106F"/>
    <w:rsid w:val="735A1725"/>
    <w:rsid w:val="739534EB"/>
    <w:rsid w:val="739F35DC"/>
    <w:rsid w:val="73C80980"/>
    <w:rsid w:val="73CC7326"/>
    <w:rsid w:val="73CD639B"/>
    <w:rsid w:val="73D5156F"/>
    <w:rsid w:val="741E2752"/>
    <w:rsid w:val="74583EB6"/>
    <w:rsid w:val="745A5E80"/>
    <w:rsid w:val="745F3497"/>
    <w:rsid w:val="749D668F"/>
    <w:rsid w:val="74B77420"/>
    <w:rsid w:val="74D13AD5"/>
    <w:rsid w:val="74F04A56"/>
    <w:rsid w:val="74FA2C30"/>
    <w:rsid w:val="752244C4"/>
    <w:rsid w:val="754373F3"/>
    <w:rsid w:val="754B57C9"/>
    <w:rsid w:val="754D5C4B"/>
    <w:rsid w:val="75695C4F"/>
    <w:rsid w:val="757E5B9F"/>
    <w:rsid w:val="758331B5"/>
    <w:rsid w:val="75932CCC"/>
    <w:rsid w:val="765C7562"/>
    <w:rsid w:val="766A1941"/>
    <w:rsid w:val="76C240A7"/>
    <w:rsid w:val="76D8308D"/>
    <w:rsid w:val="76DA416A"/>
    <w:rsid w:val="7725204A"/>
    <w:rsid w:val="772779E0"/>
    <w:rsid w:val="772B5915"/>
    <w:rsid w:val="772F05CC"/>
    <w:rsid w:val="77324E93"/>
    <w:rsid w:val="773C1DDE"/>
    <w:rsid w:val="77444D05"/>
    <w:rsid w:val="775246B7"/>
    <w:rsid w:val="776204D1"/>
    <w:rsid w:val="77636D28"/>
    <w:rsid w:val="776D2369"/>
    <w:rsid w:val="778E4093"/>
    <w:rsid w:val="779C67B0"/>
    <w:rsid w:val="77B5517C"/>
    <w:rsid w:val="77C460AF"/>
    <w:rsid w:val="77CB733A"/>
    <w:rsid w:val="77D20B8D"/>
    <w:rsid w:val="77D632DB"/>
    <w:rsid w:val="781E69D1"/>
    <w:rsid w:val="78224A61"/>
    <w:rsid w:val="78252301"/>
    <w:rsid w:val="78986584"/>
    <w:rsid w:val="78DA69F4"/>
    <w:rsid w:val="78EA354B"/>
    <w:rsid w:val="7901747F"/>
    <w:rsid w:val="79096A4C"/>
    <w:rsid w:val="791B4953"/>
    <w:rsid w:val="7947274B"/>
    <w:rsid w:val="796E7CD8"/>
    <w:rsid w:val="79A14858"/>
    <w:rsid w:val="79C30024"/>
    <w:rsid w:val="7A0940BA"/>
    <w:rsid w:val="7A263B6B"/>
    <w:rsid w:val="7A2A00A3"/>
    <w:rsid w:val="7AE069B4"/>
    <w:rsid w:val="7AF46346"/>
    <w:rsid w:val="7B0F5EBF"/>
    <w:rsid w:val="7B130FB9"/>
    <w:rsid w:val="7B5A48E1"/>
    <w:rsid w:val="7B643141"/>
    <w:rsid w:val="7B745108"/>
    <w:rsid w:val="7BA7127F"/>
    <w:rsid w:val="7BAC28D0"/>
    <w:rsid w:val="7BC65BA9"/>
    <w:rsid w:val="7BD71E38"/>
    <w:rsid w:val="7BF64EDE"/>
    <w:rsid w:val="7C400C1E"/>
    <w:rsid w:val="7CB43A32"/>
    <w:rsid w:val="7CC66C84"/>
    <w:rsid w:val="7CE9109A"/>
    <w:rsid w:val="7D0746CC"/>
    <w:rsid w:val="7D15778E"/>
    <w:rsid w:val="7D407BDD"/>
    <w:rsid w:val="7D543B7E"/>
    <w:rsid w:val="7DCC1471"/>
    <w:rsid w:val="7DD11708"/>
    <w:rsid w:val="7DEE4A4F"/>
    <w:rsid w:val="7E1D4C4C"/>
    <w:rsid w:val="7E433A7E"/>
    <w:rsid w:val="7E521976"/>
    <w:rsid w:val="7E665422"/>
    <w:rsid w:val="7E7F72F0"/>
    <w:rsid w:val="7E843AFA"/>
    <w:rsid w:val="7E8A5499"/>
    <w:rsid w:val="7E8B290D"/>
    <w:rsid w:val="7E8D6E52"/>
    <w:rsid w:val="7E8E5955"/>
    <w:rsid w:val="7E953F59"/>
    <w:rsid w:val="7EAE6230"/>
    <w:rsid w:val="7EB02B41"/>
    <w:rsid w:val="7EB77A2B"/>
    <w:rsid w:val="7EBD579E"/>
    <w:rsid w:val="7EC167BD"/>
    <w:rsid w:val="7EEF69EF"/>
    <w:rsid w:val="7F0653CC"/>
    <w:rsid w:val="7F272D9E"/>
    <w:rsid w:val="7F313C82"/>
    <w:rsid w:val="7F477001"/>
    <w:rsid w:val="7FA27C7E"/>
    <w:rsid w:val="7FAC50B6"/>
    <w:rsid w:val="7FAD3455"/>
    <w:rsid w:val="7FBC58C7"/>
    <w:rsid w:val="7FD44C9D"/>
    <w:rsid w:val="7FE71FC5"/>
    <w:rsid w:val="979F7D2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qFormat="1" w:unhideWhenUsed="0"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0" w:semiHidden="0" w:name="annotation reference"/>
    <w:lsdException w:uiPriority="99" w:name="line number"/>
    <w:lsdException w:qFormat="1" w:unhideWhenUsed="0" w:uiPriority="99" w:semiHidden="0" w:name="page number"/>
    <w:lsdException w:qFormat="1" w:uiPriority="99" w:semiHidden="0"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iPriority="99" w:semiHidden="0" w:name="Body Text 3"/>
    <w:lsdException w:qFormat="1" w:unhideWhenUsed="0" w:uiPriority="99" w:semiHidden="0"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99" w:semiHidden="0" w:name="Emphasis"/>
    <w:lsdException w:qFormat="1" w:unhideWhenUsed="0" w:uiPriority="99" w:semiHidden="0" w:name="Document Map"/>
    <w:lsdException w:qFormat="1" w:unhideWhenUsed="0" w:uiPriority="0" w:semiHidden="0" w:name="Plain Text"/>
    <w:lsdException w:uiPriority="99" w:name="E-mail Signature"/>
    <w:lsdException w:qFormat="1" w:uiPriority="0"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iPriority="99" w:semiHidden="0" w:name="HTML Preformatted"/>
    <w:lsdException w:qFormat="1" w:uiPriority="99" w:semiHidden="0" w:name="HTML Sample"/>
    <w:lsdException w:qFormat="1" w:uiPriority="99" w:semiHidden="0"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iPriority="99"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6"/>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67"/>
    <w:qFormat/>
    <w:uiPriority w:val="99"/>
    <w:pPr>
      <w:keepNext/>
      <w:keepLines/>
      <w:spacing w:before="260" w:after="260" w:line="416" w:lineRule="auto"/>
      <w:outlineLvl w:val="1"/>
    </w:pPr>
    <w:rPr>
      <w:rFonts w:ascii="Cambria" w:hAnsi="Cambria"/>
      <w:b/>
      <w:bCs/>
      <w:sz w:val="32"/>
      <w:szCs w:val="32"/>
    </w:rPr>
  </w:style>
  <w:style w:type="paragraph" w:styleId="4">
    <w:name w:val="heading 3"/>
    <w:basedOn w:val="1"/>
    <w:next w:val="1"/>
    <w:link w:val="68"/>
    <w:qFormat/>
    <w:uiPriority w:val="99"/>
    <w:pPr>
      <w:keepNext/>
      <w:keepLines/>
      <w:spacing w:before="260" w:after="260" w:line="416" w:lineRule="auto"/>
      <w:outlineLvl w:val="2"/>
    </w:pPr>
    <w:rPr>
      <w:b/>
      <w:bCs/>
      <w:sz w:val="32"/>
      <w:szCs w:val="32"/>
    </w:rPr>
  </w:style>
  <w:style w:type="paragraph" w:styleId="5">
    <w:name w:val="heading 4"/>
    <w:basedOn w:val="1"/>
    <w:next w:val="1"/>
    <w:link w:val="69"/>
    <w:qFormat/>
    <w:uiPriority w:val="99"/>
    <w:pPr>
      <w:keepNext/>
      <w:keepLines/>
      <w:spacing w:line="360" w:lineRule="auto"/>
      <w:outlineLvl w:val="3"/>
    </w:pPr>
    <w:rPr>
      <w:rFonts w:ascii="Arial" w:hAnsi="Arial"/>
      <w:b/>
      <w:bCs/>
      <w:sz w:val="28"/>
      <w:szCs w:val="28"/>
    </w:rPr>
  </w:style>
  <w:style w:type="paragraph" w:styleId="6">
    <w:name w:val="heading 5"/>
    <w:basedOn w:val="1"/>
    <w:next w:val="7"/>
    <w:link w:val="70"/>
    <w:qFormat/>
    <w:uiPriority w:val="99"/>
    <w:pPr>
      <w:keepNext/>
      <w:keepLines/>
      <w:spacing w:before="280" w:after="290" w:line="376" w:lineRule="auto"/>
      <w:outlineLvl w:val="4"/>
    </w:pPr>
    <w:rPr>
      <w:b/>
      <w:bCs/>
      <w:sz w:val="28"/>
      <w:szCs w:val="28"/>
    </w:rPr>
  </w:style>
  <w:style w:type="paragraph" w:styleId="8">
    <w:name w:val="heading 6"/>
    <w:basedOn w:val="1"/>
    <w:next w:val="1"/>
    <w:link w:val="72"/>
    <w:qFormat/>
    <w:uiPriority w:val="9"/>
    <w:pPr>
      <w:keepNext/>
      <w:keepLines/>
      <w:spacing w:before="240" w:after="64" w:line="317" w:lineRule="auto"/>
      <w:outlineLvl w:val="5"/>
    </w:pPr>
    <w:rPr>
      <w:rFonts w:ascii="Cambria" w:hAnsi="Cambria"/>
      <w:b/>
      <w:bCs/>
      <w:kern w:val="0"/>
      <w:sz w:val="24"/>
    </w:rPr>
  </w:style>
  <w:style w:type="paragraph" w:styleId="9">
    <w:name w:val="heading 7"/>
    <w:basedOn w:val="1"/>
    <w:next w:val="1"/>
    <w:link w:val="73"/>
    <w:qFormat/>
    <w:uiPriority w:val="9"/>
    <w:pPr>
      <w:keepNext/>
      <w:keepLines/>
      <w:spacing w:before="240" w:after="64" w:line="317" w:lineRule="auto"/>
      <w:outlineLvl w:val="6"/>
    </w:pPr>
    <w:rPr>
      <w:b/>
      <w:bCs/>
      <w:kern w:val="0"/>
      <w:sz w:val="24"/>
    </w:rPr>
  </w:style>
  <w:style w:type="paragraph" w:styleId="10">
    <w:name w:val="heading 8"/>
    <w:basedOn w:val="1"/>
    <w:next w:val="1"/>
    <w:link w:val="74"/>
    <w:qFormat/>
    <w:uiPriority w:val="9"/>
    <w:pPr>
      <w:keepNext/>
      <w:keepLines/>
      <w:spacing w:before="240" w:after="64" w:line="320" w:lineRule="auto"/>
      <w:outlineLvl w:val="7"/>
    </w:pPr>
    <w:rPr>
      <w:rFonts w:ascii="等线 Light" w:hAnsi="等线 Light" w:eastAsia="等线 Light"/>
      <w:sz w:val="24"/>
    </w:rPr>
  </w:style>
  <w:style w:type="paragraph" w:styleId="11">
    <w:name w:val="heading 9"/>
    <w:basedOn w:val="1"/>
    <w:next w:val="1"/>
    <w:link w:val="75"/>
    <w:qFormat/>
    <w:uiPriority w:val="9"/>
    <w:pPr>
      <w:keepNext/>
      <w:keepLines/>
      <w:spacing w:before="240" w:after="64" w:line="317" w:lineRule="auto"/>
      <w:outlineLvl w:val="8"/>
    </w:pPr>
    <w:rPr>
      <w:rFonts w:ascii="Cambria" w:hAnsi="Cambria"/>
      <w:kern w:val="0"/>
      <w:sz w:val="20"/>
      <w:szCs w:val="21"/>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71"/>
    <w:qFormat/>
    <w:uiPriority w:val="99"/>
    <w:pPr>
      <w:ind w:firstLine="420"/>
    </w:pPr>
    <w:rPr>
      <w:szCs w:val="20"/>
    </w:rPr>
  </w:style>
  <w:style w:type="paragraph" w:styleId="12">
    <w:name w:val="toc 7"/>
    <w:basedOn w:val="1"/>
    <w:next w:val="1"/>
    <w:qFormat/>
    <w:uiPriority w:val="39"/>
    <w:pPr>
      <w:ind w:left="2520" w:leftChars="1200"/>
    </w:pPr>
    <w:rPr>
      <w:rFonts w:ascii="Calibri" w:hAnsi="Calibri" w:cs="Calibri"/>
      <w:szCs w:val="21"/>
    </w:rPr>
  </w:style>
  <w:style w:type="paragraph" w:styleId="13">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4">
    <w:name w:val="caption"/>
    <w:basedOn w:val="1"/>
    <w:next w:val="1"/>
    <w:qFormat/>
    <w:uiPriority w:val="99"/>
    <w:rPr>
      <w:rFonts w:ascii="Cambria" w:hAnsi="Cambria" w:eastAsia="黑体" w:cs="Cambria"/>
      <w:sz w:val="20"/>
      <w:szCs w:val="20"/>
    </w:rPr>
  </w:style>
  <w:style w:type="paragraph" w:styleId="15">
    <w:name w:val="Document Map"/>
    <w:basedOn w:val="1"/>
    <w:link w:val="76"/>
    <w:qFormat/>
    <w:uiPriority w:val="99"/>
    <w:pPr>
      <w:shd w:val="clear" w:color="auto" w:fill="000080"/>
    </w:pPr>
    <w:rPr>
      <w:sz w:val="24"/>
      <w:shd w:val="clear" w:color="auto" w:fill="000080"/>
    </w:rPr>
  </w:style>
  <w:style w:type="paragraph" w:styleId="16">
    <w:name w:val="annotation text"/>
    <w:basedOn w:val="1"/>
    <w:link w:val="77"/>
    <w:qFormat/>
    <w:uiPriority w:val="99"/>
    <w:pPr>
      <w:jc w:val="left"/>
    </w:pPr>
  </w:style>
  <w:style w:type="paragraph" w:styleId="17">
    <w:name w:val="Body Text 3"/>
    <w:basedOn w:val="1"/>
    <w:link w:val="78"/>
    <w:unhideWhenUsed/>
    <w:qFormat/>
    <w:uiPriority w:val="99"/>
    <w:pPr>
      <w:spacing w:after="120"/>
    </w:pPr>
    <w:rPr>
      <w:sz w:val="16"/>
      <w:szCs w:val="16"/>
    </w:rPr>
  </w:style>
  <w:style w:type="paragraph" w:styleId="18">
    <w:name w:val="Body Text"/>
    <w:basedOn w:val="1"/>
    <w:link w:val="79"/>
    <w:unhideWhenUsed/>
    <w:qFormat/>
    <w:uiPriority w:val="99"/>
    <w:pPr>
      <w:spacing w:after="120"/>
    </w:pPr>
  </w:style>
  <w:style w:type="paragraph" w:styleId="19">
    <w:name w:val="Body Text Indent"/>
    <w:basedOn w:val="1"/>
    <w:link w:val="80"/>
    <w:qFormat/>
    <w:uiPriority w:val="0"/>
    <w:pPr>
      <w:ind w:firstLine="830" w:firstLineChars="352"/>
    </w:pPr>
    <w:rPr>
      <w:rFonts w:ascii="仿宋_GB2312" w:eastAsia="仿宋_GB2312"/>
      <w:kern w:val="0"/>
      <w:sz w:val="32"/>
      <w:szCs w:val="20"/>
    </w:rPr>
  </w:style>
  <w:style w:type="paragraph" w:styleId="20">
    <w:name w:val="List 2"/>
    <w:basedOn w:val="1"/>
    <w:unhideWhenUsed/>
    <w:qFormat/>
    <w:uiPriority w:val="99"/>
    <w:pPr>
      <w:ind w:left="100" w:leftChars="200" w:hanging="200" w:hangingChars="200"/>
      <w:contextualSpacing/>
    </w:pPr>
  </w:style>
  <w:style w:type="paragraph" w:styleId="21">
    <w:name w:val="index 4"/>
    <w:basedOn w:val="1"/>
    <w:next w:val="1"/>
    <w:semiHidden/>
    <w:qFormat/>
    <w:uiPriority w:val="99"/>
    <w:pPr>
      <w:ind w:left="600" w:leftChars="600"/>
    </w:pPr>
    <w:rPr>
      <w:szCs w:val="21"/>
    </w:rPr>
  </w:style>
  <w:style w:type="paragraph" w:styleId="22">
    <w:name w:val="toc 5"/>
    <w:basedOn w:val="1"/>
    <w:next w:val="1"/>
    <w:qFormat/>
    <w:uiPriority w:val="39"/>
    <w:pPr>
      <w:ind w:left="1680" w:leftChars="800"/>
    </w:pPr>
    <w:rPr>
      <w:rFonts w:ascii="Calibri" w:hAnsi="Calibri" w:cs="Calibri"/>
      <w:szCs w:val="21"/>
    </w:rPr>
  </w:style>
  <w:style w:type="paragraph" w:styleId="23">
    <w:name w:val="toc 3"/>
    <w:basedOn w:val="1"/>
    <w:next w:val="1"/>
    <w:qFormat/>
    <w:uiPriority w:val="39"/>
    <w:pPr>
      <w:ind w:left="840" w:leftChars="400"/>
    </w:pPr>
    <w:rPr>
      <w:szCs w:val="21"/>
    </w:rPr>
  </w:style>
  <w:style w:type="paragraph" w:styleId="24">
    <w:name w:val="Plain Text"/>
    <w:basedOn w:val="1"/>
    <w:next w:val="25"/>
    <w:link w:val="81"/>
    <w:qFormat/>
    <w:uiPriority w:val="0"/>
    <w:rPr>
      <w:rFonts w:ascii="宋体" w:hAnsi="Courier New"/>
      <w:kern w:val="0"/>
      <w:sz w:val="20"/>
      <w:szCs w:val="21"/>
    </w:rPr>
  </w:style>
  <w:style w:type="paragraph" w:styleId="25">
    <w:name w:val="Date"/>
    <w:basedOn w:val="1"/>
    <w:next w:val="1"/>
    <w:link w:val="82"/>
    <w:unhideWhenUsed/>
    <w:qFormat/>
    <w:uiPriority w:val="99"/>
    <w:pPr>
      <w:ind w:left="100" w:leftChars="2500"/>
    </w:pPr>
  </w:style>
  <w:style w:type="paragraph" w:styleId="26">
    <w:name w:val="toc 8"/>
    <w:basedOn w:val="1"/>
    <w:next w:val="1"/>
    <w:qFormat/>
    <w:uiPriority w:val="39"/>
    <w:pPr>
      <w:ind w:left="2940" w:leftChars="1400"/>
    </w:pPr>
    <w:rPr>
      <w:rFonts w:ascii="Calibri" w:hAnsi="Calibri" w:cs="Calibri"/>
      <w:szCs w:val="21"/>
    </w:rPr>
  </w:style>
  <w:style w:type="paragraph" w:styleId="27">
    <w:name w:val="Body Text Indent 2"/>
    <w:basedOn w:val="1"/>
    <w:link w:val="83"/>
    <w:qFormat/>
    <w:uiPriority w:val="99"/>
    <w:pPr>
      <w:spacing w:after="120" w:line="480" w:lineRule="auto"/>
      <w:ind w:left="420" w:leftChars="200"/>
    </w:pPr>
    <w:rPr>
      <w:sz w:val="24"/>
    </w:rPr>
  </w:style>
  <w:style w:type="paragraph" w:styleId="28">
    <w:name w:val="Balloon Text"/>
    <w:basedOn w:val="1"/>
    <w:link w:val="84"/>
    <w:qFormat/>
    <w:uiPriority w:val="99"/>
    <w:rPr>
      <w:sz w:val="18"/>
      <w:szCs w:val="18"/>
    </w:rPr>
  </w:style>
  <w:style w:type="paragraph" w:styleId="29">
    <w:name w:val="footer"/>
    <w:basedOn w:val="1"/>
    <w:next w:val="1"/>
    <w:link w:val="85"/>
    <w:unhideWhenUsed/>
    <w:qFormat/>
    <w:uiPriority w:val="99"/>
    <w:pPr>
      <w:tabs>
        <w:tab w:val="center" w:pos="4153"/>
        <w:tab w:val="right" w:pos="8306"/>
      </w:tabs>
      <w:snapToGrid w:val="0"/>
      <w:jc w:val="left"/>
    </w:pPr>
    <w:rPr>
      <w:kern w:val="0"/>
      <w:sz w:val="18"/>
      <w:szCs w:val="18"/>
    </w:rPr>
  </w:style>
  <w:style w:type="paragraph" w:styleId="30">
    <w:name w:val="header"/>
    <w:basedOn w:val="1"/>
    <w:link w:val="86"/>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31">
    <w:name w:val="toc 1"/>
    <w:basedOn w:val="1"/>
    <w:next w:val="1"/>
    <w:unhideWhenUsed/>
    <w:qFormat/>
    <w:uiPriority w:val="39"/>
  </w:style>
  <w:style w:type="paragraph" w:styleId="32">
    <w:name w:val="toc 4"/>
    <w:basedOn w:val="1"/>
    <w:next w:val="1"/>
    <w:qFormat/>
    <w:uiPriority w:val="39"/>
    <w:pPr>
      <w:ind w:left="1260" w:leftChars="600"/>
    </w:pPr>
    <w:rPr>
      <w:rFonts w:ascii="Calibri" w:hAnsi="Calibri" w:cs="Calibri"/>
      <w:szCs w:val="21"/>
    </w:rPr>
  </w:style>
  <w:style w:type="paragraph" w:styleId="33">
    <w:name w:val="Subtitle"/>
    <w:basedOn w:val="1"/>
    <w:next w:val="1"/>
    <w:link w:val="87"/>
    <w:qFormat/>
    <w:uiPriority w:val="11"/>
    <w:pPr>
      <w:spacing w:before="240" w:after="60" w:line="312" w:lineRule="auto"/>
      <w:jc w:val="center"/>
      <w:outlineLvl w:val="1"/>
    </w:pPr>
    <w:rPr>
      <w:rFonts w:ascii="Cambria" w:hAnsi="Cambria"/>
      <w:b/>
      <w:bCs/>
      <w:kern w:val="28"/>
      <w:sz w:val="32"/>
      <w:szCs w:val="32"/>
    </w:rPr>
  </w:style>
  <w:style w:type="paragraph" w:styleId="34">
    <w:name w:val="footnote text"/>
    <w:basedOn w:val="1"/>
    <w:link w:val="88"/>
    <w:qFormat/>
    <w:uiPriority w:val="99"/>
    <w:pPr>
      <w:adjustRightInd w:val="0"/>
      <w:spacing w:line="312" w:lineRule="atLeast"/>
      <w:jc w:val="left"/>
      <w:textAlignment w:val="baseline"/>
    </w:pPr>
    <w:rPr>
      <w:kern w:val="0"/>
      <w:sz w:val="18"/>
      <w:szCs w:val="18"/>
    </w:rPr>
  </w:style>
  <w:style w:type="paragraph" w:styleId="35">
    <w:name w:val="toc 6"/>
    <w:basedOn w:val="1"/>
    <w:next w:val="1"/>
    <w:qFormat/>
    <w:uiPriority w:val="39"/>
    <w:pPr>
      <w:ind w:left="2100" w:leftChars="1000"/>
    </w:pPr>
    <w:rPr>
      <w:rFonts w:ascii="Calibri" w:hAnsi="Calibri" w:cs="Calibri"/>
      <w:szCs w:val="21"/>
    </w:rPr>
  </w:style>
  <w:style w:type="paragraph" w:styleId="36">
    <w:name w:val="toc 2"/>
    <w:basedOn w:val="1"/>
    <w:next w:val="1"/>
    <w:unhideWhenUsed/>
    <w:qFormat/>
    <w:uiPriority w:val="39"/>
    <w:pPr>
      <w:tabs>
        <w:tab w:val="right" w:leader="dot" w:pos="8296"/>
      </w:tabs>
      <w:ind w:left="420" w:leftChars="200"/>
    </w:pPr>
  </w:style>
  <w:style w:type="paragraph" w:styleId="37">
    <w:name w:val="toc 9"/>
    <w:basedOn w:val="1"/>
    <w:next w:val="1"/>
    <w:qFormat/>
    <w:uiPriority w:val="39"/>
    <w:pPr>
      <w:ind w:left="3360" w:leftChars="1600"/>
    </w:pPr>
    <w:rPr>
      <w:rFonts w:ascii="Calibri" w:hAnsi="Calibri" w:cs="Calibri"/>
      <w:szCs w:val="21"/>
    </w:rPr>
  </w:style>
  <w:style w:type="paragraph" w:styleId="38">
    <w:name w:val="Body Text 2"/>
    <w:basedOn w:val="1"/>
    <w:next w:val="18"/>
    <w:qFormat/>
    <w:uiPriority w:val="0"/>
    <w:pPr>
      <w:spacing w:after="120" w:line="480" w:lineRule="auto"/>
    </w:pPr>
  </w:style>
  <w:style w:type="paragraph" w:styleId="39">
    <w:name w:val="HTML Preformatted"/>
    <w:basedOn w:val="1"/>
    <w:link w:val="89"/>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0">
    <w:name w:val="Normal (Web)"/>
    <w:basedOn w:val="1"/>
    <w:unhideWhenUsed/>
    <w:qFormat/>
    <w:uiPriority w:val="0"/>
    <w:rPr>
      <w:rFonts w:ascii="Calibri" w:hAnsi="Calibri"/>
      <w:kern w:val="0"/>
      <w:sz w:val="24"/>
    </w:rPr>
  </w:style>
  <w:style w:type="paragraph" w:styleId="41">
    <w:name w:val="Title"/>
    <w:basedOn w:val="1"/>
    <w:next w:val="1"/>
    <w:link w:val="90"/>
    <w:qFormat/>
    <w:uiPriority w:val="99"/>
    <w:pPr>
      <w:spacing w:before="240" w:after="60"/>
      <w:jc w:val="center"/>
      <w:outlineLvl w:val="0"/>
    </w:pPr>
    <w:rPr>
      <w:rFonts w:ascii="Cambria" w:hAnsi="Cambria"/>
      <w:b/>
      <w:bCs/>
      <w:sz w:val="32"/>
      <w:szCs w:val="32"/>
    </w:rPr>
  </w:style>
  <w:style w:type="paragraph" w:styleId="42">
    <w:name w:val="annotation subject"/>
    <w:basedOn w:val="16"/>
    <w:next w:val="16"/>
    <w:link w:val="91"/>
    <w:qFormat/>
    <w:uiPriority w:val="99"/>
    <w:rPr>
      <w:b/>
      <w:bCs/>
    </w:rPr>
  </w:style>
  <w:style w:type="paragraph" w:styleId="43">
    <w:name w:val="Body Text First Indent"/>
    <w:basedOn w:val="18"/>
    <w:qFormat/>
    <w:uiPriority w:val="0"/>
    <w:pPr>
      <w:spacing w:after="120"/>
      <w:ind w:firstLine="420" w:firstLineChars="100"/>
    </w:pPr>
    <w:rPr>
      <w:rFonts w:ascii="Arial" w:hAnsi="Arial" w:eastAsia="Arial" w:cs="Arial"/>
      <w:lang w:val="en-US" w:bidi="ar-SA"/>
    </w:rPr>
  </w:style>
  <w:style w:type="table" w:styleId="45">
    <w:name w:val="Table Grid"/>
    <w:basedOn w:val="44"/>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7">
    <w:name w:val="Strong"/>
    <w:basedOn w:val="46"/>
    <w:qFormat/>
    <w:uiPriority w:val="22"/>
    <w:rPr>
      <w:b/>
      <w:bCs/>
    </w:rPr>
  </w:style>
  <w:style w:type="character" w:styleId="48">
    <w:name w:val="endnote reference"/>
    <w:unhideWhenUsed/>
    <w:qFormat/>
    <w:uiPriority w:val="99"/>
    <w:rPr>
      <w:vertAlign w:val="superscript"/>
    </w:rPr>
  </w:style>
  <w:style w:type="character" w:styleId="49">
    <w:name w:val="page number"/>
    <w:qFormat/>
    <w:uiPriority w:val="99"/>
  </w:style>
  <w:style w:type="character" w:styleId="50">
    <w:name w:val="FollowedHyperlink"/>
    <w:qFormat/>
    <w:uiPriority w:val="0"/>
    <w:rPr>
      <w:color w:val="800080"/>
      <w:u w:val="single"/>
    </w:rPr>
  </w:style>
  <w:style w:type="character" w:styleId="51">
    <w:name w:val="Emphasis"/>
    <w:qFormat/>
    <w:uiPriority w:val="99"/>
    <w:rPr>
      <w:i/>
      <w:iCs/>
    </w:rPr>
  </w:style>
  <w:style w:type="character" w:styleId="52">
    <w:name w:val="HTML Definition"/>
    <w:basedOn w:val="46"/>
    <w:unhideWhenUsed/>
    <w:qFormat/>
    <w:uiPriority w:val="99"/>
  </w:style>
  <w:style w:type="character" w:styleId="53">
    <w:name w:val="HTML Typewriter"/>
    <w:basedOn w:val="46"/>
    <w:unhideWhenUsed/>
    <w:qFormat/>
    <w:uiPriority w:val="99"/>
    <w:rPr>
      <w:rFonts w:hint="default" w:ascii="monospace" w:hAnsi="monospace" w:eastAsia="monospace" w:cs="monospace"/>
      <w:sz w:val="20"/>
    </w:rPr>
  </w:style>
  <w:style w:type="character" w:styleId="54">
    <w:name w:val="HTML Acronym"/>
    <w:basedOn w:val="46"/>
    <w:unhideWhenUsed/>
    <w:qFormat/>
    <w:uiPriority w:val="99"/>
  </w:style>
  <w:style w:type="character" w:styleId="55">
    <w:name w:val="HTML Variable"/>
    <w:basedOn w:val="46"/>
    <w:unhideWhenUsed/>
    <w:qFormat/>
    <w:uiPriority w:val="99"/>
  </w:style>
  <w:style w:type="character" w:styleId="56">
    <w:name w:val="Hyperlink"/>
    <w:unhideWhenUsed/>
    <w:qFormat/>
    <w:uiPriority w:val="99"/>
    <w:rPr>
      <w:color w:val="0000FF"/>
      <w:u w:val="single"/>
    </w:rPr>
  </w:style>
  <w:style w:type="character" w:styleId="57">
    <w:name w:val="HTML Code"/>
    <w:basedOn w:val="46"/>
    <w:unhideWhenUsed/>
    <w:qFormat/>
    <w:uiPriority w:val="99"/>
    <w:rPr>
      <w:rFonts w:hint="default" w:ascii="monospace" w:hAnsi="monospace" w:eastAsia="monospace" w:cs="monospace"/>
      <w:sz w:val="20"/>
    </w:rPr>
  </w:style>
  <w:style w:type="character" w:styleId="58">
    <w:name w:val="annotation reference"/>
    <w:qFormat/>
    <w:uiPriority w:val="0"/>
    <w:rPr>
      <w:sz w:val="21"/>
      <w:szCs w:val="21"/>
    </w:rPr>
  </w:style>
  <w:style w:type="character" w:styleId="59">
    <w:name w:val="HTML Cite"/>
    <w:basedOn w:val="46"/>
    <w:unhideWhenUsed/>
    <w:qFormat/>
    <w:uiPriority w:val="99"/>
  </w:style>
  <w:style w:type="character" w:styleId="60">
    <w:name w:val="footnote reference"/>
    <w:unhideWhenUsed/>
    <w:qFormat/>
    <w:uiPriority w:val="0"/>
    <w:rPr>
      <w:vertAlign w:val="superscript"/>
    </w:rPr>
  </w:style>
  <w:style w:type="character" w:styleId="61">
    <w:name w:val="HTML Keyboard"/>
    <w:basedOn w:val="46"/>
    <w:unhideWhenUsed/>
    <w:qFormat/>
    <w:uiPriority w:val="99"/>
    <w:rPr>
      <w:rFonts w:hint="default" w:ascii="monospace" w:hAnsi="monospace" w:eastAsia="monospace" w:cs="monospace"/>
      <w:sz w:val="20"/>
    </w:rPr>
  </w:style>
  <w:style w:type="character" w:styleId="62">
    <w:name w:val="HTML Sample"/>
    <w:basedOn w:val="46"/>
    <w:unhideWhenUsed/>
    <w:qFormat/>
    <w:uiPriority w:val="99"/>
    <w:rPr>
      <w:rFonts w:ascii="monospace" w:hAnsi="monospace" w:eastAsia="monospace" w:cs="monospace"/>
    </w:rPr>
  </w:style>
  <w:style w:type="paragraph" w:customStyle="1" w:styleId="63">
    <w:name w:val="表格文字"/>
    <w:basedOn w:val="1"/>
    <w:qFormat/>
    <w:uiPriority w:val="0"/>
    <w:pPr>
      <w:keepNext w:val="0"/>
      <w:keepLines w:val="0"/>
      <w:widowControl w:val="0"/>
      <w:suppressLineNumbers w:val="0"/>
      <w:spacing w:before="0" w:beforeAutospacing="0" w:after="0" w:afterAutospacing="0" w:line="0" w:lineRule="atLeast"/>
      <w:ind w:left="0" w:right="0"/>
      <w:jc w:val="center"/>
    </w:pPr>
    <w:rPr>
      <w:rFonts w:hint="default" w:ascii="Times New Roman" w:hAnsi="Times New Roman" w:cs="Times New Roman"/>
      <w:kern w:val="2"/>
      <w:sz w:val="28"/>
      <w:szCs w:val="28"/>
      <w:lang w:val="en-US" w:eastAsia="zh-CN" w:bidi="ar"/>
    </w:rPr>
  </w:style>
  <w:style w:type="paragraph" w:customStyle="1" w:styleId="64">
    <w:name w:val="Default"/>
    <w:qFormat/>
    <w:uiPriority w:val="99"/>
    <w:pPr>
      <w:widowControl w:val="0"/>
      <w:autoSpaceDE w:val="0"/>
      <w:autoSpaceDN w:val="0"/>
      <w:adjustRightInd w:val="0"/>
    </w:pPr>
    <w:rPr>
      <w:rFonts w:ascii="Times New Roman" w:hAnsi="Times New Roman" w:eastAsia="宋体" w:cs="Times New Roman"/>
      <w:color w:val="000000"/>
      <w:kern w:val="2"/>
      <w:sz w:val="24"/>
      <w:szCs w:val="24"/>
      <w:lang w:val="en-US" w:eastAsia="zh-CN" w:bidi="ar-SA"/>
    </w:rPr>
  </w:style>
  <w:style w:type="paragraph" w:customStyle="1" w:styleId="65">
    <w:name w:val="正文1"/>
    <w:basedOn w:val="1"/>
    <w:qFormat/>
    <w:uiPriority w:val="0"/>
    <w:pPr>
      <w:spacing w:line="360" w:lineRule="auto"/>
      <w:ind w:firstLine="200" w:firstLineChars="200"/>
      <w:jc w:val="left"/>
    </w:pPr>
    <w:rPr>
      <w:rFonts w:ascii="Times New Roman)" w:hAnsi="Times New Roman)" w:eastAsia="宋体正文"/>
      <w:color w:val="000000"/>
      <w:kern w:val="0"/>
      <w:sz w:val="24"/>
      <w:lang w:eastAsia="en-US" w:bidi="en-US"/>
    </w:rPr>
  </w:style>
  <w:style w:type="character" w:customStyle="1" w:styleId="66">
    <w:name w:val="标题 1 字符"/>
    <w:link w:val="2"/>
    <w:qFormat/>
    <w:uiPriority w:val="99"/>
    <w:rPr>
      <w:b/>
      <w:bCs/>
      <w:kern w:val="44"/>
      <w:sz w:val="44"/>
      <w:szCs w:val="44"/>
    </w:rPr>
  </w:style>
  <w:style w:type="character" w:customStyle="1" w:styleId="67">
    <w:name w:val="标题 2 字符"/>
    <w:link w:val="3"/>
    <w:qFormat/>
    <w:uiPriority w:val="9"/>
    <w:rPr>
      <w:rFonts w:ascii="Cambria" w:hAnsi="Cambria" w:eastAsia="宋体" w:cs="Times New Roman"/>
      <w:b/>
      <w:bCs/>
      <w:kern w:val="2"/>
      <w:sz w:val="32"/>
      <w:szCs w:val="32"/>
    </w:rPr>
  </w:style>
  <w:style w:type="character" w:customStyle="1" w:styleId="68">
    <w:name w:val="标题 3 字符"/>
    <w:link w:val="4"/>
    <w:qFormat/>
    <w:uiPriority w:val="99"/>
    <w:rPr>
      <w:b/>
      <w:bCs/>
      <w:kern w:val="2"/>
      <w:sz w:val="32"/>
      <w:szCs w:val="32"/>
    </w:rPr>
  </w:style>
  <w:style w:type="character" w:customStyle="1" w:styleId="69">
    <w:name w:val="标题 4 字符"/>
    <w:link w:val="5"/>
    <w:qFormat/>
    <w:uiPriority w:val="99"/>
    <w:rPr>
      <w:rFonts w:ascii="Arial" w:hAnsi="Arial"/>
      <w:b/>
      <w:bCs/>
      <w:kern w:val="2"/>
      <w:sz w:val="28"/>
      <w:szCs w:val="28"/>
    </w:rPr>
  </w:style>
  <w:style w:type="character" w:customStyle="1" w:styleId="70">
    <w:name w:val="标题 5 字符"/>
    <w:link w:val="6"/>
    <w:qFormat/>
    <w:uiPriority w:val="99"/>
    <w:rPr>
      <w:rFonts w:ascii="Times New Roman" w:hAnsi="Times New Roman"/>
      <w:b/>
      <w:bCs/>
      <w:kern w:val="2"/>
      <w:sz w:val="28"/>
      <w:szCs w:val="28"/>
    </w:rPr>
  </w:style>
  <w:style w:type="character" w:customStyle="1" w:styleId="71">
    <w:name w:val="正文缩进 字符"/>
    <w:link w:val="7"/>
    <w:qFormat/>
    <w:uiPriority w:val="99"/>
    <w:rPr>
      <w:kern w:val="2"/>
      <w:sz w:val="21"/>
    </w:rPr>
  </w:style>
  <w:style w:type="character" w:customStyle="1" w:styleId="72">
    <w:name w:val="标题 6 字符"/>
    <w:link w:val="8"/>
    <w:qFormat/>
    <w:uiPriority w:val="9"/>
    <w:rPr>
      <w:rFonts w:ascii="Cambria" w:hAnsi="Cambria"/>
      <w:b/>
      <w:bCs/>
      <w:sz w:val="24"/>
      <w:szCs w:val="24"/>
    </w:rPr>
  </w:style>
  <w:style w:type="character" w:customStyle="1" w:styleId="73">
    <w:name w:val="标题 7 字符"/>
    <w:link w:val="9"/>
    <w:qFormat/>
    <w:uiPriority w:val="9"/>
    <w:rPr>
      <w:b/>
      <w:bCs/>
      <w:sz w:val="24"/>
      <w:szCs w:val="24"/>
    </w:rPr>
  </w:style>
  <w:style w:type="character" w:customStyle="1" w:styleId="74">
    <w:name w:val="标题 8 字符"/>
    <w:link w:val="10"/>
    <w:semiHidden/>
    <w:qFormat/>
    <w:uiPriority w:val="9"/>
    <w:rPr>
      <w:rFonts w:ascii="等线 Light" w:hAnsi="等线 Light" w:eastAsia="等线 Light" w:cs="Times New Roman"/>
      <w:kern w:val="2"/>
      <w:sz w:val="24"/>
      <w:szCs w:val="24"/>
    </w:rPr>
  </w:style>
  <w:style w:type="character" w:customStyle="1" w:styleId="75">
    <w:name w:val="标题 9 字符"/>
    <w:link w:val="11"/>
    <w:qFormat/>
    <w:uiPriority w:val="9"/>
    <w:rPr>
      <w:rFonts w:ascii="Cambria" w:hAnsi="Cambria"/>
      <w:szCs w:val="21"/>
    </w:rPr>
  </w:style>
  <w:style w:type="character" w:customStyle="1" w:styleId="76">
    <w:name w:val="文档结构图 字符"/>
    <w:link w:val="15"/>
    <w:qFormat/>
    <w:uiPriority w:val="99"/>
    <w:rPr>
      <w:kern w:val="2"/>
      <w:sz w:val="24"/>
      <w:szCs w:val="24"/>
      <w:shd w:val="clear" w:color="auto" w:fill="000080"/>
    </w:rPr>
  </w:style>
  <w:style w:type="character" w:customStyle="1" w:styleId="77">
    <w:name w:val="批注文字 字符2"/>
    <w:link w:val="16"/>
    <w:qFormat/>
    <w:uiPriority w:val="99"/>
    <w:rPr>
      <w:rFonts w:ascii="Times New Roman" w:hAnsi="Times New Roman"/>
      <w:kern w:val="2"/>
      <w:sz w:val="21"/>
      <w:szCs w:val="24"/>
    </w:rPr>
  </w:style>
  <w:style w:type="character" w:customStyle="1" w:styleId="78">
    <w:name w:val="正文文本 3 字符"/>
    <w:link w:val="17"/>
    <w:semiHidden/>
    <w:qFormat/>
    <w:uiPriority w:val="99"/>
    <w:rPr>
      <w:kern w:val="2"/>
      <w:sz w:val="16"/>
      <w:szCs w:val="16"/>
    </w:rPr>
  </w:style>
  <w:style w:type="character" w:customStyle="1" w:styleId="79">
    <w:name w:val="正文文本 字符1"/>
    <w:link w:val="18"/>
    <w:qFormat/>
    <w:uiPriority w:val="99"/>
    <w:rPr>
      <w:rFonts w:ascii="Times New Roman" w:hAnsi="Times New Roman"/>
      <w:kern w:val="2"/>
      <w:sz w:val="21"/>
      <w:szCs w:val="24"/>
    </w:rPr>
  </w:style>
  <w:style w:type="character" w:customStyle="1" w:styleId="80">
    <w:name w:val="正文文本缩进 字符"/>
    <w:link w:val="19"/>
    <w:qFormat/>
    <w:uiPriority w:val="0"/>
    <w:rPr>
      <w:rFonts w:ascii="仿宋_GB2312" w:hAnsi="Times New Roman" w:eastAsia="仿宋_GB2312" w:cs="Times New Roman"/>
      <w:sz w:val="32"/>
      <w:szCs w:val="20"/>
    </w:rPr>
  </w:style>
  <w:style w:type="character" w:customStyle="1" w:styleId="81">
    <w:name w:val="纯文本 字符3"/>
    <w:link w:val="24"/>
    <w:qFormat/>
    <w:uiPriority w:val="99"/>
    <w:rPr>
      <w:rFonts w:ascii="宋体" w:hAnsi="Courier New" w:eastAsia="宋体" w:cs="Courier New"/>
      <w:szCs w:val="21"/>
    </w:rPr>
  </w:style>
  <w:style w:type="character" w:customStyle="1" w:styleId="82">
    <w:name w:val="日期 字符"/>
    <w:link w:val="25"/>
    <w:qFormat/>
    <w:uiPriority w:val="99"/>
    <w:rPr>
      <w:rFonts w:ascii="Times New Roman" w:hAnsi="Times New Roman"/>
      <w:kern w:val="2"/>
      <w:sz w:val="21"/>
      <w:szCs w:val="24"/>
    </w:rPr>
  </w:style>
  <w:style w:type="character" w:customStyle="1" w:styleId="83">
    <w:name w:val="正文文本缩进 2 字符"/>
    <w:link w:val="27"/>
    <w:qFormat/>
    <w:uiPriority w:val="99"/>
    <w:rPr>
      <w:kern w:val="2"/>
      <w:sz w:val="24"/>
      <w:szCs w:val="24"/>
    </w:rPr>
  </w:style>
  <w:style w:type="character" w:customStyle="1" w:styleId="84">
    <w:name w:val="批注框文本 字符"/>
    <w:link w:val="28"/>
    <w:qFormat/>
    <w:locked/>
    <w:uiPriority w:val="99"/>
    <w:rPr>
      <w:kern w:val="2"/>
      <w:sz w:val="18"/>
      <w:szCs w:val="18"/>
    </w:rPr>
  </w:style>
  <w:style w:type="character" w:customStyle="1" w:styleId="85">
    <w:name w:val="页脚 字符"/>
    <w:link w:val="29"/>
    <w:qFormat/>
    <w:uiPriority w:val="99"/>
    <w:rPr>
      <w:sz w:val="18"/>
      <w:szCs w:val="18"/>
    </w:rPr>
  </w:style>
  <w:style w:type="character" w:customStyle="1" w:styleId="86">
    <w:name w:val="页眉 字符"/>
    <w:link w:val="30"/>
    <w:qFormat/>
    <w:uiPriority w:val="99"/>
    <w:rPr>
      <w:sz w:val="18"/>
      <w:szCs w:val="18"/>
    </w:rPr>
  </w:style>
  <w:style w:type="character" w:customStyle="1" w:styleId="87">
    <w:name w:val="副标题 字符"/>
    <w:link w:val="33"/>
    <w:qFormat/>
    <w:uiPriority w:val="11"/>
    <w:rPr>
      <w:rFonts w:ascii="Cambria" w:hAnsi="Cambria"/>
      <w:b/>
      <w:bCs/>
      <w:kern w:val="28"/>
      <w:sz w:val="32"/>
      <w:szCs w:val="32"/>
    </w:rPr>
  </w:style>
  <w:style w:type="character" w:customStyle="1" w:styleId="88">
    <w:name w:val="脚注文本 字符"/>
    <w:link w:val="34"/>
    <w:qFormat/>
    <w:uiPriority w:val="99"/>
    <w:rPr>
      <w:sz w:val="18"/>
      <w:szCs w:val="18"/>
    </w:rPr>
  </w:style>
  <w:style w:type="character" w:customStyle="1" w:styleId="89">
    <w:name w:val="HTML 预设格式 字符"/>
    <w:link w:val="39"/>
    <w:qFormat/>
    <w:uiPriority w:val="99"/>
    <w:rPr>
      <w:rFonts w:ascii="宋体" w:hAnsi="宋体"/>
      <w:sz w:val="24"/>
      <w:szCs w:val="24"/>
    </w:rPr>
  </w:style>
  <w:style w:type="character" w:customStyle="1" w:styleId="90">
    <w:name w:val="标题 字符"/>
    <w:link w:val="41"/>
    <w:qFormat/>
    <w:uiPriority w:val="99"/>
    <w:rPr>
      <w:rFonts w:ascii="Cambria" w:hAnsi="Cambria"/>
      <w:b/>
      <w:bCs/>
      <w:kern w:val="2"/>
      <w:sz w:val="32"/>
      <w:szCs w:val="32"/>
    </w:rPr>
  </w:style>
  <w:style w:type="character" w:customStyle="1" w:styleId="91">
    <w:name w:val="批注主题 字符"/>
    <w:link w:val="42"/>
    <w:qFormat/>
    <w:uiPriority w:val="99"/>
    <w:rPr>
      <w:rFonts w:ascii="Times New Roman" w:hAnsi="Times New Roman"/>
      <w:b/>
      <w:bCs/>
      <w:kern w:val="2"/>
      <w:sz w:val="21"/>
      <w:szCs w:val="24"/>
    </w:rPr>
  </w:style>
  <w:style w:type="character" w:customStyle="1" w:styleId="92">
    <w:name w:val="访问过的超链接1"/>
    <w:qFormat/>
    <w:uiPriority w:val="99"/>
    <w:rPr>
      <w:color w:val="800080"/>
      <w:u w:val="single"/>
    </w:rPr>
  </w:style>
  <w:style w:type="character" w:customStyle="1" w:styleId="93">
    <w:name w:val="书籍标题1"/>
    <w:qFormat/>
    <w:uiPriority w:val="99"/>
    <w:rPr>
      <w:b/>
      <w:bCs/>
      <w:smallCaps/>
      <w:spacing w:val="5"/>
    </w:rPr>
  </w:style>
  <w:style w:type="character" w:customStyle="1" w:styleId="94">
    <w:name w:val="Body text|5_"/>
    <w:link w:val="95"/>
    <w:qFormat/>
    <w:uiPriority w:val="0"/>
    <w:rPr>
      <w:rFonts w:ascii="宋体" w:hAnsi="宋体" w:cs="宋体"/>
      <w:sz w:val="52"/>
      <w:szCs w:val="52"/>
      <w:lang w:val="zh-CN" w:bidi="zh-CN"/>
    </w:rPr>
  </w:style>
  <w:style w:type="paragraph" w:customStyle="1" w:styleId="95">
    <w:name w:val="Body text|5"/>
    <w:basedOn w:val="1"/>
    <w:link w:val="94"/>
    <w:qFormat/>
    <w:uiPriority w:val="0"/>
    <w:pPr>
      <w:jc w:val="center"/>
    </w:pPr>
    <w:rPr>
      <w:rFonts w:ascii="宋体" w:hAnsi="宋体" w:cs="宋体"/>
      <w:kern w:val="0"/>
      <w:sz w:val="52"/>
      <w:szCs w:val="52"/>
      <w:lang w:val="zh-CN" w:bidi="zh-CN"/>
    </w:rPr>
  </w:style>
  <w:style w:type="character" w:customStyle="1" w:styleId="96">
    <w:name w:val="Body text|1_"/>
    <w:link w:val="97"/>
    <w:qFormat/>
    <w:uiPriority w:val="0"/>
    <w:rPr>
      <w:rFonts w:ascii="宋体" w:hAnsi="宋体" w:cs="宋体"/>
      <w:kern w:val="2"/>
      <w:sz w:val="21"/>
      <w:lang w:val="zh-CN" w:bidi="zh-CN"/>
    </w:rPr>
  </w:style>
  <w:style w:type="paragraph" w:customStyle="1" w:styleId="97">
    <w:name w:val="Body text|1"/>
    <w:basedOn w:val="1"/>
    <w:link w:val="96"/>
    <w:qFormat/>
    <w:uiPriority w:val="0"/>
    <w:pPr>
      <w:spacing w:line="360" w:lineRule="auto"/>
      <w:ind w:firstLine="400"/>
    </w:pPr>
    <w:rPr>
      <w:rFonts w:ascii="宋体" w:hAnsi="宋体" w:cs="宋体"/>
      <w:szCs w:val="20"/>
      <w:lang w:val="zh-CN" w:bidi="zh-CN"/>
    </w:rPr>
  </w:style>
  <w:style w:type="character" w:customStyle="1" w:styleId="98">
    <w:name w:val="Table caption|1_"/>
    <w:link w:val="99"/>
    <w:qFormat/>
    <w:uiPriority w:val="0"/>
    <w:rPr>
      <w:rFonts w:ascii="宋体" w:hAnsi="宋体" w:cs="宋体"/>
      <w:lang w:val="zh-CN" w:bidi="zh-CN"/>
    </w:rPr>
  </w:style>
  <w:style w:type="paragraph" w:customStyle="1" w:styleId="99">
    <w:name w:val="Table caption|1"/>
    <w:basedOn w:val="1"/>
    <w:link w:val="98"/>
    <w:qFormat/>
    <w:uiPriority w:val="0"/>
    <w:pPr>
      <w:jc w:val="left"/>
    </w:pPr>
    <w:rPr>
      <w:rFonts w:ascii="宋体" w:hAnsi="宋体" w:cs="宋体"/>
      <w:kern w:val="0"/>
      <w:sz w:val="20"/>
      <w:szCs w:val="20"/>
      <w:lang w:val="zh-CN" w:bidi="zh-CN"/>
    </w:rPr>
  </w:style>
  <w:style w:type="character" w:customStyle="1" w:styleId="100">
    <w:name w:val="Heading #4|1_"/>
    <w:link w:val="101"/>
    <w:qFormat/>
    <w:uiPriority w:val="0"/>
    <w:rPr>
      <w:rFonts w:ascii="宋体" w:hAnsi="宋体" w:cs="宋体"/>
      <w:lang w:val="zh-CN" w:bidi="zh-CN"/>
    </w:rPr>
  </w:style>
  <w:style w:type="paragraph" w:customStyle="1" w:styleId="101">
    <w:name w:val="Heading #4|1"/>
    <w:basedOn w:val="1"/>
    <w:link w:val="100"/>
    <w:qFormat/>
    <w:uiPriority w:val="0"/>
    <w:pPr>
      <w:spacing w:after="120"/>
      <w:jc w:val="left"/>
      <w:outlineLvl w:val="3"/>
    </w:pPr>
    <w:rPr>
      <w:rFonts w:ascii="宋体" w:hAnsi="宋体" w:cs="宋体"/>
      <w:kern w:val="0"/>
      <w:sz w:val="20"/>
      <w:szCs w:val="20"/>
      <w:lang w:val="zh-CN" w:bidi="zh-CN"/>
    </w:rPr>
  </w:style>
  <w:style w:type="character" w:customStyle="1" w:styleId="102">
    <w:name w:val="Body text|2_"/>
    <w:link w:val="103"/>
    <w:qFormat/>
    <w:uiPriority w:val="0"/>
    <w:rPr>
      <w:sz w:val="21"/>
    </w:rPr>
  </w:style>
  <w:style w:type="paragraph" w:customStyle="1" w:styleId="103">
    <w:name w:val="Body text|2"/>
    <w:basedOn w:val="1"/>
    <w:link w:val="102"/>
    <w:qFormat/>
    <w:uiPriority w:val="0"/>
    <w:pPr>
      <w:spacing w:after="30"/>
      <w:ind w:firstLine="420"/>
      <w:jc w:val="left"/>
    </w:pPr>
    <w:rPr>
      <w:kern w:val="0"/>
      <w:szCs w:val="20"/>
    </w:rPr>
  </w:style>
  <w:style w:type="character" w:customStyle="1" w:styleId="104">
    <w:name w:val="Heading #1|1_"/>
    <w:link w:val="105"/>
    <w:qFormat/>
    <w:uiPriority w:val="0"/>
    <w:rPr>
      <w:rFonts w:ascii="宋体" w:hAnsi="宋体" w:cs="宋体"/>
      <w:sz w:val="38"/>
      <w:szCs w:val="38"/>
      <w:lang w:val="zh-CN" w:bidi="zh-CN"/>
    </w:rPr>
  </w:style>
  <w:style w:type="paragraph" w:customStyle="1" w:styleId="105">
    <w:name w:val="Heading #1|1"/>
    <w:basedOn w:val="1"/>
    <w:link w:val="104"/>
    <w:qFormat/>
    <w:uiPriority w:val="0"/>
    <w:pPr>
      <w:spacing w:after="440" w:line="564" w:lineRule="exact"/>
      <w:jc w:val="center"/>
      <w:outlineLvl w:val="0"/>
    </w:pPr>
    <w:rPr>
      <w:rFonts w:ascii="宋体" w:hAnsi="宋体" w:cs="宋体"/>
      <w:kern w:val="0"/>
      <w:sz w:val="38"/>
      <w:szCs w:val="38"/>
      <w:lang w:val="zh-CN" w:bidi="zh-CN"/>
    </w:rPr>
  </w:style>
  <w:style w:type="character" w:customStyle="1" w:styleId="106">
    <w:name w:val="Header or footer|2_"/>
    <w:link w:val="107"/>
    <w:qFormat/>
    <w:uiPriority w:val="0"/>
    <w:rPr>
      <w:lang w:val="zh-CN" w:bidi="zh-CN"/>
    </w:rPr>
  </w:style>
  <w:style w:type="paragraph" w:customStyle="1" w:styleId="107">
    <w:name w:val="Header or footer|2"/>
    <w:basedOn w:val="1"/>
    <w:link w:val="106"/>
    <w:qFormat/>
    <w:uiPriority w:val="0"/>
    <w:pPr>
      <w:jc w:val="left"/>
    </w:pPr>
    <w:rPr>
      <w:kern w:val="0"/>
      <w:sz w:val="20"/>
      <w:szCs w:val="20"/>
      <w:lang w:val="zh-CN" w:bidi="zh-CN"/>
    </w:rPr>
  </w:style>
  <w:style w:type="character" w:customStyle="1" w:styleId="108">
    <w:name w:val="Title Char"/>
    <w:qFormat/>
    <w:uiPriority w:val="99"/>
    <w:rPr>
      <w:rFonts w:ascii="Cambria" w:hAnsi="Cambria" w:cs="Cambria"/>
      <w:b/>
      <w:bCs/>
      <w:sz w:val="32"/>
      <w:szCs w:val="32"/>
    </w:rPr>
  </w:style>
  <w:style w:type="character" w:customStyle="1" w:styleId="109">
    <w:name w:val="Body text|3_"/>
    <w:link w:val="110"/>
    <w:qFormat/>
    <w:uiPriority w:val="0"/>
    <w:rPr>
      <w:rFonts w:ascii="宋体" w:hAnsi="宋体" w:cs="宋体"/>
      <w:lang w:val="zh-CN" w:bidi="zh-CN"/>
    </w:rPr>
  </w:style>
  <w:style w:type="paragraph" w:customStyle="1" w:styleId="110">
    <w:name w:val="Body text|3"/>
    <w:basedOn w:val="1"/>
    <w:link w:val="109"/>
    <w:qFormat/>
    <w:uiPriority w:val="0"/>
    <w:pPr>
      <w:spacing w:after="340"/>
      <w:jc w:val="left"/>
    </w:pPr>
    <w:rPr>
      <w:rFonts w:ascii="宋体" w:hAnsi="宋体" w:cs="宋体"/>
      <w:kern w:val="0"/>
      <w:sz w:val="20"/>
      <w:szCs w:val="20"/>
      <w:lang w:val="zh-CN" w:bidi="zh-CN"/>
    </w:rPr>
  </w:style>
  <w:style w:type="character" w:customStyle="1" w:styleId="111">
    <w:name w:val="Table of contents|1_"/>
    <w:link w:val="112"/>
    <w:qFormat/>
    <w:uiPriority w:val="0"/>
    <w:rPr>
      <w:rFonts w:ascii="宋体" w:hAnsi="宋体" w:cs="宋体"/>
      <w:lang w:val="zh-CN" w:bidi="zh-CN"/>
    </w:rPr>
  </w:style>
  <w:style w:type="paragraph" w:customStyle="1" w:styleId="112">
    <w:name w:val="Table of contents|1"/>
    <w:basedOn w:val="1"/>
    <w:link w:val="111"/>
    <w:qFormat/>
    <w:uiPriority w:val="0"/>
    <w:pPr>
      <w:spacing w:after="100"/>
      <w:ind w:firstLine="600"/>
      <w:jc w:val="left"/>
    </w:pPr>
    <w:rPr>
      <w:rFonts w:ascii="宋体" w:hAnsi="宋体" w:cs="宋体"/>
      <w:kern w:val="0"/>
      <w:sz w:val="20"/>
      <w:szCs w:val="20"/>
      <w:lang w:val="zh-CN" w:bidi="zh-CN"/>
    </w:rPr>
  </w:style>
  <w:style w:type="character" w:customStyle="1" w:styleId="113">
    <w:name w:val="Date Char"/>
    <w:qFormat/>
    <w:uiPriority w:val="99"/>
    <w:rPr>
      <w:rFonts w:eastAsia="宋体"/>
      <w:kern w:val="2"/>
      <w:sz w:val="24"/>
      <w:szCs w:val="24"/>
      <w:lang w:val="en-US" w:eastAsia="zh-CN"/>
    </w:rPr>
  </w:style>
  <w:style w:type="character" w:customStyle="1" w:styleId="114">
    <w:name w:val="Char Char9"/>
    <w:qFormat/>
    <w:uiPriority w:val="99"/>
    <w:rPr>
      <w:rFonts w:eastAsia="宋体"/>
      <w:b/>
      <w:bCs/>
      <w:kern w:val="44"/>
      <w:sz w:val="44"/>
      <w:szCs w:val="44"/>
      <w:lang w:val="en-US" w:eastAsia="zh-CN"/>
    </w:rPr>
  </w:style>
  <w:style w:type="character" w:customStyle="1" w:styleId="115">
    <w:name w:val="Document Map Char"/>
    <w:qFormat/>
    <w:uiPriority w:val="99"/>
    <w:rPr>
      <w:rFonts w:eastAsia="宋体"/>
      <w:kern w:val="2"/>
      <w:sz w:val="24"/>
      <w:szCs w:val="24"/>
      <w:lang w:val="en-US" w:eastAsia="zh-CN"/>
    </w:rPr>
  </w:style>
  <w:style w:type="character" w:customStyle="1" w:styleId="116">
    <w:name w:val="Header Char"/>
    <w:qFormat/>
    <w:uiPriority w:val="99"/>
    <w:rPr>
      <w:rFonts w:eastAsia="宋体"/>
      <w:kern w:val="2"/>
      <w:sz w:val="18"/>
      <w:szCs w:val="18"/>
      <w:lang w:val="en-US" w:eastAsia="zh-CN"/>
    </w:rPr>
  </w:style>
  <w:style w:type="character" w:customStyle="1" w:styleId="117">
    <w:name w:val="明显参考1"/>
    <w:qFormat/>
    <w:uiPriority w:val="99"/>
    <w:rPr>
      <w:b/>
      <w:bCs/>
      <w:smallCaps/>
      <w:color w:val="auto"/>
      <w:spacing w:val="5"/>
      <w:u w:val="single"/>
    </w:rPr>
  </w:style>
  <w:style w:type="character" w:customStyle="1" w:styleId="118">
    <w:name w:val="Heading 1 Char"/>
    <w:qFormat/>
    <w:uiPriority w:val="99"/>
    <w:rPr>
      <w:rFonts w:eastAsia="宋体"/>
      <w:b/>
      <w:bCs/>
      <w:kern w:val="44"/>
      <w:sz w:val="44"/>
      <w:szCs w:val="44"/>
      <w:lang w:val="en-US" w:eastAsia="zh-CN"/>
    </w:rPr>
  </w:style>
  <w:style w:type="character" w:customStyle="1" w:styleId="119">
    <w:name w:val="Comment Text Char"/>
    <w:qFormat/>
    <w:uiPriority w:val="99"/>
    <w:rPr>
      <w:sz w:val="24"/>
      <w:szCs w:val="24"/>
    </w:rPr>
  </w:style>
  <w:style w:type="character" w:customStyle="1" w:styleId="120">
    <w:name w:val="Char Char23"/>
    <w:qFormat/>
    <w:uiPriority w:val="99"/>
    <w:rPr>
      <w:rFonts w:eastAsia="宋体"/>
      <w:b/>
      <w:bCs/>
      <w:kern w:val="44"/>
      <w:sz w:val="44"/>
      <w:szCs w:val="44"/>
      <w:lang w:val="en-US" w:eastAsia="zh-CN"/>
    </w:rPr>
  </w:style>
  <w:style w:type="character" w:customStyle="1" w:styleId="121">
    <w:name w:val="Char Char181"/>
    <w:qFormat/>
    <w:uiPriority w:val="99"/>
    <w:rPr>
      <w:b/>
      <w:bCs/>
      <w:kern w:val="44"/>
      <w:sz w:val="44"/>
      <w:szCs w:val="44"/>
    </w:rPr>
  </w:style>
  <w:style w:type="character" w:customStyle="1" w:styleId="122">
    <w:name w:val="Char Char22"/>
    <w:qFormat/>
    <w:uiPriority w:val="99"/>
    <w:rPr>
      <w:rFonts w:ascii="Times New Roman" w:hAnsi="Times New Roman" w:eastAsia="宋体" w:cs="Times New Roman"/>
      <w:b/>
      <w:bCs/>
      <w:kern w:val="44"/>
      <w:sz w:val="44"/>
      <w:szCs w:val="44"/>
    </w:rPr>
  </w:style>
  <w:style w:type="character" w:customStyle="1" w:styleId="123">
    <w:name w:val="引用 Char1"/>
    <w:qFormat/>
    <w:uiPriority w:val="99"/>
    <w:rPr>
      <w:rFonts w:ascii="Times New Roman" w:hAnsi="Times New Roman" w:eastAsia="宋体" w:cs="Times New Roman"/>
      <w:i/>
      <w:iCs/>
      <w:color w:val="000000"/>
      <w:sz w:val="24"/>
      <w:szCs w:val="24"/>
    </w:rPr>
  </w:style>
  <w:style w:type="character" w:customStyle="1" w:styleId="124">
    <w:name w:val="Heading 3 Char1"/>
    <w:qFormat/>
    <w:uiPriority w:val="99"/>
    <w:rPr>
      <w:rFonts w:eastAsia="宋体"/>
      <w:b/>
      <w:bCs/>
      <w:kern w:val="2"/>
      <w:sz w:val="32"/>
      <w:szCs w:val="32"/>
      <w:lang w:val="en-US" w:eastAsia="zh-CN"/>
    </w:rPr>
  </w:style>
  <w:style w:type="character" w:customStyle="1" w:styleId="125">
    <w:name w:val="明显强调1"/>
    <w:qFormat/>
    <w:uiPriority w:val="99"/>
    <w:rPr>
      <w:b/>
      <w:bCs/>
      <w:i/>
      <w:iCs/>
      <w:color w:val="4F81BD"/>
    </w:rPr>
  </w:style>
  <w:style w:type="character" w:customStyle="1" w:styleId="126">
    <w:name w:val="明显引用 Char1"/>
    <w:qFormat/>
    <w:uiPriority w:val="99"/>
    <w:rPr>
      <w:rFonts w:ascii="Times New Roman" w:hAnsi="Times New Roman" w:eastAsia="宋体" w:cs="Times New Roman"/>
      <w:b/>
      <w:bCs/>
      <w:i/>
      <w:iCs/>
      <w:color w:val="4F81BD"/>
      <w:sz w:val="24"/>
      <w:szCs w:val="24"/>
    </w:rPr>
  </w:style>
  <w:style w:type="character" w:customStyle="1" w:styleId="127">
    <w:name w:val="标题 Char2"/>
    <w:qFormat/>
    <w:uiPriority w:val="99"/>
    <w:rPr>
      <w:rFonts w:ascii="Cambria" w:hAnsi="Cambria" w:eastAsia="宋体" w:cs="Cambria"/>
      <w:b/>
      <w:bCs/>
      <w:sz w:val="32"/>
      <w:szCs w:val="32"/>
    </w:rPr>
  </w:style>
  <w:style w:type="character" w:customStyle="1" w:styleId="128">
    <w:name w:val="标题 Char1"/>
    <w:qFormat/>
    <w:uiPriority w:val="99"/>
    <w:rPr>
      <w:rFonts w:ascii="Cambria" w:hAnsi="Cambria" w:eastAsia="宋体" w:cs="Cambria"/>
      <w:b/>
      <w:bCs/>
      <w:sz w:val="32"/>
      <w:szCs w:val="32"/>
    </w:rPr>
  </w:style>
  <w:style w:type="character" w:customStyle="1" w:styleId="129">
    <w:name w:val="Heading 5 Char"/>
    <w:qFormat/>
    <w:uiPriority w:val="99"/>
    <w:rPr>
      <w:rFonts w:eastAsia="宋体"/>
      <w:b/>
      <w:bCs/>
      <w:kern w:val="2"/>
      <w:sz w:val="28"/>
      <w:szCs w:val="28"/>
      <w:lang w:val="en-US" w:eastAsia="zh-CN"/>
    </w:rPr>
  </w:style>
  <w:style w:type="character" w:customStyle="1" w:styleId="130">
    <w:name w:val="标题 1 字符1"/>
    <w:qFormat/>
    <w:uiPriority w:val="0"/>
    <w:rPr>
      <w:b/>
      <w:bCs/>
      <w:kern w:val="44"/>
      <w:sz w:val="44"/>
      <w:szCs w:val="44"/>
    </w:rPr>
  </w:style>
  <w:style w:type="character" w:customStyle="1" w:styleId="131">
    <w:name w:val="明显引用 Char"/>
    <w:link w:val="132"/>
    <w:qFormat/>
    <w:locked/>
    <w:uiPriority w:val="99"/>
    <w:rPr>
      <w:b/>
      <w:bCs/>
      <w:i/>
      <w:iCs/>
      <w:color w:val="4F81BD"/>
    </w:rPr>
  </w:style>
  <w:style w:type="paragraph" w:customStyle="1" w:styleId="132">
    <w:name w:val="明显引用1"/>
    <w:basedOn w:val="1"/>
    <w:next w:val="1"/>
    <w:link w:val="131"/>
    <w:qFormat/>
    <w:uiPriority w:val="99"/>
    <w:pPr>
      <w:pBdr>
        <w:bottom w:val="single" w:color="4F81BD" w:sz="4" w:space="4"/>
      </w:pBdr>
      <w:spacing w:before="200" w:after="280"/>
      <w:ind w:left="936" w:right="936"/>
    </w:pPr>
    <w:rPr>
      <w:b/>
      <w:bCs/>
      <w:i/>
      <w:iCs/>
      <w:color w:val="4F81BD"/>
      <w:kern w:val="0"/>
      <w:sz w:val="20"/>
      <w:szCs w:val="20"/>
    </w:rPr>
  </w:style>
  <w:style w:type="character" w:customStyle="1" w:styleId="133">
    <w:name w:val="textcontents"/>
    <w:qFormat/>
    <w:uiPriority w:val="99"/>
  </w:style>
  <w:style w:type="character" w:customStyle="1" w:styleId="134">
    <w:name w:val="Char Char19"/>
    <w:qFormat/>
    <w:uiPriority w:val="99"/>
    <w:rPr>
      <w:rFonts w:ascii="Arial" w:hAnsi="Arial" w:eastAsia="宋体" w:cs="Arial"/>
      <w:b/>
      <w:bCs/>
      <w:sz w:val="28"/>
      <w:szCs w:val="28"/>
    </w:rPr>
  </w:style>
  <w:style w:type="character" w:customStyle="1" w:styleId="135">
    <w:name w:val="批注文字 Char"/>
    <w:qFormat/>
    <w:uiPriority w:val="99"/>
    <w:rPr>
      <w:rFonts w:ascii="Times New Roman" w:hAnsi="Times New Roman"/>
      <w:kern w:val="2"/>
      <w:sz w:val="21"/>
      <w:szCs w:val="24"/>
    </w:rPr>
  </w:style>
  <w:style w:type="character" w:customStyle="1" w:styleId="136">
    <w:name w:val="标题5 Char Char"/>
    <w:link w:val="137"/>
    <w:qFormat/>
    <w:locked/>
    <w:uiPriority w:val="99"/>
    <w:rPr>
      <w:rFonts w:ascii="Arial" w:hAnsi="Arial" w:cs="Arial"/>
      <w:b/>
      <w:bCs/>
      <w:sz w:val="32"/>
      <w:szCs w:val="32"/>
    </w:rPr>
  </w:style>
  <w:style w:type="paragraph" w:customStyle="1" w:styleId="137">
    <w:name w:val="标题5"/>
    <w:basedOn w:val="4"/>
    <w:link w:val="136"/>
    <w:qFormat/>
    <w:uiPriority w:val="99"/>
    <w:pPr>
      <w:spacing w:line="413" w:lineRule="auto"/>
    </w:pPr>
    <w:rPr>
      <w:rFonts w:ascii="Arial" w:hAnsi="Arial"/>
      <w:kern w:val="0"/>
    </w:rPr>
  </w:style>
  <w:style w:type="character" w:customStyle="1" w:styleId="138">
    <w:name w:val="纯文本 字符"/>
    <w:qFormat/>
    <w:uiPriority w:val="0"/>
    <w:rPr>
      <w:rFonts w:ascii="宋体" w:hAnsi="Courier New" w:eastAsia="宋体" w:cs="Courier New"/>
      <w:szCs w:val="21"/>
    </w:rPr>
  </w:style>
  <w:style w:type="character" w:customStyle="1" w:styleId="139">
    <w:name w:val="引用 Char"/>
    <w:link w:val="140"/>
    <w:qFormat/>
    <w:locked/>
    <w:uiPriority w:val="99"/>
    <w:rPr>
      <w:i/>
      <w:iCs/>
      <w:color w:val="000000"/>
    </w:rPr>
  </w:style>
  <w:style w:type="paragraph" w:customStyle="1" w:styleId="140">
    <w:name w:val="引用1"/>
    <w:basedOn w:val="1"/>
    <w:next w:val="1"/>
    <w:link w:val="139"/>
    <w:qFormat/>
    <w:uiPriority w:val="99"/>
    <w:rPr>
      <w:i/>
      <w:iCs/>
      <w:color w:val="000000"/>
      <w:kern w:val="0"/>
      <w:sz w:val="20"/>
      <w:szCs w:val="20"/>
    </w:rPr>
  </w:style>
  <w:style w:type="character" w:customStyle="1" w:styleId="141">
    <w:name w:val="纯文本 Char"/>
    <w:qFormat/>
    <w:uiPriority w:val="0"/>
    <w:rPr>
      <w:rFonts w:ascii="宋体" w:hAnsi="Courier New" w:eastAsia="宋体" w:cs="Courier New"/>
      <w:szCs w:val="21"/>
    </w:rPr>
  </w:style>
  <w:style w:type="character" w:customStyle="1" w:styleId="142">
    <w:name w:val="日期 Char1"/>
    <w:qFormat/>
    <w:uiPriority w:val="99"/>
    <w:rPr>
      <w:rFonts w:ascii="Times New Roman" w:hAnsi="Times New Roman" w:eastAsia="宋体" w:cs="Times New Roman"/>
      <w:sz w:val="24"/>
      <w:szCs w:val="24"/>
    </w:rPr>
  </w:style>
  <w:style w:type="character" w:customStyle="1" w:styleId="143">
    <w:name w:val="纯文本 字符2"/>
    <w:qFormat/>
    <w:uiPriority w:val="0"/>
    <w:rPr>
      <w:rFonts w:ascii="宋体" w:hAnsi="Courier New" w:eastAsia="宋体" w:cs="Courier New"/>
      <w:szCs w:val="21"/>
    </w:rPr>
  </w:style>
  <w:style w:type="character" w:customStyle="1" w:styleId="144">
    <w:name w:val="Char Char91"/>
    <w:qFormat/>
    <w:uiPriority w:val="99"/>
    <w:rPr>
      <w:rFonts w:eastAsia="宋体"/>
      <w:b/>
      <w:bCs/>
      <w:kern w:val="44"/>
      <w:sz w:val="44"/>
      <w:szCs w:val="44"/>
      <w:lang w:val="en-US" w:eastAsia="zh-CN"/>
    </w:rPr>
  </w:style>
  <w:style w:type="character" w:customStyle="1" w:styleId="145">
    <w:name w:val="批注文字 字符1"/>
    <w:qFormat/>
    <w:uiPriority w:val="0"/>
    <w:rPr>
      <w:rFonts w:ascii="Times New Roman" w:hAnsi="Times New Roman"/>
      <w:kern w:val="2"/>
      <w:sz w:val="21"/>
      <w:szCs w:val="24"/>
    </w:rPr>
  </w:style>
  <w:style w:type="character" w:customStyle="1" w:styleId="146">
    <w:name w:val="Char Char6"/>
    <w:qFormat/>
    <w:uiPriority w:val="99"/>
    <w:rPr>
      <w:rFonts w:eastAsia="宋体"/>
      <w:b/>
      <w:bCs/>
      <w:kern w:val="44"/>
      <w:sz w:val="44"/>
      <w:szCs w:val="44"/>
      <w:lang w:val="en-US" w:eastAsia="zh-CN"/>
    </w:rPr>
  </w:style>
  <w:style w:type="character" w:customStyle="1" w:styleId="147">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148">
    <w:name w:val="Comment Text Char1"/>
    <w:qFormat/>
    <w:uiPriority w:val="99"/>
    <w:rPr>
      <w:sz w:val="24"/>
      <w:szCs w:val="24"/>
    </w:rPr>
  </w:style>
  <w:style w:type="character" w:customStyle="1" w:styleId="149">
    <w:name w:val="纯文本 字符1"/>
    <w:qFormat/>
    <w:uiPriority w:val="0"/>
    <w:rPr>
      <w:rFonts w:ascii="宋体" w:hAnsi="Courier New"/>
    </w:rPr>
  </w:style>
  <w:style w:type="character" w:customStyle="1" w:styleId="150">
    <w:name w:val="Footer Char"/>
    <w:qFormat/>
    <w:uiPriority w:val="99"/>
    <w:rPr>
      <w:rFonts w:eastAsia="宋体"/>
      <w:kern w:val="2"/>
      <w:sz w:val="18"/>
      <w:szCs w:val="18"/>
      <w:lang w:val="en-US" w:eastAsia="zh-CN"/>
    </w:rPr>
  </w:style>
  <w:style w:type="character" w:customStyle="1" w:styleId="151">
    <w:name w:val="正文文本 Char"/>
    <w:qFormat/>
    <w:uiPriority w:val="99"/>
    <w:rPr>
      <w:rFonts w:ascii="Times New Roman" w:hAnsi="Times New Roman"/>
      <w:kern w:val="2"/>
      <w:sz w:val="21"/>
      <w:szCs w:val="24"/>
    </w:rPr>
  </w:style>
  <w:style w:type="character" w:customStyle="1" w:styleId="152">
    <w:name w:val="Body Text Indent 2 Char"/>
    <w:qFormat/>
    <w:uiPriority w:val="99"/>
    <w:rPr>
      <w:rFonts w:eastAsia="宋体"/>
      <w:kern w:val="2"/>
      <w:sz w:val="24"/>
      <w:szCs w:val="24"/>
      <w:lang w:val="en-US" w:eastAsia="zh-CN"/>
    </w:rPr>
  </w:style>
  <w:style w:type="character" w:customStyle="1" w:styleId="153">
    <w:name w:val="批注文字 字符"/>
    <w:qFormat/>
    <w:uiPriority w:val="0"/>
    <w:rPr>
      <w:rFonts w:ascii="Times New Roman" w:hAnsi="Times New Roman"/>
      <w:kern w:val="2"/>
      <w:sz w:val="21"/>
      <w:szCs w:val="24"/>
    </w:rPr>
  </w:style>
  <w:style w:type="character" w:customStyle="1" w:styleId="154">
    <w:name w:val="标题 2 Char"/>
    <w:qFormat/>
    <w:uiPriority w:val="99"/>
    <w:rPr>
      <w:rFonts w:ascii="Cambria" w:hAnsi="Cambria" w:eastAsia="宋体" w:cs="Times New Roman"/>
      <w:b/>
      <w:bCs/>
      <w:kern w:val="2"/>
      <w:sz w:val="32"/>
      <w:szCs w:val="32"/>
    </w:rPr>
  </w:style>
  <w:style w:type="character" w:customStyle="1" w:styleId="155">
    <w:name w:val="标题 8 Char"/>
    <w:qFormat/>
    <w:uiPriority w:val="9"/>
    <w:rPr>
      <w:rFonts w:ascii="Arial" w:hAnsi="Arial" w:eastAsia="黑体"/>
      <w:kern w:val="2"/>
      <w:sz w:val="24"/>
      <w:szCs w:val="24"/>
    </w:rPr>
  </w:style>
  <w:style w:type="character" w:customStyle="1" w:styleId="156">
    <w:name w:val="apple-style-span"/>
    <w:qFormat/>
    <w:uiPriority w:val="0"/>
  </w:style>
  <w:style w:type="character" w:customStyle="1" w:styleId="157">
    <w:name w:val="正文文本 字符"/>
    <w:qFormat/>
    <w:uiPriority w:val="0"/>
    <w:rPr>
      <w:rFonts w:ascii="Times New Roman" w:hAnsi="Times New Roman"/>
      <w:kern w:val="2"/>
      <w:sz w:val="21"/>
      <w:szCs w:val="24"/>
    </w:rPr>
  </w:style>
  <w:style w:type="character" w:customStyle="1" w:styleId="158">
    <w:name w:val="批注文字 Char2"/>
    <w:qFormat/>
    <w:uiPriority w:val="0"/>
    <w:rPr>
      <w:rFonts w:ascii="Times New Roman" w:hAnsi="Times New Roman"/>
      <w:kern w:val="2"/>
      <w:sz w:val="21"/>
      <w:szCs w:val="24"/>
    </w:rPr>
  </w:style>
  <w:style w:type="character" w:customStyle="1" w:styleId="159">
    <w:name w:val="正文2 Char Char"/>
    <w:link w:val="160"/>
    <w:qFormat/>
    <w:uiPriority w:val="0"/>
    <w:rPr>
      <w:kern w:val="2"/>
      <w:sz w:val="24"/>
    </w:rPr>
  </w:style>
  <w:style w:type="paragraph" w:customStyle="1" w:styleId="160">
    <w:name w:val="正文2"/>
    <w:basedOn w:val="1"/>
    <w:next w:val="1"/>
    <w:link w:val="159"/>
    <w:qFormat/>
    <w:uiPriority w:val="0"/>
    <w:pPr>
      <w:adjustRightInd w:val="0"/>
      <w:spacing w:before="156" w:line="360" w:lineRule="auto"/>
      <w:ind w:firstLine="510" w:firstLineChars="200"/>
    </w:pPr>
    <w:rPr>
      <w:sz w:val="24"/>
      <w:szCs w:val="20"/>
    </w:rPr>
  </w:style>
  <w:style w:type="character" w:customStyle="1" w:styleId="161">
    <w:name w:val="不明显强调1"/>
    <w:qFormat/>
    <w:uiPriority w:val="99"/>
    <w:rPr>
      <w:i/>
      <w:iCs/>
      <w:color w:val="808080"/>
    </w:rPr>
  </w:style>
  <w:style w:type="character" w:customStyle="1" w:styleId="162">
    <w:name w:val="Body text|6_"/>
    <w:link w:val="163"/>
    <w:qFormat/>
    <w:uiPriority w:val="0"/>
    <w:rPr>
      <w:rFonts w:ascii="Arial" w:hAnsi="Arial" w:eastAsia="Arial" w:cs="Arial"/>
      <w:lang w:val="zh-CN"/>
    </w:rPr>
  </w:style>
  <w:style w:type="paragraph" w:customStyle="1" w:styleId="163">
    <w:name w:val="Body text|6"/>
    <w:basedOn w:val="1"/>
    <w:link w:val="162"/>
    <w:qFormat/>
    <w:uiPriority w:val="0"/>
    <w:pPr>
      <w:ind w:hanging="2220"/>
      <w:jc w:val="left"/>
    </w:pPr>
    <w:rPr>
      <w:rFonts w:ascii="Arial" w:hAnsi="Arial" w:eastAsia="Arial"/>
      <w:kern w:val="0"/>
      <w:sz w:val="20"/>
      <w:szCs w:val="20"/>
      <w:lang w:val="zh-CN"/>
    </w:rPr>
  </w:style>
  <w:style w:type="character" w:customStyle="1" w:styleId="164">
    <w:name w:val="批注文字 Char Char"/>
    <w:qFormat/>
    <w:uiPriority w:val="99"/>
    <w:rPr>
      <w:rFonts w:ascii="宋体" w:hAnsi="Times New Roman" w:eastAsia="宋体" w:cs="宋体"/>
      <w:sz w:val="20"/>
      <w:szCs w:val="20"/>
    </w:rPr>
  </w:style>
  <w:style w:type="character" w:customStyle="1" w:styleId="165">
    <w:name w:val="Heading 3 Char"/>
    <w:qFormat/>
    <w:uiPriority w:val="99"/>
    <w:rPr>
      <w:b/>
      <w:bCs/>
      <w:kern w:val="2"/>
      <w:sz w:val="32"/>
      <w:szCs w:val="32"/>
    </w:rPr>
  </w:style>
  <w:style w:type="character" w:customStyle="1" w:styleId="166">
    <w:name w:val="Heading 2 Char"/>
    <w:qFormat/>
    <w:uiPriority w:val="99"/>
    <w:rPr>
      <w:rFonts w:ascii="Arial" w:hAnsi="Arial" w:eastAsia="黑体" w:cs="Arial"/>
      <w:b/>
      <w:bCs/>
      <w:kern w:val="2"/>
      <w:sz w:val="32"/>
      <w:szCs w:val="32"/>
      <w:lang w:val="en-US" w:eastAsia="zh-CN"/>
    </w:rPr>
  </w:style>
  <w:style w:type="character" w:customStyle="1" w:styleId="167">
    <w:name w:val="Balloon Text Char"/>
    <w:qFormat/>
    <w:uiPriority w:val="99"/>
    <w:rPr>
      <w:sz w:val="18"/>
      <w:szCs w:val="18"/>
    </w:rPr>
  </w:style>
  <w:style w:type="character" w:customStyle="1" w:styleId="168">
    <w:name w:val="文档结构图 Char1"/>
    <w:qFormat/>
    <w:uiPriority w:val="99"/>
    <w:rPr>
      <w:rFonts w:ascii="宋体" w:hAnsi="Times New Roman" w:eastAsia="宋体" w:cs="宋体"/>
      <w:sz w:val="18"/>
      <w:szCs w:val="18"/>
    </w:rPr>
  </w:style>
  <w:style w:type="character" w:customStyle="1" w:styleId="169">
    <w:name w:val="Footnote Text Char"/>
    <w:qFormat/>
    <w:uiPriority w:val="99"/>
    <w:rPr>
      <w:rFonts w:eastAsia="宋体"/>
      <w:sz w:val="18"/>
      <w:szCs w:val="18"/>
      <w:lang w:val="en-US" w:eastAsia="zh-CN"/>
    </w:rPr>
  </w:style>
  <w:style w:type="character" w:customStyle="1" w:styleId="170">
    <w:name w:val="Char Char21"/>
    <w:qFormat/>
    <w:uiPriority w:val="99"/>
    <w:rPr>
      <w:rFonts w:ascii="Arial" w:hAnsi="Arial" w:eastAsia="黑体" w:cs="Arial"/>
      <w:b/>
      <w:bCs/>
      <w:sz w:val="32"/>
      <w:szCs w:val="32"/>
    </w:rPr>
  </w:style>
  <w:style w:type="character" w:customStyle="1" w:styleId="171">
    <w:name w:val="Other|1_"/>
    <w:link w:val="172"/>
    <w:qFormat/>
    <w:uiPriority w:val="0"/>
    <w:rPr>
      <w:rFonts w:ascii="宋体" w:hAnsi="宋体" w:cs="宋体"/>
      <w:lang w:val="zh-CN" w:bidi="zh-CN"/>
    </w:rPr>
  </w:style>
  <w:style w:type="paragraph" w:customStyle="1" w:styleId="172">
    <w:name w:val="Other|1"/>
    <w:basedOn w:val="1"/>
    <w:link w:val="171"/>
    <w:qFormat/>
    <w:uiPriority w:val="0"/>
    <w:pPr>
      <w:spacing w:line="360" w:lineRule="auto"/>
      <w:ind w:firstLine="400"/>
      <w:jc w:val="left"/>
    </w:pPr>
    <w:rPr>
      <w:rFonts w:ascii="宋体" w:hAnsi="宋体" w:cs="宋体"/>
      <w:kern w:val="0"/>
      <w:sz w:val="20"/>
      <w:szCs w:val="20"/>
      <w:lang w:val="zh-CN" w:bidi="zh-CN"/>
    </w:rPr>
  </w:style>
  <w:style w:type="character" w:customStyle="1" w:styleId="173">
    <w:name w:val="Body Text Indent Char"/>
    <w:qFormat/>
    <w:uiPriority w:val="99"/>
    <w:rPr>
      <w:rFonts w:ascii="宋体" w:hAnsi="宋体" w:eastAsia="宋体" w:cs="宋体"/>
      <w:kern w:val="2"/>
      <w:sz w:val="21"/>
      <w:szCs w:val="21"/>
      <w:lang w:val="en-US" w:eastAsia="zh-CN"/>
    </w:rPr>
  </w:style>
  <w:style w:type="character" w:customStyle="1" w:styleId="174">
    <w:name w:val="不明显参考1"/>
    <w:qFormat/>
    <w:uiPriority w:val="99"/>
    <w:rPr>
      <w:smallCaps/>
      <w:color w:val="auto"/>
      <w:u w:val="single"/>
    </w:rPr>
  </w:style>
  <w:style w:type="character" w:customStyle="1" w:styleId="175">
    <w:name w:val="Heading 4 Char"/>
    <w:qFormat/>
    <w:uiPriority w:val="99"/>
    <w:rPr>
      <w:rFonts w:ascii="Arial" w:hAnsi="Arial" w:eastAsia="宋体" w:cs="Arial"/>
      <w:b/>
      <w:bCs/>
      <w:kern w:val="2"/>
      <w:sz w:val="28"/>
      <w:szCs w:val="28"/>
      <w:lang w:val="en-US" w:eastAsia="zh-CN"/>
    </w:rPr>
  </w:style>
  <w:style w:type="character" w:customStyle="1" w:styleId="176">
    <w:name w:val="Body text|7_"/>
    <w:link w:val="177"/>
    <w:qFormat/>
    <w:uiPriority w:val="0"/>
    <w:rPr>
      <w:rFonts w:ascii="Courier New" w:hAnsi="Courier New" w:eastAsia="Courier New" w:cs="Courier New"/>
      <w:b/>
      <w:bCs/>
      <w:sz w:val="8"/>
      <w:szCs w:val="8"/>
      <w:lang w:val="zh-CN"/>
    </w:rPr>
  </w:style>
  <w:style w:type="paragraph" w:customStyle="1" w:styleId="177">
    <w:name w:val="Body text|7"/>
    <w:basedOn w:val="1"/>
    <w:link w:val="176"/>
    <w:qFormat/>
    <w:uiPriority w:val="0"/>
    <w:pPr>
      <w:ind w:hanging="1760"/>
      <w:jc w:val="left"/>
    </w:pPr>
    <w:rPr>
      <w:rFonts w:ascii="Courier New" w:hAnsi="Courier New" w:eastAsia="Courier New"/>
      <w:b/>
      <w:bCs/>
      <w:kern w:val="0"/>
      <w:sz w:val="8"/>
      <w:szCs w:val="8"/>
      <w:lang w:val="zh-CN"/>
    </w:rPr>
  </w:style>
  <w:style w:type="character" w:customStyle="1" w:styleId="178">
    <w:name w:val="Char Char20"/>
    <w:qFormat/>
    <w:uiPriority w:val="99"/>
    <w:rPr>
      <w:rFonts w:ascii="Times New Roman" w:hAnsi="Times New Roman" w:eastAsia="宋体" w:cs="Times New Roman"/>
      <w:b/>
      <w:bCs/>
      <w:sz w:val="32"/>
      <w:szCs w:val="32"/>
    </w:rPr>
  </w:style>
  <w:style w:type="character" w:customStyle="1" w:styleId="179">
    <w:name w:val="Body text|4_"/>
    <w:link w:val="180"/>
    <w:qFormat/>
    <w:uiPriority w:val="0"/>
    <w:rPr>
      <w:rFonts w:ascii="宋体" w:hAnsi="宋体" w:cs="宋体"/>
      <w:b/>
      <w:bCs/>
      <w:sz w:val="17"/>
      <w:szCs w:val="17"/>
      <w:lang w:val="zh-CN" w:bidi="zh-CN"/>
    </w:rPr>
  </w:style>
  <w:style w:type="paragraph" w:customStyle="1" w:styleId="180">
    <w:name w:val="Body text|4"/>
    <w:basedOn w:val="1"/>
    <w:link w:val="179"/>
    <w:qFormat/>
    <w:uiPriority w:val="0"/>
    <w:pPr>
      <w:spacing w:line="281" w:lineRule="exact"/>
      <w:jc w:val="center"/>
    </w:pPr>
    <w:rPr>
      <w:rFonts w:ascii="宋体" w:hAnsi="宋体" w:cs="宋体"/>
      <w:b/>
      <w:bCs/>
      <w:kern w:val="0"/>
      <w:sz w:val="17"/>
      <w:szCs w:val="17"/>
      <w:lang w:val="zh-CN" w:bidi="zh-CN"/>
    </w:rPr>
  </w:style>
  <w:style w:type="character" w:customStyle="1" w:styleId="181">
    <w:name w:val="Comment Subject Char"/>
    <w:qFormat/>
    <w:uiPriority w:val="99"/>
    <w:rPr>
      <w:b/>
      <w:bCs/>
      <w:sz w:val="24"/>
      <w:szCs w:val="24"/>
    </w:rPr>
  </w:style>
  <w:style w:type="character" w:customStyle="1" w:styleId="182">
    <w:name w:val="Heading #2|1_"/>
    <w:link w:val="183"/>
    <w:qFormat/>
    <w:uiPriority w:val="0"/>
    <w:rPr>
      <w:rFonts w:ascii="宋体" w:hAnsi="宋体" w:cs="宋体"/>
      <w:sz w:val="34"/>
      <w:szCs w:val="34"/>
      <w:lang w:val="zh-CN" w:bidi="zh-CN"/>
    </w:rPr>
  </w:style>
  <w:style w:type="paragraph" w:customStyle="1" w:styleId="183">
    <w:name w:val="Heading #2|1"/>
    <w:basedOn w:val="1"/>
    <w:link w:val="182"/>
    <w:qFormat/>
    <w:uiPriority w:val="0"/>
    <w:pPr>
      <w:spacing w:after="900"/>
      <w:jc w:val="center"/>
      <w:outlineLvl w:val="1"/>
    </w:pPr>
    <w:rPr>
      <w:rFonts w:ascii="宋体" w:hAnsi="宋体" w:cs="宋体"/>
      <w:kern w:val="0"/>
      <w:sz w:val="34"/>
      <w:szCs w:val="34"/>
      <w:lang w:val="zh-CN" w:bidi="zh-CN"/>
    </w:rPr>
  </w:style>
  <w:style w:type="character" w:customStyle="1" w:styleId="184">
    <w:name w:val="批注框文本 Char1"/>
    <w:qFormat/>
    <w:uiPriority w:val="99"/>
    <w:rPr>
      <w:rFonts w:ascii="Times New Roman" w:hAnsi="Times New Roman" w:eastAsia="宋体" w:cs="Times New Roman"/>
      <w:sz w:val="18"/>
      <w:szCs w:val="18"/>
    </w:rPr>
  </w:style>
  <w:style w:type="character" w:customStyle="1" w:styleId="185">
    <w:name w:val="Char Char18"/>
    <w:qFormat/>
    <w:uiPriority w:val="99"/>
    <w:rPr>
      <w:rFonts w:ascii="Times New Roman" w:hAnsi="Times New Roman" w:eastAsia="宋体" w:cs="Times New Roman"/>
      <w:b/>
      <w:bCs/>
      <w:sz w:val="28"/>
      <w:szCs w:val="28"/>
    </w:rPr>
  </w:style>
  <w:style w:type="character" w:customStyle="1" w:styleId="186">
    <w:name w:val="批注主题 Char1"/>
    <w:qFormat/>
    <w:uiPriority w:val="99"/>
    <w:rPr>
      <w:rFonts w:ascii="Times New Roman" w:hAnsi="Times New Roman" w:eastAsia="宋体" w:cs="Times New Roman"/>
      <w:b/>
      <w:bCs/>
      <w:sz w:val="24"/>
      <w:szCs w:val="24"/>
    </w:rPr>
  </w:style>
  <w:style w:type="character" w:customStyle="1" w:styleId="187">
    <w:name w:val="Char Char24"/>
    <w:qFormat/>
    <w:uiPriority w:val="99"/>
    <w:rPr>
      <w:rFonts w:eastAsia="宋体"/>
      <w:b/>
      <w:bCs/>
      <w:kern w:val="44"/>
      <w:sz w:val="44"/>
      <w:szCs w:val="44"/>
      <w:lang w:val="en-US" w:eastAsia="zh-CN"/>
    </w:rPr>
  </w:style>
  <w:style w:type="character" w:customStyle="1" w:styleId="188">
    <w:name w:val="标题4 Char Char"/>
    <w:link w:val="189"/>
    <w:qFormat/>
    <w:locked/>
    <w:uiPriority w:val="99"/>
    <w:rPr>
      <w:rFonts w:ascii="Arial" w:hAnsi="Arial" w:cs="Arial"/>
      <w:b/>
      <w:bCs/>
      <w:sz w:val="32"/>
      <w:szCs w:val="32"/>
    </w:rPr>
  </w:style>
  <w:style w:type="paragraph" w:customStyle="1" w:styleId="189">
    <w:name w:val="标题4"/>
    <w:basedOn w:val="3"/>
    <w:next w:val="21"/>
    <w:link w:val="188"/>
    <w:qFormat/>
    <w:uiPriority w:val="99"/>
    <w:pPr>
      <w:spacing w:before="60" w:after="60" w:line="413" w:lineRule="auto"/>
    </w:pPr>
    <w:rPr>
      <w:rFonts w:ascii="Arial" w:hAnsi="Arial"/>
      <w:kern w:val="0"/>
    </w:rPr>
  </w:style>
  <w:style w:type="character" w:customStyle="1" w:styleId="190">
    <w:name w:val="Plain Text Char"/>
    <w:qFormat/>
    <w:uiPriority w:val="99"/>
    <w:rPr>
      <w:rFonts w:ascii="宋体" w:hAnsi="Courier New" w:eastAsia="宋体" w:cs="宋体"/>
      <w:sz w:val="24"/>
      <w:szCs w:val="24"/>
    </w:rPr>
  </w:style>
  <w:style w:type="character" w:customStyle="1" w:styleId="191">
    <w:name w:val="Header or footer|1_"/>
    <w:link w:val="192"/>
    <w:qFormat/>
    <w:uiPriority w:val="0"/>
    <w:rPr>
      <w:sz w:val="17"/>
      <w:szCs w:val="17"/>
      <w:lang w:val="zh-CN" w:bidi="zh-CN"/>
    </w:rPr>
  </w:style>
  <w:style w:type="paragraph" w:customStyle="1" w:styleId="192">
    <w:name w:val="Header or footer|1"/>
    <w:basedOn w:val="1"/>
    <w:link w:val="191"/>
    <w:qFormat/>
    <w:uiPriority w:val="0"/>
    <w:pPr>
      <w:jc w:val="center"/>
    </w:pPr>
    <w:rPr>
      <w:kern w:val="0"/>
      <w:sz w:val="17"/>
      <w:szCs w:val="17"/>
      <w:lang w:val="zh-CN" w:bidi="zh-CN"/>
    </w:rPr>
  </w:style>
  <w:style w:type="character" w:customStyle="1" w:styleId="193">
    <w:name w:val="Heading #3|1_"/>
    <w:link w:val="194"/>
    <w:qFormat/>
    <w:uiPriority w:val="0"/>
    <w:rPr>
      <w:rFonts w:ascii="宋体" w:hAnsi="宋体" w:cs="宋体"/>
      <w:sz w:val="28"/>
      <w:szCs w:val="28"/>
      <w:lang w:val="zh-CN" w:bidi="zh-CN"/>
    </w:rPr>
  </w:style>
  <w:style w:type="paragraph" w:customStyle="1" w:styleId="194">
    <w:name w:val="Heading #3|1"/>
    <w:basedOn w:val="1"/>
    <w:link w:val="193"/>
    <w:qFormat/>
    <w:uiPriority w:val="0"/>
    <w:pPr>
      <w:spacing w:after="570"/>
      <w:jc w:val="center"/>
      <w:outlineLvl w:val="2"/>
    </w:pPr>
    <w:rPr>
      <w:rFonts w:ascii="宋体" w:hAnsi="宋体" w:cs="宋体"/>
      <w:kern w:val="0"/>
      <w:sz w:val="28"/>
      <w:szCs w:val="28"/>
      <w:lang w:val="zh-CN" w:bidi="zh-CN"/>
    </w:rPr>
  </w:style>
  <w:style w:type="character" w:styleId="195">
    <w:name w:val="Placeholder Text"/>
    <w:unhideWhenUsed/>
    <w:qFormat/>
    <w:uiPriority w:val="99"/>
    <w:rPr>
      <w:color w:val="808080"/>
    </w:rPr>
  </w:style>
  <w:style w:type="paragraph" w:customStyle="1" w:styleId="196">
    <w:name w:val="flNote"/>
    <w:basedOn w:val="1"/>
    <w:qFormat/>
    <w:uiPriority w:val="99"/>
    <w:pPr>
      <w:adjustRightInd w:val="0"/>
      <w:spacing w:before="320" w:after="160" w:line="360" w:lineRule="atLeast"/>
      <w:jc w:val="center"/>
      <w:textAlignment w:val="baseline"/>
    </w:pPr>
    <w:rPr>
      <w:rFonts w:ascii="Arial" w:eastAsia="黑体" w:cs="Arial"/>
      <w:kern w:val="0"/>
      <w:sz w:val="30"/>
      <w:szCs w:val="30"/>
    </w:rPr>
  </w:style>
  <w:style w:type="paragraph" w:styleId="197">
    <w:name w:val="List Paragraph"/>
    <w:basedOn w:val="1"/>
    <w:qFormat/>
    <w:uiPriority w:val="34"/>
    <w:pPr>
      <w:ind w:firstLine="420" w:firstLineChars="200"/>
    </w:pPr>
  </w:style>
  <w:style w:type="paragraph" w:customStyle="1" w:styleId="198">
    <w:name w:val="样式 标题 2 + Times New Roman 四号 非加粗 段前: 5 磅 段后: 0 磅 行距: 固定值 20..."/>
    <w:basedOn w:val="3"/>
    <w:qFormat/>
    <w:uiPriority w:val="99"/>
    <w:pPr>
      <w:spacing w:before="100" w:after="0" w:line="400" w:lineRule="exact"/>
    </w:pPr>
    <w:rPr>
      <w:rFonts w:ascii="Times New Roman" w:hAnsi="Times New Roman" w:eastAsia="黑体"/>
      <w:b w:val="0"/>
      <w:bCs w:val="0"/>
      <w:kern w:val="0"/>
      <w:sz w:val="28"/>
      <w:szCs w:val="28"/>
      <w:lang w:val="zh-CN"/>
    </w:rPr>
  </w:style>
  <w:style w:type="paragraph" w:customStyle="1" w:styleId="199">
    <w:name w:val="无间隔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00">
    <w:name w:val="Char Char Char Char Char Char Char"/>
    <w:basedOn w:val="1"/>
    <w:qFormat/>
    <w:uiPriority w:val="99"/>
    <w:pPr>
      <w:widowControl/>
      <w:spacing w:after="160" w:line="240" w:lineRule="exact"/>
      <w:jc w:val="left"/>
    </w:pPr>
    <w:rPr>
      <w:szCs w:val="21"/>
    </w:rPr>
  </w:style>
  <w:style w:type="paragraph" w:customStyle="1" w:styleId="201">
    <w:name w:val="Char"/>
    <w:basedOn w:val="1"/>
    <w:qFormat/>
    <w:uiPriority w:val="99"/>
    <w:pPr>
      <w:widowControl/>
      <w:spacing w:after="160" w:line="240" w:lineRule="exact"/>
      <w:jc w:val="left"/>
    </w:pPr>
    <w:rPr>
      <w:szCs w:val="21"/>
    </w:rPr>
  </w:style>
  <w:style w:type="paragraph" w:customStyle="1" w:styleId="202">
    <w:name w:val="默认段落字体 Para Char Char Char Char Char Char Char Char Char1 Char Char Char Char"/>
    <w:basedOn w:val="1"/>
    <w:qFormat/>
    <w:uiPriority w:val="0"/>
    <w:rPr>
      <w:rFonts w:ascii="Tahoma" w:hAnsi="Tahoma"/>
      <w:sz w:val="24"/>
      <w:szCs w:val="20"/>
    </w:rPr>
  </w:style>
  <w:style w:type="paragraph" w:customStyle="1" w:styleId="203">
    <w:name w:val="Table Paragraph"/>
    <w:basedOn w:val="1"/>
    <w:qFormat/>
    <w:uiPriority w:val="1"/>
    <w:pPr>
      <w:jc w:val="left"/>
    </w:pPr>
    <w:rPr>
      <w:rFonts w:ascii="Calibri" w:hAnsi="Calibri"/>
      <w:kern w:val="0"/>
      <w:sz w:val="22"/>
      <w:szCs w:val="22"/>
      <w:lang w:eastAsia="en-US"/>
    </w:rPr>
  </w:style>
  <w:style w:type="paragraph" w:customStyle="1" w:styleId="204">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205">
    <w:name w:val="样式1"/>
    <w:basedOn w:val="1"/>
    <w:next w:val="5"/>
    <w:qFormat/>
    <w:uiPriority w:val="99"/>
    <w:pPr>
      <w:spacing w:line="360" w:lineRule="auto"/>
      <w:ind w:firstLine="420" w:firstLineChars="200"/>
    </w:pPr>
    <w:rPr>
      <w:rFonts w:ascii="宋体" w:hAnsi="宋体" w:cs="宋体"/>
      <w:szCs w:val="21"/>
    </w:rPr>
  </w:style>
  <w:style w:type="paragraph" w:customStyle="1" w:styleId="206">
    <w:name w:val="列出段落1"/>
    <w:basedOn w:val="1"/>
    <w:qFormat/>
    <w:uiPriority w:val="99"/>
    <w:pPr>
      <w:ind w:firstLine="420" w:firstLineChars="200"/>
    </w:pPr>
    <w:rPr>
      <w:rFonts w:ascii="Calibri" w:hAnsi="Calibri" w:cs="Calibri"/>
      <w:szCs w:val="21"/>
    </w:rPr>
  </w:style>
  <w:style w:type="paragraph" w:customStyle="1" w:styleId="207">
    <w:name w:val="正文_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08">
    <w:name w:val="TOC 标题1"/>
    <w:basedOn w:val="2"/>
    <w:next w:val="1"/>
    <w:qFormat/>
    <w:uiPriority w:val="99"/>
    <w:pPr>
      <w:spacing w:line="576" w:lineRule="auto"/>
      <w:outlineLvl w:val="9"/>
    </w:pPr>
    <w:rPr>
      <w:rFonts w:ascii="Calibri" w:hAnsi="Calibri" w:eastAsia="黑体" w:cs="Calibri"/>
      <w:lang w:val="zh-CN"/>
    </w:rPr>
  </w:style>
  <w:style w:type="paragraph" w:customStyle="1" w:styleId="209">
    <w:name w:val="空半行"/>
    <w:basedOn w:val="1"/>
    <w:qFormat/>
    <w:uiPriority w:val="99"/>
    <w:pPr>
      <w:adjustRightInd w:val="0"/>
      <w:spacing w:line="120" w:lineRule="exact"/>
      <w:textAlignment w:val="baseline"/>
    </w:pPr>
    <w:rPr>
      <w:rFonts w:eastAsia="仿宋_GB2312"/>
      <w:color w:val="FFFFFF"/>
      <w:kern w:val="0"/>
      <w:sz w:val="30"/>
      <w:szCs w:val="30"/>
    </w:rPr>
  </w:style>
  <w:style w:type="paragraph" w:customStyle="1" w:styleId="210">
    <w:name w:val="p0"/>
    <w:basedOn w:val="1"/>
    <w:qFormat/>
    <w:uiPriority w:val="99"/>
    <w:pPr>
      <w:widowControl/>
    </w:pPr>
    <w:rPr>
      <w:rFonts w:ascii="Calibri" w:hAnsi="Calibri" w:cs="Calibri"/>
      <w:kern w:val="0"/>
      <w:szCs w:val="21"/>
    </w:rPr>
  </w:style>
  <w:style w:type="paragraph" w:customStyle="1" w:styleId="211">
    <w:name w:val="1"/>
    <w:basedOn w:val="1"/>
    <w:next w:val="1"/>
    <w:qFormat/>
    <w:uiPriority w:val="99"/>
    <w:rPr>
      <w:szCs w:val="21"/>
    </w:rPr>
  </w:style>
  <w:style w:type="paragraph" w:customStyle="1" w:styleId="212">
    <w:name w:val="列出段落2"/>
    <w:basedOn w:val="1"/>
    <w:qFormat/>
    <w:uiPriority w:val="99"/>
    <w:pPr>
      <w:ind w:firstLine="420" w:firstLineChars="200"/>
    </w:pPr>
    <w:rPr>
      <w:rFonts w:ascii="Calibri" w:hAnsi="Calibri" w:cs="Calibri"/>
      <w:szCs w:val="21"/>
    </w:rPr>
  </w:style>
  <w:style w:type="paragraph" w:customStyle="1" w:styleId="213">
    <w:name w:val="修订1"/>
    <w:qFormat/>
    <w:uiPriority w:val="99"/>
    <w:rPr>
      <w:rFonts w:ascii="Times New Roman" w:hAnsi="Times New Roman" w:eastAsia="宋体" w:cs="Times New Roman"/>
      <w:kern w:val="2"/>
      <w:sz w:val="21"/>
      <w:szCs w:val="21"/>
      <w:lang w:val="en-US" w:eastAsia="zh-CN" w:bidi="ar-SA"/>
    </w:rPr>
  </w:style>
  <w:style w:type="paragraph" w:customStyle="1" w:styleId="214">
    <w:name w:val="无间隔1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15">
    <w:name w:val="修订11"/>
    <w:qFormat/>
    <w:uiPriority w:val="99"/>
    <w:rPr>
      <w:rFonts w:ascii="Times New Roman" w:hAnsi="Times New Roman" w:eastAsia="宋体" w:cs="Times New Roman"/>
      <w:kern w:val="2"/>
      <w:sz w:val="21"/>
      <w:szCs w:val="21"/>
      <w:lang w:val="en-US" w:eastAsia="zh-CN" w:bidi="ar-SA"/>
    </w:rPr>
  </w:style>
  <w:style w:type="paragraph" w:customStyle="1" w:styleId="216">
    <w:name w:val="2-2ji"/>
    <w:basedOn w:val="3"/>
    <w:qFormat/>
    <w:uiPriority w:val="99"/>
    <w:pPr>
      <w:spacing w:before="0" w:after="0" w:line="360" w:lineRule="auto"/>
      <w:jc w:val="center"/>
    </w:pPr>
    <w:rPr>
      <w:rFonts w:ascii="宋体" w:hAnsi="宋体" w:cs="宋体"/>
      <w:sz w:val="36"/>
      <w:szCs w:val="36"/>
      <w:lang w:val="zh-CN"/>
    </w:rPr>
  </w:style>
  <w:style w:type="paragraph" w:customStyle="1" w:styleId="217">
    <w:name w:val="reader-word-layer"/>
    <w:basedOn w:val="1"/>
    <w:qFormat/>
    <w:uiPriority w:val="99"/>
    <w:pPr>
      <w:widowControl/>
      <w:spacing w:before="100" w:beforeAutospacing="1" w:after="100" w:afterAutospacing="1"/>
      <w:jc w:val="left"/>
    </w:pPr>
    <w:rPr>
      <w:rFonts w:ascii="宋体" w:hAnsi="宋体" w:cs="宋体"/>
      <w:kern w:val="0"/>
      <w:sz w:val="24"/>
    </w:rPr>
  </w:style>
  <w:style w:type="paragraph" w:customStyle="1" w:styleId="218">
    <w:name w:val="Char Char Char Char"/>
    <w:basedOn w:val="1"/>
    <w:qFormat/>
    <w:uiPriority w:val="99"/>
    <w:pPr>
      <w:widowControl/>
      <w:spacing w:line="500" w:lineRule="exact"/>
      <w:outlineLvl w:val="2"/>
    </w:pPr>
    <w:rPr>
      <w:rFonts w:ascii="黑体" w:hAnsi="Verdana" w:eastAsia="黑体" w:cs="黑体"/>
      <w:kern w:val="0"/>
      <w:sz w:val="28"/>
      <w:szCs w:val="28"/>
      <w:lang w:eastAsia="en-US"/>
    </w:rPr>
  </w:style>
  <w:style w:type="paragraph" w:customStyle="1" w:styleId="219">
    <w:name w:val="Char1"/>
    <w:basedOn w:val="1"/>
    <w:qFormat/>
    <w:uiPriority w:val="99"/>
    <w:pPr>
      <w:widowControl/>
      <w:spacing w:after="160" w:line="240" w:lineRule="exact"/>
      <w:jc w:val="left"/>
    </w:pPr>
    <w:rPr>
      <w:szCs w:val="21"/>
    </w:rPr>
  </w:style>
  <w:style w:type="paragraph" w:customStyle="1" w:styleId="220">
    <w:name w:val="_Style 37"/>
    <w:basedOn w:val="1"/>
    <w:next w:val="1"/>
    <w:qFormat/>
    <w:uiPriority w:val="99"/>
    <w:rPr>
      <w:szCs w:val="21"/>
    </w:rPr>
  </w:style>
  <w:style w:type="paragraph" w:customStyle="1" w:styleId="221">
    <w:name w:val="样式 标题 3 + (中文) 黑体 小四 非加粗 段前: 7.8 磅 段后: 0 磅 行距: 固定值 20 磅"/>
    <w:basedOn w:val="4"/>
    <w:qFormat/>
    <w:uiPriority w:val="99"/>
    <w:pPr>
      <w:spacing w:before="0" w:after="0" w:line="400" w:lineRule="exact"/>
    </w:pPr>
    <w:rPr>
      <w:rFonts w:eastAsia="黑体"/>
      <w:b w:val="0"/>
      <w:bCs w:val="0"/>
      <w:lang w:val="zh-CN"/>
    </w:rPr>
  </w:style>
  <w:style w:type="paragraph" w:styleId="222">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3">
    <w:name w:val="正正正正"/>
    <w:basedOn w:val="18"/>
    <w:qFormat/>
    <w:uiPriority w:val="1"/>
    <w:pPr>
      <w:tabs>
        <w:tab w:val="left" w:pos="2812"/>
        <w:tab w:val="left" w:pos="3986"/>
      </w:tabs>
      <w:spacing w:after="0" w:line="360" w:lineRule="exact"/>
      <w:ind w:firstLine="200" w:firstLineChars="200"/>
    </w:pPr>
    <w:rPr>
      <w:rFonts w:ascii="Calibri" w:hAnsi="Calibri"/>
      <w:sz w:val="20"/>
      <w:szCs w:val="21"/>
      <w:lang w:eastAsia="en-US"/>
    </w:rPr>
  </w:style>
  <w:style w:type="paragraph" w:customStyle="1" w:styleId="224">
    <w:name w:val="_Style 1"/>
    <w:basedOn w:val="1"/>
    <w:qFormat/>
    <w:uiPriority w:val="99"/>
    <w:pPr>
      <w:ind w:firstLine="420" w:firstLineChars="200"/>
      <w:jc w:val="left"/>
    </w:pPr>
    <w:rPr>
      <w:rFonts w:ascii="Times New Roman)" w:hAnsi="Times New Roman)" w:eastAsia="宋体正文"/>
      <w:color w:val="000000"/>
      <w:kern w:val="0"/>
      <w:lang w:eastAsia="en-US" w:bidi="en-US"/>
    </w:rPr>
  </w:style>
  <w:style w:type="character" w:customStyle="1" w:styleId="225">
    <w:name w:val="bookmark-item"/>
    <w:qFormat/>
    <w:uiPriority w:val="0"/>
  </w:style>
  <w:style w:type="character" w:customStyle="1" w:styleId="226">
    <w:name w:val="纯文本 Char2"/>
    <w:qFormat/>
    <w:uiPriority w:val="0"/>
    <w:rPr>
      <w:rFonts w:ascii="宋体" w:hAnsi="Courier New" w:eastAsia="宋体" w:cs="Courier New"/>
      <w:szCs w:val="21"/>
    </w:rPr>
  </w:style>
  <w:style w:type="character" w:customStyle="1" w:styleId="227">
    <w:name w:val="页脚 Char1"/>
    <w:qFormat/>
    <w:uiPriority w:val="99"/>
    <w:rPr>
      <w:rFonts w:ascii="Times New Roman" w:hAnsi="Times New Roman" w:eastAsia="宋体" w:cs="Times New Roman"/>
      <w:sz w:val="18"/>
      <w:szCs w:val="18"/>
    </w:rPr>
  </w:style>
  <w:style w:type="paragraph" w:customStyle="1" w:styleId="228">
    <w:name w:val="正文_3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9">
    <w:name w:val="正文_3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0">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1">
    <w:name w:val="正文_3"/>
    <w:next w:val="232"/>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2">
    <w:name w:val="正文文本_2"/>
    <w:basedOn w:val="231"/>
    <w:next w:val="231"/>
    <w:qFormat/>
    <w:uiPriority w:val="99"/>
    <w:pPr>
      <w:spacing w:after="120"/>
    </w:pPr>
    <w:rPr>
      <w:rFonts w:ascii="Times New Roman" w:hAnsi="Times New Roman"/>
      <w:szCs w:val="24"/>
    </w:rPr>
  </w:style>
  <w:style w:type="paragraph" w:customStyle="1" w:styleId="233">
    <w:name w:val="标题 4_1"/>
    <w:basedOn w:val="231"/>
    <w:next w:val="231"/>
    <w:qFormat/>
    <w:uiPriority w:val="0"/>
    <w:pPr>
      <w:keepNext/>
      <w:keepLines/>
      <w:spacing w:before="280" w:after="290" w:line="372" w:lineRule="auto"/>
      <w:outlineLvl w:val="3"/>
    </w:pPr>
    <w:rPr>
      <w:rFonts w:ascii="Cambria" w:hAnsi="Cambria"/>
      <w:b/>
      <w:bCs/>
      <w:sz w:val="28"/>
      <w:szCs w:val="28"/>
    </w:rPr>
  </w:style>
  <w:style w:type="paragraph" w:customStyle="1" w:styleId="234">
    <w:name w:val="正文_3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235">
    <w:name w:val="first-child"/>
    <w:basedOn w:val="46"/>
    <w:qFormat/>
    <w:uiPriority w:val="0"/>
  </w:style>
  <w:style w:type="character" w:customStyle="1" w:styleId="236">
    <w:name w:val="NormalCharacter"/>
    <w:qFormat/>
    <w:uiPriority w:val="0"/>
  </w:style>
  <w:style w:type="character" w:customStyle="1" w:styleId="237">
    <w:name w:val="layui-layer-tabnow"/>
    <w:basedOn w:val="46"/>
    <w:qFormat/>
    <w:uiPriority w:val="0"/>
    <w:rPr>
      <w:bdr w:val="single" w:color="CCCCCC" w:sz="6" w:space="0"/>
      <w:shd w:val="clear" w:color="auto" w:fill="FFFFFF"/>
    </w:rPr>
  </w:style>
  <w:style w:type="paragraph" w:customStyle="1" w:styleId="238">
    <w:name w:val="Normal_0"/>
    <w:qFormat/>
    <w:uiPriority w:val="0"/>
    <w:rPr>
      <w:rFonts w:ascii="Times New Roman" w:hAnsi="Times New Roman" w:eastAsia="Times New Roman" w:cs="Times New Roman"/>
      <w:sz w:val="24"/>
      <w:szCs w:val="24"/>
      <w:lang w:val="en-US" w:eastAsia="zh-CN" w:bidi="ar-SA"/>
    </w:rPr>
  </w:style>
  <w:style w:type="paragraph" w:customStyle="1" w:styleId="239">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0">
    <w:name w:val="正文3"/>
    <w:qFormat/>
    <w:uiPriority w:val="0"/>
    <w:rPr>
      <w:rFonts w:ascii="Times New Roman" w:hAnsi="Times New Roman" w:eastAsia="Times New Roman" w:cs="Times New Roman"/>
      <w:sz w:val="24"/>
      <w:szCs w:val="24"/>
      <w:lang w:val="en-US" w:eastAsia="zh-CN" w:bidi="ar-SA"/>
    </w:rPr>
  </w:style>
  <w:style w:type="paragraph" w:customStyle="1" w:styleId="241">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2">
    <w:name w:val="Normal_18"/>
    <w:qFormat/>
    <w:uiPriority w:val="0"/>
    <w:rPr>
      <w:rFonts w:ascii="Times New Roman" w:hAnsi="Times New Roman" w:eastAsia="Times New Roman" w:cs="Times New Roman"/>
      <w:sz w:val="24"/>
      <w:szCs w:val="24"/>
      <w:lang w:val="en-US" w:eastAsia="zh-CN" w:bidi="ar-SA"/>
    </w:rPr>
  </w:style>
  <w:style w:type="character" w:customStyle="1" w:styleId="243">
    <w:name w:val="批注文字 Char1"/>
    <w:qFormat/>
    <w:uiPriority w:val="99"/>
    <w:rPr>
      <w:rFonts w:ascii="Times New Roman" w:hAnsi="Times New Roman"/>
      <w:kern w:val="2"/>
      <w:sz w:val="21"/>
      <w:szCs w:val="24"/>
    </w:rPr>
  </w:style>
  <w:style w:type="character" w:customStyle="1" w:styleId="244">
    <w:name w:val="纯文本 Char1"/>
    <w:qFormat/>
    <w:uiPriority w:val="99"/>
    <w:rPr>
      <w:rFonts w:ascii="宋体" w:hAnsi="Courier New" w:eastAsia="宋体" w:cs="Courier New"/>
      <w:szCs w:val="21"/>
    </w:rPr>
  </w:style>
  <w:style w:type="paragraph" w:customStyle="1" w:styleId="245">
    <w:name w:val="修订2"/>
    <w:hidden/>
    <w:unhideWhenUsed/>
    <w:qFormat/>
    <w:uiPriority w:val="99"/>
    <w:rPr>
      <w:rFonts w:ascii="Times New Roman" w:hAnsi="Times New Roman" w:eastAsia="宋体" w:cs="Times New Roman"/>
      <w:kern w:val="2"/>
      <w:sz w:val="21"/>
      <w:szCs w:val="24"/>
      <w:lang w:val="en-US" w:eastAsia="zh-CN" w:bidi="ar-SA"/>
    </w:rPr>
  </w:style>
  <w:style w:type="paragraph" w:customStyle="1" w:styleId="246">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7">
    <w:name w:val="正文_2_0_0"/>
    <w:next w:val="248"/>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8">
    <w:name w:val="表格文字_0"/>
    <w:basedOn w:val="247"/>
    <w:qFormat/>
    <w:uiPriority w:val="0"/>
    <w:pPr>
      <w:jc w:val="left"/>
    </w:pPr>
    <w:rPr>
      <w:bCs/>
      <w:spacing w:val="10"/>
      <w:kern w:val="0"/>
      <w:sz w:val="24"/>
    </w:rPr>
  </w:style>
  <w:style w:type="paragraph" w:customStyle="1" w:styleId="249">
    <w:name w:val="正文_2_0"/>
    <w:next w:val="25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0">
    <w:name w:val="正文文本_1"/>
    <w:basedOn w:val="249"/>
    <w:next w:val="249"/>
    <w:qFormat/>
    <w:uiPriority w:val="99"/>
    <w:pPr>
      <w:spacing w:after="120"/>
    </w:pPr>
    <w:rPr>
      <w:rFonts w:ascii="Times New Roman" w:hAnsi="Times New Roman"/>
      <w:szCs w:val="24"/>
    </w:rPr>
  </w:style>
  <w:style w:type="paragraph" w:customStyle="1" w:styleId="251">
    <w:name w:val="正文_2_0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2">
    <w:name w:val="Table Text"/>
    <w:basedOn w:val="1"/>
    <w:semiHidden/>
    <w:qFormat/>
    <w:uiPriority w:val="0"/>
    <w:rPr>
      <w:rFonts w:ascii="宋体" w:hAnsi="宋体" w:eastAsia="宋体" w:cs="宋体"/>
      <w:sz w:val="20"/>
      <w:szCs w:val="20"/>
      <w:lang w:val="en-US" w:eastAsia="en-US" w:bidi="ar-SA"/>
    </w:rPr>
  </w:style>
  <w:style w:type="table" w:customStyle="1" w:styleId="253">
    <w:name w:val="Table Normal"/>
    <w:semiHidden/>
    <w:unhideWhenUsed/>
    <w:qFormat/>
    <w:uiPriority w:val="0"/>
    <w:tblPr>
      <w:tblCellMar>
        <w:top w:w="0" w:type="dxa"/>
        <w:left w:w="0" w:type="dxa"/>
        <w:bottom w:w="0" w:type="dxa"/>
        <w:right w:w="0" w:type="dxa"/>
      </w:tblCellMar>
    </w:tblPr>
  </w:style>
  <w:style w:type="character" w:customStyle="1" w:styleId="254">
    <w:name w:val="正文文本 (2) + 间距 0 pt2"/>
    <w:unhideWhenUsed/>
    <w:qFormat/>
    <w:uiPriority w:val="0"/>
    <w:rPr>
      <w:rFonts w:ascii="MingLiU" w:hAnsi="MingLiU" w:eastAsia="MingLiU"/>
      <w:color w:val="000000"/>
      <w:sz w:val="22"/>
      <w:shd w:val="clear" w:color="auto" w:fill="FFFFFF"/>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118</Pages>
  <Words>19460</Words>
  <Characters>21175</Characters>
  <Lines>687</Lines>
  <Paragraphs>193</Paragraphs>
  <TotalTime>24</TotalTime>
  <ScaleCrop>false</ScaleCrop>
  <LinksUpToDate>false</LinksUpToDate>
  <CharactersWithSpaces>21729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2024-05-21T07:07:00Z</dcterms:created>
  <dc:creator>唐冰</dc:creator>
  <cp:lastModifiedBy>黄工</cp:lastModifiedBy>
  <cp:lastPrinted>2024-08-12T07:16:00Z</cp:lastPrinted>
  <dcterms:modified xsi:type="dcterms:W3CDTF">2025-07-04T07:41:30Z</dcterms:modified>
  <dc:title>竞争性谈判文件规范</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A1A89C1AB9004A08B090AE2743B3F755_13</vt:lpwstr>
  </property>
  <property fmtid="{D5CDD505-2E9C-101B-9397-08002B2CF9AE}" pid="4" name="KSOTemplateDocerSaveRecord">
    <vt:lpwstr>eyJoZGlkIjoiMjI1NTA0NWIwMTA1YmUzYTQ1OTU4ZWUzMjljYzY3NzgiLCJ1c2VySWQiOiIyMjczMDQ4MzkifQ==</vt:lpwstr>
  </property>
</Properties>
</file>