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Times New Roman"/>
          <w:color w:val="auto"/>
          <w:sz w:val="52"/>
          <w:szCs w:val="52"/>
          <w:highlight w:val="none"/>
        </w:rPr>
      </w:pPr>
    </w:p>
    <w:p>
      <w:pPr>
        <w:snapToGrid w:val="0"/>
        <w:spacing w:before="156" w:beforeLines="50" w:line="360" w:lineRule="auto"/>
        <w:jc w:val="center"/>
        <w:rPr>
          <w:rFonts w:hint="eastAsia" w:ascii="宋体" w:hAnsi="宋体" w:eastAsia="宋体" w:cs="宋体"/>
          <w:color w:val="auto"/>
          <w:sz w:val="36"/>
          <w:szCs w:val="36"/>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bookmarkStart w:id="207" w:name="_GoBack"/>
      <w:bookmarkEnd w:id="207"/>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ind w:firstLine="1205" w:firstLineChars="400"/>
        <w:jc w:val="both"/>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w:t>
      </w:r>
      <w:bookmarkStart w:id="0" w:name="OLE_LINK36"/>
      <w:r>
        <w:rPr>
          <w:rFonts w:hint="eastAsia" w:ascii="宋体" w:hAnsi="宋体" w:eastAsia="宋体" w:cs="宋体"/>
          <w:b/>
          <w:bCs/>
          <w:color w:val="auto"/>
          <w:kern w:val="0"/>
          <w:sz w:val="30"/>
          <w:szCs w:val="30"/>
          <w:highlight w:val="none"/>
          <w:lang w:val="zh-CN"/>
        </w:rPr>
        <w:t>崇左市公安局应急装备库</w:t>
      </w:r>
      <w:r>
        <w:rPr>
          <w:rFonts w:hint="eastAsia" w:ascii="宋体" w:hAnsi="宋体" w:eastAsia="宋体" w:cs="宋体"/>
          <w:b/>
          <w:bCs/>
          <w:color w:val="auto"/>
          <w:kern w:val="0"/>
          <w:sz w:val="30"/>
          <w:szCs w:val="30"/>
          <w:highlight w:val="none"/>
          <w:lang w:val="en-US" w:eastAsia="zh-CN"/>
        </w:rPr>
        <w:t>设备</w:t>
      </w:r>
      <w:r>
        <w:rPr>
          <w:rFonts w:hint="eastAsia" w:ascii="宋体" w:hAnsi="宋体" w:eastAsia="宋体" w:cs="宋体"/>
          <w:b/>
          <w:bCs/>
          <w:color w:val="auto"/>
          <w:kern w:val="0"/>
          <w:sz w:val="30"/>
          <w:szCs w:val="30"/>
          <w:highlight w:val="none"/>
          <w:lang w:val="zh-CN"/>
        </w:rPr>
        <w:t>项目</w:t>
      </w:r>
      <w:bookmarkEnd w:id="0"/>
    </w:p>
    <w:p>
      <w:pPr>
        <w:snapToGrid w:val="0"/>
        <w:spacing w:before="50" w:after="120" w:line="360" w:lineRule="auto"/>
        <w:ind w:firstLine="1193" w:firstLineChars="396"/>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项目编号：</w:t>
      </w:r>
      <w:r>
        <w:rPr>
          <w:rFonts w:hint="eastAsia" w:ascii="宋体" w:hAnsi="宋体" w:eastAsia="宋体" w:cs="宋体"/>
          <w:b/>
          <w:bCs/>
          <w:color w:val="auto"/>
          <w:kern w:val="0"/>
          <w:sz w:val="30"/>
          <w:szCs w:val="30"/>
          <w:highlight w:val="none"/>
          <w:lang w:val="zh-CN"/>
        </w:rPr>
        <w:fldChar w:fldCharType="begin"/>
      </w:r>
      <w:r>
        <w:rPr>
          <w:rFonts w:hint="eastAsia" w:ascii="宋体" w:hAnsi="宋体" w:eastAsia="宋体" w:cs="宋体"/>
          <w:b/>
          <w:bCs/>
          <w:color w:val="auto"/>
          <w:kern w:val="0"/>
          <w:sz w:val="30"/>
          <w:szCs w:val="30"/>
          <w:highlight w:val="none"/>
          <w:lang w:val="zh-CN"/>
        </w:rPr>
        <w:instrText xml:space="preserve"> HYPERLINK "https://www.gcy.zfcg.gxzf.gov.cn/gaea/api/project/flow/redirect?projectId=7217398789494800452&amp;newUrl=https://www.gcy.zfcg.gxzf.gov.cn/micro-app-back-index/blank?_flow_type_=agency&amp;_flow_projectId_=7217398789494800452&amp;_jump_page_type_=project_procurement_management_flow&amp;_app_=zcy.procurement&amp;oldUrl=https://www.gcy.zfcg.gxzf.gov.cn/project-center/_procurement_/project-result-detail/7217398789494800452" \t "https://www.gcy.zfcg.gxzf.gov.cn/project-center/_procurement_/self-project/_blank" </w:instrText>
      </w:r>
      <w:r>
        <w:rPr>
          <w:rFonts w:hint="eastAsia" w:ascii="宋体" w:hAnsi="宋体" w:eastAsia="宋体" w:cs="宋体"/>
          <w:b/>
          <w:bCs/>
          <w:color w:val="auto"/>
          <w:kern w:val="0"/>
          <w:sz w:val="30"/>
          <w:szCs w:val="30"/>
          <w:highlight w:val="none"/>
          <w:lang w:val="zh-CN"/>
        </w:rPr>
        <w:fldChar w:fldCharType="separate"/>
      </w:r>
      <w:r>
        <w:rPr>
          <w:rFonts w:hint="eastAsia" w:ascii="宋体" w:hAnsi="宋体" w:eastAsia="宋体" w:cs="宋体"/>
          <w:b/>
          <w:bCs/>
          <w:color w:val="auto"/>
          <w:kern w:val="0"/>
          <w:sz w:val="30"/>
          <w:szCs w:val="30"/>
          <w:highlight w:val="none"/>
          <w:lang w:val="zh-CN"/>
        </w:rPr>
        <w:t>CZZC2025-J1-990118-HSZB</w:t>
      </w:r>
      <w:r>
        <w:rPr>
          <w:rFonts w:hint="eastAsia" w:ascii="宋体" w:hAnsi="宋体" w:eastAsia="宋体" w:cs="宋体"/>
          <w:b/>
          <w:bCs/>
          <w:color w:val="auto"/>
          <w:kern w:val="0"/>
          <w:sz w:val="30"/>
          <w:szCs w:val="30"/>
          <w:highlight w:val="none"/>
          <w:lang w:val="zh-CN"/>
        </w:rPr>
        <w:fldChar w:fldCharType="end"/>
      </w:r>
    </w:p>
    <w:p>
      <w:pPr>
        <w:snapToGrid w:val="0"/>
        <w:spacing w:before="50" w:after="120" w:line="360" w:lineRule="auto"/>
        <w:rPr>
          <w:rFonts w:hint="eastAsia"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w:t>
      </w:r>
      <w:r>
        <w:rPr>
          <w:rFonts w:hint="eastAsia" w:hAnsi="宋体"/>
          <w:b/>
          <w:color w:val="auto"/>
          <w:sz w:val="30"/>
          <w:szCs w:val="72"/>
          <w:highlight w:val="none"/>
        </w:rPr>
        <w:t>崇左市公安局</w:t>
      </w:r>
      <w:r>
        <w:rPr>
          <w:rFonts w:hint="eastAsia" w:ascii="宋体" w:hAnsi="宋体" w:eastAsia="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rPr>
        <w:t xml:space="preserve"> </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采购代理机构：</w:t>
      </w:r>
      <w:r>
        <w:rPr>
          <w:rFonts w:hint="eastAsia" w:hAnsi="宋体"/>
          <w:b/>
          <w:color w:val="auto"/>
          <w:sz w:val="30"/>
          <w:szCs w:val="72"/>
        </w:rPr>
        <w:t>广西</w:t>
      </w:r>
      <w:r>
        <w:rPr>
          <w:rFonts w:hint="eastAsia" w:hAnsi="宋体"/>
          <w:b/>
          <w:color w:val="auto"/>
          <w:sz w:val="30"/>
          <w:szCs w:val="72"/>
          <w:lang w:val="en-US" w:eastAsia="zh-CN"/>
        </w:rPr>
        <w:t>华晟</w:t>
      </w:r>
      <w:r>
        <w:rPr>
          <w:rFonts w:hint="eastAsia" w:hAnsi="宋体"/>
          <w:b/>
          <w:color w:val="auto"/>
          <w:sz w:val="30"/>
          <w:szCs w:val="72"/>
        </w:rPr>
        <w:t>招标</w:t>
      </w:r>
      <w:r>
        <w:rPr>
          <w:rFonts w:hint="eastAsia" w:hAnsi="宋体"/>
          <w:b/>
          <w:color w:val="auto"/>
          <w:sz w:val="30"/>
          <w:szCs w:val="72"/>
          <w:lang w:val="en-US" w:eastAsia="zh-CN"/>
        </w:rPr>
        <w:t>代理</w:t>
      </w:r>
      <w:r>
        <w:rPr>
          <w:rFonts w:hint="eastAsia" w:hAnsi="宋体"/>
          <w:b/>
          <w:color w:val="auto"/>
          <w:sz w:val="30"/>
          <w:szCs w:val="72"/>
        </w:rPr>
        <w:t>有限公司</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ascii="宋体" w:hAnsi="宋体" w:eastAsia="宋体" w:cs="宋体"/>
          <w:b/>
          <w:color w:val="auto"/>
          <w:sz w:val="32"/>
          <w:szCs w:val="32"/>
          <w:highlight w:val="none"/>
        </w:rPr>
        <w:t>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21</w:t>
      </w:r>
      <w:r>
        <w:rPr>
          <w:rFonts w:hint="eastAsia" w:ascii="宋体" w:hAnsi="宋体" w:eastAsia="宋体" w:cs="宋体"/>
          <w:b/>
          <w:color w:val="auto"/>
          <w:sz w:val="32"/>
          <w:szCs w:val="32"/>
          <w:highlight w:val="none"/>
        </w:rPr>
        <w:t>日</w:t>
      </w:r>
    </w:p>
    <w:p>
      <w:pPr>
        <w:ind w:firstLine="803"/>
        <w:rPr>
          <w:rFonts w:hint="eastAsia" w:ascii="宋体" w:hAnsi="宋体" w:eastAsia="宋体" w:cs="宋体"/>
          <w:b/>
          <w:color w:val="auto"/>
          <w:sz w:val="32"/>
          <w:szCs w:val="32"/>
          <w:highlight w:val="none"/>
          <w:lang w:val="zh-CN"/>
        </w:rPr>
        <w:sectPr>
          <w:headerReference r:id="rId6" w:type="first"/>
          <w:footerReference r:id="rId8" w:type="first"/>
          <w:headerReference r:id="rId5" w:type="default"/>
          <w:footerReference r:id="rId7" w:type="default"/>
          <w:pgSz w:w="11906" w:h="16838"/>
          <w:pgMar w:top="1440" w:right="1440" w:bottom="1440" w:left="1587" w:header="851" w:footer="992" w:gutter="0"/>
          <w:pgNumType w:start="0"/>
          <w:cols w:space="720" w:num="1"/>
          <w:titlePg/>
          <w:docGrid w:type="lines" w:linePitch="312" w:charSpace="0"/>
        </w:sectPr>
      </w:pPr>
    </w:p>
    <w:p>
      <w:pPr>
        <w:spacing w:line="400" w:lineRule="exact"/>
        <w:jc w:val="left"/>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6"/>
        <w:tabs>
          <w:tab w:val="right" w:leader="dot" w:pos="8879"/>
        </w:tabs>
        <w:rPr>
          <w:rFonts w:hint="eastAsia" w:ascii="宋体" w:hAnsi="宋体" w:eastAsia="宋体" w:cs="宋体"/>
          <w:b/>
          <w:color w:val="auto"/>
          <w:sz w:val="28"/>
          <w:szCs w:val="28"/>
          <w:highlight w:val="none"/>
        </w:rPr>
      </w:pPr>
    </w:p>
    <w:p>
      <w:pPr>
        <w:pStyle w:val="26"/>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6"/>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6"/>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33</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6"/>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Theme="majorEastAsia" w:hAnsiTheme="majorEastAsia" w:eastAsiaTheme="majorEastAsia" w:cstheme="majorEastAsia"/>
          <w:b/>
          <w:bCs/>
          <w:color w:val="auto"/>
          <w:sz w:val="24"/>
          <w:szCs w:val="24"/>
          <w:highlight w:val="none"/>
          <w:lang w:val="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57</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6"/>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64</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6"/>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89</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6"/>
        <w:tabs>
          <w:tab w:val="right" w:leader="dot" w:pos="8879"/>
        </w:tabs>
        <w:spacing w:line="480" w:lineRule="auto"/>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98</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footerReference r:id="rId10" w:type="first"/>
          <w:footerReference r:id="rId9" w:type="default"/>
          <w:pgSz w:w="11906" w:h="16838"/>
          <w:pgMar w:top="1440" w:right="1440" w:bottom="1440" w:left="1587" w:header="851" w:footer="992" w:gutter="0"/>
          <w:pgNumType w:fmt="decimal" w:start="1"/>
          <w:cols w:space="720" w:num="1"/>
          <w:titlePg/>
          <w:docGrid w:type="lines" w:linePitch="312" w:charSpace="0"/>
        </w:sectPr>
      </w:pPr>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1" w:name="_Toc80205920"/>
      <w:bookmarkStart w:id="2" w:name="_Toc21558"/>
      <w:bookmarkStart w:id="3" w:name="_Toc28468"/>
      <w:bookmarkStart w:id="4" w:name="_Toc21011"/>
      <w:bookmarkStart w:id="5" w:name="_Toc6626"/>
      <w:bookmarkStart w:id="6" w:name="_Toc32002"/>
      <w:bookmarkStart w:id="7" w:name="_Toc2567"/>
      <w:bookmarkStart w:id="8" w:name="_Toc15375"/>
      <w:bookmarkStart w:id="9" w:name="_Toc7085"/>
      <w:r>
        <w:rPr>
          <w:rFonts w:hint="eastAsia" w:ascii="Times New Roman" w:hAnsi="Times New Roman" w:eastAsia="宋体" w:cs="Times New Roman"/>
          <w:b/>
          <w:bCs/>
          <w:color w:val="auto"/>
          <w:kern w:val="44"/>
          <w:sz w:val="44"/>
          <w:szCs w:val="44"/>
          <w:highlight w:val="none"/>
          <w:lang w:val="zh-CN"/>
        </w:rPr>
        <w:t>第一章 竞争性谈判公告</w:t>
      </w:r>
      <w:bookmarkEnd w:id="1"/>
      <w:bookmarkEnd w:id="2"/>
      <w:bookmarkEnd w:id="3"/>
      <w:bookmarkEnd w:id="4"/>
      <w:bookmarkEnd w:id="5"/>
      <w:bookmarkEnd w:id="6"/>
      <w:bookmarkEnd w:id="7"/>
      <w:bookmarkEnd w:id="8"/>
      <w:bookmarkEnd w:id="9"/>
      <w:bookmarkStart w:id="10" w:name="_Toc35393798"/>
      <w:bookmarkStart w:id="11" w:name="_Toc28359012"/>
      <w:bookmarkStart w:id="12" w:name="_Toc28359089"/>
      <w:bookmarkStart w:id="13" w:name="_Toc35393629"/>
      <w:bookmarkStart w:id="14" w:name="_Toc44229878"/>
      <w:bookmarkStart w:id="15" w:name="_Toc35393623"/>
      <w:bookmarkStart w:id="16" w:name="_Toc28359004"/>
      <w:bookmarkStart w:id="17" w:name="_Toc28359081"/>
      <w:bookmarkStart w:id="18" w:name="_Toc35393792"/>
    </w:p>
    <w:tbl>
      <w:tblPr>
        <w:tblStyle w:val="32"/>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560"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val="zh-CN"/>
              </w:rPr>
              <w:t>崇左市公安局应急装备库</w:t>
            </w:r>
            <w:r>
              <w:rPr>
                <w:rFonts w:hint="eastAsia" w:ascii="宋体" w:hAnsi="宋体"/>
                <w:color w:val="auto"/>
                <w:szCs w:val="21"/>
                <w:highlight w:val="none"/>
                <w:u w:val="single"/>
                <w:lang w:val="en-US" w:eastAsia="zh-CN"/>
              </w:rPr>
              <w:t>设备</w:t>
            </w:r>
            <w:r>
              <w:rPr>
                <w:rFonts w:hint="eastAsia" w:ascii="宋体" w:hAnsi="宋体"/>
                <w:color w:val="auto"/>
                <w:szCs w:val="21"/>
                <w:highlight w:val="none"/>
                <w:u w:val="single"/>
                <w:lang w:val="zh-CN"/>
              </w:rPr>
              <w:t>项目</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color w:val="auto"/>
                <w:szCs w:val="21"/>
                <w:highlight w:val="none"/>
              </w:rPr>
              <w:t>广西政府采购云平台（</w:t>
            </w:r>
            <w:r>
              <w:rPr>
                <w:color w:val="auto"/>
                <w:highlight w:val="none"/>
                <w:u w:val="none"/>
              </w:rPr>
              <w:fldChar w:fldCharType="begin"/>
            </w:r>
            <w:r>
              <w:rPr>
                <w:color w:val="auto"/>
                <w:highlight w:val="none"/>
                <w:u w:val="none"/>
              </w:rPr>
              <w:instrText xml:space="preserve"> HYPERLINK "https://www.gcy.zfcg.gxzf.gov.cn/）获取采购文件，并于" </w:instrText>
            </w:r>
            <w:r>
              <w:rPr>
                <w:color w:val="auto"/>
                <w:highlight w:val="none"/>
                <w:u w:val="none"/>
              </w:rPr>
              <w:fldChar w:fldCharType="separate"/>
            </w:r>
            <w:r>
              <w:rPr>
                <w:rStyle w:val="39"/>
                <w:rFonts w:hint="eastAsia" w:ascii="宋体" w:hAnsi="宋体" w:eastAsia="宋体" w:cs="宋体"/>
                <w:bCs/>
                <w:color w:val="auto"/>
                <w:szCs w:val="21"/>
                <w:highlight w:val="none"/>
                <w:u w:val="none"/>
              </w:rPr>
              <w:t>https://www.gcy.zfcg.gxzf.gov.cn/</w:t>
            </w:r>
            <w:r>
              <w:rPr>
                <w:rStyle w:val="39"/>
                <w:rFonts w:hint="eastAsia" w:ascii="宋体" w:hAnsi="宋体" w:cs="宋体"/>
                <w:color w:val="auto"/>
                <w:szCs w:val="21"/>
                <w:highlight w:val="none"/>
                <w:u w:val="none"/>
              </w:rPr>
              <w:t>）</w:t>
            </w:r>
            <w:r>
              <w:rPr>
                <w:rStyle w:val="39"/>
                <w:rFonts w:hint="eastAsia"/>
                <w:color w:val="auto"/>
                <w:szCs w:val="21"/>
                <w:highlight w:val="none"/>
                <w:u w:val="none"/>
              </w:rPr>
              <w:t>获取采购文件，并于</w:t>
            </w:r>
            <w:r>
              <w:rPr>
                <w:rStyle w:val="39"/>
                <w:rFonts w:hint="eastAsia"/>
                <w:color w:val="auto"/>
                <w:szCs w:val="21"/>
                <w:highlight w:val="none"/>
                <w:u w:val="none"/>
              </w:rPr>
              <w:fldChar w:fldCharType="end"/>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分（北京时间）前提交响应文件</w:t>
            </w:r>
            <w:r>
              <w:rPr>
                <w:rFonts w:hint="eastAsia"/>
                <w:color w:val="auto"/>
                <w:szCs w:val="21"/>
                <w:highlight w:val="none"/>
              </w:rPr>
              <w:t>。</w:t>
            </w:r>
          </w:p>
        </w:tc>
      </w:tr>
    </w:tbl>
    <w:p>
      <w:pPr>
        <w:rPr>
          <w:rFonts w:ascii="Times New Roman" w:hAnsi="Times New Roman" w:eastAsia="宋体" w:cs="Times New Roman"/>
          <w:color w:val="auto"/>
          <w:szCs w:val="24"/>
          <w:highlight w:val="none"/>
        </w:rPr>
      </w:pPr>
    </w:p>
    <w:p>
      <w:pPr>
        <w:keepNext w:val="0"/>
        <w:keepLines w:val="0"/>
        <w:pageBreakBefore w:val="0"/>
        <w:kinsoku/>
        <w:wordWrap/>
        <w:overflowPunct/>
        <w:topLinePunct w:val="0"/>
        <w:autoSpaceDE/>
        <w:autoSpaceDN/>
        <w:bidi w:val="0"/>
        <w:spacing w:line="400" w:lineRule="exact"/>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rPr>
        <w:tab/>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val="zh-CN"/>
        </w:rPr>
        <w:t>崇左市公安局应急装备库</w:t>
      </w:r>
      <w:r>
        <w:rPr>
          <w:rFonts w:hint="eastAsia" w:ascii="宋体" w:hAnsi="宋体" w:eastAsia="宋体" w:cs="Times New Roman"/>
          <w:color w:val="auto"/>
          <w:szCs w:val="21"/>
          <w:highlight w:val="none"/>
          <w:lang w:val="en-US" w:eastAsia="zh-CN"/>
        </w:rPr>
        <w:t>设备</w:t>
      </w:r>
      <w:r>
        <w:rPr>
          <w:rFonts w:hint="eastAsia" w:ascii="宋体" w:hAnsi="宋体" w:eastAsia="宋体" w:cs="Times New Roman"/>
          <w:color w:val="auto"/>
          <w:szCs w:val="21"/>
          <w:highlight w:val="none"/>
          <w:lang w:val="zh-CN"/>
        </w:rPr>
        <w:t>项目</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Segoe UI Symbol" w:hAnsi="Segoe UI Symbol" w:cs="Segoe UI Symbol"/>
          <w:color w:val="auto"/>
          <w:szCs w:val="21"/>
          <w:highlight w:val="none"/>
        </w:rPr>
        <w:t>☑</w:t>
      </w:r>
      <w:r>
        <w:rPr>
          <w:rFonts w:hint="eastAsia" w:ascii="宋体" w:hAnsi="宋体"/>
          <w:color w:val="auto"/>
          <w:szCs w:val="21"/>
          <w:highlight w:val="none"/>
        </w:rPr>
        <w:t xml:space="preserve"> 竞争性谈判 □竞争性磋商 □询价</w:t>
      </w:r>
    </w:p>
    <w:p>
      <w:pPr>
        <w:keepNext w:val="0"/>
        <w:keepLines w:val="0"/>
        <w:pageBreakBefore w:val="0"/>
        <w:kinsoku/>
        <w:wordWrap/>
        <w:overflowPunct/>
        <w:topLinePunct w:val="0"/>
        <w:autoSpaceDE/>
        <w:autoSpaceDN/>
        <w:bidi w:val="0"/>
        <w:spacing w:line="40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预算金额：</w:t>
      </w:r>
      <w:bookmarkStart w:id="19" w:name="OLE_LINK13"/>
      <w:r>
        <w:rPr>
          <w:rFonts w:hint="eastAsia" w:ascii="宋体" w:hAnsi="宋体"/>
          <w:color w:val="auto"/>
          <w:szCs w:val="21"/>
          <w:highlight w:val="none"/>
        </w:rPr>
        <w:t>人民币</w:t>
      </w:r>
      <w:r>
        <w:rPr>
          <w:rFonts w:hint="eastAsia" w:ascii="宋体" w:hAnsi="宋体"/>
          <w:color w:val="auto"/>
          <w:szCs w:val="21"/>
          <w:highlight w:val="none"/>
          <w:lang w:val="en-US" w:eastAsia="zh-CN"/>
        </w:rPr>
        <w:t>壹佰零贰万叁仟贰佰玖拾捌元整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1,023,298.00</w:t>
      </w:r>
      <w:r>
        <w:rPr>
          <w:rFonts w:hint="eastAsia" w:ascii="宋体" w:hAnsi="宋体"/>
          <w:color w:val="auto"/>
          <w:szCs w:val="21"/>
          <w:highlight w:val="none"/>
          <w:lang w:eastAsia="zh-CN"/>
        </w:rPr>
        <w:t>）</w:t>
      </w:r>
      <w:bookmarkEnd w:id="19"/>
      <w:r>
        <w:rPr>
          <w:rFonts w:hint="eastAsia" w:ascii="宋体" w:hAnsi="宋体"/>
          <w:color w:val="auto"/>
          <w:szCs w:val="21"/>
          <w:highlight w:val="none"/>
          <w:lang w:val="en-US" w:eastAsia="zh-CN"/>
        </w:rPr>
        <w:t xml:space="preserve">        </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cs="Times New Roman"/>
          <w:color w:val="auto"/>
          <w:szCs w:val="21"/>
          <w:highlight w:val="none"/>
        </w:rPr>
      </w:pPr>
      <w:r>
        <w:rPr>
          <w:rFonts w:hint="eastAsia" w:ascii="宋体" w:hAnsi="宋体"/>
          <w:color w:val="auto"/>
          <w:szCs w:val="21"/>
          <w:highlight w:val="none"/>
        </w:rPr>
        <w:t>最高限价：</w:t>
      </w:r>
      <w:r>
        <w:rPr>
          <w:rFonts w:hint="eastAsia" w:ascii="宋体" w:hAnsi="宋体" w:eastAsia="宋体" w:cs="Times New Roman"/>
          <w:color w:val="auto"/>
          <w:szCs w:val="21"/>
          <w:highlight w:val="none"/>
        </w:rPr>
        <w:t>同采购预算金额</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eastAsia="宋体" w:cs="Times New Roman"/>
          <w:color w:val="auto"/>
          <w:szCs w:val="21"/>
          <w:highlight w:val="none"/>
        </w:rPr>
        <w:t>采购需求：</w:t>
      </w:r>
      <w:r>
        <w:rPr>
          <w:rFonts w:ascii="宋体" w:hAnsi="宋体"/>
          <w:color w:val="auto"/>
          <w:szCs w:val="21"/>
          <w:highlight w:val="none"/>
        </w:rPr>
        <w:t xml:space="preserve"> </w:t>
      </w:r>
    </w:p>
    <w:tbl>
      <w:tblPr>
        <w:tblStyle w:val="3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431"/>
        <w:gridCol w:w="669"/>
        <w:gridCol w:w="695"/>
        <w:gridCol w:w="5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bookmarkStart w:id="20" w:name="OLE_LINK32"/>
            <w:r>
              <w:rPr>
                <w:rFonts w:hint="eastAsia" w:ascii="宋体" w:hAnsi="宋体"/>
                <w:b/>
                <w:bCs/>
                <w:color w:val="auto"/>
                <w:szCs w:val="21"/>
                <w:highlight w:val="none"/>
              </w:rPr>
              <w:t>序号</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标的名称</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数量</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olor w:val="auto"/>
                <w:szCs w:val="21"/>
                <w:highlight w:val="none"/>
              </w:rPr>
            </w:pPr>
            <w:r>
              <w:rPr>
                <w:rFonts w:hint="eastAsia"/>
                <w:color w:val="auto"/>
                <w:sz w:val="21"/>
                <w:szCs w:val="21"/>
                <w:lang w:eastAsia="zh-CN"/>
              </w:rPr>
              <w:t>智能装备感应识别通道</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1"/>
                <w:szCs w:val="21"/>
                <w:u w:val="none"/>
                <w:lang w:val="en-US" w:eastAsia="zh-CN" w:bidi="ar"/>
              </w:rPr>
              <w:t>1</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olor w:val="auto"/>
                <w:szCs w:val="21"/>
                <w:highlight w:val="none"/>
              </w:rPr>
            </w:pPr>
            <w:r>
              <w:rPr>
                <w:rFonts w:hint="eastAsia" w:ascii="宋体" w:hAnsi="宋体" w:eastAsia="宋体" w:cs="宋体"/>
                <w:i w:val="0"/>
                <w:iCs w:val="0"/>
                <w:color w:val="auto"/>
                <w:kern w:val="0"/>
                <w:sz w:val="21"/>
                <w:szCs w:val="21"/>
                <w:u w:val="none"/>
                <w:lang w:val="en-US" w:eastAsia="zh-CN" w:bidi="ar"/>
              </w:rPr>
              <w:t>台</w:t>
            </w:r>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eastAsia" w:eastAsiaTheme="minorEastAsia"/>
                <w:color w:val="auto"/>
                <w:lang w:val="en-US" w:eastAsia="zh-CN"/>
              </w:rPr>
            </w:pPr>
            <w:r>
              <w:rPr>
                <w:rFonts w:hint="eastAsia" w:eastAsiaTheme="minorEastAsia"/>
                <w:color w:val="auto"/>
                <w:lang w:val="en-US" w:eastAsia="zh-CN"/>
              </w:rPr>
              <w:t>1.产品尺寸：约长1500mm*宽500mm*高1525mm(长度支持定制调节)</w:t>
            </w:r>
          </w:p>
          <w:p>
            <w:pPr>
              <w:keepNext w:val="0"/>
              <w:keepLines w:val="0"/>
              <w:pageBreakBefore w:val="0"/>
              <w:kinsoku/>
              <w:wordWrap/>
              <w:overflowPunct/>
              <w:topLinePunct w:val="0"/>
              <w:autoSpaceDE/>
              <w:autoSpaceDN/>
              <w:bidi w:val="0"/>
              <w:adjustRightInd/>
              <w:spacing w:line="320" w:lineRule="exact"/>
              <w:jc w:val="left"/>
              <w:rPr>
                <w:rFonts w:hint="eastAsia" w:eastAsiaTheme="minorEastAsia"/>
                <w:color w:val="auto"/>
                <w:lang w:val="en-US" w:eastAsia="zh-CN"/>
              </w:rPr>
            </w:pPr>
            <w:r>
              <w:rPr>
                <w:rFonts w:hint="eastAsia" w:eastAsiaTheme="minorEastAsia"/>
                <w:color w:val="auto"/>
                <w:lang w:val="en-US" w:eastAsia="zh-CN"/>
              </w:rPr>
              <w:t>2.屏幕尺寸：10.1寸显示屏</w:t>
            </w:r>
          </w:p>
          <w:p>
            <w:pPr>
              <w:keepNext w:val="0"/>
              <w:keepLines w:val="0"/>
              <w:pageBreakBefore w:val="0"/>
              <w:kinsoku/>
              <w:wordWrap/>
              <w:overflowPunct/>
              <w:topLinePunct w:val="0"/>
              <w:autoSpaceDE/>
              <w:autoSpaceDN/>
              <w:bidi w:val="0"/>
              <w:adjustRightInd/>
              <w:spacing w:line="320" w:lineRule="exact"/>
              <w:jc w:val="left"/>
              <w:rPr>
                <w:rFonts w:hint="default" w:eastAsia="宋体"/>
                <w:color w:val="auto"/>
                <w:highlight w:val="none"/>
                <w:lang w:val="en-US" w:eastAsia="zh-CN"/>
              </w:rPr>
            </w:pPr>
            <w:r>
              <w:rPr>
                <w:rFonts w:hint="eastAsia" w:eastAsiaTheme="minorEastAsia"/>
                <w:color w:val="auto"/>
                <w:lang w:val="en-US" w:eastAsia="zh-CN"/>
              </w:rPr>
              <w:t>3.装备感知：天线设计，实现读取无盲点，无方向性,读取准确率高</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color w:val="auto"/>
                <w:szCs w:val="21"/>
                <w:highlight w:val="none"/>
              </w:rPr>
            </w:pPr>
            <w:r>
              <w:rPr>
                <w:rFonts w:hint="eastAsia"/>
                <w:color w:val="auto"/>
                <w:lang w:eastAsia="zh-CN"/>
              </w:rPr>
              <w:t>智能装备管理自助查询机</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1"/>
                <w:szCs w:val="21"/>
                <w:u w:val="none"/>
                <w:lang w:val="en-US" w:eastAsia="zh-CN" w:bidi="ar"/>
              </w:rPr>
              <w:t>1</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olor w:val="auto"/>
                <w:szCs w:val="21"/>
                <w:highlight w:val="none"/>
              </w:rPr>
            </w:pPr>
            <w:r>
              <w:rPr>
                <w:rFonts w:hint="eastAsia" w:ascii="宋体" w:hAnsi="宋体" w:eastAsia="宋体" w:cs="宋体"/>
                <w:i w:val="0"/>
                <w:iCs w:val="0"/>
                <w:color w:val="auto"/>
                <w:kern w:val="0"/>
                <w:sz w:val="21"/>
                <w:szCs w:val="21"/>
                <w:u w:val="none"/>
                <w:lang w:val="en-US" w:eastAsia="zh-CN" w:bidi="ar"/>
              </w:rPr>
              <w:t>台</w:t>
            </w:r>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eastAsia" w:eastAsiaTheme="minorEastAsia"/>
                <w:color w:val="auto"/>
                <w:lang w:val="en-US" w:eastAsia="zh-CN"/>
              </w:rPr>
            </w:pPr>
            <w:r>
              <w:rPr>
                <w:rFonts w:hint="eastAsia" w:eastAsiaTheme="minorEastAsia"/>
                <w:color w:val="auto"/>
                <w:lang w:val="en-US" w:eastAsia="zh-CN"/>
              </w:rPr>
              <w:t>1.产品尺寸：约长570mm*宽480mm*高1650mm</w:t>
            </w:r>
          </w:p>
          <w:p>
            <w:pPr>
              <w:keepNext w:val="0"/>
              <w:keepLines w:val="0"/>
              <w:pageBreakBefore w:val="0"/>
              <w:kinsoku/>
              <w:wordWrap/>
              <w:overflowPunct/>
              <w:topLinePunct w:val="0"/>
              <w:autoSpaceDE/>
              <w:autoSpaceDN/>
              <w:bidi w:val="0"/>
              <w:adjustRightInd/>
              <w:spacing w:line="320" w:lineRule="exact"/>
              <w:jc w:val="left"/>
              <w:rPr>
                <w:rFonts w:hint="eastAsia" w:eastAsiaTheme="minorEastAsia"/>
                <w:color w:val="auto"/>
                <w:lang w:val="en-US" w:eastAsia="zh-CN"/>
              </w:rPr>
            </w:pPr>
            <w:r>
              <w:rPr>
                <w:rFonts w:hint="eastAsia" w:eastAsiaTheme="minorEastAsia"/>
                <w:color w:val="auto"/>
                <w:lang w:val="en-US" w:eastAsia="zh-CN"/>
              </w:rPr>
              <w:t>2.屏幕尺寸：21.5寸</w:t>
            </w:r>
          </w:p>
          <w:p>
            <w:pPr>
              <w:keepNext w:val="0"/>
              <w:keepLines w:val="0"/>
              <w:pageBreakBefore w:val="0"/>
              <w:kinsoku/>
              <w:wordWrap/>
              <w:overflowPunct/>
              <w:topLinePunct w:val="0"/>
              <w:autoSpaceDE/>
              <w:autoSpaceDN/>
              <w:bidi w:val="0"/>
              <w:adjustRightInd/>
              <w:spacing w:line="320" w:lineRule="exact"/>
              <w:jc w:val="left"/>
              <w:rPr>
                <w:rFonts w:hint="eastAsia" w:eastAsiaTheme="minorEastAsia"/>
                <w:color w:val="auto"/>
                <w:lang w:val="en-US" w:eastAsia="zh-CN"/>
              </w:rPr>
            </w:pPr>
            <w:r>
              <w:rPr>
                <w:rFonts w:hint="eastAsia" w:eastAsiaTheme="minorEastAsia"/>
                <w:color w:val="auto"/>
                <w:lang w:val="en-US" w:eastAsia="zh-CN"/>
              </w:rPr>
              <w:t>3.身份鉴权：人脸/指纹/二维码/密码</w:t>
            </w:r>
          </w:p>
          <w:p>
            <w:pPr>
              <w:keepNext w:val="0"/>
              <w:keepLines w:val="0"/>
              <w:pageBreakBefore w:val="0"/>
              <w:kinsoku/>
              <w:wordWrap/>
              <w:overflowPunct/>
              <w:topLinePunct w:val="0"/>
              <w:autoSpaceDE/>
              <w:autoSpaceDN/>
              <w:bidi w:val="0"/>
              <w:adjustRightInd/>
              <w:spacing w:line="320" w:lineRule="exact"/>
              <w:jc w:val="left"/>
              <w:rPr>
                <w:rFonts w:hint="eastAsia" w:eastAsiaTheme="minorEastAsia"/>
                <w:color w:val="auto"/>
                <w:lang w:val="en-US" w:eastAsia="zh-CN"/>
              </w:rPr>
            </w:pPr>
            <w:r>
              <w:rPr>
                <w:rFonts w:hint="eastAsia" w:eastAsiaTheme="minorEastAsia"/>
                <w:color w:val="auto"/>
                <w:lang w:val="en-US" w:eastAsia="zh-CN"/>
              </w:rPr>
              <w:t>4.主控系统：双核 2.5GHz</w:t>
            </w:r>
          </w:p>
          <w:p>
            <w:pPr>
              <w:keepNext w:val="0"/>
              <w:keepLines w:val="0"/>
              <w:pageBreakBefore w:val="0"/>
              <w:kinsoku/>
              <w:wordWrap/>
              <w:overflowPunct/>
              <w:topLinePunct w:val="0"/>
              <w:autoSpaceDE/>
              <w:autoSpaceDN/>
              <w:bidi w:val="0"/>
              <w:adjustRightInd/>
              <w:spacing w:line="320" w:lineRule="exact"/>
              <w:jc w:val="left"/>
              <w:rPr>
                <w:rFonts w:hint="default" w:eastAsia="宋体"/>
                <w:color w:val="auto"/>
                <w:highlight w:val="none"/>
                <w:lang w:val="en-US" w:eastAsia="zh-CN"/>
              </w:rPr>
            </w:pPr>
            <w:r>
              <w:rPr>
                <w:rFonts w:hint="eastAsia" w:eastAsiaTheme="minorEastAsia"/>
                <w:color w:val="auto"/>
                <w:lang w:val="en-US" w:eastAsia="zh-CN"/>
              </w:rPr>
              <w:t>5.条码识别：支持QR/PDF417/CODE128/ISBN10/ISBN13/CODE39等类型条码识别</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olor w:val="auto"/>
                <w:szCs w:val="21"/>
                <w:highlight w:val="none"/>
              </w:rPr>
            </w:pPr>
            <w:r>
              <w:rPr>
                <w:rFonts w:hint="eastAsia" w:ascii="宋体" w:hAnsi="宋体" w:eastAsia="宋体" w:cs="宋体"/>
                <w:i w:val="0"/>
                <w:iCs w:val="0"/>
                <w:color w:val="auto"/>
                <w:kern w:val="0"/>
                <w:sz w:val="21"/>
                <w:szCs w:val="21"/>
                <w:u w:val="none"/>
                <w:lang w:val="en-US" w:eastAsia="zh-CN" w:bidi="ar"/>
              </w:rPr>
              <w:t>智能人脸识别设备</w:t>
            </w:r>
          </w:p>
        </w:tc>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color w:val="auto"/>
                <w:szCs w:val="21"/>
                <w:highlight w:val="none"/>
                <w:lang w:val="en-US"/>
              </w:rPr>
            </w:pPr>
            <w:r>
              <w:rPr>
                <w:rFonts w:hint="eastAsia" w:ascii="宋体" w:hAnsi="宋体" w:eastAsia="宋体" w:cs="宋体"/>
                <w:i w:val="0"/>
                <w:iCs w:val="0"/>
                <w:color w:val="auto"/>
                <w:kern w:val="0"/>
                <w:sz w:val="21"/>
                <w:szCs w:val="21"/>
                <w:u w:val="none"/>
                <w:lang w:val="en-US" w:eastAsia="zh-CN" w:bidi="ar"/>
              </w:rPr>
              <w:t>2</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olor w:val="auto"/>
                <w:szCs w:val="21"/>
                <w:highlight w:val="none"/>
              </w:rPr>
            </w:pPr>
            <w:r>
              <w:rPr>
                <w:rFonts w:hint="eastAsia" w:ascii="宋体" w:hAnsi="宋体" w:eastAsia="宋体" w:cs="宋体"/>
                <w:i w:val="0"/>
                <w:iCs w:val="0"/>
                <w:color w:val="auto"/>
                <w:kern w:val="0"/>
                <w:sz w:val="21"/>
                <w:szCs w:val="21"/>
                <w:u w:val="none"/>
                <w:lang w:val="en-US" w:eastAsia="zh-CN" w:bidi="ar"/>
              </w:rPr>
              <w:t>台</w:t>
            </w:r>
          </w:p>
        </w:tc>
        <w:tc>
          <w:tcPr>
            <w:tcW w:w="5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default" w:eastAsia="宋体"/>
                <w:color w:val="auto"/>
                <w:highlight w:val="none"/>
                <w:lang w:val="en-US" w:eastAsia="zh-CN"/>
              </w:rPr>
            </w:pPr>
            <w:r>
              <w:rPr>
                <w:rFonts w:hint="eastAsia" w:ascii="宋体" w:hAnsi="宋体" w:eastAsia="宋体" w:cs="宋体"/>
                <w:i w:val="0"/>
                <w:iCs w:val="0"/>
                <w:color w:val="auto"/>
                <w:kern w:val="0"/>
                <w:sz w:val="21"/>
                <w:szCs w:val="21"/>
                <w:u w:val="none"/>
                <w:lang w:val="en-US" w:eastAsia="zh-CN" w:bidi="ar"/>
              </w:rPr>
              <w:t>1.产品尺寸：约长84mm*宽23mm*高173mm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2.屏幕尺寸：4.3寸触摸显示屏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3.身份鉴别：支持人脸/IC卡/密码等验证方式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4.存储容量：50000张人脸、50000张卡，5000个指纹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80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default" w:eastAsiaTheme="minorEastAsia"/>
                <w:color w:val="auto"/>
                <w:lang w:val="en-US" w:eastAsia="zh-CN"/>
              </w:rPr>
            </w:pPr>
            <w:bookmarkStart w:id="21" w:name="OLE_LINK7"/>
            <w:r>
              <w:rPr>
                <w:rFonts w:hint="eastAsia" w:ascii="宋体" w:hAnsi="宋体"/>
                <w:color w:val="auto"/>
                <w:szCs w:val="21"/>
                <w:highlight w:val="none"/>
              </w:rPr>
              <w:t>具体的标的名称、数量、简要技术需求或服务要求等内容详见</w:t>
            </w:r>
            <w:bookmarkEnd w:id="21"/>
            <w:r>
              <w:rPr>
                <w:rFonts w:hint="eastAsia"/>
                <w:color w:val="auto"/>
                <w:highlight w:val="none"/>
              </w:rPr>
              <w:t>谈判</w:t>
            </w:r>
            <w:r>
              <w:rPr>
                <w:rFonts w:hint="eastAsia" w:ascii="宋体" w:hAnsi="宋体"/>
                <w:color w:val="auto"/>
                <w:szCs w:val="21"/>
                <w:highlight w:val="none"/>
              </w:rPr>
              <w:t>公告附件的</w:t>
            </w:r>
            <w:bookmarkStart w:id="22" w:name="OLE_LINK5"/>
            <w:r>
              <w:rPr>
                <w:rFonts w:hint="eastAsia" w:ascii="宋体" w:hAnsi="宋体"/>
                <w:color w:val="auto"/>
                <w:szCs w:val="21"/>
                <w:highlight w:val="none"/>
              </w:rPr>
              <w:t>采购需求</w:t>
            </w:r>
            <w:bookmarkEnd w:id="22"/>
            <w:r>
              <w:rPr>
                <w:rFonts w:hint="eastAsia"/>
                <w:color w:val="auto"/>
                <w:highlight w:val="none"/>
                <w:lang w:val="en-US" w:eastAsia="zh-CN"/>
              </w:rPr>
              <w:t>。</w:t>
            </w:r>
          </w:p>
        </w:tc>
      </w:tr>
      <w:bookmarkEnd w:id="20"/>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Times New Roman"/>
          <w:color w:val="auto"/>
          <w:szCs w:val="21"/>
          <w:highlight w:val="none"/>
        </w:rPr>
        <w:t>合同履行期限：</w:t>
      </w:r>
      <w:bookmarkStart w:id="23" w:name="OLE_LINK3"/>
      <w:bookmarkStart w:id="24" w:name="OLE_LINK6"/>
      <w:r>
        <w:rPr>
          <w:rFonts w:hint="eastAsia" w:ascii="Times New Roman" w:hAnsi="Times New Roman" w:eastAsia="宋体" w:cs="Times New Roman"/>
          <w:color w:val="auto"/>
          <w:highlight w:val="none"/>
          <w:lang w:val="en-US" w:eastAsia="zh-CN"/>
        </w:rPr>
        <w:t>交付使用期：接到甲方供货通知后20日</w:t>
      </w:r>
      <w:r>
        <w:rPr>
          <w:rFonts w:hint="eastAsia" w:ascii="Times New Roman" w:hAnsi="Times New Roman" w:eastAsia="宋体" w:cs="Times New Roman"/>
          <w:color w:val="auto"/>
          <w:sz w:val="21"/>
          <w:szCs w:val="21"/>
          <w:highlight w:val="none"/>
          <w:lang w:val="en-US" w:eastAsia="zh-CN"/>
        </w:rPr>
        <w:t>内</w:t>
      </w:r>
      <w:r>
        <w:rPr>
          <w:rFonts w:hint="eastAsia" w:ascii="Times New Roman" w:hAnsi="Times New Roman" w:eastAsia="宋体" w:cs="Times New Roman"/>
          <w:color w:val="auto"/>
          <w:highlight w:val="none"/>
          <w:lang w:val="en-US" w:eastAsia="zh-CN"/>
        </w:rPr>
        <w:t>交付使用；紧急通知供货的通用货物当天送达。</w:t>
      </w:r>
      <w:bookmarkEnd w:id="23"/>
    </w:p>
    <w:bookmarkEnd w:id="24"/>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）接受联合体：□是/</w:t>
      </w:r>
      <w:r>
        <w:rPr>
          <w:rFonts w:ascii="Segoe UI Symbol" w:hAnsi="Segoe UI Symbol" w:cs="Segoe UI Symbol"/>
          <w:color w:val="auto"/>
          <w:szCs w:val="21"/>
          <w:highlight w:val="none"/>
        </w:rPr>
        <w:t>☑</w:t>
      </w:r>
      <w:r>
        <w:rPr>
          <w:rFonts w:hint="eastAsia" w:ascii="宋体" w:hAnsi="宋体"/>
          <w:color w:val="auto"/>
          <w:szCs w:val="21"/>
          <w:highlight w:val="none"/>
        </w:rPr>
        <w:t>否。</w:t>
      </w:r>
    </w:p>
    <w:p>
      <w:pPr>
        <w:keepNext w:val="0"/>
        <w:keepLines w:val="0"/>
        <w:pageBreakBefore w:val="0"/>
        <w:kinsoku/>
        <w:wordWrap/>
        <w:overflowPunct/>
        <w:topLinePunct w:val="0"/>
        <w:autoSpaceDE/>
        <w:autoSpaceDN/>
        <w:bidi w:val="0"/>
        <w:spacing w:line="400" w:lineRule="exact"/>
        <w:ind w:firstLine="482" w:firstLineChars="200"/>
        <w:rPr>
          <w:rFonts w:hint="eastAsia"/>
          <w:color w:val="auto"/>
        </w:rPr>
      </w:pPr>
      <w:bookmarkStart w:id="25" w:name="_Toc35393799"/>
      <w:bookmarkStart w:id="26" w:name="_Toc44229879"/>
      <w:bookmarkStart w:id="27" w:name="_Toc35393630"/>
      <w:bookmarkStart w:id="28" w:name="_Toc28359090"/>
      <w:bookmarkStart w:id="29" w:name="_Toc28359013"/>
      <w:r>
        <w:rPr>
          <w:rFonts w:hint="eastAsia" w:ascii="黑体" w:hAnsi="黑体" w:eastAsia="黑体" w:cs="宋体"/>
          <w:b/>
          <w:color w:val="auto"/>
          <w:kern w:val="44"/>
          <w:sz w:val="24"/>
          <w:szCs w:val="24"/>
          <w:highlight w:val="none"/>
        </w:rPr>
        <w:t>二、申请人的资格</w:t>
      </w:r>
      <w:bookmarkEnd w:id="25"/>
      <w:bookmarkEnd w:id="26"/>
      <w:bookmarkEnd w:id="27"/>
      <w:bookmarkEnd w:id="28"/>
      <w:bookmarkEnd w:id="29"/>
      <w:r>
        <w:rPr>
          <w:rFonts w:hint="eastAsia" w:ascii="黑体" w:hAnsi="黑体" w:eastAsia="黑体" w:cs="宋体"/>
          <w:b/>
          <w:color w:val="auto"/>
          <w:kern w:val="44"/>
          <w:sz w:val="24"/>
          <w:szCs w:val="24"/>
          <w:highlight w:val="none"/>
        </w:rPr>
        <w:t>要求</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无；</w:t>
      </w:r>
    </w:p>
    <w:p>
      <w:pPr>
        <w:keepNext w:val="0"/>
        <w:keepLines w:val="0"/>
        <w:pageBreakBefore w:val="0"/>
        <w:numPr>
          <w:ilvl w:val="0"/>
          <w:numId w:val="0"/>
        </w:numPr>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cs="宋体"/>
          <w:color w:val="auto"/>
          <w:szCs w:val="21"/>
          <w:lang w:val="en-US" w:eastAsia="zh-CN"/>
        </w:rPr>
        <w:t>无；</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5"/>
      <w:bookmarkEnd w:id="16"/>
      <w:bookmarkEnd w:id="17"/>
      <w:bookmarkEnd w:id="18"/>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kern w:val="0"/>
          <w:szCs w:val="21"/>
          <w:highlight w:val="none"/>
        </w:rPr>
      </w:pPr>
      <w:bookmarkStart w:id="30" w:name="_Toc28359082"/>
      <w:bookmarkStart w:id="31" w:name="_Toc35393793"/>
      <w:bookmarkStart w:id="32" w:name="_Toc35393624"/>
      <w:bookmarkStart w:id="33" w:name="_Toc28359005"/>
      <w:r>
        <w:rPr>
          <w:rFonts w:hint="eastAsia" w:ascii="宋体" w:hAnsi="宋体" w:eastAsia="宋体" w:cs="宋体"/>
          <w:bCs/>
          <w:color w:val="auto"/>
          <w:kern w:val="0"/>
          <w:szCs w:val="21"/>
          <w:highlight w:val="none"/>
        </w:rPr>
        <w:t>时间：</w:t>
      </w:r>
      <w:bookmarkStart w:id="34" w:name="OLE_LINK8"/>
      <w:r>
        <w:rPr>
          <w:rFonts w:ascii="宋体" w:hAnsi="宋体" w:eastAsia="宋体" w:cs="宋体"/>
          <w:bCs/>
          <w:color w:val="auto"/>
          <w:kern w:val="0"/>
          <w:szCs w:val="21"/>
          <w:highlight w:val="none"/>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日</w:t>
      </w:r>
      <w:bookmarkEnd w:id="34"/>
      <w:r>
        <w:rPr>
          <w:rFonts w:hint="eastAsia" w:ascii="宋体" w:hAnsi="宋体" w:eastAsia="宋体" w:cs="宋体"/>
          <w:bCs/>
          <w:color w:val="auto"/>
          <w:kern w:val="0"/>
          <w:szCs w:val="21"/>
          <w:highlight w:val="none"/>
        </w:rPr>
        <w:t>至</w:t>
      </w:r>
      <w:r>
        <w:rPr>
          <w:rFonts w:ascii="宋体" w:hAnsi="宋体" w:eastAsia="宋体" w:cs="宋体"/>
          <w:bCs/>
          <w:color w:val="auto"/>
          <w:kern w:val="0"/>
          <w:szCs w:val="21"/>
          <w:highlight w:val="none"/>
        </w:rPr>
        <w:t>202</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24</w:t>
      </w:r>
      <w:r>
        <w:rPr>
          <w:rFonts w:hint="eastAsia" w:ascii="宋体" w:hAnsi="宋体" w:eastAsia="宋体" w:cs="宋体"/>
          <w:bCs/>
          <w:color w:val="auto"/>
          <w:kern w:val="0"/>
          <w:szCs w:val="21"/>
          <w:highlight w:val="none"/>
        </w:rPr>
        <w:t>日，每天上午00:00至12:00，下午12:00至23:59（北京时间，法定节假日除外）</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w:t>
      </w:r>
      <w:bookmarkStart w:id="35" w:name="OLE_LINK9"/>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bookmarkEnd w:id="35"/>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w:t>
      </w:r>
      <w:bookmarkStart w:id="36" w:name="OLE_LINK10"/>
      <w:r>
        <w:rPr>
          <w:rFonts w:hint="eastAsia" w:ascii="宋体" w:hAnsi="宋体" w:eastAsia="宋体" w:cs="宋体"/>
          <w:color w:val="auto"/>
          <w:szCs w:val="21"/>
          <w:highlight w:val="none"/>
        </w:rPr>
        <w:t>网上下载。本项目不发放纸质采购文件，潜在供应商可自行在</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获取的采购文件编制。</w:t>
      </w:r>
      <w:bookmarkEnd w:id="36"/>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售价：人民币0元。</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30"/>
      <w:bookmarkEnd w:id="31"/>
      <w:bookmarkEnd w:id="32"/>
      <w:bookmarkEnd w:id="33"/>
      <w:r>
        <w:rPr>
          <w:rFonts w:hint="eastAsia" w:ascii="黑体" w:hAnsi="黑体" w:eastAsia="黑体" w:cs="Times New Roman"/>
          <w:b/>
          <w:bCs/>
          <w:color w:val="auto"/>
          <w:sz w:val="24"/>
          <w:szCs w:val="24"/>
          <w:highlight w:val="none"/>
        </w:rPr>
        <w:t>响应文件提交</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Times New Roman"/>
          <w:color w:val="auto"/>
          <w:szCs w:val="21"/>
          <w:highlight w:val="none"/>
        </w:rPr>
        <w:t>1、首次响应文件提交截止时间：</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bCs/>
          <w:color w:val="auto"/>
          <w:szCs w:val="21"/>
          <w:highlight w:val="none"/>
        </w:rPr>
        <w:t>（北京时间）</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w:t>
      </w:r>
      <w:r>
        <w:rPr>
          <w:rFonts w:hint="eastAsia" w:ascii="宋体" w:hAnsi="宋体"/>
          <w:color w:val="auto"/>
          <w:szCs w:val="21"/>
          <w:highlight w:val="none"/>
        </w:rPr>
        <w:t>广西政府采购云平台（https://www.gcy.zfcg.gxzf.gov.cn/）</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keepNext w:val="0"/>
        <w:keepLines w:val="0"/>
        <w:pageBreakBefore w:val="0"/>
        <w:kinsoku/>
        <w:wordWrap/>
        <w:overflowPunct/>
        <w:topLinePunct w:val="0"/>
        <w:autoSpaceDE/>
        <w:autoSpaceDN/>
        <w:bidi w:val="0"/>
        <w:spacing w:line="400" w:lineRule="exact"/>
        <w:ind w:firstLine="420" w:firstLineChars="200"/>
        <w:rPr>
          <w:rFonts w:hint="eastAsia"/>
          <w:bCs/>
          <w:color w:val="auto"/>
          <w:szCs w:val="21"/>
          <w:highlight w:val="none"/>
        </w:rPr>
      </w:pPr>
      <w:r>
        <w:rPr>
          <w:rFonts w:hint="eastAsia" w:ascii="宋体" w:hAnsi="宋体" w:eastAsia="宋体" w:cs="Times New Roman"/>
          <w:color w:val="auto"/>
          <w:szCs w:val="21"/>
          <w:highlight w:val="none"/>
        </w:rPr>
        <w:t>时间</w:t>
      </w:r>
      <w:bookmarkStart w:id="37" w:name="PO_3000001871_PM015_2"/>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bCs/>
          <w:color w:val="auto"/>
          <w:szCs w:val="21"/>
          <w:highlight w:val="none"/>
        </w:rPr>
        <w:t>（北京时间）</w:t>
      </w:r>
      <w:bookmarkEnd w:id="37"/>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w:t>
      </w:r>
      <w:bookmarkStart w:id="38" w:name="OLE_LINK11"/>
      <w:r>
        <w:rPr>
          <w:rFonts w:hint="eastAsia" w:ascii="宋体" w:hAnsi="宋体"/>
          <w:color w:val="auto"/>
          <w:szCs w:val="21"/>
          <w:highlight w:val="none"/>
        </w:rPr>
        <w:t>广西政府采购云平台电子开标大厅</w:t>
      </w:r>
      <w:bookmarkEnd w:id="38"/>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bookmarkStart w:id="39" w:name="_Toc28359007"/>
      <w:bookmarkStart w:id="40" w:name="_Toc35393625"/>
      <w:bookmarkStart w:id="41" w:name="_Toc35393794"/>
      <w:bookmarkStart w:id="42" w:name="_Toc28359084"/>
      <w:r>
        <w:rPr>
          <w:rFonts w:hint="eastAsia" w:ascii="黑体" w:hAnsi="黑体" w:eastAsia="黑体" w:cs="Times New Roman"/>
          <w:b/>
          <w:bCs/>
          <w:color w:val="auto"/>
          <w:sz w:val="24"/>
          <w:szCs w:val="24"/>
          <w:highlight w:val="none"/>
        </w:rPr>
        <w:t>六、公告期限</w:t>
      </w:r>
      <w:bookmarkEnd w:id="39"/>
      <w:bookmarkEnd w:id="40"/>
      <w:bookmarkEnd w:id="41"/>
      <w:bookmarkEnd w:id="42"/>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Times New Roman"/>
          <w:b/>
          <w:bCs/>
          <w:color w:val="auto"/>
          <w:sz w:val="24"/>
          <w:szCs w:val="24"/>
          <w:highlight w:val="none"/>
        </w:rPr>
      </w:pPr>
      <w:bookmarkStart w:id="43" w:name="_Toc35393626"/>
      <w:bookmarkStart w:id="44" w:name="_Toc35393795"/>
      <w:r>
        <w:rPr>
          <w:rFonts w:hint="eastAsia" w:ascii="黑体" w:hAnsi="黑体" w:eastAsia="黑体" w:cs="Times New Roman"/>
          <w:b/>
          <w:bCs/>
          <w:color w:val="auto"/>
          <w:sz w:val="24"/>
          <w:szCs w:val="24"/>
          <w:highlight w:val="none"/>
        </w:rPr>
        <w:t>七、其他补充事宜</w:t>
      </w:r>
      <w:bookmarkEnd w:id="43"/>
      <w:bookmarkEnd w:id="44"/>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u w:val="single"/>
        </w:rPr>
      </w:pPr>
      <w:bookmarkStart w:id="45" w:name="OLE_LINK12"/>
      <w:r>
        <w:rPr>
          <w:rFonts w:hint="eastAsia" w:ascii="宋体" w:hAnsi="宋体" w:eastAsia="宋体" w:cs="宋体"/>
          <w:color w:val="auto"/>
          <w:kern w:val="0"/>
          <w:szCs w:val="21"/>
          <w:highlight w:val="none"/>
        </w:rPr>
        <w:t xml:space="preserve">1.谈判保证金： </w:t>
      </w:r>
      <w:r>
        <w:rPr>
          <w:rFonts w:hint="eastAsia" w:ascii="宋体" w:hAnsi="宋体" w:eastAsia="宋体" w:cs="宋体"/>
          <w:b/>
          <w:bCs/>
          <w:color w:val="auto"/>
          <w:szCs w:val="21"/>
          <w:highlight w:val="none"/>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谈判保证金。</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eastAsia="zh-CN"/>
        </w:rPr>
      </w:pPr>
      <w:bookmarkStart w:id="46" w:name="_Hlk37429595"/>
      <w:bookmarkStart w:id="47" w:name="_Hlk37429585"/>
      <w:r>
        <w:rPr>
          <w:rFonts w:hint="eastAsia" w:ascii="宋体" w:hAnsi="宋体" w:eastAsia="宋体" w:cs="宋体"/>
          <w:color w:val="auto"/>
          <w:kern w:val="0"/>
          <w:szCs w:val="21"/>
          <w:highlight w:val="none"/>
        </w:rPr>
        <w:t>2.网上查询地址</w:t>
      </w:r>
      <w:r>
        <w:rPr>
          <w:rFonts w:hint="eastAsia" w:ascii="宋体" w:hAnsi="宋体" w:eastAsia="宋体" w:cs="宋体"/>
          <w:color w:val="auto"/>
          <w:kern w:val="0"/>
          <w:szCs w:val="21"/>
          <w:highlight w:val="none"/>
          <w:lang w:eastAsia="zh-CN"/>
        </w:rPr>
        <w:t>：</w:t>
      </w:r>
    </w:p>
    <w:bookmarkEnd w:id="46"/>
    <w:bookmarkEnd w:id="47"/>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bookmarkStart w:id="48" w:name="_Hlk37429674"/>
      <w:r>
        <w:rPr>
          <w:rFonts w:hint="eastAsia" w:ascii="宋体" w:hAnsi="宋体" w:eastAsia="宋体" w:cs="宋体"/>
          <w:color w:val="auto"/>
          <w:kern w:val="0"/>
          <w:szCs w:val="21"/>
          <w:highlight w:val="none"/>
        </w:rPr>
        <w:t>http://www.ccgp.gov.cn/（中国政府采购网）、</w:t>
      </w:r>
      <w:r>
        <w:rPr>
          <w:rFonts w:hint="eastAsia" w:ascii="宋体" w:hAnsi="宋体" w:eastAsia="宋体" w:cs="宋体"/>
          <w:color w:val="auto"/>
          <w:szCs w:val="21"/>
          <w:highlight w:val="none"/>
        </w:rPr>
        <w:t>http://zfcg.gxzf.gov.cn/</w:t>
      </w: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rPr>
        <w:t xml:space="preserve"> (广西政府采购网)</w:t>
      </w:r>
      <w:r>
        <w:rPr>
          <w:rFonts w:ascii="宋体" w:hAnsi="宋体" w:eastAsia="宋体" w:cs="宋体"/>
          <w:color w:val="auto"/>
          <w:kern w:val="0"/>
          <w:szCs w:val="21"/>
          <w:highlight w:val="none"/>
        </w:rPr>
        <w:t xml:space="preserve"> </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3.本项目需要落实的政府采购政策</w:t>
      </w:r>
      <w:r>
        <w:rPr>
          <w:rFonts w:hint="eastAsia" w:ascii="宋体" w:hAnsi="宋体" w:eastAsia="宋体" w:cs="宋体"/>
          <w:color w:val="auto"/>
          <w:kern w:val="0"/>
          <w:szCs w:val="21"/>
          <w:highlight w:val="none"/>
          <w:lang w:eastAsia="zh-CN"/>
        </w:rPr>
        <w:t>：</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keepNext w:val="0"/>
        <w:keepLines w:val="0"/>
        <w:pageBreakBefore w:val="0"/>
        <w:kinsoku/>
        <w:wordWrap/>
        <w:overflowPunct/>
        <w:topLinePunct w:val="0"/>
        <w:autoSpaceDE/>
        <w:autoSpaceDN/>
        <w:bidi w:val="0"/>
        <w:spacing w:line="40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8"/>
    <w:p>
      <w:pPr>
        <w:keepNext w:val="0"/>
        <w:keepLines w:val="0"/>
        <w:pageBreakBefore w:val="0"/>
        <w:kinsoku/>
        <w:wordWrap/>
        <w:overflowPunct/>
        <w:topLinePunct w:val="0"/>
        <w:autoSpaceDE/>
        <w:autoSpaceDN/>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在线竞标的有关说明</w:t>
      </w:r>
      <w:r>
        <w:rPr>
          <w:rFonts w:hint="eastAsia" w:ascii="宋体" w:hAnsi="宋体" w:eastAsia="宋体" w:cs="宋体"/>
          <w:b/>
          <w:bCs/>
          <w:color w:val="auto"/>
          <w:kern w:val="0"/>
          <w:szCs w:val="21"/>
          <w:highlight w:val="none"/>
        </w:rPr>
        <w:t>：</w:t>
      </w:r>
    </w:p>
    <w:p>
      <w:pPr>
        <w:keepNext w:val="0"/>
        <w:keepLines w:val="0"/>
        <w:pageBreakBefore w:val="0"/>
        <w:widowControl/>
        <w:kinsoku/>
        <w:wordWrap/>
        <w:overflowPunct/>
        <w:topLinePunct w:val="0"/>
        <w:autoSpaceDE/>
        <w:autoSpaceDN/>
        <w:bidi w:val="0"/>
        <w:spacing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rPr>
        <w:t>广西政府采购云平台新版客户端（新版</w:t>
      </w:r>
      <w:r>
        <w:rPr>
          <w:rFonts w:hint="eastAsia" w:ascii="宋体" w:hAnsi="宋体" w:eastAsia="宋体" w:cs="宋体"/>
          <w:color w:val="auto"/>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的要求编制、加密后在响应文件提交截止时间前通过网络上传至</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供应商在广西政府采购云平台提交电子版响应文件时，请填写参加远程采购活动经办人联系方式</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rPr>
        <w:t>响应文件提交</w:t>
      </w:r>
      <w:r>
        <w:rPr>
          <w:rFonts w:hint="eastAsia" w:ascii="宋体" w:hAnsi="宋体" w:eastAsia="宋体" w:cs="宋体"/>
          <w:b/>
          <w:color w:val="auto"/>
          <w:szCs w:val="21"/>
          <w:highlight w:val="none"/>
          <w:u w:val="single"/>
        </w:rPr>
        <w:t>截止时间前未完成上传、递交的，视为撤回响应文件。响应文件提交截止时间以后上传递交的响应文件的，广西政府采购云平台将予以拒收。</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（4）CA证书在线解密：首次响应文件开启时，需要供应商登录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电子开标大厅按规定时间对加密的响应文件进行解密。</w:t>
      </w:r>
    </w:p>
    <w:p>
      <w:pPr>
        <w:keepNext w:val="0"/>
        <w:keepLines w:val="0"/>
        <w:pageBreakBefore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远程开标大厅参与本次谈判，否则后果自负。</w:t>
      </w:r>
    </w:p>
    <w:p>
      <w:pPr>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7.若对项目采购电子交易系统操作有疑问，可登录</w:t>
      </w:r>
      <w:r>
        <w:rPr>
          <w:rFonts w:hint="eastAsia" w:ascii="宋体" w:hAnsi="宋体" w:cs="宋体"/>
          <w:color w:val="auto"/>
          <w:szCs w:val="21"/>
          <w:highlight w:val="none"/>
        </w:rPr>
        <w:t>广西政府采购云平台（</w:t>
      </w:r>
      <w:r>
        <w:rPr>
          <w:rStyle w:val="35"/>
          <w:rFonts w:hint="eastAsia" w:ascii="宋体" w:hAnsi="宋体" w:eastAsia="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keepNext w:val="0"/>
        <w:keepLines w:val="0"/>
        <w:pageBreakBefore w:val="0"/>
        <w:kinsoku/>
        <w:wordWrap/>
        <w:overflowPunct/>
        <w:topLinePunct w:val="0"/>
        <w:autoSpaceDE/>
        <w:autoSpaceDN/>
        <w:bidi w:val="0"/>
        <w:spacing w:line="4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8.本项目采用远程异地评审</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评标主会场地址</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广西</w:t>
      </w:r>
      <w:r>
        <w:rPr>
          <w:rFonts w:hint="eastAsia" w:ascii="宋体" w:hAnsi="宋体" w:eastAsia="宋体" w:cs="宋体"/>
          <w:b/>
          <w:bCs/>
          <w:color w:val="auto"/>
          <w:kern w:val="0"/>
          <w:szCs w:val="21"/>
          <w:highlight w:val="none"/>
          <w:lang w:val="en-US" w:eastAsia="zh-CN"/>
        </w:rPr>
        <w:t>华晟</w:t>
      </w:r>
      <w:r>
        <w:rPr>
          <w:rFonts w:hint="eastAsia" w:ascii="宋体" w:hAnsi="宋体" w:eastAsia="宋体" w:cs="宋体"/>
          <w:b/>
          <w:bCs/>
          <w:color w:val="auto"/>
          <w:kern w:val="0"/>
          <w:szCs w:val="21"/>
          <w:highlight w:val="none"/>
        </w:rPr>
        <w:t>招标</w:t>
      </w:r>
      <w:r>
        <w:rPr>
          <w:rFonts w:hint="eastAsia" w:ascii="宋体" w:hAnsi="宋体" w:eastAsia="宋体" w:cs="宋体"/>
          <w:b/>
          <w:bCs/>
          <w:color w:val="auto"/>
          <w:kern w:val="0"/>
          <w:szCs w:val="21"/>
          <w:highlight w:val="none"/>
          <w:lang w:val="en-US" w:eastAsia="zh-CN"/>
        </w:rPr>
        <w:t>代理</w:t>
      </w:r>
      <w:r>
        <w:rPr>
          <w:rFonts w:hint="eastAsia" w:ascii="宋体" w:hAnsi="宋体" w:eastAsia="宋体" w:cs="宋体"/>
          <w:b/>
          <w:bCs/>
          <w:color w:val="auto"/>
          <w:kern w:val="0"/>
          <w:szCs w:val="21"/>
          <w:highlight w:val="none"/>
        </w:rPr>
        <w:t>有限公司（崇左市城南八路万隆商务领寓三楼31</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室</w:t>
      </w:r>
      <w:r>
        <w:rPr>
          <w:rFonts w:hint="eastAsia" w:ascii="宋体" w:hAnsi="宋体" w:eastAsia="宋体" w:cs="宋体"/>
          <w:b/>
          <w:bCs/>
          <w:color w:val="auto"/>
          <w:kern w:val="0"/>
          <w:szCs w:val="21"/>
          <w:highlight w:val="none"/>
          <w:lang w:val="en-US" w:eastAsia="zh-CN"/>
        </w:rPr>
        <w:t>），联系方式：0771-7963762；评标分会场地址： 百色市右江区前程路8号三祺城光中心1613-1614号 ，联系方式：0776-2820866。</w:t>
      </w:r>
    </w:p>
    <w:bookmarkEnd w:id="45"/>
    <w:p>
      <w:pPr>
        <w:keepNext w:val="0"/>
        <w:keepLines w:val="0"/>
        <w:pageBreakBefore w:val="0"/>
        <w:kinsoku/>
        <w:wordWrap/>
        <w:overflowPunct/>
        <w:topLinePunct w:val="0"/>
        <w:autoSpaceDE/>
        <w:autoSpaceDN/>
        <w:bidi w:val="0"/>
        <w:spacing w:line="400" w:lineRule="exact"/>
        <w:ind w:firstLine="482" w:firstLineChars="200"/>
        <w:rPr>
          <w:rFonts w:hint="eastAsia"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spacing w:line="380" w:lineRule="exact"/>
        <w:ind w:firstLine="735" w:firstLineChars="350"/>
        <w:rPr>
          <w:rFonts w:hint="eastAsia" w:ascii="宋体" w:hAnsi="宋体" w:eastAsia="宋体" w:cs="宋体"/>
          <w:color w:val="auto"/>
          <w:szCs w:val="21"/>
        </w:rPr>
      </w:pPr>
      <w:r>
        <w:rPr>
          <w:rFonts w:hint="eastAsia" w:ascii="宋体" w:hAnsi="宋体" w:cs="宋体"/>
          <w:color w:val="auto"/>
          <w:szCs w:val="21"/>
        </w:rPr>
        <w:t xml:space="preserve">名  </w:t>
      </w:r>
      <w:r>
        <w:rPr>
          <w:rFonts w:hint="eastAsia" w:ascii="宋体" w:hAnsi="宋体" w:eastAsia="宋体" w:cs="宋体"/>
          <w:color w:val="auto"/>
          <w:szCs w:val="21"/>
        </w:rPr>
        <w:t>称：崇左市公安局</w:t>
      </w:r>
    </w:p>
    <w:p>
      <w:pPr>
        <w:spacing w:line="380" w:lineRule="exact"/>
        <w:ind w:firstLine="735" w:firstLineChars="350"/>
        <w:rPr>
          <w:rFonts w:hint="eastAsia"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eastAsia="宋体" w:cs="宋体"/>
          <w:color w:val="auto"/>
          <w:szCs w:val="21"/>
          <w:lang w:val="en-US" w:eastAsia="zh-CN"/>
        </w:rPr>
        <w:t>崇左市江州区石景林路8号</w:t>
      </w:r>
    </w:p>
    <w:p>
      <w:pPr>
        <w:spacing w:line="380" w:lineRule="exact"/>
        <w:ind w:firstLine="735" w:firstLineChars="3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rPr>
        <w:t>联系方式：</w:t>
      </w:r>
      <w:r>
        <w:rPr>
          <w:rFonts w:hint="eastAsia" w:ascii="宋体" w:hAnsi="宋体" w:eastAsia="宋体" w:cs="宋体"/>
          <w:color w:val="auto"/>
          <w:szCs w:val="21"/>
          <w:lang w:val="en-US" w:eastAsia="zh-CN"/>
        </w:rPr>
        <w:t>蔡警官</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0771-7966013</w:t>
      </w:r>
    </w:p>
    <w:p>
      <w:pPr>
        <w:keepNext w:val="0"/>
        <w:keepLines w:val="0"/>
        <w:pageBreakBefore w:val="0"/>
        <w:kinsoku/>
        <w:wordWrap/>
        <w:overflowPunct/>
        <w:topLinePunct w:val="0"/>
        <w:autoSpaceDE/>
        <w:autoSpaceDN/>
        <w:bidi w:val="0"/>
        <w:spacing w:line="400" w:lineRule="exact"/>
        <w:ind w:left="1041" w:leftChars="371" w:hanging="262" w:hangingChars="125"/>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pPr>
        <w:spacing w:line="380" w:lineRule="exact"/>
        <w:ind w:firstLine="735" w:firstLineChars="3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名  称：广西华晟招标代理有限公司                            </w:t>
      </w:r>
    </w:p>
    <w:p>
      <w:pPr>
        <w:spacing w:line="380" w:lineRule="exact"/>
        <w:ind w:firstLine="735" w:firstLineChars="3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地　址：崇左市城南八路万隆商务领寓三楼312室                             </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cs="宋体"/>
          <w:color w:val="auto"/>
          <w:kern w:val="0"/>
          <w:szCs w:val="21"/>
        </w:rPr>
      </w:pPr>
      <w:r>
        <w:rPr>
          <w:rFonts w:hint="eastAsia" w:ascii="宋体" w:hAnsi="宋体" w:eastAsia="宋体" w:cs="宋体"/>
          <w:color w:val="auto"/>
          <w:szCs w:val="21"/>
          <w:lang w:val="en-US" w:eastAsia="zh-CN"/>
        </w:rPr>
        <w:t>联系方式：赵工　0771-7963762</w:t>
      </w:r>
      <w:r>
        <w:rPr>
          <w:rFonts w:hint="eastAsia" w:ascii="宋体" w:hAnsi="宋体" w:cs="宋体"/>
          <w:color w:val="auto"/>
          <w:kern w:val="0"/>
          <w:szCs w:val="21"/>
        </w:rPr>
        <w:t xml:space="preserve"> </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3.项目联系</w:t>
      </w:r>
      <w:r>
        <w:rPr>
          <w:rFonts w:ascii="宋体" w:hAnsi="宋体" w:eastAsia="宋体" w:cs="Times New Roman"/>
          <w:color w:val="auto"/>
          <w:szCs w:val="21"/>
          <w:highlight w:val="none"/>
        </w:rPr>
        <w:t>方式</w:t>
      </w:r>
    </w:p>
    <w:p>
      <w:pPr>
        <w:spacing w:line="380" w:lineRule="exact"/>
        <w:ind w:firstLine="735" w:firstLineChars="350"/>
        <w:rPr>
          <w:rFonts w:hint="eastAsia" w:ascii="宋体" w:hAnsi="宋体" w:cs="宋体"/>
          <w:color w:val="auto"/>
          <w:szCs w:val="21"/>
        </w:rPr>
      </w:pPr>
      <w:r>
        <w:rPr>
          <w:rFonts w:hint="eastAsia" w:ascii="宋体" w:hAnsi="宋体" w:cs="宋体"/>
          <w:color w:val="auto"/>
          <w:szCs w:val="21"/>
        </w:rPr>
        <w:t>项目联系人：</w:t>
      </w:r>
      <w:r>
        <w:rPr>
          <w:rFonts w:hint="eastAsia" w:ascii="宋体" w:hAnsi="宋体" w:eastAsia="宋体" w:cs="宋体"/>
          <w:color w:val="auto"/>
          <w:szCs w:val="21"/>
          <w:lang w:val="en-US" w:eastAsia="zh-CN"/>
        </w:rPr>
        <w:t>赵工</w:t>
      </w:r>
    </w:p>
    <w:p>
      <w:pPr>
        <w:keepNext w:val="0"/>
        <w:keepLines w:val="0"/>
        <w:pageBreakBefore w:val="0"/>
        <w:kinsoku/>
        <w:wordWrap/>
        <w:overflowPunct/>
        <w:topLinePunct w:val="0"/>
        <w:autoSpaceDE/>
        <w:autoSpaceDN/>
        <w:bidi w:val="0"/>
        <w:spacing w:line="400" w:lineRule="exact"/>
        <w:ind w:firstLine="735" w:firstLineChars="350"/>
        <w:rPr>
          <w:rFonts w:hint="eastAsia" w:ascii="宋体" w:hAnsi="宋体" w:eastAsia="宋体" w:cs="Times New Roman"/>
          <w:color w:val="auto"/>
          <w:szCs w:val="21"/>
          <w:highlight w:val="none"/>
          <w:lang w:eastAsia="zh-CN"/>
        </w:rPr>
      </w:pPr>
      <w:r>
        <w:rPr>
          <w:rFonts w:hint="eastAsia" w:ascii="宋体" w:hAnsi="宋体" w:cs="宋体"/>
          <w:color w:val="auto"/>
          <w:szCs w:val="21"/>
        </w:rPr>
        <w:t>电  话：</w:t>
      </w:r>
      <w:r>
        <w:rPr>
          <w:rFonts w:hint="eastAsia" w:ascii="宋体" w:hAnsi="宋体" w:eastAsia="宋体" w:cs="宋体"/>
          <w:color w:val="auto"/>
          <w:szCs w:val="21"/>
          <w:lang w:val="en-US" w:eastAsia="zh-CN"/>
        </w:rPr>
        <w:t>0771-7963762</w:t>
      </w:r>
      <w:r>
        <w:rPr>
          <w:rFonts w:hint="eastAsia" w:ascii="宋体" w:hAnsi="宋体" w:cs="宋体"/>
          <w:color w:val="auto"/>
          <w:szCs w:val="21"/>
        </w:rPr>
        <w:t xml:space="preserve"> </w:t>
      </w:r>
    </w:p>
    <w:p>
      <w:pPr>
        <w:spacing w:line="380" w:lineRule="exact"/>
        <w:ind w:firstLine="420" w:firstLineChars="200"/>
        <w:rPr>
          <w:rFonts w:hint="eastAsia" w:ascii="宋体" w:hAnsi="宋体" w:eastAsia="宋体" w:cs="Times New Roman"/>
          <w:color w:val="auto"/>
          <w:szCs w:val="21"/>
          <w:highlight w:val="none"/>
        </w:rPr>
      </w:pPr>
    </w:p>
    <w:p>
      <w:pPr>
        <w:pStyle w:val="2"/>
        <w:rPr>
          <w:rFonts w:ascii="Cambria" w:hAnsi="Cambria"/>
          <w:b/>
          <w:color w:val="auto"/>
          <w:kern w:val="44"/>
          <w:sz w:val="32"/>
          <w:szCs w:val="32"/>
          <w:highlight w:val="none"/>
        </w:rPr>
      </w:pPr>
      <w:bookmarkStart w:id="49" w:name="_Toc30021"/>
      <w:bookmarkStart w:id="50" w:name="_Toc80205921"/>
    </w:p>
    <w:p>
      <w:pPr>
        <w:pStyle w:val="2"/>
        <w:rPr>
          <w:rFonts w:ascii="Cambria" w:hAnsi="Cambria"/>
          <w:b/>
          <w:color w:val="auto"/>
          <w:kern w:val="44"/>
          <w:sz w:val="32"/>
          <w:szCs w:val="32"/>
          <w:highlight w:val="none"/>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51" w:name="_Toc16263"/>
      <w:bookmarkStart w:id="52" w:name="_Toc7676"/>
      <w:bookmarkStart w:id="53" w:name="_Toc30720"/>
      <w:bookmarkStart w:id="54" w:name="_Toc14086"/>
      <w:bookmarkStart w:id="55" w:name="_Toc27517"/>
      <w:bookmarkStart w:id="56" w:name="_Toc21351"/>
      <w:bookmarkStart w:id="57" w:name="_Toc7360"/>
      <w:r>
        <w:rPr>
          <w:rFonts w:hint="eastAsia" w:ascii="Cambria" w:hAnsi="Cambria" w:eastAsia="宋体" w:cs="Times New Roman"/>
          <w:b/>
          <w:color w:val="auto"/>
          <w:kern w:val="44"/>
          <w:sz w:val="32"/>
          <w:szCs w:val="32"/>
          <w:highlight w:val="none"/>
          <w:lang w:val="zh-CN"/>
        </w:rPr>
        <w:t xml:space="preserve">第二章 </w:t>
      </w:r>
      <w:bookmarkStart w:id="58" w:name="OLE_LINK31"/>
      <w:r>
        <w:rPr>
          <w:rFonts w:hint="eastAsia" w:ascii="Cambria" w:hAnsi="Cambria" w:eastAsia="宋体" w:cs="Times New Roman"/>
          <w:b/>
          <w:color w:val="auto"/>
          <w:kern w:val="44"/>
          <w:sz w:val="32"/>
          <w:szCs w:val="32"/>
          <w:highlight w:val="none"/>
          <w:lang w:val="zh-CN"/>
        </w:rPr>
        <w:t>采购需求</w:t>
      </w:r>
      <w:bookmarkEnd w:id="49"/>
      <w:bookmarkEnd w:id="50"/>
      <w:bookmarkEnd w:id="51"/>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bCs/>
          <w:color w:val="auto"/>
          <w:szCs w:val="21"/>
          <w:highlight w:val="none"/>
        </w:rPr>
      </w:pPr>
      <w:bookmarkStart w:id="59" w:name="OLE_LINK46"/>
      <w:r>
        <w:rPr>
          <w:rFonts w:hint="eastAsia" w:ascii="宋体" w:hAnsi="宋体" w:eastAsia="宋体" w:cs="宋体"/>
          <w:b/>
          <w:bCs/>
          <w:color w:val="auto"/>
          <w:szCs w:val="21"/>
          <w:highlight w:val="none"/>
        </w:rPr>
        <w:t>说明：</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1. 为落实政府采购政策需满足的要求：</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（1）本竞争性谈判文件所称中小企业必须符合《政府采购促进中小企业发展管理办法》（财库〔2020〕46号）的规定。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bookmarkStart w:id="60" w:name="OLE_LINK35"/>
      <w:r>
        <w:rPr>
          <w:rFonts w:hint="eastAsia" w:ascii="宋体" w:hAnsi="宋体" w:eastAsia="宋体" w:cs="宋体"/>
          <w:b/>
          <w:bCs/>
          <w:color w:val="auto"/>
          <w:szCs w:val="21"/>
          <w:highlight w:val="none"/>
        </w:rPr>
        <w:t>★</w:t>
      </w:r>
      <w:bookmarkEnd w:id="60"/>
      <w:r>
        <w:rPr>
          <w:rFonts w:hint="eastAsia" w:ascii="宋体" w:hAnsi="宋体" w:eastAsia="宋体" w:cs="宋体"/>
          <w:b/>
          <w:bCs/>
          <w:color w:val="auto"/>
          <w:szCs w:val="21"/>
          <w:highlight w:val="none"/>
        </w:rPr>
        <w:t>”的，供应商必须在响应文件中提供所竞标产品有效期内的节能产品认证证书复印件（加盖供应商公章），否则响应文件作无效处理。如本项目包含的配套货物属于品目清单内非标注“★”的产品时，应优先采购，具体详见“第四章 评审程序、评审方法和成交标准”。</w:t>
      </w:r>
    </w:p>
    <w:p>
      <w:pPr>
        <w:pStyle w:val="2"/>
        <w:keepNext w:val="0"/>
        <w:keepLines w:val="0"/>
        <w:pageBreakBefore w:val="0"/>
        <w:widowControl w:val="0"/>
        <w:kinsoku/>
        <w:wordWrap/>
        <w:overflowPunct/>
        <w:topLinePunct w:val="0"/>
        <w:autoSpaceDE/>
        <w:autoSpaceDN/>
        <w:bidi w:val="0"/>
        <w:adjustRightInd/>
        <w:spacing w:line="360" w:lineRule="exact"/>
        <w:ind w:firstLine="422" w:firstLineChars="200"/>
        <w:jc w:val="both"/>
        <w:textAlignment w:val="auto"/>
        <w:rPr>
          <w:rFonts w:hint="eastAsia" w:ascii="宋体" w:hAnsi="宋体" w:cs="宋体"/>
          <w:b/>
          <w:bCs/>
          <w:color w:val="auto"/>
          <w:kern w:val="2"/>
          <w:sz w:val="21"/>
          <w:szCs w:val="24"/>
          <w:highlight w:val="none"/>
          <w:lang w:val="en-US"/>
        </w:rPr>
      </w:pPr>
      <w:r>
        <w:rPr>
          <w:rFonts w:hint="eastAsia" w:ascii="宋体" w:hAnsi="宋体" w:cs="宋体"/>
          <w:b/>
          <w:bCs/>
          <w:color w:val="auto"/>
          <w:kern w:val="2"/>
          <w:sz w:val="21"/>
          <w:szCs w:val="24"/>
          <w:highlight w:val="none"/>
          <w:lang w:val="en-US"/>
        </w:rPr>
        <w:t>2.“实质性要求”是指竞争性谈判文件中已经指明不满足则响应文件作无效响应处理的条款，或者不能负偏离的条款，或者采购需求中带“▲”的条款。</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Cs w:val="21"/>
          <w:highlight w:val="none"/>
        </w:rPr>
      </w:pPr>
      <w:r>
        <w:rPr>
          <w:rStyle w:val="101"/>
          <w:rFonts w:hint="eastAsia" w:ascii="宋体" w:hAnsi="宋体"/>
          <w:b/>
          <w:bCs/>
          <w:color w:val="auto"/>
          <w:szCs w:val="21"/>
          <w:highlight w:val="none"/>
        </w:rPr>
        <w:t>▲</w:t>
      </w:r>
      <w:r>
        <w:rPr>
          <w:rFonts w:hint="eastAsia" w:ascii="宋体" w:hAnsi="宋体" w:eastAsia="宋体" w:cs="宋体"/>
          <w:b/>
          <w:color w:val="auto"/>
          <w:szCs w:val="21"/>
          <w:highlight w:val="none"/>
        </w:rPr>
        <w:t>3、竞标产品属于国家强制性认证产品的，供应商须在响应文件中提供产品的有效强制性认证证书的复印件并加盖供应商公章。</w:t>
      </w:r>
    </w:p>
    <w:p>
      <w:pPr>
        <w:keepNext w:val="0"/>
        <w:keepLines w:val="0"/>
        <w:pageBreakBefore w:val="0"/>
        <w:widowControl w:val="0"/>
        <w:kinsoku/>
        <w:wordWrap/>
        <w:overflowPunct/>
        <w:topLinePunct w:val="0"/>
        <w:autoSpaceDE/>
        <w:autoSpaceDN/>
        <w:bidi w:val="0"/>
        <w:adjustRightInd/>
        <w:spacing w:line="360" w:lineRule="exact"/>
        <w:ind w:firstLine="424" w:firstLineChars="202"/>
        <w:textAlignment w:val="auto"/>
        <w:rPr>
          <w:rFonts w:hint="eastAsia"/>
          <w:color w:val="auto"/>
        </w:rPr>
      </w:pPr>
      <w:bookmarkStart w:id="61" w:name="OLE_LINK34"/>
      <w:bookmarkStart w:id="62" w:name="PO_3000001871_PM050"/>
      <w:r>
        <w:rPr>
          <w:rFonts w:hint="eastAsia" w:ascii="宋体" w:hAnsi="宋体" w:eastAsia="宋体" w:cs="宋体"/>
          <w:color w:val="auto"/>
          <w:szCs w:val="21"/>
          <w:highlight w:val="none"/>
        </w:rPr>
        <w:t>▲</w:t>
      </w:r>
      <w:bookmarkEnd w:id="61"/>
      <w:r>
        <w:rPr>
          <w:rFonts w:hint="eastAsia" w:ascii="宋体" w:hAnsi="宋体" w:eastAsia="宋体" w:cs="宋体"/>
          <w:color w:val="auto"/>
          <w:szCs w:val="21"/>
          <w:highlight w:val="none"/>
        </w:rPr>
        <w:t>4、</w:t>
      </w:r>
      <w:r>
        <w:rPr>
          <w:rFonts w:hint="eastAsia" w:ascii="宋体" w:hAnsi="宋体" w:eastAsia="宋体" w:cs="宋体"/>
          <w:b/>
          <w:color w:val="auto"/>
          <w:szCs w:val="21"/>
          <w:highlight w:val="none"/>
        </w:rPr>
        <w:t>供应商应承诺响应文件中提供的证明材料和资质文件真实，并承诺如出现虚假应标情况，供应商除了应接受有关部门的处罚外，还应根据采购人的实际损失来确定赔偿金额。</w:t>
      </w:r>
      <w:bookmarkEnd w:id="59"/>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869"/>
        <w:gridCol w:w="837"/>
        <w:gridCol w:w="874"/>
        <w:gridCol w:w="1173"/>
        <w:gridCol w:w="4615"/>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634" w:type="dxa"/>
            <w:gridSpan w:val="7"/>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rPr>
                <w:rFonts w:hint="eastAsia" w:ascii="宋体" w:hAnsi="宋体" w:eastAsia="宋体" w:cs="宋体"/>
                <w:b/>
                <w:bCs/>
                <w:color w:val="auto"/>
                <w:szCs w:val="21"/>
              </w:rPr>
            </w:pPr>
            <w:bookmarkStart w:id="63" w:name="OLE_LINK4"/>
            <w:r>
              <w:rPr>
                <w:rFonts w:hint="eastAsia" w:ascii="宋体" w:hAnsi="宋体" w:eastAsia="宋体" w:cs="宋体"/>
                <w:b/>
                <w:bCs/>
                <w:color w:val="auto"/>
                <w:szCs w:val="21"/>
              </w:rPr>
              <w:t>第一部分 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9" w:hRule="atLeast"/>
          <w:jc w:val="center"/>
        </w:trPr>
        <w:tc>
          <w:tcPr>
            <w:tcW w:w="426"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序号</w:t>
            </w:r>
          </w:p>
        </w:tc>
        <w:tc>
          <w:tcPr>
            <w:tcW w:w="869"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标的的名称</w:t>
            </w:r>
          </w:p>
        </w:tc>
        <w:tc>
          <w:tcPr>
            <w:tcW w:w="837"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单位</w:t>
            </w:r>
          </w:p>
        </w:tc>
        <w:tc>
          <w:tcPr>
            <w:tcW w:w="874"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数量</w:t>
            </w:r>
          </w:p>
        </w:tc>
        <w:tc>
          <w:tcPr>
            <w:tcW w:w="1173"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both"/>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控制单价</w:t>
            </w:r>
            <w:r>
              <w:rPr>
                <w:rFonts w:hint="eastAsia" w:ascii="宋体" w:hAnsi="宋体" w:eastAsia="宋体" w:cs="宋体"/>
                <w:color w:val="auto"/>
                <w:szCs w:val="21"/>
              </w:rPr>
              <w:t>（元）</w:t>
            </w:r>
          </w:p>
        </w:tc>
        <w:tc>
          <w:tcPr>
            <w:tcW w:w="4615"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bCs/>
                <w:color w:val="auto"/>
                <w:szCs w:val="21"/>
              </w:rPr>
            </w:pPr>
            <w:r>
              <w:rPr>
                <w:rFonts w:hint="eastAsia"/>
                <w:color w:val="auto"/>
                <w:lang w:val="en-US" w:eastAsia="zh-CN"/>
              </w:rPr>
              <w:t>技术参数及性能要求（所有货物含安装和调试）</w:t>
            </w:r>
          </w:p>
        </w:tc>
        <w:tc>
          <w:tcPr>
            <w:tcW w:w="840"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rPr>
            </w:pPr>
            <w:r>
              <w:rPr>
                <w:rFonts w:hint="eastAsia"/>
                <w:color w:val="auto"/>
              </w:rPr>
              <w:t>1</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color w:val="auto"/>
                <w:sz w:val="21"/>
                <w:szCs w:val="21"/>
                <w:lang w:eastAsia="zh-CN"/>
              </w:rPr>
              <w:t>智能装备感应识别通道</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42000.00</w:t>
            </w:r>
          </w:p>
        </w:tc>
        <w:tc>
          <w:tcPr>
            <w:tcW w:w="4615" w:type="dxa"/>
            <w:vAlign w:val="center"/>
          </w:tcPr>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1.产品尺寸：约长1500mm*宽500mm*高1525mm(长度支持定制调节)</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2.屏幕尺寸：10.1寸显示屏</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3.装备感知：天线设计，实现读取无盲点，无方向性,读取准确率高</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4.工作频率 ：符合中国ISO 18000-6C的频谱定义范围860-960MHz</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5.场景感知：内置红外运动传感器，智能判断人员运动方向,支持人数统计</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6.告警告警：支持异常状态声光告警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7.供电单元：220V供电，具备ESD静电保护、OCP过电流保护、OVP过电压保护、OPP过功率保护、OTP过温度保护、SCP短路回路保护、过载保护、雷击保护</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8.工程底座：内置走线，增加配重,可实现不在地面开槽走线，不开孔固定即可实现装配，简单快捷，牢固性强</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9.非接触式感应设备应具有非接触式感应装置，能够自动识别装备。响应文件中需提供合法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numPr>
                <w:ilvl w:val="0"/>
                <w:numId w:val="1"/>
              </w:numPr>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信号灯指示设备应具有信号灯提醒功能，并符合以下要求：</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10.1当未授权经过通道门时，进行红色信号灯提醒；</w:t>
            </w:r>
          </w:p>
          <w:p>
            <w:pPr>
              <w:keepNext w:val="0"/>
              <w:keepLines w:val="0"/>
              <w:pageBreakBefore w:val="0"/>
              <w:numPr>
                <w:ilvl w:val="0"/>
                <w:numId w:val="0"/>
              </w:numPr>
              <w:kinsoku/>
              <w:wordWrap/>
              <w:overflowPunct/>
              <w:topLinePunct w:val="0"/>
              <w:autoSpaceDE/>
              <w:autoSpaceDN/>
              <w:bidi w:val="0"/>
              <w:adjustRightInd/>
              <w:spacing w:line="360" w:lineRule="exact"/>
              <w:ind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10.2当授权经过通道门时，进行蓝色信号灯提醒。响应文件中需提供合法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r>
              <w:rPr>
                <w:rFonts w:hint="default"/>
                <w:color w:val="auto"/>
                <w:lang w:val="en-US" w:eastAsia="zh-CN"/>
              </w:rPr>
              <w:t>”</w:t>
            </w:r>
            <w:r>
              <w:rPr>
                <w:rFonts w:hint="eastAsia" w:eastAsiaTheme="minorEastAsia"/>
                <w:color w:val="auto"/>
                <w:lang w:val="en-US" w:eastAsia="zh-CN"/>
              </w:rPr>
              <w:t>。</w:t>
            </w:r>
          </w:p>
          <w:p>
            <w:pPr>
              <w:keepNext w:val="0"/>
              <w:keepLines w:val="0"/>
              <w:pageBreakBefore w:val="0"/>
              <w:numPr>
                <w:ilvl w:val="0"/>
                <w:numId w:val="2"/>
              </w:numPr>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应用管理设备应具有对运行的主要进程或服务进行管理能力：</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11.1可以查询到主要的应用名称、是否进行进程守护、运行状态；</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11.2可配置是否隐藏操作系统桌面，配置应即时生效。</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ascii="宋体" w:hAnsi="宋体" w:eastAsia="宋体" w:cs="宋体"/>
                <w:color w:val="auto"/>
                <w:szCs w:val="21"/>
                <w:highlight w:val="none"/>
              </w:rPr>
              <w:t>▲</w:t>
            </w:r>
            <w:r>
              <w:rPr>
                <w:rFonts w:hint="eastAsia" w:eastAsiaTheme="minorEastAsia"/>
                <w:color w:val="auto"/>
                <w:lang w:val="en-US" w:eastAsia="zh-CN"/>
              </w:rPr>
              <w:t>11.3响应文件中需提供合法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12红外感应设备应具备进出装备室行为自动感应识别功能：</w:t>
            </w:r>
          </w:p>
          <w:p>
            <w:pPr>
              <w:keepNext w:val="0"/>
              <w:keepLines w:val="0"/>
              <w:pageBreakBefore w:val="0"/>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12.1通过红外灯实现进出行为的感应；</w:t>
            </w:r>
          </w:p>
          <w:p>
            <w:pPr>
              <w:keepNext w:val="0"/>
              <w:keepLines w:val="0"/>
              <w:pageBreakBefore w:val="0"/>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12.2应能通过红外线感应判断进出方向状态。</w:t>
            </w:r>
          </w:p>
          <w:p>
            <w:pPr>
              <w:keepNext w:val="0"/>
              <w:keepLines w:val="0"/>
              <w:pageBreakBefore w:val="0"/>
              <w:kinsoku/>
              <w:wordWrap/>
              <w:overflowPunct/>
              <w:topLinePunct w:val="0"/>
              <w:autoSpaceDE/>
              <w:autoSpaceDN/>
              <w:bidi w:val="0"/>
              <w:adjustRightInd/>
              <w:spacing w:line="360" w:lineRule="exact"/>
              <w:ind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12.3响应文件中需提供合法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r>
              <w:rPr>
                <w:rFonts w:hint="default"/>
                <w:color w:val="auto"/>
                <w:lang w:val="en-US" w:eastAsia="zh-CN"/>
              </w:rPr>
              <w:t>”</w:t>
            </w:r>
            <w:r>
              <w:rPr>
                <w:rFonts w:hint="eastAsia" w:eastAsiaTheme="minorEastAsia"/>
                <w:color w:val="auto"/>
                <w:lang w:val="en-US" w:eastAsia="zh-CN"/>
              </w:rPr>
              <w:t>。</w:t>
            </w:r>
          </w:p>
          <w:p>
            <w:pPr>
              <w:keepNext w:val="0"/>
              <w:keepLines w:val="0"/>
              <w:pageBreakBefore w:val="0"/>
              <w:numPr>
                <w:ilvl w:val="0"/>
                <w:numId w:val="3"/>
              </w:numPr>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装备过期提醒设备应</w:t>
            </w:r>
            <w:r>
              <w:rPr>
                <w:rFonts w:hint="eastAsia"/>
                <w:color w:val="auto"/>
                <w:lang w:val="en-US" w:eastAsia="zh-CN"/>
              </w:rPr>
              <w:t>具</w:t>
            </w:r>
            <w:r>
              <w:rPr>
                <w:rFonts w:hint="eastAsia" w:eastAsiaTheme="minorEastAsia"/>
                <w:color w:val="auto"/>
                <w:lang w:val="en-US" w:eastAsia="zh-CN"/>
              </w:rPr>
              <w:t>备装备过期提醒功能,并符合以下要求：</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13.1当携带已过期装备通过装备室通道门时，屏幕将对应装备图标显示为红色并进行相应语音播报提示；</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13.</w:t>
            </w:r>
            <w:r>
              <w:rPr>
                <w:rFonts w:hint="eastAsia"/>
                <w:color w:val="auto"/>
                <w:lang w:val="en-US" w:eastAsia="zh-CN"/>
              </w:rPr>
              <w:t>2</w:t>
            </w:r>
            <w:r>
              <w:rPr>
                <w:rFonts w:hint="eastAsia" w:eastAsiaTheme="minorEastAsia"/>
                <w:color w:val="auto"/>
                <w:lang w:val="en-US" w:eastAsia="zh-CN"/>
              </w:rPr>
              <w:t>当携带即将过期装备通过装备室通道门时，屏幕将对应装备图标显示为红色并进行相应语音播报提示。</w:t>
            </w:r>
          </w:p>
          <w:p>
            <w:pPr>
              <w:keepNext w:val="0"/>
              <w:keepLines w:val="0"/>
              <w:pageBreakBefore w:val="0"/>
              <w:numPr>
                <w:ilvl w:val="0"/>
                <w:numId w:val="0"/>
              </w:numPr>
              <w:kinsoku/>
              <w:wordWrap/>
              <w:overflowPunct/>
              <w:topLinePunct w:val="0"/>
              <w:autoSpaceDE/>
              <w:autoSpaceDN/>
              <w:bidi w:val="0"/>
              <w:adjustRightInd/>
              <w:spacing w:line="360" w:lineRule="exact"/>
              <w:ind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13.3响应文件中需提供合法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numPr>
                <w:ilvl w:val="0"/>
                <w:numId w:val="3"/>
              </w:numPr>
              <w:kinsoku/>
              <w:wordWrap/>
              <w:overflowPunct/>
              <w:topLinePunct w:val="0"/>
              <w:autoSpaceDE/>
              <w:autoSpaceDN/>
              <w:bidi w:val="0"/>
              <w:adjustRightInd/>
              <w:spacing w:line="360" w:lineRule="exact"/>
              <w:ind w:left="0" w:leftChars="0" w:firstLine="0" w:firstLineChars="0"/>
              <w:jc w:val="left"/>
              <w:rPr>
                <w:rFonts w:hint="eastAsia" w:eastAsiaTheme="minorEastAsia"/>
                <w:color w:val="auto"/>
                <w:lang w:val="en-US" w:eastAsia="zh-CN"/>
              </w:rPr>
            </w:pPr>
            <w:r>
              <w:rPr>
                <w:rFonts w:hint="eastAsia" w:eastAsiaTheme="minorEastAsia"/>
                <w:color w:val="auto"/>
                <w:lang w:val="en-US" w:eastAsia="zh-CN"/>
              </w:rPr>
              <w:t>图形化运维工具设备应具备图形界面的配置管理工具：</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14.1进入配置运维工具需要进行动态密码验证，避免未授权修改配置信息；</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14.2可进行插件的启用禁用配置。</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14.3响应文件中需提供合法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numPr>
                <w:ilvl w:val="0"/>
                <w:numId w:val="3"/>
              </w:numPr>
              <w:kinsoku/>
              <w:wordWrap/>
              <w:overflowPunct/>
              <w:topLinePunct w:val="0"/>
              <w:autoSpaceDE/>
              <w:autoSpaceDN/>
              <w:bidi w:val="0"/>
              <w:adjustRightInd/>
              <w:spacing w:line="360" w:lineRule="exact"/>
              <w:ind w:left="0" w:leftChars="0" w:firstLine="0" w:firstLineChars="0"/>
              <w:jc w:val="left"/>
              <w:rPr>
                <w:rFonts w:hint="eastAsia" w:eastAsiaTheme="minorEastAsia"/>
                <w:color w:val="auto"/>
                <w:lang w:val="en-US" w:eastAsia="zh-CN"/>
              </w:rPr>
            </w:pPr>
            <w:r>
              <w:rPr>
                <w:rFonts w:hint="eastAsia" w:eastAsiaTheme="minorEastAsia"/>
                <w:color w:val="auto"/>
                <w:lang w:val="en-US" w:eastAsia="zh-CN"/>
              </w:rPr>
              <w:t>控制终端。含以下功能：</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15.1装备领用：装备领用登记、装备归还登记、领用台账查询；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15.2装备移库：装备移库登记、装备移库登记；</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15.3装备入库：装备入库登记、入库台账查询；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15.4装备点验：装备点验登记、点验台账查询；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15.5装备维护：装备维护登记、装备维护提醒；</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15.6装备交接：装备交接登记、交接台账查询；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15.7装备处置：装备处置登记、装备处置登记；</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15.8装备告警：质保过期告警、逾期归还告警、逾期保养告警、逾期盘点告警、库存不足告警、积压呆滞告警。</w:t>
            </w:r>
          </w:p>
          <w:p>
            <w:pPr>
              <w:keepNext w:val="0"/>
              <w:keepLines w:val="0"/>
              <w:pageBreakBefore w:val="0"/>
              <w:numPr>
                <w:ilvl w:val="0"/>
                <w:numId w:val="3"/>
              </w:numPr>
              <w:kinsoku/>
              <w:wordWrap/>
              <w:overflowPunct/>
              <w:topLinePunct w:val="0"/>
              <w:autoSpaceDE/>
              <w:autoSpaceDN/>
              <w:bidi w:val="0"/>
              <w:adjustRightInd/>
              <w:spacing w:line="360" w:lineRule="exact"/>
              <w:ind w:left="0" w:leftChars="0" w:firstLine="0" w:firstLineChars="0"/>
              <w:jc w:val="left"/>
              <w:rPr>
                <w:rFonts w:hint="eastAsia" w:eastAsiaTheme="minorEastAsia"/>
                <w:color w:val="auto"/>
                <w:lang w:val="en-US" w:eastAsia="zh-CN"/>
              </w:rPr>
            </w:pPr>
            <w:r>
              <w:rPr>
                <w:rFonts w:hint="eastAsia" w:eastAsiaTheme="minorEastAsia"/>
                <w:color w:val="auto"/>
                <w:lang w:val="en-US" w:eastAsia="zh-CN"/>
              </w:rPr>
              <w:t>识别能力。设备应符合以下要求：</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16.1屏幕能够展示10件装备的图形界面；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16.2识别装备效率小于1.5秒。</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16.3响应文件中需提供合法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17.工作噪声设备在正常工作条件下的工作噪声应小于 15dB(A)。响应文件中需提供合法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18.泄漏电流设备的泄漏电流，应符合GB 16796-2009中5.4.6要求。即设备工作时的泄漏电流应小于等于8mA。</w:t>
            </w:r>
            <w:bookmarkStart w:id="64" w:name="OLE_LINK37"/>
            <w:r>
              <w:rPr>
                <w:rFonts w:hint="eastAsia" w:eastAsiaTheme="minorEastAsia"/>
                <w:color w:val="auto"/>
                <w:lang w:val="en-US" w:eastAsia="zh-CN"/>
              </w:rPr>
              <w:t>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bookmarkEnd w:id="64"/>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bookmarkStart w:id="65" w:name="OLE_LINK1"/>
            <w:r>
              <w:rPr>
                <w:rFonts w:hint="eastAsia"/>
                <w:color w:val="auto"/>
                <w:lang w:val="en-US" w:eastAsia="zh-CN"/>
              </w:rPr>
              <w:t>工业</w:t>
            </w:r>
            <w:bookmarkEnd w:id="6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eastAsiaTheme="minorEastAsia"/>
                <w:color w:val="auto"/>
                <w:lang w:val="en-US" w:eastAsia="zh-CN"/>
              </w:rPr>
            </w:pPr>
            <w:r>
              <w:rPr>
                <w:rFonts w:hint="eastAsia"/>
                <w:color w:val="auto"/>
                <w:lang w:val="en-US" w:eastAsia="zh-CN"/>
              </w:rPr>
              <w:t>2</w:t>
            </w:r>
          </w:p>
        </w:tc>
        <w:tc>
          <w:tcPr>
            <w:tcW w:w="869"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eastAsia="zh-CN"/>
              </w:rPr>
            </w:pPr>
            <w:r>
              <w:rPr>
                <w:rFonts w:hint="eastAsia"/>
                <w:color w:val="auto"/>
                <w:lang w:eastAsia="zh-CN"/>
              </w:rPr>
              <w:t>智能装备管理自助查询机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32000.00</w:t>
            </w:r>
          </w:p>
        </w:tc>
        <w:tc>
          <w:tcPr>
            <w:tcW w:w="4615" w:type="dxa"/>
            <w:vAlign w:val="center"/>
          </w:tcPr>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1.产品尺寸：约长570mm*宽480mm*高1650mm</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2.屏幕尺寸：21.5寸</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3.身份鉴权：人脸/指纹/二维码/密码</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4.主控系统：双核 2.5GHz</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5.条码识别：支持QR/PDF417/CODE128/ISBN10/ISBN13/CODE39等类型条码识别</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bookmarkStart w:id="66" w:name="OLE_LINK38"/>
            <w:r>
              <w:rPr>
                <w:rFonts w:hint="eastAsia" w:eastAsiaTheme="minorEastAsia"/>
                <w:color w:val="auto"/>
                <w:lang w:val="en-US" w:eastAsia="zh-CN"/>
              </w:rPr>
              <w:t>6.天线覆盖：支持上方及前方的天线读取，便于对装备的标签读取</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7.射频频率：符合中国ISO 18000-6C的频谱定义范围860-960 MHz</w:t>
            </w:r>
          </w:p>
          <w:bookmarkEnd w:id="66"/>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8.异常告警：出现异常时，可通过扬声器进行异常信息进行告警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9.控制系统：提供如下装备管理功能：</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（1）装备领用：装备领用登记、装备归还登记、领用台账查询。</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（2）装备移库：装备移库登记、装备移库登记。</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3）装备入库：装备入库登记、入库台账查询。（4）装备点验：装备点验登记、点验台账查询。（5）装备维护：装备维护登记、装备维护登记。（6）装备交接：装备交接登记、交接台账查询。（7）装备处置：装备处置登记、装备处置登记。（8）装备告警：质保过期告警、逾期归还告警、逾期保养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（9）逾期盘点告警、库存不足告警、积压呆滞告警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10.备用电源:设备应可选UPS备用电源，支持市电切换。</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11.系统对接设备应支持与智能装备管理自助终端和装备管理平台无缝对接。</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default"/>
                <w:color w:val="auto"/>
                <w:lang w:val="en-US" w:eastAsia="zh-CN"/>
              </w:rPr>
            </w:pPr>
            <w:r>
              <w:rPr>
                <w:rFonts w:hint="eastAsia"/>
                <w:color w:val="auto"/>
                <w:lang w:val="en-US" w:eastAsia="zh-CN"/>
              </w:rPr>
              <w:t>3</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智能人脸识别设备</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2898.00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1.产品尺寸：约长84mm*宽23mm*高173mm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2.屏幕尺寸：4.3寸触摸显示屏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3.身份鉴别：支持人脸/IC卡/密码等验证方式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4.存储容量：≥50000张人脸、≥50000张卡，≥5000个指纹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5.电源输入：DC12V/2A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6.安装方式：壁挂安装（标配挂板，适配86底盒）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7.摄像头：设备应具备200万或以上双目摄像头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8.通讯方式：设备应具备10/100Mbps自适应网口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9.物理接口:设备应具备LAN*1、RS485*1、Wiegand*1(支持双向)、MicroUSB*1、电锁*1、门磁*1、开门按钮*1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10.网络协议：设备应支持萤石协议/ISAIP/ISUP5.0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11.电源输入：2A/DC12V~DC24V区间（不带电源，集中供电）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12.工作温度：设备应支持-30℃～+60℃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13.工作湿度：设备应支持0%至90%(在不凝结水滴状态下)</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default"/>
                <w:color w:val="auto"/>
                <w:lang w:val="en-US" w:eastAsia="zh-CN"/>
              </w:rPr>
            </w:pPr>
            <w:r>
              <w:rPr>
                <w:rFonts w:hint="eastAsia"/>
                <w:color w:val="auto"/>
                <w:lang w:val="en-US" w:eastAsia="zh-CN"/>
              </w:rPr>
              <w:t>4</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磁力锁</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1.承受拉力：≥280kg；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2.工作电压：DC12V；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3.工作电流：500mA；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4.开锁时间：≤1s；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5.延时调节：0~9秒；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6.安全类型：通电上锁、断电开锁；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7.适用范围：木门、玻璃门、金属门、防火门。</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8"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lang w:val="en-US" w:eastAsia="zh-CN"/>
              </w:rPr>
            </w:pPr>
            <w:r>
              <w:rPr>
                <w:rFonts w:hint="eastAsia" w:ascii="宋体" w:hAnsi="宋体" w:eastAsia="宋体" w:cs="宋体"/>
                <w:i w:val="0"/>
                <w:iCs w:val="0"/>
                <w:color w:val="auto"/>
                <w:kern w:val="0"/>
                <w:sz w:val="20"/>
                <w:szCs w:val="20"/>
                <w:u w:val="none"/>
                <w:lang w:val="en-US" w:eastAsia="zh-CN" w:bidi="ar"/>
              </w:rPr>
              <w:t>5</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装备管理工作台</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default"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1.产品尺寸：约长1280mm*宽900mm*高7500mm，使用高度750mm（可根据现场需要调整尺寸）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2.办公主机：支持2台高性能办公主机，标配1台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3.办公屏幕：支持2台23.8寸高清液晶屏，带旋转支架，标配1台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4.供电系统：220V供电，具备ESD静电保护、OCP过电流保护、OVP过电压保护、OPP过功率保护、OTP过温度保护、SCP短路回路保护、过载保护、雷击保护功能</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电子标签制作机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12489.00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1.支持普通标签/RFID标签的显示内容打印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2.支持工业级rfid电子标签打印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2.分辨率: 203dpi/300dpi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4.操作方式：可视化屏幕操作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打印宽度：设备应满足最大108mm的打印宽度。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打印速度：设备应满足最大150mm/s的打印速度。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打印分辨率：设备打印分辨率应不小于203dpi。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打印介质：设备打印介质应为碳带。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支持RFID频率：设备应满足920.5~924.9MHz，符合ISO 18000-6C标准。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支持标签类型：设备应支持普通不干胶及1.25mm以下的柔性抗金属标签的打印。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检测功能：设备应支持黑标检测、标签检测、机构检测、碳带检测。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工作电压：设备工作电压应满足AC100~240V@50~60Hz。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通讯接口：设备通讯接口应为USB2.0接口。</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智能装备可视化智能屏</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6699.00</w:t>
            </w:r>
          </w:p>
        </w:tc>
        <w:tc>
          <w:tcPr>
            <w:tcW w:w="4615" w:type="dxa"/>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屏幕尺寸：65寸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2.分辨率：1080P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3.主控系统：双核 2.5GHz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4.操作系统：具备7X24小时稳定运行能力；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5.软件功能：装备使用情况、使用考核排名、异常告警、装备实时定位等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触摸规格：应支持红外触摸功能，支持20点触摸。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主控模块：</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主板：工业级主控制板，应具备7×24小时稳定运行能力；显示：支持VGA、HDMI输出；供电：AC 110-220V输入，DC12V输出；操作系统：内置操作系统；处理器：四核四线程及以上，主频2.0Ghz及以上；内存容量≥4GB；存储容量≥128GB；网口个数≥1路千兆网卡；USB个数≥4个。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喇叭:设备应内置2个4Ω3W喇叭。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最大功率:设备最大功率应≤230W。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装备总体情况展示:</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ind w:firstLine="420" w:firstLineChars="200"/>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可视化分控智慧屏应具备通过可视化图表实时展示以下数据：总警力、装备柜数量、超期未归还数量、闲置装备数量。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装备柜状态展示:可视化分控智慧屏应具备实时动态展示装备柜的状态，包括运行状态、内部温度、管理装备总数量、目前在库装备数量、装备柜总存储容量、目前剩余存储空间。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装备室状态展示:可视化分控智慧屏应具备装备室实时状态展示，主要包括：运行状态、内部温度、管理装备总数量、目前在库装备数量。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实时领用台账展示:可视化分控智慧屏应具备可视化展示屏实时展示装备的领用和归还记录，详细记录包括：人员、时间、装备、领用/归还、归还位置等详细信息。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告警记录展示:可视化分控智慧屏应具备可视化展示屏实时展示系统内的各项异常告警信息，展示的信息包括：人员、时间、异常类型、异常内容。异常类型包括：执法仪连接状态、装备归还状态、温度过高告警等告警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装备实时定位展示:可视化分控智慧屏应具备装备实时定位展示，可根据当前装备所在的定位信息，在地图上实时展示装备当前所在的位置。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配置:可视化分控智慧屏应具备对各区域展示的内容进行调整。</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标签管理器</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1.工作频率：902～928MHz或865～868MHz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2.读取距离：10～300CM（可以根据不同场合的需要进行调整）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3.工作协议：EPC C1G2（ISO18000-6C）协议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4.供电方式：支持USB接口供电或外接单＋9V供电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5.接口模式：USB（虚拟串口）、RS232串行通讯、韦根（可选）以及USB HID仿真键盘（可选）接口</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智能装备手持盘点机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1.产品尺寸：约长144mm*宽169mm*高91mm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2.核心处理：八 核 Cortex-A53，1.4 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3.产品重量：约680g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4.屏幕尺寸：≥ 5.7寸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5.主 电 池：3.85V 9000mAh 可充电锂电池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6.网络制式：4G全网通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7.操作系统：Android 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8.工作频率：符合中国ISO 18000-6C的频谱定义范围860-960 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该设备需和管理系统无缝链接。</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纸质RFID标签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4.产品材质：铜版纸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5.存储温度：-40~100℃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抗金属RFID标签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5.11</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4.产品材质：RF4或铁氟龙+PET+3M胶（不同类型装备采用不同的标签材质进行贴置）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5.存储温度：-40~150℃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无纺布RFID标签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4.产品材质：布质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5.存储温度：-40~150℃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扎带RFID标签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4.产品材质：ABS塑料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5.存储温度：-40~80℃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bookmarkStart w:id="67" w:name="OLE_LINK50" w:colFirst="4" w:colLast="4"/>
            <w:r>
              <w:rPr>
                <w:rFonts w:hint="eastAsia" w:ascii="宋体" w:hAnsi="宋体" w:eastAsia="宋体" w:cs="宋体"/>
                <w:i w:val="0"/>
                <w:iCs w:val="0"/>
                <w:color w:val="auto"/>
                <w:kern w:val="0"/>
                <w:sz w:val="20"/>
                <w:szCs w:val="20"/>
                <w:u w:val="none"/>
                <w:lang w:val="en-US" w:eastAsia="zh-CN" w:bidi="ar"/>
              </w:rPr>
              <w:t>14</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货位RFID标签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1.封装材质：ABS+环氧树脂滴胶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2.工作频率：860-960MHz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3.读取距离：0-1.2m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4.工作协议：ISO 18000-6C, EPC global C1Gen2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5.数据保存时间：50 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6.可擦写次数：100,000 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7.工作温度：-40ºC to +85ºC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8.IP等级：IP65</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bookmarkEnd w:id="6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智能货架面板</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15000.00</w:t>
            </w:r>
          </w:p>
        </w:tc>
        <w:tc>
          <w:tcPr>
            <w:tcW w:w="4615" w:type="dxa"/>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产品尺寸：约长600mm*宽60mm*高2000mm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2.显示尺寸：15.6寸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3.分辨率：1920*1080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4.核心处理：四核，2.3GHz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5.业务功能：显示该排智能装备架管理终端上装备编号、装备名称、装备数量等信息；并与装备管理自助终端联动，装备无人识别通道门上查找装备时，对应面板呼吸灯提醒，进行声光提醒。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6.物品展示：设备应在屏幕能实时展示当前货架物品摆放位置以及状态。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灯控定位</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a)设备应具备装备定位显示功能，LED灯能自动亮灯提醒；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b)当需出入库装备时，可对应货架的LED灯会自动亮起，实现快速引导工作。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装备状态：设备应可显示货架装备摆放位置、数量、入库时间、过期时间等信息。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系统对接：设备支持与智能装备管理自助查询机和装备智能管控一体机无缝对接。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供电设备：电源电压在额定值的85%-110%范围内，设备不需做任何调整能正常工作。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电源线：采用交流供电的设备，电源线应使用三芯电源线，其中地线应与设备的保护接地端连接牢固。对电源线不可拆卸的设备，应采用能提供可靠的电气和机械连接，保证引线固定点不会松动，而且供电导线与保护接地线不应直接焊接在印制板的导体上，应采用钎焊、压接或类似的方法。交流电源引线应能承受20N的拉力作用60s而不损伤和松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保护接地端子：采用交流供电的设备应具有保护接地端子，对于带有可拆卸电源软线的设备，设备插座上的接地端子可以认为是电源保护接地端子。保护接地端与可接触导电件应有良好的直接连接，其阻值不大于0.1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保护接地电路中不应安装开关或熔断器，保护接地可以是裸露的也可以是绝缘的，如果是绝缘的，则绝缘应是绿色或黄色。与保护接地连接件接触的导电零部件不应由于电化学作用而遭到严重腐蚀。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抗电强度：采用交流供电的设备的电源插头或电源引入端与外壳裸露金属部件之间，应能承受GB 16796-2009中表1规定的45Hz-65Hz交流电压的抗强度试验，历时1min应无击穿和飞弧现象。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绝缘电阻：采用交流供电的设备的电源插头或电源引入端与外壳裸露金属部件之间的绝缘电阻，经相对湿热度为91%～95%、温度为40℃、48h的受潮预处理后，加强绝缘的设备不小于5MΩ，基本绝缘的设备不小于2MΩ，Ⅲ类设备不小于1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工作电压超过500V的设备，上述绝缘电阻的阻值数应乘以一个系数，该系数等于工作电压除以500V。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泄漏电流：设备工作时的泄漏电流应小于等于5mA。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静电放电抗扰度：设备处于工作状态，接触放电±6kV，空气放电±2kV、±4kV、±8kV，放电间隔1s，每个放电点施加正负极性各10次。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试验期间，设备不应出现因条件试验而导致的损坏、故障或状态改变现象。条件试验期间允许试纸装置闪烁，但EUT应无永久性损坏或输出端口无任何改变。试验后，设备功能应正常工作。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射频电磁场辐射抗扰度：射频电磁场辐射抗扰度试验采用正弦波幅度调制，调制频率1kHz，调制度80%，在80MHz-1000MHz频率范围内设备进行场强为10V/m的射频电磁场辐射抗扰度扫频试验。试验期间，设备不应出现因条件试验而导致的损坏、故障或状态改变现象。条件试验期间允许指示装置闪烁，但EUT应无永久性损坏或输出端口无任何改变，并符合GB/T 30148-2013中10.4条的其他规定。试验后，设备功能应正常工作。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 电快速瞬变脉冲群抗扰度：设备处于工作状态，将幅度为±2kV的电快速瞬变脉冲群信号施加到设备电源线上。试验期间，设备不应出现因条件试验而导致的损坏、故障或状态改变现象。条件试验期间允许指示装置闪烁，但EUT应无永久性损坏或输出端口无任何改变。试验后，设备功能应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 浪涌（冲击）抗扰度：设备处于工作状态，浪涌组合波波前时间1.2μs、半峰值时间50μs，在电源输入端线-线间施加±0.5kV和±1kV峰值电压，在线-地间施加±0.5kV、±1kV和±2kV峰值电压。试验期间，设备不应出现因条件试验而导致的损坏、故障或状态改变现象。条件试验期间允许指示装置闪烁，但EUT应无永久性损坏或输出端口无任何改变。试验后，设备功能应正常工作。</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货架指示灯</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138.00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1.灯光颜色：红色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2.电源输出：直流12V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3.通信输出：支持RS232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4.告警蜂鸣：支持</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货架装备感应终端</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19500.00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1.接入数量：至少支持16路天线同时接入，标配12路天线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2.读写距离：0.2-2米（标签读距而定）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5.通讯输出：RS232串口输出</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装备仓库控制主机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1.产品形态：仓库控制与数据采集终端，实现将数据上传与设备控制，包括温湿度采集上传、库室设备的控制。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2.工作电压：220V~50/60Hz；设备工作电压应满足AC100~240V@50~60Hz。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3.设备功能：环境监控数据采集与上传、人脸识别设备数据下发、除湿机控制，设备监控管理。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4.核心处理：核心处理应不低于以下要求：处理器应不小于四核，主频不小于2.3GHz；内存应不低于2G；串口数量应不低于6个；USB接口数量不低于6个；网口数量应不低于1个。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5.环境监控数据采集与上传：设备应支持实时获取温湿度显示设备的温湿度数据、网络硬盘录像机的视频媒体数据，并将数据同送至装备智能管控一体机中。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人脸识别设备数据下发：设备应支持通过网络实时下发人脸信息至智能人脸识别设备中。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除湿机控制：设备应支持控制除湿机的开关控制。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设备监控管理：设备应满足实时监控智能装备感应识别通道、智能装备管理自助查询机、智能人脸识别设备、货架装备感应终端等设备运行情况。</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监控摄像头</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459.00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1.像素：≥300万，1/2.7” CMOS ICR；</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2.日夜转换模式：ICR红外滤片式；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3.宽动态范围：数字宽动态；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4.数字降噪：数字降噪；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5.图像：最大图像尺寸：2304×1296；帧率：25fps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6.通讯接口：1个RJ45 10M/100M自适应以太网口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7.电源供应：DCl2V±25%/支持PoE(802.3af)；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8.红外照射距离：最远可达30米。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9.数据联动，支持与仓储智能管理终端无缝对接，实现装备场所视频图像在管理终端一体化界面查询和播放</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网络硬盘录像机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1.视频接入路数：32路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2.预览分屏：1/2/4/6/8/9/16画面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3.视频输出：1路HDMI，1路VGA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4.解码能力：8×1080P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5.同步回放：8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6.盘位：8个SATA接口，标配40TB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7.单盘容量：最大支持10TB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8.网络接口：2个RJ45 10M/100M/1000自适应以太网口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9.数据联动，支持与仓储智能管理终端无缝对接，实现装备场所视频图像在管理终端一体化界面查询和播放</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温湿度显示设备</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1.产品尺寸：约长490mm*宽290mm*高40mm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2.产品重量：约2kg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3.显示内容：温度/湿度/万年历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4.精度：湿度±3%RH(60%RH,25℃)温度±0.5℃（25℃）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5.探头工作温度：-40℃~+120℃ 默认:-40℃~+80℃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6.探头工作湿度：0%RH-100%RH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7.温度显示分辨率：0.1℃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8.响应时间：温度≤25s，湿度≤8s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9.输出信号：RS485(Modbus 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10.电源输入：DC10-30W/MAX 0.8W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11.安装方式：壁挂或悬挂</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大功率除湿管理设备</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4850.00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1.适用面积：≥300㎡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2.日除湿量：≥100升（35℃ RH90%）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3.功能：压缩机延迟保护、散热高温保护、故障代码提示、断电记忆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4.额定功率：≥1200W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5.最大功率：≤1650W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6.数据联动：设备应支持与仓储智能管理终端无缝对接，实现设备的断电通电控制。</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5"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1.下行端口：24个10/100/1000自适应以太网口（POE）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2.上限功率：约218W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3.产品尺寸：约长440mm*宽220*高43.6mm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4.重量：约3kg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5.输入电源：100-240AC；50-60Hz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6.工作温度：0℃~45℃</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1.产品尺寸：长600mm*宽900*高1200mm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2.产品容量：22u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3.产品载重：≥400kg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4.材质厚度：立柱2.0mm，其他1.0mm</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bookmarkStart w:id="68" w:name="OLE_LINK14"/>
            <w:r>
              <w:rPr>
                <w:rFonts w:hint="eastAsia" w:ascii="宋体" w:hAnsi="宋体" w:eastAsia="宋体" w:cs="宋体"/>
                <w:i w:val="0"/>
                <w:iCs w:val="0"/>
                <w:color w:val="auto"/>
                <w:kern w:val="0"/>
                <w:sz w:val="21"/>
                <w:szCs w:val="21"/>
                <w:u w:val="none"/>
                <w:lang w:val="en-US" w:eastAsia="zh-CN" w:bidi="ar"/>
              </w:rPr>
              <w:t>装备智能管控一体机</w:t>
            </w:r>
            <w:bookmarkEnd w:id="68"/>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1.系统架构：采用工业级一体化设计；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2.供电单元：支持220V±10%宽压输入；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3.高速存储：双通道高速存储单元（240GB×2）确保系统高速响应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4.存储模块：配置冗余型大容量存储模块（2×1TB）；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5.设备接入：支持接入装备库房各类物联网设备进行远程管理；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6.内置功能：具备装备全生命周期管理功能。功能包括库房管理、装备入库、装备调拨、装备上交、装备接收、装备盘点、装备台账、统计分析、装备审批、告警提醒等功能。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7.系统首页功能：设备应具备系统首页功能，并符合以下要求：系统首页具有用户登录信息显示功能，包括用户名称、用户编号、上次登录时间、上次登录 IP 等信息；具有关键核心信息的展示功能，包括库房总数、装备总数、装备配发情况、装备使用情况、装备流转情况等信息。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 库房管理功能：设备应具备库房管理功能，并符合支持对各库房信息进行查看，包括：管理部门、编号、名称、上级库房、库房属性、地址、面积、管理员、责任领导等信息。 支持对库房状态进行查看，包括：门禁状态、温湿度信息等。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▲装备管理功能：系统应具备装备管理功能，包括信息管理、位置管理、配发管理、处置管理等功能模块(</w:t>
            </w:r>
            <w:r>
              <w:rPr>
                <w:rFonts w:hint="eastAsia" w:eastAsiaTheme="minorEastAsia"/>
                <w:color w:val="auto"/>
                <w:lang w:val="en-US" w:eastAsia="zh-CN"/>
              </w:rPr>
              <w:t>响应文件中需提供合法</w:t>
            </w:r>
            <w:r>
              <w:rPr>
                <w:rFonts w:hint="eastAsia"/>
                <w:color w:val="auto"/>
                <w:lang w:val="en-US" w:eastAsia="zh-CN"/>
              </w:rPr>
              <w:t>的</w:t>
            </w:r>
            <w:r>
              <w:rPr>
                <w:rFonts w:hint="eastAsia" w:ascii="宋体" w:hAnsi="宋体" w:eastAsia="宋体" w:cs="宋体"/>
                <w:i w:val="0"/>
                <w:iCs w:val="0"/>
                <w:color w:val="auto"/>
                <w:kern w:val="0"/>
                <w:sz w:val="21"/>
                <w:szCs w:val="21"/>
                <w:u w:val="none"/>
                <w:lang w:val="en-US" w:eastAsia="zh-CN" w:bidi="ar"/>
              </w:rPr>
              <w:t>国家认可的有资质的第三方检测机构出具此功能的检测报告证明</w:t>
            </w:r>
            <w:r>
              <w:rPr>
                <w:rFonts w:hint="eastAsia"/>
                <w:color w:val="auto"/>
                <w:lang w:val="en-US" w:eastAsia="zh-CN"/>
              </w:rPr>
              <w:t>复印件</w:t>
            </w:r>
            <w:r>
              <w:rPr>
                <w:rFonts w:hint="eastAsia" w:ascii="宋体" w:hAnsi="宋体" w:eastAsia="宋体" w:cs="宋体"/>
                <w:i w:val="0"/>
                <w:iCs w:val="0"/>
                <w:color w:val="auto"/>
                <w:kern w:val="0"/>
                <w:sz w:val="21"/>
                <w:szCs w:val="21"/>
                <w:u w:val="none"/>
                <w:lang w:val="en-US" w:eastAsia="zh-CN" w:bidi="ar"/>
              </w:rPr>
              <w:t xml:space="preserve">)，并符合以下要求：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9.1信息管理：信息管理功能模块具有注册装备、信息编辑、批量删除、绑定 RFID、导出、装备详细信息查看等功能。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（1）注册装备支持对单一装备进行注册，注册信息包括配发信息、存放信息、装备信息等信息。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（2）信息编辑支持对已注册的装备进行信息修改，包括配发信息、存放信息、装备信息等信息。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（3）批量删除支持选择装备信息，进行批量删除操作。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（4）绑定 RFID 支持通过选择一个装备记录，通过 RFID 读写器扫码识别装备信息完成装备信息与 RFID 标签的绑定操作。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（5）导出功能支持将装备信息进行导出，导出操作支持选择需要导出的字段信息。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（6）装备详细支持查询装备详细信息。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9.2位置管理:位置管理模块具有快速管理位置、管理位置、查询各库房装备信息等功能。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（1）快速管理位置支持通过扫码快速识别装备信息，并批量进行位置变更操作。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（2）管理位置支持通过装备类型进行装备查询，选择需要变更的装备进行存放位置变更。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查询各库房装备信息支持通过管理部门以及库房名称查询库房装备信息，装备信息包括管理部门、所属库房、硬件设备名称、硬件设备类型、种类数量、装备总数等信息，并可查询各类装备的数量和装备明细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9.3配发管理:配发管理模块具有快速配发、配发变更、调岗变更、导出等功能。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（1）快速配发支持通过RFID装备扫码、选择配发人员进行快速变更。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（2）配发变更支持通过选择装备，选择部门人员提交实现装备变更。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（3）调岗变更支持通过选择需要变更的装备，选择部门、选择库房、选择人员实现装备的变更。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（4）导出功能支持装备信息的导出，导出前可选择需要导出的字段信息。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9.4处置管理:处置管理模块支持通过装备查询，对查询出来的装备进行装备报废和装备挂失操作。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（1）装备报废支持通过选择装备信息进行报废操作，报废操作支持编辑相应信息，信息包括报废原因、备注、审批单号等信息。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（2）装备挂失支持通过选择装备信息进行挂失操作，挂失操作支持编辑相应信息，信息包括挂失原因、备注、审批单号等信息。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装备入库功能：系统应具备装备入库功能，包括有新增入库单、查询入库单、编辑入库单、删除入库单、入库单详情、入库单归档、入库单打印、快速入库、扫码入库、批量上传等功能模块，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装备调拨功能:系统应具备装备调拨功能，包括新增调拨单、查询调拨单、调拨单编辑、调拨单详情、快速调拨、扫码调拨、人工调拨、调拨单打印、删除调拨单等功能模块。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装备上交功能:系统应具备装备上交功能，包括新增上交单、查询上交单、编辑上交单、删除上交单、快速上交、扫码上交、人工上交、上交单详情、上交单打印等功能模块。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 装备接收功能:系统应具备装备接收功能，装备接收功能支持对装备接收单的信息查询，可根据发物单位、收物单位、时间范围、状态、调拨类型进行查询；查询展示信息包括调拨单字号、调拨类型、调拨依据、发物单位、收物单位等信息；支持查询装备明细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装备盘点功能:系统应具备装备盘点功能，包括新增盘点任务、查询盘点单、编辑盘点单、查询盘点报告、归档、删除等功能模块，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▲装备台账功能：系统应具备装备台账功能，包括使用台账、变更台账、维修台账、保养台账、处置台账等功能模块(</w:t>
            </w:r>
            <w:r>
              <w:rPr>
                <w:rFonts w:hint="eastAsia" w:eastAsiaTheme="minorEastAsia"/>
                <w:color w:val="auto"/>
                <w:lang w:val="en-US" w:eastAsia="zh-CN"/>
              </w:rPr>
              <w:t>响应文件中需提供合法</w:t>
            </w:r>
            <w:r>
              <w:rPr>
                <w:rFonts w:hint="eastAsia"/>
                <w:color w:val="auto"/>
                <w:lang w:val="en-US" w:eastAsia="zh-CN"/>
              </w:rPr>
              <w:t>的</w:t>
            </w:r>
            <w:r>
              <w:rPr>
                <w:rFonts w:hint="eastAsia" w:ascii="宋体" w:hAnsi="宋体" w:eastAsia="宋体" w:cs="宋体"/>
                <w:i w:val="0"/>
                <w:iCs w:val="0"/>
                <w:color w:val="auto"/>
                <w:kern w:val="0"/>
                <w:sz w:val="21"/>
                <w:szCs w:val="21"/>
                <w:u w:val="none"/>
                <w:lang w:val="en-US" w:eastAsia="zh-CN" w:bidi="ar"/>
              </w:rPr>
              <w:t>国家认可的有资质的第三方检测机构出具此功能的检测报告证明</w:t>
            </w:r>
            <w:r>
              <w:rPr>
                <w:rFonts w:hint="eastAsia"/>
                <w:color w:val="auto"/>
                <w:lang w:val="en-US" w:eastAsia="zh-CN"/>
              </w:rPr>
              <w:t>复印件</w:t>
            </w:r>
            <w:r>
              <w:rPr>
                <w:rFonts w:hint="eastAsia" w:ascii="宋体" w:hAnsi="宋体" w:eastAsia="宋体" w:cs="宋体"/>
                <w:i w:val="0"/>
                <w:iCs w:val="0"/>
                <w:color w:val="auto"/>
                <w:kern w:val="0"/>
                <w:sz w:val="21"/>
                <w:szCs w:val="21"/>
                <w:u w:val="none"/>
                <w:lang w:val="en-US" w:eastAsia="zh-CN" w:bidi="ar"/>
              </w:rPr>
              <w:t xml:space="preserve">)，并符合以下要求：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15.1使用台账支持对使用记录台账的查询管理，支持按部门、人员、时间、操作类型进行查询；查询结果包括序号、管理部门、人员、装备类型、操作时间、操作类型等信息。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15.2变更台账支持对装备变更台账进行查询管理，支持按管理部门、时间、类型等条件进行查询；查询结果包括部门、装备种类、变更时间、变更类型、变更信息等信息。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15.3维修台账支持对装备维修台账的查询管理，支持按部门、时间、装备类型等字段信息进行查询；查询结果包括装备类型、部门、时间、维修内容等信息。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15.4保养台账支持对装备保养台账的查询管理，支持按部门、时间、装备类型等字段信息进行查询；查询结果包括装备类型、部门、时间、保养内容等信息。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15.5处置台账支持对装备处置台账的查询管理，支持按部门、时间、装备类型等字段信息进行查询；查询结果包括装备类型、部门、时间、处置类型、处置原因等信息。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 告警记录功能：系统应具备告警记录功能，告警记录功能支持对装备告警记录信息的查询管理，支持按管理部门、告警类型、告警级别等信息进行查询；查询结果包括部门、告警级别、告警类型、告警时间、关联人员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审批业务功能：系统应具备审批业务功能，包括我的申请、装备审批功能模块.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 统计分析功能：系统应具备统计分析功能，包括装备自定义统计、部门装备统计、库房装备统计、装备类型统计、装备配发统计等功能模块，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 设备管理功能 ：系统应具备设备管理功能，支持对各类装备管理硬件进行信息管理，包括感应通道门、装备柜、装备管理架、盘点终端机等硬件设施。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 组织架构功能：系统应具备组织架构管理功能，包括部门管理和用户管理功能模块，并符合以下要求：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20.1支持自动与其他业务平台组织机构及人员信息库对接获取相关信息；支持手工维护输入相关信息。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20.2用户管理功能，支持在部门下新增、编辑、停用、启用用户；支持批量导入用户；支持导出用户数据模板；支持为用户匹配角色；支持修改用户管理范围；支持按照人员姓名、编号模糊搜索用户。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 角色管理功能：系统应具备角色管理功能，支持对用户创建相关的角色、并给角色赋予相关的权限。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22. 审计日志功能：系统应具备审计日志功能，审计功能模块支持记录系统操作的日志信息,支持对操作信息进行筛选查询功能，并符合以下要求：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22.1审计日志以列表形式展示平台日志信息，信息包括用户标识、日志时间、来源、日志类型、日志描述、关联数据和数据校验的信息。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22.2支持对日志信息进行导出操作。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 ▲设备性能：设备性能应满足以下要求(</w:t>
            </w:r>
            <w:r>
              <w:rPr>
                <w:rFonts w:hint="eastAsia" w:eastAsiaTheme="minorEastAsia"/>
                <w:color w:val="auto"/>
                <w:lang w:val="en-US" w:eastAsia="zh-CN"/>
              </w:rPr>
              <w:t>响应文件中需提供合法</w:t>
            </w:r>
            <w:r>
              <w:rPr>
                <w:rFonts w:hint="eastAsia"/>
                <w:color w:val="auto"/>
                <w:lang w:val="en-US" w:eastAsia="zh-CN"/>
              </w:rPr>
              <w:t>的</w:t>
            </w:r>
            <w:r>
              <w:rPr>
                <w:rFonts w:hint="eastAsia" w:ascii="宋体" w:hAnsi="宋体" w:eastAsia="宋体" w:cs="宋体"/>
                <w:i w:val="0"/>
                <w:iCs w:val="0"/>
                <w:color w:val="auto"/>
                <w:kern w:val="0"/>
                <w:sz w:val="21"/>
                <w:szCs w:val="21"/>
                <w:u w:val="none"/>
                <w:lang w:val="en-US" w:eastAsia="zh-CN" w:bidi="ar"/>
              </w:rPr>
              <w:t>国家认可的有资质的第三方检测机构出具此功能的检测报告证明</w:t>
            </w:r>
            <w:r>
              <w:rPr>
                <w:rFonts w:hint="eastAsia"/>
                <w:color w:val="auto"/>
                <w:lang w:val="en-US" w:eastAsia="zh-CN"/>
              </w:rPr>
              <w:t>复印件</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23.1支持管理2500及以上在线用户；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23.2支持并发访问150及以上用户；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23.3统计分析功能响应时间小于6s。</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智能仓库安全门及辅材</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智能安全门，材质：金属，门框最大尺寸2米，无障碍门槛，门框板材厚度3.2mm，拉伸屈服强度190（Mpa）N，摆锤冲击量150（kJ/㎡）J，弯曲弹性模量110（Mpa）开启方式：指纹、密码、钥匙，抗压强度2000（Mpa），电子锁＋两把防盗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2.地砖：约50㎡，优质釉面砖； 地胶：</w:t>
            </w:r>
            <w:r>
              <w:rPr>
                <w:rFonts w:hint="eastAsia" w:ascii="宋体" w:hAnsi="宋体" w:eastAsia="宋体" w:cs="宋体"/>
                <w:i w:val="0"/>
                <w:iCs w:val="0"/>
                <w:color w:val="auto"/>
                <w:kern w:val="0"/>
                <w:sz w:val="21"/>
                <w:szCs w:val="21"/>
                <w:highlight w:val="none"/>
                <w:u w:val="none"/>
                <w:lang w:val="en-US" w:eastAsia="zh-CN" w:bidi="ar"/>
              </w:rPr>
              <w:t>约100㎡，</w:t>
            </w:r>
            <w:r>
              <w:rPr>
                <w:rFonts w:hint="eastAsia" w:ascii="宋体" w:hAnsi="宋体" w:eastAsia="宋体" w:cs="宋体"/>
                <w:i w:val="0"/>
                <w:iCs w:val="0"/>
                <w:color w:val="auto"/>
                <w:kern w:val="0"/>
                <w:sz w:val="21"/>
                <w:szCs w:val="21"/>
                <w:u w:val="none"/>
                <w:lang w:val="en-US" w:eastAsia="zh-CN" w:bidi="ar"/>
              </w:rPr>
              <w:t>耐磨防滑防水PVC塑胶，厚度≥3mm。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3.水泥：约15袋，成分：三氧化硫含量 4-6， 氧化镁含量 5（%），水泥细度 90（%） ，烧失量 1（%） ，标准 P.O 42.5R，主要成分 硫铝酸盐。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4.沙：约2吨，表观密度 90（kg/m3） 坚固性指标 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5.墙面修补粉刷约100㎡。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6.电线：约20卷，大于或等于2.5平方。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7.网线：2箱，千兆级双绞线。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8.指纹、密码锁一套，钥匙锁两套。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9.智能门禁。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10.安装实施及垃圾清运。</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bookmarkStart w:id="69" w:name="OLE_LINK27"/>
            <w:r>
              <w:rPr>
                <w:rFonts w:hint="eastAsia" w:ascii="宋体" w:hAnsi="宋体" w:eastAsia="宋体" w:cs="宋体"/>
                <w:i w:val="0"/>
                <w:iCs w:val="0"/>
                <w:color w:val="auto"/>
                <w:kern w:val="0"/>
                <w:sz w:val="21"/>
                <w:szCs w:val="21"/>
                <w:u w:val="none"/>
                <w:lang w:val="en-US" w:eastAsia="zh-CN" w:bidi="ar"/>
              </w:rPr>
              <w:t>5年质保及维护</w:t>
            </w:r>
            <w:bookmarkEnd w:id="69"/>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年</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27600.00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color w:val="auto"/>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color w:val="auto"/>
                <w:lang w:val="en-US" w:eastAsia="zh-CN"/>
              </w:rPr>
              <w:t>1.该项目的项目实施人不低于3人（含3人），需是竞标人在职员工，提供自2025年1月1日起至竞标截止之日内连续3个月的列有企业人员名单的社保缴费记录证明文件复印件加盖供应商公章；如至评审之日成立不足三个月的新企业，应出具本企业将依法缴纳社保的声明承诺函加盖供应商公章。</w:t>
            </w:r>
          </w:p>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color w:val="auto"/>
                <w:lang w:val="en-US" w:eastAsia="zh-CN"/>
              </w:rPr>
            </w:pPr>
            <w:r>
              <w:rPr>
                <w:rFonts w:hint="eastAsia"/>
                <w:color w:val="auto"/>
                <w:lang w:val="en-US" w:eastAsia="zh-CN"/>
              </w:rPr>
              <w:t>2.每年上门不少于4次，每次至少需软硬件工程师、项目管理人员等3人，每次预计上门工作3天，人员需要交通费、住宿费、补贴等，含税费。配合采购人入库当年度的装备，将装备录入到智能装备管理系统内。整理原仓库货物，物品归类、盘点，电子产品的维护保养，装备数据采集与录入，配合好采购人统计产品出厂日期、是否可用、产品是否到达报废程度等工作。</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9634" w:type="dxa"/>
            <w:gridSpan w:val="7"/>
            <w:vAlign w:val="center"/>
          </w:tcPr>
          <w:p>
            <w:pPr>
              <w:keepNext w:val="0"/>
              <w:keepLines w:val="0"/>
              <w:pageBreakBefore w:val="0"/>
              <w:kinsoku/>
              <w:wordWrap/>
              <w:overflowPunct/>
              <w:topLinePunct w:val="0"/>
              <w:autoSpaceDE/>
              <w:autoSpaceDN/>
              <w:bidi w:val="0"/>
              <w:adjustRightInd/>
              <w:spacing w:line="360" w:lineRule="exact"/>
              <w:jc w:val="center"/>
              <w:rPr>
                <w:rFonts w:hint="default"/>
                <w:color w:val="auto"/>
                <w:lang w:val="en-US" w:eastAsia="zh-CN"/>
              </w:rPr>
            </w:pPr>
            <w:r>
              <w:rPr>
                <w:rFonts w:hint="eastAsia" w:hAnsi="宋体" w:eastAsia="宋体" w:cs="Times New Roman"/>
                <w:color w:val="auto"/>
                <w:sz w:val="21"/>
                <w:lang w:val="en-US" w:eastAsia="zh-CN"/>
              </w:rPr>
              <w:t>注：采购项目需求表中</w:t>
            </w:r>
            <w:r>
              <w:rPr>
                <w:rFonts w:hint="eastAsia" w:hAnsi="宋体" w:cs="Times New Roman"/>
                <w:color w:val="auto"/>
                <w:sz w:val="21"/>
                <w:lang w:val="en-US" w:eastAsia="zh-CN"/>
              </w:rPr>
              <w:t>标的</w:t>
            </w:r>
            <w:r>
              <w:rPr>
                <w:rFonts w:hint="eastAsia" w:hAnsi="宋体" w:eastAsia="宋体" w:cs="Times New Roman"/>
                <w:color w:val="auto"/>
                <w:sz w:val="21"/>
                <w:lang w:val="en-US" w:eastAsia="zh-CN"/>
              </w:rPr>
              <w:t>第1项至第26项为货物标的，第27项为维护服务。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63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color w:val="auto"/>
                <w:szCs w:val="21"/>
              </w:rPr>
            </w:pPr>
            <w:r>
              <w:rPr>
                <w:rFonts w:hint="eastAsia" w:ascii="宋体" w:hAnsi="宋体" w:eastAsia="宋体" w:cs="宋体"/>
                <w:b/>
                <w:color w:val="auto"/>
                <w:szCs w:val="21"/>
              </w:rPr>
              <w:t>第二部分 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numPr>
                <w:ilvl w:val="0"/>
                <w:numId w:val="0"/>
              </w:numPr>
              <w:kinsoku/>
              <w:wordWrap/>
              <w:overflowPunct/>
              <w:topLinePunct w:val="0"/>
              <w:autoSpaceDE/>
              <w:autoSpaceDN/>
              <w:bidi w:val="0"/>
              <w:adjustRightInd/>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合同签订时间</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pacing w:line="36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eastAsia="宋体" w:cs="宋体"/>
                <w:color w:val="auto"/>
                <w:szCs w:val="21"/>
              </w:rPr>
              <w:t>自</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通知书发出之日起15日内，因不可抗力原因延迟签订合同的，自不可抗力事由消除之日起5个工作日内完成合同签订事宜。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▲交付的时间和地点</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bookmarkStart w:id="70" w:name="OLE_LINK51"/>
            <w:r>
              <w:rPr>
                <w:rFonts w:hint="eastAsia" w:ascii="Times New Roman" w:hAnsi="Times New Roman" w:eastAsia="宋体" w:cs="Times New Roman"/>
                <w:color w:val="auto"/>
                <w:highlight w:val="none"/>
              </w:rPr>
              <w:t>交付使用期</w:t>
            </w:r>
            <w:bookmarkEnd w:id="70"/>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接到甲方供货通知后20日</w:t>
            </w:r>
            <w:r>
              <w:rPr>
                <w:rFonts w:hint="eastAsia" w:ascii="Times New Roman" w:hAnsi="Times New Roman" w:eastAsia="宋体" w:cs="Times New Roman"/>
                <w:color w:val="auto"/>
                <w:sz w:val="21"/>
                <w:szCs w:val="21"/>
                <w:highlight w:val="none"/>
                <w:lang w:val="en-US" w:eastAsia="zh-CN"/>
              </w:rPr>
              <w:t>内</w:t>
            </w:r>
            <w:r>
              <w:rPr>
                <w:rFonts w:hint="eastAsia" w:ascii="Times New Roman" w:hAnsi="Times New Roman" w:eastAsia="宋体" w:cs="Times New Roman"/>
                <w:color w:val="auto"/>
                <w:highlight w:val="none"/>
                <w:lang w:val="en-US" w:eastAsia="zh-CN"/>
              </w:rPr>
              <w:t>交付使用；紧急通知供货的通用货物当天送达。</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地点：广西区内采购人指定地点。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▲付款条件</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rPr>
                <w:rFonts w:hint="eastAsia"/>
                <w:color w:val="auto"/>
                <w:lang w:val="en-US" w:eastAsia="zh-CN"/>
              </w:rPr>
            </w:pPr>
            <w:r>
              <w:rPr>
                <w:rFonts w:hint="eastAsia"/>
                <w:color w:val="auto"/>
                <w:lang w:val="en-US" w:eastAsia="zh-CN"/>
              </w:rPr>
              <w:t>（1）货物标的的付款方式:</w:t>
            </w:r>
          </w:p>
          <w:p>
            <w:pPr>
              <w:keepNext w:val="0"/>
              <w:keepLines w:val="0"/>
              <w:pageBreakBefore w:val="0"/>
              <w:widowControl/>
              <w:suppressLineNumbers w:val="0"/>
              <w:kinsoku/>
              <w:wordWrap/>
              <w:overflowPunct/>
              <w:topLinePunct w:val="0"/>
              <w:autoSpaceDE/>
              <w:autoSpaceDN/>
              <w:bidi w:val="0"/>
              <w:adjustRightInd/>
              <w:spacing w:line="360" w:lineRule="exact"/>
              <w:ind w:firstLine="420" w:firstLineChars="200"/>
              <w:jc w:val="left"/>
              <w:rPr>
                <w:rFonts w:hint="eastAsia"/>
                <w:color w:val="auto"/>
                <w:lang w:val="en-US" w:eastAsia="zh-CN"/>
              </w:rPr>
            </w:pPr>
            <w:r>
              <w:rPr>
                <w:rFonts w:hint="eastAsia"/>
                <w:color w:val="auto"/>
              </w:rPr>
              <w:t>1）</w:t>
            </w:r>
            <w:r>
              <w:rPr>
                <w:rFonts w:hint="eastAsia"/>
                <w:color w:val="auto"/>
                <w:lang w:val="en-US" w:eastAsia="zh-CN"/>
              </w:rPr>
              <w:t>签订合同后，</w:t>
            </w:r>
            <w:bookmarkStart w:id="71" w:name="OLE_LINK30"/>
            <w:r>
              <w:rPr>
                <w:rFonts w:hint="eastAsia"/>
                <w:color w:val="auto"/>
                <w:lang w:val="en-US" w:eastAsia="zh-CN"/>
              </w:rPr>
              <w:t>成交供应商金额开具同等金额30%的合法发票给采购人,收到成交供应商开具相应金额增值税发票及书面支付申请后10个工作日内，采购人应向成交供应商支付合同总价的30%的货物款项。</w:t>
            </w:r>
          </w:p>
          <w:bookmarkEnd w:id="71"/>
          <w:p>
            <w:pPr>
              <w:keepNext w:val="0"/>
              <w:keepLines w:val="0"/>
              <w:pageBreakBefore w:val="0"/>
              <w:widowControl/>
              <w:suppressLineNumbers w:val="0"/>
              <w:kinsoku/>
              <w:wordWrap/>
              <w:overflowPunct/>
              <w:topLinePunct w:val="0"/>
              <w:autoSpaceDE/>
              <w:autoSpaceDN/>
              <w:bidi w:val="0"/>
              <w:adjustRightInd/>
              <w:spacing w:line="360" w:lineRule="exact"/>
              <w:ind w:firstLine="420" w:firstLineChars="200"/>
              <w:jc w:val="left"/>
              <w:rPr>
                <w:rFonts w:hint="eastAsia"/>
                <w:color w:val="auto"/>
                <w:lang w:val="en-US" w:eastAsia="zh-CN"/>
              </w:rPr>
            </w:pPr>
            <w:r>
              <w:rPr>
                <w:rFonts w:hint="eastAsia"/>
                <w:color w:val="auto"/>
                <w:lang w:val="en-US" w:eastAsia="zh-CN"/>
              </w:rPr>
              <w:t>2）采购货物全部完成安装、调试、交付使用、验收合格后，成交供应商金额开具同等金额70%的合法发票给采购人,收到成交供应商开具相应金额增值税发票及书面支付申请10个工作日内，采购人应向成交供应商支付合同总价的70%的款项。</w:t>
            </w:r>
          </w:p>
          <w:p>
            <w:pPr>
              <w:keepNext w:val="0"/>
              <w:keepLines w:val="0"/>
              <w:pageBreakBefore w:val="0"/>
              <w:widowControl/>
              <w:suppressLineNumbers w:val="0"/>
              <w:kinsoku/>
              <w:wordWrap/>
              <w:overflowPunct/>
              <w:topLinePunct w:val="0"/>
              <w:autoSpaceDE/>
              <w:autoSpaceDN/>
              <w:bidi w:val="0"/>
              <w:adjustRightInd/>
              <w:spacing w:line="360" w:lineRule="exact"/>
              <w:jc w:val="left"/>
              <w:rPr>
                <w:rFonts w:hint="eastAsia"/>
                <w:color w:val="auto"/>
                <w:lang w:val="en-US" w:eastAsia="zh-CN"/>
              </w:rPr>
            </w:pPr>
            <w:r>
              <w:rPr>
                <w:rFonts w:hint="eastAsia"/>
                <w:color w:val="auto"/>
                <w:lang w:val="en-US" w:eastAsia="zh-CN"/>
              </w:rPr>
              <w:t>（2）维护服务的付款方式:</w:t>
            </w:r>
          </w:p>
          <w:p>
            <w:pPr>
              <w:widowControl/>
              <w:spacing w:line="360" w:lineRule="exact"/>
              <w:ind w:firstLine="420" w:firstLineChars="200"/>
              <w:jc w:val="left"/>
              <w:textAlignment w:val="center"/>
              <w:rPr>
                <w:rFonts w:hint="default"/>
                <w:color w:val="auto"/>
                <w:lang w:val="en-US" w:eastAsia="zh-CN"/>
              </w:rPr>
            </w:pPr>
            <w:r>
              <w:rPr>
                <w:rFonts w:hint="eastAsia" w:ascii="宋体" w:hAnsi="Courier New" w:eastAsia="宋体" w:cs="Times New Roman"/>
                <w:b w:val="0"/>
                <w:bCs w:val="0"/>
                <w:color w:val="auto"/>
                <w:kern w:val="0"/>
                <w:sz w:val="21"/>
                <w:szCs w:val="21"/>
                <w:lang w:val="en-US" w:eastAsia="zh-CN" w:bidi="ar-SA"/>
              </w:rPr>
              <w:t>1）维护服务款项分5次结清。货物验收合格后每满一年付一次维护服务费。服务期每满一年，供应商开具维护服务同等金额20%的合法发票给采购人,采购人收到发票及书面支付申请后10个工作日内向成交供应商支付维护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▲质保期 </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质保期</w:t>
            </w:r>
            <w:r>
              <w:rPr>
                <w:rFonts w:hint="eastAsia" w:ascii="宋体" w:hAnsi="宋体" w:eastAsia="宋体" w:cs="宋体"/>
                <w:color w:val="auto"/>
                <w:kern w:val="0"/>
                <w:szCs w:val="21"/>
                <w:lang w:val="en-US" w:eastAsia="zh-CN"/>
              </w:rPr>
              <w:t>五</w:t>
            </w:r>
            <w:r>
              <w:rPr>
                <w:rFonts w:hint="eastAsia" w:ascii="宋体" w:hAnsi="宋体" w:eastAsia="宋体" w:cs="宋体"/>
                <w:color w:val="auto"/>
                <w:kern w:val="0"/>
                <w:szCs w:val="21"/>
              </w:rPr>
              <w:t>年（如“技术参数及其性能（配置）要求”中另有要求，按其规定），质保期内维修及更换配件，终身维修（质保期外只收配件费，差旅费由厂家或</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负责）。 质保期内非用户原因引起的质量事故</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应负全部责任。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▲售后服务</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1、售后服务：（1）按国家有关规定实行产品“三包”；（2）</w:t>
            </w:r>
            <w:r>
              <w:rPr>
                <w:rFonts w:hint="eastAsia" w:ascii="宋体" w:hAnsi="宋体" w:eastAsia="宋体" w:cs="宋体"/>
                <w:color w:val="auto"/>
                <w:kern w:val="0"/>
                <w:szCs w:val="21"/>
                <w:lang w:val="en-US" w:eastAsia="zh-CN"/>
              </w:rPr>
              <w:t>提供</w:t>
            </w:r>
            <w:r>
              <w:rPr>
                <w:rFonts w:hint="eastAsia" w:ascii="宋体" w:hAnsi="宋体" w:eastAsia="宋体" w:cs="宋体"/>
                <w:color w:val="auto"/>
                <w:kern w:val="0"/>
                <w:szCs w:val="21"/>
              </w:rPr>
              <w:t>送货上门、调试直至设备验收合格（期间所需器材及相关费用均由</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承担）；（3）接到故障通知后60分钟内响应，4小时内到达现场，并在8小时内解决问题或提供备用机，以保证设备正常运行，并承担一切相关费用；（4）定期回访以及维修；（5）质保期内所有设备</w:t>
            </w:r>
            <w:r>
              <w:rPr>
                <w:rFonts w:hint="eastAsia" w:ascii="宋体" w:hAnsi="宋体" w:eastAsia="宋体" w:cs="宋体"/>
                <w:color w:val="auto"/>
                <w:kern w:val="0"/>
                <w:szCs w:val="21"/>
                <w:lang w:val="en-US" w:eastAsia="zh-CN"/>
              </w:rPr>
              <w:t>提供</w:t>
            </w:r>
            <w:r>
              <w:rPr>
                <w:rFonts w:hint="eastAsia" w:ascii="宋体" w:hAnsi="宋体" w:eastAsia="宋体" w:cs="宋体"/>
                <w:color w:val="auto"/>
                <w:kern w:val="0"/>
                <w:szCs w:val="21"/>
              </w:rPr>
              <w:t>上门维修服务、更换零部件，提供应用软件升级；（6）提供终身维护；（7）其余按厂家承诺进行。</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2、培训：</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负责培训使用人员和维护人员，内容包括设备及软件系统操作、日常维护，确保熟练掌握全部功能为止。</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3、安装调试：</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负责本项目所有货物的安装、调试及项目整体测试、联调和开通，并在试运行结束后由</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整理验收材料提交采购人验收。</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4、技术支持与服务：</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提供每周7×24小时技术响应服务，</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应负责所售产品的售后服务，并提供至少</w:t>
            </w:r>
            <w:r>
              <w:rPr>
                <w:rFonts w:hint="eastAsia" w:ascii="宋体" w:hAnsi="宋体" w:eastAsia="宋体" w:cs="宋体"/>
                <w:color w:val="auto"/>
                <w:kern w:val="0"/>
                <w:szCs w:val="21"/>
                <w:lang w:val="en-US" w:eastAsia="zh-CN"/>
              </w:rPr>
              <w:t>五</w:t>
            </w:r>
            <w:r>
              <w:rPr>
                <w:rFonts w:hint="eastAsia" w:ascii="宋体" w:hAnsi="宋体" w:eastAsia="宋体" w:cs="宋体"/>
                <w:color w:val="auto"/>
                <w:kern w:val="0"/>
                <w:szCs w:val="21"/>
              </w:rPr>
              <w:t>年的原厂保修服务；质保期内设备发生故障，维修或更换配件所需的全部费用由</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承担；维修完毕后工程师及时填写维修报告，维修报告包括故障原因、处理情况及用户意见，维修报告由双方各持一份备案。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2"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竞标</w:t>
            </w:r>
            <w:r>
              <w:rPr>
                <w:rFonts w:hint="eastAsia" w:ascii="宋体" w:hAnsi="宋体" w:eastAsia="宋体" w:cs="宋体"/>
                <w:color w:val="auto"/>
                <w:kern w:val="0"/>
                <w:szCs w:val="21"/>
              </w:rPr>
              <w:t>报价要求</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1、竞标</w:t>
            </w:r>
            <w:r>
              <w:rPr>
                <w:rFonts w:hint="eastAsia" w:ascii="宋体" w:hAnsi="宋体" w:eastAsia="宋体" w:cs="宋体"/>
                <w:color w:val="auto"/>
                <w:kern w:val="0"/>
                <w:szCs w:val="21"/>
              </w:rPr>
              <w:t>报价必须包含满足本次竞标全部采购需求所应提供的货物（包括备品备件、专用工具等）的价格及其运输（含保险）、安装（如有）、调试、检验、技术服务、培训和采购文件要求提供的所有伴随服务、工程等费用和税费。</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eastAsia" w:ascii="宋体" w:hAnsi="宋体" w:eastAsia="宋体" w:cs="宋体"/>
                <w:b/>
                <w:bCs/>
                <w:color w:val="auto"/>
                <w:kern w:val="0"/>
                <w:szCs w:val="21"/>
                <w:lang w:val="en-US" w:eastAsia="zh-CN"/>
              </w:rPr>
              <w:t>竞标报价总价不能超预算总价，竞标报价单项报价不能超预算单价，</w:t>
            </w:r>
            <w:r>
              <w:rPr>
                <w:rFonts w:hint="eastAsia" w:ascii="宋体" w:hAnsi="宋体" w:eastAsia="宋体" w:cs="宋体"/>
                <w:b/>
                <w:color w:val="auto"/>
                <w:szCs w:val="21"/>
                <w:highlight w:val="none"/>
              </w:rPr>
              <w:t>否则响应文件作无效响应处理</w:t>
            </w:r>
            <w:r>
              <w:rPr>
                <w:rFonts w:hint="eastAsia" w:ascii="宋体" w:hAnsi="宋体" w:eastAsia="宋体" w:cs="宋体"/>
                <w:b/>
                <w:bCs/>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▲验收标准、验收方法及方案</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人对</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提交的货物依据</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文件及</w:t>
            </w:r>
            <w:r>
              <w:rPr>
                <w:rFonts w:hint="eastAsia" w:ascii="宋体" w:hAnsi="宋体" w:eastAsia="宋体" w:cs="宋体"/>
                <w:color w:val="auto"/>
                <w:kern w:val="0"/>
                <w:szCs w:val="21"/>
                <w:lang w:val="en-US" w:eastAsia="zh-CN"/>
              </w:rPr>
              <w:t>竞标</w:t>
            </w:r>
            <w:r>
              <w:rPr>
                <w:rFonts w:hint="eastAsia" w:ascii="宋体" w:hAnsi="宋体" w:eastAsia="宋体" w:cs="宋体"/>
                <w:color w:val="auto"/>
                <w:kern w:val="0"/>
                <w:szCs w:val="21"/>
              </w:rPr>
              <w:t>文件上的技术规格要求和国家有关质量标准进行现场签收，外观、说明书符合采购文件技术要求的，给予签收，不合格的不予签收。</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交货前应对产品作出全面检查和对验收文件进行整理，并列出清单，作为</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人收货验收和使用的技术条件依据，检验的结果应随货物交</w:t>
            </w:r>
            <w:r>
              <w:rPr>
                <w:rFonts w:hint="eastAsia" w:ascii="宋体" w:hAnsi="宋体" w:eastAsia="宋体" w:cs="宋体"/>
                <w:color w:val="auto"/>
                <w:kern w:val="0"/>
                <w:szCs w:val="21"/>
                <w:lang w:val="en-US" w:eastAsia="zh-CN"/>
              </w:rPr>
              <w:t>采购人</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不能完整交付货物及本款规定的单证和工具的，必须负责补齐，否则视为未按合同约定交货。</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人组织验收，</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必须到场配合，验收合格后双方签署验收合格凭证。</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21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其他要求</w:t>
            </w:r>
          </w:p>
        </w:tc>
        <w:tc>
          <w:tcPr>
            <w:tcW w:w="75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、货物必须是全新的；货物到货后，</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和</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人应在现场进行清点；清点过程中如果发现因包装或运输不当引起的外观或内部的损坏，</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应负责更换；若发现错发/漏发情况，</w:t>
            </w:r>
            <w:r>
              <w:rPr>
                <w:rFonts w:hint="eastAsia" w:ascii="宋体" w:hAnsi="宋体" w:eastAsia="宋体" w:cs="宋体"/>
                <w:color w:val="auto"/>
                <w:kern w:val="0"/>
                <w:szCs w:val="21"/>
                <w:lang w:val="en-US" w:eastAsia="zh-CN"/>
              </w:rPr>
              <w:t>成交</w:t>
            </w: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 xml:space="preserve">应负责更换和补发。 </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、其余按第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rPr>
              <w:t>章《合同文本》要求。</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、供应商可根据</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文件及评分办法的要求，在</w:t>
            </w:r>
            <w:r>
              <w:rPr>
                <w:rFonts w:hint="eastAsia" w:ascii="宋体" w:hAnsi="宋体" w:eastAsia="宋体" w:cs="宋体"/>
                <w:color w:val="auto"/>
                <w:kern w:val="0"/>
                <w:szCs w:val="21"/>
                <w:lang w:val="en-US" w:eastAsia="zh-CN"/>
              </w:rPr>
              <w:t>竞标</w:t>
            </w:r>
            <w:r>
              <w:rPr>
                <w:rFonts w:hint="eastAsia" w:ascii="宋体" w:hAnsi="宋体" w:eastAsia="宋体" w:cs="宋体"/>
                <w:color w:val="auto"/>
                <w:kern w:val="0"/>
                <w:szCs w:val="21"/>
              </w:rPr>
              <w:t>文件中提供产品性能、项目实施方案、售后服务方案、信誉、人员配备等证明材料。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634"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color w:val="auto"/>
                <w:szCs w:val="21"/>
              </w:rPr>
            </w:pPr>
            <w:r>
              <w:rPr>
                <w:rFonts w:hint="eastAsia" w:ascii="宋体" w:hAnsi="宋体" w:eastAsia="宋体" w:cs="宋体"/>
                <w:b/>
                <w:color w:val="auto"/>
                <w:szCs w:val="21"/>
              </w:rPr>
              <w:t>第三部分 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634"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Cs w:val="21"/>
              </w:rPr>
            </w:pPr>
            <w:r>
              <w:rPr>
                <w:rFonts w:hint="eastAsia" w:ascii="宋体" w:hAnsi="宋体" w:eastAsia="宋体" w:cs="宋体"/>
                <w:color w:val="auto"/>
                <w:szCs w:val="21"/>
              </w:rPr>
              <w:t>本分标中所有产品均不接受进口产品投标。</w:t>
            </w:r>
            <w:r>
              <w:rPr>
                <w:rFonts w:hint="eastAsia" w:ascii="宋体" w:hAnsi="宋体" w:eastAsia="宋体" w:cs="宋体"/>
                <w:b/>
                <w:bCs/>
                <w:color w:val="auto"/>
                <w:szCs w:val="21"/>
              </w:rPr>
              <w:t>进口产品投标的，投标无效。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634"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Cs w:val="21"/>
              </w:rPr>
            </w:pPr>
            <w:r>
              <w:rPr>
                <w:rFonts w:hint="eastAsia" w:ascii="宋体" w:hAnsi="宋体" w:eastAsia="宋体" w:cs="宋体"/>
                <w:b/>
                <w:color w:val="auto"/>
                <w:szCs w:val="21"/>
              </w:rPr>
              <w:t>第四部分 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634"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9660"/>
              </w:tabs>
              <w:kinsoku/>
              <w:wordWrap/>
              <w:overflowPunct/>
              <w:topLinePunct w:val="0"/>
              <w:autoSpaceDE/>
              <w:autoSpaceDN/>
              <w:bidi w:val="0"/>
              <w:adjustRightInd/>
              <w:spacing w:line="360" w:lineRule="exact"/>
              <w:ind w:right="97" w:rightChars="46"/>
              <w:jc w:val="left"/>
              <w:rPr>
                <w:rFonts w:hint="eastAsia" w:ascii="宋体" w:hAnsi="宋体" w:eastAsia="宋体" w:cs="宋体"/>
                <w:color w:val="auto"/>
                <w:szCs w:val="21"/>
              </w:rPr>
            </w:pPr>
            <w:r>
              <w:rPr>
                <w:rFonts w:hint="eastAsia" w:ascii="宋体" w:hAnsi="宋体" w:eastAsia="宋体" w:cs="宋体"/>
                <w:bCs/>
                <w:color w:val="auto"/>
                <w:szCs w:val="21"/>
              </w:rPr>
              <w:t>本分标核心产品为第</w:t>
            </w:r>
            <w:r>
              <w:rPr>
                <w:rFonts w:hint="eastAsia" w:ascii="宋体" w:hAnsi="宋体" w:eastAsia="宋体" w:cs="宋体"/>
                <w:bCs/>
                <w:color w:val="auto"/>
                <w:szCs w:val="21"/>
                <w:lang w:val="en-US" w:eastAsia="zh-CN"/>
              </w:rPr>
              <w:t>25</w:t>
            </w:r>
            <w:r>
              <w:rPr>
                <w:rFonts w:hint="eastAsia" w:ascii="宋体" w:hAnsi="宋体" w:eastAsia="宋体" w:cs="宋体"/>
                <w:bCs/>
                <w:color w:val="auto"/>
                <w:szCs w:val="21"/>
              </w:rPr>
              <w:t>项产品“</w:t>
            </w:r>
            <w:r>
              <w:rPr>
                <w:rFonts w:hint="eastAsia" w:ascii="宋体" w:hAnsi="宋体" w:eastAsia="宋体" w:cs="宋体"/>
                <w:bCs/>
                <w:color w:val="auto"/>
                <w:szCs w:val="21"/>
                <w:lang w:val="en-US" w:eastAsia="zh-CN"/>
              </w:rPr>
              <w:t xml:space="preserve"> </w:t>
            </w:r>
            <w:r>
              <w:rPr>
                <w:rFonts w:hint="eastAsia" w:ascii="宋体" w:hAnsi="宋体" w:eastAsia="宋体" w:cs="宋体"/>
                <w:i w:val="0"/>
                <w:iCs w:val="0"/>
                <w:color w:val="auto"/>
                <w:kern w:val="0"/>
                <w:sz w:val="21"/>
                <w:szCs w:val="21"/>
                <w:u w:val="none"/>
                <w:lang w:val="en-US" w:eastAsia="zh-CN" w:bidi="ar"/>
              </w:rPr>
              <w:t>装备智能管控一体机</w:t>
            </w:r>
            <w:r>
              <w:rPr>
                <w:rFonts w:hint="eastAsia" w:ascii="宋体" w:hAnsi="宋体" w:eastAsia="宋体" w:cs="宋体"/>
                <w:bCs/>
                <w:color w:val="auto"/>
                <w:szCs w:val="21"/>
              </w:rPr>
              <w:t>”，核心产品品牌相同的，视为提供同品牌产品。</w:t>
            </w:r>
          </w:p>
        </w:tc>
      </w:tr>
      <w:bookmarkEnd w:id="62"/>
      <w:bookmarkEnd w:id="63"/>
    </w:tbl>
    <w:p>
      <w:pPr>
        <w:pStyle w:val="41"/>
        <w:rPr>
          <w:rFonts w:hint="eastAsia" w:ascii="Arial Unicode MS" w:hAnsi="Arial Unicode MS" w:eastAsia="Arial Unicode MS" w:cs="Arial Unicode MS"/>
          <w:color w:val="auto"/>
          <w:sz w:val="32"/>
          <w:szCs w:val="32"/>
          <w:highlight w:val="none"/>
        </w:rPr>
      </w:pPr>
    </w:p>
    <w:p>
      <w:pPr>
        <w:pStyle w:val="41"/>
        <w:rPr>
          <w:rFonts w:hint="eastAsia" w:ascii="Arial Unicode MS" w:hAnsi="Arial Unicode MS" w:eastAsia="Arial Unicode MS" w:cs="Arial Unicode MS"/>
          <w:color w:val="auto"/>
          <w:sz w:val="32"/>
          <w:szCs w:val="32"/>
          <w:highlight w:val="none"/>
        </w:rPr>
      </w:pPr>
    </w:p>
    <w:p>
      <w:pPr>
        <w:spacing w:line="240" w:lineRule="auto"/>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pPr>
        <w:keepNext w:val="0"/>
        <w:keepLines w:val="0"/>
        <w:pageBreakBefore w:val="0"/>
        <w:widowControl/>
        <w:kinsoku/>
        <w:wordWrap/>
        <w:overflowPunct/>
        <w:topLinePunct w:val="0"/>
        <w:autoSpaceDE/>
        <w:autoSpaceDN/>
        <w:bidi w:val="0"/>
        <w:adjustRightInd/>
        <w:snapToGrid/>
        <w:spacing w:before="165" w:beforeLines="50" w:after="165" w:afterLines="50" w:line="400" w:lineRule="exact"/>
        <w:jc w:val="center"/>
        <w:textAlignment w:val="auto"/>
        <w:rPr>
          <w:rFonts w:hint="eastAsia" w:ascii="宋体" w:hAnsi="宋体" w:cs="宋体"/>
          <w:b/>
          <w:bCs/>
          <w:color w:val="auto"/>
          <w:kern w:val="0"/>
          <w:sz w:val="30"/>
          <w:szCs w:val="30"/>
          <w:highlight w:val="none"/>
        </w:rPr>
      </w:pPr>
      <w:bookmarkStart w:id="72" w:name="_Toc28361_WPSOffice_Level2"/>
      <w:bookmarkStart w:id="73" w:name="_Toc80205922"/>
      <w:bookmarkStart w:id="74" w:name="_Toc20724"/>
      <w:r>
        <w:rPr>
          <w:rFonts w:hint="eastAsia" w:ascii="宋体" w:hAnsi="宋体" w:cs="宋体"/>
          <w:b/>
          <w:bCs/>
          <w:color w:val="auto"/>
          <w:kern w:val="0"/>
          <w:sz w:val="30"/>
          <w:szCs w:val="30"/>
          <w:highlight w:val="none"/>
        </w:rPr>
        <w:t>统计上大中小微型企业划分标准</w:t>
      </w:r>
      <w:bookmarkEnd w:id="72"/>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blHeader/>
          <w:jc w:val="center"/>
        </w:trPr>
        <w:tc>
          <w:tcPr>
            <w:tcW w:w="2113" w:type="dxa"/>
            <w:shd w:val="clear" w:color="auto" w:fill="8DB3E2"/>
            <w:vAlign w:val="center"/>
          </w:tcPr>
          <w:p>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cs="宋体"/>
                <w:color w:val="auto"/>
                <w:kern w:val="0"/>
                <w:sz w:val="18"/>
                <w:szCs w:val="18"/>
                <w:highlight w:val="none"/>
              </w:rPr>
            </w:pP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hint="eastAsia" w:ascii="宋体" w:hAnsi="宋体" w:cs="宋体"/>
          <w:color w:val="auto"/>
          <w:spacing w:val="8"/>
          <w:kern w:val="0"/>
          <w:sz w:val="24"/>
          <w:highlight w:val="none"/>
        </w:rPr>
      </w:pPr>
    </w:p>
    <w:p>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20"/>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pPr>
        <w:pStyle w:val="20"/>
        <w:adjustRightInd w:val="0"/>
        <w:spacing w:line="360" w:lineRule="auto"/>
        <w:ind w:firstLine="452" w:firstLineChars="200"/>
        <w:contextualSpacing/>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0"/>
        <w:spacing w:line="360" w:lineRule="auto"/>
        <w:ind w:firstLine="452" w:firstLineChars="200"/>
        <w:rPr>
          <w:rFonts w:hint="eastAsia"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rPr>
          <w:color w:val="auto"/>
          <w:highlight w:val="none"/>
          <w:lang w:val="zh-CN"/>
        </w:rPr>
      </w:pPr>
    </w:p>
    <w:p>
      <w:pPr>
        <w:rPr>
          <w:color w:val="auto"/>
          <w:highlight w:val="none"/>
          <w:lang w:val="zh-CN"/>
        </w:rPr>
      </w:pPr>
    </w:p>
    <w:p>
      <w:pPr>
        <w:spacing w:line="428" w:lineRule="exact"/>
        <w:rPr>
          <w:rFonts w:hint="eastAsia" w:ascii="微软雅黑" w:hAnsi="微软雅黑" w:eastAsia="微软雅黑" w:cs="微软雅黑"/>
          <w:color w:val="auto"/>
          <w:sz w:val="30"/>
          <w:szCs w:val="30"/>
          <w:highlight w:val="none"/>
        </w:rPr>
        <w:sectPr>
          <w:footerReference r:id="rId11" w:type="default"/>
          <w:pgSz w:w="11906" w:h="16838"/>
          <w:pgMar w:top="1134" w:right="1134" w:bottom="1134" w:left="1354" w:header="720" w:footer="720" w:gutter="0"/>
          <w:pgNumType w:fmt="decimal"/>
          <w:cols w:space="720" w:num="1"/>
          <w:docGrid w:type="lines" w:linePitch="331" w:charSpace="0"/>
        </w:sectPr>
      </w:pPr>
    </w:p>
    <w:p>
      <w:pPr>
        <w:spacing w:line="428" w:lineRule="exact"/>
        <w:rPr>
          <w:rFonts w:hint="eastAsia" w:ascii="Arial Unicode MS" w:hAnsi="Arial Unicode MS" w:eastAsia="Arial Unicode MS" w:cs="Arial Unicode MS"/>
          <w:color w:val="auto"/>
          <w:sz w:val="30"/>
          <w:szCs w:val="30"/>
          <w:highlight w:val="none"/>
        </w:rPr>
      </w:pPr>
      <w:r>
        <w:rPr>
          <w:rFonts w:hint="eastAsia" w:ascii="微软雅黑" w:hAnsi="微软雅黑" w:eastAsia="微软雅黑" w:cs="微软雅黑"/>
          <w:color w:val="auto"/>
          <w:sz w:val="30"/>
          <w:szCs w:val="30"/>
          <w:highlight w:val="none"/>
        </w:rPr>
        <w:t>附件2：</w:t>
      </w:r>
    </w:p>
    <w:p>
      <w:pPr>
        <w:spacing w:line="528" w:lineRule="exact"/>
        <w:ind w:left="1871" w:firstLine="600" w:firstLineChars="200"/>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30"/>
          <w:szCs w:val="30"/>
          <w:highlight w:val="none"/>
        </w:rPr>
        <w:t>节能产品政府采购品目清单</w:t>
      </w:r>
    </w:p>
    <w:tbl>
      <w:tblPr>
        <w:tblStyle w:val="32"/>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16"/>
        <w:gridCol w:w="1516"/>
        <w:gridCol w:w="1612"/>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品目序号</w:t>
            </w:r>
          </w:p>
        </w:tc>
        <w:tc>
          <w:tcPr>
            <w:tcW w:w="4244" w:type="dxa"/>
            <w:gridSpan w:val="3"/>
            <w:vAlign w:val="center"/>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名称</w:t>
            </w:r>
          </w:p>
        </w:tc>
        <w:tc>
          <w:tcPr>
            <w:tcW w:w="4335" w:type="dxa"/>
            <w:vAlign w:val="center"/>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A02010104台式计算机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A02010105便携式计算机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A02010107平板式微型计算机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A0201060102激光打印机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A0201060104针式打印机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A0201060401液晶显示器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A02052301制冷压缩机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A02052305空调机组</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A02052309专用制冷、空调设备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A020609镇流器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A0206180203空调机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电热水器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普通照明用双端荧光灯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A020910电视设备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A020911视频设备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A060805便器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A060806水嘴</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pStyle w:val="15"/>
        <w:spacing w:line="360" w:lineRule="auto"/>
        <w:ind w:firstLine="408" w:firstLineChars="200"/>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ind w:firstLine="408" w:firstLineChars="200"/>
        <w:rPr>
          <w:rFonts w:ascii="Times New Roman" w:hAnsi="Times New Roman" w:eastAsia="宋体" w:cs="Times New Roman"/>
          <w:color w:val="auto"/>
          <w:spacing w:val="-3"/>
          <w:szCs w:val="21"/>
          <w:highlight w:val="none"/>
          <w:lang w:val="zh-CN"/>
        </w:rPr>
        <w:sectPr>
          <w:pgSz w:w="11906" w:h="16838"/>
          <w:pgMar w:top="1134" w:right="1134" w:bottom="1134" w:left="1354" w:header="720" w:footer="720" w:gutter="0"/>
          <w:pgNumType w:fmt="decimal"/>
          <w:cols w:space="720" w:num="1"/>
          <w:docGrid w:type="lines" w:linePitch="331" w:charSpace="0"/>
        </w:sectPr>
      </w:pPr>
      <w:r>
        <w:rPr>
          <w:rFonts w:hint="eastAsia" w:ascii="Times New Roman" w:hAnsi="Times New Roman" w:eastAsia="宋体" w:cs="Times New Roman"/>
          <w:color w:val="auto"/>
          <w:spacing w:val="-3"/>
          <w:szCs w:val="21"/>
          <w:highlight w:val="none"/>
          <w:lang w:val="zh-CN"/>
        </w:rPr>
        <w:t>2.“</w:t>
      </w:r>
      <w:r>
        <w:rPr>
          <w:rFonts w:hint="eastAsia" w:ascii="宋体" w:hAnsi="宋体" w:eastAsia="宋体" w:cs="宋体"/>
          <w:b/>
          <w:bCs/>
          <w:color w:val="auto"/>
          <w:szCs w:val="21"/>
          <w:highlight w:val="none"/>
        </w:rPr>
        <w:t>★</w:t>
      </w:r>
      <w:r>
        <w:rPr>
          <w:rFonts w:hint="eastAsia" w:ascii="Times New Roman" w:hAnsi="Times New Roman" w:eastAsia="宋体" w:cs="Times New Roman"/>
          <w:color w:val="auto"/>
          <w:spacing w:val="-3"/>
          <w:szCs w:val="21"/>
          <w:highlight w:val="none"/>
          <w:lang w:val="zh-CN"/>
        </w:rPr>
        <w:t>”标注的为政府强制采购产品</w:t>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bookmarkStart w:id="75" w:name="_Toc16363"/>
      <w:bookmarkStart w:id="76" w:name="_Toc2044"/>
      <w:bookmarkStart w:id="77" w:name="_Toc9409"/>
      <w:bookmarkStart w:id="78" w:name="_Toc10873"/>
      <w:bookmarkStart w:id="79" w:name="_Toc25569"/>
      <w:bookmarkStart w:id="80" w:name="_Toc1222"/>
      <w:bookmarkStart w:id="81" w:name="_Toc382"/>
      <w:r>
        <w:rPr>
          <w:rFonts w:hint="eastAsia" w:ascii="Cambria" w:hAnsi="Cambria" w:eastAsia="宋体" w:cs="Times New Roman"/>
          <w:b/>
          <w:color w:val="auto"/>
          <w:kern w:val="44"/>
          <w:sz w:val="32"/>
          <w:szCs w:val="32"/>
          <w:highlight w:val="none"/>
          <w:lang w:val="zh-CN"/>
        </w:rPr>
        <w:t>第三章 供应商须知</w:t>
      </w:r>
      <w:bookmarkEnd w:id="73"/>
      <w:bookmarkEnd w:id="74"/>
      <w:bookmarkEnd w:id="75"/>
      <w:bookmarkEnd w:id="76"/>
      <w:bookmarkEnd w:id="77"/>
      <w:bookmarkEnd w:id="78"/>
      <w:bookmarkEnd w:id="79"/>
      <w:bookmarkEnd w:id="80"/>
      <w:bookmarkEnd w:id="81"/>
    </w:p>
    <w:p>
      <w:pPr>
        <w:keepNext/>
        <w:keepLines/>
        <w:spacing w:before="260" w:after="260" w:line="416" w:lineRule="auto"/>
        <w:jc w:val="center"/>
        <w:outlineLvl w:val="1"/>
        <w:rPr>
          <w:rFonts w:hint="eastAsia" w:ascii="宋体" w:hAnsi="宋体" w:eastAsia="宋体" w:cs="Times New Roman"/>
          <w:b/>
          <w:color w:val="auto"/>
          <w:sz w:val="32"/>
          <w:szCs w:val="32"/>
          <w:highlight w:val="none"/>
        </w:rPr>
      </w:pPr>
      <w:bookmarkStart w:id="82" w:name="_Toc10590"/>
      <w:bookmarkStart w:id="83" w:name="_Toc80205923"/>
      <w:bookmarkStart w:id="84" w:name="_Toc28658"/>
      <w:r>
        <w:rPr>
          <w:rFonts w:hint="eastAsia" w:ascii="宋体" w:hAnsi="宋体" w:eastAsia="宋体" w:cs="Times New Roman"/>
          <w:bCs/>
          <w:color w:val="auto"/>
          <w:sz w:val="32"/>
          <w:szCs w:val="32"/>
          <w:highlight w:val="none"/>
          <w:lang w:val="zh-CN"/>
        </w:rPr>
        <w:t>第一节 供应商须知前附表</w:t>
      </w:r>
      <w:bookmarkEnd w:id="82"/>
      <w:bookmarkEnd w:id="83"/>
      <w:bookmarkEnd w:id="84"/>
    </w:p>
    <w:tbl>
      <w:tblPr>
        <w:tblStyle w:val="32"/>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400" w:lineRule="exact"/>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hint="eastAsia" w:ascii="宋体" w:hAnsi="宋体" w:eastAsia="宋体" w:cs="宋体"/>
                <w:color w:val="auto"/>
                <w:szCs w:val="21"/>
                <w:highlight w:val="none"/>
              </w:rPr>
            </w:pPr>
            <w:bookmarkStart w:id="85" w:name="PO_3000001871_PM007_1"/>
            <w:r>
              <w:rPr>
                <w:rFonts w:hint="eastAsia" w:ascii="宋体" w:hAnsi="宋体" w:eastAsia="宋体" w:cs="Times New Roman"/>
                <w:color w:val="auto"/>
                <w:szCs w:val="21"/>
                <w:highlight w:val="none"/>
              </w:rPr>
              <w:t>详见竞争性谈判公告</w:t>
            </w:r>
            <w:bookmarkEnd w:id="85"/>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hint="eastAsia" w:ascii="宋体" w:hAnsi="宋体" w:eastAsia="宋体" w:cs="Times New Roman"/>
                <w:color w:val="auto"/>
                <w:szCs w:val="21"/>
                <w:highlight w:val="none"/>
              </w:rPr>
            </w:pPr>
            <w:bookmarkStart w:id="86" w:name="PO_3000001871_PM044"/>
            <w:r>
              <w:rPr>
                <w:rFonts w:ascii="Segoe UI Symbol" w:hAnsi="Segoe UI Symbol" w:cs="Segoe UI Symbol"/>
                <w:color w:val="auto"/>
                <w:highlight w:val="none"/>
              </w:rPr>
              <w:t>☑</w:t>
            </w:r>
            <w:r>
              <w:rPr>
                <w:rFonts w:hint="eastAsia" w:ascii="宋体" w:hAnsi="宋体" w:eastAsia="宋体" w:cs="Times New Roman"/>
                <w:color w:val="auto"/>
                <w:szCs w:val="21"/>
                <w:highlight w:val="none"/>
              </w:rPr>
              <w:t>不允许分包</w:t>
            </w:r>
            <w:bookmarkEnd w:id="86"/>
          </w:p>
          <w:p>
            <w:pPr>
              <w:pStyle w:val="13"/>
              <w:spacing w:line="360" w:lineRule="auto"/>
              <w:rPr>
                <w:color w:val="auto"/>
                <w:highlight w:val="none"/>
                <w:lang w:val="en-US"/>
              </w:rPr>
            </w:pPr>
            <w:r>
              <w:rPr>
                <w:rFonts w:hint="eastAsia"/>
                <w:color w:val="auto"/>
                <w:highlight w:val="none"/>
                <w:lang w:val="en-US"/>
              </w:rPr>
              <w:t>□允许分包</w:t>
            </w:r>
          </w:p>
          <w:p>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586" w:type="dxa"/>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1.崇左市政府采购供应商信用承诺函（格式后附）。</w:t>
            </w:r>
            <w:r>
              <w:rPr>
                <w:rFonts w:hint="eastAsia" w:ascii="宋体" w:hAnsi="宋体" w:eastAsia="宋体" w:cs="宋体"/>
                <w:b/>
                <w:bCs/>
                <w:color w:val="auto"/>
                <w:szCs w:val="21"/>
                <w:highlight w:val="none"/>
              </w:rPr>
              <w:t>（必须提供，否则响应文件按无效响应处理）</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bookmarkStart w:id="87" w:name="OLE_LINK15"/>
            <w:r>
              <w:rPr>
                <w:rFonts w:hint="eastAsia" w:ascii="宋体" w:hAnsi="宋体" w:eastAsia="宋体" w:cs="宋体"/>
                <w:color w:val="auto"/>
                <w:szCs w:val="21"/>
                <w:highlight w:val="none"/>
              </w:rPr>
              <w:t>声明函</w:t>
            </w:r>
            <w:bookmarkEnd w:id="87"/>
            <w:bookmarkStart w:id="88" w:name="OLE_LINK55"/>
            <w:r>
              <w:rPr>
                <w:rFonts w:hint="eastAsia" w:ascii="宋体" w:hAnsi="宋体" w:eastAsia="宋体" w:cs="宋体"/>
                <w:color w:val="auto"/>
                <w:szCs w:val="21"/>
                <w:highlight w:val="none"/>
              </w:rPr>
              <w:t>（格式后附）</w:t>
            </w:r>
            <w:bookmarkEnd w:id="88"/>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bookmarkStart w:id="89" w:name="OLE_LINK29"/>
            <w:r>
              <w:rPr>
                <w:rFonts w:hint="eastAsia" w:ascii="宋体" w:hAnsi="宋体" w:eastAsia="宋体" w:cs="宋体"/>
                <w:b/>
                <w:bCs/>
                <w:color w:val="auto"/>
                <w:szCs w:val="21"/>
                <w:highlight w:val="none"/>
              </w:rPr>
              <w:t>必须提供，否则响应文件作无效响应处理</w:t>
            </w:r>
            <w:bookmarkEnd w:id="89"/>
            <w:r>
              <w:rPr>
                <w:rFonts w:hint="eastAsia" w:ascii="宋体" w:hAnsi="宋体" w:eastAsia="宋体" w:cs="宋体"/>
                <w:b/>
                <w:bCs/>
                <w:color w:val="auto"/>
                <w:szCs w:val="21"/>
                <w:highlight w:val="none"/>
              </w:rPr>
              <w:t>）</w:t>
            </w:r>
          </w:p>
          <w:p>
            <w:pPr>
              <w:keepNext w:val="0"/>
              <w:keepLines w:val="0"/>
              <w:widowControl/>
              <w:suppressLineNumbers w:val="0"/>
              <w:jc w:val="left"/>
              <w:rPr>
                <w:rFonts w:hint="default" w:eastAsia="宋体"/>
                <w:color w:val="auto"/>
                <w:lang w:val="en-US" w:eastAsia="zh-CN"/>
              </w:rPr>
            </w:pPr>
            <w:r>
              <w:rPr>
                <w:rFonts w:hint="eastAsia" w:ascii="宋体" w:hAnsi="宋体" w:eastAsia="宋体" w:cs="宋体"/>
                <w:color w:val="auto"/>
                <w:szCs w:val="21"/>
                <w:highlight w:val="none"/>
                <w:lang w:val="en-US" w:eastAsia="zh-CN"/>
              </w:rPr>
              <w:t>3.中小企业或监狱企业或残疾人福利单位声明函；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color w:val="auto"/>
                <w:szCs w:val="21"/>
                <w:highlight w:val="none"/>
                <w:lang w:val="en-US"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bookmarkStart w:id="90" w:name="OLE_LINK17"/>
            <w:r>
              <w:rPr>
                <w:rFonts w:hint="eastAsia" w:ascii="宋体" w:hAnsi="宋体" w:eastAsia="宋体" w:cs="宋体"/>
                <w:color w:val="auto"/>
                <w:szCs w:val="21"/>
                <w:highlight w:val="none"/>
              </w:rPr>
              <w:t>除谈判文件规定必须提供以外，供应商认为需要提供的其他证明材料</w:t>
            </w:r>
            <w:bookmarkEnd w:id="90"/>
            <w:r>
              <w:rPr>
                <w:rFonts w:hint="eastAsia" w:ascii="宋体" w:hAnsi="宋体" w:eastAsia="宋体" w:cs="宋体"/>
                <w:color w:val="auto"/>
                <w:szCs w:val="21"/>
                <w:highlight w:val="none"/>
              </w:rPr>
              <w:t>（格式自拟）。</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91" w:name="OLE_LINK26"/>
            <w:r>
              <w:rPr>
                <w:rFonts w:hint="eastAsia" w:ascii="宋体" w:hAnsi="宋体" w:eastAsia="宋体" w:cs="宋体"/>
                <w:color w:val="auto"/>
                <w:szCs w:val="21"/>
                <w:highlight w:val="none"/>
              </w:rPr>
              <w:t>无串通竞标行为的承诺函</w:t>
            </w:r>
            <w:bookmarkEnd w:id="91"/>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.商务条款偏离表（格式后附）；（</w:t>
            </w:r>
            <w:bookmarkStart w:id="92" w:name="OLE_LINK20"/>
            <w:r>
              <w:rPr>
                <w:rFonts w:hint="eastAsia" w:ascii="宋体" w:hAnsi="宋体" w:eastAsia="宋体" w:cs="宋体"/>
                <w:b/>
                <w:color w:val="auto"/>
                <w:szCs w:val="21"/>
                <w:highlight w:val="none"/>
              </w:rPr>
              <w:t>必须提供，否则响应文件作无效响应处理</w:t>
            </w:r>
            <w:bookmarkEnd w:id="92"/>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.供应商情况介绍（格式自拟）；</w:t>
            </w:r>
          </w:p>
          <w:p>
            <w:pPr>
              <w:spacing w:line="360" w:lineRule="auto"/>
              <w:rPr>
                <w:rFonts w:hint="eastAsia" w:ascii="宋体" w:hAnsi="宋体" w:eastAsia="宋体" w:cs="宋体"/>
                <w:b/>
                <w:bCs/>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w:t>
            </w:r>
            <w:bookmarkStart w:id="93" w:name="OLE_LINK18"/>
            <w:r>
              <w:rPr>
                <w:rFonts w:hint="eastAsia" w:ascii="宋体" w:hAnsi="宋体" w:eastAsia="宋体" w:cs="宋体"/>
                <w:color w:val="auto"/>
                <w:szCs w:val="21"/>
                <w:highlight w:val="none"/>
              </w:rPr>
              <w:t>对应采购需求的商务条款提供的其他文件资料</w:t>
            </w:r>
            <w:bookmarkEnd w:id="93"/>
            <w:r>
              <w:rPr>
                <w:rFonts w:hint="eastAsia" w:ascii="宋体" w:hAnsi="宋体" w:eastAsia="宋体" w:cs="宋体"/>
                <w:color w:val="auto"/>
                <w:szCs w:val="21"/>
                <w:highlight w:val="none"/>
              </w:rPr>
              <w:t>（格式自拟）；</w:t>
            </w:r>
            <w:r>
              <w:rPr>
                <w:rFonts w:hint="eastAsia" w:ascii="宋体" w:hAnsi="宋体" w:eastAsia="宋体" w:cs="宋体"/>
                <w:b/>
                <w:bCs/>
                <w:color w:val="auto"/>
                <w:szCs w:val="21"/>
                <w:highlight w:val="none"/>
              </w:rPr>
              <w:t>(</w:t>
            </w:r>
            <w:bookmarkStart w:id="94" w:name="OLE_LINK19"/>
            <w:r>
              <w:rPr>
                <w:rFonts w:hint="eastAsia" w:ascii="宋体" w:hAnsi="宋体" w:eastAsia="宋体" w:cs="宋体"/>
                <w:b/>
                <w:bCs/>
                <w:color w:val="auto"/>
                <w:szCs w:val="21"/>
                <w:highlight w:val="none"/>
              </w:rPr>
              <w:t>如有要求，必须提供</w:t>
            </w:r>
            <w:bookmarkEnd w:id="94"/>
            <w:r>
              <w:rPr>
                <w:rFonts w:hint="eastAsia" w:ascii="宋体" w:hAnsi="宋体" w:eastAsia="宋体" w:cs="宋体"/>
                <w:b/>
                <w:bCs/>
                <w:color w:val="auto"/>
                <w:szCs w:val="21"/>
                <w:highlight w:val="none"/>
              </w:rPr>
              <w:t>）</w:t>
            </w:r>
          </w:p>
          <w:p>
            <w:pPr>
              <w:spacing w:line="360" w:lineRule="auto"/>
              <w:rPr>
                <w:rFonts w:hint="eastAsia"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.供应商认为需要提供的其他有关资料（格式自拟）。</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w:t>
            </w:r>
            <w:bookmarkStart w:id="95" w:name="OLE_LINK52"/>
            <w:r>
              <w:rPr>
                <w:rFonts w:hint="eastAsia" w:ascii="宋体" w:hAnsi="宋体" w:eastAsia="宋体" w:cs="宋体"/>
                <w:b/>
                <w:color w:val="auto"/>
                <w:szCs w:val="21"/>
                <w:highlight w:val="none"/>
              </w:rPr>
              <w:t>以上标明“必须提供”的材料属于复印件的扫描件的，必须加盖供应商公章，否则响应文件作无效响应处理。</w:t>
            </w:r>
            <w:bookmarkEnd w:id="9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2.技术实施方案；（</w:t>
            </w:r>
            <w:r>
              <w:rPr>
                <w:rFonts w:hint="eastAsia" w:ascii="宋体" w:hAnsi="宋体" w:eastAsia="宋体" w:cs="宋体"/>
                <w:b/>
                <w:color w:val="auto"/>
                <w:szCs w:val="21"/>
                <w:highlight w:val="none"/>
              </w:rPr>
              <w:t>如有请提供，格式自拟</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cs="宋体"/>
                <w:color w:val="auto"/>
                <w:sz w:val="20"/>
                <w:highlight w:val="none"/>
              </w:rPr>
              <w:t>3</w:t>
            </w:r>
            <w:r>
              <w:rPr>
                <w:rFonts w:hint="eastAsia" w:ascii="宋体" w:hAnsi="宋体" w:eastAsia="宋体" w:cs="宋体"/>
                <w:color w:val="auto"/>
                <w:szCs w:val="21"/>
                <w:highlight w:val="none"/>
              </w:rPr>
              <w:t>.</w:t>
            </w:r>
            <w:bookmarkStart w:id="96" w:name="OLE_LINK21"/>
            <w:r>
              <w:rPr>
                <w:rFonts w:hint="eastAsia" w:ascii="宋体" w:hAnsi="宋体" w:eastAsia="宋体" w:cs="宋体"/>
                <w:color w:val="auto"/>
                <w:szCs w:val="21"/>
                <w:highlight w:val="none"/>
              </w:rPr>
              <w:t>售后服务承诺函</w:t>
            </w:r>
            <w:bookmarkEnd w:id="96"/>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（必须提供，否则响应文件作无效响应处理）</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bookmarkStart w:id="97" w:name="OLE_LINK22"/>
            <w:r>
              <w:rPr>
                <w:rFonts w:hint="eastAsia" w:ascii="宋体" w:hAnsi="宋体" w:eastAsia="宋体" w:cs="宋体"/>
                <w:color w:val="auto"/>
                <w:szCs w:val="21"/>
                <w:highlight w:val="none"/>
              </w:rPr>
              <w:t>对应采购需求的技术需求提供的其他文件资料</w:t>
            </w:r>
            <w:bookmarkEnd w:id="97"/>
            <w:r>
              <w:rPr>
                <w:rFonts w:hint="eastAsia" w:ascii="宋体" w:hAnsi="宋体" w:eastAsia="宋体" w:cs="宋体"/>
                <w:color w:val="auto"/>
                <w:szCs w:val="21"/>
                <w:highlight w:val="none"/>
              </w:rPr>
              <w:t>（格式自拟）；</w:t>
            </w:r>
            <w:r>
              <w:rPr>
                <w:rFonts w:hint="eastAsia" w:ascii="宋体" w:hAnsi="宋体" w:eastAsia="宋体" w:cs="宋体"/>
                <w:b/>
                <w:bCs/>
                <w:color w:val="auto"/>
                <w:szCs w:val="21"/>
                <w:highlight w:val="none"/>
              </w:rPr>
              <w:t>(</w:t>
            </w:r>
            <w:bookmarkStart w:id="98" w:name="OLE_LINK23"/>
            <w:r>
              <w:rPr>
                <w:rFonts w:hint="eastAsia" w:ascii="宋体" w:hAnsi="宋体" w:eastAsia="宋体" w:cs="宋体"/>
                <w:b/>
                <w:bCs/>
                <w:color w:val="auto"/>
                <w:szCs w:val="21"/>
                <w:highlight w:val="none"/>
              </w:rPr>
              <w:t>如有要求，必须提供</w:t>
            </w:r>
            <w:bookmarkEnd w:id="98"/>
            <w:r>
              <w:rPr>
                <w:rFonts w:hint="eastAsia" w:ascii="宋体" w:hAnsi="宋体" w:eastAsia="宋体" w:cs="宋体"/>
                <w:b/>
                <w:bCs/>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hint="eastAsia" w:ascii="宋体" w:hAnsi="宋体" w:eastAsia="宋体" w:cs="宋体"/>
                <w:color w:val="auto"/>
                <w:szCs w:val="21"/>
                <w:highlight w:val="none"/>
              </w:rPr>
            </w:pPr>
            <w:bookmarkStart w:id="99" w:name="OLE_LINK53"/>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bookmarkEnd w:id="9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rFonts w:hint="eastAsia"/>
                <w:color w:val="auto"/>
              </w:rPr>
            </w:pPr>
            <w:r>
              <w:rPr>
                <w:rFonts w:hint="eastAsia"/>
                <w:color w:val="auto"/>
              </w:rPr>
              <w:t>1.</w:t>
            </w:r>
            <w:bookmarkStart w:id="100" w:name="OLE_LINK24"/>
            <w:r>
              <w:rPr>
                <w:rFonts w:hint="eastAsia"/>
                <w:color w:val="auto"/>
              </w:rPr>
              <w:t>响应函</w:t>
            </w:r>
            <w:bookmarkEnd w:id="100"/>
            <w:r>
              <w:rPr>
                <w:rFonts w:hint="eastAsia"/>
                <w:color w:val="auto"/>
              </w:rPr>
              <w:t>（格式后附）；（必须提供，否则响应文件作无效响应处理）</w:t>
            </w:r>
          </w:p>
          <w:p>
            <w:pPr>
              <w:spacing w:line="360" w:lineRule="auto"/>
              <w:jc w:val="left"/>
              <w:rPr>
                <w:rFonts w:hint="eastAsia"/>
                <w:color w:val="auto"/>
              </w:rPr>
            </w:pPr>
            <w:r>
              <w:rPr>
                <w:rFonts w:hint="eastAsia"/>
                <w:color w:val="auto"/>
              </w:rPr>
              <w:t>2.</w:t>
            </w:r>
            <w:bookmarkStart w:id="101" w:name="OLE_LINK25"/>
            <w:r>
              <w:rPr>
                <w:rFonts w:hint="eastAsia"/>
                <w:color w:val="auto"/>
              </w:rPr>
              <w:t>响应报价表</w:t>
            </w:r>
            <w:bookmarkEnd w:id="101"/>
            <w:r>
              <w:rPr>
                <w:rFonts w:hint="eastAsia"/>
                <w:color w:val="auto"/>
              </w:rPr>
              <w:t>（格式后附）；（必须提供，否则响应文件作无效响应处理）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.供应商针对报价需要说明的其他文件和说明（格式自拟）。</w:t>
            </w:r>
          </w:p>
          <w:p>
            <w:pPr>
              <w:rPr>
                <w:rFonts w:hint="eastAsia"/>
                <w:color w:val="auto"/>
              </w:rPr>
            </w:pPr>
            <w:bookmarkStart w:id="102" w:name="OLE_LINK54"/>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bookmarkEnd w:id="10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13"/>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w:t>
            </w:r>
            <w:r>
              <w:rPr>
                <w:rFonts w:hint="eastAsia" w:ascii="宋体" w:hAnsi="宋体" w:cs="宋体"/>
                <w:color w:val="auto"/>
                <w:szCs w:val="21"/>
                <w:highlight w:val="none"/>
                <w:lang w:val="en-US"/>
              </w:rPr>
              <w:t>竞争性谈判</w:t>
            </w:r>
            <w:r>
              <w:rPr>
                <w:rFonts w:hint="eastAsia" w:ascii="宋体" w:hAnsi="宋体" w:cs="宋体"/>
                <w:color w:val="auto"/>
                <w:szCs w:val="21"/>
                <w:highlight w:val="none"/>
              </w:rPr>
              <w:t>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color w:val="auto"/>
                <w:szCs w:val="21"/>
                <w:highlight w:val="none"/>
              </w:rPr>
              <w:t>广西政府采购云平台</w:t>
            </w:r>
            <w:r>
              <w:rPr>
                <w:rFonts w:hint="eastAsia" w:ascii="宋体" w:hAnsi="宋体" w:eastAsia="宋体" w:cs="Courier New"/>
                <w:color w:val="auto"/>
                <w:szCs w:val="21"/>
                <w:highlight w:val="none"/>
              </w:rPr>
              <w:t>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bookmarkStart w:id="103" w:name="OLE_LINK2"/>
            <w:r>
              <w:rPr>
                <w:rFonts w:hint="eastAsia"/>
                <w:color w:val="auto"/>
                <w:highlight w:val="none"/>
              </w:rPr>
              <w:t>响应报价必须包含满足本次竞标全部采购需求所应提供的</w:t>
            </w:r>
            <w:r>
              <w:rPr>
                <w:rFonts w:hint="eastAsia" w:ascii="宋体" w:hAnsi="宋体" w:cs="宋体"/>
                <w:color w:val="auto"/>
                <w:highlight w:val="none"/>
              </w:rPr>
              <w:t>货物（包括备品备件、专用工具等）的价格及其运输（含保险）、安装（如有）、调试、检验、技术服务、培训和采购文件要求提供的所有伴随服务、工程等费用和税费。</w:t>
            </w:r>
          </w:p>
          <w:bookmarkEnd w:id="103"/>
          <w:p>
            <w:pPr>
              <w:pStyle w:val="15"/>
              <w:rPr>
                <w:b/>
                <w:bCs/>
                <w:color w:val="auto"/>
                <w:highlight w:val="none"/>
              </w:rPr>
            </w:pPr>
            <w:r>
              <w:rPr>
                <w:rFonts w:ascii="Segoe UI Symbol" w:hAnsi="Segoe UI Symbol" w:cs="Segoe UI Symbol"/>
                <w:b/>
                <w:bCs/>
                <w:color w:val="auto"/>
                <w:highlight w:val="none"/>
              </w:rPr>
              <w:t>☑</w:t>
            </w:r>
            <w:r>
              <w:rPr>
                <w:rFonts w:hint="eastAsia"/>
                <w:b/>
                <w:bCs/>
                <w:color w:val="auto"/>
                <w:highlight w:val="none"/>
              </w:rPr>
              <w:t>响应报价包含验收费用</w:t>
            </w:r>
          </w:p>
          <w:p>
            <w:pPr>
              <w:pStyle w:val="15"/>
              <w:rPr>
                <w:color w:val="auto"/>
                <w:highlight w:val="none"/>
              </w:rPr>
            </w:pP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rPr>
                <w:rFonts w:hint="eastAsia" w:ascii="宋体" w:hAnsi="宋体" w:eastAsia="宋体" w:cs="Times New Roman"/>
                <w:color w:val="auto"/>
                <w:szCs w:val="21"/>
                <w:highlight w:val="none"/>
              </w:rPr>
            </w:pPr>
            <w:r>
              <w:rPr>
                <w:rFonts w:hint="eastAsia" w:ascii="宋体" w:hAnsi="宋体"/>
                <w:b/>
                <w:bCs/>
                <w:color w:val="auto"/>
                <w:szCs w:val="21"/>
                <w:highlight w:val="none"/>
              </w:rPr>
              <w:t>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首次响应文件的补充、修改与撤回</w:t>
            </w:r>
          </w:p>
        </w:tc>
        <w:tc>
          <w:tcPr>
            <w:tcW w:w="658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Cs/>
                <w:color w:val="auto"/>
                <w:highlight w:val="none"/>
              </w:rPr>
              <w:t>供应商须知正文</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hint="eastAsia" w:ascii="宋体" w:hAnsi="宋体" w:eastAsia="宋体" w:cs="宋体"/>
                <w:color w:val="auto"/>
                <w:szCs w:val="21"/>
                <w:highlight w:val="none"/>
              </w:rPr>
            </w:pP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color w:val="auto"/>
                <w:highlight w:val="none"/>
              </w:rPr>
              <w:t>本项目采用最低评标价法。最低评标价法是指响应文件满足竞争性谈判文件全部实质性要求且评</w:t>
            </w:r>
            <w:r>
              <w:rPr>
                <w:rFonts w:hint="eastAsia" w:ascii="宋体" w:hAnsi="宋体" w:eastAsia="宋体" w:cs="宋体"/>
                <w:color w:val="auto"/>
                <w:szCs w:val="21"/>
                <w:highlight w:val="none"/>
              </w:rPr>
              <w:t>审价</w:t>
            </w:r>
            <w:r>
              <w:rPr>
                <w:rFonts w:hint="eastAsia"/>
                <w:color w:val="auto"/>
                <w:highlight w:val="none"/>
              </w:rPr>
              <w:t>最低的供应商为成交候选人的评审方法。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使用期短优先、故障响应时间短优先的顺序排列。</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7</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napToGrid w:val="0"/>
              <w:spacing w:line="360" w:lineRule="auto"/>
              <w:rPr>
                <w:rFonts w:hint="eastAsia"/>
                <w:color w:val="auto"/>
              </w:rPr>
            </w:pPr>
            <w:r>
              <w:rPr>
                <w:rFonts w:hint="eastAsia" w:ascii="宋体" w:hAnsi="宋体" w:eastAsia="宋体" w:cs="宋体"/>
                <w:color w:val="auto"/>
                <w:szCs w:val="21"/>
                <w:highlight w:val="none"/>
              </w:rPr>
              <w:t>本项目不需要缴纳履约保证金。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ascii="宋体" w:hAnsi="宋体" w:eastAsia="宋体" w:cs="宋体"/>
                <w:color w:val="auto"/>
                <w:szCs w:val="21"/>
                <w:highlight w:val="none"/>
              </w:rPr>
              <w:t>.2</w:t>
            </w: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numPr>
                <w:ilvl w:val="0"/>
                <w:numId w:val="6"/>
              </w:numPr>
              <w:snapToGrid w:val="0"/>
              <w:spacing w:line="380" w:lineRule="exact"/>
              <w:rPr>
                <w:rFonts w:hint="eastAsia" w:ascii="宋体" w:hAnsi="宋体" w:eastAsia="宋体" w:cs="宋体"/>
                <w:color w:val="auto"/>
                <w:szCs w:val="21"/>
              </w:rPr>
            </w:pPr>
            <w:r>
              <w:rPr>
                <w:rFonts w:hint="eastAsia"/>
                <w:color w:val="auto"/>
                <w:szCs w:val="21"/>
                <w:highlight w:val="none"/>
              </w:rPr>
              <w:t>名称：</w:t>
            </w:r>
            <w:r>
              <w:rPr>
                <w:rFonts w:hint="eastAsia" w:ascii="宋体" w:hAnsi="宋体" w:eastAsia="宋体" w:cs="宋体"/>
                <w:color w:val="auto"/>
                <w:szCs w:val="21"/>
              </w:rPr>
              <w:t>崇左市公安局</w:t>
            </w:r>
            <w:r>
              <w:rPr>
                <w:rFonts w:hint="eastAsia"/>
                <w:color w:val="auto"/>
                <w:szCs w:val="21"/>
                <w:highlight w:val="none"/>
              </w:rPr>
              <w:t>（采购人）</w:t>
            </w:r>
          </w:p>
          <w:p>
            <w:pPr>
              <w:spacing w:line="380" w:lineRule="exact"/>
              <w:rPr>
                <w:rFonts w:hint="eastAsia"/>
                <w:color w:val="auto"/>
              </w:rPr>
            </w:pPr>
            <w:r>
              <w:rPr>
                <w:rFonts w:hint="eastAsia" w:ascii="宋体" w:hAnsi="宋体" w:eastAsia="宋体" w:cs="宋体"/>
                <w:color w:val="auto"/>
                <w:szCs w:val="21"/>
              </w:rPr>
              <w:t>联系方式：</w:t>
            </w:r>
            <w:r>
              <w:rPr>
                <w:rFonts w:hint="eastAsia" w:ascii="宋体" w:hAnsi="宋体" w:eastAsia="宋体" w:cs="宋体"/>
                <w:color w:val="auto"/>
                <w:szCs w:val="21"/>
                <w:lang w:val="en-US" w:eastAsia="zh-CN"/>
              </w:rPr>
              <w:t xml:space="preserve"> 0771-7966013</w:t>
            </w:r>
          </w:p>
          <w:p>
            <w:pPr>
              <w:spacing w:line="38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eastAsia="宋体" w:cs="宋体"/>
                <w:color w:val="auto"/>
                <w:szCs w:val="21"/>
                <w:lang w:val="en-US" w:eastAsia="zh-CN"/>
              </w:rPr>
              <w:t>崇左市江州区石景林路8号</w:t>
            </w:r>
          </w:p>
          <w:p>
            <w:pPr>
              <w:snapToGrid w:val="0"/>
              <w:spacing w:line="380" w:lineRule="exact"/>
              <w:rPr>
                <w:rFonts w:hint="eastAsia"/>
                <w:color w:val="auto"/>
                <w:szCs w:val="21"/>
                <w:highlight w:val="none"/>
              </w:rPr>
            </w:pPr>
            <w:r>
              <w:rPr>
                <w:rFonts w:hint="eastAsia"/>
                <w:color w:val="auto"/>
                <w:szCs w:val="21"/>
                <w:highlight w:val="none"/>
              </w:rPr>
              <w:t>（2）名称：广西</w:t>
            </w:r>
            <w:r>
              <w:rPr>
                <w:rFonts w:hint="eastAsia"/>
                <w:color w:val="auto"/>
                <w:szCs w:val="21"/>
                <w:highlight w:val="none"/>
                <w:lang w:val="en-US" w:eastAsia="zh-CN"/>
              </w:rPr>
              <w:t>华晟</w:t>
            </w:r>
            <w:r>
              <w:rPr>
                <w:rFonts w:hint="eastAsia"/>
                <w:color w:val="auto"/>
                <w:szCs w:val="21"/>
                <w:highlight w:val="none"/>
              </w:rPr>
              <w:t>招标</w:t>
            </w:r>
            <w:r>
              <w:rPr>
                <w:rFonts w:hint="eastAsia"/>
                <w:color w:val="auto"/>
                <w:szCs w:val="21"/>
                <w:highlight w:val="none"/>
                <w:lang w:val="en-US" w:eastAsia="zh-CN"/>
              </w:rPr>
              <w:t>代理</w:t>
            </w:r>
            <w:r>
              <w:rPr>
                <w:rFonts w:hint="eastAsia"/>
                <w:color w:val="auto"/>
                <w:szCs w:val="21"/>
                <w:highlight w:val="none"/>
              </w:rPr>
              <w:t>有限公司（采购代理机构）</w:t>
            </w:r>
          </w:p>
          <w:p>
            <w:pPr>
              <w:snapToGrid w:val="0"/>
              <w:spacing w:line="380" w:lineRule="exact"/>
              <w:rPr>
                <w:rFonts w:hint="default" w:eastAsiaTheme="minorEastAsia"/>
                <w:color w:val="auto"/>
                <w:szCs w:val="21"/>
                <w:highlight w:val="none"/>
                <w:lang w:val="en-US" w:eastAsia="zh-CN"/>
              </w:rPr>
            </w:pPr>
            <w:r>
              <w:rPr>
                <w:rFonts w:hint="eastAsia"/>
                <w:color w:val="auto"/>
                <w:szCs w:val="21"/>
                <w:highlight w:val="none"/>
              </w:rPr>
              <w:t>联系电话：</w:t>
            </w:r>
            <w:r>
              <w:rPr>
                <w:rFonts w:hint="eastAsia"/>
                <w:color w:val="auto"/>
                <w:szCs w:val="21"/>
                <w:highlight w:val="none"/>
                <w:lang w:eastAsia="zh-CN"/>
              </w:rPr>
              <w:t>0771-</w:t>
            </w:r>
            <w:r>
              <w:rPr>
                <w:rFonts w:hint="eastAsia"/>
                <w:color w:val="auto"/>
                <w:szCs w:val="21"/>
                <w:highlight w:val="none"/>
                <w:lang w:val="en-US" w:eastAsia="zh-CN"/>
              </w:rPr>
              <w:t>7963762</w:t>
            </w:r>
          </w:p>
          <w:p>
            <w:pPr>
              <w:snapToGrid w:val="0"/>
              <w:spacing w:line="380" w:lineRule="exact"/>
              <w:rPr>
                <w:rFonts w:hint="eastAsia" w:ascii="宋体" w:hAnsi="宋体" w:cs="Times New Roman"/>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cs="宋体"/>
                <w:color w:val="auto"/>
                <w:highlight w:val="none"/>
              </w:rPr>
              <w:t>崇左市城南八路万隆商务领寓三楼31</w:t>
            </w:r>
            <w:r>
              <w:rPr>
                <w:rFonts w:hint="eastAsia" w:ascii="宋体" w:hAnsi="宋体" w:cs="宋体"/>
                <w:color w:val="auto"/>
                <w:highlight w:val="none"/>
                <w:lang w:val="en-US" w:eastAsia="zh-CN"/>
              </w:rPr>
              <w:t>2</w:t>
            </w:r>
            <w:r>
              <w:rPr>
                <w:rFonts w:hint="eastAsia" w:ascii="宋体" w:hAnsi="宋体" w:cs="宋体"/>
                <w:color w:val="auto"/>
                <w:highlight w:val="none"/>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80" w:lineRule="exact"/>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80" w:lineRule="exact"/>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hint="eastAsia" w:ascii="宋体" w:hAnsi="宋体" w:eastAsia="宋体" w:cs="宋体"/>
                <w:color w:val="auto"/>
                <w:kern w:val="0"/>
                <w:szCs w:val="21"/>
                <w:highlight w:val="none"/>
              </w:rPr>
            </w:pPr>
            <w:r>
              <w:rPr>
                <w:rFonts w:ascii="Segoe UI Symbol" w:hAnsi="Segoe UI Symbol" w:eastAsia="宋体" w:cs="Segoe UI Symbol"/>
                <w:color w:val="auto"/>
                <w:kern w:val="0"/>
                <w:szCs w:val="21"/>
                <w:highlight w:val="none"/>
              </w:rPr>
              <w:t>☑</w:t>
            </w:r>
            <w:r>
              <w:rPr>
                <w:rFonts w:hint="eastAsia" w:ascii="宋体" w:hAnsi="宋体" w:eastAsia="宋体" w:cs="宋体"/>
                <w:color w:val="auto"/>
                <w:kern w:val="0"/>
                <w:szCs w:val="21"/>
                <w:highlight w:val="none"/>
              </w:rPr>
              <w:t>是    □ 否</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hint="eastAsia" w:ascii="宋体" w:hAnsi="宋体" w:eastAsia="宋体" w:cs="宋体"/>
                <w:color w:val="auto"/>
                <w:kern w:val="0"/>
                <w:szCs w:val="21"/>
                <w:highlight w:val="none"/>
              </w:rPr>
            </w:pPr>
            <w:bookmarkStart w:id="104" w:name="PO_3000001871_PM025"/>
            <w:r>
              <w:rPr>
                <w:rFonts w:hint="eastAsia" w:ascii="宋体" w:hAnsi="宋体" w:eastAsia="宋体" w:cs="宋体"/>
                <w:color w:val="auto"/>
                <w:kern w:val="0"/>
                <w:szCs w:val="21"/>
                <w:highlight w:val="none"/>
              </w:rPr>
              <w:t>按项目采购预算金额的1.5%收取</w:t>
            </w:r>
            <w:bookmarkEnd w:id="104"/>
            <w:r>
              <w:rPr>
                <w:rFonts w:hint="eastAsia" w:ascii="宋体" w:hAnsi="宋体" w:eastAsia="宋体" w:cs="宋体"/>
                <w:color w:val="auto"/>
                <w:kern w:val="0"/>
                <w:szCs w:val="21"/>
                <w:highlight w:val="none"/>
              </w:rPr>
              <w:t>。</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账户名称：</w:t>
            </w:r>
            <w:r>
              <w:rPr>
                <w:rFonts w:hint="eastAsia" w:ascii="宋体" w:hAnsi="宋体" w:eastAsia="宋体" w:cs="宋体"/>
                <w:color w:val="auto"/>
                <w:kern w:val="0"/>
                <w:szCs w:val="21"/>
                <w:highlight w:val="none"/>
                <w:lang w:eastAsia="zh-CN"/>
              </w:rPr>
              <w:t>广西华晟招标代理有限公司</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kern w:val="0"/>
                <w:szCs w:val="21"/>
                <w:highlight w:val="none"/>
                <w:lang w:eastAsia="zh-CN"/>
              </w:rPr>
              <w:t>广西北部湾银行股份有限公司崇左分行</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r>
              <w:rPr>
                <w:rFonts w:hint="eastAsia" w:ascii="宋体" w:hAnsi="宋体" w:eastAsia="宋体" w:cs="宋体"/>
                <w:color w:val="auto"/>
                <w:kern w:val="0"/>
                <w:szCs w:val="21"/>
                <w:highlight w:val="none"/>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tabs>
                <w:tab w:val="left" w:pos="1080"/>
              </w:tabs>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1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pStyle w:val="1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pPr>
              <w:pStyle w:val="13"/>
              <w:tabs>
                <w:tab w:val="center" w:pos="4153"/>
                <w:tab w:val="right" w:pos="8306"/>
              </w:tabs>
              <w:spacing w:line="360" w:lineRule="auto"/>
              <w:ind w:firstLine="420" w:firstLineChars="200"/>
              <w:rPr>
                <w:rFonts w:hint="eastAsia" w:ascii="宋体" w:hAnsi="宋体" w:cs="宋体"/>
                <w:color w:val="auto"/>
                <w:szCs w:val="21"/>
                <w:highlight w:val="none"/>
                <w:lang w:val="en-US"/>
              </w:rPr>
            </w:pPr>
            <w:r>
              <w:rPr>
                <w:rFonts w:hint="eastAsia" w:ascii="宋体" w:hAnsi="宋体" w:cs="宋体"/>
                <w:color w:val="auto"/>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.自然人竞标的，竞争性谈判文件规定盖公章处由自然人摁手指指印。</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6.本竞争性谈判文件所称的“以上”“以下”“以内”“届满”，包括本数；所称的“不满”“超过”“以外”，不包括本数。</w:t>
            </w:r>
          </w:p>
        </w:tc>
      </w:tr>
    </w:tbl>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105" w:name="_Toc20165"/>
      <w:bookmarkStart w:id="106" w:name="_Toc80205924"/>
      <w:bookmarkStart w:id="107" w:name="_Toc29286"/>
      <w:r>
        <w:rPr>
          <w:rFonts w:hint="eastAsia" w:ascii="宋体" w:hAnsi="宋体" w:eastAsia="宋体" w:cs="Times New Roman"/>
          <w:bCs/>
          <w:color w:val="auto"/>
          <w:sz w:val="32"/>
          <w:szCs w:val="32"/>
          <w:highlight w:val="none"/>
          <w:lang w:val="zh-CN"/>
        </w:rPr>
        <w:t>第二节 供应商须知正文</w:t>
      </w:r>
      <w:bookmarkEnd w:id="105"/>
      <w:bookmarkEnd w:id="106"/>
      <w:bookmarkEnd w:id="107"/>
    </w:p>
    <w:p>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rPr>
      </w:pPr>
      <w:bookmarkStart w:id="108" w:name="_Toc27704"/>
      <w:bookmarkStart w:id="109" w:name="_Toc18711"/>
      <w:bookmarkStart w:id="110" w:name="_Toc80205925"/>
      <w:r>
        <w:rPr>
          <w:rFonts w:hint="eastAsia" w:ascii="宋体" w:hAnsi="宋体" w:eastAsia="宋体" w:cs="Times New Roman"/>
          <w:bCs/>
          <w:color w:val="auto"/>
          <w:sz w:val="32"/>
          <w:szCs w:val="32"/>
          <w:highlight w:val="none"/>
          <w:lang w:val="zh-CN"/>
        </w:rPr>
        <w:t>一、总则</w:t>
      </w:r>
      <w:bookmarkEnd w:id="108"/>
      <w:bookmarkEnd w:id="109"/>
      <w:bookmarkEnd w:id="110"/>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bookmarkStart w:id="111" w:name="_Toc254970673"/>
      <w:bookmarkStart w:id="112" w:name="_Toc254970532"/>
      <w:r>
        <w:rPr>
          <w:rFonts w:hint="eastAsia" w:ascii="黑体" w:hAnsi="黑体" w:eastAsia="黑体" w:cs="宋体"/>
          <w:b/>
          <w:bCs/>
          <w:color w:val="auto"/>
          <w:sz w:val="24"/>
          <w:szCs w:val="24"/>
          <w:highlight w:val="none"/>
        </w:rPr>
        <w:t>7.特别说明</w:t>
      </w:r>
      <w:bookmarkEnd w:id="111"/>
      <w:bookmarkEnd w:id="112"/>
    </w:p>
    <w:p>
      <w:pPr>
        <w:spacing w:line="360" w:lineRule="auto"/>
        <w:ind w:firstLine="420" w:firstLineChars="200"/>
        <w:rPr>
          <w:rFonts w:hint="eastAsia" w:ascii="宋体" w:hAnsi="宋体" w:eastAsia="宋体" w:cs="宋体"/>
          <w:color w:val="auto"/>
          <w:szCs w:val="21"/>
          <w:highlight w:val="none"/>
        </w:rPr>
      </w:pPr>
      <w:bookmarkStart w:id="113" w:name="_8.1提供相同品牌产品且通过资格审查、符合性审查的不同投标人参加同一合"/>
      <w:bookmarkEnd w:id="113"/>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（1）不同供应商的响应文件由同一单位或者个人编制；或不同供应商报名的IP地址一致的；</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114" w:name="_Hlk54682620"/>
      <w:r>
        <w:rPr>
          <w:rFonts w:hint="eastAsia" w:ascii="宋体" w:hAnsi="宋体" w:eastAsia="宋体" w:cs="宋体"/>
          <w:b/>
          <w:bCs/>
          <w:color w:val="auto"/>
          <w:szCs w:val="21"/>
          <w:highlight w:val="none"/>
        </w:rPr>
        <w:t>，将报同级监督管理部门</w:t>
      </w:r>
      <w:bookmarkEnd w:id="114"/>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115" w:name="_Toc254970534"/>
      <w:bookmarkStart w:id="116" w:name="_Toc254970675"/>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bookmarkStart w:id="117" w:name="_Toc10931"/>
      <w:bookmarkStart w:id="118" w:name="_Toc80205926"/>
      <w:bookmarkStart w:id="119" w:name="_Toc30516"/>
      <w:r>
        <w:rPr>
          <w:rFonts w:hint="eastAsia" w:ascii="宋体" w:hAnsi="宋体" w:eastAsia="宋体" w:cs="Times New Roman"/>
          <w:color w:val="auto"/>
          <w:sz w:val="32"/>
          <w:szCs w:val="32"/>
          <w:highlight w:val="none"/>
          <w:lang w:val="zh-CN"/>
        </w:rPr>
        <w:t>二、谈判文件</w:t>
      </w:r>
      <w:bookmarkEnd w:id="115"/>
      <w:bookmarkEnd w:id="116"/>
      <w:bookmarkEnd w:id="117"/>
      <w:bookmarkEnd w:id="118"/>
      <w:bookmarkEnd w:id="119"/>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w:t>
      </w:r>
      <w:bookmarkStart w:id="120" w:name="OLE_LINK16"/>
      <w:r>
        <w:rPr>
          <w:rFonts w:hint="eastAsia" w:ascii="宋体" w:hAnsi="宋体" w:eastAsia="宋体" w:cs="宋体"/>
          <w:color w:val="auto"/>
          <w:szCs w:val="21"/>
          <w:highlight w:val="none"/>
        </w:rPr>
        <w:t>3个工作日</w:t>
      </w:r>
      <w:bookmarkEnd w:id="120"/>
      <w:r>
        <w:rPr>
          <w:rFonts w:hint="eastAsia" w:ascii="宋体" w:hAnsi="宋体" w:eastAsia="宋体" w:cs="宋体"/>
          <w:color w:val="auto"/>
          <w:szCs w:val="21"/>
          <w:highlight w:val="none"/>
        </w:rPr>
        <w:t>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21" w:name="_Toc11107"/>
      <w:bookmarkStart w:id="122" w:name="_Toc12627"/>
      <w:bookmarkStart w:id="123" w:name="_Toc80205927"/>
      <w:r>
        <w:rPr>
          <w:rFonts w:hint="eastAsia" w:ascii="宋体" w:hAnsi="宋体" w:eastAsia="宋体" w:cs="Times New Roman"/>
          <w:color w:val="auto"/>
          <w:sz w:val="32"/>
          <w:szCs w:val="32"/>
          <w:highlight w:val="none"/>
          <w:lang w:val="zh-CN"/>
        </w:rPr>
        <w:t>三、响应文件的编制</w:t>
      </w:r>
      <w:bookmarkEnd w:id="121"/>
      <w:bookmarkEnd w:id="122"/>
      <w:bookmarkEnd w:id="123"/>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15.3.2响应报价（包含首次报价、最后报价）超过所竞标项目规定的采购预算金额或者最高限价的（如本项目公布了最高限价），其响应文件将作无效处理。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24"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24"/>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17.谈判保证金：本项目不收取谈判保证金。</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25"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125"/>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电子交易客户端”需要提前申领CA数字证书。</w:t>
      </w:r>
    </w:p>
    <w:p>
      <w:pPr>
        <w:spacing w:line="360" w:lineRule="auto"/>
        <w:ind w:firstLine="420" w:firstLineChars="200"/>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eastAsia="宋体" w:cs="仿宋_GB2312"/>
          <w:color w:val="auto"/>
          <w:kern w:val="0"/>
          <w:szCs w:val="21"/>
          <w:highlight w:val="none"/>
          <w:lang w:val="zh-CN"/>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color w:val="auto"/>
          <w:sz w:val="24"/>
          <w:szCs w:val="24"/>
          <w:highlight w:val="none"/>
        </w:rPr>
      </w:pPr>
      <w:bookmarkStart w:id="126" w:name="_Hlk45702405"/>
      <w:r>
        <w:rPr>
          <w:rFonts w:hint="eastAsia" w:ascii="黑体" w:hAnsi="黑体" w:eastAsia="黑体" w:cs="宋体"/>
          <w:b/>
          <w:bCs/>
          <w:color w:val="auto"/>
          <w:sz w:val="24"/>
          <w:szCs w:val="24"/>
          <w:highlight w:val="none"/>
        </w:rPr>
        <w:t>22. 截止时间后的撤回</w:t>
      </w:r>
    </w:p>
    <w:bookmarkEnd w:id="126"/>
    <w:p>
      <w:pPr>
        <w:pStyle w:val="15"/>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27" w:name="_Toc29978"/>
      <w:bookmarkStart w:id="128" w:name="_Toc80205928"/>
      <w:bookmarkStart w:id="129" w:name="_Toc8836"/>
      <w:r>
        <w:rPr>
          <w:rFonts w:hint="eastAsia" w:ascii="宋体" w:hAnsi="宋体" w:eastAsia="宋体" w:cs="Times New Roman"/>
          <w:color w:val="auto"/>
          <w:sz w:val="32"/>
          <w:szCs w:val="32"/>
          <w:highlight w:val="none"/>
          <w:lang w:val="zh-CN"/>
        </w:rPr>
        <w:t>四、评审及谈判</w:t>
      </w:r>
      <w:bookmarkEnd w:id="127"/>
      <w:bookmarkEnd w:id="128"/>
      <w:bookmarkEnd w:id="129"/>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24.1首次响应文件由谈判小组或者采购代理机构在“供应商须知前附表”规定的时间开启。</w:t>
      </w:r>
    </w:p>
    <w:p>
      <w:pPr>
        <w:spacing w:line="360" w:lineRule="auto"/>
        <w:ind w:firstLine="400" w:firstLineChars="200"/>
        <w:rPr>
          <w:rFonts w:hint="eastAsia"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2</w:t>
      </w: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 xml:space="preserve">.2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电子交易活动的中止。）</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w:t>
      </w:r>
      <w:r>
        <w:rPr>
          <w:rFonts w:hint="eastAsia" w:ascii="宋体" w:hAnsi="宋体" w:cs="宋体"/>
          <w:color w:val="auto"/>
          <w:szCs w:val="21"/>
          <w:highlight w:val="none"/>
        </w:rPr>
        <w:t>广西政府采购云平台</w:t>
      </w:r>
      <w:r>
        <w:rPr>
          <w:rFonts w:hint="eastAsia" w:ascii="宋体" w:hAnsi="宋体" w:eastAsia="宋体" w:cs="宋体"/>
          <w:bCs/>
          <w:color w:val="auto"/>
          <w:kern w:val="0"/>
          <w:szCs w:val="21"/>
          <w:highlight w:val="none"/>
          <w:lang w:val="zh-CN"/>
        </w:rPr>
        <w:t>”电子开标大厅参加谈判的，视同认可谈判过程和结果，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5.评审程序、评审方法和成交标准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highlight w:val="none"/>
        </w:rPr>
        <w:t>本项目的评审方法详见“供应商须知前附表”。</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采购需求负偏离要求及谈判顺序详见 “供应商须知前附表”。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30" w:name="_Toc80205929"/>
      <w:bookmarkStart w:id="131" w:name="_Toc29707"/>
      <w:bookmarkStart w:id="132" w:name="_Toc27003"/>
      <w:r>
        <w:rPr>
          <w:rFonts w:hint="eastAsia" w:ascii="宋体" w:hAnsi="宋体" w:eastAsia="宋体" w:cs="Times New Roman"/>
          <w:color w:val="auto"/>
          <w:sz w:val="32"/>
          <w:szCs w:val="32"/>
          <w:highlight w:val="none"/>
          <w:lang w:val="zh-CN"/>
        </w:rPr>
        <w:t>五、成交及合同</w:t>
      </w:r>
      <w:bookmarkEnd w:id="130"/>
      <w:bookmarkEnd w:id="131"/>
      <w:bookmarkEnd w:id="132"/>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6.确定成交供应商及结果公告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26.1确定成交供应商。采购代理机构应当在评审结束后2个工作日内将评审报告送采购人确认。采购人应当在收到评审报告后</w:t>
      </w:r>
      <w:r>
        <w:rPr>
          <w:rFonts w:ascii="宋体" w:hAnsi="宋体" w:eastAsia="宋体" w:cs="宋体"/>
          <w:color w:val="auto"/>
          <w:szCs w:val="21"/>
          <w:highlight w:val="none"/>
        </w:rPr>
        <w:t>2</w:t>
      </w:r>
      <w:r>
        <w:rPr>
          <w:rFonts w:hint="eastAsia" w:ascii="宋体" w:hAnsi="宋体" w:eastAsia="宋体" w:cs="宋体"/>
          <w:color w:val="auto"/>
          <w:szCs w:val="21"/>
          <w:highlight w:val="none"/>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33"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3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7.履约保证金：本项目不收取履约保证金。</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8.签订合同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28.4如签订合同并生效后，供应商无故拒绝或延期，除按照合同条款处理外，列入不良行为记录，并给予通报。</w:t>
      </w:r>
    </w:p>
    <w:p>
      <w:pPr>
        <w:spacing w:line="360" w:lineRule="auto"/>
        <w:ind w:firstLine="420" w:firstLineChars="200"/>
        <w:rPr>
          <w:rFonts w:hint="eastAsia" w:ascii="宋体" w:hAnsi="宋体" w:eastAsia="宋体" w:cs="宋体"/>
          <w:b/>
          <w:bCs/>
          <w:i/>
          <w:iCs/>
          <w:color w:val="auto"/>
          <w:szCs w:val="21"/>
          <w:highlight w:val="none"/>
        </w:rPr>
      </w:pPr>
      <w:r>
        <w:rPr>
          <w:rFonts w:hint="eastAsia" w:ascii="宋体" w:hAnsi="宋体" w:eastAsia="宋体" w:cs="宋体"/>
          <w:color w:val="auto"/>
          <w:kern w:val="0"/>
          <w:szCs w:val="21"/>
          <w:highlight w:val="none"/>
        </w:rPr>
        <w:t>28.5采购合同由采购人与成交供应商根据谈判文件、响应文件等内容通过政府采购电子交易平台在线签订，自动备案，在线签订须携带的材料见“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Cs w:val="21"/>
          <w:highlight w:val="none"/>
        </w:rPr>
        <w:t>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29.政府采购合同公告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0. 询问、质疑和投诉</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w:t>
      </w:r>
    </w:p>
    <w:p>
      <w:pPr>
        <w:keepNext/>
        <w:keepLines/>
        <w:spacing w:line="360" w:lineRule="auto"/>
        <w:ind w:firstLine="643" w:firstLineChars="200"/>
        <w:outlineLvl w:val="2"/>
        <w:rPr>
          <w:rFonts w:hint="eastAsia" w:ascii="宋体" w:hAnsi="宋体" w:eastAsia="宋体" w:cs="Times New Roman"/>
          <w:bCs/>
          <w:color w:val="auto"/>
          <w:sz w:val="32"/>
          <w:szCs w:val="32"/>
          <w:highlight w:val="none"/>
          <w:lang w:val="zh-CN"/>
        </w:rPr>
      </w:pPr>
      <w:bookmarkStart w:id="134" w:name="_Toc80205930"/>
      <w:bookmarkStart w:id="135" w:name="_Toc25772"/>
      <w:bookmarkStart w:id="136" w:name="_Toc6502"/>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134"/>
      <w:bookmarkEnd w:id="135"/>
      <w:bookmarkEnd w:id="136"/>
    </w:p>
    <w:p>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31.验收</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hint="eastAsia"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137" w:name="_Toc1379"/>
      <w:bookmarkStart w:id="138" w:name="_Toc80205931"/>
      <w:bookmarkStart w:id="139" w:name="_Toc15842"/>
      <w:r>
        <w:rPr>
          <w:rFonts w:hint="eastAsia" w:ascii="宋体" w:hAnsi="宋体" w:eastAsia="宋体" w:cs="Times New Roman"/>
          <w:color w:val="auto"/>
          <w:sz w:val="32"/>
          <w:szCs w:val="32"/>
          <w:highlight w:val="none"/>
          <w:lang w:val="zh-CN"/>
        </w:rPr>
        <w:t>七、其他事项</w:t>
      </w:r>
      <w:bookmarkEnd w:id="137"/>
      <w:bookmarkEnd w:id="138"/>
      <w:bookmarkEnd w:id="139"/>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2.采购代理服务费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32.1采购代理服务费收费标准及缴费账户详见“供应商须知前附表”。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33</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hint="eastAsia"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int="eastAsia" w:hAnsi="宋体" w:cs="宋体"/>
          <w:color w:val="auto"/>
          <w:highlight w:val="none"/>
        </w:rPr>
      </w:pPr>
      <w:r>
        <w:rPr>
          <w:rFonts w:hint="eastAsia"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val="zh-CN"/>
        </w:rPr>
        <w:t>.3</w:t>
      </w:r>
      <w:bookmarkStart w:id="140"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20"/>
        <w:spacing w:after="0" w:line="360" w:lineRule="auto"/>
        <w:ind w:firstLine="420" w:firstLineChars="200"/>
        <w:rPr>
          <w:rFonts w:hint="eastAsia" w:hAnsi="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40"/>
    </w:p>
    <w:p>
      <w:pPr>
        <w:spacing w:line="360" w:lineRule="auto"/>
        <w:ind w:firstLine="480" w:firstLineChars="200"/>
        <w:rPr>
          <w:rFonts w:hint="eastAsia" w:ascii="宋体" w:hAnsi="宋体" w:cs="宋体"/>
          <w:b/>
          <w:bCs/>
          <w:color w:val="auto"/>
          <w:sz w:val="24"/>
          <w:highlight w:val="none"/>
        </w:rPr>
      </w:pPr>
      <w:r>
        <w:rPr>
          <w:rFonts w:hint="eastAsia" w:ascii="宋体" w:hAnsi="宋体" w:eastAsia="宋体" w:cs="宋体"/>
          <w:color w:val="auto"/>
          <w:sz w:val="24"/>
          <w:szCs w:val="24"/>
          <w:highlight w:val="none"/>
        </w:rPr>
        <w:t xml:space="preserve">34. </w:t>
      </w:r>
      <w:r>
        <w:rPr>
          <w:rFonts w:hint="eastAsia" w:ascii="宋体" w:hAnsi="宋体" w:cs="宋体"/>
          <w:b/>
          <w:bCs/>
          <w:color w:val="auto"/>
          <w:sz w:val="24"/>
          <w:highlight w:val="none"/>
        </w:rPr>
        <w:t>崇左市线上“政采贷”政策告知函</w:t>
      </w:r>
    </w:p>
    <w:p>
      <w:pPr>
        <w:spacing w:line="580" w:lineRule="exact"/>
        <w:jc w:val="center"/>
        <w:rPr>
          <w:rFonts w:hint="eastAsia" w:ascii="宋体" w:hAnsi="宋体" w:cs="宋体"/>
          <w:color w:val="auto"/>
          <w:sz w:val="44"/>
          <w:szCs w:val="44"/>
          <w:highlight w:val="none"/>
        </w:rPr>
      </w:pPr>
    </w:p>
    <w:p>
      <w:pPr>
        <w:rPr>
          <w:color w:val="auto"/>
          <w:highlight w:val="none"/>
        </w:rPr>
      </w:pPr>
    </w:p>
    <w:p>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pPr>
        <w:spacing w:line="580" w:lineRule="exact"/>
        <w:ind w:firstLine="420" w:firstLineChars="200"/>
        <w:rPr>
          <w:color w:val="auto"/>
          <w:szCs w:val="32"/>
          <w:highlight w:val="none"/>
        </w:rPr>
      </w:pPr>
    </w:p>
    <w:p>
      <w:pPr>
        <w:spacing w:line="58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各供应商：</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欢迎贵公司参与崇左市政府采购活动！</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8"/>
          <w:rFonts w:hint="eastAsia" w:ascii="宋体" w:hAnsi="宋体" w:eastAsia="宋体" w:cs="宋体"/>
          <w:color w:val="auto"/>
          <w:szCs w:val="32"/>
          <w:highlight w:val="none"/>
        </w:rPr>
        <w:t>https://www.crcrfsp.com/</w:t>
      </w:r>
      <w:r>
        <w:rPr>
          <w:rStyle w:val="38"/>
          <w:rFonts w:hint="eastAsia" w:ascii="宋体" w:hAnsi="宋体" w:eastAsia="宋体" w:cs="宋体"/>
          <w:color w:val="auto"/>
          <w:szCs w:val="32"/>
          <w:highlight w:val="none"/>
        </w:rPr>
        <w:fldChar w:fldCharType="end"/>
      </w:r>
      <w:r>
        <w:rPr>
          <w:rFonts w:hint="eastAsia" w:ascii="宋体" w:hAnsi="宋体" w:eastAsia="宋体" w:cs="宋体"/>
          <w:color w:val="auto"/>
          <w:szCs w:val="32"/>
          <w:highlight w:val="none"/>
        </w:rPr>
        <w:t>，客服电话：400-009-0001）。</w:t>
      </w:r>
    </w:p>
    <w:p>
      <w:pPr>
        <w:pStyle w:val="97"/>
        <w:ind w:firstLine="0" w:firstLineChars="0"/>
        <w:rPr>
          <w:rFonts w:hint="eastAsia" w:ascii="黑体" w:hAnsi="黑体" w:eastAsia="黑体" w:cs="黑体"/>
          <w:color w:val="auto"/>
          <w:sz w:val="32"/>
          <w:szCs w:val="32"/>
          <w:highlight w:val="none"/>
        </w:rPr>
      </w:pPr>
    </w:p>
    <w:p>
      <w:pPr>
        <w:pStyle w:val="97"/>
        <w:ind w:firstLine="0" w:firstLineChars="0"/>
        <w:rPr>
          <w:rFonts w:hint="eastAsia" w:ascii="黑体" w:hAnsi="黑体" w:eastAsia="黑体" w:cs="黑体"/>
          <w:color w:val="auto"/>
          <w:sz w:val="32"/>
          <w:szCs w:val="32"/>
          <w:highlight w:val="none"/>
        </w:rPr>
      </w:pPr>
    </w:p>
    <w:p>
      <w:pPr>
        <w:pStyle w:val="97"/>
        <w:ind w:firstLine="0" w:firstLineChars="0"/>
        <w:rPr>
          <w:rFonts w:hint="eastAsia" w:ascii="黑体" w:hAnsi="黑体" w:eastAsia="黑体" w:cs="黑体"/>
          <w:color w:val="auto"/>
          <w:sz w:val="32"/>
          <w:szCs w:val="32"/>
          <w:highlight w:val="none"/>
        </w:rPr>
      </w:pPr>
    </w:p>
    <w:p>
      <w:pPr>
        <w:pStyle w:val="97"/>
        <w:ind w:firstLine="0" w:firstLineChars="0"/>
        <w:rPr>
          <w:rFonts w:hint="eastAsia" w:ascii="黑体" w:hAnsi="黑体" w:eastAsia="黑体" w:cs="黑体"/>
          <w:color w:val="auto"/>
          <w:sz w:val="32"/>
          <w:szCs w:val="32"/>
          <w:highlight w:val="none"/>
        </w:rPr>
      </w:pPr>
    </w:p>
    <w:p>
      <w:pPr>
        <w:pStyle w:val="97"/>
        <w:ind w:firstLine="0" w:firstLineChars="0"/>
        <w:rPr>
          <w:rFonts w:hint="eastAsia" w:ascii="黑体" w:hAnsi="黑体" w:eastAsia="黑体" w:cs="黑体"/>
          <w:color w:val="auto"/>
          <w:sz w:val="32"/>
          <w:szCs w:val="32"/>
          <w:highlight w:val="none"/>
        </w:rPr>
      </w:pPr>
    </w:p>
    <w:p>
      <w:pPr>
        <w:pStyle w:val="97"/>
        <w:ind w:firstLine="0" w:firstLineChars="0"/>
        <w:rPr>
          <w:rFonts w:hint="eastAsia" w:ascii="黑体" w:hAnsi="黑体" w:eastAsia="黑体" w:cs="黑体"/>
          <w:color w:val="auto"/>
          <w:sz w:val="32"/>
          <w:szCs w:val="32"/>
          <w:highlight w:val="none"/>
        </w:rPr>
      </w:pPr>
    </w:p>
    <w:p>
      <w:pPr>
        <w:pStyle w:val="97"/>
        <w:ind w:firstLine="0" w:firstLineChars="0"/>
        <w:rPr>
          <w:rFonts w:hint="eastAsia" w:ascii="黑体" w:hAnsi="黑体" w:eastAsia="黑体" w:cs="黑体"/>
          <w:color w:val="auto"/>
          <w:sz w:val="32"/>
          <w:szCs w:val="32"/>
          <w:highlight w:val="none"/>
        </w:rPr>
      </w:pPr>
    </w:p>
    <w:p>
      <w:pPr>
        <w:pStyle w:val="97"/>
        <w:ind w:firstLine="0" w:firstLineChars="0"/>
        <w:rPr>
          <w:rFonts w:hint="eastAsia" w:ascii="黑体" w:hAnsi="黑体" w:eastAsia="黑体" w:cs="黑体"/>
          <w:color w:val="auto"/>
          <w:sz w:val="32"/>
          <w:szCs w:val="32"/>
          <w:highlight w:val="none"/>
        </w:rPr>
      </w:pPr>
    </w:p>
    <w:p>
      <w:pPr>
        <w:pStyle w:val="97"/>
        <w:ind w:firstLine="0" w:firstLineChars="0"/>
        <w:rPr>
          <w:color w:val="auto"/>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1：</w:t>
      </w:r>
    </w:p>
    <w:p>
      <w:pPr>
        <w:spacing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pPr>
        <w:jc w:val="center"/>
        <w:rPr>
          <w:color w:val="auto"/>
          <w:highlight w:val="none"/>
        </w:rPr>
      </w:pPr>
      <w:r>
        <w:rPr>
          <w:rFonts w:hint="eastAsia" w:eastAsia="仿宋_GB2312"/>
          <w:color w:val="auto"/>
          <w:highlight w:val="none"/>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6" cstate="print"/>
                    <a:stretch>
                      <a:fillRect/>
                    </a:stretch>
                  </pic:blipFill>
                  <pic:spPr>
                    <a:xfrm>
                      <a:off x="0" y="0"/>
                      <a:ext cx="4926965" cy="7002780"/>
                    </a:xfrm>
                    <a:prstGeom prst="rect">
                      <a:avLst/>
                    </a:prstGeom>
                    <a:noFill/>
                    <a:ln>
                      <a:noFill/>
                    </a:ln>
                  </pic:spPr>
                </pic:pic>
              </a:graphicData>
            </a:graphic>
          </wp:inline>
        </w:drawing>
      </w:r>
    </w:p>
    <w:p>
      <w:pPr>
        <w:widowControl/>
        <w:ind w:firstLine="420" w:firstLineChars="200"/>
        <w:rPr>
          <w:color w:val="auto"/>
          <w:highlight w:val="none"/>
        </w:rPr>
      </w:pPr>
    </w:p>
    <w:p>
      <w:pPr>
        <w:widowControl/>
        <w:spacing w:line="720" w:lineRule="exact"/>
        <w:jc w:val="left"/>
        <w:rPr>
          <w:rFonts w:hint="eastAsia" w:ascii="黑体" w:hAnsi="黑体" w:eastAsia="黑体" w:cs="黑体"/>
          <w:color w:val="auto"/>
          <w:sz w:val="32"/>
          <w:szCs w:val="32"/>
          <w:highlight w:val="none"/>
          <w:lang w:val="zh-CN"/>
        </w:rPr>
      </w:pPr>
    </w:p>
    <w:p>
      <w:pPr>
        <w:widowControl/>
        <w:spacing w:line="72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2</w:t>
      </w:r>
    </w:p>
    <w:p>
      <w:pPr>
        <w:pStyle w:val="97"/>
        <w:ind w:firstLine="480"/>
        <w:rPr>
          <w:color w:val="auto"/>
          <w:highlight w:val="none"/>
        </w:rPr>
      </w:pPr>
    </w:p>
    <w:p>
      <w:pPr>
        <w:pStyle w:val="97"/>
        <w:ind w:firstLine="720"/>
        <w:jc w:val="center"/>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3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rPr>
              <w:t>业务</w:t>
            </w:r>
            <w:r>
              <w:rPr>
                <w:rFonts w:hint="eastAsia" w:ascii="宋体" w:hAnsi="宋体" w:eastAsia="宋体" w:cs="宋体"/>
                <w:b/>
                <w:bCs/>
                <w:color w:val="auto"/>
                <w:kern w:val="0"/>
                <w:sz w:val="28"/>
                <w:szCs w:val="28"/>
                <w:highlight w:val="none"/>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宋体" w:cs="宋体"/>
                <w:color w:val="auto"/>
                <w:szCs w:val="21"/>
                <w:highlight w:val="none"/>
              </w:rPr>
            </w:pPr>
            <w:r>
              <w:rPr>
                <w:rFonts w:hint="eastAsia" w:eastAsia="宋体" w:cs="宋体"/>
                <w:b/>
                <w:bCs/>
                <w:color w:val="auto"/>
                <w:szCs w:val="21"/>
                <w:highlight w:val="none"/>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spacing w:after="90" w:line="23"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w:t>
            </w:r>
            <w:r>
              <w:rPr>
                <w:rFonts w:hint="eastAsia" w:ascii="宋体" w:hAnsi="宋体" w:eastAsia="宋体" w:cs="宋体"/>
                <w:color w:val="auto"/>
                <w:szCs w:val="21"/>
                <w:highlight w:val="none"/>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0771-3628366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w:t>
            </w:r>
            <w:r>
              <w:rPr>
                <w:rFonts w:hint="eastAsia" w:eastAsia="宋体"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0771-85250680771-8536852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pPr>
        <w:jc w:val="left"/>
        <w:rPr>
          <w:rFonts w:hint="eastAsia" w:ascii="宋体" w:hAnsi="宋体" w:eastAsia="宋体" w:cs="宋体"/>
          <w:color w:val="auto"/>
          <w:szCs w:val="21"/>
          <w:highlight w:val="none"/>
        </w:rPr>
      </w:pPr>
    </w:p>
    <w:p>
      <w:pPr>
        <w:jc w:val="left"/>
        <w:rPr>
          <w:rFonts w:hint="eastAsia" w:ascii="宋体" w:hAnsi="宋体" w:eastAsia="宋体" w:cs="宋体"/>
          <w:color w:val="auto"/>
          <w:szCs w:val="21"/>
          <w:highlight w:val="none"/>
        </w:rPr>
      </w:pPr>
    </w:p>
    <w:p>
      <w:pPr>
        <w:pStyle w:val="97"/>
        <w:ind w:firstLine="480"/>
        <w:rPr>
          <w:color w:val="auto"/>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02" w:firstLineChars="200"/>
        <w:contextualSpacing/>
        <w:rPr>
          <w:rFonts w:hint="eastAsia" w:ascii="宋体" w:hAnsi="宋体" w:eastAsia="宋体" w:cs="Times New Roman"/>
          <w:b/>
          <w:color w:val="auto"/>
          <w:kern w:val="0"/>
          <w:sz w:val="20"/>
          <w:szCs w:val="21"/>
          <w:highlight w:val="none"/>
        </w:rPr>
      </w:pPr>
    </w:p>
    <w:p>
      <w:pPr>
        <w:spacing w:line="240" w:lineRule="auto"/>
        <w:rPr>
          <w:rFonts w:hint="eastAsia"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3"/>
        <w:spacing w:line="360" w:lineRule="auto"/>
        <w:ind w:firstLine="1325" w:firstLineChars="300"/>
        <w:rPr>
          <w:color w:val="auto"/>
          <w:highlight w:val="none"/>
        </w:rPr>
      </w:pPr>
      <w:bookmarkStart w:id="141" w:name="_Toc17139"/>
      <w:bookmarkStart w:id="142" w:name="_Toc80205932"/>
      <w:bookmarkStart w:id="143" w:name="_Toc11174"/>
      <w:bookmarkStart w:id="144" w:name="_Toc23199"/>
      <w:r>
        <w:rPr>
          <w:rFonts w:hint="eastAsia"/>
          <w:color w:val="auto"/>
          <w:highlight w:val="none"/>
        </w:rPr>
        <w:t>第四章 评审程序、评审方法和成交标准</w:t>
      </w:r>
      <w:bookmarkEnd w:id="141"/>
      <w:bookmarkEnd w:id="142"/>
      <w:bookmarkEnd w:id="143"/>
      <w:bookmarkEnd w:id="144"/>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45" w:name="_Toc10464"/>
      <w:bookmarkStart w:id="146" w:name="_Toc18230"/>
      <w:bookmarkStart w:id="147" w:name="_Toc80205933"/>
      <w:r>
        <w:rPr>
          <w:rFonts w:hint="eastAsia" w:ascii="宋体" w:hAnsi="宋体" w:eastAsia="宋体" w:cs="Times New Roman"/>
          <w:bCs/>
          <w:color w:val="auto"/>
          <w:sz w:val="32"/>
          <w:szCs w:val="32"/>
          <w:highlight w:val="none"/>
          <w:lang w:val="zh-CN"/>
        </w:rPr>
        <w:t>第一节 评审程序和评审方法</w:t>
      </w:r>
      <w:bookmarkEnd w:id="145"/>
      <w:bookmarkEnd w:id="146"/>
      <w:bookmarkEnd w:id="147"/>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rPr>
        <w:t>广西政府采购云平台</w:t>
      </w:r>
      <w:r>
        <w:rPr>
          <w:rFonts w:hint="eastAsia" w:ascii="宋体" w:hAnsi="宋体" w:eastAsia="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48"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4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hint="eastAsia" w:ascii="宋体" w:hAnsi="宋体" w:eastAsia="宋体" w:cs="宋体"/>
          <w:color w:val="auto"/>
          <w:szCs w:val="21"/>
          <w:highlight w:val="none"/>
        </w:rPr>
      </w:pPr>
      <w:bookmarkStart w:id="149"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49"/>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5</w:t>
      </w:r>
      <w:r>
        <w:rPr>
          <w:rFonts w:hint="eastAsia" w:ascii="宋体" w:hAnsi="宋体" w:eastAsia="宋体" w:cs="宋体"/>
          <w:color w:val="auto"/>
          <w:szCs w:val="21"/>
          <w:highlight w:val="none"/>
        </w:rPr>
        <w:t>）法律、法规和谈判文件规定的其他无效情形。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4）响应报价（包含首次报价、最后报价）超过所竞标项目规定的采购预算金额或者最高限价的（如本项目公布了最高限价）；</w:t>
      </w:r>
      <w:bookmarkStart w:id="150" w:name="_Hlk42596405"/>
      <w:r>
        <w:rPr>
          <w:rFonts w:hint="eastAsia" w:ascii="宋体" w:hAnsi="宋体" w:eastAsia="宋体" w:cs="宋体"/>
          <w:color w:val="auto"/>
          <w:szCs w:val="21"/>
          <w:highlight w:val="none"/>
        </w:rPr>
        <w:t>响应报价（包含首次报价、最后报价）</w:t>
      </w:r>
      <w:bookmarkEnd w:id="150"/>
      <w:bookmarkStart w:id="151" w:name="_Hlk42596276"/>
      <w:r>
        <w:rPr>
          <w:rFonts w:hint="eastAsia" w:ascii="宋体" w:hAnsi="宋体" w:eastAsia="宋体" w:cs="宋体"/>
          <w:color w:val="auto"/>
          <w:szCs w:val="21"/>
          <w:highlight w:val="none"/>
        </w:rPr>
        <w:t>超过谈判文件分项采购预算金额或者最高限价的</w:t>
      </w:r>
      <w:bookmarkEnd w:id="151"/>
      <w:r>
        <w:rPr>
          <w:rFonts w:hint="eastAsia" w:ascii="宋体" w:hAnsi="宋体" w:eastAsia="宋体" w:cs="宋体"/>
          <w:color w:val="auto"/>
          <w:szCs w:val="21"/>
          <w:highlight w:val="none"/>
        </w:rPr>
        <w:t>（如本项目公布了最高限价）；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pPr>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规定的采购预算金额或者最高限价的（如本项目公布了最高限价）（全流程电子化评标多轮报价设置了上线控制价，即预算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5.9供应商出现最后报价作无效响应处理或者响应文件作无效处理时，谈判小组应当告知有关供应商。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420" w:lineRule="exact"/>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keepNext w:val="0"/>
        <w:keepLines w:val="0"/>
        <w:widowControl/>
        <w:suppressLineNumbers w:val="0"/>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bookmarkStart w:id="152" w:name="OLE_LINK47"/>
      <w:r>
        <w:rPr>
          <w:rFonts w:hint="eastAsia" w:ascii="宋体" w:hAnsi="宋体" w:eastAsia="宋体" w:cs="宋体"/>
          <w:b/>
          <w:bCs/>
          <w:color w:val="auto"/>
          <w:sz w:val="21"/>
          <w:szCs w:val="21"/>
          <w:highlight w:val="none"/>
          <w:lang w:val="en-US" w:eastAsia="zh-CN"/>
        </w:rPr>
        <w:t>最后报价政府采购政策性扣除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rPr>
        <w:t>供应商在其</w:t>
      </w:r>
      <w:r>
        <w:rPr>
          <w:rFonts w:hint="eastAsia" w:ascii="宋体" w:hAnsi="宋体" w:eastAsia="宋体" w:cs="宋体"/>
          <w:color w:val="auto"/>
          <w:szCs w:val="21"/>
          <w:highlight w:val="none"/>
        </w:rPr>
        <w:t>响应文件中提供《中小企业声明函》，且其提供的货物全部由符合政策要求的小型、微型企业制造，即货物由小型、微型企业生产且使用该小型、微型企业商号或者注册商标，对其最后报价给予20%的扣除。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供应商被评定为监狱企业或者残疾人福利性单位或者其</w:t>
      </w:r>
      <w:r>
        <w:rPr>
          <w:rFonts w:hint="eastAsia" w:ascii="宋体" w:hAnsi="宋体" w:eastAsia="宋体" w:cs="宋体"/>
          <w:color w:val="auto"/>
          <w:szCs w:val="21"/>
          <w:highlight w:val="none"/>
        </w:rPr>
        <w:t>提供的货物全部由符合政策要求的小型、微型企业制造，即货物由小型、微型企业生产且使用该小型、微型企业商号或者注册商标的</w:t>
      </w:r>
      <w:r>
        <w:rPr>
          <w:rFonts w:hint="eastAsia" w:ascii="宋体" w:hAnsi="宋体" w:eastAsia="宋体" w:cs="宋体"/>
          <w:color w:val="auto"/>
          <w:highlight w:val="none"/>
        </w:rPr>
        <w:t>，该供应商的最后报价给予20%的扣除，扣除后的价格为评审价，即评审价=最后报价×（1-20%）；</w:t>
      </w: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rPr>
        <w:t>6%</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6.6除上述情况外，评审价＝最后报价。</w:t>
      </w:r>
    </w:p>
    <w:bookmarkEnd w:id="152"/>
    <w:p>
      <w:pPr>
        <w:spacing w:line="360" w:lineRule="auto"/>
        <w:ind w:firstLine="420" w:firstLineChars="200"/>
        <w:rPr>
          <w:rFonts w:hint="eastAsia" w:ascii="宋体" w:hAnsi="宋体" w:eastAsia="宋体" w:cs="宋体"/>
          <w:color w:val="auto"/>
          <w:szCs w:val="21"/>
          <w:highlight w:val="none"/>
        </w:rPr>
      </w:pP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53" w:name="_Toc17730"/>
      <w:bookmarkStart w:id="154" w:name="_Toc5389"/>
      <w:bookmarkStart w:id="155" w:name="_Toc80205934"/>
      <w:r>
        <w:rPr>
          <w:rFonts w:hint="eastAsia" w:ascii="宋体" w:hAnsi="宋体" w:eastAsia="宋体" w:cs="Times New Roman"/>
          <w:bCs/>
          <w:color w:val="auto"/>
          <w:sz w:val="32"/>
          <w:szCs w:val="32"/>
          <w:highlight w:val="none"/>
          <w:lang w:val="zh-CN"/>
        </w:rPr>
        <w:t>第二节 评审原则</w:t>
      </w:r>
      <w:bookmarkEnd w:id="153"/>
      <w:bookmarkEnd w:id="154"/>
      <w:bookmarkEnd w:id="155"/>
    </w:p>
    <w:p>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56" w:name="_Toc432106535"/>
      <w:bookmarkStart w:id="157" w:name="_Toc432194885"/>
      <w:bookmarkStart w:id="158" w:name="_Toc321836413"/>
    </w:p>
    <w:bookmarkEnd w:id="156"/>
    <w:bookmarkEnd w:id="157"/>
    <w:bookmarkEnd w:id="158"/>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59" w:name="_Toc80205935"/>
      <w:bookmarkStart w:id="160" w:name="_Toc16039"/>
      <w:bookmarkStart w:id="161" w:name="_Toc9627"/>
      <w:r>
        <w:rPr>
          <w:rFonts w:hint="eastAsia" w:ascii="宋体" w:hAnsi="宋体" w:eastAsia="宋体" w:cs="Times New Roman"/>
          <w:bCs/>
          <w:color w:val="auto"/>
          <w:sz w:val="32"/>
          <w:szCs w:val="32"/>
          <w:highlight w:val="none"/>
          <w:lang w:val="zh-CN"/>
        </w:rPr>
        <w:t>第三节 评审报告</w:t>
      </w:r>
      <w:bookmarkEnd w:id="159"/>
      <w:bookmarkEnd w:id="160"/>
      <w:bookmarkEnd w:id="161"/>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25条规定的顺序推荐）,并在线编写电子评审报告。</w:t>
      </w:r>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rPr>
      </w:pPr>
      <w:bookmarkStart w:id="162" w:name="_Toc27241"/>
      <w:bookmarkStart w:id="163" w:name="_Toc17221"/>
      <w:bookmarkStart w:id="164" w:name="_Toc80205936"/>
      <w:r>
        <w:rPr>
          <w:rFonts w:hint="eastAsia" w:ascii="宋体" w:hAnsi="宋体" w:eastAsia="宋体" w:cs="Times New Roman"/>
          <w:bCs/>
          <w:color w:val="auto"/>
          <w:sz w:val="32"/>
          <w:szCs w:val="32"/>
          <w:highlight w:val="none"/>
          <w:lang w:val="zh-CN"/>
        </w:rPr>
        <w:t>第四节 评审过程的保密与录像</w:t>
      </w:r>
      <w:bookmarkEnd w:id="162"/>
      <w:bookmarkEnd w:id="163"/>
      <w:bookmarkEnd w:id="164"/>
    </w:p>
    <w:p>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65" w:name="_Toc80205937"/>
      <w:bookmarkStart w:id="166" w:name="_Toc25678"/>
      <w:bookmarkStart w:id="167" w:name="_Toc9300"/>
      <w:bookmarkStart w:id="168" w:name="_Toc4187"/>
      <w:bookmarkStart w:id="169" w:name="_Toc916"/>
      <w:bookmarkStart w:id="170" w:name="_Toc30615"/>
      <w:bookmarkStart w:id="171" w:name="_Toc28917"/>
      <w:bookmarkStart w:id="172" w:name="_Toc71"/>
      <w:bookmarkStart w:id="173" w:name="_Toc21666"/>
      <w:r>
        <w:rPr>
          <w:rFonts w:hint="eastAsia" w:ascii="Times New Roman" w:hAnsi="Times New Roman" w:eastAsia="宋体" w:cs="Times New Roman"/>
          <w:b/>
          <w:bCs/>
          <w:color w:val="auto"/>
          <w:kern w:val="44"/>
          <w:sz w:val="44"/>
          <w:szCs w:val="44"/>
          <w:highlight w:val="none"/>
          <w:lang w:val="zh-CN"/>
        </w:rPr>
        <w:t>第五章 响应文件格式</w:t>
      </w:r>
      <w:bookmarkEnd w:id="165"/>
      <w:r>
        <w:rPr>
          <w:rFonts w:ascii="Times New Roman" w:hAnsi="Times New Roman" w:eastAsia="宋体" w:cs="Times New Roman"/>
          <w:b/>
          <w:bCs/>
          <w:color w:val="auto"/>
          <w:kern w:val="44"/>
          <w:sz w:val="44"/>
          <w:szCs w:val="44"/>
          <w:highlight w:val="none"/>
          <w:lang w:val="zh-CN"/>
        </w:rPr>
        <w:br w:type="page"/>
      </w:r>
      <w:bookmarkEnd w:id="166"/>
      <w:bookmarkEnd w:id="167"/>
      <w:bookmarkEnd w:id="168"/>
      <w:bookmarkEnd w:id="169"/>
      <w:bookmarkEnd w:id="170"/>
      <w:bookmarkEnd w:id="171"/>
      <w:bookmarkEnd w:id="172"/>
      <w:bookmarkEnd w:id="173"/>
    </w:p>
    <w:p>
      <w:pPr>
        <w:spacing w:line="240" w:lineRule="atLeast"/>
        <w:rPr>
          <w:rFonts w:hint="eastAsia"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74" w:name="_Toc80205939"/>
      <w:bookmarkStart w:id="175" w:name="_Toc17254"/>
      <w:bookmarkStart w:id="176" w:name="_Toc10486"/>
      <w:r>
        <w:rPr>
          <w:rFonts w:hint="eastAsia" w:ascii="宋体" w:hAnsi="宋体" w:eastAsia="宋体" w:cs="Times New Roman"/>
          <w:bCs/>
          <w:color w:val="auto"/>
          <w:sz w:val="32"/>
          <w:szCs w:val="32"/>
          <w:highlight w:val="none"/>
        </w:rPr>
        <w:t>第一节 资格证明文件格式</w:t>
      </w:r>
      <w:bookmarkEnd w:id="174"/>
      <w:bookmarkEnd w:id="175"/>
      <w:bookmarkEnd w:id="176"/>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3.崇左市政府采购供应商信用承诺函格式： </w:t>
      </w:r>
    </w:p>
    <w:p>
      <w:pPr>
        <w:widowControl/>
        <w:spacing w:line="440" w:lineRule="exact"/>
        <w:jc w:val="center"/>
        <w:rPr>
          <w:rFonts w:hint="eastAsia" w:ascii="宋体" w:hAnsi="宋体" w:cs="宋体"/>
          <w:color w:val="auto"/>
          <w:kern w:val="0"/>
          <w:sz w:val="32"/>
          <w:szCs w:val="32"/>
          <w:highlight w:val="none"/>
          <w:lang w:bidi="ar"/>
        </w:rPr>
      </w:pPr>
    </w:p>
    <w:p>
      <w:pPr>
        <w:widowControl/>
        <w:spacing w:line="440" w:lineRule="exact"/>
        <w:jc w:val="center"/>
        <w:rPr>
          <w:rFonts w:hint="eastAsia" w:ascii="宋体" w:hAnsi="宋体" w:cs="宋体"/>
          <w:color w:val="auto"/>
          <w:sz w:val="28"/>
          <w:szCs w:val="28"/>
          <w:highlight w:val="none"/>
        </w:rPr>
      </w:pPr>
      <w:r>
        <w:rPr>
          <w:rFonts w:hint="eastAsia" w:ascii="宋体" w:hAnsi="宋体" w:cs="宋体"/>
          <w:color w:val="auto"/>
          <w:kern w:val="0"/>
          <w:sz w:val="32"/>
          <w:szCs w:val="32"/>
          <w:highlight w:val="none"/>
          <w:lang w:bidi="ar"/>
        </w:rPr>
        <w:t>崇左市政府采购供应商信用承诺函</w:t>
      </w:r>
    </w:p>
    <w:p>
      <w:pPr>
        <w:widowControl/>
        <w:spacing w:line="440" w:lineRule="exact"/>
        <w:jc w:val="left"/>
        <w:rPr>
          <w:rFonts w:hint="eastAsia" w:ascii="宋体" w:hAnsi="宋体" w:cs="宋体"/>
          <w:color w:val="auto"/>
          <w:kern w:val="0"/>
          <w:sz w:val="28"/>
          <w:szCs w:val="28"/>
          <w:highlight w:val="none"/>
          <w:lang w:bidi="ar"/>
        </w:rPr>
      </w:pPr>
    </w:p>
    <w:p>
      <w:pPr>
        <w:widowControl/>
        <w:spacing w:line="440" w:lineRule="exact"/>
        <w:rPr>
          <w:rFonts w:hint="eastAsia" w:ascii="宋体" w:hAnsi="宋体" w:cs="宋体"/>
          <w:color w:val="auto"/>
          <w:sz w:val="22"/>
          <w:highlight w:val="none"/>
          <w:u w:val="single"/>
        </w:rPr>
      </w:pPr>
      <w:r>
        <w:rPr>
          <w:rFonts w:hint="eastAsia" w:ascii="宋体" w:hAnsi="宋体" w:cs="宋体"/>
          <w:color w:val="auto"/>
          <w:kern w:val="0"/>
          <w:sz w:val="22"/>
          <w:highlight w:val="none"/>
          <w:lang w:bidi="ar"/>
        </w:rPr>
        <w:t>致</w:t>
      </w:r>
      <w:r>
        <w:rPr>
          <w:rFonts w:hint="eastAsia" w:ascii="宋体" w:hAnsi="宋体" w:cs="宋体"/>
          <w:color w:val="auto"/>
          <w:kern w:val="0"/>
          <w:sz w:val="22"/>
          <w:highlight w:val="none"/>
          <w:u w:val="single"/>
          <w:lang w:bidi="ar"/>
        </w:rPr>
        <w:t>（采购代理机构名称）</w:t>
      </w:r>
      <w:r>
        <w:rPr>
          <w:rFonts w:hint="eastAsia" w:ascii="宋体" w:hAnsi="宋体" w:cs="宋体"/>
          <w:color w:val="auto"/>
          <w:kern w:val="0"/>
          <w:sz w:val="22"/>
          <w:highlight w:val="none"/>
          <w:lang w:bidi="ar"/>
        </w:rPr>
        <w:t>:</w:t>
      </w:r>
    </w:p>
    <w:p>
      <w:pPr>
        <w:widowControl/>
        <w:spacing w:line="440" w:lineRule="exact"/>
        <w:ind w:firstLine="440" w:firstLineChars="200"/>
        <w:rPr>
          <w:rFonts w:hint="eastAsia" w:ascii="宋体" w:hAnsi="宋体" w:cs="宋体"/>
          <w:color w:val="auto"/>
          <w:spacing w:val="-6"/>
          <w:sz w:val="22"/>
          <w:highlight w:val="none"/>
        </w:rPr>
      </w:pPr>
      <w:r>
        <w:rPr>
          <w:rFonts w:hint="eastAsia" w:ascii="宋体" w:hAnsi="宋体" w:cs="宋体"/>
          <w:color w:val="auto"/>
          <w:kern w:val="0"/>
          <w:sz w:val="22"/>
          <w:highlight w:val="none"/>
          <w:lang w:bidi="ar"/>
        </w:rPr>
        <w:t>我方自愿参加</w:t>
      </w:r>
      <w:r>
        <w:rPr>
          <w:rFonts w:hint="eastAsia" w:ascii="宋体" w:hAnsi="宋体" w:cs="宋体"/>
          <w:color w:val="auto"/>
          <w:kern w:val="0"/>
          <w:sz w:val="22"/>
          <w:highlight w:val="none"/>
          <w:u w:val="single"/>
          <w:lang w:bidi="ar"/>
        </w:rPr>
        <w:t xml:space="preserve"> （项目名称） </w:t>
      </w:r>
      <w:r>
        <w:rPr>
          <w:rFonts w:hint="eastAsia" w:ascii="宋体" w:hAnsi="宋体" w:cs="宋体"/>
          <w:color w:val="auto"/>
          <w:kern w:val="0"/>
          <w:sz w:val="22"/>
          <w:highlight w:val="none"/>
          <w:lang w:bidi="ar"/>
        </w:rPr>
        <w:t>项目</w:t>
      </w:r>
      <w:r>
        <w:rPr>
          <w:rFonts w:hint="eastAsia" w:ascii="宋体" w:hAnsi="宋体" w:cs="宋体"/>
          <w:color w:val="auto"/>
          <w:spacing w:val="6"/>
          <w:sz w:val="22"/>
          <w:highlight w:val="none"/>
        </w:rPr>
        <w:t>（项目编号：</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rPr>
        <w:t>）</w:t>
      </w:r>
      <w:r>
        <w:rPr>
          <w:rFonts w:hint="eastAsia" w:ascii="宋体" w:hAnsi="宋体" w:cs="宋体"/>
          <w:color w:val="auto"/>
          <w:kern w:val="0"/>
          <w:sz w:val="22"/>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2"/>
          <w:highlight w:val="none"/>
          <w:lang w:bidi="ar"/>
        </w:rPr>
        <w:t xml:space="preserve">： </w:t>
      </w:r>
    </w:p>
    <w:p>
      <w:pPr>
        <w:widowControl/>
        <w:spacing w:line="440" w:lineRule="exact"/>
        <w:ind w:firstLine="440" w:firstLineChars="20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1.我方</w:t>
      </w:r>
      <w:r>
        <w:rPr>
          <w:rFonts w:hint="eastAsia" w:ascii="宋体" w:hAnsi="宋体" w:cs="宋体"/>
          <w:color w:val="auto"/>
          <w:spacing w:val="6"/>
          <w:sz w:val="22"/>
          <w:highlight w:val="none"/>
        </w:rPr>
        <w:t>具有独立承担民事责任的能力或我方属于银行、保险、石油石化、电力、电信等有行业特殊情况的法人的分支机构在参加本次政府采购活动前已取得总公司的授权。</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2.我方具有符合采购文件资格要求的财务状况报告。 </w:t>
      </w:r>
    </w:p>
    <w:p>
      <w:pPr>
        <w:widowControl/>
        <w:spacing w:line="440" w:lineRule="exact"/>
        <w:ind w:firstLine="416" w:firstLineChars="200"/>
        <w:rPr>
          <w:rFonts w:hint="eastAsia" w:ascii="宋体" w:hAnsi="宋体" w:cs="宋体"/>
          <w:color w:val="auto"/>
          <w:spacing w:val="-17"/>
          <w:sz w:val="22"/>
          <w:highlight w:val="none"/>
        </w:rPr>
      </w:pPr>
      <w:r>
        <w:rPr>
          <w:rFonts w:hint="eastAsia" w:ascii="宋体" w:hAnsi="宋体" w:cs="宋体"/>
          <w:color w:val="auto"/>
          <w:spacing w:val="-6"/>
          <w:kern w:val="0"/>
          <w:sz w:val="22"/>
          <w:highlight w:val="none"/>
          <w:lang w:bidi="ar"/>
        </w:rPr>
        <w:t>3.我方具有符合采购文件资格要求的依法缴纳税收和社会保障资金的良好记录。</w:t>
      </w:r>
      <w:r>
        <w:rPr>
          <w:rFonts w:hint="eastAsia" w:ascii="宋体" w:hAnsi="宋体" w:cs="宋体"/>
          <w:color w:val="auto"/>
          <w:spacing w:val="-17"/>
          <w:kern w:val="0"/>
          <w:sz w:val="22"/>
          <w:highlight w:val="none"/>
          <w:lang w:bidi="ar"/>
        </w:rPr>
        <w:t xml:space="preserve"> </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4.我方具有符合采购文件资格要求履行合同所必需的设备和专业技术能力。 </w:t>
      </w:r>
    </w:p>
    <w:p>
      <w:pPr>
        <w:widowControl/>
        <w:spacing w:line="440" w:lineRule="exact"/>
        <w:ind w:firstLine="440" w:firstLineChars="200"/>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5.我方参加政府采购活动前3年内在经营活动中没有重大违法记录。 </w:t>
      </w:r>
    </w:p>
    <w:p>
      <w:pPr>
        <w:widowControl/>
        <w:spacing w:line="440" w:lineRule="exact"/>
        <w:ind w:firstLine="440" w:firstLineChars="20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我方对以上承诺内容的真实性负责。如有虚假，将依法承担相应责任。</w:t>
      </w:r>
    </w:p>
    <w:p>
      <w:pPr>
        <w:widowControl/>
        <w:spacing w:line="440" w:lineRule="exact"/>
        <w:rPr>
          <w:rFonts w:hint="eastAsia" w:ascii="宋体" w:hAnsi="宋体" w:cs="宋体"/>
          <w:color w:val="auto"/>
          <w:kern w:val="0"/>
          <w:sz w:val="22"/>
          <w:highlight w:val="none"/>
          <w:lang w:bidi="ar"/>
        </w:rPr>
      </w:pPr>
    </w:p>
    <w:p>
      <w:pPr>
        <w:widowControl/>
        <w:spacing w:line="440" w:lineRule="exact"/>
        <w:ind w:firstLine="3300" w:firstLineChars="1500"/>
        <w:jc w:val="left"/>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供应商名称（盖章）： </w:t>
      </w:r>
    </w:p>
    <w:p>
      <w:pPr>
        <w:tabs>
          <w:tab w:val="left" w:pos="7560"/>
        </w:tabs>
        <w:spacing w:line="440" w:lineRule="exact"/>
        <w:ind w:firstLine="3300" w:firstLineChars="1500"/>
        <w:jc w:val="left"/>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日期：</w:t>
      </w:r>
    </w:p>
    <w:p>
      <w:pPr>
        <w:pStyle w:val="29"/>
        <w:widowControl/>
        <w:wordWrap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注：1.</w:t>
      </w:r>
      <w:r>
        <w:rPr>
          <w:rFonts w:hint="eastAsia" w:ascii="宋体" w:hAnsi="宋体" w:cs="宋体"/>
          <w:color w:val="auto"/>
          <w:sz w:val="22"/>
          <w:szCs w:val="22"/>
          <w:highlight w:val="none"/>
        </w:rPr>
        <w:t>参与政府采购活动的供应商可按第1点的内容：“</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pPr>
        <w:spacing w:line="320" w:lineRule="exact"/>
        <w:jc w:val="left"/>
        <w:rPr>
          <w:rFonts w:hint="eastAsia" w:ascii="宋体" w:hAnsi="宋体" w:eastAsia="宋体" w:cs="宋体"/>
          <w:color w:val="auto"/>
          <w:sz w:val="28"/>
          <w:szCs w:val="28"/>
          <w:highlight w:val="none"/>
        </w:rPr>
      </w:pPr>
      <w:r>
        <w:rPr>
          <w:rFonts w:ascii="宋体" w:hAnsi="宋体" w:eastAsia="宋体" w:cs="宋体"/>
          <w:b/>
          <w:bCs/>
          <w:color w:val="auto"/>
          <w:kern w:val="0"/>
          <w:sz w:val="28"/>
          <w:szCs w:val="28"/>
          <w:highlight w:val="none"/>
        </w:rPr>
        <w:t>4</w:t>
      </w:r>
      <w:r>
        <w:rPr>
          <w:rFonts w:hint="eastAsia" w:ascii="宋体" w:hAnsi="宋体" w:eastAsia="宋体" w:cs="宋体"/>
          <w:b/>
          <w:color w:val="auto"/>
          <w:kern w:val="0"/>
          <w:sz w:val="28"/>
          <w:szCs w:val="28"/>
          <w:highlight w:val="none"/>
        </w:rPr>
        <w:t>、声明函的格式：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致：广西</w:t>
      </w:r>
      <w:r>
        <w:rPr>
          <w:rFonts w:hint="eastAsia" w:ascii="宋体" w:hAnsi="宋体" w:eastAsia="宋体" w:cs="宋体"/>
          <w:color w:val="auto"/>
          <w:sz w:val="24"/>
          <w:szCs w:val="24"/>
          <w:highlight w:val="none"/>
          <w:lang w:val="en-US" w:eastAsia="zh-CN"/>
        </w:rPr>
        <w:t>华晟</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有限公司</w:t>
      </w:r>
    </w:p>
    <w:p>
      <w:pPr>
        <w:spacing w:line="360" w:lineRule="exact"/>
        <w:ind w:firstLine="720" w:firstLineChars="3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77" w:name="PO_3000001871_PM002_4"/>
      <w:r>
        <w:rPr>
          <w:rFonts w:hint="eastAsia" w:ascii="宋体" w:hAnsi="宋体" w:eastAsia="宋体" w:cs="宋体"/>
          <w:i/>
          <w:iCs/>
          <w:color w:val="auto"/>
          <w:sz w:val="24"/>
          <w:szCs w:val="24"/>
          <w:highlight w:val="none"/>
        </w:rPr>
        <w:t>（</w:t>
      </w:r>
      <w:bookmarkEnd w:id="177"/>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2.在此，我方宣布同意如下：</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（2）已详细审查谈判文件的全部内容，包括澄清或者更正公告（如有）；</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5.以上事项如有虚假或者隐瞒，我方愿意承担一切后果，并不再寻求任何旨在减轻或者免除法律责任的辩解。</w:t>
      </w:r>
    </w:p>
    <w:p>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footerReference r:id="rId12" w:type="default"/>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zh-CN"/>
        </w:rPr>
        <w:t>中小企业声明函的格式：</w:t>
      </w:r>
    </w:p>
    <w:p>
      <w:pPr>
        <w:pStyle w:val="15"/>
        <w:rPr>
          <w:rFonts w:hint="eastAsia" w:ascii="宋体" w:hAnsi="宋体" w:cs="宋体"/>
          <w:color w:val="auto"/>
          <w:highlight w:val="none"/>
        </w:rPr>
      </w:pPr>
    </w:p>
    <w:p>
      <w:pPr>
        <w:spacing w:line="300" w:lineRule="auto"/>
        <w:ind w:firstLine="3534" w:firstLineChars="1100"/>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rPr>
      </w:pPr>
    </w:p>
    <w:p>
      <w:pPr>
        <w:spacing w:line="360" w:lineRule="auto"/>
        <w:ind w:left="-426" w:right="142" w:firstLine="64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rPr>
      </w:pPr>
    </w:p>
    <w:p>
      <w:pPr>
        <w:spacing w:line="360" w:lineRule="auto"/>
        <w:contextualSpacing/>
        <w:jc w:val="left"/>
        <w:rPr>
          <w:rFonts w:hint="eastAsia" w:ascii="宋体" w:hAnsi="宋体" w:eastAsia="宋体" w:cs="宋体"/>
          <w:color w:val="auto"/>
          <w:szCs w:val="21"/>
          <w:highlight w:val="none"/>
        </w:rPr>
      </w:pPr>
    </w:p>
    <w:p>
      <w:pPr>
        <w:spacing w:line="400" w:lineRule="exact"/>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pStyle w:val="41"/>
        <w:rPr>
          <w:rFonts w:hint="eastAsia" w:ascii="宋体" w:hAnsi="宋体" w:eastAsia="宋体" w:cs="宋体"/>
          <w:color w:val="auto"/>
          <w:sz w:val="24"/>
          <w:szCs w:val="24"/>
          <w:highlight w:val="none"/>
        </w:rPr>
      </w:pPr>
    </w:p>
    <w:p>
      <w:pPr>
        <w:pStyle w:val="41"/>
        <w:rPr>
          <w:rFonts w:hint="eastAsia" w:ascii="宋体" w:hAnsi="宋体" w:eastAsia="宋体" w:cs="宋体"/>
          <w:color w:val="auto"/>
          <w:sz w:val="24"/>
          <w:szCs w:val="24"/>
          <w:highlight w:val="none"/>
        </w:rPr>
      </w:pPr>
    </w:p>
    <w:p>
      <w:pPr>
        <w:numPr>
          <w:ilvl w:val="255"/>
          <w:numId w:val="0"/>
        </w:numPr>
        <w:spacing w:line="520" w:lineRule="exact"/>
        <w:rPr>
          <w:rFonts w:hint="eastAsia" w:hAnsi="宋体" w:cs="宋体"/>
          <w:b/>
          <w:color w:val="auto"/>
          <w:sz w:val="28"/>
          <w:szCs w:val="28"/>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rPr>
        <w:t>残疾人福利性单位声明函的格式：</w:t>
      </w:r>
    </w:p>
    <w:p>
      <w:pPr>
        <w:numPr>
          <w:ilvl w:val="255"/>
          <w:numId w:val="0"/>
        </w:numPr>
        <w:spacing w:line="520" w:lineRule="exact"/>
        <w:rPr>
          <w:rFonts w:hint="eastAsia" w:hAnsi="宋体" w:cs="宋体"/>
          <w:b/>
          <w:color w:val="auto"/>
          <w:sz w:val="28"/>
          <w:szCs w:val="28"/>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2"/>
        <w:rPr>
          <w:rFonts w:hint="eastAsia" w:ascii="宋体" w:hAnsi="宋体" w:cs="仿宋_GB2312"/>
          <w:color w:val="auto"/>
          <w:sz w:val="24"/>
          <w:szCs w:val="24"/>
          <w:highlight w:val="none"/>
        </w:rPr>
      </w:pPr>
    </w:p>
    <w:p>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pPr>
        <w:pStyle w:val="41"/>
        <w:rPr>
          <w:rFonts w:hint="eastAsia" w:ascii="仿宋_GB2312" w:hAnsi="仿宋" w:eastAsia="仿宋_GB2312" w:cs="仿宋_GB2312"/>
          <w:color w:val="auto"/>
          <w:kern w:val="0"/>
          <w:sz w:val="24"/>
          <w:szCs w:val="24"/>
          <w:highlight w:val="none"/>
          <w:lang w:val="zh-CN"/>
        </w:rPr>
      </w:pPr>
    </w:p>
    <w:p>
      <w:pPr>
        <w:pStyle w:val="41"/>
        <w:rPr>
          <w:rFonts w:hint="eastAsia" w:ascii="仿宋_GB2312" w:hAnsi="仿宋" w:eastAsia="仿宋_GB2312" w:cs="仿宋_GB2312"/>
          <w:color w:val="auto"/>
          <w:kern w:val="0"/>
          <w:sz w:val="24"/>
          <w:szCs w:val="24"/>
          <w:highlight w:val="none"/>
          <w:lang w:val="zh-CN"/>
        </w:rPr>
      </w:pPr>
    </w:p>
    <w:p>
      <w:pPr>
        <w:pStyle w:val="41"/>
        <w:rPr>
          <w:rFonts w:hint="eastAsia" w:ascii="仿宋_GB2312" w:hAnsi="仿宋" w:eastAsia="仿宋_GB2312" w:cs="仿宋_GB2312"/>
          <w:color w:val="auto"/>
          <w:kern w:val="0"/>
          <w:sz w:val="24"/>
          <w:szCs w:val="24"/>
          <w:highlight w:val="none"/>
          <w:lang w:val="zh-CN"/>
        </w:rPr>
      </w:pPr>
    </w:p>
    <w:p>
      <w:pPr>
        <w:pStyle w:val="41"/>
        <w:rPr>
          <w:rFonts w:hint="eastAsia" w:ascii="仿宋_GB2312" w:hAnsi="仿宋" w:eastAsia="仿宋_GB2312" w:cs="仿宋_GB2312"/>
          <w:color w:val="auto"/>
          <w:kern w:val="0"/>
          <w:sz w:val="24"/>
          <w:szCs w:val="24"/>
          <w:highlight w:val="none"/>
          <w:lang w:val="zh-CN"/>
        </w:rPr>
      </w:pPr>
    </w:p>
    <w:p>
      <w:pPr>
        <w:pStyle w:val="41"/>
        <w:rPr>
          <w:rFonts w:hint="eastAsia"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rPr>
      </w:pPr>
      <w:bookmarkStart w:id="178" w:name="_Toc26899"/>
      <w:bookmarkStart w:id="179" w:name="_Toc80205940"/>
      <w:bookmarkStart w:id="180" w:name="_Toc798"/>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78"/>
      <w:bookmarkEnd w:id="179"/>
      <w:bookmarkEnd w:id="180"/>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
        <w:rPr>
          <w:rFonts w:hint="eastAsia" w:ascii="宋体" w:hAnsi="宋体" w:cs="仿宋_GB2312"/>
          <w:b/>
          <w:bCs/>
          <w:color w:val="auto"/>
          <w:sz w:val="24"/>
          <w:szCs w:val="24"/>
          <w:highlight w:val="none"/>
        </w:rPr>
      </w:pPr>
    </w:p>
    <w:p>
      <w:pPr>
        <w:pStyle w:val="2"/>
        <w:rPr>
          <w:rFonts w:hint="eastAsia" w:ascii="宋体" w:hAnsi="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hint="eastAsia"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2"/>
        <w:rPr>
          <w:color w:val="auto"/>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p>
    <w:p>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hint="eastAsia" w:ascii="宋体" w:hAnsi="宋体" w:eastAsia="宋体" w:cs="宋体"/>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hint="eastAsia" w:ascii="宋体" w:hAnsi="宋体" w:eastAsia="宋体" w:cs="宋体"/>
          <w:color w:val="auto"/>
          <w:sz w:val="24"/>
          <w:szCs w:val="24"/>
          <w:highlight w:val="none"/>
        </w:rPr>
      </w:pPr>
    </w:p>
    <w:p>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2"/>
        <w:tblpPr w:leftFromText="180" w:rightFromText="180" w:vertAnchor="text" w:horzAnchor="margin" w:tblpY="116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2" w:hRule="atLeast"/>
        </w:trPr>
        <w:tc>
          <w:tcPr>
            <w:tcW w:w="8600"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法定代表身份证复印件粘帖处（正、反面）</w:t>
            </w:r>
          </w:p>
        </w:tc>
      </w:tr>
    </w:tbl>
    <w:p>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hint="eastAsia" w:ascii="宋体" w:hAnsi="宋体" w:eastAsia="宋体" w:cs="Times New Roman"/>
          <w:b/>
          <w:color w:val="auto"/>
          <w:szCs w:val="21"/>
          <w:highlight w:val="none"/>
        </w:rPr>
      </w:pPr>
    </w:p>
    <w:p>
      <w:pPr>
        <w:snapToGrid w:val="0"/>
        <w:spacing w:line="360" w:lineRule="auto"/>
        <w:jc w:val="left"/>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w:t>
      </w:r>
    </w:p>
    <w:p>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致：广西</w:t>
      </w:r>
      <w:r>
        <w:rPr>
          <w:rFonts w:hint="eastAsia" w:ascii="宋体" w:hAnsi="宋体" w:eastAsia="宋体" w:cs="宋体"/>
          <w:color w:val="auto"/>
          <w:sz w:val="24"/>
          <w:szCs w:val="24"/>
          <w:highlight w:val="none"/>
          <w:lang w:val="en-US" w:eastAsia="zh-CN"/>
        </w:rPr>
        <w:t>华晟</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napToGrid w:val="0"/>
        <w:spacing w:line="360" w:lineRule="auto"/>
        <w:rPr>
          <w:rFonts w:hint="eastAsia" w:ascii="宋体" w:hAnsi="宋体" w:eastAsia="宋体" w:cs="Times New Roman"/>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pPr>
        <w:pStyle w:val="22"/>
        <w:rPr>
          <w:rFonts w:hint="eastAsia" w:ascii="宋体" w:hAnsi="宋体" w:eastAsia="宋体" w:cs="宋体"/>
          <w:color w:val="auto"/>
          <w:kern w:val="0"/>
          <w:sz w:val="24"/>
          <w:szCs w:val="24"/>
          <w:highlight w:val="none"/>
          <w:lang w:val="zh-CN"/>
        </w:rPr>
      </w:pPr>
    </w:p>
    <w:p>
      <w:pPr>
        <w:pStyle w:val="23"/>
        <w:rPr>
          <w:rFonts w:hint="eastAsia"/>
          <w:color w:val="auto"/>
        </w:rPr>
      </w:pPr>
    </w:p>
    <w:p>
      <w:pPr>
        <w:snapToGrid w:val="0"/>
        <w:spacing w:before="120" w:beforeLines="50" w:after="5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spacing w:line="360" w:lineRule="auto"/>
        <w:rPr>
          <w:rFonts w:hint="eastAsia" w:ascii="宋体" w:hAnsi="宋体" w:eastAsia="宋体" w:cs="宋体"/>
          <w:color w:val="auto"/>
          <w:kern w:val="0"/>
          <w:sz w:val="20"/>
          <w:szCs w:val="21"/>
          <w:highlight w:val="none"/>
          <w:lang w:val="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pPr w:leftFromText="180" w:rightFromText="180" w:vertAnchor="page" w:horzAnchor="page" w:tblpX="1376" w:tblpY="4514"/>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hint="eastAsia"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hint="eastAsia"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rPr>
              <w:t>采购需求中的</w:t>
            </w:r>
            <w:r>
              <w:rPr>
                <w:rFonts w:hint="eastAsia" w:ascii="宋体" w:hAnsi="宋体" w:cs="宋体"/>
                <w:color w:val="auto"/>
                <w:szCs w:val="21"/>
                <w:highlight w:val="none"/>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w:t>
            </w:r>
            <w:r>
              <w:rPr>
                <w:rFonts w:hint="eastAsia" w:ascii="宋体" w:hAnsi="宋体" w:cs="宋体"/>
                <w:color w:val="auto"/>
                <w:szCs w:val="21"/>
                <w:highlight w:val="none"/>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rPr>
      </w:pPr>
    </w:p>
    <w:p>
      <w:pPr>
        <w:spacing w:line="360" w:lineRule="auto"/>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firstLine="6000" w:firstLineChars="2500"/>
        <w:rPr>
          <w:rFonts w:hint="eastAsia" w:ascii="宋体" w:hAnsi="宋体" w:eastAsia="宋体" w:cs="宋体"/>
          <w:color w:val="auto"/>
          <w:kern w:val="0"/>
          <w:sz w:val="24"/>
          <w:szCs w:val="24"/>
          <w:highlight w:val="none"/>
        </w:rPr>
      </w:pPr>
    </w:p>
    <w:p>
      <w:pPr>
        <w:autoSpaceDE w:val="0"/>
        <w:autoSpaceDN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仿宋_GB2312" w:hAnsi="仿宋_GB2312" w:eastAsia="仿宋_GB2312" w:cs="仿宋_GB2312"/>
          <w:color w:val="auto"/>
          <w:sz w:val="32"/>
          <w:szCs w:val="32"/>
          <w:highlight w:val="none"/>
        </w:rPr>
        <w:sectPr>
          <w:pgSz w:w="11910" w:h="16840"/>
          <w:pgMar w:top="1111" w:right="1332" w:bottom="283" w:left="1508"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9.技术实施方案；（格式自拟） </w:t>
      </w: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p>
    <w:p>
      <w:pPr>
        <w:pStyle w:val="2"/>
        <w:rPr>
          <w:rFonts w:hint="eastAsia" w:ascii="宋体" w:hAnsi="宋体" w:cs="宋体"/>
          <w:b/>
          <w:color w:val="auto"/>
          <w:sz w:val="28"/>
          <w:szCs w:val="28"/>
          <w:highlight w:val="none"/>
          <w:lang w:val="en-US"/>
        </w:rPr>
      </w:pPr>
    </w:p>
    <w:p>
      <w:pPr>
        <w:rPr>
          <w:rFonts w:hint="eastAsia" w:ascii="宋体" w:hAnsi="宋体" w:eastAsia="宋体" w:cs="宋体"/>
          <w:b/>
          <w:color w:val="auto"/>
          <w:sz w:val="28"/>
          <w:szCs w:val="28"/>
          <w:highlight w:val="none"/>
        </w:rPr>
      </w:pPr>
    </w:p>
    <w:p>
      <w:pPr>
        <w:pStyle w:val="2"/>
        <w:rPr>
          <w:color w:val="auto"/>
          <w:highlight w:val="none"/>
          <w:lang w:val="en-US"/>
        </w:rPr>
      </w:pPr>
    </w:p>
    <w:p>
      <w:pPr>
        <w:snapToGrid w:val="0"/>
        <w:spacing w:before="165" w:beforeLines="50" w:after="50"/>
        <w:rPr>
          <w:rFonts w:hint="eastAsia" w:ascii="宋体" w:hAnsi="宋体" w:eastAsia="宋体" w:cs="宋体"/>
          <w:b/>
          <w:color w:val="auto"/>
          <w:sz w:val="28"/>
          <w:szCs w:val="28"/>
          <w:highlight w:val="none"/>
        </w:rPr>
      </w:pPr>
    </w:p>
    <w:p>
      <w:pPr>
        <w:snapToGrid w:val="0"/>
        <w:spacing w:before="165"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10.售后服务承诺函；（格式自拟）</w:t>
      </w:r>
    </w:p>
    <w:p>
      <w:pPr>
        <w:snapToGrid w:val="0"/>
        <w:spacing w:before="165" w:beforeLines="50" w:after="50"/>
        <w:rPr>
          <w:rFonts w:hint="eastAsia" w:ascii="宋体" w:hAnsi="宋体" w:eastAsia="宋体" w:cs="宋体"/>
          <w:b/>
          <w:color w:val="auto"/>
          <w:sz w:val="28"/>
          <w:szCs w:val="28"/>
          <w:highlight w:val="none"/>
          <w:lang w:val="zh-CN"/>
        </w:rPr>
      </w:pPr>
    </w:p>
    <w:p>
      <w:pPr>
        <w:pStyle w:val="2"/>
        <w:rPr>
          <w:color w:val="auto"/>
          <w:highlight w:val="none"/>
        </w:rPr>
      </w:pPr>
    </w:p>
    <w:p>
      <w:pPr>
        <w:adjustRightInd w:val="0"/>
        <w:snapToGrid w:val="0"/>
        <w:spacing w:line="300" w:lineRule="auto"/>
        <w:rPr>
          <w:rFonts w:hint="eastAsia" w:ascii="宋体" w:hAnsi="宋体" w:eastAsia="宋体" w:cs="Times New Roman"/>
          <w:color w:val="auto"/>
          <w:szCs w:val="21"/>
          <w:highlight w:val="none"/>
          <w:u w:val="single"/>
        </w:rPr>
      </w:pPr>
    </w:p>
    <w:p>
      <w:pPr>
        <w:pStyle w:val="2"/>
        <w:rPr>
          <w:rFonts w:hint="eastAsia" w:ascii="宋体" w:hAnsi="宋体"/>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pStyle w:val="2"/>
        <w:rPr>
          <w:color w:val="auto"/>
          <w:highlight w:val="none"/>
          <w:lang w:val="en-US"/>
        </w:rPr>
      </w:pPr>
    </w:p>
    <w:p>
      <w:pPr>
        <w:rPr>
          <w:color w:val="auto"/>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rPr>
          <w:color w:val="auto"/>
          <w:highlight w:val="none"/>
        </w:rPr>
      </w:pPr>
    </w:p>
    <w:p>
      <w:pPr>
        <w:pStyle w:val="2"/>
        <w:rPr>
          <w:color w:val="auto"/>
          <w:highlight w:val="none"/>
        </w:rPr>
      </w:pPr>
    </w:p>
    <w:p>
      <w:pPr>
        <w:rPr>
          <w:color w:val="auto"/>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rPr>
          <w:color w:val="auto"/>
          <w:highlight w:val="non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rPr>
      </w:pPr>
      <w:bookmarkStart w:id="181" w:name="_Toc17296"/>
      <w:bookmarkStart w:id="182" w:name="_Toc80205941"/>
      <w:bookmarkStart w:id="183" w:name="_Toc13020"/>
      <w:r>
        <w:rPr>
          <w:rFonts w:hint="eastAsia" w:ascii="宋体" w:hAnsi="宋体" w:eastAsia="宋体" w:cs="Times New Roman"/>
          <w:b/>
          <w:bCs/>
          <w:color w:val="auto"/>
          <w:sz w:val="32"/>
          <w:szCs w:val="32"/>
          <w:highlight w:val="none"/>
          <w:lang w:val="zh-CN"/>
        </w:rPr>
        <w:t>第三节 报价文件格式</w:t>
      </w:r>
      <w:bookmarkEnd w:id="181"/>
      <w:bookmarkEnd w:id="182"/>
      <w:bookmarkEnd w:id="183"/>
    </w:p>
    <w:p>
      <w:pPr>
        <w:pStyle w:val="2"/>
        <w:rPr>
          <w:color w:val="auto"/>
          <w:highlight w:val="none"/>
        </w:rPr>
      </w:pPr>
    </w:p>
    <w:p>
      <w:pPr>
        <w:pStyle w:val="2"/>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rPr>
          <w:rFonts w:hint="eastAsia"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zh-CN"/>
        </w:rPr>
        <w:t>致：</w:t>
      </w:r>
      <w:r>
        <w:rPr>
          <w:rFonts w:hint="eastAsia" w:ascii="宋体" w:hAnsi="宋体" w:eastAsia="宋体" w:cs="宋体"/>
          <w:color w:val="auto"/>
          <w:kern w:val="0"/>
          <w:sz w:val="20"/>
          <w:szCs w:val="21"/>
          <w:highlight w:val="none"/>
          <w:u w:val="single"/>
          <w:lang w:val="zh-CN"/>
        </w:rPr>
        <w:t xml:space="preserve"> 广西</w:t>
      </w:r>
      <w:r>
        <w:rPr>
          <w:rFonts w:hint="eastAsia" w:ascii="宋体" w:hAnsi="宋体" w:eastAsia="宋体" w:cs="宋体"/>
          <w:color w:val="auto"/>
          <w:kern w:val="0"/>
          <w:sz w:val="20"/>
          <w:szCs w:val="21"/>
          <w:highlight w:val="none"/>
          <w:u w:val="single"/>
          <w:lang w:val="zh-CN" w:eastAsia="zh-CN"/>
        </w:rPr>
        <w:t>华晟</w:t>
      </w:r>
      <w:r>
        <w:rPr>
          <w:rFonts w:hint="eastAsia" w:ascii="宋体" w:hAnsi="宋体" w:eastAsia="宋体" w:cs="宋体"/>
          <w:color w:val="auto"/>
          <w:kern w:val="0"/>
          <w:sz w:val="20"/>
          <w:szCs w:val="21"/>
          <w:highlight w:val="none"/>
          <w:u w:val="single"/>
          <w:lang w:val="zh-CN"/>
        </w:rPr>
        <w:t>招标</w:t>
      </w:r>
      <w:r>
        <w:rPr>
          <w:rFonts w:hint="eastAsia" w:ascii="宋体" w:hAnsi="宋体" w:eastAsia="宋体" w:cs="宋体"/>
          <w:color w:val="auto"/>
          <w:kern w:val="0"/>
          <w:sz w:val="20"/>
          <w:szCs w:val="21"/>
          <w:highlight w:val="none"/>
          <w:u w:val="single"/>
          <w:lang w:val="zh-CN" w:eastAsia="zh-CN"/>
        </w:rPr>
        <w:t>代理</w:t>
      </w:r>
      <w:r>
        <w:rPr>
          <w:rFonts w:hint="eastAsia" w:ascii="宋体" w:hAnsi="宋体" w:eastAsia="宋体" w:cs="宋体"/>
          <w:color w:val="auto"/>
          <w:kern w:val="0"/>
          <w:sz w:val="20"/>
          <w:szCs w:val="21"/>
          <w:highlight w:val="none"/>
          <w:u w:val="single"/>
          <w:lang w:val="zh-CN"/>
        </w:rPr>
        <w:t>有限公司</w:t>
      </w:r>
      <w:r>
        <w:rPr>
          <w:rFonts w:hint="eastAsia" w:ascii="宋体" w:hAnsi="宋体" w:eastAsia="宋体" w:cs="宋体"/>
          <w:color w:val="auto"/>
          <w:kern w:val="0"/>
          <w:sz w:val="20"/>
          <w:szCs w:val="21"/>
          <w:highlight w:val="none"/>
          <w:u w:val="single"/>
        </w:rPr>
        <w:t xml:space="preserve"> </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lang w:val="zh-CN"/>
        </w:rPr>
        <w:t xml:space="preserve">）的竞争性谈判文件的全部内容，现正式递交下述文件参加贵方组织的本次政府采购活动： </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一、首次报价文件电子版（包含按“第三章 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二、技术文件电子版（包含按“第三章 供应商须知”提交的全部文件）；商务文件电子版（包含按“第三章 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三、资格证明文件电子版（包含按“第三章供应商须知”提交的全部文件）。</w:t>
      </w:r>
    </w:p>
    <w:p>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据此函，</w:t>
      </w:r>
      <w:r>
        <w:rPr>
          <w:rFonts w:hint="eastAsia" w:ascii="宋体" w:hAnsi="宋体" w:eastAsia="宋体" w:cs="宋体"/>
          <w:color w:val="auto"/>
          <w:kern w:val="0"/>
          <w:sz w:val="20"/>
          <w:szCs w:val="21"/>
          <w:highlight w:val="none"/>
        </w:rPr>
        <w:t>我方</w:t>
      </w:r>
      <w:r>
        <w:rPr>
          <w:rFonts w:hint="eastAsia" w:ascii="宋体" w:hAnsi="宋体" w:eastAsia="宋体" w:cs="宋体"/>
          <w:color w:val="auto"/>
          <w:kern w:val="0"/>
          <w:sz w:val="20"/>
          <w:szCs w:val="21"/>
          <w:highlight w:val="none"/>
          <w:lang w:val="zh-CN"/>
        </w:rPr>
        <w:t>兹宣布：</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1、我方愿意以谈判时提交的最后报价表中的竞标总报价，在承诺的交付使用期内提供本项目竞争性谈判文件“第二章</w:t>
      </w:r>
      <w:r>
        <w:rPr>
          <w:rFonts w:hint="eastAsia" w:ascii="宋体" w:hAnsi="宋体" w:eastAsia="宋体" w:cs="宋体"/>
          <w:color w:val="auto"/>
          <w:kern w:val="0"/>
          <w:sz w:val="20"/>
          <w:szCs w:val="21"/>
          <w:highlight w:val="none"/>
        </w:rPr>
        <w:t xml:space="preserve">  采购需求</w:t>
      </w:r>
      <w:r>
        <w:rPr>
          <w:rFonts w:hint="eastAsia" w:ascii="宋体" w:hAnsi="宋体" w:eastAsia="宋体" w:cs="宋体"/>
          <w:color w:val="auto"/>
          <w:kern w:val="0"/>
          <w:sz w:val="20"/>
          <w:szCs w:val="21"/>
          <w:highlight w:val="none"/>
          <w:lang w:val="zh-CN"/>
        </w:rPr>
        <w:t>”的“需求一览表”中相应的采购内容，具体详见最后报价表。</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0"/>
          <w:szCs w:val="21"/>
          <w:highlight w:val="none"/>
        </w:rPr>
        <w:t>竞标</w:t>
      </w:r>
      <w:r>
        <w:rPr>
          <w:rFonts w:hint="eastAsia" w:ascii="宋体" w:hAnsi="宋体" w:eastAsia="宋体" w:cs="宋体"/>
          <w:color w:val="auto"/>
          <w:kern w:val="0"/>
          <w:sz w:val="20"/>
          <w:szCs w:val="21"/>
          <w:highlight w:val="none"/>
          <w:lang w:val="zh-CN"/>
        </w:rPr>
        <w:t>有效期内不修改、撤销响应文件。</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3</w:t>
      </w:r>
      <w:r>
        <w:rPr>
          <w:rFonts w:hint="eastAsia" w:ascii="宋体" w:hAnsi="宋体" w:eastAsia="宋体" w:cs="宋体"/>
          <w:color w:val="auto"/>
          <w:kern w:val="0"/>
          <w:sz w:val="20"/>
          <w:szCs w:val="21"/>
          <w:highlight w:val="none"/>
          <w:lang w:val="zh-CN"/>
        </w:rPr>
        <w:t>、如本项目采购内容涉及须符合国家强制规定的，我方承诺我方本次竞标均符合国家有关强制规定。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4</w:t>
      </w:r>
      <w:r>
        <w:rPr>
          <w:rFonts w:hint="eastAsia" w:ascii="宋体" w:hAnsi="宋体" w:eastAsia="宋体" w:cs="宋体"/>
          <w:color w:val="auto"/>
          <w:kern w:val="0"/>
          <w:sz w:val="20"/>
          <w:szCs w:val="21"/>
          <w:highlight w:val="none"/>
          <w:lang w:val="zh-CN"/>
        </w:rPr>
        <w:t>、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5</w:t>
      </w:r>
      <w:r>
        <w:rPr>
          <w:rFonts w:hint="eastAsia" w:ascii="宋体" w:hAnsi="宋体" w:eastAsia="宋体" w:cs="宋体"/>
          <w:color w:val="auto"/>
          <w:kern w:val="0"/>
          <w:sz w:val="20"/>
          <w:szCs w:val="21"/>
          <w:highlight w:val="none"/>
          <w:lang w:val="zh-CN"/>
        </w:rPr>
        <w:t>、我方已详细审核竞争性谈判文件，我方知道必须放弃提出含糊不清或误解问题的权利。</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6</w:t>
      </w:r>
      <w:r>
        <w:rPr>
          <w:rFonts w:hint="eastAsia" w:ascii="宋体" w:hAnsi="宋体" w:eastAsia="宋体" w:cs="宋体"/>
          <w:color w:val="auto"/>
          <w:kern w:val="0"/>
          <w:sz w:val="20"/>
          <w:szCs w:val="21"/>
          <w:highlight w:val="none"/>
          <w:lang w:val="zh-CN"/>
        </w:rPr>
        <w:t>、我方承诺满足竞争性谈判文件第六章“合同文本”的条款，承担完成合同的责任和义务。</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7</w:t>
      </w:r>
      <w:r>
        <w:rPr>
          <w:rFonts w:hint="eastAsia" w:ascii="宋体" w:hAnsi="宋体" w:eastAsia="宋体" w:cs="宋体"/>
          <w:color w:val="auto"/>
          <w:kern w:val="0"/>
          <w:sz w:val="20"/>
          <w:szCs w:val="21"/>
          <w:highlight w:val="none"/>
          <w:lang w:val="zh-CN"/>
        </w:rPr>
        <w:t>、我方同意应贵方要求提供与本竞标有关的任何数据或资料。若贵方需要，我方愿意提供我方作出的一切承诺的证明材料。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8</w:t>
      </w:r>
      <w:r>
        <w:rPr>
          <w:rFonts w:hint="eastAsia" w:ascii="宋体" w:hAnsi="宋体" w:eastAsia="宋体" w:cs="宋体"/>
          <w:color w:val="auto"/>
          <w:kern w:val="0"/>
          <w:sz w:val="20"/>
          <w:szCs w:val="21"/>
          <w:highlight w:val="none"/>
          <w:lang w:val="zh-CN"/>
        </w:rPr>
        <w:t>、我方完全理解贵方不一定接受响应报价最低的供应商为成交供应商的行为。</w:t>
      </w:r>
    </w:p>
    <w:p>
      <w:pPr>
        <w:spacing w:line="360" w:lineRule="auto"/>
        <w:ind w:firstLine="482"/>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rPr>
        <w:t>9</w:t>
      </w:r>
      <w:r>
        <w:rPr>
          <w:rFonts w:hint="eastAsia" w:ascii="宋体" w:hAnsi="宋体" w:eastAsia="宋体" w:cs="宋体"/>
          <w:color w:val="auto"/>
          <w:kern w:val="0"/>
          <w:sz w:val="20"/>
          <w:szCs w:val="21"/>
          <w:highlight w:val="none"/>
          <w:lang w:val="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
        </w:numPr>
        <w:tabs>
          <w:tab w:val="left" w:pos="945"/>
        </w:tabs>
        <w:spacing w:line="360" w:lineRule="auto"/>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采取不正当手段诋毁、排挤其他供应商的；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与采购人、其他供应商或者采购代理机构恶意串通的；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向采购人、采购代理机构行贿或者提供其他不正当利益的；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在采购过程中与采购人进行协商谈判的；</w:t>
      </w:r>
    </w:p>
    <w:p>
      <w:pPr>
        <w:numPr>
          <w:ilvl w:val="0"/>
          <w:numId w:val="7"/>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rPr>
        <w:t>拒绝有关部门监督检查或提供虚假情况的。</w:t>
      </w:r>
    </w:p>
    <w:p>
      <w:pPr>
        <w:spacing w:line="360" w:lineRule="auto"/>
        <w:ind w:firstLine="420"/>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rPr>
        <w:t>10、</w:t>
      </w:r>
      <w:r>
        <w:rPr>
          <w:rFonts w:hint="eastAsia" w:ascii="宋体" w:hAnsi="宋体" w:eastAsia="宋体" w:cs="宋体"/>
          <w:color w:val="auto"/>
          <w:kern w:val="0"/>
          <w:sz w:val="20"/>
          <w:szCs w:val="20"/>
          <w:highlight w:val="none"/>
          <w:lang w:val="zh-CN"/>
        </w:rPr>
        <w:t>与本谈判有关的一切正式往来信函请寄：</w:t>
      </w:r>
    </w:p>
    <w:p>
      <w:pPr>
        <w:spacing w:line="360" w:lineRule="auto"/>
        <w:ind w:firstLine="42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rPr>
        <w:t>地址：</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电话：</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传真：</w:t>
      </w:r>
      <w:r>
        <w:rPr>
          <w:rFonts w:hint="eastAsia" w:ascii="宋体" w:hAnsi="宋体" w:eastAsia="宋体" w:cs="宋体"/>
          <w:color w:val="auto"/>
          <w:kern w:val="0"/>
          <w:sz w:val="20"/>
          <w:szCs w:val="21"/>
          <w:highlight w:val="none"/>
          <w:u w:val="single"/>
          <w:lang w:val="zh-CN"/>
        </w:rPr>
        <w:t>　　　　　　　　　　　　　　　　　　　　　　　　　　　　</w:t>
      </w:r>
    </w:p>
    <w:p>
      <w:pPr>
        <w:spacing w:line="360" w:lineRule="auto"/>
        <w:ind w:firstLine="42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电子邮箱：</w:t>
      </w:r>
      <w:r>
        <w:rPr>
          <w:rFonts w:hint="eastAsia" w:ascii="宋体" w:hAnsi="宋体" w:eastAsia="宋体" w:cs="宋体"/>
          <w:color w:val="auto"/>
          <w:kern w:val="0"/>
          <w:sz w:val="20"/>
          <w:szCs w:val="21"/>
          <w:highlight w:val="none"/>
          <w:u w:val="single"/>
          <w:lang w:val="zh-CN"/>
        </w:rPr>
        <w:t>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邮政编码：</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开户名称：</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开户银行：</w:t>
      </w:r>
      <w:r>
        <w:rPr>
          <w:rFonts w:hint="eastAsia" w:ascii="宋体" w:hAnsi="宋体" w:eastAsia="宋体" w:cs="宋体"/>
          <w:color w:val="auto"/>
          <w:kern w:val="0"/>
          <w:sz w:val="20"/>
          <w:szCs w:val="21"/>
          <w:highlight w:val="none"/>
          <w:u w:val="single"/>
          <w:lang w:val="zh-CN"/>
        </w:rPr>
        <w:t xml:space="preserve">                                                    </w:t>
      </w:r>
    </w:p>
    <w:p>
      <w:pPr>
        <w:spacing w:line="360" w:lineRule="auto"/>
        <w:ind w:firstLine="420"/>
        <w:rPr>
          <w:rFonts w:hint="eastAsia" w:ascii="宋体" w:hAnsi="宋体" w:eastAsia="宋体" w:cs="宋体"/>
          <w:color w:val="auto"/>
          <w:kern w:val="0"/>
          <w:sz w:val="20"/>
          <w:szCs w:val="21"/>
          <w:highlight w:val="none"/>
          <w:u w:val="single"/>
          <w:lang w:val="zh-CN"/>
        </w:rPr>
      </w:pPr>
      <w:r>
        <w:rPr>
          <w:rFonts w:hint="eastAsia" w:ascii="宋体" w:hAnsi="宋体" w:eastAsia="宋体" w:cs="宋体"/>
          <w:color w:val="auto"/>
          <w:kern w:val="0"/>
          <w:sz w:val="20"/>
          <w:szCs w:val="21"/>
          <w:highlight w:val="none"/>
          <w:lang w:val="zh-CN"/>
        </w:rPr>
        <w:t>银行账号：</w:t>
      </w:r>
      <w:r>
        <w:rPr>
          <w:rFonts w:hint="eastAsia" w:ascii="宋体" w:hAnsi="宋体" w:eastAsia="宋体" w:cs="宋体"/>
          <w:color w:val="auto"/>
          <w:kern w:val="0"/>
          <w:sz w:val="20"/>
          <w:szCs w:val="21"/>
          <w:highlight w:val="none"/>
          <w:u w:val="single"/>
          <w:lang w:val="zh-CN"/>
        </w:rPr>
        <w:t xml:space="preserve">                                                    </w:t>
      </w:r>
    </w:p>
    <w:p>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 xml:space="preserve">日期：  年  月   </w:t>
      </w: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pStyle w:val="22"/>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lang w:val="en-US" w:eastAsia="zh-CN" w:bidi="ar-SA"/>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2"/>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34"/>
        <w:gridCol w:w="926"/>
        <w:gridCol w:w="721"/>
        <w:gridCol w:w="1099"/>
        <w:gridCol w:w="968"/>
        <w:gridCol w:w="864"/>
        <w:gridCol w:w="1223"/>
        <w:gridCol w:w="1765"/>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序号</w:t>
            </w: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标的</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名称</w:t>
            </w: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商标</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品牌</w:t>
            </w:r>
          </w:p>
        </w:tc>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auto"/>
                <w:szCs w:val="21"/>
                <w:lang w:eastAsia="zh-CN"/>
              </w:rPr>
            </w:pPr>
            <w:r>
              <w:rPr>
                <w:rFonts w:hint="eastAsia" w:ascii="宋体" w:hAnsi="宋体" w:cs="宋体"/>
                <w:color w:val="auto"/>
                <w:szCs w:val="21"/>
                <w:lang w:eastAsia="zh-CN"/>
              </w:rPr>
              <w:t>规格</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型号</w:t>
            </w: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生产</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厂家</w:t>
            </w: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数 量</w:t>
            </w:r>
            <w:r>
              <w:rPr>
                <w:rFonts w:hint="eastAsia" w:ascii="宋体" w:hAnsi="宋体" w:eastAsia="宋体" w:cs="宋体"/>
                <w:color w:val="auto"/>
                <w:highlight w:val="none"/>
              </w:rPr>
              <w:t>①</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单位</w:t>
            </w: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单  价</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（元）</w:t>
            </w:r>
            <w:r>
              <w:rPr>
                <w:rFonts w:hint="eastAsia" w:ascii="宋体" w:hAnsi="宋体" w:eastAsia="宋体" w:cs="宋体"/>
                <w:color w:val="auto"/>
                <w:highlight w:val="none"/>
              </w:rPr>
              <w:t>②</w:t>
            </w:r>
          </w:p>
        </w:tc>
        <w:tc>
          <w:tcPr>
            <w:tcW w:w="176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单项合价</w:t>
            </w:r>
            <w:r>
              <w:rPr>
                <w:rFonts w:hint="eastAsia" w:ascii="宋体" w:hAnsi="宋体" w:eastAsia="宋体" w:cs="宋体"/>
                <w:color w:val="auto"/>
                <w:szCs w:val="21"/>
              </w:rPr>
              <w:t>（元）</w:t>
            </w:r>
          </w:p>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highlight w:val="none"/>
              </w:rPr>
              <w:t>③＝①×②</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176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176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176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9714" w:type="dxa"/>
            <w:gridSpan w:val="10"/>
            <w:tcBorders>
              <w:top w:val="single" w:color="auto" w:sz="4" w:space="0"/>
              <w:left w:val="single" w:color="auto" w:sz="4" w:space="0"/>
              <w:bottom w:val="single" w:color="auto" w:sz="4" w:space="0"/>
              <w:right w:val="single" w:color="auto" w:sz="4" w:space="0"/>
            </w:tcBorders>
            <w:vAlign w:val="bottom"/>
          </w:tcPr>
          <w:p>
            <w:pPr>
              <w:rPr>
                <w:rFonts w:hint="eastAsia"/>
                <w:color w:val="auto"/>
                <w:highlight w:val="none"/>
                <w:u w:val="single"/>
              </w:rPr>
            </w:pPr>
            <w:r>
              <w:rPr>
                <w:rFonts w:hint="eastAsia"/>
                <w:color w:val="auto"/>
                <w:highlight w:val="none"/>
              </w:rPr>
              <w:t>竞标总报价（包含税费等所有费用）：</w:t>
            </w:r>
            <w:r>
              <w:rPr>
                <w:rFonts w:hint="eastAsia"/>
                <w:color w:val="auto"/>
                <w:highlight w:val="none"/>
                <w:u w:val="single"/>
              </w:rPr>
              <w:t>人民币（大写）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rPr>
                <w:rFonts w:hint="default" w:eastAsiaTheme="minorEastAsia"/>
                <w:color w:val="auto"/>
                <w:highlight w:val="none"/>
                <w:lang w:val="en-US" w:eastAsia="zh-CN"/>
              </w:rPr>
            </w:pPr>
            <w:bookmarkStart w:id="184" w:name="OLE_LINK33"/>
            <w:r>
              <w:rPr>
                <w:rFonts w:hint="eastAsia"/>
                <w:color w:val="auto"/>
                <w:highlight w:val="none"/>
                <w:lang w:val="en-US" w:eastAsia="zh-CN"/>
              </w:rPr>
              <w:t xml:space="preserve"> 其中</w:t>
            </w:r>
            <w:r>
              <w:rPr>
                <w:rFonts w:hint="eastAsia" w:hAnsi="宋体" w:cs="Times New Roman"/>
                <w:color w:val="auto"/>
                <w:sz w:val="21"/>
                <w:lang w:val="en-US" w:eastAsia="zh-CN"/>
              </w:rPr>
              <w:t>标的</w:t>
            </w:r>
            <w:r>
              <w:rPr>
                <w:rFonts w:hint="eastAsia" w:hAnsi="宋体" w:eastAsia="宋体" w:cs="Times New Roman"/>
                <w:color w:val="auto"/>
                <w:sz w:val="21"/>
                <w:lang w:val="en-US" w:eastAsia="zh-CN"/>
              </w:rPr>
              <w:t>第1项至第26项货物标的</w:t>
            </w:r>
            <w:r>
              <w:rPr>
                <w:rFonts w:hint="eastAsia"/>
                <w:color w:val="auto"/>
                <w:highlight w:val="none"/>
              </w:rPr>
              <w:t>总报价（包含税费等所有费用）</w:t>
            </w:r>
            <w:r>
              <w:rPr>
                <w:rFonts w:hint="eastAsia" w:hAnsi="宋体" w:eastAsia="宋体" w:cs="Times New Roman"/>
                <w:color w:val="auto"/>
                <w:sz w:val="21"/>
                <w:lang w:val="en-US" w:eastAsia="zh-CN"/>
              </w:rPr>
              <w:t>：</w:t>
            </w:r>
            <w:r>
              <w:rPr>
                <w:rFonts w:hint="eastAsia"/>
                <w:color w:val="auto"/>
                <w:highlight w:val="none"/>
                <w:u w:val="single"/>
              </w:rPr>
              <w:t>人民币（大写）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9714" w:type="dxa"/>
            <w:gridSpan w:val="10"/>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Times New Roman" w:hAnsi="Times New Roman" w:eastAsia="宋体" w:cs="Times New Roman"/>
                <w:color w:val="auto"/>
                <w:highlight w:val="none"/>
              </w:rPr>
              <w:t>交付使用期</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9714" w:type="dxa"/>
            <w:gridSpan w:val="10"/>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2"/>
        <w:numPr>
          <w:ilvl w:val="255"/>
          <w:numId w:val="0"/>
        </w:num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before="50" w:after="50" w:line="360" w:lineRule="auto"/>
        <w:ind w:firstLine="420" w:firstLineChars="200"/>
        <w:jc w:val="left"/>
        <w:rPr>
          <w:rFonts w:hint="eastAsia" w:ascii="宋体" w:hAnsi="宋体" w:eastAsia="宋体" w:cs="宋体"/>
          <w:b/>
          <w:color w:val="auto"/>
          <w:kern w:val="0"/>
          <w:szCs w:val="21"/>
          <w:highlight w:val="none"/>
          <w:lang w:val="zh-CN"/>
        </w:rPr>
      </w:pPr>
      <w:r>
        <w:rPr>
          <w:rFonts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lang w:val="zh-CN"/>
        </w:rPr>
        <w:t>、特别提示：采购代理机构将对项目名称和项目编号，成交供应商名称、地址和成交金额，主要成交标的的名称、规格型号、数量、单价等予以公示。</w:t>
      </w:r>
    </w:p>
    <w:p>
      <w:pPr>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hint="eastAsia"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pStyle w:val="22"/>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lang w:val="en-US" w:eastAsia="zh-CN" w:bidi="ar-SA"/>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2"/>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46"/>
        <w:gridCol w:w="938"/>
        <w:gridCol w:w="730"/>
        <w:gridCol w:w="1113"/>
        <w:gridCol w:w="980"/>
        <w:gridCol w:w="875"/>
        <w:gridCol w:w="1238"/>
        <w:gridCol w:w="178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rPr>
        <w:tc>
          <w:tcPr>
            <w:tcW w:w="53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序号</w:t>
            </w:r>
          </w:p>
        </w:tc>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标的</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名称</w:t>
            </w:r>
          </w:p>
        </w:tc>
        <w:tc>
          <w:tcPr>
            <w:tcW w:w="93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商标</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品牌</w:t>
            </w:r>
          </w:p>
        </w:tc>
        <w:tc>
          <w:tcPr>
            <w:tcW w:w="7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auto"/>
                <w:szCs w:val="21"/>
                <w:lang w:eastAsia="zh-CN"/>
              </w:rPr>
            </w:pPr>
            <w:r>
              <w:rPr>
                <w:rFonts w:hint="eastAsia" w:ascii="宋体" w:hAnsi="宋体" w:cs="宋体"/>
                <w:color w:val="auto"/>
                <w:szCs w:val="21"/>
                <w:lang w:eastAsia="zh-CN"/>
              </w:rPr>
              <w:t>规格</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型号</w:t>
            </w:r>
          </w:p>
        </w:tc>
        <w:tc>
          <w:tcPr>
            <w:tcW w:w="11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生产</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厂家</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数 量</w:t>
            </w:r>
            <w:r>
              <w:rPr>
                <w:rFonts w:hint="eastAsia" w:ascii="宋体" w:hAnsi="宋体" w:eastAsia="宋体" w:cs="宋体"/>
                <w:color w:val="auto"/>
                <w:highlight w:val="none"/>
              </w:rPr>
              <w:t>①</w:t>
            </w:r>
          </w:p>
        </w:tc>
        <w:tc>
          <w:tcPr>
            <w:tcW w:w="8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单位</w:t>
            </w: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单  价</w:t>
            </w:r>
          </w:p>
          <w:p>
            <w:pPr>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rPr>
              <w:t>（元）</w:t>
            </w:r>
            <w:r>
              <w:rPr>
                <w:rFonts w:hint="eastAsia" w:ascii="宋体" w:hAnsi="宋体" w:eastAsia="宋体" w:cs="宋体"/>
                <w:color w:val="auto"/>
                <w:highlight w:val="none"/>
              </w:rPr>
              <w:t>②</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单项合价</w:t>
            </w:r>
            <w:r>
              <w:rPr>
                <w:rFonts w:hint="eastAsia" w:ascii="宋体" w:hAnsi="宋体" w:eastAsia="宋体" w:cs="宋体"/>
                <w:color w:val="auto"/>
                <w:szCs w:val="21"/>
              </w:rPr>
              <w:t>（元）</w:t>
            </w:r>
          </w:p>
          <w:p>
            <w:pPr>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highlight w:val="none"/>
              </w:rPr>
              <w:t>③＝①×②</w:t>
            </w:r>
          </w:p>
        </w:tc>
        <w:tc>
          <w:tcPr>
            <w:tcW w:w="6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17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69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17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69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17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c>
          <w:tcPr>
            <w:tcW w:w="69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835" w:type="dxa"/>
            <w:gridSpan w:val="10"/>
            <w:tcBorders>
              <w:top w:val="single" w:color="auto" w:sz="4" w:space="0"/>
              <w:left w:val="single" w:color="auto" w:sz="4" w:space="0"/>
              <w:bottom w:val="single" w:color="auto" w:sz="4" w:space="0"/>
              <w:right w:val="single" w:color="auto" w:sz="4" w:space="0"/>
            </w:tcBorders>
            <w:vAlign w:val="bottom"/>
          </w:tcPr>
          <w:p>
            <w:pPr>
              <w:rPr>
                <w:rFonts w:hint="eastAsia"/>
                <w:color w:val="auto"/>
                <w:highlight w:val="none"/>
                <w:u w:val="single"/>
              </w:rPr>
            </w:pPr>
            <w:r>
              <w:rPr>
                <w:rFonts w:hint="eastAsia"/>
                <w:color w:val="auto"/>
                <w:highlight w:val="none"/>
              </w:rPr>
              <w:t>竞标总报价（包含税费等所有费用）：</w:t>
            </w:r>
            <w:r>
              <w:rPr>
                <w:rFonts w:hint="eastAsia"/>
                <w:color w:val="auto"/>
                <w:highlight w:val="none"/>
                <w:u w:val="single"/>
              </w:rPr>
              <w:t>人民币（大写）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rPr>
                <w:color w:val="auto"/>
                <w:highlight w:val="none"/>
              </w:rPr>
            </w:pPr>
            <w:r>
              <w:rPr>
                <w:rFonts w:hint="eastAsia"/>
                <w:color w:val="auto"/>
                <w:highlight w:val="none"/>
                <w:lang w:val="en-US" w:eastAsia="zh-CN"/>
              </w:rPr>
              <w:t xml:space="preserve"> </w:t>
            </w:r>
            <w:bookmarkStart w:id="185" w:name="OLE_LINK39"/>
            <w:r>
              <w:rPr>
                <w:rFonts w:hint="eastAsia"/>
                <w:color w:val="auto"/>
                <w:highlight w:val="none"/>
                <w:lang w:val="en-US" w:eastAsia="zh-CN"/>
              </w:rPr>
              <w:t>其中</w:t>
            </w:r>
            <w:r>
              <w:rPr>
                <w:rFonts w:hint="eastAsia" w:hAnsi="宋体" w:cs="Times New Roman"/>
                <w:color w:val="auto"/>
                <w:sz w:val="21"/>
                <w:lang w:val="en-US" w:eastAsia="zh-CN"/>
              </w:rPr>
              <w:t>标的</w:t>
            </w:r>
            <w:r>
              <w:rPr>
                <w:rFonts w:hint="eastAsia" w:hAnsi="宋体" w:eastAsia="宋体" w:cs="Times New Roman"/>
                <w:color w:val="auto"/>
                <w:sz w:val="21"/>
                <w:lang w:val="en-US" w:eastAsia="zh-CN"/>
              </w:rPr>
              <w:t>第1项至第26项货物标的</w:t>
            </w:r>
            <w:r>
              <w:rPr>
                <w:rFonts w:hint="eastAsia"/>
                <w:color w:val="auto"/>
                <w:highlight w:val="none"/>
              </w:rPr>
              <w:t>总报价（包含税费等所有费用）</w:t>
            </w:r>
            <w:bookmarkEnd w:id="185"/>
            <w:r>
              <w:rPr>
                <w:rFonts w:hint="eastAsia" w:hAnsi="宋体" w:eastAsia="宋体" w:cs="Times New Roman"/>
                <w:color w:val="auto"/>
                <w:sz w:val="21"/>
                <w:lang w:val="en-US" w:eastAsia="zh-CN"/>
              </w:rPr>
              <w:t>：</w:t>
            </w:r>
            <w:r>
              <w:rPr>
                <w:rFonts w:hint="eastAsia"/>
                <w:color w:val="auto"/>
                <w:highlight w:val="none"/>
                <w:u w:val="single"/>
              </w:rPr>
              <w:t>人民币（大写）      （小写）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9835" w:type="dxa"/>
            <w:gridSpan w:val="10"/>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Times New Roman" w:hAnsi="Times New Roman" w:eastAsia="宋体" w:cs="Times New Roman"/>
                <w:color w:val="auto"/>
                <w:highlight w:val="none"/>
              </w:rPr>
              <w:t>交付使用期</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835" w:type="dxa"/>
            <w:gridSpan w:val="10"/>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rPr>
          <w:rFonts w:hint="eastAsia"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
        <w:rPr>
          <w:color w:val="auto"/>
          <w:highlight w:val="none"/>
        </w:rPr>
      </w:pPr>
    </w:p>
    <w:p>
      <w:pPr>
        <w:keepNext/>
        <w:keepLines/>
        <w:spacing w:before="260" w:after="260" w:line="416" w:lineRule="auto"/>
        <w:jc w:val="center"/>
        <w:outlineLvl w:val="1"/>
        <w:rPr>
          <w:rFonts w:hint="eastAsia" w:ascii="宋体" w:hAnsi="宋体" w:cs="仿宋_GB2312"/>
          <w:color w:val="auto"/>
          <w:sz w:val="24"/>
          <w:szCs w:val="24"/>
          <w:highlight w:val="none"/>
        </w:rPr>
      </w:pPr>
      <w:r>
        <w:rPr>
          <w:rFonts w:ascii="宋体" w:hAnsi="宋体" w:eastAsia="宋体" w:cs="Times New Roman"/>
          <w:color w:val="auto"/>
          <w:sz w:val="24"/>
          <w:szCs w:val="32"/>
          <w:highlight w:val="none"/>
          <w:lang w:val="zh-CN"/>
        </w:rPr>
        <w:br w:type="page"/>
      </w:r>
      <w:bookmarkStart w:id="186" w:name="_Toc80205942"/>
      <w:bookmarkStart w:id="187" w:name="_Toc23320"/>
      <w:bookmarkStart w:id="188" w:name="_Toc13939"/>
      <w:r>
        <w:rPr>
          <w:rFonts w:hint="eastAsia" w:ascii="宋体" w:hAnsi="宋体" w:eastAsia="宋体" w:cs="Times New Roman"/>
          <w:b/>
          <w:bCs/>
          <w:color w:val="auto"/>
          <w:sz w:val="32"/>
          <w:szCs w:val="32"/>
          <w:highlight w:val="none"/>
          <w:lang w:val="zh-CN"/>
        </w:rPr>
        <w:t>第四节 其他文书、文件格式</w:t>
      </w:r>
      <w:bookmarkEnd w:id="186"/>
      <w:bookmarkEnd w:id="187"/>
      <w:bookmarkEnd w:id="188"/>
    </w:p>
    <w:p>
      <w:pPr>
        <w:widowControl/>
        <w:shd w:val="clear" w:color="auto" w:fill="FFFFFF"/>
        <w:spacing w:line="480" w:lineRule="atLeast"/>
        <w:rPr>
          <w:rFonts w:hint="eastAsia" w:ascii="宋体" w:hAnsi="宋体" w:eastAsia="宋体" w:cs="宋体"/>
          <w:color w:val="auto"/>
          <w:kern w:val="0"/>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w:t>
      </w:r>
      <w:r>
        <w:rPr>
          <w:rFonts w:hint="eastAsia" w:ascii="宋体" w:hAnsi="宋体" w:eastAsia="宋体" w:cs="宋体"/>
          <w:color w:val="auto"/>
          <w:kern w:val="0"/>
          <w:sz w:val="28"/>
          <w:szCs w:val="28"/>
          <w:highlight w:val="none"/>
        </w:rPr>
        <w:t>广西壮族自治区政府采购项目合同验收书的格式：</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hint="eastAsia" w:ascii="Verdana" w:hAnsi="Verdana" w:cs="宋体"/>
                <w:color w:val="auto"/>
                <w:kern w:val="0"/>
                <w:szCs w:val="21"/>
                <w:highlight w:val="none"/>
                <w:lang w:val="en-US" w:eastAsia="zh-CN"/>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72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20"/>
        <w:snapToGrid w:val="0"/>
        <w:rPr>
          <w:rFonts w:hint="eastAsia" w:hAnsi="宋体"/>
          <w:color w:val="auto"/>
          <w:highlight w:val="none"/>
        </w:rPr>
      </w:pPr>
      <w:r>
        <w:rPr>
          <w:rFonts w:hAnsi="宋体"/>
          <w:color w:val="auto"/>
          <w:highlight w:val="none"/>
        </w:rPr>
        <w:br w:type="page"/>
      </w:r>
    </w:p>
    <w:p>
      <w:pPr>
        <w:spacing w:line="520" w:lineRule="exact"/>
        <w:jc w:val="center"/>
        <w:rPr>
          <w:rFonts w:hint="eastAsia" w:ascii="宋体" w:hAnsi="宋体" w:eastAsia="宋体" w:cs="Times New Roman"/>
          <w:color w:val="auto"/>
          <w:sz w:val="24"/>
          <w:szCs w:val="24"/>
          <w:highlight w:val="none"/>
        </w:rPr>
      </w:pPr>
    </w:p>
    <w:p>
      <w:pPr>
        <w:spacing w:line="520" w:lineRule="exact"/>
        <w:jc w:val="center"/>
        <w:rPr>
          <w:rFonts w:hint="eastAsia"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rPr>
      </w:pPr>
      <w:bookmarkStart w:id="189" w:name="_Toc20554"/>
      <w:bookmarkStart w:id="190" w:name="_Toc21248"/>
      <w:bookmarkStart w:id="191" w:name="_Toc4631"/>
      <w:bookmarkStart w:id="192" w:name="_Toc80205943"/>
      <w:bookmarkStart w:id="193" w:name="_Toc15382"/>
      <w:bookmarkStart w:id="194" w:name="_Toc22077"/>
      <w:bookmarkStart w:id="195" w:name="_Toc23849"/>
      <w:bookmarkStart w:id="196" w:name="_Toc10008"/>
      <w:bookmarkStart w:id="197" w:name="_Toc19175"/>
      <w:r>
        <w:rPr>
          <w:rFonts w:hint="eastAsia" w:ascii="宋体" w:hAnsi="宋体" w:eastAsia="宋体" w:cs="Times New Roman"/>
          <w:color w:val="auto"/>
          <w:kern w:val="44"/>
          <w:sz w:val="44"/>
          <w:szCs w:val="44"/>
          <w:highlight w:val="none"/>
          <w:lang w:val="zh-CN"/>
        </w:rPr>
        <w:t>第六章 合同文本</w:t>
      </w:r>
      <w:bookmarkEnd w:id="189"/>
      <w:bookmarkEnd w:id="190"/>
      <w:bookmarkEnd w:id="191"/>
      <w:bookmarkEnd w:id="192"/>
      <w:bookmarkEnd w:id="193"/>
      <w:bookmarkEnd w:id="194"/>
      <w:bookmarkEnd w:id="195"/>
      <w:bookmarkEnd w:id="196"/>
    </w:p>
    <w:bookmarkEnd w:id="197"/>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rPr>
      </w:pPr>
    </w:p>
    <w:p>
      <w:pPr>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pPr>
        <w:snapToGrid w:val="0"/>
        <w:spacing w:line="400" w:lineRule="exact"/>
        <w:jc w:val="center"/>
        <w:rPr>
          <w:rFonts w:hint="eastAsia" w:ascii="宋体" w:hAnsi="宋体"/>
          <w:b/>
          <w:bCs/>
          <w:color w:val="auto"/>
          <w:sz w:val="32"/>
          <w:szCs w:val="32"/>
          <w:highlight w:val="none"/>
        </w:rPr>
      </w:pPr>
      <w:bookmarkStart w:id="198" w:name="_Toc31751"/>
      <w:bookmarkStart w:id="199" w:name="_Toc80205947"/>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hint="eastAsia" w:ascii="宋体" w:hAnsi="宋体"/>
          <w:bCs/>
          <w:color w:val="auto"/>
          <w:szCs w:val="21"/>
          <w:highlight w:val="none"/>
        </w:rPr>
      </w:pPr>
    </w:p>
    <w:p>
      <w:pPr>
        <w:snapToGrid w:val="0"/>
        <w:spacing w:line="360" w:lineRule="auto"/>
        <w:ind w:right="480" w:firstLine="4410" w:firstLineChars="2100"/>
        <w:rPr>
          <w:rFonts w:hint="eastAsia" w:ascii="宋体" w:hAnsi="宋体" w:cs="宋体"/>
          <w:bCs/>
          <w:color w:val="auto"/>
          <w:szCs w:val="21"/>
          <w:highlight w:val="none"/>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pPr>
        <w:pStyle w:val="2"/>
        <w:spacing w:line="360" w:lineRule="auto"/>
        <w:ind w:firstLine="4410" w:firstLineChars="2100"/>
        <w:rPr>
          <w:color w:val="auto"/>
          <w:sz w:val="21"/>
          <w:szCs w:val="21"/>
          <w:highlight w:val="none"/>
        </w:rPr>
      </w:pPr>
      <w:r>
        <w:rPr>
          <w:rFonts w:hint="eastAsia" w:ascii="宋体" w:hAnsi="宋体" w:cs="宋体"/>
          <w:color w:val="auto"/>
          <w:sz w:val="21"/>
          <w:szCs w:val="21"/>
          <w:highlight w:val="none"/>
        </w:rPr>
        <w:t>采购计划号：</w:t>
      </w:r>
      <w:r>
        <w:rPr>
          <w:rFonts w:hint="eastAsia" w:ascii="宋体" w:hAnsi="宋体" w:cs="宋体"/>
          <w:color w:val="auto"/>
          <w:sz w:val="21"/>
          <w:szCs w:val="21"/>
          <w:highlight w:val="none"/>
          <w:u w:val="single"/>
        </w:rPr>
        <w:t xml:space="preserve">               </w:t>
      </w:r>
    </w:p>
    <w:p>
      <w:pPr>
        <w:snapToGrid w:val="0"/>
        <w:spacing w:line="400" w:lineRule="exact"/>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成交供应商（乙方）：</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根据《中华人民共和国政府采购法》、《中华人民共和国民法典》等法律、法规规定，按照竞争性谈判文件规定条款和成交供应商承诺，甲乙双方签订本合同。</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1.合同总金额：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2.供货一览表（详见附件中的响应报价表）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总金额是履行合同的最终价格，必须包含竞标货物（包括备品备件、专用工具等）的价格及其运输（含保险）、安装（如有）、调试、检验、技术服务、培训和采购文件要求提供的所有伴随服务、工程等费用和税费。竞争性谈判文件另有约定的，从其约定。</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质量要求</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2.乙方所提供的货物必须是全新、未使用的原装产品，且在正常安装、使用和保养条件下，其使用寿命期内各项指标均达到竞争性谈判文件规定或者响应文件承诺的质量要求。</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1.乙方应保证所提供货物在使用时不会侵犯任何第三方的专利权、商标权、工业设计权或者其他权利。</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2.乙方应按竞争性谈判文件规定或者响应文件承诺的时间向甲方提供使用货物的有关技术资料。</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4.乙方保证将要交付的货物的所有权完全属于乙方且无任何抵押、质押、查封等产权瑕疵。</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1.乙方提供的货物均应按竞争性谈判文件规定或者响应文件承诺的要求的包装材料、包装标准、包装方式进行包装，每一包装单元内应附详细的装箱单和质量合格证。</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r>
        <w:rPr>
          <w:rFonts w:hint="eastAsia" w:ascii="宋体" w:hAnsi="宋体" w:eastAsia="宋体" w:cs="宋体"/>
          <w:color w:val="auto"/>
          <w:szCs w:val="21"/>
          <w:highlight w:val="none"/>
          <w:u w:val="single"/>
        </w:rPr>
        <w:t xml:space="preserve">  乙方自行负责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3.乙方负责货物运输，货物运输合理损耗及计算方法：</w:t>
      </w:r>
      <w:r>
        <w:rPr>
          <w:rFonts w:hint="eastAsia" w:ascii="宋体" w:hAnsi="宋体" w:eastAsia="宋体" w:cs="宋体"/>
          <w:color w:val="auto"/>
          <w:szCs w:val="21"/>
          <w:highlight w:val="none"/>
          <w:u w:val="single"/>
        </w:rPr>
        <w:t xml:space="preserve"> 乙方自行负责 </w:t>
      </w:r>
      <w:r>
        <w:rPr>
          <w:rFonts w:hint="eastAsia" w:ascii="宋体" w:hAnsi="宋体" w:eastAsia="宋体" w:cs="宋体"/>
          <w:color w:val="auto"/>
          <w:szCs w:val="21"/>
          <w:highlight w:val="none"/>
        </w:rPr>
        <w:t>。</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交付和验收</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1.交付使用期：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2.乙方提供不符合竞争性谈判文件规定或者响应文件承诺的和本合同规定的货物，甲方有权拒绝接受。</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4.甲方应当在到货（安装、调试完）后七个工作日内进行验收。验收合格后由甲乙双方签署货物验收单并加盖甲方公章，甲乙双方各执一份。</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6.甲方对验收有异议的，在验收后五个工作日内以书面形式向乙方提出，乙方应自收到甲方书面异议后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日内及时予以解决。</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2.乙方响应文件承诺负责甲方有关人员的培训。培训时间、地点：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售后服务、质保期</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1.乙方应按照国家有关法律法规和“三包”规定以及本合同所附的《服务承诺》，为甲方提供售后服务。</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2.货物质保期：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3.乙方提供的服务承诺和售后服务及保修期责任等其他具体约定事项。（见合同附件）</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付款方式</w:t>
      </w:r>
    </w:p>
    <w:p>
      <w:pPr>
        <w:pStyle w:val="20"/>
        <w:keepNext w:val="0"/>
        <w:keepLines w:val="0"/>
        <w:pageBreakBefore w:val="0"/>
        <w:kinsoku/>
        <w:wordWrap/>
        <w:overflowPunct/>
        <w:topLinePunct w:val="0"/>
        <w:autoSpaceDE/>
        <w:autoSpaceDN/>
        <w:bidi w:val="0"/>
        <w:adjustRightInd/>
        <w:snapToGrid w:val="0"/>
        <w:spacing w:line="360" w:lineRule="exact"/>
        <w:rPr>
          <w:rFonts w:hint="eastAsia" w:hAnsi="宋体" w:eastAsia="宋体" w:cs="Times New Roman"/>
          <w:color w:val="auto"/>
          <w:sz w:val="21"/>
          <w:lang w:val="en-US" w:eastAsia="zh-CN"/>
        </w:rPr>
      </w:pPr>
      <w:r>
        <w:rPr>
          <w:rFonts w:hint="eastAsia" w:hAnsi="宋体" w:eastAsia="宋体" w:cs="Times New Roman"/>
          <w:color w:val="auto"/>
          <w:sz w:val="21"/>
          <w:lang w:val="en-US" w:eastAsia="zh-CN"/>
        </w:rPr>
        <w:t>（1）货物标的</w:t>
      </w:r>
      <w:r>
        <w:rPr>
          <w:rFonts w:hint="eastAsia" w:hAnsi="宋体" w:cs="Times New Roman"/>
          <w:color w:val="auto"/>
          <w:sz w:val="21"/>
          <w:lang w:val="en-US" w:eastAsia="zh-CN"/>
        </w:rPr>
        <w:t>的</w:t>
      </w:r>
      <w:r>
        <w:rPr>
          <w:rFonts w:hint="eastAsia" w:hAnsi="宋体" w:eastAsia="宋体" w:cs="Times New Roman"/>
          <w:color w:val="auto"/>
          <w:sz w:val="21"/>
          <w:lang w:val="en-US" w:eastAsia="zh-CN"/>
        </w:rPr>
        <w:t>付款方式:</w:t>
      </w:r>
    </w:p>
    <w:p>
      <w:pPr>
        <w:keepNext w:val="0"/>
        <w:keepLines w:val="0"/>
        <w:pageBreakBefore w:val="0"/>
        <w:widowControl/>
        <w:suppressLineNumbers w:val="0"/>
        <w:kinsoku/>
        <w:wordWrap/>
        <w:overflowPunct/>
        <w:topLinePunct w:val="0"/>
        <w:autoSpaceDE/>
        <w:autoSpaceDN/>
        <w:bidi w:val="0"/>
        <w:adjustRightInd/>
        <w:spacing w:line="360" w:lineRule="exact"/>
        <w:ind w:firstLine="420" w:firstLineChars="200"/>
        <w:jc w:val="left"/>
        <w:rPr>
          <w:rFonts w:hint="eastAsia" w:ascii="宋体" w:hAnsi="宋体" w:eastAsia="宋体" w:cs="宋体"/>
          <w:b w:val="0"/>
          <w:bCs w:val="0"/>
          <w:color w:val="auto"/>
          <w:sz w:val="21"/>
          <w:szCs w:val="21"/>
          <w:lang w:val="en-US" w:eastAsia="zh-CN"/>
        </w:rPr>
      </w:pPr>
      <w:r>
        <w:rPr>
          <w:rFonts w:hint="eastAsia" w:hAnsi="宋体" w:eastAsia="宋体" w:cs="Times New Roman"/>
          <w:color w:val="auto"/>
          <w:sz w:val="21"/>
        </w:rPr>
        <w:t>1）</w:t>
      </w:r>
      <w:r>
        <w:rPr>
          <w:rFonts w:hint="eastAsia" w:ascii="宋体" w:hAnsi="宋体" w:eastAsia="宋体" w:cs="宋体"/>
          <w:b w:val="0"/>
          <w:bCs w:val="0"/>
          <w:color w:val="auto"/>
          <w:sz w:val="21"/>
          <w:szCs w:val="21"/>
          <w:lang w:val="en-US" w:eastAsia="zh-CN"/>
        </w:rPr>
        <w:t>签订合同后，成交供应商金额开具同等金额30%的合法发票给采购人,收到成交供应商开具相应金额增值税发票及书面支付申请后10个工作日内，采购人应向成交供应商支付合同总价的30%的货物款项。</w:t>
      </w:r>
    </w:p>
    <w:p>
      <w:pPr>
        <w:keepNext w:val="0"/>
        <w:keepLines w:val="0"/>
        <w:pageBreakBefore w:val="0"/>
        <w:widowControl/>
        <w:suppressLineNumbers w:val="0"/>
        <w:kinsoku/>
        <w:wordWrap/>
        <w:overflowPunct/>
        <w:topLinePunct w:val="0"/>
        <w:autoSpaceDE/>
        <w:autoSpaceDN/>
        <w:bidi w:val="0"/>
        <w:adjustRightInd/>
        <w:spacing w:line="36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采购货物全部完成安装、调试、交付使用、验收合格后，成交供应商金额开具同等金额70%的合法发票给采购人,收到成交供应商开具相应金额增值税发票及书面支付申请10个工作日内，采购人应向成交供应商支付合同总价的70%的款项。</w:t>
      </w:r>
    </w:p>
    <w:p>
      <w:pPr>
        <w:pStyle w:val="20"/>
        <w:keepNext w:val="0"/>
        <w:keepLines w:val="0"/>
        <w:pageBreakBefore w:val="0"/>
        <w:kinsoku/>
        <w:wordWrap/>
        <w:overflowPunct/>
        <w:topLinePunct w:val="0"/>
        <w:autoSpaceDE/>
        <w:autoSpaceDN/>
        <w:bidi w:val="0"/>
        <w:adjustRightInd/>
        <w:snapToGrid w:val="0"/>
        <w:spacing w:line="360" w:lineRule="exact"/>
        <w:rPr>
          <w:rFonts w:hint="eastAsia" w:hAnsi="宋体" w:eastAsia="宋体" w:cs="Times New Roman"/>
          <w:color w:val="auto"/>
          <w:sz w:val="21"/>
          <w:lang w:val="en-US" w:eastAsia="zh-CN"/>
        </w:rPr>
      </w:pPr>
      <w:r>
        <w:rPr>
          <w:rFonts w:hint="eastAsia" w:hAnsi="宋体" w:eastAsia="宋体" w:cs="Times New Roman"/>
          <w:color w:val="auto"/>
          <w:sz w:val="21"/>
          <w:lang w:val="en-US" w:eastAsia="zh-CN"/>
        </w:rPr>
        <w:t>（2）维护服务</w:t>
      </w:r>
      <w:r>
        <w:rPr>
          <w:rFonts w:hint="eastAsia" w:hAnsi="宋体" w:cs="Times New Roman"/>
          <w:color w:val="auto"/>
          <w:sz w:val="21"/>
          <w:lang w:val="en-US" w:eastAsia="zh-CN"/>
        </w:rPr>
        <w:t>的</w:t>
      </w:r>
      <w:r>
        <w:rPr>
          <w:rFonts w:hint="eastAsia" w:hAnsi="宋体" w:eastAsia="宋体" w:cs="Times New Roman"/>
          <w:color w:val="auto"/>
          <w:sz w:val="21"/>
          <w:lang w:val="en-US" w:eastAsia="zh-CN"/>
        </w:rPr>
        <w:t>付款方式:</w:t>
      </w:r>
    </w:p>
    <w:p>
      <w:pPr>
        <w:widowControl/>
        <w:spacing w:line="360" w:lineRule="exact"/>
        <w:ind w:firstLine="420" w:firstLineChars="200"/>
        <w:jc w:val="left"/>
        <w:textAlignment w:val="center"/>
        <w:rPr>
          <w:color w:val="auto"/>
          <w:sz w:val="21"/>
          <w:szCs w:val="21"/>
        </w:rPr>
      </w:pPr>
      <w:r>
        <w:rPr>
          <w:rFonts w:hint="eastAsia" w:ascii="宋体" w:hAnsi="Courier New" w:eastAsia="宋体" w:cs="Times New Roman"/>
          <w:b w:val="0"/>
          <w:bCs w:val="0"/>
          <w:color w:val="auto"/>
          <w:kern w:val="0"/>
          <w:sz w:val="21"/>
          <w:szCs w:val="21"/>
          <w:lang w:val="en-US" w:eastAsia="zh-CN" w:bidi="ar-SA"/>
        </w:rPr>
        <w:t>1）维护服务款项分5次结清。货物验收合格后每满一年付一次维护服务费。服务期每满一年，供应商开具维护服务同等金额20%的合法发票给采购人,采购人收到发票及书面支付申请后10个工作日内向成交供应商支付维护服务费。</w:t>
      </w:r>
    </w:p>
    <w:p>
      <w:pPr>
        <w:widowControl/>
        <w:spacing w:line="360" w:lineRule="exact"/>
        <w:ind w:firstLine="422" w:firstLineChars="200"/>
        <w:jc w:val="left"/>
        <w:textAlignment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第九条　履约保证金</w:t>
      </w:r>
      <w:r>
        <w:rPr>
          <w:rFonts w:hint="eastAsia" w:ascii="宋体" w:hAnsi="宋体" w:eastAsia="宋体" w:cs="宋体"/>
          <w:b/>
          <w:bCs/>
          <w:color w:val="auto"/>
          <w:szCs w:val="21"/>
          <w:highlight w:val="none"/>
        </w:rPr>
        <w:t>：</w:t>
      </w:r>
    </w:p>
    <w:p>
      <w:pPr>
        <w:widowControl/>
        <w:spacing w:line="360" w:lineRule="exact"/>
        <w:ind w:firstLine="420" w:firstLineChars="20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履约保证金：无。</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质量保证及售后服务</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bCs/>
          <w:color w:val="auto"/>
          <w:sz w:val="21"/>
          <w:highlight w:val="none"/>
        </w:rPr>
        <w:t>1.</w:t>
      </w:r>
      <w:r>
        <w:rPr>
          <w:rFonts w:hint="eastAsia" w:hAnsi="宋体" w:cs="宋体"/>
          <w:color w:val="auto"/>
          <w:sz w:val="21"/>
          <w:highlight w:val="none"/>
        </w:rPr>
        <w:t>乙方应按响应文件承诺的产品名称、商标品牌、生产厂家、规格型号、技术参数、质量标准向甲方提供未经使用的全新产品。不符合要求的，根据实际情况，经双方协商，可按以下办法处理：</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⑴更换：由乙方承担所发生的全部费用。</w:t>
      </w:r>
    </w:p>
    <w:p>
      <w:pPr>
        <w:pStyle w:val="20"/>
        <w:snapToGrid w:val="0"/>
        <w:spacing w:line="420" w:lineRule="exact"/>
        <w:ind w:firstLine="420"/>
        <w:rPr>
          <w:rFonts w:hint="eastAsia" w:hAnsi="宋体" w:cs="宋体"/>
          <w:color w:val="auto"/>
          <w:sz w:val="21"/>
          <w:highlight w:val="none"/>
        </w:rPr>
      </w:pPr>
      <w:r>
        <w:rPr>
          <w:rFonts w:hint="eastAsia" w:hAnsi="宋体" w:cs="宋体"/>
          <w:color w:val="auto"/>
          <w:sz w:val="21"/>
          <w:highlight w:val="none"/>
        </w:rPr>
        <w:t>⑵贬值处理：由甲乙双方合议定价。</w:t>
      </w:r>
    </w:p>
    <w:p>
      <w:pPr>
        <w:pStyle w:val="20"/>
        <w:snapToGrid w:val="0"/>
        <w:spacing w:line="420" w:lineRule="exact"/>
        <w:ind w:firstLine="420"/>
        <w:rPr>
          <w:rFonts w:hint="eastAsia" w:hAnsi="宋体" w:cs="宋体"/>
          <w:color w:val="auto"/>
          <w:sz w:val="21"/>
          <w:highlight w:val="none"/>
        </w:rPr>
      </w:pPr>
      <w:r>
        <w:rPr>
          <w:rFonts w:hint="eastAsia" w:hAnsi="宋体" w:cs="宋体"/>
          <w:color w:val="auto"/>
          <w:sz w:val="21"/>
          <w:highlight w:val="none"/>
        </w:rPr>
        <w:t>⑶退货处理：乙方应退还甲方支付的合同款，同时应承担该货物的直接费用（运输、保险、检验、货款利息及银行手续费等）。</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2.如在使用过程中发生质量问题，乙方在接到甲方通知后到达甲方现场处理的时间</w:t>
      </w:r>
      <w:r>
        <w:rPr>
          <w:rFonts w:hint="eastAsia" w:hAnsi="宋体" w:cs="宋体"/>
          <w:i/>
          <w:iCs/>
          <w:color w:val="auto"/>
          <w:sz w:val="21"/>
          <w:highlight w:val="none"/>
        </w:rPr>
        <w:t>（</w:t>
      </w:r>
      <w:r>
        <w:rPr>
          <w:rFonts w:hint="eastAsia" w:hAnsi="宋体" w:cs="宋体"/>
          <w:i/>
          <w:iCs/>
          <w:color w:val="auto"/>
          <w:sz w:val="21"/>
          <w:highlight w:val="none"/>
          <w:u w:val="single"/>
        </w:rPr>
        <w:t>按响应文件承诺的数据填写</w:t>
      </w:r>
      <w:r>
        <w:rPr>
          <w:rFonts w:hint="eastAsia" w:hAnsi="宋体" w:cs="宋体"/>
          <w:i/>
          <w:iCs/>
          <w:color w:val="auto"/>
          <w:sz w:val="21"/>
          <w:highlight w:val="none"/>
        </w:rPr>
        <w:t>）</w:t>
      </w:r>
      <w:r>
        <w:rPr>
          <w:rFonts w:hint="eastAsia" w:hAnsi="宋体" w:cs="宋体"/>
          <w:color w:val="auto"/>
          <w:sz w:val="21"/>
          <w:highlight w:val="none"/>
        </w:rPr>
        <w:t>小时内。</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3.在质保期内，乙方应对货物出现的质量及安全问题负责处理解决并承担一切费用。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4.上述的货物质保期为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年，因人为因素出现的故障不在免费保修范围内。超过保修期的机器设备，终生维修，维修时只收部件成本费。</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  调试和验收</w:t>
      </w:r>
    </w:p>
    <w:p>
      <w:pPr>
        <w:pStyle w:val="20"/>
        <w:snapToGrid w:val="0"/>
        <w:spacing w:line="42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hAnsi="宋体" w:cs="宋体"/>
          <w:color w:val="auto"/>
          <w:sz w:val="21"/>
          <w:highlight w:val="none"/>
          <w:lang w:val="en-US"/>
        </w:rPr>
        <w:t>七</w:t>
      </w:r>
      <w:r>
        <w:rPr>
          <w:rFonts w:hint="eastAsia" w:hAnsi="宋体" w:cs="宋体"/>
          <w:color w:val="auto"/>
          <w:sz w:val="21"/>
          <w:highlight w:val="none"/>
        </w:rPr>
        <w:t>个工作日内进行验收。</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2.乙方交货前应对产品作出全面检查和对验收文件进行整理，并列出清单，作为甲方收货验收和使用的技术条件依据，检验的结果应随货物交甲方。</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4.对技术复杂的货物，甲方应请国家认可的专业检测机构参与初步验收及最终验收，并由其出具质量检测报告。</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5.验收时乙方必须在现场，验收完毕后作出验收结果报告；验收费用按竞争性谈判文件约定承担方负责。</w:t>
      </w:r>
    </w:p>
    <w:p>
      <w:pPr>
        <w:pStyle w:val="20"/>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第十三条  货物包装、发运及运输</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1.乙方应在货物发运前对其进行满足运输距离、防潮、防震、防锈和防破损装卸等要求包装，以保证货物安全运达甲方指定地点。</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2.使用说明书（货物属于进口产品的，供货时应同时附上中文使用说明书）、质量检验证明书、随配附件和工具以及清单一并附于货物内。</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3.乙方在货物发运手续办理完毕后二十四小时内或者货到甲方四十八小时前通知甲方，以准备接货。</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4.货物在交付甲方前发生的风险均由乙方负责。</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5.货物在规定的交付期限内由乙方送达甲方指定的地点视为交付，乙方同时需通知甲方货物已送达。</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违约责任</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2.乙方提供的货物如侵犯了第三方合法权益而引发的任何纠纷或者诉讼，均由乙方负责交涉并承担全部责任。</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3.因包装、运输引起的货物损坏，按质量不合格处罚。</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4.甲方无故延期接收货物、乙方逾期交货的，每天向对方偿付违约货款额3‰违约金，但违约金累计不得超过违约货款额5%，超过</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天对方有权解除合同，违约方承担因此给对方造成经济损失；甲方延期付货款的，每天向乙方偿付延期货款额3‰滞纳金，但滞纳金累计不得超过延期货款额5%。</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5.乙方未按本合同和响应文件中规定的服务承诺提供售后服务的，乙方应按本合同总金额 5%向甲方支付违约金。</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6.乙方提供的货物在质量保证期内，因设计、工艺或者材料的缺陷和其他质量原因造成的问题，由乙方负责，费用从余款中扣除，不足另补。</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7.甲乙双方有其他违约行为的，由违约方向对方支付违约内容涉及货款额的5%，违约内容涉及货款额的5%不足以赔偿经济损失的按实际赔偿。</w:t>
      </w:r>
    </w:p>
    <w:p>
      <w:pPr>
        <w:pStyle w:val="20"/>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第十五条  不可抗力事件处理</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pPr>
        <w:pStyle w:val="20"/>
        <w:snapToGrid w:val="0"/>
        <w:spacing w:line="420" w:lineRule="exact"/>
        <w:ind w:firstLine="420" w:firstLineChars="200"/>
        <w:rPr>
          <w:rFonts w:hint="eastAsia"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snapToGrid w:val="0"/>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  合同争议解决</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2.因履行本合同引起的或者与本合同有关的争议，甲乙双方应首先通过友好协商解决，如果协商不能解决，可向甲方所在地人民法院提起诉讼。</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pStyle w:val="20"/>
        <w:snapToGrid w:val="0"/>
        <w:spacing w:line="420" w:lineRule="exact"/>
        <w:ind w:firstLine="413" w:firstLineChars="196"/>
        <w:rPr>
          <w:rFonts w:hint="eastAsia" w:hAnsi="宋体" w:cs="宋体"/>
          <w:b/>
          <w:color w:val="auto"/>
          <w:sz w:val="21"/>
          <w:highlight w:val="none"/>
        </w:rPr>
      </w:pPr>
      <w:r>
        <w:rPr>
          <w:rFonts w:hint="eastAsia" w:hAnsi="宋体" w:cs="宋体"/>
          <w:b/>
          <w:color w:val="auto"/>
          <w:sz w:val="21"/>
          <w:highlight w:val="none"/>
        </w:rPr>
        <w:t>第十七条  合同生效及其他</w:t>
      </w:r>
    </w:p>
    <w:p>
      <w:pPr>
        <w:pStyle w:val="20"/>
        <w:snapToGrid w:val="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1. 合同经双方法定代表人或者其委托代理人签字并加盖单位公章后生效。</w:t>
      </w:r>
    </w:p>
    <w:p>
      <w:pPr>
        <w:pStyle w:val="20"/>
        <w:snapToGrid w:val="0"/>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2.合同执行中涉及采购资金和采购内容修改或者补充的，须经财政部门审批，并签书面补充协议报财政部门备案，方可作为主合同不可分割的一部分。</w:t>
      </w:r>
    </w:p>
    <w:p>
      <w:pPr>
        <w:pStyle w:val="20"/>
        <w:snapToGrid w:val="0"/>
        <w:spacing w:line="420" w:lineRule="exact"/>
        <w:ind w:left="283" w:leftChars="135" w:firstLine="143"/>
        <w:rPr>
          <w:rFonts w:hint="eastAsia" w:hAnsi="宋体" w:cs="宋体"/>
          <w:bCs/>
          <w:color w:val="auto"/>
          <w:sz w:val="21"/>
          <w:highlight w:val="none"/>
        </w:rPr>
      </w:pPr>
      <w:r>
        <w:rPr>
          <w:rFonts w:hint="eastAsia" w:hAnsi="宋体" w:cs="宋体"/>
          <w:bCs/>
          <w:color w:val="auto"/>
          <w:sz w:val="21"/>
          <w:highlight w:val="none"/>
        </w:rPr>
        <w:t>3.本合同未尽事宜，遵照《中华人民共和国民法典》有关条文执行。</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第十八条　合同的变更、终止与转让</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2.乙方不得擅自转让（无进口资格的供应商委托进口货物除外）其应履行的合同义务。</w:t>
      </w:r>
    </w:p>
    <w:p>
      <w:pPr>
        <w:snapToGrid w:val="0"/>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第十九条　</w:t>
      </w:r>
      <w:r>
        <w:rPr>
          <w:rFonts w:hint="eastAsia" w:ascii="宋体" w:hAnsi="宋体" w:eastAsia="宋体" w:cs="宋体"/>
          <w:b/>
          <w:bCs/>
          <w:color w:val="auto"/>
          <w:kern w:val="0"/>
          <w:szCs w:val="21"/>
          <w:highlight w:val="none"/>
        </w:rPr>
        <w:t>本合同书与下列文件一起构成合同文件</w:t>
      </w:r>
    </w:p>
    <w:p>
      <w:pPr>
        <w:pStyle w:val="20"/>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1.成交通知书；</w:t>
      </w:r>
    </w:p>
    <w:p>
      <w:pPr>
        <w:pStyle w:val="20"/>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2.响应函；</w:t>
      </w:r>
    </w:p>
    <w:p>
      <w:pPr>
        <w:pStyle w:val="20"/>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3.商务条款偏离表和技术需求偏离表；</w:t>
      </w:r>
    </w:p>
    <w:p>
      <w:pPr>
        <w:pStyle w:val="20"/>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4.采购需求；</w:t>
      </w:r>
    </w:p>
    <w:p>
      <w:pPr>
        <w:pStyle w:val="20"/>
        <w:snapToGrid w:val="0"/>
        <w:spacing w:line="420" w:lineRule="exact"/>
        <w:ind w:left="420" w:leftChars="200"/>
        <w:rPr>
          <w:rFonts w:hint="eastAsia" w:hAnsi="宋体" w:cs="宋体"/>
          <w:color w:val="auto"/>
          <w:sz w:val="21"/>
          <w:highlight w:val="none"/>
        </w:rPr>
      </w:pPr>
      <w:r>
        <w:rPr>
          <w:rFonts w:hint="eastAsia" w:hAnsi="宋体" w:cs="宋体"/>
          <w:color w:val="auto"/>
          <w:sz w:val="21"/>
          <w:highlight w:val="none"/>
        </w:rPr>
        <w:t>5.响应报价表；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6.售后服务承诺；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7.其他合同文件。</w:t>
      </w:r>
    </w:p>
    <w:p>
      <w:pPr>
        <w:pStyle w:val="20"/>
        <w:snapToGrid w:val="0"/>
        <w:spacing w:line="420" w:lineRule="exact"/>
        <w:ind w:firstLine="371" w:firstLineChars="177"/>
        <w:rPr>
          <w:rFonts w:hint="eastAsia" w:hAnsi="宋体" w:cs="宋体"/>
          <w:b/>
          <w:color w:val="auto"/>
          <w:sz w:val="21"/>
          <w:highlight w:val="none"/>
        </w:rPr>
      </w:pPr>
      <w:r>
        <w:rPr>
          <w:rFonts w:hint="eastAsia" w:hAnsi="宋体" w:cs="宋体"/>
          <w:color w:val="auto"/>
          <w:sz w:val="21"/>
          <w:highlight w:val="none"/>
          <w:lang w:val="en-US"/>
        </w:rPr>
        <w:t>8</w:t>
      </w:r>
      <w:r>
        <w:rPr>
          <w:rFonts w:hint="eastAsia" w:hAnsi="宋体" w:cs="宋体"/>
          <w:color w:val="auto"/>
          <w:sz w:val="21"/>
          <w:highlight w:val="none"/>
        </w:rPr>
        <w:t>.上述合同文件互相补充和解释。如果合同文件之间存在矛盾或者不一致之处，以上述文件的排列顺序在先者为准。</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第二十条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本合同一式四份，具有同等法律效力，财政部门（政府采购监管部门）、采购代理机构各一份，甲乙双方各一份（可根据需要另增加）。</w:t>
      </w:r>
    </w:p>
    <w:p>
      <w:pPr>
        <w:snapToGrid w:val="0"/>
        <w:spacing w:line="420" w:lineRule="exact"/>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hint="eastAsia" w:ascii="宋体" w:hAnsi="宋体" w:cs="宋体"/>
          <w:color w:val="auto"/>
          <w:sz w:val="24"/>
          <w:highlight w:val="none"/>
        </w:rPr>
      </w:pPr>
    </w:p>
    <w:tbl>
      <w:tblPr>
        <w:tblStyle w:val="32"/>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9"/>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trPr>
        <w:tc>
          <w:tcPr>
            <w:tcW w:w="4709"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甲方（章）           </w:t>
            </w:r>
          </w:p>
          <w:p>
            <w:pPr>
              <w:snapToGrid w:val="0"/>
              <w:spacing w:line="360" w:lineRule="auto"/>
              <w:rPr>
                <w:rFonts w:hint="eastAsia" w:ascii="宋体" w:hAnsi="宋体"/>
                <w:color w:val="auto"/>
                <w:sz w:val="21"/>
                <w:szCs w:val="21"/>
                <w:highlight w:val="none"/>
              </w:rPr>
            </w:pPr>
          </w:p>
          <w:p>
            <w:pPr>
              <w:snapToGrid w:val="0"/>
              <w:spacing w:line="360" w:lineRule="auto"/>
              <w:ind w:firstLine="945" w:firstLineChars="450"/>
              <w:jc w:val="right"/>
              <w:rPr>
                <w:rFonts w:hint="eastAsia" w:ascii="宋体" w:hAnsi="宋体"/>
                <w:color w:val="auto"/>
                <w:sz w:val="21"/>
                <w:szCs w:val="21"/>
                <w:highlight w:val="none"/>
              </w:rPr>
            </w:pPr>
            <w:r>
              <w:rPr>
                <w:rFonts w:hint="eastAsia" w:ascii="宋体" w:hAnsi="宋体"/>
                <w:color w:val="auto"/>
                <w:sz w:val="21"/>
                <w:szCs w:val="21"/>
                <w:highlight w:val="none"/>
              </w:rPr>
              <w:t>年   月   日</w:t>
            </w:r>
          </w:p>
        </w:tc>
        <w:tc>
          <w:tcPr>
            <w:tcW w:w="4710"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乙方（章）              </w:t>
            </w:r>
          </w:p>
          <w:p>
            <w:pPr>
              <w:snapToGrid w:val="0"/>
              <w:spacing w:line="360" w:lineRule="auto"/>
              <w:rPr>
                <w:rFonts w:hint="eastAsia" w:ascii="宋体" w:hAnsi="宋体"/>
                <w:color w:val="auto"/>
                <w:sz w:val="21"/>
                <w:szCs w:val="21"/>
                <w:highlight w:val="none"/>
              </w:rPr>
            </w:pPr>
          </w:p>
          <w:p>
            <w:pPr>
              <w:snapToGrid w:val="0"/>
              <w:spacing w:line="360" w:lineRule="auto"/>
              <w:jc w:val="right"/>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709"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单位地址：</w:t>
            </w:r>
          </w:p>
        </w:tc>
        <w:tc>
          <w:tcPr>
            <w:tcW w:w="4710"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709" w:type="dxa"/>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法定代表人或者其委托代理人：</w:t>
            </w:r>
          </w:p>
        </w:tc>
        <w:tc>
          <w:tcPr>
            <w:tcW w:w="4710" w:type="dxa"/>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709"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电话：</w:t>
            </w:r>
          </w:p>
        </w:tc>
        <w:tc>
          <w:tcPr>
            <w:tcW w:w="4710"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709"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电子邮箱：</w:t>
            </w:r>
          </w:p>
        </w:tc>
        <w:tc>
          <w:tcPr>
            <w:tcW w:w="4710"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709"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开户银行：</w:t>
            </w:r>
          </w:p>
        </w:tc>
        <w:tc>
          <w:tcPr>
            <w:tcW w:w="4710"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709"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账号：</w:t>
            </w:r>
          </w:p>
        </w:tc>
        <w:tc>
          <w:tcPr>
            <w:tcW w:w="4710"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709"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邮政编码：</w:t>
            </w:r>
          </w:p>
        </w:tc>
        <w:tc>
          <w:tcPr>
            <w:tcW w:w="4710" w:type="dxa"/>
            <w:vAlign w:val="center"/>
          </w:tcPr>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邮政编码：</w:t>
            </w:r>
          </w:p>
        </w:tc>
      </w:tr>
    </w:tbl>
    <w:p>
      <w:pPr>
        <w:snapToGrid w:val="0"/>
        <w:spacing w:line="360" w:lineRule="auto"/>
        <w:ind w:left="480" w:hanging="480" w:hangingChars="200"/>
        <w:rPr>
          <w:rFonts w:hint="eastAsia" w:ascii="宋体" w:hAnsi="宋体"/>
          <w:color w:val="auto"/>
          <w:sz w:val="24"/>
          <w:highlight w:val="none"/>
        </w:rPr>
      </w:pPr>
    </w:p>
    <w:p>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32"/>
        <w:tblW w:w="8522" w:type="dxa"/>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pPr>
              <w:snapToGrid w:val="0"/>
              <w:spacing w:line="360" w:lineRule="auto"/>
              <w:ind w:firstLine="482" w:firstLineChars="200"/>
              <w:rPr>
                <w:rFonts w:hint="eastAsia" w:ascii="宋体" w:hAnsi="宋体"/>
                <w:b/>
                <w:color w:val="auto"/>
                <w:sz w:val="24"/>
                <w:highlight w:val="none"/>
              </w:rPr>
            </w:pPr>
          </w:p>
          <w:p>
            <w:pPr>
              <w:snapToGrid w:val="0"/>
              <w:spacing w:line="360" w:lineRule="auto"/>
              <w:rPr>
                <w:rFonts w:hint="eastAsia" w:ascii="宋体" w:hAnsi="宋体"/>
                <w:b/>
                <w:color w:val="auto"/>
                <w:sz w:val="24"/>
                <w:highlight w:val="none"/>
              </w:rPr>
            </w:pPr>
          </w:p>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注：售后服务事项填不下时可另加附页</w:t>
      </w:r>
    </w:p>
    <w:p>
      <w:pPr>
        <w:pStyle w:val="41"/>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rPr>
      </w:pPr>
    </w:p>
    <w:p>
      <w:pPr>
        <w:pStyle w:val="41"/>
        <w:rPr>
          <w:rFonts w:hint="eastAsia" w:ascii="宋体" w:hAnsi="宋体" w:eastAsia="宋体" w:cs="仿宋_GB2312"/>
          <w:bCs/>
          <w:color w:val="auto"/>
          <w:kern w:val="44"/>
          <w:sz w:val="44"/>
          <w:szCs w:val="44"/>
          <w:highlight w:val="none"/>
          <w:lang w:val="zh-CN"/>
        </w:rPr>
      </w:pPr>
    </w:p>
    <w:p>
      <w:pPr>
        <w:pStyle w:val="41"/>
        <w:rPr>
          <w:rFonts w:hint="eastAsia" w:ascii="宋体" w:hAnsi="宋体" w:eastAsia="宋体" w:cs="仿宋_GB2312"/>
          <w:bCs/>
          <w:color w:val="auto"/>
          <w:kern w:val="44"/>
          <w:sz w:val="44"/>
          <w:szCs w:val="44"/>
          <w:highlight w:val="none"/>
          <w:lang w:val="zh-CN"/>
        </w:rPr>
      </w:pPr>
    </w:p>
    <w:p>
      <w:pPr>
        <w:pStyle w:val="41"/>
        <w:rPr>
          <w:rFonts w:hint="eastAsia" w:ascii="宋体" w:hAnsi="宋体" w:eastAsia="宋体" w:cs="仿宋_GB2312"/>
          <w:bCs/>
          <w:color w:val="auto"/>
          <w:kern w:val="44"/>
          <w:sz w:val="44"/>
          <w:szCs w:val="44"/>
          <w:highlight w:val="none"/>
          <w:lang w:val="zh-CN"/>
        </w:rPr>
      </w:pPr>
    </w:p>
    <w:p>
      <w:pPr>
        <w:pStyle w:val="41"/>
        <w:rPr>
          <w:rFonts w:hint="eastAsia" w:ascii="宋体" w:hAnsi="宋体" w:eastAsia="宋体" w:cs="仿宋_GB2312"/>
          <w:bCs/>
          <w:color w:val="auto"/>
          <w:kern w:val="44"/>
          <w:sz w:val="44"/>
          <w:szCs w:val="44"/>
          <w:highlight w:val="none"/>
          <w:lang w:val="zh-CN"/>
        </w:rPr>
      </w:pPr>
    </w:p>
    <w:p>
      <w:pPr>
        <w:pStyle w:val="41"/>
        <w:rPr>
          <w:rFonts w:hint="eastAsia" w:ascii="宋体" w:hAnsi="宋体" w:eastAsia="宋体" w:cs="仿宋_GB2312"/>
          <w:bCs/>
          <w:color w:val="auto"/>
          <w:kern w:val="44"/>
          <w:sz w:val="44"/>
          <w:szCs w:val="44"/>
          <w:highlight w:val="none"/>
          <w:lang w:val="zh-CN"/>
        </w:rPr>
      </w:pPr>
    </w:p>
    <w:p>
      <w:pPr>
        <w:pStyle w:val="41"/>
        <w:rPr>
          <w:rFonts w:hint="eastAsia"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rPr>
        <w:sectPr>
          <w:pgSz w:w="11910" w:h="16840"/>
          <w:pgMar w:top="1134" w:right="1134" w:bottom="1134" w:left="1134" w:header="720" w:footer="720" w:gutter="0"/>
          <w:pgNumType w:fmt="decimal"/>
          <w:cols w:space="720" w:num="1"/>
        </w:sectPr>
      </w:pPr>
      <w:bookmarkStart w:id="200" w:name="_Toc25054"/>
      <w:bookmarkStart w:id="201" w:name="_Toc32254"/>
      <w:bookmarkStart w:id="202" w:name="_Toc2169"/>
      <w:bookmarkStart w:id="203" w:name="_Toc27629"/>
      <w:bookmarkStart w:id="204" w:name="_Toc24483"/>
      <w:bookmarkStart w:id="205" w:name="_Toc6393"/>
      <w:bookmarkStart w:id="206" w:name="_Toc5523"/>
      <w:r>
        <w:rPr>
          <w:rFonts w:hint="eastAsia" w:ascii="宋体" w:hAnsi="宋体" w:eastAsia="宋体" w:cs="仿宋_GB2312"/>
          <w:bCs/>
          <w:color w:val="auto"/>
          <w:kern w:val="44"/>
          <w:sz w:val="44"/>
          <w:szCs w:val="44"/>
          <w:highlight w:val="none"/>
          <w:lang w:val="zh-CN"/>
        </w:rPr>
        <w:t>第七章 质疑、投诉材料格式</w:t>
      </w:r>
      <w:bookmarkEnd w:id="198"/>
      <w:bookmarkEnd w:id="199"/>
      <w:bookmarkEnd w:id="200"/>
      <w:bookmarkEnd w:id="201"/>
      <w:bookmarkEnd w:id="202"/>
      <w:bookmarkEnd w:id="203"/>
      <w:bookmarkEnd w:id="204"/>
      <w:bookmarkEnd w:id="205"/>
      <w:bookmarkEnd w:id="206"/>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p>
    <w:p>
      <w:pPr>
        <w:spacing w:line="360" w:lineRule="auto"/>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hint="eastAsia"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color w:val="auto"/>
          <w:highlight w:val="none"/>
        </w:rPr>
      </w:pPr>
    </w:p>
    <w:sectPr>
      <w:footerReference r:id="rId14" w:type="first"/>
      <w:footerReference r:id="rId13" w:type="default"/>
      <w:pgSz w:w="11910" w:h="16840"/>
      <w:pgMar w:top="1340" w:right="1500" w:bottom="280" w:left="16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82016" w:usb3="00000000" w:csb0="00040001" w:csb1="00000000"/>
  </w:font>
  <w:font w:name="方正小标宋简体">
    <w:altName w:val="黑体"/>
    <w:panose1 w:val="03000509000000000000"/>
    <w:charset w:val="86"/>
    <w:family w:val="script"/>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s>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hanging="4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44</w:t>
                    </w:r>
                    <w:r>
                      <w:fldChar w:fldCharType="end"/>
                    </w:r>
                  </w:p>
                </w:txbxContent>
              </v:textbox>
            </v:shape>
          </w:pict>
        </mc:Fallback>
      </mc:AlternateContent>
    </w:r>
  </w:p>
  <w:p>
    <w:pPr>
      <w:pStyle w:val="2"/>
      <w:ind w:left="420" w:hanging="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110</w:t>
                    </w:r>
                    <w:r>
                      <w:fldChar w:fldCharType="end"/>
                    </w:r>
                  </w:p>
                </w:txbxContent>
              </v:textbox>
            </v:shape>
          </w:pict>
        </mc:Fallback>
      </mc:AlternateConten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112EE"/>
    <w:multiLevelType w:val="singleLevel"/>
    <w:tmpl w:val="88E112EE"/>
    <w:lvl w:ilvl="0" w:tentative="0">
      <w:start w:val="1"/>
      <w:numFmt w:val="decimal"/>
      <w:suff w:val="nothing"/>
      <w:lvlText w:val="（%1）"/>
      <w:lvlJc w:val="left"/>
    </w:lvl>
  </w:abstractNum>
  <w:abstractNum w:abstractNumId="1">
    <w:nsid w:val="9BD9FE68"/>
    <w:multiLevelType w:val="singleLevel"/>
    <w:tmpl w:val="9BD9FE68"/>
    <w:lvl w:ilvl="0" w:tentative="0">
      <w:start w:val="13"/>
      <w:numFmt w:val="decimal"/>
      <w:lvlText w:val="%1."/>
      <w:lvlJc w:val="left"/>
      <w:pPr>
        <w:tabs>
          <w:tab w:val="left" w:pos="312"/>
        </w:tabs>
      </w:pPr>
    </w:lvl>
  </w:abstractNum>
  <w:abstractNum w:abstractNumId="2">
    <w:nsid w:val="C22C55C3"/>
    <w:multiLevelType w:val="singleLevel"/>
    <w:tmpl w:val="C22C55C3"/>
    <w:lvl w:ilvl="0" w:tentative="0">
      <w:start w:val="11"/>
      <w:numFmt w:val="decimal"/>
      <w:suff w:val="nothing"/>
      <w:lvlText w:val="%1、"/>
      <w:lvlJc w:val="left"/>
    </w:lvl>
  </w:abstractNum>
  <w:abstractNum w:abstractNumId="3">
    <w:nsid w:val="EABCE5A7"/>
    <w:multiLevelType w:val="singleLevel"/>
    <w:tmpl w:val="EABCE5A7"/>
    <w:lvl w:ilvl="0" w:tentative="0">
      <w:start w:val="1"/>
      <w:numFmt w:val="decimal"/>
      <w:lvlText w:val="%1."/>
      <w:lvlJc w:val="left"/>
      <w:pPr>
        <w:tabs>
          <w:tab w:val="left" w:pos="312"/>
        </w:tabs>
      </w:pPr>
    </w:lvl>
  </w:abstractNum>
  <w:abstractNum w:abstractNumId="4">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3E1D67E"/>
    <w:multiLevelType w:val="singleLevel"/>
    <w:tmpl w:val="43E1D67E"/>
    <w:lvl w:ilvl="0" w:tentative="0">
      <w:start w:val="1"/>
      <w:numFmt w:val="decimal"/>
      <w:lvlText w:val="%1."/>
      <w:lvlJc w:val="left"/>
      <w:pPr>
        <w:tabs>
          <w:tab w:val="left" w:pos="312"/>
        </w:tabs>
      </w:pPr>
    </w:lvl>
  </w:abstractNum>
  <w:abstractNum w:abstractNumId="6">
    <w:nsid w:val="78F70FDF"/>
    <w:multiLevelType w:val="singleLevel"/>
    <w:tmpl w:val="78F70FDF"/>
    <w:lvl w:ilvl="0" w:tentative="0">
      <w:start w:val="10"/>
      <w:numFmt w:val="decimal"/>
      <w:lvlText w:val="%1."/>
      <w:lvlJc w:val="left"/>
      <w:pPr>
        <w:tabs>
          <w:tab w:val="left" w:pos="312"/>
        </w:tabs>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TI0ZTk3ZWJjMGYyMzY0MWFiMTRkN2Y1Njk4NDYifQ=="/>
  </w:docVars>
  <w:rsids>
    <w:rsidRoot w:val="007C21E9"/>
    <w:rsid w:val="000126B7"/>
    <w:rsid w:val="00013A77"/>
    <w:rsid w:val="00044C1D"/>
    <w:rsid w:val="00045A4A"/>
    <w:rsid w:val="00052AB5"/>
    <w:rsid w:val="00066F40"/>
    <w:rsid w:val="000903CF"/>
    <w:rsid w:val="00092716"/>
    <w:rsid w:val="00094A16"/>
    <w:rsid w:val="000957F5"/>
    <w:rsid w:val="000976E9"/>
    <w:rsid w:val="000C4A75"/>
    <w:rsid w:val="00101A1C"/>
    <w:rsid w:val="00131824"/>
    <w:rsid w:val="001377C7"/>
    <w:rsid w:val="00142034"/>
    <w:rsid w:val="0014358B"/>
    <w:rsid w:val="00153B10"/>
    <w:rsid w:val="00153E12"/>
    <w:rsid w:val="00162460"/>
    <w:rsid w:val="00163158"/>
    <w:rsid w:val="0017272A"/>
    <w:rsid w:val="001809D0"/>
    <w:rsid w:val="001846F6"/>
    <w:rsid w:val="001A410E"/>
    <w:rsid w:val="001A56CA"/>
    <w:rsid w:val="001D1ECE"/>
    <w:rsid w:val="002069D7"/>
    <w:rsid w:val="002160FE"/>
    <w:rsid w:val="002230C4"/>
    <w:rsid w:val="0022662B"/>
    <w:rsid w:val="00275FE5"/>
    <w:rsid w:val="00293058"/>
    <w:rsid w:val="002936E3"/>
    <w:rsid w:val="00294A6D"/>
    <w:rsid w:val="002A2CA7"/>
    <w:rsid w:val="002B6928"/>
    <w:rsid w:val="00301A34"/>
    <w:rsid w:val="0030226F"/>
    <w:rsid w:val="00326F62"/>
    <w:rsid w:val="00330EE0"/>
    <w:rsid w:val="0034167D"/>
    <w:rsid w:val="003673B9"/>
    <w:rsid w:val="00373F41"/>
    <w:rsid w:val="00384F92"/>
    <w:rsid w:val="00386BCC"/>
    <w:rsid w:val="003A3563"/>
    <w:rsid w:val="003A6CDF"/>
    <w:rsid w:val="003C14C1"/>
    <w:rsid w:val="003C7072"/>
    <w:rsid w:val="003C7AF8"/>
    <w:rsid w:val="00410669"/>
    <w:rsid w:val="00435B8B"/>
    <w:rsid w:val="0044024C"/>
    <w:rsid w:val="0044139D"/>
    <w:rsid w:val="0047066C"/>
    <w:rsid w:val="00474CFC"/>
    <w:rsid w:val="004A01B9"/>
    <w:rsid w:val="004A34B8"/>
    <w:rsid w:val="004B2CFC"/>
    <w:rsid w:val="004B3219"/>
    <w:rsid w:val="004C3578"/>
    <w:rsid w:val="004D7926"/>
    <w:rsid w:val="004E24EA"/>
    <w:rsid w:val="0058622A"/>
    <w:rsid w:val="0059131E"/>
    <w:rsid w:val="005D62D0"/>
    <w:rsid w:val="00611BB2"/>
    <w:rsid w:val="00675346"/>
    <w:rsid w:val="0067773C"/>
    <w:rsid w:val="006A0C46"/>
    <w:rsid w:val="006C28F0"/>
    <w:rsid w:val="006E60EE"/>
    <w:rsid w:val="006F0BAE"/>
    <w:rsid w:val="00735834"/>
    <w:rsid w:val="00771550"/>
    <w:rsid w:val="00787A78"/>
    <w:rsid w:val="007C21E9"/>
    <w:rsid w:val="007C2700"/>
    <w:rsid w:val="007C29AA"/>
    <w:rsid w:val="007C4EFC"/>
    <w:rsid w:val="007D61FC"/>
    <w:rsid w:val="007E682F"/>
    <w:rsid w:val="008012B0"/>
    <w:rsid w:val="008173A8"/>
    <w:rsid w:val="00830A6D"/>
    <w:rsid w:val="0086051C"/>
    <w:rsid w:val="00861FA7"/>
    <w:rsid w:val="00865EF9"/>
    <w:rsid w:val="00865F45"/>
    <w:rsid w:val="008C2444"/>
    <w:rsid w:val="008C2D7A"/>
    <w:rsid w:val="008F5EF4"/>
    <w:rsid w:val="008F6ADE"/>
    <w:rsid w:val="00915391"/>
    <w:rsid w:val="00915EAE"/>
    <w:rsid w:val="00940EAB"/>
    <w:rsid w:val="009511CD"/>
    <w:rsid w:val="00993D5F"/>
    <w:rsid w:val="009D4C9D"/>
    <w:rsid w:val="009D5BE7"/>
    <w:rsid w:val="009D7A73"/>
    <w:rsid w:val="009F1FB1"/>
    <w:rsid w:val="009F6765"/>
    <w:rsid w:val="00A06B78"/>
    <w:rsid w:val="00A36AD5"/>
    <w:rsid w:val="00A404AB"/>
    <w:rsid w:val="00A44EBE"/>
    <w:rsid w:val="00A612AB"/>
    <w:rsid w:val="00A6302F"/>
    <w:rsid w:val="00A84ABB"/>
    <w:rsid w:val="00AC3B63"/>
    <w:rsid w:val="00AC455F"/>
    <w:rsid w:val="00AD6C54"/>
    <w:rsid w:val="00B14ACF"/>
    <w:rsid w:val="00B15196"/>
    <w:rsid w:val="00B50C60"/>
    <w:rsid w:val="00B70362"/>
    <w:rsid w:val="00B83AD7"/>
    <w:rsid w:val="00BA48D1"/>
    <w:rsid w:val="00BB4F4B"/>
    <w:rsid w:val="00C02FF4"/>
    <w:rsid w:val="00C23A54"/>
    <w:rsid w:val="00C24FD7"/>
    <w:rsid w:val="00C74D20"/>
    <w:rsid w:val="00C9177D"/>
    <w:rsid w:val="00C91CC4"/>
    <w:rsid w:val="00C94E26"/>
    <w:rsid w:val="00CC3482"/>
    <w:rsid w:val="00D064A0"/>
    <w:rsid w:val="00D07B73"/>
    <w:rsid w:val="00D525F8"/>
    <w:rsid w:val="00D84019"/>
    <w:rsid w:val="00DB10F2"/>
    <w:rsid w:val="00DB5A31"/>
    <w:rsid w:val="00E26BD4"/>
    <w:rsid w:val="00E3133A"/>
    <w:rsid w:val="00E37B43"/>
    <w:rsid w:val="00E4032C"/>
    <w:rsid w:val="00E5206A"/>
    <w:rsid w:val="00E54CEE"/>
    <w:rsid w:val="00E55035"/>
    <w:rsid w:val="00F21695"/>
    <w:rsid w:val="00F27EFB"/>
    <w:rsid w:val="00F27FA0"/>
    <w:rsid w:val="00F911D4"/>
    <w:rsid w:val="00FD00E9"/>
    <w:rsid w:val="00FF4B64"/>
    <w:rsid w:val="0116477C"/>
    <w:rsid w:val="011D075F"/>
    <w:rsid w:val="01271AC8"/>
    <w:rsid w:val="01396E33"/>
    <w:rsid w:val="0152082E"/>
    <w:rsid w:val="01741A52"/>
    <w:rsid w:val="01AA03CC"/>
    <w:rsid w:val="01BE4AF4"/>
    <w:rsid w:val="01CB02C6"/>
    <w:rsid w:val="01D450F3"/>
    <w:rsid w:val="01E50C84"/>
    <w:rsid w:val="01FF46E4"/>
    <w:rsid w:val="020B5786"/>
    <w:rsid w:val="0210389F"/>
    <w:rsid w:val="02217A18"/>
    <w:rsid w:val="0232202D"/>
    <w:rsid w:val="02441B02"/>
    <w:rsid w:val="024457B0"/>
    <w:rsid w:val="0250392C"/>
    <w:rsid w:val="0262017F"/>
    <w:rsid w:val="02642FF8"/>
    <w:rsid w:val="02700A12"/>
    <w:rsid w:val="02775A28"/>
    <w:rsid w:val="027E52DE"/>
    <w:rsid w:val="027F4BED"/>
    <w:rsid w:val="0299209F"/>
    <w:rsid w:val="02CD52F1"/>
    <w:rsid w:val="02D81677"/>
    <w:rsid w:val="02E55AA5"/>
    <w:rsid w:val="02F33579"/>
    <w:rsid w:val="02F8405A"/>
    <w:rsid w:val="03036BF9"/>
    <w:rsid w:val="03214847"/>
    <w:rsid w:val="034266EE"/>
    <w:rsid w:val="03443E2C"/>
    <w:rsid w:val="03504DE9"/>
    <w:rsid w:val="035C29D6"/>
    <w:rsid w:val="035D53D7"/>
    <w:rsid w:val="036201B8"/>
    <w:rsid w:val="036B6560"/>
    <w:rsid w:val="0372245E"/>
    <w:rsid w:val="037F62D3"/>
    <w:rsid w:val="03930F0A"/>
    <w:rsid w:val="03B10190"/>
    <w:rsid w:val="03BB5239"/>
    <w:rsid w:val="03C235A6"/>
    <w:rsid w:val="03D27A7B"/>
    <w:rsid w:val="03E301C6"/>
    <w:rsid w:val="03FB16C0"/>
    <w:rsid w:val="043C7217"/>
    <w:rsid w:val="04425896"/>
    <w:rsid w:val="044D3710"/>
    <w:rsid w:val="044F16F0"/>
    <w:rsid w:val="045F3FFA"/>
    <w:rsid w:val="046520CC"/>
    <w:rsid w:val="046C04BB"/>
    <w:rsid w:val="046D7BBB"/>
    <w:rsid w:val="04936167"/>
    <w:rsid w:val="049F7B95"/>
    <w:rsid w:val="04C54BFC"/>
    <w:rsid w:val="04CB16A5"/>
    <w:rsid w:val="04EB6C9E"/>
    <w:rsid w:val="04F472B8"/>
    <w:rsid w:val="051B13D5"/>
    <w:rsid w:val="05304A58"/>
    <w:rsid w:val="05440EDB"/>
    <w:rsid w:val="054B7AFF"/>
    <w:rsid w:val="055535F9"/>
    <w:rsid w:val="05637420"/>
    <w:rsid w:val="05651152"/>
    <w:rsid w:val="05827A6F"/>
    <w:rsid w:val="0589736D"/>
    <w:rsid w:val="05B10123"/>
    <w:rsid w:val="05B96FC6"/>
    <w:rsid w:val="05BA0F6E"/>
    <w:rsid w:val="05C85B6F"/>
    <w:rsid w:val="05DB4964"/>
    <w:rsid w:val="05DE403A"/>
    <w:rsid w:val="05F17190"/>
    <w:rsid w:val="05F55A06"/>
    <w:rsid w:val="05FA2B93"/>
    <w:rsid w:val="061C77CE"/>
    <w:rsid w:val="06304B8C"/>
    <w:rsid w:val="063E3117"/>
    <w:rsid w:val="06430846"/>
    <w:rsid w:val="064324C4"/>
    <w:rsid w:val="06502347"/>
    <w:rsid w:val="06594FCF"/>
    <w:rsid w:val="065B47F7"/>
    <w:rsid w:val="06627DE3"/>
    <w:rsid w:val="06695A20"/>
    <w:rsid w:val="06852C34"/>
    <w:rsid w:val="06896EB2"/>
    <w:rsid w:val="06B45B9F"/>
    <w:rsid w:val="06D21E10"/>
    <w:rsid w:val="06D62B5E"/>
    <w:rsid w:val="07032602"/>
    <w:rsid w:val="072F5E18"/>
    <w:rsid w:val="07303C13"/>
    <w:rsid w:val="073B51E3"/>
    <w:rsid w:val="075D0B31"/>
    <w:rsid w:val="076A70D7"/>
    <w:rsid w:val="076C2F34"/>
    <w:rsid w:val="07772C60"/>
    <w:rsid w:val="078556FE"/>
    <w:rsid w:val="078D4B82"/>
    <w:rsid w:val="07AF4BE1"/>
    <w:rsid w:val="07E278AB"/>
    <w:rsid w:val="07EF73D0"/>
    <w:rsid w:val="08016B55"/>
    <w:rsid w:val="080A1651"/>
    <w:rsid w:val="08162E97"/>
    <w:rsid w:val="082A70DC"/>
    <w:rsid w:val="08452B36"/>
    <w:rsid w:val="085E3710"/>
    <w:rsid w:val="08687B52"/>
    <w:rsid w:val="086E0B2B"/>
    <w:rsid w:val="087D3545"/>
    <w:rsid w:val="08841649"/>
    <w:rsid w:val="0892386F"/>
    <w:rsid w:val="08955F46"/>
    <w:rsid w:val="0896540B"/>
    <w:rsid w:val="08A72DDC"/>
    <w:rsid w:val="08C022DD"/>
    <w:rsid w:val="08CC7772"/>
    <w:rsid w:val="08DB7137"/>
    <w:rsid w:val="08E40B8D"/>
    <w:rsid w:val="08E951FE"/>
    <w:rsid w:val="08F711CC"/>
    <w:rsid w:val="090B3A39"/>
    <w:rsid w:val="090D436A"/>
    <w:rsid w:val="09265A43"/>
    <w:rsid w:val="094521FA"/>
    <w:rsid w:val="094914DC"/>
    <w:rsid w:val="094F496B"/>
    <w:rsid w:val="09516593"/>
    <w:rsid w:val="095C4258"/>
    <w:rsid w:val="096F5B1B"/>
    <w:rsid w:val="097256CC"/>
    <w:rsid w:val="09786076"/>
    <w:rsid w:val="098E29CC"/>
    <w:rsid w:val="09AF056B"/>
    <w:rsid w:val="09BD5AD7"/>
    <w:rsid w:val="09CE6D29"/>
    <w:rsid w:val="09CF3FB8"/>
    <w:rsid w:val="09E46E3B"/>
    <w:rsid w:val="09E918B1"/>
    <w:rsid w:val="0A0A59EB"/>
    <w:rsid w:val="0A0B7D82"/>
    <w:rsid w:val="0A2D2358"/>
    <w:rsid w:val="0A303492"/>
    <w:rsid w:val="0A3053D9"/>
    <w:rsid w:val="0A374E1B"/>
    <w:rsid w:val="0A3E04EE"/>
    <w:rsid w:val="0A3E13A8"/>
    <w:rsid w:val="0A4D49DC"/>
    <w:rsid w:val="0A7D2FA4"/>
    <w:rsid w:val="0AA17A99"/>
    <w:rsid w:val="0AA72E4B"/>
    <w:rsid w:val="0ABC57B1"/>
    <w:rsid w:val="0AE75E13"/>
    <w:rsid w:val="0B097343"/>
    <w:rsid w:val="0B1E797A"/>
    <w:rsid w:val="0B254482"/>
    <w:rsid w:val="0B2D703C"/>
    <w:rsid w:val="0B340129"/>
    <w:rsid w:val="0B396189"/>
    <w:rsid w:val="0B4A3976"/>
    <w:rsid w:val="0B520597"/>
    <w:rsid w:val="0B5551FE"/>
    <w:rsid w:val="0B570858"/>
    <w:rsid w:val="0B571D8E"/>
    <w:rsid w:val="0B8F0142"/>
    <w:rsid w:val="0B914008"/>
    <w:rsid w:val="0BA83124"/>
    <w:rsid w:val="0BA85E8E"/>
    <w:rsid w:val="0BCF46DA"/>
    <w:rsid w:val="0BEA62BE"/>
    <w:rsid w:val="0BF42D78"/>
    <w:rsid w:val="0C045A54"/>
    <w:rsid w:val="0C2748B3"/>
    <w:rsid w:val="0C3A0EA2"/>
    <w:rsid w:val="0C423B4C"/>
    <w:rsid w:val="0C55043B"/>
    <w:rsid w:val="0C5F7EC9"/>
    <w:rsid w:val="0C64361A"/>
    <w:rsid w:val="0C7975C1"/>
    <w:rsid w:val="0C7D0D4A"/>
    <w:rsid w:val="0C846C10"/>
    <w:rsid w:val="0CA25589"/>
    <w:rsid w:val="0CA87A4E"/>
    <w:rsid w:val="0CB72F3E"/>
    <w:rsid w:val="0CBC262F"/>
    <w:rsid w:val="0CC61B2F"/>
    <w:rsid w:val="0CCC4DA5"/>
    <w:rsid w:val="0CD1284A"/>
    <w:rsid w:val="0CE76116"/>
    <w:rsid w:val="0CF3028A"/>
    <w:rsid w:val="0D22418C"/>
    <w:rsid w:val="0D2274EF"/>
    <w:rsid w:val="0D2C7FCD"/>
    <w:rsid w:val="0D30158F"/>
    <w:rsid w:val="0D4314F7"/>
    <w:rsid w:val="0D4A5B83"/>
    <w:rsid w:val="0D4F3378"/>
    <w:rsid w:val="0D72646C"/>
    <w:rsid w:val="0D8900CC"/>
    <w:rsid w:val="0D92122F"/>
    <w:rsid w:val="0D982CF5"/>
    <w:rsid w:val="0D9B41DD"/>
    <w:rsid w:val="0DBA1896"/>
    <w:rsid w:val="0DCF45A5"/>
    <w:rsid w:val="0DF44EF1"/>
    <w:rsid w:val="0E022BDA"/>
    <w:rsid w:val="0E2860EE"/>
    <w:rsid w:val="0E343CE0"/>
    <w:rsid w:val="0E353853"/>
    <w:rsid w:val="0E411532"/>
    <w:rsid w:val="0E5A016E"/>
    <w:rsid w:val="0E690136"/>
    <w:rsid w:val="0E752256"/>
    <w:rsid w:val="0E7C6ECA"/>
    <w:rsid w:val="0E9D4D60"/>
    <w:rsid w:val="0EAE428B"/>
    <w:rsid w:val="0EC838E6"/>
    <w:rsid w:val="0ECA4573"/>
    <w:rsid w:val="0F2C2E76"/>
    <w:rsid w:val="0F3038CA"/>
    <w:rsid w:val="0F3504E0"/>
    <w:rsid w:val="0F4466C5"/>
    <w:rsid w:val="0F6A1F1A"/>
    <w:rsid w:val="0F6F0B41"/>
    <w:rsid w:val="0F7C03B6"/>
    <w:rsid w:val="0F7C513B"/>
    <w:rsid w:val="0F7E6819"/>
    <w:rsid w:val="0F8065DE"/>
    <w:rsid w:val="0F8D1D3B"/>
    <w:rsid w:val="0FA55D25"/>
    <w:rsid w:val="0FB55CA2"/>
    <w:rsid w:val="0FCA66C9"/>
    <w:rsid w:val="0FF410EA"/>
    <w:rsid w:val="1001271D"/>
    <w:rsid w:val="1018013C"/>
    <w:rsid w:val="101F264D"/>
    <w:rsid w:val="10240EAE"/>
    <w:rsid w:val="10267F1F"/>
    <w:rsid w:val="10586187"/>
    <w:rsid w:val="106A4FF5"/>
    <w:rsid w:val="108924FE"/>
    <w:rsid w:val="109E1CBC"/>
    <w:rsid w:val="10C845AF"/>
    <w:rsid w:val="10CF7081"/>
    <w:rsid w:val="11004354"/>
    <w:rsid w:val="1102743D"/>
    <w:rsid w:val="111326AB"/>
    <w:rsid w:val="1136394B"/>
    <w:rsid w:val="113E5504"/>
    <w:rsid w:val="113F075A"/>
    <w:rsid w:val="11514792"/>
    <w:rsid w:val="11534D38"/>
    <w:rsid w:val="11694069"/>
    <w:rsid w:val="116C2CA8"/>
    <w:rsid w:val="11702477"/>
    <w:rsid w:val="117F5778"/>
    <w:rsid w:val="1181395C"/>
    <w:rsid w:val="11856D23"/>
    <w:rsid w:val="11972CDA"/>
    <w:rsid w:val="119A30B8"/>
    <w:rsid w:val="119E326A"/>
    <w:rsid w:val="11A56003"/>
    <w:rsid w:val="11AB207C"/>
    <w:rsid w:val="11B56492"/>
    <w:rsid w:val="11D26172"/>
    <w:rsid w:val="11EF6458"/>
    <w:rsid w:val="12013B8C"/>
    <w:rsid w:val="12290F0E"/>
    <w:rsid w:val="12412737"/>
    <w:rsid w:val="12415A70"/>
    <w:rsid w:val="125E6E7A"/>
    <w:rsid w:val="128053FC"/>
    <w:rsid w:val="128E5246"/>
    <w:rsid w:val="12B14A74"/>
    <w:rsid w:val="12C66D28"/>
    <w:rsid w:val="12D762D5"/>
    <w:rsid w:val="12DB1FEF"/>
    <w:rsid w:val="12E77597"/>
    <w:rsid w:val="12EE40B1"/>
    <w:rsid w:val="12F67BB8"/>
    <w:rsid w:val="12FC28BE"/>
    <w:rsid w:val="131468C3"/>
    <w:rsid w:val="13264E55"/>
    <w:rsid w:val="13405A87"/>
    <w:rsid w:val="134402E0"/>
    <w:rsid w:val="13700994"/>
    <w:rsid w:val="13813795"/>
    <w:rsid w:val="138A650F"/>
    <w:rsid w:val="139D238D"/>
    <w:rsid w:val="13BF3162"/>
    <w:rsid w:val="13CC58CF"/>
    <w:rsid w:val="13E32EE9"/>
    <w:rsid w:val="13E71044"/>
    <w:rsid w:val="13EC6D28"/>
    <w:rsid w:val="13F24D5E"/>
    <w:rsid w:val="13F44897"/>
    <w:rsid w:val="13F61207"/>
    <w:rsid w:val="140A45FC"/>
    <w:rsid w:val="144933C4"/>
    <w:rsid w:val="146F13F3"/>
    <w:rsid w:val="14741614"/>
    <w:rsid w:val="1477630D"/>
    <w:rsid w:val="147D4F72"/>
    <w:rsid w:val="148A3D0B"/>
    <w:rsid w:val="1497248C"/>
    <w:rsid w:val="149C28BF"/>
    <w:rsid w:val="14A136D6"/>
    <w:rsid w:val="14A23940"/>
    <w:rsid w:val="14A45FB0"/>
    <w:rsid w:val="14A6243D"/>
    <w:rsid w:val="14AB192A"/>
    <w:rsid w:val="14B15786"/>
    <w:rsid w:val="14C40355"/>
    <w:rsid w:val="14C44422"/>
    <w:rsid w:val="14C87812"/>
    <w:rsid w:val="14FE0762"/>
    <w:rsid w:val="15141AAA"/>
    <w:rsid w:val="15412561"/>
    <w:rsid w:val="15491A7F"/>
    <w:rsid w:val="15520B0B"/>
    <w:rsid w:val="155234DD"/>
    <w:rsid w:val="156A7853"/>
    <w:rsid w:val="15790FD7"/>
    <w:rsid w:val="15810990"/>
    <w:rsid w:val="158E19C1"/>
    <w:rsid w:val="159C4EFE"/>
    <w:rsid w:val="15C60DCC"/>
    <w:rsid w:val="162C2366"/>
    <w:rsid w:val="162F52A8"/>
    <w:rsid w:val="16415A71"/>
    <w:rsid w:val="16493163"/>
    <w:rsid w:val="165401BC"/>
    <w:rsid w:val="16576AE2"/>
    <w:rsid w:val="165E170D"/>
    <w:rsid w:val="16622C66"/>
    <w:rsid w:val="167C40D7"/>
    <w:rsid w:val="16A0567C"/>
    <w:rsid w:val="16BA0FCD"/>
    <w:rsid w:val="16C14BCE"/>
    <w:rsid w:val="16E46F14"/>
    <w:rsid w:val="16E87E3D"/>
    <w:rsid w:val="16F52191"/>
    <w:rsid w:val="17083517"/>
    <w:rsid w:val="17120F22"/>
    <w:rsid w:val="1713355E"/>
    <w:rsid w:val="171F0F1C"/>
    <w:rsid w:val="1736426D"/>
    <w:rsid w:val="17410E5B"/>
    <w:rsid w:val="17460521"/>
    <w:rsid w:val="17780F55"/>
    <w:rsid w:val="178E73E6"/>
    <w:rsid w:val="179C641F"/>
    <w:rsid w:val="179D2AA3"/>
    <w:rsid w:val="17B32DED"/>
    <w:rsid w:val="17B86748"/>
    <w:rsid w:val="17BA0187"/>
    <w:rsid w:val="17C02893"/>
    <w:rsid w:val="17C375A1"/>
    <w:rsid w:val="17C47764"/>
    <w:rsid w:val="17E3570D"/>
    <w:rsid w:val="17E413A1"/>
    <w:rsid w:val="17F606C0"/>
    <w:rsid w:val="18023817"/>
    <w:rsid w:val="183C5D37"/>
    <w:rsid w:val="18461532"/>
    <w:rsid w:val="186268BD"/>
    <w:rsid w:val="186436F7"/>
    <w:rsid w:val="188D6481"/>
    <w:rsid w:val="18927CF1"/>
    <w:rsid w:val="18974E94"/>
    <w:rsid w:val="189824E5"/>
    <w:rsid w:val="189D29F4"/>
    <w:rsid w:val="189F703B"/>
    <w:rsid w:val="18AF432C"/>
    <w:rsid w:val="18DA42E0"/>
    <w:rsid w:val="18DF0FE7"/>
    <w:rsid w:val="18E25D4D"/>
    <w:rsid w:val="19072175"/>
    <w:rsid w:val="191E61A8"/>
    <w:rsid w:val="196F7D5A"/>
    <w:rsid w:val="197B6835"/>
    <w:rsid w:val="198E56A0"/>
    <w:rsid w:val="1992381E"/>
    <w:rsid w:val="19AA594A"/>
    <w:rsid w:val="19BC734C"/>
    <w:rsid w:val="19BE4B96"/>
    <w:rsid w:val="19C21A99"/>
    <w:rsid w:val="19C40971"/>
    <w:rsid w:val="19CC23BE"/>
    <w:rsid w:val="19E46E1D"/>
    <w:rsid w:val="19F17C09"/>
    <w:rsid w:val="19F36457"/>
    <w:rsid w:val="19FD6095"/>
    <w:rsid w:val="1A0C05D9"/>
    <w:rsid w:val="1A0E41E2"/>
    <w:rsid w:val="1A1B57CD"/>
    <w:rsid w:val="1A542DB4"/>
    <w:rsid w:val="1A603DC4"/>
    <w:rsid w:val="1A6744B2"/>
    <w:rsid w:val="1A6A4676"/>
    <w:rsid w:val="1A6E2C04"/>
    <w:rsid w:val="1A74720F"/>
    <w:rsid w:val="1A7D169C"/>
    <w:rsid w:val="1A7F3176"/>
    <w:rsid w:val="1A8228B4"/>
    <w:rsid w:val="1A884D1F"/>
    <w:rsid w:val="1A98283F"/>
    <w:rsid w:val="1AB33A4E"/>
    <w:rsid w:val="1AC71182"/>
    <w:rsid w:val="1AE64D67"/>
    <w:rsid w:val="1AEF38D5"/>
    <w:rsid w:val="1AF53DAD"/>
    <w:rsid w:val="1AF67D2B"/>
    <w:rsid w:val="1B1661A3"/>
    <w:rsid w:val="1B1904FB"/>
    <w:rsid w:val="1B382423"/>
    <w:rsid w:val="1B4D5278"/>
    <w:rsid w:val="1B4E247D"/>
    <w:rsid w:val="1B5003D3"/>
    <w:rsid w:val="1B56170E"/>
    <w:rsid w:val="1B5909BD"/>
    <w:rsid w:val="1B6612C9"/>
    <w:rsid w:val="1B8A5845"/>
    <w:rsid w:val="1BA063C0"/>
    <w:rsid w:val="1BBA1B7D"/>
    <w:rsid w:val="1BBC7BDE"/>
    <w:rsid w:val="1BC35473"/>
    <w:rsid w:val="1BCB5828"/>
    <w:rsid w:val="1BE41A08"/>
    <w:rsid w:val="1BF64E38"/>
    <w:rsid w:val="1C096E21"/>
    <w:rsid w:val="1C0B1233"/>
    <w:rsid w:val="1C0F2192"/>
    <w:rsid w:val="1C110426"/>
    <w:rsid w:val="1C252D11"/>
    <w:rsid w:val="1C347061"/>
    <w:rsid w:val="1C3B6356"/>
    <w:rsid w:val="1C3D560A"/>
    <w:rsid w:val="1C4A28E3"/>
    <w:rsid w:val="1C4F1CA9"/>
    <w:rsid w:val="1C642B1A"/>
    <w:rsid w:val="1C643E00"/>
    <w:rsid w:val="1C830837"/>
    <w:rsid w:val="1C8B2EA7"/>
    <w:rsid w:val="1C990CD0"/>
    <w:rsid w:val="1C9E6531"/>
    <w:rsid w:val="1CAB5E94"/>
    <w:rsid w:val="1CB75DAF"/>
    <w:rsid w:val="1D2233C9"/>
    <w:rsid w:val="1D5860E0"/>
    <w:rsid w:val="1D724EB4"/>
    <w:rsid w:val="1D7853F7"/>
    <w:rsid w:val="1D791EBF"/>
    <w:rsid w:val="1D8A2C26"/>
    <w:rsid w:val="1D8A4E7B"/>
    <w:rsid w:val="1D915452"/>
    <w:rsid w:val="1D9D1A60"/>
    <w:rsid w:val="1DB409DB"/>
    <w:rsid w:val="1DC34DD9"/>
    <w:rsid w:val="1DE541AF"/>
    <w:rsid w:val="1E33033A"/>
    <w:rsid w:val="1E396C74"/>
    <w:rsid w:val="1E415936"/>
    <w:rsid w:val="1E487F9E"/>
    <w:rsid w:val="1E5753E0"/>
    <w:rsid w:val="1E6E4A92"/>
    <w:rsid w:val="1E6E6747"/>
    <w:rsid w:val="1E703DB9"/>
    <w:rsid w:val="1E74383F"/>
    <w:rsid w:val="1E8C745D"/>
    <w:rsid w:val="1E9D5E53"/>
    <w:rsid w:val="1EB7105D"/>
    <w:rsid w:val="1EB92499"/>
    <w:rsid w:val="1EC111FD"/>
    <w:rsid w:val="1ED60FB6"/>
    <w:rsid w:val="1F002B00"/>
    <w:rsid w:val="1F0840C0"/>
    <w:rsid w:val="1F0C4D92"/>
    <w:rsid w:val="1F166DCB"/>
    <w:rsid w:val="1F1E75C5"/>
    <w:rsid w:val="1F2A0E70"/>
    <w:rsid w:val="1F2D669E"/>
    <w:rsid w:val="1F3D4768"/>
    <w:rsid w:val="1F526FB3"/>
    <w:rsid w:val="1F573DB5"/>
    <w:rsid w:val="1F731F8D"/>
    <w:rsid w:val="1F807A5E"/>
    <w:rsid w:val="1F813F89"/>
    <w:rsid w:val="1F8F38DB"/>
    <w:rsid w:val="1F9F7F10"/>
    <w:rsid w:val="1FA60322"/>
    <w:rsid w:val="1FC4206E"/>
    <w:rsid w:val="1FC73078"/>
    <w:rsid w:val="1FC9696C"/>
    <w:rsid w:val="1FF5004C"/>
    <w:rsid w:val="1FF67E6D"/>
    <w:rsid w:val="200E1A0A"/>
    <w:rsid w:val="20106230"/>
    <w:rsid w:val="201B279C"/>
    <w:rsid w:val="2029041F"/>
    <w:rsid w:val="2043534D"/>
    <w:rsid w:val="20654239"/>
    <w:rsid w:val="20682955"/>
    <w:rsid w:val="206A1062"/>
    <w:rsid w:val="206F45D9"/>
    <w:rsid w:val="20703FDE"/>
    <w:rsid w:val="209F6526"/>
    <w:rsid w:val="20A02F96"/>
    <w:rsid w:val="20A22E61"/>
    <w:rsid w:val="20AA183D"/>
    <w:rsid w:val="20D11800"/>
    <w:rsid w:val="20D17529"/>
    <w:rsid w:val="20DC1BC4"/>
    <w:rsid w:val="20DF35F5"/>
    <w:rsid w:val="20E078AD"/>
    <w:rsid w:val="20E60491"/>
    <w:rsid w:val="20F71370"/>
    <w:rsid w:val="210431F4"/>
    <w:rsid w:val="211D4B06"/>
    <w:rsid w:val="214D1347"/>
    <w:rsid w:val="215C59D3"/>
    <w:rsid w:val="21661858"/>
    <w:rsid w:val="216B36F2"/>
    <w:rsid w:val="218E49DB"/>
    <w:rsid w:val="21962F2C"/>
    <w:rsid w:val="21D224B0"/>
    <w:rsid w:val="21DA13C0"/>
    <w:rsid w:val="21DB43E4"/>
    <w:rsid w:val="21DB5AB4"/>
    <w:rsid w:val="21FE4245"/>
    <w:rsid w:val="220B2862"/>
    <w:rsid w:val="221670A8"/>
    <w:rsid w:val="224C4E3C"/>
    <w:rsid w:val="225B1540"/>
    <w:rsid w:val="22621B6A"/>
    <w:rsid w:val="227C25D8"/>
    <w:rsid w:val="229E2670"/>
    <w:rsid w:val="22A14CB0"/>
    <w:rsid w:val="22A84E25"/>
    <w:rsid w:val="22AD570A"/>
    <w:rsid w:val="230107DF"/>
    <w:rsid w:val="231057D2"/>
    <w:rsid w:val="231878C3"/>
    <w:rsid w:val="231E655E"/>
    <w:rsid w:val="23227345"/>
    <w:rsid w:val="2338459A"/>
    <w:rsid w:val="233F18A9"/>
    <w:rsid w:val="234006EC"/>
    <w:rsid w:val="2352251D"/>
    <w:rsid w:val="235D59EF"/>
    <w:rsid w:val="237130FB"/>
    <w:rsid w:val="237A74F0"/>
    <w:rsid w:val="237F7B4B"/>
    <w:rsid w:val="238306FE"/>
    <w:rsid w:val="23993600"/>
    <w:rsid w:val="239B7D19"/>
    <w:rsid w:val="239D6F3C"/>
    <w:rsid w:val="23D15758"/>
    <w:rsid w:val="23EC2B26"/>
    <w:rsid w:val="24076EE0"/>
    <w:rsid w:val="242171C1"/>
    <w:rsid w:val="24230B74"/>
    <w:rsid w:val="243107C7"/>
    <w:rsid w:val="24367BD5"/>
    <w:rsid w:val="245B23CF"/>
    <w:rsid w:val="245C50AD"/>
    <w:rsid w:val="24603FA7"/>
    <w:rsid w:val="246F2458"/>
    <w:rsid w:val="247F57C7"/>
    <w:rsid w:val="24910693"/>
    <w:rsid w:val="24963CCF"/>
    <w:rsid w:val="24986210"/>
    <w:rsid w:val="24B81ED1"/>
    <w:rsid w:val="24BC52F1"/>
    <w:rsid w:val="24CC7AE7"/>
    <w:rsid w:val="24E000F6"/>
    <w:rsid w:val="24E15797"/>
    <w:rsid w:val="24E753E1"/>
    <w:rsid w:val="24F36015"/>
    <w:rsid w:val="24F93F35"/>
    <w:rsid w:val="25290C20"/>
    <w:rsid w:val="2544425A"/>
    <w:rsid w:val="254E3BE9"/>
    <w:rsid w:val="25644CFB"/>
    <w:rsid w:val="258D733A"/>
    <w:rsid w:val="25A06DE0"/>
    <w:rsid w:val="25C17777"/>
    <w:rsid w:val="25D81CFE"/>
    <w:rsid w:val="25DE4D65"/>
    <w:rsid w:val="260333EF"/>
    <w:rsid w:val="26037C97"/>
    <w:rsid w:val="261017C6"/>
    <w:rsid w:val="26203D3E"/>
    <w:rsid w:val="263F5510"/>
    <w:rsid w:val="2641436D"/>
    <w:rsid w:val="26425671"/>
    <w:rsid w:val="266153E4"/>
    <w:rsid w:val="26650CFE"/>
    <w:rsid w:val="266E33AC"/>
    <w:rsid w:val="266F5212"/>
    <w:rsid w:val="2680228A"/>
    <w:rsid w:val="26815D1A"/>
    <w:rsid w:val="26866639"/>
    <w:rsid w:val="26931184"/>
    <w:rsid w:val="26B17E46"/>
    <w:rsid w:val="26D8755C"/>
    <w:rsid w:val="26F8589B"/>
    <w:rsid w:val="271A2C96"/>
    <w:rsid w:val="27261C55"/>
    <w:rsid w:val="274204A2"/>
    <w:rsid w:val="274715AA"/>
    <w:rsid w:val="278A09FD"/>
    <w:rsid w:val="27996369"/>
    <w:rsid w:val="279A76B8"/>
    <w:rsid w:val="279F1523"/>
    <w:rsid w:val="27A060EE"/>
    <w:rsid w:val="27A83535"/>
    <w:rsid w:val="27B839C1"/>
    <w:rsid w:val="27BF551C"/>
    <w:rsid w:val="27D35EB6"/>
    <w:rsid w:val="27DD6030"/>
    <w:rsid w:val="27F62352"/>
    <w:rsid w:val="27F70088"/>
    <w:rsid w:val="27F80870"/>
    <w:rsid w:val="28033475"/>
    <w:rsid w:val="282310EA"/>
    <w:rsid w:val="283E7BF4"/>
    <w:rsid w:val="285E1230"/>
    <w:rsid w:val="286B40D0"/>
    <w:rsid w:val="287D7284"/>
    <w:rsid w:val="28802BA7"/>
    <w:rsid w:val="288D2BA7"/>
    <w:rsid w:val="28A56D74"/>
    <w:rsid w:val="28A72C93"/>
    <w:rsid w:val="28CA5E86"/>
    <w:rsid w:val="28E03BAC"/>
    <w:rsid w:val="29095871"/>
    <w:rsid w:val="290C539D"/>
    <w:rsid w:val="29132204"/>
    <w:rsid w:val="29230B26"/>
    <w:rsid w:val="293D6886"/>
    <w:rsid w:val="295335C6"/>
    <w:rsid w:val="296D6704"/>
    <w:rsid w:val="29705D44"/>
    <w:rsid w:val="297B1949"/>
    <w:rsid w:val="298E4DCE"/>
    <w:rsid w:val="299506CD"/>
    <w:rsid w:val="29A90AEE"/>
    <w:rsid w:val="29BF7193"/>
    <w:rsid w:val="29D61C04"/>
    <w:rsid w:val="29E10367"/>
    <w:rsid w:val="29E1562F"/>
    <w:rsid w:val="29EF02F3"/>
    <w:rsid w:val="2A046273"/>
    <w:rsid w:val="2A077C31"/>
    <w:rsid w:val="2A0A792B"/>
    <w:rsid w:val="2A2D5253"/>
    <w:rsid w:val="2A415CB0"/>
    <w:rsid w:val="2A4223DA"/>
    <w:rsid w:val="2A4C1CBA"/>
    <w:rsid w:val="2A580C7F"/>
    <w:rsid w:val="2A6016D6"/>
    <w:rsid w:val="2A7E12DF"/>
    <w:rsid w:val="2A831526"/>
    <w:rsid w:val="2A900557"/>
    <w:rsid w:val="2A9D29C0"/>
    <w:rsid w:val="2AA07BC7"/>
    <w:rsid w:val="2AB96B3B"/>
    <w:rsid w:val="2AD01E8E"/>
    <w:rsid w:val="2AEA63A2"/>
    <w:rsid w:val="2B1F56FE"/>
    <w:rsid w:val="2B426EE1"/>
    <w:rsid w:val="2B55197B"/>
    <w:rsid w:val="2B564195"/>
    <w:rsid w:val="2B5A7FF7"/>
    <w:rsid w:val="2B5F51ED"/>
    <w:rsid w:val="2B9D5D15"/>
    <w:rsid w:val="2BB31691"/>
    <w:rsid w:val="2BE72198"/>
    <w:rsid w:val="2BE74F7F"/>
    <w:rsid w:val="2C132F13"/>
    <w:rsid w:val="2C17787B"/>
    <w:rsid w:val="2C18479F"/>
    <w:rsid w:val="2C327C2A"/>
    <w:rsid w:val="2C50160E"/>
    <w:rsid w:val="2C526025"/>
    <w:rsid w:val="2C5741F8"/>
    <w:rsid w:val="2C594637"/>
    <w:rsid w:val="2C693A8C"/>
    <w:rsid w:val="2C882884"/>
    <w:rsid w:val="2CA912D0"/>
    <w:rsid w:val="2CB0095D"/>
    <w:rsid w:val="2CB814C7"/>
    <w:rsid w:val="2CD900B6"/>
    <w:rsid w:val="2CE7299B"/>
    <w:rsid w:val="2CEE0749"/>
    <w:rsid w:val="2CFC7DA1"/>
    <w:rsid w:val="2D0C7BAE"/>
    <w:rsid w:val="2D0D404F"/>
    <w:rsid w:val="2D1235E8"/>
    <w:rsid w:val="2D2C7429"/>
    <w:rsid w:val="2D354F55"/>
    <w:rsid w:val="2D3A4579"/>
    <w:rsid w:val="2D581270"/>
    <w:rsid w:val="2D586C07"/>
    <w:rsid w:val="2D6D16C5"/>
    <w:rsid w:val="2D6F2D58"/>
    <w:rsid w:val="2DE52580"/>
    <w:rsid w:val="2E1E0904"/>
    <w:rsid w:val="2E267AAE"/>
    <w:rsid w:val="2E27148B"/>
    <w:rsid w:val="2E2D0682"/>
    <w:rsid w:val="2E3E3EC9"/>
    <w:rsid w:val="2E5D7317"/>
    <w:rsid w:val="2E8E29D8"/>
    <w:rsid w:val="2EB90909"/>
    <w:rsid w:val="2EBC5ED0"/>
    <w:rsid w:val="2EC73BAC"/>
    <w:rsid w:val="2EE43201"/>
    <w:rsid w:val="2EF45FDD"/>
    <w:rsid w:val="2EF818D0"/>
    <w:rsid w:val="2F0012FC"/>
    <w:rsid w:val="2F165E76"/>
    <w:rsid w:val="2F28021B"/>
    <w:rsid w:val="2F3B6D01"/>
    <w:rsid w:val="2F4460DD"/>
    <w:rsid w:val="2F464E20"/>
    <w:rsid w:val="2F4E0AC1"/>
    <w:rsid w:val="2F546A5B"/>
    <w:rsid w:val="2F586D29"/>
    <w:rsid w:val="2F6061FA"/>
    <w:rsid w:val="2F801A83"/>
    <w:rsid w:val="2FA11555"/>
    <w:rsid w:val="2FAE1719"/>
    <w:rsid w:val="2FB4479F"/>
    <w:rsid w:val="2FC54A11"/>
    <w:rsid w:val="2FD405AB"/>
    <w:rsid w:val="2FE54BD7"/>
    <w:rsid w:val="2FE6259D"/>
    <w:rsid w:val="300A2253"/>
    <w:rsid w:val="300F463E"/>
    <w:rsid w:val="301536F0"/>
    <w:rsid w:val="30341880"/>
    <w:rsid w:val="30643430"/>
    <w:rsid w:val="306E18C1"/>
    <w:rsid w:val="307A7FB1"/>
    <w:rsid w:val="307C438B"/>
    <w:rsid w:val="308E4E8D"/>
    <w:rsid w:val="30905E99"/>
    <w:rsid w:val="30D22ED3"/>
    <w:rsid w:val="30EC5718"/>
    <w:rsid w:val="30F377D3"/>
    <w:rsid w:val="30F56C6E"/>
    <w:rsid w:val="31013CC3"/>
    <w:rsid w:val="31217A1D"/>
    <w:rsid w:val="31306402"/>
    <w:rsid w:val="31396EFD"/>
    <w:rsid w:val="31450DEE"/>
    <w:rsid w:val="31456C33"/>
    <w:rsid w:val="314A776A"/>
    <w:rsid w:val="31550607"/>
    <w:rsid w:val="31647AAC"/>
    <w:rsid w:val="31733CCA"/>
    <w:rsid w:val="31B54A45"/>
    <w:rsid w:val="31B95D43"/>
    <w:rsid w:val="31D06C42"/>
    <w:rsid w:val="31DF66F8"/>
    <w:rsid w:val="31FE64F7"/>
    <w:rsid w:val="32077110"/>
    <w:rsid w:val="3216323D"/>
    <w:rsid w:val="323B2880"/>
    <w:rsid w:val="32597EB9"/>
    <w:rsid w:val="329514F5"/>
    <w:rsid w:val="32AA4AAD"/>
    <w:rsid w:val="32AF3A8A"/>
    <w:rsid w:val="32B4131B"/>
    <w:rsid w:val="32C963C0"/>
    <w:rsid w:val="32DA429C"/>
    <w:rsid w:val="32F068DB"/>
    <w:rsid w:val="32FC0218"/>
    <w:rsid w:val="331C5AD4"/>
    <w:rsid w:val="332018FF"/>
    <w:rsid w:val="333655ED"/>
    <w:rsid w:val="333F343F"/>
    <w:rsid w:val="335C4EDA"/>
    <w:rsid w:val="33696733"/>
    <w:rsid w:val="336E38A2"/>
    <w:rsid w:val="33722773"/>
    <w:rsid w:val="33B04C93"/>
    <w:rsid w:val="33C5268F"/>
    <w:rsid w:val="33F36E6A"/>
    <w:rsid w:val="34104D6D"/>
    <w:rsid w:val="342437A7"/>
    <w:rsid w:val="342F3889"/>
    <w:rsid w:val="34317897"/>
    <w:rsid w:val="34555347"/>
    <w:rsid w:val="345722F4"/>
    <w:rsid w:val="34613F15"/>
    <w:rsid w:val="3463243E"/>
    <w:rsid w:val="34743D26"/>
    <w:rsid w:val="348273D4"/>
    <w:rsid w:val="34831DEB"/>
    <w:rsid w:val="34863656"/>
    <w:rsid w:val="34B66CA2"/>
    <w:rsid w:val="34CC28C6"/>
    <w:rsid w:val="34E225AA"/>
    <w:rsid w:val="34FE36EA"/>
    <w:rsid w:val="34FF2296"/>
    <w:rsid w:val="35054DB5"/>
    <w:rsid w:val="351F32FB"/>
    <w:rsid w:val="352D0A6E"/>
    <w:rsid w:val="354262A8"/>
    <w:rsid w:val="35447101"/>
    <w:rsid w:val="35480275"/>
    <w:rsid w:val="3567106F"/>
    <w:rsid w:val="356963EF"/>
    <w:rsid w:val="35882E55"/>
    <w:rsid w:val="359A4309"/>
    <w:rsid w:val="359C3F8A"/>
    <w:rsid w:val="35B4523A"/>
    <w:rsid w:val="35BC10A1"/>
    <w:rsid w:val="35E7420C"/>
    <w:rsid w:val="35EE5FE2"/>
    <w:rsid w:val="35EF1431"/>
    <w:rsid w:val="35F5353E"/>
    <w:rsid w:val="363539B2"/>
    <w:rsid w:val="365F03BF"/>
    <w:rsid w:val="365F7460"/>
    <w:rsid w:val="367624D9"/>
    <w:rsid w:val="367A5C07"/>
    <w:rsid w:val="36847BBB"/>
    <w:rsid w:val="36885F45"/>
    <w:rsid w:val="368D08AD"/>
    <w:rsid w:val="368F2BEB"/>
    <w:rsid w:val="368F71DF"/>
    <w:rsid w:val="36996539"/>
    <w:rsid w:val="36AA02D3"/>
    <w:rsid w:val="36B17CE4"/>
    <w:rsid w:val="36B53B20"/>
    <w:rsid w:val="36B967BC"/>
    <w:rsid w:val="36BC5FEB"/>
    <w:rsid w:val="36BD7F50"/>
    <w:rsid w:val="36BF6E15"/>
    <w:rsid w:val="36D13CC6"/>
    <w:rsid w:val="36D64D94"/>
    <w:rsid w:val="36DE7383"/>
    <w:rsid w:val="36DF163C"/>
    <w:rsid w:val="36F6627E"/>
    <w:rsid w:val="3717778E"/>
    <w:rsid w:val="371F5976"/>
    <w:rsid w:val="3724787C"/>
    <w:rsid w:val="37307DA0"/>
    <w:rsid w:val="37373799"/>
    <w:rsid w:val="373B15E6"/>
    <w:rsid w:val="3747202B"/>
    <w:rsid w:val="374B3131"/>
    <w:rsid w:val="374E017D"/>
    <w:rsid w:val="375B57D6"/>
    <w:rsid w:val="37756826"/>
    <w:rsid w:val="37AC1F65"/>
    <w:rsid w:val="37C90503"/>
    <w:rsid w:val="37D85F99"/>
    <w:rsid w:val="37E54FA0"/>
    <w:rsid w:val="37E6666B"/>
    <w:rsid w:val="37FD2E72"/>
    <w:rsid w:val="381A1731"/>
    <w:rsid w:val="38233DE5"/>
    <w:rsid w:val="383179F9"/>
    <w:rsid w:val="38425BDA"/>
    <w:rsid w:val="38444C84"/>
    <w:rsid w:val="38482654"/>
    <w:rsid w:val="384C2DA8"/>
    <w:rsid w:val="384E79F8"/>
    <w:rsid w:val="385A55DE"/>
    <w:rsid w:val="385F2FBF"/>
    <w:rsid w:val="386629E9"/>
    <w:rsid w:val="387C1787"/>
    <w:rsid w:val="38845E7E"/>
    <w:rsid w:val="38A3375B"/>
    <w:rsid w:val="38A70067"/>
    <w:rsid w:val="38B56191"/>
    <w:rsid w:val="38BC699C"/>
    <w:rsid w:val="38C3660C"/>
    <w:rsid w:val="38D60B41"/>
    <w:rsid w:val="38D926C7"/>
    <w:rsid w:val="38DE3F67"/>
    <w:rsid w:val="39013815"/>
    <w:rsid w:val="39032616"/>
    <w:rsid w:val="390B4155"/>
    <w:rsid w:val="39195460"/>
    <w:rsid w:val="39204C99"/>
    <w:rsid w:val="392A049E"/>
    <w:rsid w:val="39553A19"/>
    <w:rsid w:val="3970374E"/>
    <w:rsid w:val="39855E95"/>
    <w:rsid w:val="39886599"/>
    <w:rsid w:val="39894A1A"/>
    <w:rsid w:val="398A077C"/>
    <w:rsid w:val="399D0FAB"/>
    <w:rsid w:val="39A122D0"/>
    <w:rsid w:val="39AB655A"/>
    <w:rsid w:val="39B079CB"/>
    <w:rsid w:val="39B95146"/>
    <w:rsid w:val="39C54356"/>
    <w:rsid w:val="39DA6BB7"/>
    <w:rsid w:val="39E16DE1"/>
    <w:rsid w:val="39EA2F5F"/>
    <w:rsid w:val="39F03604"/>
    <w:rsid w:val="39FD4DBB"/>
    <w:rsid w:val="3A054B67"/>
    <w:rsid w:val="3A3A1FDD"/>
    <w:rsid w:val="3A5A096E"/>
    <w:rsid w:val="3A5B056F"/>
    <w:rsid w:val="3A6A4AE7"/>
    <w:rsid w:val="3A6F521E"/>
    <w:rsid w:val="3A756C76"/>
    <w:rsid w:val="3A9F4B60"/>
    <w:rsid w:val="3AB30FC3"/>
    <w:rsid w:val="3ABD7FBE"/>
    <w:rsid w:val="3ABF3EF4"/>
    <w:rsid w:val="3ACB483F"/>
    <w:rsid w:val="3ADD73C6"/>
    <w:rsid w:val="3AE53F9C"/>
    <w:rsid w:val="3AEA785E"/>
    <w:rsid w:val="3AF675FE"/>
    <w:rsid w:val="3B081418"/>
    <w:rsid w:val="3B1C6D1C"/>
    <w:rsid w:val="3B3D06C1"/>
    <w:rsid w:val="3B5509C6"/>
    <w:rsid w:val="3B7A3826"/>
    <w:rsid w:val="3B9201D1"/>
    <w:rsid w:val="3BA260E2"/>
    <w:rsid w:val="3BB728EB"/>
    <w:rsid w:val="3BC84D19"/>
    <w:rsid w:val="3C0A28BB"/>
    <w:rsid w:val="3C270BE1"/>
    <w:rsid w:val="3C596FA8"/>
    <w:rsid w:val="3C632D56"/>
    <w:rsid w:val="3C8243D1"/>
    <w:rsid w:val="3C89787F"/>
    <w:rsid w:val="3C9012E0"/>
    <w:rsid w:val="3CB238B3"/>
    <w:rsid w:val="3CD177A5"/>
    <w:rsid w:val="3CD321D2"/>
    <w:rsid w:val="3CD92F2B"/>
    <w:rsid w:val="3CDC6722"/>
    <w:rsid w:val="3CDD26E6"/>
    <w:rsid w:val="3CE720A5"/>
    <w:rsid w:val="3CF6323C"/>
    <w:rsid w:val="3CFF4663"/>
    <w:rsid w:val="3D055824"/>
    <w:rsid w:val="3D213BF6"/>
    <w:rsid w:val="3D2D2373"/>
    <w:rsid w:val="3D3B536E"/>
    <w:rsid w:val="3D505CFA"/>
    <w:rsid w:val="3D6861D2"/>
    <w:rsid w:val="3D6B7F80"/>
    <w:rsid w:val="3D757314"/>
    <w:rsid w:val="3DB135FF"/>
    <w:rsid w:val="3DB339C8"/>
    <w:rsid w:val="3DB51BFC"/>
    <w:rsid w:val="3DDE30D7"/>
    <w:rsid w:val="3DF6186C"/>
    <w:rsid w:val="3E082B8C"/>
    <w:rsid w:val="3E1C5682"/>
    <w:rsid w:val="3E351BF4"/>
    <w:rsid w:val="3E3E403C"/>
    <w:rsid w:val="3E5C28BB"/>
    <w:rsid w:val="3E646774"/>
    <w:rsid w:val="3E686C7D"/>
    <w:rsid w:val="3E736717"/>
    <w:rsid w:val="3E862809"/>
    <w:rsid w:val="3E9C0A83"/>
    <w:rsid w:val="3EA215A6"/>
    <w:rsid w:val="3ED80B2E"/>
    <w:rsid w:val="3EE03D79"/>
    <w:rsid w:val="3EF732F4"/>
    <w:rsid w:val="3F060785"/>
    <w:rsid w:val="3F1F460F"/>
    <w:rsid w:val="3F2C3542"/>
    <w:rsid w:val="3F302E94"/>
    <w:rsid w:val="3F3514F6"/>
    <w:rsid w:val="3F3538AF"/>
    <w:rsid w:val="3F5D6FAF"/>
    <w:rsid w:val="3F646EED"/>
    <w:rsid w:val="3F6C516D"/>
    <w:rsid w:val="3F967FAC"/>
    <w:rsid w:val="3FAE1F3A"/>
    <w:rsid w:val="3FAE3300"/>
    <w:rsid w:val="3FB670F9"/>
    <w:rsid w:val="3FC1296F"/>
    <w:rsid w:val="3FD54C06"/>
    <w:rsid w:val="3FDD2A8F"/>
    <w:rsid w:val="3FE17866"/>
    <w:rsid w:val="3FFB07ED"/>
    <w:rsid w:val="3FFF0E43"/>
    <w:rsid w:val="40142AAB"/>
    <w:rsid w:val="40367ED5"/>
    <w:rsid w:val="403F2197"/>
    <w:rsid w:val="4048611C"/>
    <w:rsid w:val="404F338B"/>
    <w:rsid w:val="405B6FC5"/>
    <w:rsid w:val="4071177C"/>
    <w:rsid w:val="407B3F61"/>
    <w:rsid w:val="407C448C"/>
    <w:rsid w:val="40853C52"/>
    <w:rsid w:val="40C4190E"/>
    <w:rsid w:val="40DA01AA"/>
    <w:rsid w:val="40E6355F"/>
    <w:rsid w:val="40F61E34"/>
    <w:rsid w:val="410459C4"/>
    <w:rsid w:val="412664EB"/>
    <w:rsid w:val="412A4DF8"/>
    <w:rsid w:val="412C0C24"/>
    <w:rsid w:val="414448A1"/>
    <w:rsid w:val="41480BFA"/>
    <w:rsid w:val="4164006C"/>
    <w:rsid w:val="416750F2"/>
    <w:rsid w:val="41696467"/>
    <w:rsid w:val="417141B2"/>
    <w:rsid w:val="41793E0F"/>
    <w:rsid w:val="41BE6E1B"/>
    <w:rsid w:val="41C3102A"/>
    <w:rsid w:val="41C64225"/>
    <w:rsid w:val="41E927CD"/>
    <w:rsid w:val="41EA200B"/>
    <w:rsid w:val="41F35E7D"/>
    <w:rsid w:val="41FF056E"/>
    <w:rsid w:val="42087D0C"/>
    <w:rsid w:val="420E7F39"/>
    <w:rsid w:val="420F229C"/>
    <w:rsid w:val="421D470E"/>
    <w:rsid w:val="421D4EA6"/>
    <w:rsid w:val="423A69B9"/>
    <w:rsid w:val="423B39A1"/>
    <w:rsid w:val="425A2949"/>
    <w:rsid w:val="42733C6F"/>
    <w:rsid w:val="42766D6B"/>
    <w:rsid w:val="427D5BBD"/>
    <w:rsid w:val="427E7942"/>
    <w:rsid w:val="427F1068"/>
    <w:rsid w:val="42826E1F"/>
    <w:rsid w:val="42993D4D"/>
    <w:rsid w:val="42B36835"/>
    <w:rsid w:val="42F05AF9"/>
    <w:rsid w:val="42F129A1"/>
    <w:rsid w:val="42F645BD"/>
    <w:rsid w:val="42FE0ECA"/>
    <w:rsid w:val="430867ED"/>
    <w:rsid w:val="432A5A06"/>
    <w:rsid w:val="43524737"/>
    <w:rsid w:val="436446AC"/>
    <w:rsid w:val="43777787"/>
    <w:rsid w:val="43830D3E"/>
    <w:rsid w:val="43912053"/>
    <w:rsid w:val="439628F6"/>
    <w:rsid w:val="43D227C4"/>
    <w:rsid w:val="43EE1E21"/>
    <w:rsid w:val="43F5652A"/>
    <w:rsid w:val="43FA0D9A"/>
    <w:rsid w:val="44242B4E"/>
    <w:rsid w:val="44473DD4"/>
    <w:rsid w:val="44490E95"/>
    <w:rsid w:val="44674C73"/>
    <w:rsid w:val="446C3689"/>
    <w:rsid w:val="4472318E"/>
    <w:rsid w:val="4479576C"/>
    <w:rsid w:val="447F61FD"/>
    <w:rsid w:val="4497149C"/>
    <w:rsid w:val="44CE4B84"/>
    <w:rsid w:val="44D44A53"/>
    <w:rsid w:val="44E60D79"/>
    <w:rsid w:val="44F00076"/>
    <w:rsid w:val="44F50092"/>
    <w:rsid w:val="452B4CAC"/>
    <w:rsid w:val="45386DA3"/>
    <w:rsid w:val="454D0A3A"/>
    <w:rsid w:val="4572404B"/>
    <w:rsid w:val="45732B43"/>
    <w:rsid w:val="457635EC"/>
    <w:rsid w:val="459C6E95"/>
    <w:rsid w:val="45A271CF"/>
    <w:rsid w:val="45B46C32"/>
    <w:rsid w:val="45C04752"/>
    <w:rsid w:val="45CE6836"/>
    <w:rsid w:val="45F54D27"/>
    <w:rsid w:val="45F778F0"/>
    <w:rsid w:val="46025D9C"/>
    <w:rsid w:val="4624449B"/>
    <w:rsid w:val="46382E6D"/>
    <w:rsid w:val="46397012"/>
    <w:rsid w:val="465C5446"/>
    <w:rsid w:val="4662163F"/>
    <w:rsid w:val="468948B3"/>
    <w:rsid w:val="468B2CAD"/>
    <w:rsid w:val="469640DE"/>
    <w:rsid w:val="46B57629"/>
    <w:rsid w:val="46C14906"/>
    <w:rsid w:val="46C56785"/>
    <w:rsid w:val="46C94C42"/>
    <w:rsid w:val="46CB0A6B"/>
    <w:rsid w:val="46CE73EA"/>
    <w:rsid w:val="46ED0231"/>
    <w:rsid w:val="47072173"/>
    <w:rsid w:val="472C05EE"/>
    <w:rsid w:val="473D387B"/>
    <w:rsid w:val="47514530"/>
    <w:rsid w:val="4762121A"/>
    <w:rsid w:val="47633125"/>
    <w:rsid w:val="47775A7B"/>
    <w:rsid w:val="47937301"/>
    <w:rsid w:val="47B0283A"/>
    <w:rsid w:val="47BB51E8"/>
    <w:rsid w:val="47C8182E"/>
    <w:rsid w:val="47EE76AB"/>
    <w:rsid w:val="47F409BD"/>
    <w:rsid w:val="47F704B5"/>
    <w:rsid w:val="47FB3498"/>
    <w:rsid w:val="47FC6B7A"/>
    <w:rsid w:val="485052D8"/>
    <w:rsid w:val="485540D4"/>
    <w:rsid w:val="48780B5A"/>
    <w:rsid w:val="487A19D6"/>
    <w:rsid w:val="48A13519"/>
    <w:rsid w:val="48AE2506"/>
    <w:rsid w:val="48CF747F"/>
    <w:rsid w:val="48F93E8A"/>
    <w:rsid w:val="48FA2A51"/>
    <w:rsid w:val="491403CF"/>
    <w:rsid w:val="49156D95"/>
    <w:rsid w:val="49247E0F"/>
    <w:rsid w:val="493424A6"/>
    <w:rsid w:val="494749D8"/>
    <w:rsid w:val="4955729B"/>
    <w:rsid w:val="495855AE"/>
    <w:rsid w:val="496074EF"/>
    <w:rsid w:val="496F7073"/>
    <w:rsid w:val="49714CFD"/>
    <w:rsid w:val="49882C0E"/>
    <w:rsid w:val="498976A6"/>
    <w:rsid w:val="498F1A34"/>
    <w:rsid w:val="49965291"/>
    <w:rsid w:val="499D56E0"/>
    <w:rsid w:val="49A2731F"/>
    <w:rsid w:val="49C26AF7"/>
    <w:rsid w:val="49CC5CF4"/>
    <w:rsid w:val="49CD7AD1"/>
    <w:rsid w:val="49D8660C"/>
    <w:rsid w:val="49D9570B"/>
    <w:rsid w:val="49DF4588"/>
    <w:rsid w:val="49E014E1"/>
    <w:rsid w:val="49F16E20"/>
    <w:rsid w:val="49F3708B"/>
    <w:rsid w:val="4A085C5C"/>
    <w:rsid w:val="4A1258A3"/>
    <w:rsid w:val="4A27127D"/>
    <w:rsid w:val="4A286C52"/>
    <w:rsid w:val="4A3009D4"/>
    <w:rsid w:val="4A302258"/>
    <w:rsid w:val="4A4016CC"/>
    <w:rsid w:val="4A4871ED"/>
    <w:rsid w:val="4A4A2573"/>
    <w:rsid w:val="4A502D0F"/>
    <w:rsid w:val="4A8406A9"/>
    <w:rsid w:val="4A9E5D7B"/>
    <w:rsid w:val="4A9E7AB6"/>
    <w:rsid w:val="4AE61714"/>
    <w:rsid w:val="4B0163AF"/>
    <w:rsid w:val="4B07648B"/>
    <w:rsid w:val="4B1B05A1"/>
    <w:rsid w:val="4B29541F"/>
    <w:rsid w:val="4B402AB5"/>
    <w:rsid w:val="4B4C42EA"/>
    <w:rsid w:val="4B56223B"/>
    <w:rsid w:val="4B5B5F59"/>
    <w:rsid w:val="4B651054"/>
    <w:rsid w:val="4B741C91"/>
    <w:rsid w:val="4B762575"/>
    <w:rsid w:val="4B790C73"/>
    <w:rsid w:val="4B9925A9"/>
    <w:rsid w:val="4BA874DD"/>
    <w:rsid w:val="4BB626BF"/>
    <w:rsid w:val="4BBC5966"/>
    <w:rsid w:val="4BC57DDA"/>
    <w:rsid w:val="4BC8612A"/>
    <w:rsid w:val="4BCC5A8A"/>
    <w:rsid w:val="4BDB0594"/>
    <w:rsid w:val="4BDF5949"/>
    <w:rsid w:val="4BE000FF"/>
    <w:rsid w:val="4BE815B5"/>
    <w:rsid w:val="4BF52E1B"/>
    <w:rsid w:val="4C086CCB"/>
    <w:rsid w:val="4C1F79BB"/>
    <w:rsid w:val="4C2B02D4"/>
    <w:rsid w:val="4C353356"/>
    <w:rsid w:val="4C357A96"/>
    <w:rsid w:val="4C3D0C4A"/>
    <w:rsid w:val="4C3F6109"/>
    <w:rsid w:val="4C6657B1"/>
    <w:rsid w:val="4C7A781B"/>
    <w:rsid w:val="4C8A0551"/>
    <w:rsid w:val="4C8E6715"/>
    <w:rsid w:val="4C9E5CED"/>
    <w:rsid w:val="4CA853B8"/>
    <w:rsid w:val="4CCC41C0"/>
    <w:rsid w:val="4CF4135C"/>
    <w:rsid w:val="4CF97816"/>
    <w:rsid w:val="4CFE646D"/>
    <w:rsid w:val="4D075106"/>
    <w:rsid w:val="4D1C2E8A"/>
    <w:rsid w:val="4D2E6FC4"/>
    <w:rsid w:val="4D2E7493"/>
    <w:rsid w:val="4D394CB6"/>
    <w:rsid w:val="4D4A034A"/>
    <w:rsid w:val="4D767F1E"/>
    <w:rsid w:val="4D8F32A0"/>
    <w:rsid w:val="4D91475A"/>
    <w:rsid w:val="4D9973BC"/>
    <w:rsid w:val="4D9B3FF3"/>
    <w:rsid w:val="4DD16A27"/>
    <w:rsid w:val="4E023513"/>
    <w:rsid w:val="4E0D7324"/>
    <w:rsid w:val="4E1A512D"/>
    <w:rsid w:val="4E1F3EE9"/>
    <w:rsid w:val="4E2509D2"/>
    <w:rsid w:val="4E374B25"/>
    <w:rsid w:val="4E614C78"/>
    <w:rsid w:val="4E6605CA"/>
    <w:rsid w:val="4E6F6750"/>
    <w:rsid w:val="4E830E1E"/>
    <w:rsid w:val="4EAB0114"/>
    <w:rsid w:val="4EB2609A"/>
    <w:rsid w:val="4EC21D09"/>
    <w:rsid w:val="4EE96625"/>
    <w:rsid w:val="4F0409F3"/>
    <w:rsid w:val="4F044D97"/>
    <w:rsid w:val="4F0A3C0E"/>
    <w:rsid w:val="4F0D705E"/>
    <w:rsid w:val="4F4F29EA"/>
    <w:rsid w:val="4F522C31"/>
    <w:rsid w:val="4F5A4104"/>
    <w:rsid w:val="4F654F68"/>
    <w:rsid w:val="4F6B5950"/>
    <w:rsid w:val="4F8003E4"/>
    <w:rsid w:val="4F8254D6"/>
    <w:rsid w:val="4F8E15DA"/>
    <w:rsid w:val="4F8F6D42"/>
    <w:rsid w:val="4FA908D9"/>
    <w:rsid w:val="4FE966F4"/>
    <w:rsid w:val="4FEE6883"/>
    <w:rsid w:val="4FEF61AD"/>
    <w:rsid w:val="4FF138FE"/>
    <w:rsid w:val="500408DE"/>
    <w:rsid w:val="500A7FBC"/>
    <w:rsid w:val="500B65F9"/>
    <w:rsid w:val="50163486"/>
    <w:rsid w:val="503C2CE4"/>
    <w:rsid w:val="50577A06"/>
    <w:rsid w:val="505E4C9B"/>
    <w:rsid w:val="5080374E"/>
    <w:rsid w:val="50850DFC"/>
    <w:rsid w:val="5097410C"/>
    <w:rsid w:val="50A14F50"/>
    <w:rsid w:val="50B27017"/>
    <w:rsid w:val="50C6631B"/>
    <w:rsid w:val="50FC5596"/>
    <w:rsid w:val="50FF53A9"/>
    <w:rsid w:val="51002837"/>
    <w:rsid w:val="51056A0E"/>
    <w:rsid w:val="51083745"/>
    <w:rsid w:val="510B03DA"/>
    <w:rsid w:val="5147293F"/>
    <w:rsid w:val="514B6354"/>
    <w:rsid w:val="516850BA"/>
    <w:rsid w:val="516F3258"/>
    <w:rsid w:val="51701E2B"/>
    <w:rsid w:val="517A52D9"/>
    <w:rsid w:val="51873006"/>
    <w:rsid w:val="518C2C3D"/>
    <w:rsid w:val="5190504B"/>
    <w:rsid w:val="51A01538"/>
    <w:rsid w:val="51AD470D"/>
    <w:rsid w:val="51B1339A"/>
    <w:rsid w:val="51B55EA3"/>
    <w:rsid w:val="51C36465"/>
    <w:rsid w:val="51CD49C8"/>
    <w:rsid w:val="51DB39B9"/>
    <w:rsid w:val="51E46B68"/>
    <w:rsid w:val="5203531B"/>
    <w:rsid w:val="520A1683"/>
    <w:rsid w:val="521E5155"/>
    <w:rsid w:val="521F7E78"/>
    <w:rsid w:val="52214DEA"/>
    <w:rsid w:val="5257234F"/>
    <w:rsid w:val="52665790"/>
    <w:rsid w:val="52720BC3"/>
    <w:rsid w:val="527A2805"/>
    <w:rsid w:val="527C55E3"/>
    <w:rsid w:val="52922181"/>
    <w:rsid w:val="52A34524"/>
    <w:rsid w:val="52AB41DD"/>
    <w:rsid w:val="52DD5D4B"/>
    <w:rsid w:val="52E0467E"/>
    <w:rsid w:val="52ED67CF"/>
    <w:rsid w:val="52F8183E"/>
    <w:rsid w:val="53070C6E"/>
    <w:rsid w:val="53082A12"/>
    <w:rsid w:val="53236C8C"/>
    <w:rsid w:val="532924FD"/>
    <w:rsid w:val="5334454D"/>
    <w:rsid w:val="53746B8D"/>
    <w:rsid w:val="5385626C"/>
    <w:rsid w:val="538C78B4"/>
    <w:rsid w:val="53AE36E2"/>
    <w:rsid w:val="53BE0835"/>
    <w:rsid w:val="53BE59EE"/>
    <w:rsid w:val="53C4320D"/>
    <w:rsid w:val="53EB2313"/>
    <w:rsid w:val="5405684E"/>
    <w:rsid w:val="541378E1"/>
    <w:rsid w:val="54154CB7"/>
    <w:rsid w:val="541F6F1A"/>
    <w:rsid w:val="54256540"/>
    <w:rsid w:val="542E308F"/>
    <w:rsid w:val="544131DC"/>
    <w:rsid w:val="54510D56"/>
    <w:rsid w:val="54567CD5"/>
    <w:rsid w:val="5463114F"/>
    <w:rsid w:val="54652931"/>
    <w:rsid w:val="546A0247"/>
    <w:rsid w:val="54887D86"/>
    <w:rsid w:val="54AB4637"/>
    <w:rsid w:val="54AD202B"/>
    <w:rsid w:val="54B20A58"/>
    <w:rsid w:val="54B836B4"/>
    <w:rsid w:val="54C77974"/>
    <w:rsid w:val="54D336A0"/>
    <w:rsid w:val="54D77047"/>
    <w:rsid w:val="54DC3F89"/>
    <w:rsid w:val="54E258CE"/>
    <w:rsid w:val="550C20D5"/>
    <w:rsid w:val="550E69C8"/>
    <w:rsid w:val="55172D74"/>
    <w:rsid w:val="551B16A3"/>
    <w:rsid w:val="552F1E34"/>
    <w:rsid w:val="55514833"/>
    <w:rsid w:val="555E20EE"/>
    <w:rsid w:val="556663F3"/>
    <w:rsid w:val="557B55A4"/>
    <w:rsid w:val="559258C7"/>
    <w:rsid w:val="55A1249C"/>
    <w:rsid w:val="55A62B8A"/>
    <w:rsid w:val="55B93F88"/>
    <w:rsid w:val="55DF61D7"/>
    <w:rsid w:val="55DF6414"/>
    <w:rsid w:val="55EE75C0"/>
    <w:rsid w:val="55F06C6D"/>
    <w:rsid w:val="55F36882"/>
    <w:rsid w:val="56155BB7"/>
    <w:rsid w:val="56235D24"/>
    <w:rsid w:val="563B4721"/>
    <w:rsid w:val="56477D8E"/>
    <w:rsid w:val="566B3EB2"/>
    <w:rsid w:val="56897838"/>
    <w:rsid w:val="568D7B85"/>
    <w:rsid w:val="56936561"/>
    <w:rsid w:val="569531AF"/>
    <w:rsid w:val="5698643C"/>
    <w:rsid w:val="569F1989"/>
    <w:rsid w:val="56A82B3F"/>
    <w:rsid w:val="56BC3C0F"/>
    <w:rsid w:val="56BC64CE"/>
    <w:rsid w:val="56F31E5F"/>
    <w:rsid w:val="56F67C83"/>
    <w:rsid w:val="56FE3162"/>
    <w:rsid w:val="57061B4B"/>
    <w:rsid w:val="571768BE"/>
    <w:rsid w:val="571C0E7C"/>
    <w:rsid w:val="5736758D"/>
    <w:rsid w:val="573A3817"/>
    <w:rsid w:val="57515444"/>
    <w:rsid w:val="57560E52"/>
    <w:rsid w:val="5766386C"/>
    <w:rsid w:val="57670253"/>
    <w:rsid w:val="576E0CCC"/>
    <w:rsid w:val="57775CAB"/>
    <w:rsid w:val="57802C5C"/>
    <w:rsid w:val="57895367"/>
    <w:rsid w:val="578E6489"/>
    <w:rsid w:val="57900228"/>
    <w:rsid w:val="57AB500F"/>
    <w:rsid w:val="57CD7318"/>
    <w:rsid w:val="57D30501"/>
    <w:rsid w:val="57DD0052"/>
    <w:rsid w:val="57DE367D"/>
    <w:rsid w:val="57DF5467"/>
    <w:rsid w:val="57E30AE1"/>
    <w:rsid w:val="57EB014A"/>
    <w:rsid w:val="580954F6"/>
    <w:rsid w:val="580C421F"/>
    <w:rsid w:val="58127246"/>
    <w:rsid w:val="581773FE"/>
    <w:rsid w:val="58311AAA"/>
    <w:rsid w:val="58361C31"/>
    <w:rsid w:val="584E04C9"/>
    <w:rsid w:val="5855579C"/>
    <w:rsid w:val="58646AC6"/>
    <w:rsid w:val="58663347"/>
    <w:rsid w:val="58984351"/>
    <w:rsid w:val="58AF1DF6"/>
    <w:rsid w:val="58B43FEA"/>
    <w:rsid w:val="58C27B64"/>
    <w:rsid w:val="58D11D9B"/>
    <w:rsid w:val="58E25FF4"/>
    <w:rsid w:val="58F84C93"/>
    <w:rsid w:val="58FA27D7"/>
    <w:rsid w:val="58FA76E7"/>
    <w:rsid w:val="59130CC1"/>
    <w:rsid w:val="592438F8"/>
    <w:rsid w:val="593F20D6"/>
    <w:rsid w:val="59540C9F"/>
    <w:rsid w:val="596078FE"/>
    <w:rsid w:val="597F637D"/>
    <w:rsid w:val="59882C3D"/>
    <w:rsid w:val="59980303"/>
    <w:rsid w:val="599B19F7"/>
    <w:rsid w:val="59B04FE8"/>
    <w:rsid w:val="59BF56A8"/>
    <w:rsid w:val="59C06FE9"/>
    <w:rsid w:val="59C91ACF"/>
    <w:rsid w:val="59CB739A"/>
    <w:rsid w:val="59D91D7F"/>
    <w:rsid w:val="59E30E1F"/>
    <w:rsid w:val="59EC3ED5"/>
    <w:rsid w:val="5A107157"/>
    <w:rsid w:val="5A1233D7"/>
    <w:rsid w:val="5A2426EB"/>
    <w:rsid w:val="5A332E9C"/>
    <w:rsid w:val="5A3426BC"/>
    <w:rsid w:val="5A454117"/>
    <w:rsid w:val="5A501676"/>
    <w:rsid w:val="5A6D5C4E"/>
    <w:rsid w:val="5A6E50B9"/>
    <w:rsid w:val="5AAC1340"/>
    <w:rsid w:val="5AC039E7"/>
    <w:rsid w:val="5AC1221A"/>
    <w:rsid w:val="5AEA4543"/>
    <w:rsid w:val="5AF63771"/>
    <w:rsid w:val="5B0A12CC"/>
    <w:rsid w:val="5B1672BC"/>
    <w:rsid w:val="5B195D4F"/>
    <w:rsid w:val="5B21679D"/>
    <w:rsid w:val="5B2C167F"/>
    <w:rsid w:val="5B2F6F83"/>
    <w:rsid w:val="5B450578"/>
    <w:rsid w:val="5B4C010D"/>
    <w:rsid w:val="5B673AB6"/>
    <w:rsid w:val="5B6F17AB"/>
    <w:rsid w:val="5B835D00"/>
    <w:rsid w:val="5B912183"/>
    <w:rsid w:val="5B956676"/>
    <w:rsid w:val="5BB140EE"/>
    <w:rsid w:val="5BCE2B31"/>
    <w:rsid w:val="5BCF1759"/>
    <w:rsid w:val="5BCF5517"/>
    <w:rsid w:val="5BD504D9"/>
    <w:rsid w:val="5BD61BB0"/>
    <w:rsid w:val="5C0025B3"/>
    <w:rsid w:val="5C056636"/>
    <w:rsid w:val="5C067F8B"/>
    <w:rsid w:val="5C141790"/>
    <w:rsid w:val="5C232770"/>
    <w:rsid w:val="5C33344D"/>
    <w:rsid w:val="5C352B43"/>
    <w:rsid w:val="5C47491A"/>
    <w:rsid w:val="5C653A49"/>
    <w:rsid w:val="5C7215C2"/>
    <w:rsid w:val="5CA5043C"/>
    <w:rsid w:val="5CAC7FF0"/>
    <w:rsid w:val="5CB7107E"/>
    <w:rsid w:val="5CB94636"/>
    <w:rsid w:val="5CC15F16"/>
    <w:rsid w:val="5CC4676D"/>
    <w:rsid w:val="5CC83EA7"/>
    <w:rsid w:val="5CCE18CF"/>
    <w:rsid w:val="5CD00EAA"/>
    <w:rsid w:val="5D10610F"/>
    <w:rsid w:val="5D293D84"/>
    <w:rsid w:val="5D3662B3"/>
    <w:rsid w:val="5D3B0092"/>
    <w:rsid w:val="5D3D0E3B"/>
    <w:rsid w:val="5D66629F"/>
    <w:rsid w:val="5D6A7321"/>
    <w:rsid w:val="5D82193F"/>
    <w:rsid w:val="5D8D1FB6"/>
    <w:rsid w:val="5D9C7622"/>
    <w:rsid w:val="5DBC2E9F"/>
    <w:rsid w:val="5DD82C75"/>
    <w:rsid w:val="5DE3535B"/>
    <w:rsid w:val="5DF302D4"/>
    <w:rsid w:val="5E006713"/>
    <w:rsid w:val="5E326B7D"/>
    <w:rsid w:val="5E4173F2"/>
    <w:rsid w:val="5E467691"/>
    <w:rsid w:val="5E493FE8"/>
    <w:rsid w:val="5E566771"/>
    <w:rsid w:val="5E5F3ECB"/>
    <w:rsid w:val="5E6C6963"/>
    <w:rsid w:val="5EA00D2C"/>
    <w:rsid w:val="5EC04439"/>
    <w:rsid w:val="5ECB4F8C"/>
    <w:rsid w:val="5ED42812"/>
    <w:rsid w:val="5ED5673A"/>
    <w:rsid w:val="5EE65064"/>
    <w:rsid w:val="5EEE5B65"/>
    <w:rsid w:val="5EFA3655"/>
    <w:rsid w:val="5F141469"/>
    <w:rsid w:val="5F406AF7"/>
    <w:rsid w:val="5F692A19"/>
    <w:rsid w:val="5F6B7B9D"/>
    <w:rsid w:val="5F703EC9"/>
    <w:rsid w:val="5F76621D"/>
    <w:rsid w:val="5F9D643E"/>
    <w:rsid w:val="5FAC32ED"/>
    <w:rsid w:val="5FB3694F"/>
    <w:rsid w:val="5FB970DF"/>
    <w:rsid w:val="5FC5106F"/>
    <w:rsid w:val="5FD170ED"/>
    <w:rsid w:val="5FD21DA9"/>
    <w:rsid w:val="5FF519D0"/>
    <w:rsid w:val="600F33B6"/>
    <w:rsid w:val="60126829"/>
    <w:rsid w:val="601E3E49"/>
    <w:rsid w:val="60203B3D"/>
    <w:rsid w:val="602D199B"/>
    <w:rsid w:val="6057691E"/>
    <w:rsid w:val="60595417"/>
    <w:rsid w:val="60620641"/>
    <w:rsid w:val="60711F15"/>
    <w:rsid w:val="607131DD"/>
    <w:rsid w:val="607169C6"/>
    <w:rsid w:val="609C008D"/>
    <w:rsid w:val="60A42C31"/>
    <w:rsid w:val="60A56862"/>
    <w:rsid w:val="60B90E90"/>
    <w:rsid w:val="60BC3E74"/>
    <w:rsid w:val="60C166EF"/>
    <w:rsid w:val="60CE77E7"/>
    <w:rsid w:val="60E4592E"/>
    <w:rsid w:val="60EC6C56"/>
    <w:rsid w:val="610358C6"/>
    <w:rsid w:val="610E3558"/>
    <w:rsid w:val="612647AE"/>
    <w:rsid w:val="614421A1"/>
    <w:rsid w:val="614B0915"/>
    <w:rsid w:val="614E60D8"/>
    <w:rsid w:val="61533697"/>
    <w:rsid w:val="61734C5D"/>
    <w:rsid w:val="617952B6"/>
    <w:rsid w:val="61B03543"/>
    <w:rsid w:val="61C25864"/>
    <w:rsid w:val="61C72942"/>
    <w:rsid w:val="61D62E9B"/>
    <w:rsid w:val="61E01682"/>
    <w:rsid w:val="61E87411"/>
    <w:rsid w:val="61E933C0"/>
    <w:rsid w:val="61F30E62"/>
    <w:rsid w:val="61FC7438"/>
    <w:rsid w:val="61FD59BC"/>
    <w:rsid w:val="62057807"/>
    <w:rsid w:val="620938BD"/>
    <w:rsid w:val="624409C0"/>
    <w:rsid w:val="62585A7C"/>
    <w:rsid w:val="626557F0"/>
    <w:rsid w:val="62954E79"/>
    <w:rsid w:val="6299063F"/>
    <w:rsid w:val="629A5011"/>
    <w:rsid w:val="62A754F8"/>
    <w:rsid w:val="62B563CE"/>
    <w:rsid w:val="62DF391A"/>
    <w:rsid w:val="62EE71CA"/>
    <w:rsid w:val="63156D86"/>
    <w:rsid w:val="63397EC3"/>
    <w:rsid w:val="63400C10"/>
    <w:rsid w:val="63403FBC"/>
    <w:rsid w:val="63700ACF"/>
    <w:rsid w:val="638C05C9"/>
    <w:rsid w:val="638F7433"/>
    <w:rsid w:val="63AF79F5"/>
    <w:rsid w:val="63B91A80"/>
    <w:rsid w:val="63BD730C"/>
    <w:rsid w:val="63D124F5"/>
    <w:rsid w:val="63D43630"/>
    <w:rsid w:val="63DC415A"/>
    <w:rsid w:val="63E956DB"/>
    <w:rsid w:val="63F4531A"/>
    <w:rsid w:val="63F54556"/>
    <w:rsid w:val="64083C3F"/>
    <w:rsid w:val="64117515"/>
    <w:rsid w:val="64266D68"/>
    <w:rsid w:val="64323514"/>
    <w:rsid w:val="643711BC"/>
    <w:rsid w:val="64477515"/>
    <w:rsid w:val="64714BA0"/>
    <w:rsid w:val="64857D05"/>
    <w:rsid w:val="649557C1"/>
    <w:rsid w:val="64A2506B"/>
    <w:rsid w:val="64A65841"/>
    <w:rsid w:val="64B70D07"/>
    <w:rsid w:val="64B77BC7"/>
    <w:rsid w:val="64C51ACF"/>
    <w:rsid w:val="64CC7737"/>
    <w:rsid w:val="64D375A3"/>
    <w:rsid w:val="64E46D1A"/>
    <w:rsid w:val="64ED3A94"/>
    <w:rsid w:val="64FC3B9A"/>
    <w:rsid w:val="65247F7A"/>
    <w:rsid w:val="652F5305"/>
    <w:rsid w:val="653D1B90"/>
    <w:rsid w:val="655D015B"/>
    <w:rsid w:val="656C1E51"/>
    <w:rsid w:val="659B7170"/>
    <w:rsid w:val="65DA6397"/>
    <w:rsid w:val="65DA6E5E"/>
    <w:rsid w:val="65EA6E69"/>
    <w:rsid w:val="65FD47A4"/>
    <w:rsid w:val="65FE6D3A"/>
    <w:rsid w:val="66052F39"/>
    <w:rsid w:val="660A0B49"/>
    <w:rsid w:val="661908DF"/>
    <w:rsid w:val="661F6354"/>
    <w:rsid w:val="66290BAB"/>
    <w:rsid w:val="66403993"/>
    <w:rsid w:val="665138CC"/>
    <w:rsid w:val="666B47EA"/>
    <w:rsid w:val="6677718C"/>
    <w:rsid w:val="668A4D5C"/>
    <w:rsid w:val="66BF0F94"/>
    <w:rsid w:val="66C6117D"/>
    <w:rsid w:val="66D622C8"/>
    <w:rsid w:val="66E452AB"/>
    <w:rsid w:val="67045800"/>
    <w:rsid w:val="67303947"/>
    <w:rsid w:val="67321D40"/>
    <w:rsid w:val="673D1BBD"/>
    <w:rsid w:val="67445100"/>
    <w:rsid w:val="674C6803"/>
    <w:rsid w:val="674E2499"/>
    <w:rsid w:val="675237C7"/>
    <w:rsid w:val="67677DBA"/>
    <w:rsid w:val="67855FB8"/>
    <w:rsid w:val="67B43BF2"/>
    <w:rsid w:val="67DD352F"/>
    <w:rsid w:val="67EE5572"/>
    <w:rsid w:val="67F021C3"/>
    <w:rsid w:val="68136BD7"/>
    <w:rsid w:val="68166C13"/>
    <w:rsid w:val="682C19E2"/>
    <w:rsid w:val="682F280A"/>
    <w:rsid w:val="684652E9"/>
    <w:rsid w:val="68552E02"/>
    <w:rsid w:val="68585D4B"/>
    <w:rsid w:val="685B5350"/>
    <w:rsid w:val="687A2479"/>
    <w:rsid w:val="687F6274"/>
    <w:rsid w:val="68A15869"/>
    <w:rsid w:val="68AE6441"/>
    <w:rsid w:val="68BA149C"/>
    <w:rsid w:val="68BE6802"/>
    <w:rsid w:val="68CA586D"/>
    <w:rsid w:val="68D92243"/>
    <w:rsid w:val="68EC2B74"/>
    <w:rsid w:val="68FF69BE"/>
    <w:rsid w:val="690D6941"/>
    <w:rsid w:val="691C2C81"/>
    <w:rsid w:val="691D6BEF"/>
    <w:rsid w:val="692270F9"/>
    <w:rsid w:val="695E0CA3"/>
    <w:rsid w:val="69693549"/>
    <w:rsid w:val="69725991"/>
    <w:rsid w:val="6984779F"/>
    <w:rsid w:val="698A7029"/>
    <w:rsid w:val="69A24299"/>
    <w:rsid w:val="69A74C01"/>
    <w:rsid w:val="69DC0891"/>
    <w:rsid w:val="69EC7A0C"/>
    <w:rsid w:val="6A151732"/>
    <w:rsid w:val="6A243EFF"/>
    <w:rsid w:val="6A310ACA"/>
    <w:rsid w:val="6A33711A"/>
    <w:rsid w:val="6A475C3C"/>
    <w:rsid w:val="6A762D68"/>
    <w:rsid w:val="6A7F2149"/>
    <w:rsid w:val="6A8230BA"/>
    <w:rsid w:val="6A8D524E"/>
    <w:rsid w:val="6ACA6E39"/>
    <w:rsid w:val="6ACB2D3F"/>
    <w:rsid w:val="6AE54395"/>
    <w:rsid w:val="6AE97230"/>
    <w:rsid w:val="6B072B94"/>
    <w:rsid w:val="6B31373A"/>
    <w:rsid w:val="6B542D63"/>
    <w:rsid w:val="6B7226E0"/>
    <w:rsid w:val="6B7554DF"/>
    <w:rsid w:val="6BA742AC"/>
    <w:rsid w:val="6BA77944"/>
    <w:rsid w:val="6BA81731"/>
    <w:rsid w:val="6BBC39AC"/>
    <w:rsid w:val="6BDA195D"/>
    <w:rsid w:val="6BDA2004"/>
    <w:rsid w:val="6BDB7D87"/>
    <w:rsid w:val="6BF37332"/>
    <w:rsid w:val="6C0B6D4F"/>
    <w:rsid w:val="6C131243"/>
    <w:rsid w:val="6C1508EB"/>
    <w:rsid w:val="6C1B069D"/>
    <w:rsid w:val="6C1D3760"/>
    <w:rsid w:val="6C1D7BCE"/>
    <w:rsid w:val="6C1E7A1C"/>
    <w:rsid w:val="6C21415E"/>
    <w:rsid w:val="6C5C7431"/>
    <w:rsid w:val="6C663333"/>
    <w:rsid w:val="6C790792"/>
    <w:rsid w:val="6C793FCF"/>
    <w:rsid w:val="6C800049"/>
    <w:rsid w:val="6C947AB0"/>
    <w:rsid w:val="6CA4362D"/>
    <w:rsid w:val="6CA8627A"/>
    <w:rsid w:val="6CBE5109"/>
    <w:rsid w:val="6CD20281"/>
    <w:rsid w:val="6CD21729"/>
    <w:rsid w:val="6CD46F14"/>
    <w:rsid w:val="6CD8269F"/>
    <w:rsid w:val="6CDC5EBB"/>
    <w:rsid w:val="6CE43AF7"/>
    <w:rsid w:val="6D167FE2"/>
    <w:rsid w:val="6D2C14AD"/>
    <w:rsid w:val="6D311F7D"/>
    <w:rsid w:val="6D39117E"/>
    <w:rsid w:val="6D4042F1"/>
    <w:rsid w:val="6D556E3C"/>
    <w:rsid w:val="6D5D2B62"/>
    <w:rsid w:val="6D5E58B7"/>
    <w:rsid w:val="6D6745F5"/>
    <w:rsid w:val="6D7B3CDC"/>
    <w:rsid w:val="6D8117F8"/>
    <w:rsid w:val="6DB07FFA"/>
    <w:rsid w:val="6DB56881"/>
    <w:rsid w:val="6DCE40CE"/>
    <w:rsid w:val="6DD40D81"/>
    <w:rsid w:val="6DE75033"/>
    <w:rsid w:val="6DFB70B6"/>
    <w:rsid w:val="6E0809B1"/>
    <w:rsid w:val="6E09106D"/>
    <w:rsid w:val="6E0923D8"/>
    <w:rsid w:val="6E127AFC"/>
    <w:rsid w:val="6E2E1A6D"/>
    <w:rsid w:val="6E482931"/>
    <w:rsid w:val="6E6648EE"/>
    <w:rsid w:val="6E7243FD"/>
    <w:rsid w:val="6E78008B"/>
    <w:rsid w:val="6E8610ED"/>
    <w:rsid w:val="6E94384D"/>
    <w:rsid w:val="6E9532FA"/>
    <w:rsid w:val="6EA06A3C"/>
    <w:rsid w:val="6ECC2851"/>
    <w:rsid w:val="6EF01BCF"/>
    <w:rsid w:val="6EF126E3"/>
    <w:rsid w:val="6F131AD9"/>
    <w:rsid w:val="6F140FE6"/>
    <w:rsid w:val="6F2E1F3D"/>
    <w:rsid w:val="6F3D70DA"/>
    <w:rsid w:val="6F41302D"/>
    <w:rsid w:val="6F42354B"/>
    <w:rsid w:val="6F4300A0"/>
    <w:rsid w:val="6F5324B5"/>
    <w:rsid w:val="6F610C1F"/>
    <w:rsid w:val="6F780A9C"/>
    <w:rsid w:val="6F931E11"/>
    <w:rsid w:val="6F933F5B"/>
    <w:rsid w:val="6F9D5714"/>
    <w:rsid w:val="6FCA221F"/>
    <w:rsid w:val="6FCE7735"/>
    <w:rsid w:val="6FD93DB4"/>
    <w:rsid w:val="6FE43380"/>
    <w:rsid w:val="70307F15"/>
    <w:rsid w:val="703A4DE0"/>
    <w:rsid w:val="70522332"/>
    <w:rsid w:val="705A50F3"/>
    <w:rsid w:val="706207E5"/>
    <w:rsid w:val="706B1943"/>
    <w:rsid w:val="707B198B"/>
    <w:rsid w:val="70AB67CF"/>
    <w:rsid w:val="70BB6549"/>
    <w:rsid w:val="70C8462E"/>
    <w:rsid w:val="70D00039"/>
    <w:rsid w:val="70D9311B"/>
    <w:rsid w:val="70E16376"/>
    <w:rsid w:val="70FD314E"/>
    <w:rsid w:val="711322DF"/>
    <w:rsid w:val="711557D2"/>
    <w:rsid w:val="71290211"/>
    <w:rsid w:val="714810E1"/>
    <w:rsid w:val="7163560D"/>
    <w:rsid w:val="716D637C"/>
    <w:rsid w:val="71762C26"/>
    <w:rsid w:val="71A0693C"/>
    <w:rsid w:val="71A74636"/>
    <w:rsid w:val="71C64795"/>
    <w:rsid w:val="71E068B0"/>
    <w:rsid w:val="71E13CF8"/>
    <w:rsid w:val="71E36583"/>
    <w:rsid w:val="71E661C1"/>
    <w:rsid w:val="71EC182A"/>
    <w:rsid w:val="71EF64BF"/>
    <w:rsid w:val="71F5344F"/>
    <w:rsid w:val="720B694C"/>
    <w:rsid w:val="721676A2"/>
    <w:rsid w:val="722331A5"/>
    <w:rsid w:val="722902E6"/>
    <w:rsid w:val="7229583B"/>
    <w:rsid w:val="72345FC4"/>
    <w:rsid w:val="724044F2"/>
    <w:rsid w:val="726E72DD"/>
    <w:rsid w:val="72717CBC"/>
    <w:rsid w:val="727C121B"/>
    <w:rsid w:val="7281304D"/>
    <w:rsid w:val="729D5541"/>
    <w:rsid w:val="72C429AD"/>
    <w:rsid w:val="72D002E0"/>
    <w:rsid w:val="72D73503"/>
    <w:rsid w:val="72E53841"/>
    <w:rsid w:val="72EE21D4"/>
    <w:rsid w:val="72F53F87"/>
    <w:rsid w:val="730D1CCA"/>
    <w:rsid w:val="731D5552"/>
    <w:rsid w:val="731F0F7C"/>
    <w:rsid w:val="732539AE"/>
    <w:rsid w:val="73281380"/>
    <w:rsid w:val="734E1DFC"/>
    <w:rsid w:val="7350232C"/>
    <w:rsid w:val="735143BA"/>
    <w:rsid w:val="73597C8A"/>
    <w:rsid w:val="736413B0"/>
    <w:rsid w:val="737F23C2"/>
    <w:rsid w:val="73802173"/>
    <w:rsid w:val="73946DE8"/>
    <w:rsid w:val="73956BEF"/>
    <w:rsid w:val="73CD4ED4"/>
    <w:rsid w:val="73EB46AD"/>
    <w:rsid w:val="73EF6ABA"/>
    <w:rsid w:val="73F13BF6"/>
    <w:rsid w:val="74035F0C"/>
    <w:rsid w:val="741572BE"/>
    <w:rsid w:val="741E4D72"/>
    <w:rsid w:val="743254BC"/>
    <w:rsid w:val="744637BC"/>
    <w:rsid w:val="747F0E60"/>
    <w:rsid w:val="748010C6"/>
    <w:rsid w:val="748D2C82"/>
    <w:rsid w:val="74C760A8"/>
    <w:rsid w:val="74C97E89"/>
    <w:rsid w:val="74DC5087"/>
    <w:rsid w:val="74F5031E"/>
    <w:rsid w:val="75023CFC"/>
    <w:rsid w:val="75066CC8"/>
    <w:rsid w:val="75220121"/>
    <w:rsid w:val="7526156F"/>
    <w:rsid w:val="75371179"/>
    <w:rsid w:val="753D2E6F"/>
    <w:rsid w:val="754444B6"/>
    <w:rsid w:val="7551416C"/>
    <w:rsid w:val="756D69D5"/>
    <w:rsid w:val="758449E9"/>
    <w:rsid w:val="758E4672"/>
    <w:rsid w:val="75B349B0"/>
    <w:rsid w:val="75C10251"/>
    <w:rsid w:val="75D51592"/>
    <w:rsid w:val="75E0148D"/>
    <w:rsid w:val="762C3780"/>
    <w:rsid w:val="76393874"/>
    <w:rsid w:val="763A4A42"/>
    <w:rsid w:val="763D6C92"/>
    <w:rsid w:val="76401CC0"/>
    <w:rsid w:val="76443C72"/>
    <w:rsid w:val="7647717D"/>
    <w:rsid w:val="764D6A4B"/>
    <w:rsid w:val="76545F0B"/>
    <w:rsid w:val="768B2013"/>
    <w:rsid w:val="769F05AF"/>
    <w:rsid w:val="76AD636B"/>
    <w:rsid w:val="76AE11FD"/>
    <w:rsid w:val="76CB1E88"/>
    <w:rsid w:val="76DF70E1"/>
    <w:rsid w:val="76E45D4E"/>
    <w:rsid w:val="770A2BAD"/>
    <w:rsid w:val="770B541D"/>
    <w:rsid w:val="772103AE"/>
    <w:rsid w:val="77345A04"/>
    <w:rsid w:val="77361AE6"/>
    <w:rsid w:val="773F2A18"/>
    <w:rsid w:val="77547417"/>
    <w:rsid w:val="7765236E"/>
    <w:rsid w:val="77775D89"/>
    <w:rsid w:val="77865594"/>
    <w:rsid w:val="77875AFD"/>
    <w:rsid w:val="778827F0"/>
    <w:rsid w:val="779C20FF"/>
    <w:rsid w:val="77A7245B"/>
    <w:rsid w:val="77AB774B"/>
    <w:rsid w:val="77BC0F27"/>
    <w:rsid w:val="77D5375D"/>
    <w:rsid w:val="77DD4D27"/>
    <w:rsid w:val="77DE766F"/>
    <w:rsid w:val="77EE5C9C"/>
    <w:rsid w:val="78021845"/>
    <w:rsid w:val="78166FF5"/>
    <w:rsid w:val="781B6F23"/>
    <w:rsid w:val="78473797"/>
    <w:rsid w:val="78674783"/>
    <w:rsid w:val="786848AD"/>
    <w:rsid w:val="78685C72"/>
    <w:rsid w:val="788E4FCD"/>
    <w:rsid w:val="78954711"/>
    <w:rsid w:val="78A52233"/>
    <w:rsid w:val="78AC1AE9"/>
    <w:rsid w:val="78DE7D9E"/>
    <w:rsid w:val="78FE3DD4"/>
    <w:rsid w:val="791023BA"/>
    <w:rsid w:val="79152DDB"/>
    <w:rsid w:val="793F0B00"/>
    <w:rsid w:val="79447889"/>
    <w:rsid w:val="7966655A"/>
    <w:rsid w:val="79680051"/>
    <w:rsid w:val="79AD438E"/>
    <w:rsid w:val="79AF1C2F"/>
    <w:rsid w:val="79C10D1D"/>
    <w:rsid w:val="79C64B1D"/>
    <w:rsid w:val="79C74800"/>
    <w:rsid w:val="79CF280D"/>
    <w:rsid w:val="7A0523AC"/>
    <w:rsid w:val="7A263151"/>
    <w:rsid w:val="7A3C57B4"/>
    <w:rsid w:val="7A3E2FCE"/>
    <w:rsid w:val="7A40213B"/>
    <w:rsid w:val="7A416AE8"/>
    <w:rsid w:val="7A6016BC"/>
    <w:rsid w:val="7A633642"/>
    <w:rsid w:val="7A780B2F"/>
    <w:rsid w:val="7A78350B"/>
    <w:rsid w:val="7AA97D3A"/>
    <w:rsid w:val="7ACF0F5F"/>
    <w:rsid w:val="7AD0558D"/>
    <w:rsid w:val="7AF32EC7"/>
    <w:rsid w:val="7AF96CEC"/>
    <w:rsid w:val="7B0B3A59"/>
    <w:rsid w:val="7B140B3F"/>
    <w:rsid w:val="7B2265B0"/>
    <w:rsid w:val="7B307F57"/>
    <w:rsid w:val="7B344379"/>
    <w:rsid w:val="7B3F19BB"/>
    <w:rsid w:val="7B423C5A"/>
    <w:rsid w:val="7B46197D"/>
    <w:rsid w:val="7B5559C8"/>
    <w:rsid w:val="7B602190"/>
    <w:rsid w:val="7B8405E7"/>
    <w:rsid w:val="7B95459C"/>
    <w:rsid w:val="7BBC6CC3"/>
    <w:rsid w:val="7BBD43B9"/>
    <w:rsid w:val="7BC17811"/>
    <w:rsid w:val="7BC77F3E"/>
    <w:rsid w:val="7BD7176C"/>
    <w:rsid w:val="7BD73672"/>
    <w:rsid w:val="7BDA577B"/>
    <w:rsid w:val="7BEA7349"/>
    <w:rsid w:val="7C0B68C6"/>
    <w:rsid w:val="7C0F6958"/>
    <w:rsid w:val="7C194312"/>
    <w:rsid w:val="7C1973BE"/>
    <w:rsid w:val="7C207C89"/>
    <w:rsid w:val="7C247CA2"/>
    <w:rsid w:val="7C4645D9"/>
    <w:rsid w:val="7C47271E"/>
    <w:rsid w:val="7C5400E1"/>
    <w:rsid w:val="7C5610DE"/>
    <w:rsid w:val="7C6764B7"/>
    <w:rsid w:val="7C6D03C2"/>
    <w:rsid w:val="7C74092F"/>
    <w:rsid w:val="7C7D6A0E"/>
    <w:rsid w:val="7C824FF2"/>
    <w:rsid w:val="7C977DA4"/>
    <w:rsid w:val="7CAB1251"/>
    <w:rsid w:val="7CB742E4"/>
    <w:rsid w:val="7CC649F4"/>
    <w:rsid w:val="7CD14019"/>
    <w:rsid w:val="7CE80ED9"/>
    <w:rsid w:val="7CF16334"/>
    <w:rsid w:val="7CF3413E"/>
    <w:rsid w:val="7D1E05D4"/>
    <w:rsid w:val="7D3A60D5"/>
    <w:rsid w:val="7D61609A"/>
    <w:rsid w:val="7D630980"/>
    <w:rsid w:val="7D8708EF"/>
    <w:rsid w:val="7DA72C8C"/>
    <w:rsid w:val="7DA94EE7"/>
    <w:rsid w:val="7DCC36D7"/>
    <w:rsid w:val="7DDF6880"/>
    <w:rsid w:val="7DEA16C0"/>
    <w:rsid w:val="7E077EAD"/>
    <w:rsid w:val="7E184E34"/>
    <w:rsid w:val="7E213C36"/>
    <w:rsid w:val="7E2D0177"/>
    <w:rsid w:val="7E312A34"/>
    <w:rsid w:val="7E36490C"/>
    <w:rsid w:val="7E3E1F98"/>
    <w:rsid w:val="7E3F68A0"/>
    <w:rsid w:val="7E4137A6"/>
    <w:rsid w:val="7E5C2E35"/>
    <w:rsid w:val="7E600DC3"/>
    <w:rsid w:val="7E694279"/>
    <w:rsid w:val="7E765D97"/>
    <w:rsid w:val="7E7E700C"/>
    <w:rsid w:val="7E857DAD"/>
    <w:rsid w:val="7E9303BC"/>
    <w:rsid w:val="7EA50B70"/>
    <w:rsid w:val="7EB43BC0"/>
    <w:rsid w:val="7EC47289"/>
    <w:rsid w:val="7EE069B6"/>
    <w:rsid w:val="7EEF0E7A"/>
    <w:rsid w:val="7EF621FE"/>
    <w:rsid w:val="7EFD0989"/>
    <w:rsid w:val="7F0251EE"/>
    <w:rsid w:val="7F284CFC"/>
    <w:rsid w:val="7F4F0A7E"/>
    <w:rsid w:val="7F5C31CD"/>
    <w:rsid w:val="7F6B5095"/>
    <w:rsid w:val="7F857B2A"/>
    <w:rsid w:val="7FA00E7C"/>
    <w:rsid w:val="7FA12889"/>
    <w:rsid w:val="7FA147C6"/>
    <w:rsid w:val="7FB41999"/>
    <w:rsid w:val="7FC17032"/>
    <w:rsid w:val="7FD41BDA"/>
    <w:rsid w:val="7FE50115"/>
    <w:rsid w:val="7FEC244E"/>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7"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
    <w:qFormat/>
    <w:uiPriority w:val="7"/>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5">
    <w:name w:val="heading 3"/>
    <w:basedOn w:val="1"/>
    <w:next w:val="1"/>
    <w:link w:val="50"/>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6">
    <w:name w:val="heading 4"/>
    <w:basedOn w:val="1"/>
    <w:next w:val="1"/>
    <w:link w:val="120"/>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8"/>
    <w:link w:val="51"/>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9">
    <w:name w:val="heading 8"/>
    <w:basedOn w:val="1"/>
    <w:next w:val="1"/>
    <w:link w:val="52"/>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10">
    <w:name w:val="heading 9"/>
    <w:basedOn w:val="1"/>
    <w:next w:val="1"/>
    <w:link w:val="53"/>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70"/>
    <w:unhideWhenUsed/>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3">
    <w:name w:val="annotation text"/>
    <w:basedOn w:val="1"/>
    <w:link w:val="55"/>
    <w:qFormat/>
    <w:uiPriority w:val="0"/>
    <w:pPr>
      <w:jc w:val="left"/>
    </w:pPr>
    <w:rPr>
      <w:rFonts w:ascii="Times New Roman" w:hAnsi="Times New Roman" w:eastAsia="宋体" w:cs="Times New Roman"/>
      <w:szCs w:val="24"/>
      <w:lang w:val="zh-CN"/>
    </w:rPr>
  </w:style>
  <w:style w:type="paragraph" w:styleId="14">
    <w:name w:val="Body Text 3"/>
    <w:basedOn w:val="1"/>
    <w:link w:val="57"/>
    <w:unhideWhenUsed/>
    <w:qFormat/>
    <w:uiPriority w:val="99"/>
    <w:pPr>
      <w:spacing w:after="120"/>
    </w:pPr>
    <w:rPr>
      <w:rFonts w:ascii="Times New Roman" w:hAnsi="Times New Roman" w:eastAsia="宋体" w:cs="Times New Roman"/>
      <w:sz w:val="16"/>
      <w:szCs w:val="16"/>
      <w:lang w:val="zh-CN"/>
    </w:rPr>
  </w:style>
  <w:style w:type="paragraph" w:styleId="15">
    <w:name w:val="Body Text"/>
    <w:basedOn w:val="1"/>
    <w:next w:val="16"/>
    <w:link w:val="59"/>
    <w:unhideWhenUsed/>
    <w:qFormat/>
    <w:uiPriority w:val="0"/>
    <w:pPr>
      <w:spacing w:after="120"/>
    </w:pPr>
    <w:rPr>
      <w:rFonts w:ascii="Times New Roman" w:hAnsi="Times New Roman" w:eastAsia="宋体" w:cs="Times New Roman"/>
      <w:szCs w:val="24"/>
      <w:lang w:val="zh-CN"/>
    </w:rPr>
  </w:style>
  <w:style w:type="paragraph" w:styleId="16">
    <w:name w:val="Body Text First Indent 2"/>
    <w:basedOn w:val="1"/>
    <w:link w:val="111"/>
    <w:semiHidden/>
    <w:unhideWhenUsed/>
    <w:qFormat/>
    <w:uiPriority w:val="99"/>
    <w:pPr>
      <w:spacing w:after="120"/>
      <w:ind w:left="420" w:leftChars="200" w:firstLine="420" w:firstLineChars="200"/>
    </w:pPr>
    <w:rPr>
      <w:rFonts w:ascii="Times New Roman" w:eastAsia="宋体"/>
      <w:szCs w:val="24"/>
    </w:rPr>
  </w:style>
  <w:style w:type="paragraph" w:styleId="17">
    <w:name w:val="Body Text Indent"/>
    <w:basedOn w:val="1"/>
    <w:link w:val="61"/>
    <w:qFormat/>
    <w:uiPriority w:val="0"/>
    <w:pPr>
      <w:ind w:firstLine="830" w:firstLineChars="352"/>
    </w:pPr>
    <w:rPr>
      <w:rFonts w:ascii="仿宋_GB2312" w:hAnsi="Times New Roman" w:eastAsia="仿宋_GB2312" w:cs="Times New Roman"/>
      <w:kern w:val="0"/>
      <w:sz w:val="32"/>
      <w:szCs w:val="20"/>
      <w:lang w:val="zh-CN"/>
    </w:rPr>
  </w:style>
  <w:style w:type="paragraph" w:styleId="18">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9">
    <w:name w:val="toc 3"/>
    <w:basedOn w:val="1"/>
    <w:next w:val="1"/>
    <w:semiHidden/>
    <w:unhideWhenUsed/>
    <w:qFormat/>
    <w:uiPriority w:val="39"/>
    <w:pPr>
      <w:ind w:left="840" w:leftChars="400"/>
    </w:pPr>
  </w:style>
  <w:style w:type="paragraph" w:styleId="20">
    <w:name w:val="Plain Text"/>
    <w:basedOn w:val="1"/>
    <w:next w:val="6"/>
    <w:link w:val="65"/>
    <w:qFormat/>
    <w:uiPriority w:val="0"/>
    <w:rPr>
      <w:rFonts w:ascii="宋体" w:hAnsi="Courier New" w:eastAsia="宋体" w:cs="Times New Roman"/>
      <w:kern w:val="0"/>
      <w:sz w:val="20"/>
      <w:szCs w:val="21"/>
      <w:lang w:val="zh-CN"/>
    </w:rPr>
  </w:style>
  <w:style w:type="paragraph" w:styleId="21">
    <w:name w:val="Date"/>
    <w:basedOn w:val="1"/>
    <w:next w:val="1"/>
    <w:link w:val="67"/>
    <w:unhideWhenUsed/>
    <w:qFormat/>
    <w:uiPriority w:val="99"/>
    <w:pPr>
      <w:ind w:left="100" w:leftChars="2500"/>
    </w:pPr>
    <w:rPr>
      <w:rFonts w:ascii="Times New Roman" w:hAnsi="Times New Roman" w:eastAsia="宋体" w:cs="Times New Roman"/>
      <w:szCs w:val="24"/>
      <w:lang w:val="zh-CN"/>
    </w:rPr>
  </w:style>
  <w:style w:type="paragraph" w:styleId="22">
    <w:name w:val="Body Text Indent 2"/>
    <w:basedOn w:val="1"/>
    <w:next w:val="23"/>
    <w:qFormat/>
    <w:uiPriority w:val="99"/>
    <w:pPr>
      <w:spacing w:after="120" w:line="480" w:lineRule="auto"/>
      <w:ind w:left="420" w:leftChars="200"/>
    </w:pPr>
    <w:rPr>
      <w:sz w:val="24"/>
      <w:szCs w:val="20"/>
    </w:rPr>
  </w:style>
  <w:style w:type="paragraph" w:customStyle="1" w:styleId="23">
    <w:name w:val="正文缩进1"/>
    <w:basedOn w:val="1"/>
    <w:next w:val="1"/>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styleId="24">
    <w:name w:val="Balloon Text"/>
    <w:basedOn w:val="1"/>
    <w:link w:val="102"/>
    <w:semiHidden/>
    <w:qFormat/>
    <w:uiPriority w:val="0"/>
    <w:rPr>
      <w:rFonts w:ascii="Times New Roman" w:hAnsi="Times New Roman" w:eastAsia="宋体" w:cs="Times New Roman"/>
      <w:sz w:val="18"/>
      <w:szCs w:val="18"/>
    </w:rPr>
  </w:style>
  <w:style w:type="paragraph" w:styleId="25">
    <w:name w:val="header"/>
    <w:basedOn w:val="1"/>
    <w:link w:val="72"/>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6">
    <w:name w:val="toc 1"/>
    <w:basedOn w:val="1"/>
    <w:next w:val="1"/>
    <w:semiHidden/>
    <w:unhideWhenUsed/>
    <w:qFormat/>
    <w:uiPriority w:val="39"/>
  </w:style>
  <w:style w:type="paragraph" w:styleId="27">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28">
    <w:name w:val="toc 2"/>
    <w:basedOn w:val="1"/>
    <w:next w:val="1"/>
    <w:semiHidden/>
    <w:unhideWhenUsed/>
    <w:qFormat/>
    <w:uiPriority w:val="39"/>
    <w:pPr>
      <w:ind w:left="420" w:leftChars="200"/>
    </w:pPr>
  </w:style>
  <w:style w:type="paragraph" w:styleId="29">
    <w:name w:val="Normal (Web)"/>
    <w:basedOn w:val="1"/>
    <w:unhideWhenUsed/>
    <w:qFormat/>
    <w:uiPriority w:val="99"/>
    <w:rPr>
      <w:rFonts w:ascii="Calibri" w:hAnsi="Calibri" w:eastAsia="宋体" w:cs="Times New Roman"/>
      <w:kern w:val="0"/>
      <w:sz w:val="24"/>
      <w:szCs w:val="24"/>
    </w:rPr>
  </w:style>
  <w:style w:type="paragraph" w:styleId="30">
    <w:name w:val="Title"/>
    <w:basedOn w:val="1"/>
    <w:next w:val="1"/>
    <w:link w:val="74"/>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31">
    <w:name w:val="annotation subject"/>
    <w:basedOn w:val="13"/>
    <w:next w:val="13"/>
    <w:link w:val="76"/>
    <w:qFormat/>
    <w:uiPriority w:val="0"/>
    <w:rPr>
      <w:b/>
      <w:bCs/>
    </w:rPr>
  </w:style>
  <w:style w:type="table" w:styleId="33">
    <w:name w:val="Table Grid"/>
    <w:basedOn w:val="32"/>
    <w:qFormat/>
    <w:uiPriority w:val="3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0"/>
    <w:rPr>
      <w:b/>
    </w:rPr>
  </w:style>
  <w:style w:type="character" w:styleId="36">
    <w:name w:val="endnote reference"/>
    <w:unhideWhenUsed/>
    <w:qFormat/>
    <w:uiPriority w:val="99"/>
    <w:rPr>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basedOn w:val="34"/>
    <w:unhideWhenUsed/>
    <w:qFormat/>
    <w:uiPriority w:val="99"/>
    <w:rPr>
      <w:color w:val="800080"/>
      <w:u w:val="single"/>
    </w:rPr>
  </w:style>
  <w:style w:type="character" w:styleId="39">
    <w:name w:val="Hyperlink"/>
    <w:unhideWhenUsed/>
    <w:qFormat/>
    <w:uiPriority w:val="99"/>
    <w:rPr>
      <w:color w:val="0000FF"/>
      <w:u w:val="single"/>
    </w:rPr>
  </w:style>
  <w:style w:type="character" w:styleId="40">
    <w:name w:val="annotation reference"/>
    <w:qFormat/>
    <w:uiPriority w:val="0"/>
    <w:rPr>
      <w:sz w:val="21"/>
      <w:szCs w:val="21"/>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2">
    <w:name w:val="标题 2 Char"/>
    <w:basedOn w:val="34"/>
    <w:qFormat/>
    <w:uiPriority w:val="9"/>
    <w:rPr>
      <w:rFonts w:asciiTheme="majorHAnsi" w:hAnsiTheme="majorHAnsi" w:eastAsiaTheme="majorEastAsia" w:cstheme="majorBidi"/>
      <w:b/>
      <w:bCs/>
      <w:sz w:val="32"/>
      <w:szCs w:val="32"/>
    </w:rPr>
  </w:style>
  <w:style w:type="character" w:customStyle="1" w:styleId="43">
    <w:name w:val="标题 3 Char"/>
    <w:basedOn w:val="34"/>
    <w:qFormat/>
    <w:uiPriority w:val="9"/>
    <w:rPr>
      <w:b/>
      <w:bCs/>
      <w:sz w:val="32"/>
      <w:szCs w:val="32"/>
    </w:rPr>
  </w:style>
  <w:style w:type="character" w:customStyle="1" w:styleId="44">
    <w:name w:val="标题 1 Char"/>
    <w:basedOn w:val="34"/>
    <w:qFormat/>
    <w:uiPriority w:val="9"/>
    <w:rPr>
      <w:b/>
      <w:bCs/>
      <w:kern w:val="44"/>
      <w:sz w:val="44"/>
      <w:szCs w:val="44"/>
    </w:rPr>
  </w:style>
  <w:style w:type="character" w:customStyle="1" w:styleId="45">
    <w:name w:val="标题 5 Char"/>
    <w:basedOn w:val="34"/>
    <w:qFormat/>
    <w:uiPriority w:val="9"/>
    <w:rPr>
      <w:b/>
      <w:bCs/>
      <w:sz w:val="28"/>
      <w:szCs w:val="28"/>
    </w:rPr>
  </w:style>
  <w:style w:type="character" w:customStyle="1" w:styleId="46">
    <w:name w:val="标题 8 Char"/>
    <w:basedOn w:val="34"/>
    <w:qFormat/>
    <w:uiPriority w:val="0"/>
    <w:rPr>
      <w:rFonts w:asciiTheme="majorHAnsi" w:hAnsiTheme="majorHAnsi" w:eastAsiaTheme="majorEastAsia" w:cstheme="majorBidi"/>
      <w:sz w:val="24"/>
      <w:szCs w:val="24"/>
    </w:rPr>
  </w:style>
  <w:style w:type="character" w:customStyle="1" w:styleId="47">
    <w:name w:val="标题 9 Char"/>
    <w:basedOn w:val="34"/>
    <w:semiHidden/>
    <w:qFormat/>
    <w:uiPriority w:val="9"/>
    <w:rPr>
      <w:rFonts w:asciiTheme="majorHAnsi" w:hAnsiTheme="majorHAnsi" w:eastAsiaTheme="majorEastAsia" w:cstheme="majorBidi"/>
      <w:szCs w:val="21"/>
    </w:rPr>
  </w:style>
  <w:style w:type="character" w:customStyle="1" w:styleId="48">
    <w:name w:val="标题 1 字符"/>
    <w:link w:val="3"/>
    <w:qFormat/>
    <w:uiPriority w:val="9"/>
    <w:rPr>
      <w:rFonts w:ascii="Times New Roman" w:hAnsi="Times New Roman" w:eastAsia="宋体" w:cs="Times New Roman"/>
      <w:b/>
      <w:bCs/>
      <w:kern w:val="44"/>
      <w:sz w:val="44"/>
      <w:szCs w:val="44"/>
      <w:lang w:val="zh-CN" w:eastAsia="zh-CN"/>
    </w:rPr>
  </w:style>
  <w:style w:type="character" w:customStyle="1" w:styleId="49">
    <w:name w:val="标题 2 字符"/>
    <w:link w:val="4"/>
    <w:qFormat/>
    <w:uiPriority w:val="9"/>
    <w:rPr>
      <w:rFonts w:ascii="Cambria" w:hAnsi="Cambria" w:eastAsia="宋体" w:cs="Times New Roman"/>
      <w:b/>
      <w:bCs/>
      <w:sz w:val="32"/>
      <w:szCs w:val="32"/>
      <w:lang w:val="zh-CN" w:eastAsia="zh-CN"/>
    </w:rPr>
  </w:style>
  <w:style w:type="character" w:customStyle="1" w:styleId="50">
    <w:name w:val="标题 3 字符"/>
    <w:link w:val="5"/>
    <w:qFormat/>
    <w:uiPriority w:val="9"/>
    <w:rPr>
      <w:rFonts w:ascii="Times New Roman" w:hAnsi="Times New Roman" w:eastAsia="宋体" w:cs="Times New Roman"/>
      <w:b/>
      <w:bCs/>
      <w:sz w:val="32"/>
      <w:szCs w:val="32"/>
      <w:lang w:val="zh-CN" w:eastAsia="zh-CN"/>
    </w:rPr>
  </w:style>
  <w:style w:type="character" w:customStyle="1" w:styleId="51">
    <w:name w:val="标题 5 字符"/>
    <w:link w:val="7"/>
    <w:qFormat/>
    <w:uiPriority w:val="9"/>
    <w:rPr>
      <w:rFonts w:ascii="Times New Roman" w:hAnsi="Times New Roman" w:eastAsia="宋体" w:cs="Times New Roman"/>
      <w:b/>
      <w:bCs/>
      <w:sz w:val="28"/>
      <w:szCs w:val="28"/>
      <w:lang w:val="zh-CN" w:eastAsia="zh-CN"/>
    </w:rPr>
  </w:style>
  <w:style w:type="character" w:customStyle="1" w:styleId="52">
    <w:name w:val="标题 8 字符"/>
    <w:link w:val="9"/>
    <w:qFormat/>
    <w:uiPriority w:val="9"/>
    <w:rPr>
      <w:rFonts w:ascii="等线 Light" w:hAnsi="等线 Light" w:eastAsia="等线 Light" w:cs="Times New Roman"/>
      <w:sz w:val="24"/>
      <w:szCs w:val="24"/>
      <w:lang w:val="zh-CN" w:eastAsia="zh-CN"/>
    </w:rPr>
  </w:style>
  <w:style w:type="character" w:customStyle="1" w:styleId="53">
    <w:name w:val="标题 9 字符"/>
    <w:link w:val="10"/>
    <w:qFormat/>
    <w:uiPriority w:val="9"/>
    <w:rPr>
      <w:rFonts w:ascii="Cambria" w:hAnsi="Cambria" w:eastAsia="宋体" w:cs="Times New Roman"/>
      <w:szCs w:val="21"/>
      <w:lang w:val="zh-CN" w:eastAsia="zh-CN"/>
    </w:rPr>
  </w:style>
  <w:style w:type="character" w:customStyle="1" w:styleId="54">
    <w:name w:val="批注文字 Char"/>
    <w:basedOn w:val="34"/>
    <w:qFormat/>
    <w:uiPriority w:val="0"/>
  </w:style>
  <w:style w:type="character" w:customStyle="1" w:styleId="55">
    <w:name w:val="批注文字 字符2"/>
    <w:link w:val="13"/>
    <w:qFormat/>
    <w:uiPriority w:val="0"/>
    <w:rPr>
      <w:rFonts w:ascii="Times New Roman" w:hAnsi="Times New Roman" w:eastAsia="宋体" w:cs="Times New Roman"/>
      <w:szCs w:val="24"/>
      <w:lang w:val="zh-CN" w:eastAsia="zh-CN"/>
    </w:rPr>
  </w:style>
  <w:style w:type="character" w:customStyle="1" w:styleId="56">
    <w:name w:val="正文文本 3 Char"/>
    <w:basedOn w:val="34"/>
    <w:qFormat/>
    <w:uiPriority w:val="99"/>
    <w:rPr>
      <w:sz w:val="16"/>
      <w:szCs w:val="16"/>
    </w:rPr>
  </w:style>
  <w:style w:type="character" w:customStyle="1" w:styleId="57">
    <w:name w:val="正文文本 3 字符"/>
    <w:link w:val="14"/>
    <w:qFormat/>
    <w:uiPriority w:val="99"/>
    <w:rPr>
      <w:rFonts w:ascii="Times New Roman" w:hAnsi="Times New Roman" w:eastAsia="宋体" w:cs="Times New Roman"/>
      <w:sz w:val="16"/>
      <w:szCs w:val="16"/>
      <w:lang w:val="zh-CN" w:eastAsia="zh-CN"/>
    </w:rPr>
  </w:style>
  <w:style w:type="character" w:customStyle="1" w:styleId="58">
    <w:name w:val="正文文本 Char"/>
    <w:basedOn w:val="34"/>
    <w:qFormat/>
    <w:uiPriority w:val="0"/>
  </w:style>
  <w:style w:type="character" w:customStyle="1" w:styleId="59">
    <w:name w:val="正文文本 字符1"/>
    <w:link w:val="15"/>
    <w:qFormat/>
    <w:uiPriority w:val="0"/>
    <w:rPr>
      <w:rFonts w:ascii="Times New Roman" w:hAnsi="Times New Roman" w:eastAsia="宋体" w:cs="Times New Roman"/>
      <w:szCs w:val="24"/>
      <w:lang w:val="zh-CN" w:eastAsia="zh-CN"/>
    </w:rPr>
  </w:style>
  <w:style w:type="character" w:customStyle="1" w:styleId="60">
    <w:name w:val="正文文本缩进 Char"/>
    <w:basedOn w:val="34"/>
    <w:qFormat/>
    <w:uiPriority w:val="0"/>
  </w:style>
  <w:style w:type="character" w:customStyle="1" w:styleId="61">
    <w:name w:val="正文文本缩进 字符1"/>
    <w:link w:val="17"/>
    <w:qFormat/>
    <w:uiPriority w:val="0"/>
    <w:rPr>
      <w:rFonts w:ascii="仿宋_GB2312" w:hAnsi="Times New Roman" w:eastAsia="仿宋_GB2312" w:cs="Times New Roman"/>
      <w:kern w:val="0"/>
      <w:sz w:val="32"/>
      <w:szCs w:val="20"/>
      <w:lang w:val="zh-CN" w:eastAsia="zh-CN"/>
    </w:rPr>
  </w:style>
  <w:style w:type="paragraph" w:customStyle="1" w:styleId="62">
    <w:name w:val="_Style 36"/>
    <w:basedOn w:val="1"/>
    <w:next w:val="63"/>
    <w:qFormat/>
    <w:uiPriority w:val="99"/>
    <w:pPr>
      <w:ind w:firstLine="420" w:firstLineChars="200"/>
    </w:pPr>
    <w:rPr>
      <w:rFonts w:ascii="Times New Roman" w:hAnsi="Times New Roman" w:eastAsia="宋体" w:cs="Times New Roman"/>
      <w:szCs w:val="24"/>
    </w:rPr>
  </w:style>
  <w:style w:type="paragraph" w:styleId="63">
    <w:name w:val="List Paragraph"/>
    <w:basedOn w:val="1"/>
    <w:link w:val="117"/>
    <w:qFormat/>
    <w:uiPriority w:val="26"/>
    <w:pPr>
      <w:ind w:firstLine="420" w:firstLineChars="200"/>
    </w:pPr>
    <w:rPr>
      <w:rFonts w:ascii="Times New Roman" w:hAnsi="Times New Roman" w:eastAsia="宋体" w:cs="Times New Roman"/>
      <w:szCs w:val="24"/>
    </w:rPr>
  </w:style>
  <w:style w:type="character" w:customStyle="1" w:styleId="64">
    <w:name w:val="纯文本 Char"/>
    <w:basedOn w:val="34"/>
    <w:qFormat/>
    <w:uiPriority w:val="0"/>
    <w:rPr>
      <w:rFonts w:ascii="宋体" w:hAnsi="Courier New" w:eastAsia="宋体" w:cs="Courier New"/>
      <w:szCs w:val="21"/>
    </w:rPr>
  </w:style>
  <w:style w:type="character" w:customStyle="1" w:styleId="65">
    <w:name w:val="纯文本 字符3"/>
    <w:link w:val="20"/>
    <w:qFormat/>
    <w:uiPriority w:val="0"/>
    <w:rPr>
      <w:rFonts w:ascii="宋体" w:hAnsi="Courier New" w:eastAsia="宋体" w:cs="Times New Roman"/>
      <w:kern w:val="0"/>
      <w:sz w:val="20"/>
      <w:szCs w:val="21"/>
      <w:lang w:val="zh-CN" w:eastAsia="zh-CN"/>
    </w:rPr>
  </w:style>
  <w:style w:type="character" w:customStyle="1" w:styleId="66">
    <w:name w:val="日期 Char"/>
    <w:basedOn w:val="34"/>
    <w:qFormat/>
    <w:uiPriority w:val="99"/>
  </w:style>
  <w:style w:type="character" w:customStyle="1" w:styleId="67">
    <w:name w:val="日期 字符"/>
    <w:link w:val="21"/>
    <w:qFormat/>
    <w:uiPriority w:val="99"/>
    <w:rPr>
      <w:rFonts w:ascii="Times New Roman" w:hAnsi="Times New Roman" w:eastAsia="宋体" w:cs="Times New Roman"/>
      <w:szCs w:val="24"/>
      <w:lang w:val="zh-CN" w:eastAsia="zh-CN"/>
    </w:rPr>
  </w:style>
  <w:style w:type="character" w:customStyle="1" w:styleId="68">
    <w:name w:val="批注框文本 Char"/>
    <w:basedOn w:val="34"/>
    <w:semiHidden/>
    <w:qFormat/>
    <w:uiPriority w:val="0"/>
    <w:rPr>
      <w:sz w:val="18"/>
      <w:szCs w:val="18"/>
    </w:rPr>
  </w:style>
  <w:style w:type="character" w:customStyle="1" w:styleId="69">
    <w:name w:val="页脚 Char"/>
    <w:basedOn w:val="34"/>
    <w:qFormat/>
    <w:uiPriority w:val="99"/>
    <w:rPr>
      <w:sz w:val="18"/>
      <w:szCs w:val="18"/>
    </w:rPr>
  </w:style>
  <w:style w:type="character" w:customStyle="1" w:styleId="70">
    <w:name w:val="页脚 字符"/>
    <w:link w:val="2"/>
    <w:qFormat/>
    <w:uiPriority w:val="99"/>
    <w:rPr>
      <w:rFonts w:ascii="Times New Roman" w:hAnsi="Times New Roman" w:eastAsia="宋体" w:cs="Times New Roman"/>
      <w:kern w:val="0"/>
      <w:sz w:val="18"/>
      <w:szCs w:val="18"/>
      <w:lang w:val="zh-CN" w:eastAsia="zh-CN"/>
    </w:rPr>
  </w:style>
  <w:style w:type="character" w:customStyle="1" w:styleId="71">
    <w:name w:val="页眉 Char"/>
    <w:basedOn w:val="34"/>
    <w:qFormat/>
    <w:uiPriority w:val="99"/>
    <w:rPr>
      <w:sz w:val="18"/>
      <w:szCs w:val="18"/>
    </w:rPr>
  </w:style>
  <w:style w:type="character" w:customStyle="1" w:styleId="72">
    <w:name w:val="页眉 字符"/>
    <w:link w:val="25"/>
    <w:qFormat/>
    <w:uiPriority w:val="0"/>
    <w:rPr>
      <w:rFonts w:ascii="Times New Roman" w:hAnsi="Times New Roman" w:eastAsia="宋体" w:cs="Times New Roman"/>
      <w:kern w:val="0"/>
      <w:sz w:val="18"/>
      <w:szCs w:val="18"/>
      <w:lang w:val="zh-CN" w:eastAsia="zh-CN"/>
    </w:rPr>
  </w:style>
  <w:style w:type="character" w:customStyle="1" w:styleId="73">
    <w:name w:val="标题 Char"/>
    <w:basedOn w:val="34"/>
    <w:qFormat/>
    <w:uiPriority w:val="10"/>
    <w:rPr>
      <w:rFonts w:eastAsia="宋体" w:asciiTheme="majorHAnsi" w:hAnsiTheme="majorHAnsi" w:cstheme="majorBidi"/>
      <w:b/>
      <w:bCs/>
      <w:sz w:val="32"/>
      <w:szCs w:val="32"/>
    </w:rPr>
  </w:style>
  <w:style w:type="character" w:customStyle="1" w:styleId="74">
    <w:name w:val="标题 字符"/>
    <w:link w:val="30"/>
    <w:qFormat/>
    <w:uiPriority w:val="10"/>
    <w:rPr>
      <w:rFonts w:ascii="Cambria" w:hAnsi="Cambria" w:eastAsia="宋体" w:cs="Times New Roman"/>
      <w:b/>
      <w:bCs/>
      <w:sz w:val="32"/>
      <w:szCs w:val="32"/>
      <w:lang w:val="zh-CN" w:eastAsia="zh-CN"/>
    </w:rPr>
  </w:style>
  <w:style w:type="character" w:customStyle="1" w:styleId="75">
    <w:name w:val="批注主题 Char"/>
    <w:basedOn w:val="54"/>
    <w:qFormat/>
    <w:uiPriority w:val="99"/>
    <w:rPr>
      <w:b/>
      <w:bCs/>
    </w:rPr>
  </w:style>
  <w:style w:type="character" w:customStyle="1" w:styleId="76">
    <w:name w:val="批注主题 字符"/>
    <w:link w:val="31"/>
    <w:qFormat/>
    <w:uiPriority w:val="0"/>
    <w:rPr>
      <w:rFonts w:ascii="Times New Roman" w:hAnsi="Times New Roman" w:eastAsia="宋体" w:cs="Times New Roman"/>
      <w:b/>
      <w:bCs/>
      <w:szCs w:val="24"/>
      <w:lang w:val="zh-CN" w:eastAsia="zh-CN"/>
    </w:rPr>
  </w:style>
  <w:style w:type="character" w:customStyle="1" w:styleId="77">
    <w:name w:val="正文文本首行缩进 2 字符"/>
    <w:qFormat/>
    <w:uiPriority w:val="99"/>
    <w:rPr>
      <w:kern w:val="2"/>
      <w:sz w:val="21"/>
      <w:szCs w:val="24"/>
    </w:rPr>
  </w:style>
  <w:style w:type="character" w:customStyle="1" w:styleId="78">
    <w:name w:val="标题 Char1"/>
    <w:qFormat/>
    <w:uiPriority w:val="0"/>
    <w:rPr>
      <w:rFonts w:ascii="Calibri" w:hAnsi="Calibri"/>
      <w:b/>
      <w:sz w:val="24"/>
      <w:lang w:val="en-GB"/>
    </w:rPr>
  </w:style>
  <w:style w:type="character" w:customStyle="1" w:styleId="7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0">
    <w:name w:val="正文文本 字符"/>
    <w:qFormat/>
    <w:uiPriority w:val="0"/>
    <w:rPr>
      <w:rFonts w:ascii="Times New Roman" w:hAnsi="Times New Roman"/>
      <w:kern w:val="2"/>
      <w:sz w:val="21"/>
      <w:szCs w:val="24"/>
    </w:rPr>
  </w:style>
  <w:style w:type="character" w:customStyle="1" w:styleId="81">
    <w:name w:val="批注文字 字符1"/>
    <w:qFormat/>
    <w:uiPriority w:val="0"/>
    <w:rPr>
      <w:rFonts w:ascii="Times New Roman" w:hAnsi="Times New Roman"/>
      <w:kern w:val="2"/>
      <w:sz w:val="21"/>
      <w:szCs w:val="24"/>
    </w:rPr>
  </w:style>
  <w:style w:type="character" w:customStyle="1" w:styleId="82">
    <w:name w:val="批注文字 字符"/>
    <w:qFormat/>
    <w:uiPriority w:val="0"/>
    <w:rPr>
      <w:rFonts w:ascii="Times New Roman" w:hAnsi="Times New Roman"/>
      <w:kern w:val="2"/>
      <w:sz w:val="21"/>
      <w:szCs w:val="24"/>
    </w:rPr>
  </w:style>
  <w:style w:type="character" w:customStyle="1" w:styleId="83">
    <w:name w:val="未处理的提及1"/>
    <w:unhideWhenUsed/>
    <w:qFormat/>
    <w:uiPriority w:val="99"/>
    <w:rPr>
      <w:color w:val="605E5C"/>
      <w:shd w:val="clear" w:color="auto" w:fill="E1DFDD"/>
    </w:rPr>
  </w:style>
  <w:style w:type="character" w:customStyle="1" w:styleId="84">
    <w:name w:val="apple-style-span"/>
    <w:qFormat/>
    <w:uiPriority w:val="0"/>
  </w:style>
  <w:style w:type="character" w:customStyle="1" w:styleId="85">
    <w:name w:val="纯文本 字符2"/>
    <w:qFormat/>
    <w:uiPriority w:val="0"/>
    <w:rPr>
      <w:rFonts w:ascii="宋体" w:hAnsi="Courier New" w:eastAsia="宋体" w:cs="Courier New"/>
      <w:szCs w:val="21"/>
    </w:rPr>
  </w:style>
  <w:style w:type="character" w:customStyle="1" w:styleId="86">
    <w:name w:val="textcontents"/>
    <w:qFormat/>
    <w:uiPriority w:val="0"/>
  </w:style>
  <w:style w:type="character" w:customStyle="1" w:styleId="87">
    <w:name w:val="纯文本 字符1"/>
    <w:qFormat/>
    <w:uiPriority w:val="0"/>
    <w:rPr>
      <w:rFonts w:ascii="宋体" w:hAnsi="Courier New"/>
    </w:rPr>
  </w:style>
  <w:style w:type="character" w:customStyle="1" w:styleId="88">
    <w:name w:val="标题 1 字符1"/>
    <w:qFormat/>
    <w:uiPriority w:val="0"/>
    <w:rPr>
      <w:b/>
      <w:bCs/>
      <w:kern w:val="44"/>
      <w:sz w:val="44"/>
      <w:szCs w:val="44"/>
    </w:rPr>
  </w:style>
  <w:style w:type="character" w:customStyle="1" w:styleId="89">
    <w:name w:val="纯文本 字符"/>
    <w:qFormat/>
    <w:uiPriority w:val="0"/>
    <w:rPr>
      <w:rFonts w:ascii="宋体" w:hAnsi="Courier New" w:eastAsia="宋体" w:cs="Courier New"/>
      <w:szCs w:val="21"/>
    </w:rPr>
  </w:style>
  <w:style w:type="paragraph" w:customStyle="1" w:styleId="90">
    <w:name w:val="Char Char Char Char"/>
    <w:basedOn w:val="1"/>
    <w:qFormat/>
    <w:uiPriority w:val="0"/>
    <w:pPr>
      <w:widowControl/>
      <w:spacing w:line="240" w:lineRule="exact"/>
      <w:jc w:val="left"/>
    </w:pPr>
    <w:rPr>
      <w:rFonts w:ascii="Times New Roman" w:hAnsi="Times New Roman" w:eastAsia="宋体" w:cs="Times New Roman"/>
      <w:szCs w:val="24"/>
    </w:rPr>
  </w:style>
  <w:style w:type="paragraph" w:customStyle="1" w:styleId="91">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3">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4">
    <w:name w:val="Table Paragraph"/>
    <w:basedOn w:val="1"/>
    <w:qFormat/>
    <w:uiPriority w:val="1"/>
    <w:pPr>
      <w:jc w:val="left"/>
    </w:pPr>
    <w:rPr>
      <w:rFonts w:ascii="Calibri" w:hAnsi="Calibri" w:eastAsia="宋体" w:cs="Times New Roman"/>
      <w:kern w:val="0"/>
      <w:sz w:val="22"/>
      <w:lang w:eastAsia="en-US"/>
    </w:rPr>
  </w:style>
  <w:style w:type="character" w:customStyle="1" w:styleId="95">
    <w:name w:val="正文文本缩进 字符"/>
    <w:qFormat/>
    <w:uiPriority w:val="0"/>
    <w:rPr>
      <w:rFonts w:ascii="仿宋_GB2312" w:hAnsi="Times New Roman" w:eastAsia="仿宋_GB2312" w:cs="Times New Roman"/>
      <w:sz w:val="32"/>
      <w:szCs w:val="20"/>
    </w:rPr>
  </w:style>
  <w:style w:type="character" w:customStyle="1" w:styleId="96">
    <w:name w:val="正文2 Char Char"/>
    <w:link w:val="97"/>
    <w:qFormat/>
    <w:uiPriority w:val="0"/>
    <w:rPr>
      <w:sz w:val="24"/>
    </w:rPr>
  </w:style>
  <w:style w:type="paragraph" w:customStyle="1" w:styleId="97">
    <w:name w:val="正文2"/>
    <w:basedOn w:val="1"/>
    <w:link w:val="96"/>
    <w:qFormat/>
    <w:uiPriority w:val="0"/>
    <w:pPr>
      <w:adjustRightInd w:val="0"/>
      <w:spacing w:before="156" w:line="360" w:lineRule="auto"/>
      <w:ind w:firstLine="510" w:firstLineChars="200"/>
    </w:pPr>
    <w:rPr>
      <w:sz w:val="24"/>
    </w:rPr>
  </w:style>
  <w:style w:type="character" w:customStyle="1" w:styleId="98">
    <w:name w:val="纯文本 Char2"/>
    <w:qFormat/>
    <w:uiPriority w:val="0"/>
    <w:rPr>
      <w:rFonts w:ascii="宋体" w:hAnsi="Courier New" w:cs="Arial"/>
      <w:snapToGrid w:val="0"/>
      <w:szCs w:val="21"/>
    </w:rPr>
  </w:style>
  <w:style w:type="paragraph" w:customStyle="1" w:styleId="99">
    <w:name w:val="表格文字"/>
    <w:basedOn w:val="1"/>
    <w:next w:val="15"/>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character" w:customStyle="1" w:styleId="101">
    <w:name w:val="NormalCharacter"/>
    <w:qFormat/>
    <w:uiPriority w:val="0"/>
  </w:style>
  <w:style w:type="character" w:customStyle="1" w:styleId="102">
    <w:name w:val="批注框文本 字符"/>
    <w:link w:val="24"/>
    <w:semiHidden/>
    <w:qFormat/>
    <w:uiPriority w:val="0"/>
    <w:rPr>
      <w:rFonts w:ascii="Times New Roman" w:hAnsi="Times New Roman" w:eastAsia="宋体" w:cs="Times New Roman"/>
      <w:sz w:val="18"/>
      <w:szCs w:val="18"/>
    </w:rPr>
  </w:style>
  <w:style w:type="character" w:customStyle="1" w:styleId="103">
    <w:name w:val="正文首行缩进 2 字符"/>
    <w:qFormat/>
    <w:uiPriority w:val="99"/>
    <w:rPr>
      <w:rFonts w:ascii="仿宋_GB2312" w:hAnsi="Times New Roman" w:eastAsia="仿宋_GB2312" w:cs="Times New Roman"/>
      <w:kern w:val="2"/>
      <w:sz w:val="21"/>
      <w:szCs w:val="24"/>
    </w:rPr>
  </w:style>
  <w:style w:type="character" w:customStyle="1" w:styleId="104">
    <w:name w:val="纯文本 Char1"/>
    <w:qFormat/>
    <w:uiPriority w:val="0"/>
    <w:rPr>
      <w:rFonts w:ascii="宋体" w:hAnsi="Courier New" w:eastAsia="宋体" w:cs="Times New Roman"/>
      <w:kern w:val="0"/>
      <w:sz w:val="20"/>
      <w:szCs w:val="21"/>
    </w:rPr>
  </w:style>
  <w:style w:type="character" w:customStyle="1" w:styleId="105">
    <w:name w:val="标题 2 Char1"/>
    <w:qFormat/>
    <w:uiPriority w:val="9"/>
    <w:rPr>
      <w:rFonts w:ascii="Cambria" w:hAnsi="Cambria"/>
      <w:b/>
      <w:bCs/>
      <w:kern w:val="2"/>
      <w:sz w:val="32"/>
      <w:szCs w:val="32"/>
      <w:lang w:val="zh-CN" w:eastAsia="zh-CN"/>
    </w:rPr>
  </w:style>
  <w:style w:type="character" w:customStyle="1" w:styleId="106">
    <w:name w:val="标题 8 Char1"/>
    <w:qFormat/>
    <w:uiPriority w:val="9"/>
    <w:rPr>
      <w:rFonts w:ascii="等线 Light" w:hAnsi="等线 Light" w:eastAsia="等线 Light"/>
      <w:kern w:val="2"/>
      <w:sz w:val="24"/>
      <w:szCs w:val="24"/>
      <w:lang w:val="zh-CN" w:eastAsia="zh-CN"/>
    </w:rPr>
  </w:style>
  <w:style w:type="character" w:customStyle="1" w:styleId="107">
    <w:name w:val="批注文字 Char1"/>
    <w:qFormat/>
    <w:uiPriority w:val="0"/>
    <w:rPr>
      <w:kern w:val="2"/>
      <w:sz w:val="21"/>
      <w:szCs w:val="24"/>
      <w:lang w:val="zh-CN" w:eastAsia="zh-CN"/>
    </w:rPr>
  </w:style>
  <w:style w:type="character" w:customStyle="1" w:styleId="108">
    <w:name w:val="正文文本 Char1"/>
    <w:qFormat/>
    <w:uiPriority w:val="0"/>
    <w:rPr>
      <w:kern w:val="2"/>
      <w:sz w:val="21"/>
      <w:szCs w:val="24"/>
      <w:lang w:val="zh-CN" w:eastAsia="zh-CN"/>
    </w:rPr>
  </w:style>
  <w:style w:type="character" w:customStyle="1" w:styleId="109">
    <w:name w:val="正文首行缩进 2 字符1"/>
    <w:semiHidden/>
    <w:qFormat/>
    <w:uiPriority w:val="99"/>
    <w:rPr>
      <w:rFonts w:ascii="仿宋_GB2312" w:hAnsi="Times New Roman" w:eastAsia="仿宋_GB2312" w:cs="Times New Roman"/>
      <w:kern w:val="2"/>
      <w:sz w:val="21"/>
      <w:szCs w:val="24"/>
      <w:lang w:val="zh-CN" w:eastAsia="zh-CN"/>
    </w:rPr>
  </w:style>
  <w:style w:type="character" w:customStyle="1" w:styleId="110">
    <w:name w:val="正文首行缩进 2 字符2"/>
    <w:semiHidden/>
    <w:qFormat/>
    <w:uiPriority w:val="99"/>
    <w:rPr>
      <w:rFonts w:ascii="仿宋_GB2312" w:hAnsi="Times New Roman" w:eastAsia="仿宋_GB2312" w:cs="Times New Roman"/>
      <w:kern w:val="2"/>
      <w:sz w:val="21"/>
      <w:szCs w:val="24"/>
      <w:lang w:val="zh-CN" w:eastAsia="zh-CN"/>
    </w:rPr>
  </w:style>
  <w:style w:type="character" w:customStyle="1" w:styleId="111">
    <w:name w:val="正文文本首行缩进 2 字符1"/>
    <w:basedOn w:val="60"/>
    <w:link w:val="16"/>
    <w:semiHidden/>
    <w:qFormat/>
    <w:uiPriority w:val="99"/>
    <w:rPr>
      <w:rFonts w:ascii="Times New Roman" w:hAnsi="Times New Roman" w:eastAsia="宋体" w:cs="Times New Roman"/>
      <w:szCs w:val="24"/>
    </w:rPr>
  </w:style>
  <w:style w:type="paragraph" w:customStyle="1" w:styleId="11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3">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114">
    <w:name w:val="No Spacing"/>
    <w:qFormat/>
    <w:uiPriority w:val="5"/>
    <w:pPr>
      <w:spacing w:before="120" w:line="300" w:lineRule="auto"/>
      <w:jc w:val="both"/>
    </w:pPr>
    <w:rPr>
      <w:rFonts w:ascii="宋体" w:hAnsi="宋体" w:eastAsia="宋体" w:cs="Times New Roman"/>
      <w:color w:val="000000"/>
      <w:sz w:val="18"/>
      <w:szCs w:val="18"/>
      <w:lang w:val="en-US" w:eastAsia="zh-CN" w:bidi="ar-SA"/>
    </w:rPr>
  </w:style>
  <w:style w:type="paragraph" w:customStyle="1" w:styleId="115">
    <w:name w:val="Table Text"/>
    <w:basedOn w:val="1"/>
    <w:link w:val="116"/>
    <w:qFormat/>
    <w:uiPriority w:val="0"/>
    <w:pPr>
      <w:widowControl/>
      <w:snapToGrid w:val="0"/>
      <w:spacing w:before="80" w:after="80" w:line="240" w:lineRule="atLeast"/>
      <w:ind w:left="420" w:hanging="420"/>
      <w:jc w:val="left"/>
    </w:pPr>
    <w:rPr>
      <w:rFonts w:ascii="Times New Roman" w:hAnsi="Times New Roman" w:eastAsia="宋体" w:cs="Arial"/>
      <w:kern w:val="0"/>
      <w:szCs w:val="21"/>
    </w:rPr>
  </w:style>
  <w:style w:type="character" w:customStyle="1" w:styleId="116">
    <w:name w:val="Table Text Char"/>
    <w:basedOn w:val="34"/>
    <w:link w:val="115"/>
    <w:qFormat/>
    <w:uiPriority w:val="0"/>
    <w:rPr>
      <w:rFonts w:cs="Arial"/>
      <w:sz w:val="21"/>
      <w:szCs w:val="21"/>
    </w:rPr>
  </w:style>
  <w:style w:type="character" w:customStyle="1" w:styleId="117">
    <w:name w:val="列表段落 字符"/>
    <w:link w:val="63"/>
    <w:qFormat/>
    <w:uiPriority w:val="26"/>
    <w:rPr>
      <w:kern w:val="2"/>
      <w:sz w:val="21"/>
      <w:szCs w:val="24"/>
    </w:rPr>
  </w:style>
  <w:style w:type="paragraph" w:customStyle="1" w:styleId="118">
    <w:name w:val="p15"/>
    <w:basedOn w:val="1"/>
    <w:qFormat/>
    <w:uiPriority w:val="0"/>
    <w:pPr>
      <w:widowControl/>
      <w:spacing w:after="0" w:line="240" w:lineRule="auto"/>
      <w:ind w:left="420" w:firstLine="420"/>
      <w:jc w:val="left"/>
    </w:pPr>
    <w:rPr>
      <w:rFonts w:ascii="Calibri" w:hAnsi="Calibri" w:cs="Calibri"/>
      <w:kern w:val="0"/>
      <w:szCs w:val="21"/>
    </w:rPr>
  </w:style>
  <w:style w:type="paragraph" w:customStyle="1" w:styleId="119">
    <w:name w:val="修订11"/>
    <w:hidden/>
    <w:semiHidden/>
    <w:qFormat/>
    <w:uiPriority w:val="99"/>
    <w:rPr>
      <w:rFonts w:asciiTheme="minorHAnsi" w:hAnsiTheme="minorHAnsi" w:eastAsiaTheme="minorEastAsia" w:cstheme="minorBidi"/>
      <w:sz w:val="21"/>
      <w:szCs w:val="21"/>
      <w:lang w:val="en-US" w:eastAsia="zh-CN" w:bidi="ar-SA"/>
    </w:rPr>
  </w:style>
  <w:style w:type="character" w:customStyle="1" w:styleId="120">
    <w:name w:val="标题 4 字符"/>
    <w:basedOn w:val="34"/>
    <w:link w:val="6"/>
    <w:qFormat/>
    <w:uiPriority w:val="0"/>
    <w:rPr>
      <w:rFonts w:ascii="Arial" w:hAnsi="Arial" w:eastAsia="黑体"/>
      <w:b/>
      <w:bCs/>
      <w:kern w:val="2"/>
      <w:sz w:val="28"/>
      <w:szCs w:val="28"/>
    </w:rPr>
  </w:style>
  <w:style w:type="character" w:customStyle="1" w:styleId="121">
    <w:name w:val="font01"/>
    <w:basedOn w:val="34"/>
    <w:qFormat/>
    <w:uiPriority w:val="0"/>
    <w:rPr>
      <w:rFonts w:hint="eastAsia" w:ascii="宋体" w:hAnsi="宋体" w:eastAsia="宋体" w:cs="宋体"/>
      <w:color w:val="000000"/>
      <w:sz w:val="22"/>
      <w:szCs w:val="22"/>
      <w:u w:val="none"/>
    </w:rPr>
  </w:style>
  <w:style w:type="character" w:customStyle="1" w:styleId="122">
    <w:name w:val="font31"/>
    <w:basedOn w:val="34"/>
    <w:qFormat/>
    <w:uiPriority w:val="0"/>
    <w:rPr>
      <w:rFonts w:hint="eastAsia" w:ascii="宋体" w:hAnsi="宋体" w:eastAsia="宋体" w:cs="宋体"/>
      <w:color w:val="000000"/>
      <w:sz w:val="22"/>
      <w:szCs w:val="22"/>
      <w:u w:val="none"/>
    </w:rPr>
  </w:style>
  <w:style w:type="character" w:customStyle="1" w:styleId="123">
    <w:name w:val="font11"/>
    <w:basedOn w:val="34"/>
    <w:qFormat/>
    <w:uiPriority w:val="0"/>
    <w:rPr>
      <w:rFonts w:hint="eastAsia" w:ascii="宋体" w:hAnsi="宋体" w:eastAsia="宋体" w:cs="宋体"/>
      <w:color w:val="000000"/>
      <w:sz w:val="22"/>
      <w:szCs w:val="22"/>
      <w:u w:val="none"/>
    </w:rPr>
  </w:style>
  <w:style w:type="character" w:customStyle="1" w:styleId="124">
    <w:name w:val="font51"/>
    <w:basedOn w:val="34"/>
    <w:qFormat/>
    <w:uiPriority w:val="0"/>
    <w:rPr>
      <w:rFonts w:hint="eastAsia" w:ascii="宋体" w:hAnsi="宋体" w:eastAsia="宋体" w:cs="宋体"/>
      <w:color w:val="C00000"/>
      <w:sz w:val="22"/>
      <w:szCs w:val="22"/>
      <w:u w:val="none"/>
    </w:rPr>
  </w:style>
  <w:style w:type="character" w:customStyle="1" w:styleId="125">
    <w:name w:val="font61"/>
    <w:basedOn w:val="34"/>
    <w:qFormat/>
    <w:uiPriority w:val="0"/>
    <w:rPr>
      <w:rFonts w:hint="eastAsia" w:ascii="宋体" w:hAnsi="宋体" w:eastAsia="宋体" w:cs="宋体"/>
      <w:b/>
      <w:bCs/>
      <w:color w:val="000000"/>
      <w:sz w:val="22"/>
      <w:szCs w:val="22"/>
      <w:u w:val="none"/>
    </w:rPr>
  </w:style>
  <w:style w:type="character" w:customStyle="1" w:styleId="126">
    <w:name w:val="font71"/>
    <w:basedOn w:val="34"/>
    <w:qFormat/>
    <w:uiPriority w:val="0"/>
    <w:rPr>
      <w:rFonts w:hint="eastAsia" w:ascii="宋体" w:hAnsi="宋体" w:eastAsia="宋体" w:cs="宋体"/>
      <w:color w:val="0070C0"/>
      <w:sz w:val="22"/>
      <w:szCs w:val="22"/>
      <w:u w:val="none"/>
    </w:rPr>
  </w:style>
  <w:style w:type="paragraph" w:customStyle="1" w:styleId="12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9">
    <w:name w:val="font4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116</Pages>
  <Words>20424</Words>
  <Characters>23015</Characters>
  <Lines>537</Lines>
  <Paragraphs>151</Paragraphs>
  <TotalTime>9</TotalTime>
  <ScaleCrop>false</ScaleCrop>
  <LinksUpToDate>false</LinksUpToDate>
  <CharactersWithSpaces>23431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Administrator</cp:lastModifiedBy>
  <cp:lastPrinted>2025-07-02T03:48:00Z</cp:lastPrinted>
  <dcterms:modified xsi:type="dcterms:W3CDTF">2025-07-21T03:05:28Z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9A15646266BA46F1ACB07FD67CB990A8_13</vt:lpwstr>
  </property>
  <property fmtid="{D5CDD505-2E9C-101B-9397-08002B2CF9AE}" pid="4" name="KSOTemplateDocerSaveRecord">
    <vt:lpwstr>eyJoZGlkIjoiYWZlNTI0ZTk3ZWJjMGYyMzY0MWFiMTRkN2Y1Njk4NDYiLCJ1c2VySWQiOiI0NTY3MTcwNjgifQ==</vt:lpwstr>
  </property>
</Properties>
</file>