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spacing w:val="0"/>
          <w:sz w:val="44"/>
          <w:szCs w:val="44"/>
          <w:shd w:val="clear" w:fill="FFFFFF"/>
          <w:lang w:eastAsia="zh-CN"/>
        </w:rPr>
        <w:t>情况说明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《自治区商务厅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关于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开展电子商务进农村综合示范验收复核工作的通知》（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商电商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发【20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】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）精神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商务厅聘请的第三方机构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----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天职国际会计师事务所（特殊普通合伙）将于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02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25日至27日到忻城进行项目验收复核工作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我县要在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2025年6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日前向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商务厅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报送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县级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初步验收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结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</w:rPr>
        <w:t>果。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由于时间紧、任务重，需要缩短《忻城县2020年电子商务进农村综合示范项目结存资金项目》意向公示时间，望同意给予备案。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                   忻城县科学技术情报研究所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                       2025年5月26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DNlMjNhM2VmN2ViNTg0Mzg0YzJjNzE2NzFhMDgifQ=="/>
  </w:docVars>
  <w:rsids>
    <w:rsidRoot w:val="3C090C86"/>
    <w:rsid w:val="0929579B"/>
    <w:rsid w:val="247E16FD"/>
    <w:rsid w:val="273B24D8"/>
    <w:rsid w:val="3C090C86"/>
    <w:rsid w:val="4CBB09FC"/>
    <w:rsid w:val="4EED3BB0"/>
    <w:rsid w:val="6E9656C1"/>
    <w:rsid w:val="71B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60</Characters>
  <Lines>0</Lines>
  <Paragraphs>0</Paragraphs>
  <TotalTime>8</TotalTime>
  <ScaleCrop>false</ScaleCrop>
  <LinksUpToDate>false</LinksUpToDate>
  <CharactersWithSpaces>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2023-05-11T01:17:00Z</dcterms:created>
  <dc:creator>Administrator</dc:creator>
  <cp:lastModifiedBy>Administrator</cp:lastModifiedBy>
  <dcterms:modified xsi:type="dcterms:W3CDTF">2025-05-20T09:16:04Z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D5F4B92432E344DD8BD21B6B9C5698BD_12</vt:lpwstr>
  </property>
</Properties>
</file>