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348ACF2">
      <w:pPr>
        <w:autoSpaceDE w:val="0"/>
        <w:autoSpaceDN w:val="0"/>
        <w:jc w:val="center"/>
        <w:outlineLvl w:val="0"/>
        <w:rPr>
          <w:rFonts w:ascii="宋体" w:hAnsi="宋体" w:cs="宋体"/>
          <w:b/>
          <w:color w:val="auto"/>
          <w:spacing w:val="34"/>
          <w:sz w:val="48"/>
          <w:szCs w:val="48"/>
          <w:highlight w:val="none"/>
        </w:rPr>
      </w:pPr>
      <w:bookmarkStart w:id="0" w:name="_Toc233178269"/>
      <w:bookmarkStart w:id="1" w:name="_Toc235612822"/>
      <w:bookmarkStart w:id="2" w:name="_Toc110958892"/>
      <w:bookmarkStart w:id="3" w:name="_Toc92862234"/>
      <w:bookmarkStart w:id="4" w:name="_Toc91755251"/>
      <w:bookmarkStart w:id="5" w:name="_Toc82917790"/>
      <w:bookmarkStart w:id="6" w:name="_Toc133857552"/>
      <w:bookmarkStart w:id="7" w:name="_Toc83000545"/>
      <w:bookmarkStart w:id="8" w:name="_Toc83000439"/>
      <w:bookmarkStart w:id="9" w:name="_Toc118370453"/>
      <w:bookmarkStart w:id="10" w:name="_Toc184878322"/>
      <w:bookmarkStart w:id="11" w:name="_Toc83727470"/>
      <w:bookmarkStart w:id="12" w:name="_Toc175591295"/>
      <w:bookmarkStart w:id="13" w:name="_Toc116785657"/>
      <w:bookmarkStart w:id="14" w:name="_Toc92862084"/>
      <w:bookmarkStart w:id="15" w:name="_Toc98218596"/>
      <w:bookmarkStart w:id="16" w:name="_Toc83027331"/>
      <w:bookmarkStart w:id="17" w:name="_Toc93847398"/>
      <w:bookmarkStart w:id="18" w:name="_Toc133810696"/>
      <w:bookmarkStart w:id="19" w:name="_Toc93847040"/>
      <w:bookmarkStart w:id="20" w:name="_Toc92536493"/>
      <w:bookmarkStart w:id="21" w:name="_Toc83004498"/>
      <w:bookmarkStart w:id="22" w:name="_Toc177265980"/>
      <w:bookmarkStart w:id="23" w:name="_Toc93861353"/>
      <w:bookmarkStart w:id="24" w:name="_Toc93633916"/>
      <w:bookmarkStart w:id="25" w:name="_Toc92611624"/>
      <w:bookmarkStart w:id="26" w:name="_Toc120075187"/>
      <w:bookmarkStart w:id="27" w:name="_Toc93559501"/>
      <w:bookmarkStart w:id="28" w:name="_Toc82916865"/>
      <w:bookmarkStart w:id="29" w:name="_Toc98665878"/>
      <w:bookmarkStart w:id="30" w:name="_Toc118439411"/>
      <w:bookmarkStart w:id="31" w:name="_Toc118439556"/>
      <w:bookmarkStart w:id="32" w:name="_Toc93847222"/>
      <w:bookmarkStart w:id="33" w:name="_Toc98218696"/>
      <w:bookmarkStart w:id="34" w:name="_Toc178412431"/>
      <w:bookmarkStart w:id="35" w:name="_Toc176964911"/>
      <w:bookmarkStart w:id="36" w:name="_Toc82753968"/>
      <w:bookmarkStart w:id="37" w:name="_Toc83006015"/>
      <w:bookmarkStart w:id="38" w:name="_Toc110766023"/>
      <w:bookmarkStart w:id="39" w:name="_Toc93558387"/>
      <w:bookmarkStart w:id="40" w:name="_Toc82753933"/>
      <w:bookmarkStart w:id="41" w:name="_Toc91756440"/>
      <w:bookmarkStart w:id="42" w:name="_Toc118275581"/>
      <w:bookmarkStart w:id="43" w:name="_Toc84084758"/>
      <w:bookmarkStart w:id="44" w:name="_Toc84069040"/>
      <w:bookmarkStart w:id="1166" w:name="_GoBack"/>
      <w:bookmarkEnd w:id="1166"/>
    </w:p>
    <w:bookmarkEnd w:id="0"/>
    <w:bookmarkEnd w:id="1"/>
    <w:p w14:paraId="15C10D8F">
      <w:pPr>
        <w:autoSpaceDE w:val="0"/>
        <w:autoSpaceDN w:val="0"/>
        <w:jc w:val="center"/>
        <w:outlineLvl w:val="0"/>
        <w:rPr>
          <w:rFonts w:hint="eastAsia" w:ascii="宋体" w:hAnsi="宋体" w:eastAsia="宋体" w:cs="宋体"/>
          <w:b/>
          <w:color w:val="auto"/>
          <w:spacing w:val="34"/>
          <w:sz w:val="48"/>
          <w:szCs w:val="48"/>
          <w:highlight w:val="none"/>
          <w:lang w:eastAsia="zh-CN"/>
        </w:rPr>
      </w:pPr>
      <w:r>
        <w:rPr>
          <w:rFonts w:hint="eastAsia" w:ascii="宋体" w:hAnsi="宋体" w:cs="宋体"/>
          <w:b/>
          <w:color w:val="auto"/>
          <w:spacing w:val="34"/>
          <w:sz w:val="48"/>
          <w:szCs w:val="48"/>
          <w:highlight w:val="none"/>
          <w:lang w:eastAsia="zh-CN"/>
        </w:rPr>
        <w:t>贵港市覃塘区东龙镇高龙小学附设园保教楼项目</w:t>
      </w:r>
    </w:p>
    <w:tbl>
      <w:tblPr>
        <w:tblStyle w:val="41"/>
        <w:tblpPr w:leftFromText="180" w:rightFromText="180" w:vertAnchor="page" w:horzAnchor="page" w:tblpX="1412" w:tblpY="3213"/>
        <w:tblOverlap w:val="never"/>
        <w:tblW w:w="0" w:type="auto"/>
        <w:tblInd w:w="0" w:type="dxa"/>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40"/>
      </w:tblGrid>
      <w:tr w14:paraId="2DB342BB">
        <w:tblPrEx>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9140" w:type="dxa"/>
            <w:noWrap/>
          </w:tcPr>
          <w:p w14:paraId="629498F6">
            <w:pPr>
              <w:pStyle w:val="21"/>
              <w:tabs>
                <w:tab w:val="left" w:pos="-30"/>
              </w:tabs>
              <w:rPr>
                <w:rFonts w:hAnsi="宋体" w:cs="宋体"/>
                <w:color w:val="auto"/>
                <w:sz w:val="24"/>
                <w:highlight w:val="none"/>
              </w:rPr>
            </w:pPr>
          </w:p>
        </w:tc>
      </w:tr>
    </w:tbl>
    <w:p w14:paraId="61F3148A">
      <w:pPr>
        <w:autoSpaceDE w:val="0"/>
        <w:autoSpaceDN w:val="0"/>
        <w:jc w:val="center"/>
        <w:outlineLvl w:val="0"/>
        <w:rPr>
          <w:rFonts w:ascii="宋体" w:hAnsi="宋体" w:cs="宋体"/>
          <w:b/>
          <w:color w:val="auto"/>
          <w:sz w:val="84"/>
          <w:szCs w:val="84"/>
          <w:highlight w:val="none"/>
        </w:rPr>
      </w:pPr>
    </w:p>
    <w:p w14:paraId="0F6E74C8">
      <w:pPr>
        <w:pStyle w:val="26"/>
        <w:rPr>
          <w:color w:val="auto"/>
          <w:highlight w:val="none"/>
        </w:rPr>
      </w:pPr>
    </w:p>
    <w:p w14:paraId="7E5C79BE">
      <w:pPr>
        <w:pStyle w:val="26"/>
        <w:rPr>
          <w:color w:val="auto"/>
          <w:highlight w:val="none"/>
        </w:rPr>
      </w:pPr>
    </w:p>
    <w:p w14:paraId="117FE2C5">
      <w:pPr>
        <w:rPr>
          <w:color w:val="auto"/>
          <w:highlight w:val="none"/>
        </w:rPr>
      </w:pPr>
    </w:p>
    <w:p w14:paraId="2F440E33">
      <w:pPr>
        <w:pStyle w:val="26"/>
        <w:rPr>
          <w:color w:val="auto"/>
          <w:highlight w:val="none"/>
        </w:rPr>
      </w:pPr>
    </w:p>
    <w:p w14:paraId="173F7E5E">
      <w:pPr>
        <w:pStyle w:val="26"/>
        <w:rPr>
          <w:color w:val="auto"/>
          <w:highlight w:val="none"/>
        </w:rPr>
      </w:pPr>
    </w:p>
    <w:p w14:paraId="73E1D5CA">
      <w:pPr>
        <w:pStyle w:val="26"/>
        <w:rPr>
          <w:color w:val="auto"/>
          <w:highlight w:val="none"/>
        </w:rPr>
      </w:pPr>
    </w:p>
    <w:p w14:paraId="46A3311F">
      <w:pPr>
        <w:autoSpaceDE w:val="0"/>
        <w:autoSpaceDN w:val="0"/>
        <w:jc w:val="center"/>
        <w:outlineLvl w:val="0"/>
        <w:rPr>
          <w:rFonts w:ascii="宋体" w:hAnsi="宋体" w:cs="宋体"/>
          <w:b/>
          <w:color w:val="auto"/>
          <w:sz w:val="84"/>
          <w:szCs w:val="84"/>
          <w:highlight w:val="none"/>
        </w:rPr>
      </w:pPr>
      <w:r>
        <w:rPr>
          <w:rFonts w:hint="eastAsia" w:ascii="宋体" w:hAnsi="宋体" w:cs="宋体"/>
          <w:b/>
          <w:color w:val="auto"/>
          <w:sz w:val="84"/>
          <w:szCs w:val="84"/>
          <w:highlight w:val="none"/>
        </w:rPr>
        <w:t>竞争性磋商文件</w:t>
      </w:r>
    </w:p>
    <w:p w14:paraId="6C045439">
      <w:pPr>
        <w:pStyle w:val="21"/>
        <w:spacing w:line="360" w:lineRule="auto"/>
        <w:jc w:val="center"/>
        <w:rPr>
          <w:rFonts w:hint="eastAsia" w:hAnsi="宋体" w:eastAsia="宋体" w:cs="宋体"/>
          <w:b/>
          <w:color w:val="auto"/>
          <w:sz w:val="30"/>
          <w:highlight w:val="none"/>
          <w:lang w:eastAsia="zh-CN"/>
        </w:rPr>
      </w:pPr>
      <w:r>
        <w:rPr>
          <w:rFonts w:hint="eastAsia" w:hAnsi="宋体" w:cs="宋体"/>
          <w:b/>
          <w:color w:val="auto"/>
          <w:sz w:val="30"/>
          <w:highlight w:val="none"/>
        </w:rPr>
        <w:t>项目编号：GGZC2025-C2-040100-GXRY</w:t>
      </w:r>
    </w:p>
    <w:p w14:paraId="1E54FACB">
      <w:pPr>
        <w:pStyle w:val="21"/>
        <w:spacing w:line="400" w:lineRule="exact"/>
        <w:rPr>
          <w:rFonts w:hAnsi="宋体" w:cs="宋体"/>
          <w:color w:val="auto"/>
          <w:highlight w:val="none"/>
        </w:rPr>
      </w:pPr>
    </w:p>
    <w:p w14:paraId="2726F62F">
      <w:pPr>
        <w:pStyle w:val="2"/>
        <w:rPr>
          <w:color w:val="auto"/>
          <w:highlight w:val="none"/>
        </w:rPr>
      </w:pPr>
    </w:p>
    <w:p w14:paraId="17195F33">
      <w:pPr>
        <w:pStyle w:val="21"/>
        <w:spacing w:line="400" w:lineRule="exact"/>
        <w:rPr>
          <w:rFonts w:hAnsi="宋体" w:cs="宋体"/>
          <w:color w:val="auto"/>
          <w:highlight w:val="none"/>
        </w:rPr>
      </w:pPr>
    </w:p>
    <w:p w14:paraId="1730EFDE">
      <w:pPr>
        <w:pStyle w:val="21"/>
        <w:spacing w:line="400" w:lineRule="exact"/>
        <w:rPr>
          <w:rFonts w:hAnsi="宋体" w:cs="宋体"/>
          <w:color w:val="auto"/>
          <w:highlight w:val="none"/>
        </w:rPr>
      </w:pPr>
    </w:p>
    <w:p w14:paraId="22F5B065">
      <w:pPr>
        <w:pStyle w:val="21"/>
        <w:spacing w:line="400" w:lineRule="exact"/>
        <w:rPr>
          <w:rFonts w:hAnsi="宋体" w:cs="宋体"/>
          <w:color w:val="auto"/>
          <w:highlight w:val="none"/>
        </w:rPr>
      </w:pPr>
    </w:p>
    <w:p w14:paraId="56673397">
      <w:pPr>
        <w:pStyle w:val="21"/>
        <w:spacing w:line="400" w:lineRule="exact"/>
        <w:rPr>
          <w:rFonts w:hAnsi="宋体" w:cs="宋体"/>
          <w:color w:val="auto"/>
          <w:highlight w:val="none"/>
        </w:rPr>
      </w:pPr>
    </w:p>
    <w:p w14:paraId="5A07CB13">
      <w:pPr>
        <w:autoSpaceDE w:val="0"/>
        <w:autoSpaceDN w:val="0"/>
        <w:spacing w:line="360" w:lineRule="auto"/>
        <w:outlineLvl w:val="0"/>
        <w:rPr>
          <w:rFonts w:ascii="宋体" w:hAnsi="宋体" w:cs="宋体"/>
          <w:color w:val="auto"/>
          <w:highlight w:val="none"/>
        </w:rPr>
      </w:pPr>
      <w:bookmarkStart w:id="45" w:name="_Toc227505660"/>
      <w:bookmarkStart w:id="46" w:name="_Toc221440907"/>
      <w:bookmarkStart w:id="47" w:name="_Toc221441334"/>
      <w:bookmarkStart w:id="48" w:name="_Toc230520432"/>
      <w:bookmarkStart w:id="49" w:name="_Toc221440991"/>
      <w:bookmarkStart w:id="50" w:name="_Toc221441075"/>
      <w:bookmarkStart w:id="51" w:name="_Toc221786665"/>
      <w:bookmarkStart w:id="52" w:name="_Toc233178271"/>
      <w:bookmarkStart w:id="53" w:name="_Toc222757817"/>
      <w:bookmarkStart w:id="54" w:name="_Toc235612824"/>
    </w:p>
    <w:p w14:paraId="4C22DB45">
      <w:pPr>
        <w:pStyle w:val="26"/>
        <w:rPr>
          <w:color w:val="auto"/>
          <w:highlight w:val="none"/>
        </w:rPr>
      </w:pPr>
    </w:p>
    <w:p w14:paraId="22A97791">
      <w:pPr>
        <w:pStyle w:val="26"/>
        <w:rPr>
          <w:rFonts w:hAnsi="宋体" w:cs="宋体"/>
          <w:color w:val="auto"/>
          <w:highlight w:val="none"/>
        </w:rPr>
      </w:pPr>
    </w:p>
    <w:p w14:paraId="11128F37">
      <w:pPr>
        <w:pStyle w:val="26"/>
        <w:rPr>
          <w:rFonts w:hAnsi="宋体" w:cs="宋体"/>
          <w:color w:val="auto"/>
          <w:highlight w:val="none"/>
        </w:rPr>
      </w:pPr>
    </w:p>
    <w:p w14:paraId="66EF9CCE">
      <w:pPr>
        <w:pStyle w:val="26"/>
        <w:rPr>
          <w:rFonts w:hAnsi="宋体" w:cs="宋体"/>
          <w:color w:val="auto"/>
          <w:highlight w:val="none"/>
        </w:rPr>
      </w:pPr>
    </w:p>
    <w:p w14:paraId="55BBD520">
      <w:pPr>
        <w:pStyle w:val="26"/>
        <w:rPr>
          <w:rFonts w:hAnsi="宋体" w:cs="宋体"/>
          <w:color w:val="auto"/>
          <w:highlight w:val="none"/>
        </w:rPr>
      </w:pPr>
    </w:p>
    <w:p w14:paraId="46F42E3E">
      <w:pPr>
        <w:autoSpaceDE w:val="0"/>
        <w:autoSpaceDN w:val="0"/>
        <w:spacing w:line="480" w:lineRule="auto"/>
        <w:ind w:firstLine="1084" w:firstLineChars="300"/>
        <w:outlineLvl w:val="0"/>
        <w:rPr>
          <w:rFonts w:ascii="宋体" w:hAnsi="宋体" w:cs="宋体"/>
          <w:b/>
          <w:color w:val="auto"/>
          <w:sz w:val="36"/>
          <w:szCs w:val="36"/>
          <w:highlight w:val="none"/>
        </w:rPr>
      </w:pPr>
      <w:r>
        <w:rPr>
          <w:rFonts w:ascii="宋体" w:hAnsi="宋体" w:cs="宋体"/>
          <w:b/>
          <w:color w:val="auto"/>
          <w:sz w:val="36"/>
          <w:szCs w:val="36"/>
          <w:highlight w:val="none"/>
        </w:rPr>
        <mc:AlternateContent>
          <mc:Choice Requires="wps">
            <w:drawing>
              <wp:anchor distT="0" distB="0" distL="114300" distR="114300" simplePos="0" relativeHeight="251659264" behindDoc="0" locked="0" layoutInCell="0" allowOverlap="1">
                <wp:simplePos x="0" y="0"/>
                <wp:positionH relativeFrom="column">
                  <wp:posOffset>93980</wp:posOffset>
                </wp:positionH>
                <wp:positionV relativeFrom="paragraph">
                  <wp:posOffset>207010</wp:posOffset>
                </wp:positionV>
                <wp:extent cx="5824855" cy="3175"/>
                <wp:effectExtent l="0" t="0" r="0" b="0"/>
                <wp:wrapTopAndBottom/>
                <wp:docPr id="1" name="Line 26"/>
                <wp:cNvGraphicFramePr/>
                <a:graphic xmlns:a="http://schemas.openxmlformats.org/drawingml/2006/main">
                  <a:graphicData uri="http://schemas.microsoft.com/office/word/2010/wordprocessingShape">
                    <wps:wsp>
                      <wps:cNvCnPr/>
                      <wps:spPr>
                        <a:xfrm flipV="1">
                          <a:off x="0" y="0"/>
                          <a:ext cx="5824855" cy="317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Line 26" o:spid="_x0000_s1026" o:spt="20" style="position:absolute;left:0pt;flip:y;margin-left:7.4pt;margin-top:16.3pt;height:0.25pt;width:458.65pt;mso-wrap-distance-bottom:0pt;mso-wrap-distance-top:0pt;z-index:251659264;mso-width-relative:page;mso-height-relative:page;" filled="f" stroked="t" coordsize="21600,21600" o:allowincell="f" o:gfxdata="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CJlnM&#10;1gAAAAgBAAAPAAAAAAAAAAEAIAAAACIAAABkcnMvZG93bnJldi54bWxQSwECFAAUAAAACACHTuJA&#10;zWGTCeoBAAD2AwAADgAAAAAAAAABACAAAAAlAQAAZHJzL2Uyb0RvYy54bWxQSwUGAAAAAAYABgBZ&#10;AQAAgQUAAAAA&#10;">
                <v:fill on="f" focussize="0,0"/>
                <v:stroke weight="1.5pt" color="#000000" joinstyle="round"/>
                <v:imagedata o:title=""/>
                <o:lock v:ext="edit" aspectratio="f"/>
                <w10:wrap type="topAndBottom"/>
              </v:line>
            </w:pict>
          </mc:Fallback>
        </mc:AlternateContent>
      </w:r>
      <w:bookmarkEnd w:id="45"/>
      <w:bookmarkEnd w:id="46"/>
      <w:bookmarkEnd w:id="47"/>
      <w:bookmarkEnd w:id="48"/>
      <w:bookmarkEnd w:id="49"/>
      <w:bookmarkEnd w:id="50"/>
      <w:bookmarkEnd w:id="51"/>
      <w:bookmarkEnd w:id="52"/>
      <w:bookmarkEnd w:id="53"/>
      <w:bookmarkEnd w:id="54"/>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lang w:eastAsia="zh-CN"/>
        </w:rPr>
        <w:t>贵港市覃塘区东龙镇高龙小学</w:t>
      </w:r>
    </w:p>
    <w:p w14:paraId="567AFDF3">
      <w:pPr>
        <w:tabs>
          <w:tab w:val="left" w:pos="993"/>
        </w:tabs>
        <w:spacing w:line="480" w:lineRule="auto"/>
        <w:ind w:firstLine="1084" w:firstLineChars="300"/>
        <w:rPr>
          <w:rFonts w:ascii="宋体" w:hAnsi="宋体" w:cs="宋体"/>
          <w:b/>
          <w:color w:val="auto"/>
          <w:sz w:val="36"/>
          <w:szCs w:val="36"/>
          <w:highlight w:val="none"/>
        </w:rPr>
      </w:pPr>
      <w:r>
        <w:rPr>
          <w:rFonts w:hint="eastAsia" w:ascii="宋体" w:hAnsi="宋体" w:cs="宋体"/>
          <w:b/>
          <w:color w:val="auto"/>
          <w:sz w:val="36"/>
          <w:szCs w:val="36"/>
          <w:highlight w:val="none"/>
        </w:rPr>
        <w:t>采购代理机构：广西睿翼工程咨询有限公司</w:t>
      </w:r>
    </w:p>
    <w:p w14:paraId="22FF2C0E">
      <w:pPr>
        <w:spacing w:line="48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202</w:t>
      </w:r>
      <w:r>
        <w:rPr>
          <w:rFonts w:hint="eastAsia" w:ascii="宋体" w:hAnsi="宋体" w:cs="宋体"/>
          <w:b/>
          <w:color w:val="auto"/>
          <w:sz w:val="32"/>
          <w:szCs w:val="32"/>
          <w:highlight w:val="none"/>
          <w:lang w:val="en-US" w:eastAsia="zh-CN"/>
        </w:rPr>
        <w:t>5</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7</w:t>
      </w:r>
      <w:r>
        <w:rPr>
          <w:rFonts w:hint="eastAsia" w:ascii="宋体" w:hAnsi="宋体" w:cs="宋体"/>
          <w:b/>
          <w:color w:val="auto"/>
          <w:sz w:val="32"/>
          <w:szCs w:val="32"/>
          <w:highlight w:val="none"/>
        </w:rPr>
        <w:t>月</w:t>
      </w:r>
    </w:p>
    <w:p w14:paraId="5BDFAFAB">
      <w:pPr>
        <w:spacing w:line="600" w:lineRule="exact"/>
        <w:jc w:val="center"/>
        <w:rPr>
          <w:rFonts w:hint="eastAsia" w:ascii="宋体" w:hAnsi="宋体" w:eastAsia="宋体" w:cs="宋体"/>
          <w:color w:val="auto"/>
          <w:w w:val="90"/>
          <w:kern w:val="2"/>
          <w:sz w:val="24"/>
          <w:szCs w:val="24"/>
          <w:highlight w:val="none"/>
          <w:lang w:val="en-US" w:eastAsia="zh-CN" w:bidi="ar-SA"/>
        </w:rPr>
      </w:pPr>
      <w:r>
        <w:rPr>
          <w:rFonts w:hint="eastAsia" w:cs="宋体"/>
          <w:b/>
          <w:bCs/>
          <w:color w:val="auto"/>
          <w:sz w:val="48"/>
          <w:szCs w:val="48"/>
          <w:highlight w:val="none"/>
        </w:rPr>
        <w:t>目  录</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Fonts w:hint="eastAsia" w:cs="宋体"/>
          <w:color w:val="auto"/>
          <w:w w:val="90"/>
          <w:kern w:val="2"/>
          <w:szCs w:val="24"/>
          <w:highlight w:val="none"/>
        </w:rPr>
        <w:fldChar w:fldCharType="begin"/>
      </w:r>
      <w:r>
        <w:rPr>
          <w:rFonts w:hint="eastAsia" w:cs="宋体"/>
          <w:color w:val="auto"/>
          <w:w w:val="90"/>
          <w:kern w:val="2"/>
          <w:szCs w:val="24"/>
          <w:highlight w:val="none"/>
        </w:rPr>
        <w:instrText xml:space="preserve"> TOC \o "1-3" \h \z </w:instrText>
      </w:r>
      <w:r>
        <w:rPr>
          <w:rFonts w:hint="eastAsia" w:cs="宋体"/>
          <w:color w:val="auto"/>
          <w:w w:val="90"/>
          <w:kern w:val="2"/>
          <w:szCs w:val="24"/>
          <w:highlight w:val="none"/>
        </w:rPr>
        <w:fldChar w:fldCharType="separate"/>
      </w:r>
    </w:p>
    <w:p w14:paraId="652B0E0A">
      <w:pPr>
        <w:pStyle w:val="28"/>
        <w:tabs>
          <w:tab w:val="right" w:leader="dot" w:pos="9639"/>
          <w:tab w:val="clear" w:pos="9344"/>
        </w:tabs>
        <w:spacing w:line="480" w:lineRule="auto"/>
        <w:rPr>
          <w:rFonts w:hint="eastAsia" w:ascii="宋体" w:hAnsi="宋体" w:cs="宋体"/>
          <w:b/>
          <w:bCs/>
          <w:color w:val="auto"/>
          <w:w w:val="90"/>
          <w:sz w:val="28"/>
          <w:szCs w:val="28"/>
          <w:highlight w:val="none"/>
        </w:rPr>
      </w:pPr>
    </w:p>
    <w:p w14:paraId="16A573BA">
      <w:pPr>
        <w:pStyle w:val="28"/>
        <w:tabs>
          <w:tab w:val="right" w:leader="dot" w:pos="9639"/>
          <w:tab w:val="clear" w:pos="9344"/>
        </w:tabs>
        <w:spacing w:line="480" w:lineRule="auto"/>
        <w:rPr>
          <w:b/>
          <w:bCs/>
          <w:color w:val="auto"/>
          <w:sz w:val="28"/>
          <w:szCs w:val="28"/>
          <w:highlight w:val="none"/>
        </w:rPr>
      </w:pPr>
      <w:r>
        <w:rPr>
          <w:rFonts w:hint="eastAsia" w:ascii="宋体" w:hAnsi="宋体" w:eastAsia="宋体" w:cs="宋体"/>
          <w:b/>
          <w:color w:val="auto"/>
          <w:kern w:val="2"/>
          <w:position w:val="6"/>
          <w:sz w:val="28"/>
          <w:szCs w:val="28"/>
          <w:highlight w:val="none"/>
        </w:rPr>
        <w:t>竞</w:t>
      </w:r>
      <w:r>
        <w:rPr>
          <w:rFonts w:hint="eastAsia" w:ascii="宋体" w:hAnsi="宋体" w:cs="宋体"/>
          <w:b/>
          <w:bCs/>
          <w:color w:val="auto"/>
          <w:w w:val="90"/>
          <w:sz w:val="28"/>
          <w:szCs w:val="28"/>
          <w:highlight w:val="none"/>
        </w:rPr>
        <w:fldChar w:fldCharType="begin"/>
      </w:r>
      <w:r>
        <w:rPr>
          <w:rFonts w:hint="eastAsia" w:ascii="宋体" w:hAnsi="宋体" w:cs="宋体"/>
          <w:b/>
          <w:bCs/>
          <w:color w:val="auto"/>
          <w:w w:val="90"/>
          <w:sz w:val="28"/>
          <w:szCs w:val="28"/>
          <w:highlight w:val="none"/>
        </w:rPr>
        <w:instrText xml:space="preserve"> HYPERLINK \l _Toc14520 </w:instrText>
      </w:r>
      <w:r>
        <w:rPr>
          <w:rFonts w:hint="eastAsia" w:ascii="宋体" w:hAnsi="宋体" w:cs="宋体"/>
          <w:b/>
          <w:bCs/>
          <w:color w:val="auto"/>
          <w:w w:val="90"/>
          <w:sz w:val="28"/>
          <w:szCs w:val="28"/>
          <w:highlight w:val="none"/>
        </w:rPr>
        <w:fldChar w:fldCharType="separate"/>
      </w:r>
      <w:r>
        <w:rPr>
          <w:rFonts w:hint="eastAsia" w:ascii="宋体" w:hAnsi="宋体" w:eastAsia="宋体" w:cs="宋体"/>
          <w:b/>
          <w:bCs/>
          <w:color w:val="auto"/>
          <w:kern w:val="2"/>
          <w:position w:val="6"/>
          <w:sz w:val="28"/>
          <w:szCs w:val="28"/>
          <w:highlight w:val="none"/>
        </w:rPr>
        <w:t>争</w:t>
      </w:r>
      <w:r>
        <w:rPr>
          <w:rFonts w:hint="eastAsia" w:cs="宋体"/>
          <w:b/>
          <w:bCs/>
          <w:color w:val="auto"/>
          <w:kern w:val="2"/>
          <w:position w:val="6"/>
          <w:sz w:val="28"/>
          <w:szCs w:val="28"/>
          <w:highlight w:val="none"/>
          <w:lang w:val="en-US" w:eastAsia="zh-CN"/>
        </w:rPr>
        <w:t>性</w:t>
      </w:r>
      <w:r>
        <w:rPr>
          <w:rFonts w:hint="eastAsia" w:ascii="宋体" w:hAnsi="宋体" w:eastAsia="宋体" w:cs="宋体"/>
          <w:b/>
          <w:bCs/>
          <w:color w:val="auto"/>
          <w:kern w:val="2"/>
          <w:position w:val="6"/>
          <w:sz w:val="28"/>
          <w:szCs w:val="28"/>
          <w:highlight w:val="none"/>
        </w:rPr>
        <w:t>磋商公告</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_Toc14520 \h </w:instrText>
      </w:r>
      <w:r>
        <w:rPr>
          <w:b/>
          <w:bCs/>
          <w:color w:val="auto"/>
          <w:sz w:val="28"/>
          <w:szCs w:val="28"/>
          <w:highlight w:val="none"/>
        </w:rPr>
        <w:fldChar w:fldCharType="separate"/>
      </w:r>
      <w:r>
        <w:rPr>
          <w:b/>
          <w:bCs/>
          <w:color w:val="auto"/>
          <w:sz w:val="28"/>
          <w:szCs w:val="28"/>
          <w:highlight w:val="none"/>
        </w:rPr>
        <w:t>1</w:t>
      </w:r>
      <w:r>
        <w:rPr>
          <w:b/>
          <w:bCs/>
          <w:color w:val="auto"/>
          <w:sz w:val="28"/>
          <w:szCs w:val="28"/>
          <w:highlight w:val="none"/>
        </w:rPr>
        <w:fldChar w:fldCharType="end"/>
      </w:r>
      <w:r>
        <w:rPr>
          <w:rFonts w:hint="eastAsia" w:ascii="宋体" w:hAnsi="宋体" w:cs="宋体"/>
          <w:b/>
          <w:bCs/>
          <w:color w:val="auto"/>
          <w:w w:val="90"/>
          <w:sz w:val="28"/>
          <w:szCs w:val="28"/>
          <w:highlight w:val="none"/>
        </w:rPr>
        <w:fldChar w:fldCharType="end"/>
      </w:r>
    </w:p>
    <w:p w14:paraId="18CADFC2">
      <w:pPr>
        <w:pStyle w:val="28"/>
        <w:tabs>
          <w:tab w:val="right" w:leader="dot" w:pos="9639"/>
          <w:tab w:val="clear" w:pos="9344"/>
        </w:tabs>
        <w:spacing w:line="480" w:lineRule="auto"/>
        <w:rPr>
          <w:b/>
          <w:bCs/>
          <w:color w:val="auto"/>
          <w:sz w:val="28"/>
          <w:szCs w:val="28"/>
          <w:highlight w:val="none"/>
        </w:rPr>
      </w:pPr>
      <w:r>
        <w:rPr>
          <w:rFonts w:hint="eastAsia" w:ascii="宋体" w:hAnsi="宋体" w:cs="宋体"/>
          <w:b/>
          <w:bCs/>
          <w:color w:val="auto"/>
          <w:w w:val="90"/>
          <w:sz w:val="28"/>
          <w:szCs w:val="28"/>
          <w:highlight w:val="none"/>
        </w:rPr>
        <w:fldChar w:fldCharType="begin"/>
      </w:r>
      <w:r>
        <w:rPr>
          <w:rFonts w:hint="eastAsia" w:ascii="宋体" w:hAnsi="宋体" w:cs="宋体"/>
          <w:b/>
          <w:bCs/>
          <w:color w:val="auto"/>
          <w:w w:val="90"/>
          <w:sz w:val="28"/>
          <w:szCs w:val="28"/>
          <w:highlight w:val="none"/>
        </w:rPr>
        <w:instrText xml:space="preserve"> HYPERLINK \l _Toc2411 </w:instrText>
      </w:r>
      <w:r>
        <w:rPr>
          <w:rFonts w:hint="eastAsia" w:ascii="宋体" w:hAnsi="宋体" w:cs="宋体"/>
          <w:b/>
          <w:bCs/>
          <w:color w:val="auto"/>
          <w:w w:val="90"/>
          <w:sz w:val="28"/>
          <w:szCs w:val="28"/>
          <w:highlight w:val="none"/>
        </w:rPr>
        <w:fldChar w:fldCharType="separate"/>
      </w:r>
      <w:r>
        <w:rPr>
          <w:rFonts w:hint="eastAsia" w:ascii="宋体" w:hAnsi="宋体" w:cs="宋体"/>
          <w:b/>
          <w:bCs/>
          <w:color w:val="auto"/>
          <w:sz w:val="28"/>
          <w:szCs w:val="28"/>
          <w:highlight w:val="none"/>
        </w:rPr>
        <w:t>第一章 供应商须知及前附表</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_Toc2411 \h </w:instrText>
      </w:r>
      <w:r>
        <w:rPr>
          <w:b/>
          <w:bCs/>
          <w:color w:val="auto"/>
          <w:sz w:val="28"/>
          <w:szCs w:val="28"/>
          <w:highlight w:val="none"/>
        </w:rPr>
        <w:fldChar w:fldCharType="separate"/>
      </w:r>
      <w:r>
        <w:rPr>
          <w:b/>
          <w:bCs/>
          <w:color w:val="auto"/>
          <w:sz w:val="28"/>
          <w:szCs w:val="28"/>
          <w:highlight w:val="none"/>
        </w:rPr>
        <w:t>5</w:t>
      </w:r>
      <w:r>
        <w:rPr>
          <w:b/>
          <w:bCs/>
          <w:color w:val="auto"/>
          <w:sz w:val="28"/>
          <w:szCs w:val="28"/>
          <w:highlight w:val="none"/>
        </w:rPr>
        <w:fldChar w:fldCharType="end"/>
      </w:r>
      <w:r>
        <w:rPr>
          <w:rFonts w:hint="eastAsia" w:ascii="宋体" w:hAnsi="宋体" w:cs="宋体"/>
          <w:b/>
          <w:bCs/>
          <w:color w:val="auto"/>
          <w:w w:val="90"/>
          <w:sz w:val="28"/>
          <w:szCs w:val="28"/>
          <w:highlight w:val="none"/>
        </w:rPr>
        <w:fldChar w:fldCharType="end"/>
      </w:r>
    </w:p>
    <w:p w14:paraId="65072D07">
      <w:pPr>
        <w:pStyle w:val="28"/>
        <w:tabs>
          <w:tab w:val="right" w:leader="dot" w:pos="9639"/>
          <w:tab w:val="clear" w:pos="9344"/>
        </w:tabs>
        <w:spacing w:line="480" w:lineRule="auto"/>
        <w:rPr>
          <w:b/>
          <w:bCs/>
          <w:color w:val="auto"/>
          <w:sz w:val="28"/>
          <w:szCs w:val="28"/>
          <w:highlight w:val="none"/>
        </w:rPr>
      </w:pPr>
      <w:r>
        <w:rPr>
          <w:rFonts w:hint="eastAsia" w:ascii="宋体" w:hAnsi="宋体" w:cs="宋体"/>
          <w:b/>
          <w:bCs/>
          <w:color w:val="auto"/>
          <w:w w:val="90"/>
          <w:sz w:val="28"/>
          <w:szCs w:val="28"/>
          <w:highlight w:val="none"/>
        </w:rPr>
        <w:fldChar w:fldCharType="begin"/>
      </w:r>
      <w:r>
        <w:rPr>
          <w:rFonts w:hint="eastAsia" w:ascii="宋体" w:hAnsi="宋体" w:cs="宋体"/>
          <w:b/>
          <w:bCs/>
          <w:color w:val="auto"/>
          <w:w w:val="90"/>
          <w:sz w:val="28"/>
          <w:szCs w:val="28"/>
          <w:highlight w:val="none"/>
        </w:rPr>
        <w:instrText xml:space="preserve"> HYPERLINK \l _Toc14850 </w:instrText>
      </w:r>
      <w:r>
        <w:rPr>
          <w:rFonts w:hint="eastAsia" w:ascii="宋体" w:hAnsi="宋体" w:cs="宋体"/>
          <w:b/>
          <w:bCs/>
          <w:color w:val="auto"/>
          <w:w w:val="90"/>
          <w:sz w:val="28"/>
          <w:szCs w:val="28"/>
          <w:highlight w:val="none"/>
        </w:rPr>
        <w:fldChar w:fldCharType="separate"/>
      </w:r>
      <w:r>
        <w:rPr>
          <w:rFonts w:hint="eastAsia" w:ascii="宋体" w:hAnsi="宋体" w:eastAsia="宋体" w:cs="宋体"/>
          <w:b/>
          <w:bCs/>
          <w:color w:val="auto"/>
          <w:kern w:val="0"/>
          <w:sz w:val="28"/>
          <w:szCs w:val="28"/>
          <w:highlight w:val="none"/>
        </w:rPr>
        <w:t>第二章 合同条款及格式</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_Toc14850 \h </w:instrText>
      </w:r>
      <w:r>
        <w:rPr>
          <w:b/>
          <w:bCs/>
          <w:color w:val="auto"/>
          <w:sz w:val="28"/>
          <w:szCs w:val="28"/>
          <w:highlight w:val="none"/>
        </w:rPr>
        <w:fldChar w:fldCharType="separate"/>
      </w:r>
      <w:r>
        <w:rPr>
          <w:b/>
          <w:bCs/>
          <w:color w:val="auto"/>
          <w:sz w:val="28"/>
          <w:szCs w:val="28"/>
          <w:highlight w:val="none"/>
        </w:rPr>
        <w:t>21</w:t>
      </w:r>
      <w:r>
        <w:rPr>
          <w:b/>
          <w:bCs/>
          <w:color w:val="auto"/>
          <w:sz w:val="28"/>
          <w:szCs w:val="28"/>
          <w:highlight w:val="none"/>
        </w:rPr>
        <w:fldChar w:fldCharType="end"/>
      </w:r>
      <w:r>
        <w:rPr>
          <w:rFonts w:hint="eastAsia" w:ascii="宋体" w:hAnsi="宋体" w:cs="宋体"/>
          <w:b/>
          <w:bCs/>
          <w:color w:val="auto"/>
          <w:w w:val="90"/>
          <w:sz w:val="28"/>
          <w:szCs w:val="28"/>
          <w:highlight w:val="none"/>
        </w:rPr>
        <w:fldChar w:fldCharType="end"/>
      </w:r>
    </w:p>
    <w:p w14:paraId="4A526A69">
      <w:pPr>
        <w:pStyle w:val="28"/>
        <w:tabs>
          <w:tab w:val="right" w:leader="dot" w:pos="9639"/>
          <w:tab w:val="clear" w:pos="9344"/>
        </w:tabs>
        <w:spacing w:line="480" w:lineRule="auto"/>
        <w:rPr>
          <w:b/>
          <w:bCs/>
          <w:color w:val="auto"/>
          <w:sz w:val="28"/>
          <w:szCs w:val="28"/>
          <w:highlight w:val="none"/>
        </w:rPr>
      </w:pPr>
      <w:r>
        <w:rPr>
          <w:rFonts w:hint="eastAsia" w:ascii="宋体" w:hAnsi="宋体" w:cs="宋体"/>
          <w:b/>
          <w:bCs/>
          <w:color w:val="auto"/>
          <w:w w:val="90"/>
          <w:sz w:val="28"/>
          <w:szCs w:val="28"/>
          <w:highlight w:val="none"/>
        </w:rPr>
        <w:fldChar w:fldCharType="begin"/>
      </w:r>
      <w:r>
        <w:rPr>
          <w:rFonts w:hint="eastAsia" w:ascii="宋体" w:hAnsi="宋体" w:cs="宋体"/>
          <w:b/>
          <w:bCs/>
          <w:color w:val="auto"/>
          <w:w w:val="90"/>
          <w:sz w:val="28"/>
          <w:szCs w:val="28"/>
          <w:highlight w:val="none"/>
        </w:rPr>
        <w:instrText xml:space="preserve"> HYPERLINK \l _Toc31448 </w:instrText>
      </w:r>
      <w:r>
        <w:rPr>
          <w:rFonts w:hint="eastAsia" w:ascii="宋体" w:hAnsi="宋体" w:cs="宋体"/>
          <w:b/>
          <w:bCs/>
          <w:color w:val="auto"/>
          <w:w w:val="90"/>
          <w:sz w:val="28"/>
          <w:szCs w:val="28"/>
          <w:highlight w:val="none"/>
        </w:rPr>
        <w:fldChar w:fldCharType="separate"/>
      </w:r>
      <w:r>
        <w:rPr>
          <w:rFonts w:hint="eastAsia" w:ascii="宋体" w:hAnsi="宋体" w:eastAsia="宋体" w:cs="宋体"/>
          <w:b/>
          <w:bCs/>
          <w:color w:val="auto"/>
          <w:sz w:val="28"/>
          <w:szCs w:val="28"/>
          <w:highlight w:val="none"/>
        </w:rPr>
        <w:t>第三章 工程量清单编制及图纸</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_Toc31448 \h </w:instrText>
      </w:r>
      <w:r>
        <w:rPr>
          <w:b/>
          <w:bCs/>
          <w:color w:val="auto"/>
          <w:sz w:val="28"/>
          <w:szCs w:val="28"/>
          <w:highlight w:val="none"/>
        </w:rPr>
        <w:fldChar w:fldCharType="separate"/>
      </w:r>
      <w:r>
        <w:rPr>
          <w:b/>
          <w:bCs/>
          <w:color w:val="auto"/>
          <w:sz w:val="28"/>
          <w:szCs w:val="28"/>
          <w:highlight w:val="none"/>
        </w:rPr>
        <w:t>61</w:t>
      </w:r>
      <w:r>
        <w:rPr>
          <w:b/>
          <w:bCs/>
          <w:color w:val="auto"/>
          <w:sz w:val="28"/>
          <w:szCs w:val="28"/>
          <w:highlight w:val="none"/>
        </w:rPr>
        <w:fldChar w:fldCharType="end"/>
      </w:r>
      <w:r>
        <w:rPr>
          <w:rFonts w:hint="eastAsia" w:ascii="宋体" w:hAnsi="宋体" w:cs="宋体"/>
          <w:b/>
          <w:bCs/>
          <w:color w:val="auto"/>
          <w:w w:val="90"/>
          <w:sz w:val="28"/>
          <w:szCs w:val="28"/>
          <w:highlight w:val="none"/>
        </w:rPr>
        <w:fldChar w:fldCharType="end"/>
      </w:r>
    </w:p>
    <w:p w14:paraId="214F8719">
      <w:pPr>
        <w:pStyle w:val="28"/>
        <w:tabs>
          <w:tab w:val="right" w:leader="dot" w:pos="9639"/>
          <w:tab w:val="clear" w:pos="9344"/>
        </w:tabs>
        <w:spacing w:line="480" w:lineRule="auto"/>
        <w:rPr>
          <w:b/>
          <w:bCs/>
          <w:color w:val="auto"/>
          <w:sz w:val="28"/>
          <w:szCs w:val="28"/>
          <w:highlight w:val="none"/>
        </w:rPr>
      </w:pPr>
      <w:r>
        <w:rPr>
          <w:rFonts w:hint="eastAsia" w:ascii="宋体" w:hAnsi="宋体" w:cs="宋体"/>
          <w:b/>
          <w:bCs/>
          <w:color w:val="auto"/>
          <w:w w:val="90"/>
          <w:sz w:val="28"/>
          <w:szCs w:val="28"/>
          <w:highlight w:val="none"/>
        </w:rPr>
        <w:fldChar w:fldCharType="begin"/>
      </w:r>
      <w:r>
        <w:rPr>
          <w:rFonts w:hint="eastAsia" w:ascii="宋体" w:hAnsi="宋体" w:cs="宋体"/>
          <w:b/>
          <w:bCs/>
          <w:color w:val="auto"/>
          <w:w w:val="90"/>
          <w:sz w:val="28"/>
          <w:szCs w:val="28"/>
          <w:highlight w:val="none"/>
        </w:rPr>
        <w:instrText xml:space="preserve"> HYPERLINK \l _Toc2466 </w:instrText>
      </w:r>
      <w:r>
        <w:rPr>
          <w:rFonts w:hint="eastAsia" w:ascii="宋体" w:hAnsi="宋体" w:cs="宋体"/>
          <w:b/>
          <w:bCs/>
          <w:color w:val="auto"/>
          <w:w w:val="90"/>
          <w:sz w:val="28"/>
          <w:szCs w:val="28"/>
          <w:highlight w:val="none"/>
        </w:rPr>
        <w:fldChar w:fldCharType="separate"/>
      </w:r>
      <w:r>
        <w:rPr>
          <w:rFonts w:hint="eastAsia" w:ascii="宋体" w:hAnsi="宋体" w:eastAsia="宋体" w:cs="宋体"/>
          <w:b/>
          <w:bCs/>
          <w:color w:val="auto"/>
          <w:kern w:val="0"/>
          <w:sz w:val="28"/>
          <w:szCs w:val="28"/>
          <w:highlight w:val="none"/>
        </w:rPr>
        <w:t>第四章 磋商响应文件格式</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_Toc2466 \h </w:instrText>
      </w:r>
      <w:r>
        <w:rPr>
          <w:b/>
          <w:bCs/>
          <w:color w:val="auto"/>
          <w:sz w:val="28"/>
          <w:szCs w:val="28"/>
          <w:highlight w:val="none"/>
        </w:rPr>
        <w:fldChar w:fldCharType="separate"/>
      </w:r>
      <w:r>
        <w:rPr>
          <w:b/>
          <w:bCs/>
          <w:color w:val="auto"/>
          <w:sz w:val="28"/>
          <w:szCs w:val="28"/>
          <w:highlight w:val="none"/>
        </w:rPr>
        <w:t>65</w:t>
      </w:r>
      <w:r>
        <w:rPr>
          <w:b/>
          <w:bCs/>
          <w:color w:val="auto"/>
          <w:sz w:val="28"/>
          <w:szCs w:val="28"/>
          <w:highlight w:val="none"/>
        </w:rPr>
        <w:fldChar w:fldCharType="end"/>
      </w:r>
      <w:r>
        <w:rPr>
          <w:rFonts w:hint="eastAsia" w:ascii="宋体" w:hAnsi="宋体" w:cs="宋体"/>
          <w:b/>
          <w:bCs/>
          <w:color w:val="auto"/>
          <w:w w:val="90"/>
          <w:sz w:val="28"/>
          <w:szCs w:val="28"/>
          <w:highlight w:val="none"/>
        </w:rPr>
        <w:fldChar w:fldCharType="end"/>
      </w:r>
    </w:p>
    <w:p w14:paraId="5D62ED72">
      <w:pPr>
        <w:pStyle w:val="28"/>
        <w:tabs>
          <w:tab w:val="right" w:leader="dot" w:pos="9639"/>
          <w:tab w:val="clear" w:pos="9344"/>
        </w:tabs>
        <w:spacing w:line="480" w:lineRule="auto"/>
        <w:rPr>
          <w:b/>
          <w:bCs/>
          <w:color w:val="auto"/>
          <w:sz w:val="28"/>
          <w:szCs w:val="28"/>
          <w:highlight w:val="none"/>
        </w:rPr>
      </w:pPr>
      <w:r>
        <w:rPr>
          <w:rFonts w:hint="eastAsia" w:ascii="宋体" w:hAnsi="宋体" w:cs="宋体"/>
          <w:b/>
          <w:bCs/>
          <w:color w:val="auto"/>
          <w:w w:val="90"/>
          <w:sz w:val="28"/>
          <w:szCs w:val="28"/>
          <w:highlight w:val="none"/>
        </w:rPr>
        <w:fldChar w:fldCharType="begin"/>
      </w:r>
      <w:r>
        <w:rPr>
          <w:rFonts w:hint="eastAsia" w:ascii="宋体" w:hAnsi="宋体" w:cs="宋体"/>
          <w:b/>
          <w:bCs/>
          <w:color w:val="auto"/>
          <w:w w:val="90"/>
          <w:sz w:val="28"/>
          <w:szCs w:val="28"/>
          <w:highlight w:val="none"/>
        </w:rPr>
        <w:instrText xml:space="preserve"> HYPERLINK \l _Toc16952 </w:instrText>
      </w:r>
      <w:r>
        <w:rPr>
          <w:rFonts w:hint="eastAsia" w:ascii="宋体" w:hAnsi="宋体" w:cs="宋体"/>
          <w:b/>
          <w:bCs/>
          <w:color w:val="auto"/>
          <w:w w:val="90"/>
          <w:sz w:val="28"/>
          <w:szCs w:val="28"/>
          <w:highlight w:val="none"/>
        </w:rPr>
        <w:fldChar w:fldCharType="separate"/>
      </w:r>
      <w:r>
        <w:rPr>
          <w:rFonts w:hint="eastAsia" w:ascii="宋体" w:hAnsi="宋体" w:eastAsia="宋体" w:cs="宋体"/>
          <w:b/>
          <w:bCs/>
          <w:color w:val="auto"/>
          <w:kern w:val="36"/>
          <w:sz w:val="28"/>
          <w:szCs w:val="28"/>
          <w:highlight w:val="none"/>
        </w:rPr>
        <w:t>第五章 磋商原则和定标办法（综合评分法）</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_Toc16952 \h </w:instrText>
      </w:r>
      <w:r>
        <w:rPr>
          <w:b/>
          <w:bCs/>
          <w:color w:val="auto"/>
          <w:sz w:val="28"/>
          <w:szCs w:val="28"/>
          <w:highlight w:val="none"/>
        </w:rPr>
        <w:fldChar w:fldCharType="separate"/>
      </w:r>
      <w:r>
        <w:rPr>
          <w:b/>
          <w:bCs/>
          <w:color w:val="auto"/>
          <w:sz w:val="28"/>
          <w:szCs w:val="28"/>
          <w:highlight w:val="none"/>
        </w:rPr>
        <w:t>96</w:t>
      </w:r>
      <w:r>
        <w:rPr>
          <w:b/>
          <w:bCs/>
          <w:color w:val="auto"/>
          <w:sz w:val="28"/>
          <w:szCs w:val="28"/>
          <w:highlight w:val="none"/>
        </w:rPr>
        <w:fldChar w:fldCharType="end"/>
      </w:r>
      <w:r>
        <w:rPr>
          <w:rFonts w:hint="eastAsia" w:ascii="宋体" w:hAnsi="宋体" w:cs="宋体"/>
          <w:b/>
          <w:bCs/>
          <w:color w:val="auto"/>
          <w:w w:val="90"/>
          <w:sz w:val="28"/>
          <w:szCs w:val="28"/>
          <w:highlight w:val="none"/>
        </w:rPr>
        <w:fldChar w:fldCharType="end"/>
      </w:r>
    </w:p>
    <w:p w14:paraId="00606A35">
      <w:pPr>
        <w:pStyle w:val="28"/>
        <w:snapToGrid w:val="0"/>
        <w:spacing w:line="700" w:lineRule="exact"/>
        <w:jc w:val="center"/>
        <w:rPr>
          <w:rFonts w:ascii="宋体" w:hAnsi="宋体" w:cs="宋体"/>
          <w:b/>
          <w:color w:val="auto"/>
          <w:sz w:val="36"/>
          <w:szCs w:val="36"/>
          <w:highlight w:val="none"/>
        </w:rPr>
        <w:sectPr>
          <w:footerReference r:id="rId4" w:type="first"/>
          <w:footerReference r:id="rId3" w:type="even"/>
          <w:pgSz w:w="11906" w:h="16838"/>
          <w:pgMar w:top="1134" w:right="1134" w:bottom="1134" w:left="1133" w:header="623" w:footer="714" w:gutter="0"/>
          <w:pgNumType w:start="0"/>
          <w:cols w:space="720" w:num="1"/>
          <w:titlePg/>
          <w:docGrid w:type="lines" w:linePitch="331" w:charSpace="0"/>
        </w:sectPr>
      </w:pPr>
      <w:r>
        <w:rPr>
          <w:rFonts w:hint="eastAsia" w:ascii="宋体" w:hAnsi="宋体" w:cs="宋体"/>
          <w:color w:val="auto"/>
          <w:w w:val="90"/>
          <w:sz w:val="24"/>
          <w:szCs w:val="24"/>
          <w:highlight w:val="none"/>
        </w:rPr>
        <w:fldChar w:fldCharType="end"/>
      </w:r>
      <w:bookmarkEnd w:id="43"/>
      <w:bookmarkEnd w:id="44"/>
      <w:bookmarkStart w:id="55" w:name="_Toc11401"/>
      <w:bookmarkStart w:id="56" w:name="_Toc78294026"/>
      <w:bookmarkStart w:id="57" w:name="_Toc85085489"/>
      <w:bookmarkStart w:id="58" w:name="_Toc78294028"/>
    </w:p>
    <w:bookmarkEnd w:id="55"/>
    <w:p w14:paraId="5A66F0FA">
      <w:pPr>
        <w:pStyle w:val="3"/>
        <w:keepNext w:val="0"/>
        <w:keepLines w:val="0"/>
        <w:spacing w:line="500" w:lineRule="exact"/>
        <w:rPr>
          <w:rFonts w:ascii="宋体" w:hAnsi="宋体" w:eastAsia="宋体" w:cs="宋体"/>
          <w:b/>
          <w:color w:val="auto"/>
          <w:kern w:val="2"/>
          <w:position w:val="6"/>
          <w:sz w:val="28"/>
          <w:szCs w:val="28"/>
          <w:highlight w:val="none"/>
        </w:rPr>
      </w:pPr>
      <w:bookmarkStart w:id="59" w:name="_Toc27599"/>
      <w:bookmarkStart w:id="60" w:name="_Toc482785068"/>
      <w:r>
        <w:rPr>
          <w:rFonts w:hint="eastAsia" w:ascii="宋体" w:hAnsi="宋体" w:eastAsia="宋体" w:cs="宋体"/>
          <w:b/>
          <w:bCs/>
          <w:color w:val="auto"/>
          <w:sz w:val="28"/>
          <w:szCs w:val="28"/>
          <w:highlight w:val="none"/>
        </w:rPr>
        <w:t>广西睿翼工程咨询有限公司</w:t>
      </w:r>
      <w:bookmarkEnd w:id="59"/>
    </w:p>
    <w:p w14:paraId="2944E181">
      <w:pPr>
        <w:pStyle w:val="3"/>
        <w:keepNext w:val="0"/>
        <w:keepLines w:val="0"/>
        <w:spacing w:line="500" w:lineRule="exact"/>
        <w:rPr>
          <w:rFonts w:ascii="宋体" w:hAnsi="宋体" w:eastAsia="宋体" w:cs="宋体"/>
          <w:b/>
          <w:color w:val="auto"/>
          <w:kern w:val="2"/>
          <w:position w:val="6"/>
          <w:sz w:val="28"/>
          <w:szCs w:val="28"/>
          <w:highlight w:val="none"/>
        </w:rPr>
      </w:pPr>
      <w:bookmarkStart w:id="61" w:name="_Toc14520"/>
      <w:r>
        <w:rPr>
          <w:rFonts w:hint="eastAsia" w:ascii="宋体" w:hAnsi="宋体" w:eastAsia="宋体" w:cs="宋体"/>
          <w:b/>
          <w:color w:val="auto"/>
          <w:kern w:val="2"/>
          <w:position w:val="6"/>
          <w:sz w:val="28"/>
          <w:szCs w:val="28"/>
          <w:highlight w:val="none"/>
          <w:lang w:eastAsia="zh-CN"/>
        </w:rPr>
        <w:t>贵港市覃塘区东龙镇高龙小学附设园保教楼项目</w:t>
      </w:r>
      <w:r>
        <w:rPr>
          <w:rFonts w:hint="eastAsia" w:ascii="宋体" w:hAnsi="宋体" w:eastAsia="宋体" w:cs="宋体"/>
          <w:b/>
          <w:color w:val="auto"/>
          <w:kern w:val="2"/>
          <w:position w:val="6"/>
          <w:sz w:val="28"/>
          <w:szCs w:val="28"/>
          <w:highlight w:val="none"/>
        </w:rPr>
        <w:t>竞争性磋商公告</w:t>
      </w:r>
      <w:bookmarkEnd w:id="60"/>
      <w:bookmarkEnd w:id="61"/>
    </w:p>
    <w:tbl>
      <w:tblPr>
        <w:tblStyle w:val="42"/>
        <w:tblW w:w="9314"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4"/>
      </w:tblGrid>
      <w:tr w14:paraId="32D0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4" w:type="dxa"/>
          </w:tcPr>
          <w:p w14:paraId="10CDBC53">
            <w:pPr>
              <w:spacing w:line="480" w:lineRule="exact"/>
              <w:rPr>
                <w:rFonts w:ascii="宋体" w:hAnsi="宋体" w:cs="宋体"/>
                <w:color w:val="auto"/>
                <w:szCs w:val="21"/>
                <w:highlight w:val="none"/>
              </w:rPr>
            </w:pPr>
            <w:r>
              <w:rPr>
                <w:rFonts w:hint="eastAsia" w:ascii="宋体" w:hAnsi="宋体" w:cs="宋体"/>
                <w:color w:val="auto"/>
                <w:szCs w:val="21"/>
                <w:highlight w:val="none"/>
              </w:rPr>
              <w:t>项目概况：</w:t>
            </w:r>
          </w:p>
          <w:p w14:paraId="149E9F25">
            <w:pPr>
              <w:spacing w:line="480" w:lineRule="exact"/>
              <w:ind w:firstLine="420" w:firstLineChars="200"/>
              <w:rPr>
                <w:color w:val="auto"/>
                <w:highlight w:val="none"/>
              </w:rPr>
            </w:pPr>
            <w:r>
              <w:rPr>
                <w:rFonts w:hint="eastAsia" w:ascii="宋体" w:hAnsi="宋体" w:cs="宋体"/>
                <w:color w:val="auto"/>
                <w:szCs w:val="21"/>
                <w:highlight w:val="none"/>
                <w:u w:val="single"/>
                <w:lang w:eastAsia="zh-CN"/>
              </w:rPr>
              <w:t>贵港市覃塘区东龙镇高龙小学附设园保教楼项目</w:t>
            </w:r>
            <w:r>
              <w:rPr>
                <w:rFonts w:hint="eastAsia" w:ascii="宋体" w:hAnsi="宋体" w:cs="宋体"/>
                <w:color w:val="auto"/>
                <w:szCs w:val="21"/>
                <w:highlight w:val="none"/>
              </w:rPr>
              <w:t>的潜在供应商应在</w:t>
            </w:r>
            <w:r>
              <w:rPr>
                <w:rFonts w:hint="eastAsia" w:ascii="宋体" w:hAnsi="宋体" w:cs="宋体"/>
                <w:color w:val="auto"/>
                <w:szCs w:val="21"/>
                <w:highlight w:val="none"/>
                <w:u w:val="single"/>
                <w:lang w:eastAsia="zh-CN"/>
              </w:rPr>
              <w:t>广西政府采购云平台</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https://www.gcy.zfcg.gxzf.gov.cn/</w:t>
            </w:r>
            <w:r>
              <w:rPr>
                <w:rFonts w:hint="eastAsia" w:ascii="宋体" w:hAnsi="宋体" w:cs="宋体"/>
                <w:color w:val="auto"/>
                <w:szCs w:val="21"/>
                <w:highlight w:val="none"/>
                <w:u w:val="single"/>
              </w:rPr>
              <w:t>）</w:t>
            </w:r>
            <w:r>
              <w:rPr>
                <w:rFonts w:hint="eastAsia" w:ascii="宋体" w:hAnsi="宋体" w:cs="宋体"/>
                <w:color w:val="auto"/>
                <w:szCs w:val="21"/>
                <w:highlight w:val="none"/>
              </w:rPr>
              <w:t>注册并登录获取竞争性磋商文件，并于</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08</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04</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lang w:eastAsia="zh-CN"/>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lang w:eastAsia="zh-CN"/>
              </w:rPr>
              <w:t>分</w:t>
            </w:r>
            <w:r>
              <w:rPr>
                <w:rFonts w:hint="eastAsia" w:ascii="宋体" w:hAnsi="宋体" w:cs="宋体"/>
                <w:color w:val="auto"/>
                <w:szCs w:val="21"/>
                <w:highlight w:val="none"/>
              </w:rPr>
              <w:t>（北京时间）前提交响应文件。</w:t>
            </w:r>
          </w:p>
        </w:tc>
      </w:tr>
    </w:tbl>
    <w:p w14:paraId="60E62C81">
      <w:pPr>
        <w:pStyle w:val="4"/>
        <w:spacing w:line="480" w:lineRule="exact"/>
        <w:rPr>
          <w:rFonts w:ascii="宋体" w:hAnsi="宋体" w:eastAsia="宋体" w:cs="宋体"/>
          <w:color w:val="auto"/>
          <w:sz w:val="21"/>
          <w:szCs w:val="21"/>
          <w:highlight w:val="none"/>
        </w:rPr>
      </w:pPr>
      <w:bookmarkStart w:id="62" w:name="_Toc47088263"/>
      <w:bookmarkStart w:id="63" w:name="_Toc47088119"/>
      <w:bookmarkStart w:id="64" w:name="_Toc35393798"/>
      <w:bookmarkStart w:id="65" w:name="_Toc28359012"/>
      <w:bookmarkStart w:id="66" w:name="_Toc47087973"/>
      <w:bookmarkStart w:id="67" w:name="_Toc331"/>
      <w:bookmarkStart w:id="68" w:name="_Toc35393629"/>
      <w:bookmarkStart w:id="69" w:name="_Toc28359089"/>
      <w:bookmarkStart w:id="70" w:name="_Toc75182664"/>
      <w:r>
        <w:rPr>
          <w:rFonts w:hint="eastAsia" w:ascii="宋体" w:hAnsi="宋体" w:eastAsia="宋体" w:cs="宋体"/>
          <w:color w:val="auto"/>
          <w:sz w:val="21"/>
          <w:szCs w:val="21"/>
          <w:highlight w:val="none"/>
        </w:rPr>
        <w:t>一、项目基本情况</w:t>
      </w:r>
      <w:bookmarkEnd w:id="62"/>
      <w:bookmarkEnd w:id="63"/>
      <w:bookmarkEnd w:id="64"/>
      <w:bookmarkEnd w:id="65"/>
      <w:bookmarkEnd w:id="66"/>
      <w:bookmarkEnd w:id="67"/>
      <w:bookmarkEnd w:id="68"/>
      <w:bookmarkEnd w:id="69"/>
      <w:bookmarkEnd w:id="70"/>
    </w:p>
    <w:p w14:paraId="25050617">
      <w:pPr>
        <w:spacing w:line="48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项目编号：GGZC2025-C2-040100-GXRY</w:t>
      </w:r>
    </w:p>
    <w:p w14:paraId="73FE0CEC">
      <w:pPr>
        <w:spacing w:line="480" w:lineRule="exact"/>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val="en-US" w:eastAsia="zh-CN"/>
        </w:rPr>
        <w:t>贵港市覃塘区东龙镇高龙小学附设园保教楼项目；</w:t>
      </w:r>
    </w:p>
    <w:p w14:paraId="341E5439">
      <w:pPr>
        <w:spacing w:line="48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采购方式：竞争性磋商</w:t>
      </w:r>
      <w:r>
        <w:rPr>
          <w:rFonts w:hint="eastAsia" w:ascii="宋体" w:hAnsi="宋体" w:cs="宋体"/>
          <w:color w:val="auto"/>
          <w:szCs w:val="21"/>
          <w:highlight w:val="none"/>
          <w:lang w:eastAsia="zh-CN"/>
        </w:rPr>
        <w:t>；</w:t>
      </w:r>
    </w:p>
    <w:p w14:paraId="1170AE7A">
      <w:pPr>
        <w:spacing w:line="48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预算金额：2977692.64元</w:t>
      </w:r>
      <w:r>
        <w:rPr>
          <w:rFonts w:hint="eastAsia" w:ascii="宋体" w:hAnsi="宋体" w:cs="宋体"/>
          <w:color w:val="auto"/>
          <w:szCs w:val="21"/>
          <w:highlight w:val="none"/>
          <w:lang w:eastAsia="zh-CN"/>
        </w:rPr>
        <w:t>；</w:t>
      </w:r>
    </w:p>
    <w:p w14:paraId="10CDE5A2">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w:t>
      </w:r>
      <w:r>
        <w:rPr>
          <w:rFonts w:hint="eastAsia" w:ascii="宋体" w:hAnsi="宋体" w:cs="宋体"/>
          <w:color w:val="auto"/>
          <w:szCs w:val="21"/>
          <w:highlight w:val="none"/>
          <w:lang w:val="en-US" w:eastAsia="zh-CN"/>
        </w:rPr>
        <w:t>2977596.84元；</w:t>
      </w:r>
    </w:p>
    <w:p w14:paraId="38CE016A">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bookmarkStart w:id="71" w:name="_Toc47088120"/>
      <w:bookmarkStart w:id="72" w:name="_Toc28359090"/>
      <w:bookmarkStart w:id="73" w:name="_Toc35393799"/>
      <w:bookmarkStart w:id="74" w:name="_Toc75182665"/>
      <w:bookmarkStart w:id="75" w:name="_Toc35393630"/>
      <w:bookmarkStart w:id="76" w:name="_Toc47087974"/>
      <w:bookmarkStart w:id="77" w:name="_Toc47088264"/>
      <w:bookmarkStart w:id="78" w:name="_Toc28359013"/>
      <w:r>
        <w:rPr>
          <w:rFonts w:hint="eastAsia" w:ascii="宋体" w:hAnsi="宋体" w:cs="宋体"/>
          <w:color w:val="auto"/>
          <w:szCs w:val="21"/>
          <w:highlight w:val="none"/>
        </w:rPr>
        <w:t>本工程为贵港市覃塘区东龙镇高龙小学附设园保教楼项目，框架结构，总建筑面积为1201.08㎡。内容包括：建筑装饰、安装及防雷工程，室外总平给排水工程等</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具体施工内容详见图纸及工程量清单。</w:t>
      </w:r>
    </w:p>
    <w:p w14:paraId="59DE5292">
      <w:pPr>
        <w:spacing w:line="4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合同履行期限：</w:t>
      </w:r>
      <w:r>
        <w:rPr>
          <w:rFonts w:hint="eastAsia" w:ascii="宋体" w:hAnsi="宋体" w:cs="宋体"/>
          <w:color w:val="auto"/>
          <w:szCs w:val="21"/>
          <w:highlight w:val="none"/>
          <w:lang w:eastAsia="zh-CN"/>
        </w:rPr>
        <w:t>工期 194日历天</w:t>
      </w:r>
      <w:r>
        <w:rPr>
          <w:rFonts w:hint="eastAsia" w:ascii="宋体" w:hAnsi="宋体" w:cs="宋体"/>
          <w:color w:val="auto"/>
          <w:szCs w:val="21"/>
          <w:highlight w:val="none"/>
        </w:rPr>
        <w:t>；</w:t>
      </w:r>
    </w:p>
    <w:p w14:paraId="027F61D4">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本项目（否）接受联合体投标。</w:t>
      </w:r>
    </w:p>
    <w:p w14:paraId="61BF5D57">
      <w:pPr>
        <w:pStyle w:val="4"/>
        <w:spacing w:line="480" w:lineRule="exact"/>
        <w:rPr>
          <w:rFonts w:ascii="宋体" w:hAnsi="宋体" w:eastAsia="宋体" w:cs="宋体"/>
          <w:color w:val="auto"/>
          <w:sz w:val="21"/>
          <w:szCs w:val="21"/>
          <w:highlight w:val="none"/>
        </w:rPr>
      </w:pPr>
      <w:bookmarkStart w:id="79" w:name="_Toc6007"/>
      <w:r>
        <w:rPr>
          <w:rFonts w:hint="eastAsia" w:ascii="宋体" w:hAnsi="宋体" w:eastAsia="宋体" w:cs="宋体"/>
          <w:color w:val="auto"/>
          <w:sz w:val="21"/>
          <w:szCs w:val="21"/>
          <w:highlight w:val="none"/>
        </w:rPr>
        <w:t>二、申请人的资格要求：</w:t>
      </w:r>
      <w:bookmarkEnd w:id="71"/>
      <w:bookmarkEnd w:id="72"/>
      <w:bookmarkEnd w:id="73"/>
      <w:bookmarkEnd w:id="74"/>
      <w:bookmarkEnd w:id="75"/>
      <w:bookmarkEnd w:id="76"/>
      <w:bookmarkEnd w:id="77"/>
      <w:bookmarkEnd w:id="78"/>
      <w:bookmarkEnd w:id="79"/>
    </w:p>
    <w:p w14:paraId="6B1E634D">
      <w:pPr>
        <w:autoSpaceDE w:val="0"/>
        <w:spacing w:line="440" w:lineRule="exact"/>
        <w:ind w:firstLine="420" w:firstLineChars="200"/>
        <w:rPr>
          <w:rFonts w:ascii="宋体" w:hAnsi="宋体"/>
          <w:color w:val="auto"/>
          <w:highlight w:val="none"/>
        </w:rPr>
      </w:pPr>
      <w:bookmarkStart w:id="80" w:name="_Toc35393631"/>
      <w:bookmarkStart w:id="81" w:name="_Toc35393800"/>
      <w:bookmarkStart w:id="82" w:name="_Toc47088121"/>
      <w:bookmarkStart w:id="83" w:name="_Toc28359091"/>
      <w:bookmarkStart w:id="84" w:name="_Toc47088265"/>
      <w:bookmarkStart w:id="85" w:name="_Toc47087975"/>
      <w:bookmarkStart w:id="86" w:name="_Toc28359014"/>
      <w:r>
        <w:rPr>
          <w:rFonts w:hint="eastAsia" w:ascii="宋体" w:hAnsi="宋体"/>
          <w:color w:val="auto"/>
          <w:highlight w:val="none"/>
        </w:rPr>
        <w:t>1.满足《中华人民共和国政府采购法》第二十二条规定；</w:t>
      </w:r>
    </w:p>
    <w:p w14:paraId="446BBF23">
      <w:pPr>
        <w:autoSpaceDE w:val="0"/>
        <w:spacing w:line="440" w:lineRule="exact"/>
        <w:ind w:firstLine="420" w:firstLineChars="200"/>
        <w:rPr>
          <w:rFonts w:ascii="宋体" w:hAnsi="宋体" w:cs="宋体"/>
          <w:color w:val="auto"/>
          <w:sz w:val="24"/>
          <w:szCs w:val="24"/>
          <w:highlight w:val="none"/>
          <w:u w:val="single"/>
        </w:rPr>
      </w:pPr>
      <w:r>
        <w:rPr>
          <w:rFonts w:hint="eastAsia" w:ascii="宋体" w:hAnsi="宋体"/>
          <w:color w:val="auto"/>
          <w:highlight w:val="none"/>
        </w:rPr>
        <w:t>2.落实政府采购政策需满足的资格要求：</w:t>
      </w:r>
      <w:r>
        <w:rPr>
          <w:rFonts w:hint="eastAsia" w:ascii="宋体" w:hAnsi="宋体" w:cs="宋体"/>
          <w:color w:val="auto"/>
          <w:szCs w:val="21"/>
          <w:highlight w:val="none"/>
          <w:u w:val="single"/>
          <w:lang w:eastAsia="zh-CN" w:bidi="ar"/>
        </w:rPr>
        <w:t>本项目专门面向中小企业采购；供应商应为中小微型企业或监狱企业或残疾人福利性单位</w:t>
      </w:r>
      <w:r>
        <w:rPr>
          <w:rFonts w:hint="eastAsia" w:ascii="宋体" w:hAnsi="宋体" w:cs="宋体"/>
          <w:color w:val="auto"/>
          <w:szCs w:val="21"/>
          <w:highlight w:val="none"/>
        </w:rPr>
        <w:t>；</w:t>
      </w:r>
    </w:p>
    <w:p w14:paraId="0EEAA543">
      <w:pPr>
        <w:autoSpaceDE w:val="0"/>
        <w:spacing w:line="440" w:lineRule="exact"/>
        <w:ind w:firstLine="420" w:firstLineChars="200"/>
        <w:rPr>
          <w:rFonts w:ascii="宋体" w:hAnsi="宋体"/>
          <w:color w:val="auto"/>
          <w:highlight w:val="none"/>
        </w:rPr>
      </w:pPr>
      <w:r>
        <w:rPr>
          <w:rFonts w:hint="eastAsia" w:ascii="宋体" w:hAnsi="宋体"/>
          <w:color w:val="auto"/>
          <w:highlight w:val="none"/>
        </w:rPr>
        <w:t>3.本项目的特定资格要求：（1）具有独立法人资格，具备</w:t>
      </w:r>
      <w:r>
        <w:rPr>
          <w:rFonts w:hint="eastAsia" w:ascii="宋体" w:hAnsi="宋体"/>
          <w:color w:val="auto"/>
          <w:highlight w:val="none"/>
          <w:lang w:eastAsia="zh-CN"/>
        </w:rPr>
        <w:t>建筑工程施工总承包</w:t>
      </w:r>
      <w:r>
        <w:rPr>
          <w:rFonts w:hint="eastAsia" w:ascii="宋体" w:hAnsi="宋体"/>
          <w:color w:val="auto"/>
          <w:highlight w:val="none"/>
        </w:rPr>
        <w:t>叁级以上（含叁级）资质，并在人员、设备、资金等方面具有相应的施工能力。（2）项目经理：具备</w:t>
      </w:r>
      <w:r>
        <w:rPr>
          <w:rFonts w:hint="eastAsia" w:ascii="宋体" w:hAnsi="宋体"/>
          <w:color w:val="auto"/>
          <w:highlight w:val="none"/>
          <w:lang w:val="en-US" w:eastAsia="zh-CN"/>
        </w:rPr>
        <w:t>建筑工程</w:t>
      </w:r>
      <w:r>
        <w:rPr>
          <w:rFonts w:hint="eastAsia" w:ascii="宋体" w:hAnsi="宋体"/>
          <w:color w:val="auto"/>
          <w:highlight w:val="none"/>
        </w:rPr>
        <w:t>专业二级以上（含二级）注册建造师执业资格，具备有效的安全生产考核合格证书（B类）；</w:t>
      </w:r>
      <w:r>
        <w:rPr>
          <w:rFonts w:hint="eastAsia" w:ascii="宋体" w:hAnsi="宋体" w:cs="宋体"/>
          <w:color w:val="auto"/>
          <w:szCs w:val="21"/>
          <w:highlight w:val="none"/>
        </w:rPr>
        <w:t>本项目不接受有在建、已中标未开工或已列为其他项目中标候选人第一名的建造师作为项目经理；</w:t>
      </w:r>
    </w:p>
    <w:p w14:paraId="089B2C03">
      <w:pPr>
        <w:autoSpaceDE w:val="0"/>
        <w:spacing w:line="440" w:lineRule="exact"/>
        <w:ind w:firstLine="420" w:firstLineChars="200"/>
        <w:rPr>
          <w:rFonts w:hint="eastAsia" w:ascii="宋体" w:hAnsi="宋体" w:cs="宋体"/>
          <w:color w:val="auto"/>
          <w:szCs w:val="21"/>
          <w:highlight w:val="none"/>
        </w:rPr>
      </w:pPr>
      <w:r>
        <w:rPr>
          <w:rFonts w:hint="eastAsia" w:ascii="宋体" w:hAnsi="宋体"/>
          <w:color w:val="auto"/>
          <w:highlight w:val="none"/>
        </w:rPr>
        <w:t>4、</w:t>
      </w:r>
      <w:r>
        <w:rPr>
          <w:rFonts w:hint="eastAsia" w:ascii="宋体" w:hAnsi="宋体" w:cs="宋体"/>
          <w:color w:val="auto"/>
          <w:szCs w:val="21"/>
          <w:highlight w:val="none"/>
        </w:rPr>
        <w:t>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w:t>
      </w:r>
    </w:p>
    <w:p w14:paraId="58FE0DD6">
      <w:pPr>
        <w:autoSpaceDE w:val="0"/>
        <w:spacing w:line="440" w:lineRule="exact"/>
        <w:ind w:firstLine="420" w:firstLineChars="200"/>
        <w:rPr>
          <w:rFonts w:ascii="宋体" w:hAnsi="宋体"/>
          <w:color w:val="auto"/>
          <w:highlight w:val="none"/>
        </w:rPr>
      </w:pPr>
      <w:r>
        <w:rPr>
          <w:rFonts w:hint="eastAsia" w:ascii="宋体" w:hAnsi="宋体"/>
          <w:color w:val="auto"/>
          <w:highlight w:val="none"/>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81F1714">
      <w:pPr>
        <w:autoSpaceDE w:val="0"/>
        <w:spacing w:line="440" w:lineRule="exact"/>
        <w:ind w:firstLine="420" w:firstLineChars="200"/>
        <w:rPr>
          <w:rFonts w:ascii="宋体" w:hAnsi="宋体"/>
          <w:color w:val="auto"/>
          <w:highlight w:val="none"/>
        </w:rPr>
      </w:pPr>
      <w:r>
        <w:rPr>
          <w:rFonts w:hint="eastAsia" w:ascii="宋体" w:hAnsi="宋体"/>
          <w:color w:val="auto"/>
          <w:highlight w:val="none"/>
        </w:rPr>
        <w:t>6、本项目不接受未按竞争性磋商公告要求获取竞争性磋商文件的供应商</w:t>
      </w:r>
      <w:r>
        <w:rPr>
          <w:rFonts w:hint="eastAsia" w:ascii="宋体" w:hAnsi="宋体" w:cs="宋体"/>
          <w:color w:val="auto"/>
          <w:szCs w:val="21"/>
          <w:highlight w:val="none"/>
        </w:rPr>
        <w:t>磋商</w:t>
      </w:r>
      <w:r>
        <w:rPr>
          <w:rFonts w:hint="eastAsia" w:ascii="宋体" w:hAnsi="宋体"/>
          <w:color w:val="auto"/>
          <w:highlight w:val="none"/>
        </w:rPr>
        <w:t>。</w:t>
      </w:r>
    </w:p>
    <w:p w14:paraId="7C74DC6C">
      <w:pPr>
        <w:pStyle w:val="4"/>
        <w:spacing w:line="480" w:lineRule="exact"/>
        <w:rPr>
          <w:rFonts w:ascii="宋体" w:hAnsi="宋体" w:eastAsia="宋体" w:cs="宋体"/>
          <w:color w:val="auto"/>
          <w:sz w:val="21"/>
          <w:szCs w:val="21"/>
          <w:highlight w:val="none"/>
        </w:rPr>
      </w:pPr>
      <w:bookmarkStart w:id="87" w:name="_Toc13493"/>
      <w:bookmarkStart w:id="88" w:name="_Toc75182666"/>
      <w:r>
        <w:rPr>
          <w:rFonts w:hint="eastAsia" w:ascii="宋体" w:hAnsi="宋体" w:eastAsia="宋体" w:cs="宋体"/>
          <w:color w:val="auto"/>
          <w:sz w:val="21"/>
          <w:szCs w:val="21"/>
          <w:highlight w:val="none"/>
        </w:rPr>
        <w:t>三、获取采购文件</w:t>
      </w:r>
      <w:bookmarkEnd w:id="80"/>
      <w:bookmarkEnd w:id="81"/>
      <w:bookmarkEnd w:id="82"/>
      <w:bookmarkEnd w:id="83"/>
      <w:bookmarkEnd w:id="84"/>
      <w:bookmarkEnd w:id="85"/>
      <w:bookmarkEnd w:id="86"/>
      <w:bookmarkEnd w:id="87"/>
      <w:bookmarkEnd w:id="88"/>
    </w:p>
    <w:p w14:paraId="68554EBB">
      <w:pPr>
        <w:spacing w:line="480" w:lineRule="exact"/>
        <w:ind w:firstLine="539"/>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本项目竞争性磋商公告发布之日起</w:t>
      </w:r>
      <w:r>
        <w:rPr>
          <w:rFonts w:hint="eastAsia" w:ascii="宋体" w:hAnsi="宋体" w:cs="宋体"/>
          <w:color w:val="auto"/>
          <w:szCs w:val="21"/>
          <w:highlight w:val="none"/>
        </w:rPr>
        <w:t>至响应文件递交的截止时间前。</w:t>
      </w:r>
    </w:p>
    <w:p w14:paraId="7081DF84">
      <w:pPr>
        <w:spacing w:line="480" w:lineRule="exact"/>
        <w:ind w:firstLine="539"/>
        <w:rPr>
          <w:rFonts w:hint="eastAsia" w:ascii="宋体" w:hAnsi="宋体"/>
          <w:color w:val="auto"/>
          <w:highlight w:val="none"/>
        </w:rPr>
      </w:pPr>
      <w:bookmarkStart w:id="89" w:name="_Toc47088122"/>
      <w:bookmarkStart w:id="90" w:name="_Toc35393632"/>
      <w:bookmarkStart w:id="91" w:name="_Toc47087976"/>
      <w:bookmarkStart w:id="92" w:name="_Toc28359015"/>
      <w:bookmarkStart w:id="93" w:name="_Toc28359092"/>
      <w:bookmarkStart w:id="94" w:name="_Toc47088266"/>
      <w:bookmarkStart w:id="95" w:name="_Toc35393801"/>
      <w:bookmarkStart w:id="96" w:name="_Toc75182667"/>
      <w:r>
        <w:rPr>
          <w:rFonts w:hint="eastAsia" w:ascii="宋体" w:hAnsi="宋体" w:cs="宋体"/>
          <w:color w:val="auto"/>
          <w:szCs w:val="21"/>
          <w:highlight w:val="none"/>
        </w:rPr>
        <w:t>地点：</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w:t>
      </w:r>
      <w:r>
        <w:rPr>
          <w:rFonts w:hint="eastAsia" w:ascii="宋体" w:hAnsi="宋体" w:cs="宋体"/>
          <w:color w:val="auto"/>
          <w:szCs w:val="21"/>
          <w:highlight w:val="none"/>
          <w:lang w:eastAsia="zh-CN"/>
        </w:rPr>
        <w:t>https://www.gcy.zfcg.gxzf.gov.cn/</w:t>
      </w:r>
      <w:r>
        <w:rPr>
          <w:rFonts w:hint="eastAsia" w:ascii="宋体" w:hAnsi="宋体" w:cs="宋体"/>
          <w:color w:val="auto"/>
          <w:szCs w:val="21"/>
          <w:highlight w:val="none"/>
        </w:rPr>
        <w:t>）</w:t>
      </w:r>
      <w:r>
        <w:rPr>
          <w:rFonts w:hint="eastAsia" w:ascii="宋体" w:hAnsi="宋体"/>
          <w:color w:val="auto"/>
          <w:highlight w:val="none"/>
        </w:rPr>
        <w:t>；</w:t>
      </w:r>
    </w:p>
    <w:p w14:paraId="6120884D">
      <w:pPr>
        <w:spacing w:line="480" w:lineRule="exact"/>
        <w:ind w:firstLine="539"/>
        <w:rPr>
          <w:rFonts w:hint="eastAsia" w:ascii="宋体" w:hAnsi="宋体"/>
          <w:color w:val="auto"/>
          <w:highlight w:val="none"/>
        </w:rPr>
      </w:pPr>
      <w:r>
        <w:rPr>
          <w:rFonts w:hint="eastAsia" w:ascii="宋体" w:hAnsi="宋体"/>
          <w:color w:val="auto"/>
          <w:highlight w:val="none"/>
        </w:rPr>
        <w:t>方式：</w:t>
      </w:r>
      <w:r>
        <w:rPr>
          <w:rFonts w:hint="eastAsia" w:ascii="宋体" w:hAnsi="宋体"/>
          <w:color w:val="auto"/>
          <w:highlight w:val="none"/>
          <w:lang w:eastAsia="zh-CN"/>
        </w:rPr>
        <w:t>在广西政府采购云平台</w:t>
      </w:r>
      <w:r>
        <w:rPr>
          <w:rFonts w:hint="eastAsia" w:ascii="宋体" w:hAnsi="宋体"/>
          <w:color w:val="auto"/>
          <w:highlight w:val="none"/>
        </w:rPr>
        <w:t>下载竞争性磋商文件。电子响应文件制作需要基于“</w:t>
      </w:r>
      <w:r>
        <w:rPr>
          <w:rFonts w:hint="eastAsia" w:ascii="宋体" w:hAnsi="宋体"/>
          <w:color w:val="auto"/>
          <w:highlight w:val="none"/>
          <w:lang w:eastAsia="zh-CN"/>
        </w:rPr>
        <w:t>广西政府采购云平台</w:t>
      </w:r>
      <w:r>
        <w:rPr>
          <w:rFonts w:hint="eastAsia" w:ascii="宋体" w:hAnsi="宋体"/>
          <w:color w:val="auto"/>
          <w:highlight w:val="none"/>
        </w:rPr>
        <w:t>模块获取的采购文件制作，供应商需根据本项目编号进一步前往</w:t>
      </w:r>
      <w:r>
        <w:rPr>
          <w:rFonts w:hint="eastAsia" w:ascii="宋体" w:hAnsi="宋体"/>
          <w:color w:val="auto"/>
          <w:highlight w:val="none"/>
          <w:lang w:eastAsia="zh-CN"/>
        </w:rPr>
        <w:t>广西政府采购云平台</w:t>
      </w:r>
      <w:r>
        <w:rPr>
          <w:rFonts w:hint="eastAsia" w:ascii="宋体" w:hAnsi="宋体"/>
          <w:color w:val="auto"/>
          <w:highlight w:val="none"/>
        </w:rPr>
        <w:t>“获取采购文件”模块</w:t>
      </w:r>
      <w:r>
        <w:rPr>
          <w:rFonts w:hint="eastAsia" w:ascii="宋体" w:hAnsi="宋体"/>
          <w:color w:val="auto"/>
          <w:highlight w:val="none"/>
        </w:rPr>
        <w:fldChar w:fldCharType="begin"/>
      </w:r>
      <w:r>
        <w:rPr>
          <w:rFonts w:hint="eastAsia" w:ascii="宋体" w:hAnsi="宋体"/>
          <w:color w:val="auto"/>
          <w:highlight w:val="none"/>
        </w:rPr>
        <w:instrText xml:space="preserve"> HYPERLINK "https://www.zcygov.cn/bidding-entrust/#/acquirepurfile/list）下载采购文件。" </w:instrText>
      </w:r>
      <w:r>
        <w:rPr>
          <w:rFonts w:hint="eastAsia" w:ascii="宋体" w:hAnsi="宋体"/>
          <w:color w:val="auto"/>
          <w:highlight w:val="none"/>
        </w:rPr>
        <w:fldChar w:fldCharType="separate"/>
      </w:r>
      <w:r>
        <w:rPr>
          <w:rFonts w:hint="eastAsia" w:ascii="宋体" w:hAnsi="宋体"/>
          <w:color w:val="auto"/>
          <w:highlight w:val="none"/>
        </w:rPr>
        <w:t>下载采购文件。</w:t>
      </w:r>
      <w:r>
        <w:rPr>
          <w:rFonts w:hint="eastAsia" w:ascii="宋体" w:hAnsi="宋体"/>
          <w:color w:val="auto"/>
          <w:highlight w:val="none"/>
        </w:rPr>
        <w:fldChar w:fldCharType="end"/>
      </w:r>
    </w:p>
    <w:p w14:paraId="59D85B1E">
      <w:pPr>
        <w:spacing w:line="480" w:lineRule="exact"/>
        <w:ind w:firstLine="539"/>
        <w:rPr>
          <w:rFonts w:hint="eastAsia" w:ascii="宋体" w:hAnsi="宋体" w:cs="宋体"/>
          <w:color w:val="auto"/>
          <w:szCs w:val="21"/>
          <w:highlight w:val="none"/>
        </w:rPr>
      </w:pPr>
      <w:r>
        <w:rPr>
          <w:rFonts w:hint="eastAsia" w:ascii="宋体" w:hAnsi="宋体" w:cs="宋体"/>
          <w:color w:val="auto"/>
          <w:szCs w:val="21"/>
          <w:highlight w:val="none"/>
        </w:rPr>
        <w:t>售价：竞争性磋商文件及工程量清单、图纸等材料不收取费用。</w:t>
      </w:r>
    </w:p>
    <w:p w14:paraId="322CEDB2">
      <w:pPr>
        <w:pStyle w:val="4"/>
        <w:spacing w:line="480" w:lineRule="exact"/>
        <w:rPr>
          <w:rFonts w:ascii="宋体" w:hAnsi="宋体" w:eastAsia="宋体" w:cs="宋体"/>
          <w:color w:val="auto"/>
          <w:sz w:val="21"/>
          <w:szCs w:val="21"/>
          <w:highlight w:val="none"/>
        </w:rPr>
      </w:pPr>
      <w:bookmarkStart w:id="97" w:name="_Toc28522"/>
      <w:r>
        <w:rPr>
          <w:rFonts w:hint="eastAsia" w:ascii="宋体" w:hAnsi="宋体" w:eastAsia="宋体" w:cs="宋体"/>
          <w:color w:val="auto"/>
          <w:sz w:val="21"/>
          <w:szCs w:val="21"/>
          <w:highlight w:val="none"/>
        </w:rPr>
        <w:t>四、响应文件提交</w:t>
      </w:r>
      <w:bookmarkEnd w:id="89"/>
      <w:bookmarkEnd w:id="90"/>
      <w:bookmarkEnd w:id="91"/>
      <w:bookmarkEnd w:id="92"/>
      <w:bookmarkEnd w:id="93"/>
      <w:bookmarkEnd w:id="94"/>
      <w:bookmarkEnd w:id="95"/>
      <w:bookmarkEnd w:id="96"/>
      <w:bookmarkEnd w:id="97"/>
    </w:p>
    <w:p w14:paraId="6CFFE68A">
      <w:pPr>
        <w:spacing w:line="480" w:lineRule="exact"/>
        <w:ind w:firstLine="539"/>
        <w:rPr>
          <w:rFonts w:ascii="宋体" w:hAnsi="宋体" w:cs="宋体"/>
          <w:color w:val="auto"/>
          <w:szCs w:val="21"/>
          <w:highlight w:val="none"/>
        </w:rPr>
      </w:pPr>
      <w:r>
        <w:rPr>
          <w:rFonts w:hint="eastAsia" w:ascii="宋体" w:hAnsi="宋体" w:cs="宋体"/>
          <w:bCs/>
          <w:color w:val="auto"/>
          <w:szCs w:val="21"/>
          <w:highlight w:val="none"/>
        </w:rPr>
        <w:t>截止时间：</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08</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04</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lang w:eastAsia="zh-CN"/>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lang w:eastAsia="zh-CN"/>
        </w:rPr>
        <w:t>分</w:t>
      </w:r>
      <w:r>
        <w:rPr>
          <w:rFonts w:hint="eastAsia" w:ascii="宋体" w:hAnsi="宋体" w:cs="宋体"/>
          <w:bCs/>
          <w:color w:val="auto"/>
          <w:szCs w:val="21"/>
          <w:highlight w:val="none"/>
        </w:rPr>
        <w:t>（北京时间）</w:t>
      </w:r>
      <w:r>
        <w:rPr>
          <w:rFonts w:hint="eastAsia" w:ascii="宋体" w:hAnsi="宋体" w:cs="宋体"/>
          <w:color w:val="auto"/>
          <w:szCs w:val="21"/>
          <w:highlight w:val="none"/>
        </w:rPr>
        <w:t>。</w:t>
      </w:r>
    </w:p>
    <w:p w14:paraId="05C8AE0F">
      <w:pPr>
        <w:spacing w:line="480" w:lineRule="exact"/>
        <w:ind w:firstLine="539"/>
        <w:rPr>
          <w:rFonts w:ascii="宋体" w:hAnsi="宋体" w:cs="宋体"/>
          <w:b/>
          <w:bCs/>
          <w:color w:val="auto"/>
          <w:szCs w:val="21"/>
          <w:highlight w:val="none"/>
        </w:rPr>
      </w:pPr>
      <w:r>
        <w:rPr>
          <w:rFonts w:hint="eastAsia" w:ascii="宋体" w:hAnsi="宋体" w:cs="宋体"/>
          <w:color w:val="auto"/>
          <w:szCs w:val="21"/>
          <w:highlight w:val="none"/>
        </w:rPr>
        <w:t>地点：</w:t>
      </w:r>
      <w:r>
        <w:rPr>
          <w:rFonts w:hint="eastAsia" w:ascii="宋体" w:hAnsi="宋体" w:cs="宋体"/>
          <w:b/>
          <w:bCs/>
          <w:color w:val="auto"/>
          <w:szCs w:val="21"/>
          <w:highlight w:val="none"/>
        </w:rPr>
        <w:t>本项目为全流程电子化项目，申请人需要提交电子响应文件，电子响应文件必须用数字证书CA锁加密后在响应文件提交截止时间前，通过网络上传至“政采云”平台。</w:t>
      </w:r>
    </w:p>
    <w:p w14:paraId="3F6CF590">
      <w:pPr>
        <w:pStyle w:val="4"/>
        <w:spacing w:line="480" w:lineRule="exact"/>
        <w:rPr>
          <w:rFonts w:ascii="宋体" w:hAnsi="宋体" w:eastAsia="宋体" w:cs="宋体"/>
          <w:color w:val="auto"/>
          <w:sz w:val="21"/>
          <w:szCs w:val="21"/>
          <w:highlight w:val="none"/>
        </w:rPr>
      </w:pPr>
      <w:bookmarkStart w:id="98" w:name="_Toc47088267"/>
      <w:bookmarkStart w:id="99" w:name="_Toc28359093"/>
      <w:bookmarkStart w:id="100" w:name="_Toc28359016"/>
      <w:bookmarkStart w:id="101" w:name="_Toc75182668"/>
      <w:bookmarkStart w:id="102" w:name="_Toc35393802"/>
      <w:bookmarkStart w:id="103" w:name="_Toc47087977"/>
      <w:bookmarkStart w:id="104" w:name="_Toc35393633"/>
      <w:bookmarkStart w:id="105" w:name="_Toc47088123"/>
      <w:bookmarkStart w:id="106" w:name="_Toc13039"/>
      <w:r>
        <w:rPr>
          <w:rFonts w:hint="eastAsia" w:ascii="宋体" w:hAnsi="宋体" w:eastAsia="宋体" w:cs="宋体"/>
          <w:color w:val="auto"/>
          <w:sz w:val="21"/>
          <w:szCs w:val="21"/>
          <w:highlight w:val="none"/>
        </w:rPr>
        <w:t>五、开启</w:t>
      </w:r>
      <w:bookmarkEnd w:id="98"/>
      <w:bookmarkEnd w:id="99"/>
      <w:bookmarkEnd w:id="100"/>
      <w:bookmarkEnd w:id="101"/>
      <w:bookmarkEnd w:id="102"/>
      <w:bookmarkEnd w:id="103"/>
      <w:bookmarkEnd w:id="104"/>
      <w:bookmarkEnd w:id="105"/>
      <w:bookmarkEnd w:id="106"/>
    </w:p>
    <w:p w14:paraId="17C27199">
      <w:pPr>
        <w:spacing w:line="480" w:lineRule="exact"/>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时间：</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08</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04</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lang w:eastAsia="zh-CN"/>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lang w:eastAsia="zh-CN"/>
        </w:rPr>
        <w:t>分</w:t>
      </w:r>
      <w:r>
        <w:rPr>
          <w:rFonts w:hint="eastAsia" w:ascii="宋体" w:hAnsi="宋体" w:cs="宋体"/>
          <w:bCs/>
          <w:color w:val="auto"/>
          <w:szCs w:val="21"/>
          <w:highlight w:val="none"/>
        </w:rPr>
        <w:t>（北京时间）；</w:t>
      </w:r>
    </w:p>
    <w:p w14:paraId="752AA7EC">
      <w:pPr>
        <w:spacing w:line="480" w:lineRule="exact"/>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地点：登录“政采云”平台电子开标大厅开标。</w:t>
      </w:r>
    </w:p>
    <w:p w14:paraId="2D673840">
      <w:pPr>
        <w:pStyle w:val="4"/>
        <w:spacing w:line="480" w:lineRule="exact"/>
        <w:rPr>
          <w:rFonts w:ascii="宋体" w:hAnsi="宋体" w:eastAsia="宋体" w:cs="宋体"/>
          <w:color w:val="auto"/>
          <w:sz w:val="21"/>
          <w:szCs w:val="21"/>
          <w:highlight w:val="none"/>
        </w:rPr>
      </w:pPr>
      <w:bookmarkStart w:id="107" w:name="_Toc28359017"/>
      <w:bookmarkStart w:id="108" w:name="_Toc35393634"/>
      <w:bookmarkStart w:id="109" w:name="_Toc47087978"/>
      <w:bookmarkStart w:id="110" w:name="_Toc19614"/>
      <w:bookmarkStart w:id="111" w:name="_Toc35393803"/>
      <w:bookmarkStart w:id="112" w:name="_Toc47088124"/>
      <w:bookmarkStart w:id="113" w:name="_Toc47088268"/>
      <w:bookmarkStart w:id="114" w:name="_Toc75182669"/>
      <w:bookmarkStart w:id="115" w:name="_Toc28359094"/>
      <w:r>
        <w:rPr>
          <w:rFonts w:hint="eastAsia" w:ascii="宋体" w:hAnsi="宋体" w:eastAsia="宋体" w:cs="宋体"/>
          <w:color w:val="auto"/>
          <w:sz w:val="21"/>
          <w:szCs w:val="21"/>
          <w:highlight w:val="none"/>
        </w:rPr>
        <w:t>六、公告期限</w:t>
      </w:r>
      <w:bookmarkEnd w:id="107"/>
      <w:bookmarkEnd w:id="108"/>
      <w:bookmarkEnd w:id="109"/>
      <w:bookmarkEnd w:id="110"/>
      <w:bookmarkEnd w:id="111"/>
      <w:bookmarkEnd w:id="112"/>
      <w:bookmarkEnd w:id="113"/>
      <w:bookmarkEnd w:id="114"/>
      <w:bookmarkEnd w:id="115"/>
    </w:p>
    <w:p w14:paraId="28E1BF10">
      <w:pPr>
        <w:spacing w:line="4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bookmarkStart w:id="116" w:name="_Toc35393635"/>
      <w:bookmarkStart w:id="117" w:name="_Toc35393804"/>
    </w:p>
    <w:p w14:paraId="34D1ACC8">
      <w:pPr>
        <w:numPr>
          <w:ilvl w:val="0"/>
          <w:numId w:val="1"/>
        </w:numPr>
        <w:spacing w:line="480" w:lineRule="exact"/>
        <w:rPr>
          <w:rFonts w:ascii="宋体" w:hAnsi="宋体" w:cs="宋体"/>
          <w:b/>
          <w:color w:val="auto"/>
          <w:szCs w:val="21"/>
          <w:highlight w:val="none"/>
        </w:rPr>
      </w:pPr>
      <w:r>
        <w:rPr>
          <w:rFonts w:hint="eastAsia" w:ascii="宋体" w:hAnsi="宋体" w:cs="宋体"/>
          <w:b/>
          <w:color w:val="auto"/>
          <w:szCs w:val="21"/>
          <w:highlight w:val="none"/>
        </w:rPr>
        <w:t>其他补充事宜</w:t>
      </w:r>
      <w:bookmarkEnd w:id="116"/>
      <w:bookmarkEnd w:id="117"/>
      <w:bookmarkStart w:id="118" w:name="_Toc28359095"/>
      <w:bookmarkStart w:id="119" w:name="_Toc35393805"/>
      <w:bookmarkStart w:id="120" w:name="_Toc35393636"/>
      <w:bookmarkStart w:id="121" w:name="_Toc28359018"/>
    </w:p>
    <w:p w14:paraId="76E7D138">
      <w:pPr>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1.本项目需要落实的政府采购政策：</w:t>
      </w:r>
    </w:p>
    <w:p w14:paraId="1CE7905C">
      <w:pPr>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（1）政府采购促进中小企业发展；</w:t>
      </w:r>
    </w:p>
    <w:p w14:paraId="003880E3">
      <w:pPr>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（2）政府采购促进残疾人就业政策；</w:t>
      </w:r>
    </w:p>
    <w:p w14:paraId="0F9CB8BE">
      <w:pPr>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（3）政府采购支持监狱企业发展；</w:t>
      </w:r>
    </w:p>
    <w:p w14:paraId="64AEA833">
      <w:pPr>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（4）扶持不发达地区和少数民族地区政策；</w:t>
      </w:r>
    </w:p>
    <w:p w14:paraId="0D82009B">
      <w:pPr>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2.网上公告媒体查询：</w:t>
      </w:r>
    </w:p>
    <w:p w14:paraId="7D1CE5E9">
      <w:pPr>
        <w:spacing w:line="480" w:lineRule="exact"/>
        <w:ind w:left="420" w:leftChars="200"/>
        <w:rPr>
          <w:rFonts w:ascii="宋体" w:hAnsi="宋体" w:cs="宋体"/>
          <w:bCs/>
          <w:color w:val="auto"/>
          <w:szCs w:val="21"/>
          <w:highlight w:val="none"/>
        </w:rPr>
      </w:pPr>
      <w:r>
        <w:rPr>
          <w:rFonts w:hint="eastAsia" w:ascii="宋体" w:hAnsi="宋体" w:cs="宋体"/>
          <w:bCs/>
          <w:color w:val="auto"/>
          <w:szCs w:val="21"/>
          <w:highlight w:val="none"/>
        </w:rPr>
        <w:t>中国政府采购网（http://www.ccgp.gov.cn）、广西壮族自治区政府采购网（http://www.gxzfcg.gov.cn）、</w:t>
      </w:r>
      <w:r>
        <w:rPr>
          <w:rFonts w:hint="eastAsia" w:ascii="宋体" w:hAnsi="宋体" w:cs="宋体"/>
          <w:bCs/>
          <w:color w:val="auto"/>
          <w:szCs w:val="21"/>
          <w:highlight w:val="none"/>
          <w:lang w:eastAsia="zh-CN"/>
        </w:rPr>
        <w:t>贵港市政府采购网（http://zfcg.czj.gxgg.gov.cn）、全国公共资源交易平台（广西·贵港）（http</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//ggzy.jgswj.gxzf.gov.cn/ggggzy/）</w:t>
      </w:r>
      <w:r>
        <w:rPr>
          <w:rFonts w:hint="eastAsia" w:ascii="宋体" w:hAnsi="宋体" w:cs="宋体"/>
          <w:bCs/>
          <w:color w:val="auto"/>
          <w:szCs w:val="21"/>
          <w:highlight w:val="none"/>
        </w:rPr>
        <w:t>。</w:t>
      </w:r>
    </w:p>
    <w:p w14:paraId="49E6C949">
      <w:pPr>
        <w:spacing w:line="480" w:lineRule="exact"/>
        <w:ind w:left="420" w:leftChars="200"/>
        <w:rPr>
          <w:rFonts w:hint="eastAsia" w:ascii="宋体" w:hAnsi="宋体" w:cs="宋体"/>
          <w:bCs/>
          <w:color w:val="auto"/>
          <w:szCs w:val="21"/>
          <w:highlight w:val="none"/>
        </w:rPr>
      </w:pPr>
      <w:bookmarkStart w:id="122" w:name="_Toc47088269"/>
      <w:bookmarkStart w:id="123" w:name="_Toc47087979"/>
      <w:bookmarkStart w:id="124" w:name="_Toc75182670"/>
      <w:bookmarkStart w:id="125" w:name="_Toc47088125"/>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.在线</w:t>
      </w:r>
      <w:r>
        <w:rPr>
          <w:rFonts w:hint="eastAsia" w:ascii="宋体" w:hAnsi="宋体" w:cs="宋体"/>
          <w:bCs/>
          <w:color w:val="auto"/>
          <w:szCs w:val="21"/>
          <w:highlight w:val="none"/>
          <w:lang w:eastAsia="zh-CN"/>
        </w:rPr>
        <w:t>磋商</w:t>
      </w:r>
      <w:r>
        <w:rPr>
          <w:rFonts w:hint="eastAsia" w:ascii="宋体" w:hAnsi="宋体" w:cs="宋体"/>
          <w:bCs/>
          <w:color w:val="auto"/>
          <w:szCs w:val="21"/>
          <w:highlight w:val="none"/>
        </w:rPr>
        <w:t>响应（电子</w:t>
      </w:r>
      <w:r>
        <w:rPr>
          <w:rFonts w:hint="eastAsia" w:ascii="宋体" w:hAnsi="宋体" w:cs="宋体"/>
          <w:bCs/>
          <w:color w:val="auto"/>
          <w:szCs w:val="21"/>
          <w:highlight w:val="none"/>
          <w:lang w:eastAsia="zh-CN"/>
        </w:rPr>
        <w:t>磋商</w:t>
      </w:r>
      <w:r>
        <w:rPr>
          <w:rFonts w:hint="eastAsia" w:ascii="宋体" w:hAnsi="宋体" w:cs="宋体"/>
          <w:bCs/>
          <w:color w:val="auto"/>
          <w:szCs w:val="21"/>
          <w:highlight w:val="none"/>
        </w:rPr>
        <w:t>）说明</w:t>
      </w:r>
    </w:p>
    <w:p w14:paraId="543ECC5A">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（1）本项目通过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实行在线</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），供应商需要先安装“</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电子交易客户端”，并按照本竞争性磋商文件和</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的要求，通过“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电子交易客户端”编制并加密响应文件。供应商未按规定编制并加密的响应文件，</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将予以拒收。</w:t>
      </w:r>
    </w:p>
    <w:p w14:paraId="652B28DE">
      <w:pPr>
        <w:spacing w:line="48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广西政府采购云平台电子交易客户端”请自行前往广西政府采购网下载并安装（http://zfcg.gxzf.gov.cn/）；电子磋商具体操作流程可在广西政府采购云平台（https://www.gcy.zfcg.gxzf.gov.cn/）中下载；通过广西政府采购云平台参与在线磋商时如遇平台技术问题详询95763。</w:t>
      </w:r>
    </w:p>
    <w:p w14:paraId="687E93AE">
      <w:pPr>
        <w:spacing w:line="48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为确保网上操作合法、有效和安全，供应商应当在响应文件递交截止时间前完成在“广西政府采购云平台”的身份认证，确保在电子磋商过程中能够对相关数据电文进行加密和使用电子签章。使用“广西政府采购云平台电子交易客户端”需要提前申领CA数字证书；</w:t>
      </w:r>
    </w:p>
    <w:p w14:paraId="6B8DD493">
      <w:pPr>
        <w:spacing w:line="48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供应商应当在响应文件递交截止时间前，将生成的“电子加密响应文件”上传递交至广西政府采购云平台。响应文件递交截止时间前可以补充、修改或者撤回电子响应文件。补充或者修改电子响应文件的，应当先行撤回原文件，补充、修改后重新传输递交，响应文件递交截止时间前未完成传输的，视为撤回响应文件。</w:t>
      </w:r>
    </w:p>
    <w:p w14:paraId="53CDC0AD">
      <w:pPr>
        <w:spacing w:line="48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（4）响应文件提交截止时间后，代理机构向各供应商发出电子加密响应文件【开始解密】通知，代理机构发起解密通知后 30 分钟内，响应文件提交截止时间前已将生成的“电子加密响应文件”上传递交至广西政府采购云平台的供应商，必须在此时间段内登录广西政府采购云平台，用“项目采购-开标评标”功能完成电子响应文件的解密。供应商响应文件提交截止前通过“广西政府采购云平台”上传递交的“电子加密响应文件”无法正常解密的，请及时联系代理机构，代理机构与项目归属监督部门备案后告知供应商通过邮件传输递交电子备份文件，通过邮件传输递交电子备份文件也必须在发起解密通知后 30 分钟内完成，逾期未完成传输的，拒收其响应文件。</w:t>
      </w:r>
    </w:p>
    <w:p w14:paraId="63A2A46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请各供应商在获取采购文件时，认真填写供应商名称、联系人、联系电话等相关信息。项目开标当天联系人要保持电话畅通，如因供应商自身原因导致无法响应文件无法正常解密、电子备份文件未能在规定的时间内传输递交、无法正常谈判（磋商）等，后果由供应商自行承担。</w:t>
      </w:r>
    </w:p>
    <w:p w14:paraId="367FB9F4">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6）在供应商提交了电子备份响应文件后，如通过广西政府采购云平台上传递交的电子加密响应文件无法按时解密且无法通过广西政府采购云平台“异常处理”端口处理的视为响应文件撤回，所造成的后果由供应商自行承担。</w:t>
      </w:r>
    </w:p>
    <w:p w14:paraId="7BA9E04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）若对项目采购电子交易系统操作有疑问，可登录广西政府采购云平台（https://www.gcy.zfcg.</w:t>
      </w:r>
    </w:p>
    <w:p w14:paraId="03FCDE8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gxzf.gov.cn/），点击右侧咨询小采，获取采小蜜智能服务管家帮助，或拨打广西政府采购云平台服务热线95763获取热线服务帮助。</w:t>
      </w:r>
    </w:p>
    <w:p w14:paraId="38380F35">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）本项目为全流程电子标项目，无需供应商来开标现场递交响应文件，供应商授权委托代理人可以不用到开标现场参加开标（截标）会。</w:t>
      </w:r>
    </w:p>
    <w:p w14:paraId="076F9032">
      <w:pPr>
        <w:pStyle w:val="4"/>
        <w:spacing w:before="0" w:beforeLines="0" w:after="0" w:afterLines="0" w:line="480" w:lineRule="exact"/>
        <w:ind w:firstLine="422" w:firstLineChars="200"/>
        <w:rPr>
          <w:rFonts w:hint="eastAsia" w:ascii="宋体" w:hAnsi="宋体" w:eastAsia="宋体" w:cs="宋体"/>
          <w:color w:val="auto"/>
          <w:sz w:val="21"/>
          <w:szCs w:val="21"/>
          <w:highlight w:val="none"/>
        </w:rPr>
      </w:pPr>
      <w:bookmarkStart w:id="126" w:name="_Toc21831"/>
      <w:r>
        <w:rPr>
          <w:rFonts w:hint="eastAsia" w:ascii="宋体" w:hAnsi="宋体" w:eastAsia="宋体" w:cs="宋体"/>
          <w:color w:val="auto"/>
          <w:sz w:val="21"/>
          <w:szCs w:val="21"/>
          <w:highlight w:val="none"/>
        </w:rPr>
        <w:t>注：能够处理异常解密、递交电子备份文件的前提，是供应商已上传了标书且未能按时正常解密标书；系统生成标书时，生成两份，一份是投标用的标书，一份是备份标书；提供的备份标书要跟上传的电子标书是同一份，否则系统也不支持进行异常解密。</w:t>
      </w:r>
      <w:bookmarkEnd w:id="126"/>
    </w:p>
    <w:p w14:paraId="7F865504">
      <w:pPr>
        <w:spacing w:line="440" w:lineRule="exact"/>
        <w:ind w:firstLine="420" w:firstLineChars="200"/>
        <w:rPr>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监督管理部门：贵港市覃塘区财政局综合业务股，电话：0775-</w:t>
      </w:r>
      <w:r>
        <w:rPr>
          <w:rFonts w:hint="eastAsia" w:ascii="宋体" w:hAnsi="宋体" w:cs="宋体"/>
          <w:color w:val="auto"/>
          <w:highlight w:val="none"/>
          <w:lang w:val="en-US" w:eastAsia="zh-CN"/>
        </w:rPr>
        <w:t>4906833</w:t>
      </w:r>
      <w:r>
        <w:rPr>
          <w:rFonts w:hint="eastAsia" w:ascii="宋体" w:hAnsi="宋体" w:eastAsia="宋体" w:cs="宋体"/>
          <w:color w:val="auto"/>
          <w:highlight w:val="none"/>
        </w:rPr>
        <w:t>。</w:t>
      </w:r>
    </w:p>
    <w:p w14:paraId="6B055120">
      <w:pPr>
        <w:pStyle w:val="4"/>
        <w:spacing w:line="480" w:lineRule="exact"/>
        <w:rPr>
          <w:rFonts w:ascii="宋体" w:hAnsi="宋体" w:eastAsia="宋体" w:cs="宋体"/>
          <w:color w:val="auto"/>
          <w:sz w:val="21"/>
          <w:szCs w:val="21"/>
          <w:highlight w:val="none"/>
        </w:rPr>
      </w:pPr>
      <w:bookmarkStart w:id="127" w:name="_Toc29402"/>
      <w:r>
        <w:rPr>
          <w:rFonts w:hint="eastAsia" w:ascii="宋体" w:hAnsi="宋体" w:eastAsia="宋体" w:cs="宋体"/>
          <w:color w:val="auto"/>
          <w:sz w:val="21"/>
          <w:szCs w:val="21"/>
          <w:highlight w:val="none"/>
        </w:rPr>
        <w:t>八、凡对本次采购提出询问，请按以下方式联系。</w:t>
      </w:r>
      <w:bookmarkEnd w:id="118"/>
      <w:bookmarkEnd w:id="119"/>
      <w:bookmarkEnd w:id="120"/>
      <w:bookmarkEnd w:id="121"/>
      <w:bookmarkEnd w:id="122"/>
      <w:bookmarkEnd w:id="123"/>
      <w:bookmarkEnd w:id="124"/>
      <w:bookmarkEnd w:id="125"/>
      <w:bookmarkEnd w:id="127"/>
    </w:p>
    <w:p w14:paraId="2B9708AB">
      <w:pPr>
        <w:spacing w:line="420" w:lineRule="exact"/>
        <w:ind w:firstLine="420" w:firstLineChars="200"/>
        <w:rPr>
          <w:rFonts w:ascii="宋体" w:hAnsi="宋体" w:cs="宋体"/>
          <w:color w:val="auto"/>
          <w:highlight w:val="none"/>
        </w:rPr>
      </w:pPr>
      <w:bookmarkStart w:id="128" w:name="_Toc28359096"/>
      <w:bookmarkStart w:id="129" w:name="_Toc35393637"/>
      <w:bookmarkStart w:id="130" w:name="_Toc28359019"/>
      <w:bookmarkStart w:id="131" w:name="_Toc35393806"/>
      <w:r>
        <w:rPr>
          <w:rFonts w:hint="eastAsia" w:ascii="宋体" w:hAnsi="宋体" w:cs="宋体"/>
          <w:color w:val="auto"/>
          <w:highlight w:val="none"/>
        </w:rPr>
        <w:t>1.采购人信息</w:t>
      </w:r>
      <w:bookmarkEnd w:id="128"/>
      <w:bookmarkEnd w:id="129"/>
      <w:bookmarkEnd w:id="130"/>
      <w:bookmarkEnd w:id="131"/>
    </w:p>
    <w:p w14:paraId="72991A6B">
      <w:pPr>
        <w:spacing w:line="420" w:lineRule="exact"/>
        <w:ind w:firstLine="420" w:firstLineChars="200"/>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lang w:eastAsia="zh-CN"/>
        </w:rPr>
        <w:t>贵港市覃塘区东龙镇高龙小学</w:t>
      </w:r>
      <w:r>
        <w:rPr>
          <w:rFonts w:hint="eastAsia" w:ascii="宋体" w:hAnsi="宋体" w:cs="宋体"/>
          <w:color w:val="auto"/>
          <w:highlight w:val="none"/>
        </w:rPr>
        <w:t>　</w:t>
      </w:r>
    </w:p>
    <w:p w14:paraId="3384957D">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rPr>
        <w:t>地    址：广西贵港市覃塘区东龙镇高龙村</w:t>
      </w:r>
    </w:p>
    <w:p w14:paraId="1D59EBD5">
      <w:pPr>
        <w:spacing w:line="42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联系方式：15077798689</w:t>
      </w:r>
    </w:p>
    <w:p w14:paraId="33BB2381">
      <w:pPr>
        <w:spacing w:line="420" w:lineRule="exact"/>
        <w:ind w:firstLine="420" w:firstLineChars="200"/>
        <w:rPr>
          <w:rFonts w:ascii="宋体" w:hAnsi="宋体" w:cs="宋体"/>
          <w:color w:val="auto"/>
          <w:highlight w:val="none"/>
        </w:rPr>
      </w:pPr>
      <w:bookmarkStart w:id="132" w:name="_Toc28359097"/>
      <w:bookmarkStart w:id="133" w:name="_Toc35393807"/>
      <w:bookmarkStart w:id="134" w:name="_Toc28359020"/>
      <w:bookmarkStart w:id="135" w:name="_Toc35393638"/>
      <w:r>
        <w:rPr>
          <w:rFonts w:hint="eastAsia" w:ascii="宋体" w:hAnsi="宋体" w:cs="宋体"/>
          <w:color w:val="auto"/>
          <w:highlight w:val="none"/>
        </w:rPr>
        <w:t>2.采购代理机构信息</w:t>
      </w:r>
      <w:bookmarkEnd w:id="132"/>
      <w:bookmarkEnd w:id="133"/>
      <w:bookmarkEnd w:id="134"/>
      <w:bookmarkEnd w:id="135"/>
    </w:p>
    <w:p w14:paraId="258FDB43">
      <w:pPr>
        <w:spacing w:line="420" w:lineRule="exact"/>
        <w:ind w:firstLine="420" w:firstLineChars="200"/>
        <w:rPr>
          <w:rFonts w:ascii="宋体" w:hAnsi="宋体" w:cs="宋体"/>
          <w:color w:val="auto"/>
          <w:highlight w:val="none"/>
        </w:rPr>
      </w:pPr>
      <w:r>
        <w:rPr>
          <w:rFonts w:hint="eastAsia" w:ascii="宋体" w:hAnsi="宋体" w:cs="宋体"/>
          <w:color w:val="auto"/>
          <w:highlight w:val="none"/>
        </w:rPr>
        <w:t xml:space="preserve">名    称：广西睿翼工程咨询有限公司 </w:t>
      </w:r>
    </w:p>
    <w:p w14:paraId="353B123F">
      <w:pPr>
        <w:spacing w:line="420" w:lineRule="exact"/>
        <w:ind w:firstLine="420" w:firstLineChars="200"/>
        <w:rPr>
          <w:rFonts w:ascii="宋体" w:hAnsi="宋体" w:cs="宋体"/>
          <w:color w:val="auto"/>
          <w:highlight w:val="none"/>
        </w:rPr>
      </w:pPr>
      <w:r>
        <w:rPr>
          <w:rFonts w:hint="eastAsia" w:ascii="宋体" w:hAnsi="宋体" w:cs="宋体"/>
          <w:color w:val="auto"/>
          <w:highlight w:val="none"/>
        </w:rPr>
        <w:t>地　　址：</w:t>
      </w:r>
      <w:bookmarkStart w:id="136" w:name="PO_3000001868_PM035"/>
      <w:r>
        <w:rPr>
          <w:rFonts w:hint="eastAsia" w:ascii="宋体" w:hAnsi="宋体" w:cs="宋体"/>
          <w:color w:val="auto"/>
          <w:highlight w:val="none"/>
        </w:rPr>
        <w:t>南宁市青秀区民族大道32号宜尚酒店停车场内</w:t>
      </w:r>
      <w:bookmarkEnd w:id="136"/>
    </w:p>
    <w:p w14:paraId="212A9C0E">
      <w:pPr>
        <w:spacing w:line="420" w:lineRule="exact"/>
        <w:ind w:firstLine="420" w:firstLineChars="200"/>
        <w:rPr>
          <w:rFonts w:ascii="宋体" w:hAnsi="宋体" w:cs="宋体"/>
          <w:color w:val="auto"/>
          <w:highlight w:val="none"/>
        </w:rPr>
      </w:pPr>
      <w:r>
        <w:rPr>
          <w:rFonts w:hint="eastAsia" w:ascii="宋体" w:hAnsi="宋体" w:cs="宋体"/>
          <w:color w:val="auto"/>
          <w:highlight w:val="none"/>
        </w:rPr>
        <w:t>联系方式：</w:t>
      </w:r>
      <w:bookmarkStart w:id="137" w:name="PO_3000001868_PM033"/>
      <w:r>
        <w:rPr>
          <w:rFonts w:hint="eastAsia" w:ascii="宋体" w:hAnsi="宋体" w:cs="宋体"/>
          <w:color w:val="auto"/>
          <w:highlight w:val="none"/>
        </w:rPr>
        <w:t>0771-5349283</w:t>
      </w:r>
      <w:bookmarkEnd w:id="137"/>
    </w:p>
    <w:p w14:paraId="3A98AC2E">
      <w:pPr>
        <w:spacing w:line="420" w:lineRule="exact"/>
        <w:ind w:firstLine="420" w:firstLineChars="200"/>
        <w:rPr>
          <w:rFonts w:ascii="宋体" w:hAnsi="宋体" w:cs="宋体"/>
          <w:color w:val="auto"/>
          <w:highlight w:val="none"/>
        </w:rPr>
      </w:pPr>
      <w:bookmarkStart w:id="138" w:name="_Toc28359021"/>
      <w:bookmarkStart w:id="139" w:name="_Toc35393808"/>
      <w:bookmarkStart w:id="140" w:name="_Toc28359098"/>
      <w:bookmarkStart w:id="141" w:name="_Toc35393639"/>
      <w:r>
        <w:rPr>
          <w:rFonts w:hint="eastAsia" w:ascii="宋体" w:hAnsi="宋体" w:cs="宋体"/>
          <w:color w:val="auto"/>
          <w:highlight w:val="none"/>
        </w:rPr>
        <w:t>3.项目联系方式</w:t>
      </w:r>
      <w:bookmarkEnd w:id="138"/>
      <w:bookmarkEnd w:id="139"/>
      <w:bookmarkEnd w:id="140"/>
      <w:bookmarkEnd w:id="141"/>
    </w:p>
    <w:p w14:paraId="3FA65A02">
      <w:pPr>
        <w:spacing w:line="42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项目联系人：</w:t>
      </w:r>
      <w:r>
        <w:rPr>
          <w:rFonts w:hint="eastAsia" w:ascii="宋体" w:hAnsi="宋体" w:cs="宋体"/>
          <w:color w:val="auto"/>
          <w:highlight w:val="none"/>
          <w:lang w:val="en-US" w:eastAsia="zh-CN"/>
        </w:rPr>
        <w:t>农成浩</w:t>
      </w:r>
    </w:p>
    <w:p w14:paraId="21947DC3">
      <w:pPr>
        <w:spacing w:line="420" w:lineRule="exact"/>
        <w:ind w:firstLine="420" w:firstLineChars="200"/>
        <w:rPr>
          <w:rFonts w:ascii="宋体" w:hAnsi="宋体" w:cs="宋体"/>
          <w:color w:val="auto"/>
          <w:szCs w:val="21"/>
          <w:highlight w:val="none"/>
        </w:rPr>
      </w:pPr>
      <w:r>
        <w:rPr>
          <w:rFonts w:hint="eastAsia" w:ascii="宋体" w:hAnsi="宋体" w:cs="宋体"/>
          <w:color w:val="auto"/>
          <w:highlight w:val="none"/>
        </w:rPr>
        <w:t xml:space="preserve">电　　 话：0771-5349283 </w:t>
      </w:r>
    </w:p>
    <w:p w14:paraId="21491E24">
      <w:pPr>
        <w:spacing w:line="350" w:lineRule="exact"/>
        <w:rPr>
          <w:rFonts w:ascii="Monospaced Number" w:hAnsi="Monospaced Number" w:cs="Arial"/>
          <w:color w:val="auto"/>
          <w:kern w:val="0"/>
          <w:szCs w:val="21"/>
          <w:highlight w:val="none"/>
        </w:rPr>
      </w:pPr>
    </w:p>
    <w:p w14:paraId="282A227F">
      <w:pPr>
        <w:pStyle w:val="17"/>
        <w:spacing w:line="440" w:lineRule="exact"/>
        <w:ind w:firstLine="851" w:firstLineChars="200"/>
        <w:jc w:val="left"/>
        <w:rPr>
          <w:rFonts w:ascii="宋体" w:hAnsi="宋体" w:cs="宋体"/>
          <w:color w:val="auto"/>
          <w:szCs w:val="21"/>
          <w:highlight w:val="none"/>
        </w:rPr>
      </w:pPr>
    </w:p>
    <w:p w14:paraId="0F449B50">
      <w:pPr>
        <w:spacing w:line="400" w:lineRule="exact"/>
        <w:ind w:leftChars="-87" w:right="-141" w:rightChars="-67" w:hanging="182" w:hangingChars="87"/>
        <w:jc w:val="center"/>
        <w:rPr>
          <w:rFonts w:ascii="宋体" w:hAnsi="宋体" w:cs="宋体"/>
          <w:color w:val="auto"/>
          <w:highlight w:val="none"/>
        </w:rPr>
      </w:pPr>
      <w:r>
        <w:rPr>
          <w:rFonts w:hint="eastAsia" w:ascii="宋体" w:hAnsi="宋体" w:cs="宋体"/>
          <w:color w:val="auto"/>
          <w:highlight w:val="none"/>
        </w:rPr>
        <w:br w:type="page"/>
      </w:r>
      <w:bookmarkStart w:id="142" w:name="_Toc2411"/>
      <w:r>
        <w:rPr>
          <w:rStyle w:val="175"/>
          <w:rFonts w:hint="eastAsia" w:ascii="宋体" w:hAnsi="宋体" w:cs="宋体"/>
          <w:color w:val="auto"/>
          <w:highlight w:val="none"/>
        </w:rPr>
        <w:t>第一章 供应商须知及前附表</w:t>
      </w:r>
      <w:bookmarkEnd w:id="56"/>
      <w:bookmarkEnd w:id="57"/>
      <w:bookmarkEnd w:id="142"/>
      <w:bookmarkStart w:id="143" w:name="_Toc85085490"/>
      <w:bookmarkStart w:id="144" w:name="_Toc78294027"/>
    </w:p>
    <w:p w14:paraId="62A86A99">
      <w:pPr>
        <w:pStyle w:val="4"/>
        <w:keepNext w:val="0"/>
        <w:keepLines w:val="0"/>
        <w:snapToGrid w:val="0"/>
        <w:spacing w:line="300" w:lineRule="exact"/>
        <w:jc w:val="center"/>
        <w:rPr>
          <w:rFonts w:ascii="宋体" w:hAnsi="宋体" w:eastAsia="宋体" w:cs="宋体"/>
          <w:color w:val="auto"/>
          <w:sz w:val="28"/>
          <w:szCs w:val="28"/>
          <w:highlight w:val="none"/>
        </w:rPr>
      </w:pPr>
      <w:bookmarkStart w:id="145" w:name="_Toc30218"/>
      <w:bookmarkStart w:id="146" w:name="_Toc75182672"/>
      <w:r>
        <w:rPr>
          <w:rFonts w:hint="eastAsia" w:ascii="宋体" w:hAnsi="宋体" w:eastAsia="宋体" w:cs="宋体"/>
          <w:color w:val="auto"/>
          <w:sz w:val="28"/>
          <w:szCs w:val="28"/>
          <w:highlight w:val="none"/>
        </w:rPr>
        <w:t>一、供应商须知前附表</w:t>
      </w:r>
      <w:bookmarkEnd w:id="58"/>
      <w:bookmarkEnd w:id="143"/>
      <w:bookmarkEnd w:id="144"/>
      <w:bookmarkEnd w:id="145"/>
      <w:bookmarkEnd w:id="146"/>
      <w:bookmarkStart w:id="147" w:name="_Toc85085491"/>
    </w:p>
    <w:tbl>
      <w:tblPr>
        <w:tblStyle w:val="41"/>
        <w:tblW w:w="0" w:type="auto"/>
        <w:tblInd w:w="-6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8886"/>
      </w:tblGrid>
      <w:tr w14:paraId="388DCA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dxa"/>
            <w:noWrap/>
          </w:tcPr>
          <w:p w14:paraId="6F6FF8E0">
            <w:pPr>
              <w:autoSpaceDE w:val="0"/>
              <w:autoSpaceDN w:val="0"/>
              <w:adjustRightInd w:val="0"/>
              <w:snapToGrid w:val="0"/>
              <w:spacing w:line="420" w:lineRule="exact"/>
              <w:jc w:val="center"/>
              <w:rPr>
                <w:rFonts w:ascii="宋体" w:hAnsi="宋体" w:cs="宋体"/>
                <w:b/>
                <w:bCs/>
                <w:color w:val="auto"/>
                <w:kern w:val="0"/>
                <w:szCs w:val="21"/>
                <w:highlight w:val="none"/>
              </w:rPr>
            </w:pPr>
            <w:bookmarkStart w:id="148" w:name="_Toc514238585"/>
            <w:r>
              <w:rPr>
                <w:rFonts w:hint="eastAsia" w:ascii="宋体" w:hAnsi="宋体" w:cs="宋体"/>
                <w:b/>
                <w:bCs/>
                <w:color w:val="auto"/>
                <w:kern w:val="0"/>
                <w:szCs w:val="21"/>
                <w:highlight w:val="none"/>
              </w:rPr>
              <w:t>序号</w:t>
            </w:r>
          </w:p>
        </w:tc>
        <w:tc>
          <w:tcPr>
            <w:tcW w:w="8886" w:type="dxa"/>
            <w:noWrap/>
          </w:tcPr>
          <w:p w14:paraId="0FCD1E9D">
            <w:pPr>
              <w:autoSpaceDE w:val="0"/>
              <w:autoSpaceDN w:val="0"/>
              <w:adjustRightInd w:val="0"/>
              <w:snapToGrid w:val="0"/>
              <w:spacing w:line="42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 xml:space="preserve">                             内     容    规    定</w:t>
            </w:r>
          </w:p>
        </w:tc>
      </w:tr>
      <w:tr w14:paraId="0EDBC7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dxa"/>
            <w:noWrap/>
            <w:vAlign w:val="center"/>
          </w:tcPr>
          <w:p w14:paraId="78C56817">
            <w:pPr>
              <w:autoSpaceDE w:val="0"/>
              <w:autoSpaceDN w:val="0"/>
              <w:adjustRightInd w:val="0"/>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１</w:t>
            </w:r>
          </w:p>
        </w:tc>
        <w:tc>
          <w:tcPr>
            <w:tcW w:w="8886" w:type="dxa"/>
            <w:noWrap/>
          </w:tcPr>
          <w:p w14:paraId="0F54A7AF">
            <w:pPr>
              <w:pStyle w:val="21"/>
              <w:adjustRightInd w:val="0"/>
              <w:snapToGrid w:val="0"/>
              <w:spacing w:line="420" w:lineRule="exact"/>
              <w:ind w:firstLine="359" w:firstLineChars="171"/>
              <w:rPr>
                <w:rFonts w:hint="eastAsia" w:ascii="宋体" w:eastAsia="宋体"/>
                <w:color w:val="auto"/>
                <w:highlight w:val="none"/>
              </w:rPr>
            </w:pPr>
            <w:r>
              <w:rPr>
                <w:rFonts w:hint="eastAsia" w:ascii="宋体" w:eastAsia="宋体"/>
                <w:color w:val="auto"/>
                <w:highlight w:val="none"/>
              </w:rPr>
              <w:t>1.项目名称：</w:t>
            </w:r>
            <w:r>
              <w:rPr>
                <w:rFonts w:hint="eastAsia"/>
                <w:color w:val="auto"/>
                <w:highlight w:val="none"/>
                <w:lang w:eastAsia="zh-CN"/>
              </w:rPr>
              <w:t>贵港市覃塘区东龙镇高龙小学附设园保教楼项目</w:t>
            </w:r>
            <w:r>
              <w:rPr>
                <w:rFonts w:hint="eastAsia" w:ascii="宋体" w:eastAsia="宋体"/>
                <w:color w:val="auto"/>
                <w:highlight w:val="none"/>
              </w:rPr>
              <w:t>；</w:t>
            </w:r>
          </w:p>
          <w:p w14:paraId="36EF83B8">
            <w:pPr>
              <w:pStyle w:val="21"/>
              <w:adjustRightInd w:val="0"/>
              <w:snapToGrid w:val="0"/>
              <w:spacing w:line="420" w:lineRule="exact"/>
              <w:ind w:firstLine="359" w:firstLineChars="171"/>
              <w:rPr>
                <w:rFonts w:hint="eastAsia" w:ascii="宋体" w:eastAsia="宋体"/>
                <w:color w:val="auto"/>
                <w:highlight w:val="none"/>
              </w:rPr>
            </w:pPr>
            <w:r>
              <w:rPr>
                <w:rFonts w:hint="eastAsia" w:ascii="宋体" w:eastAsia="宋体"/>
                <w:color w:val="auto"/>
                <w:highlight w:val="none"/>
              </w:rPr>
              <w:t>2.项目编号：GGZC2025-C2-040100-GXRY；</w:t>
            </w:r>
          </w:p>
          <w:p w14:paraId="5EF183B6">
            <w:pPr>
              <w:pStyle w:val="21"/>
              <w:adjustRightInd w:val="0"/>
              <w:snapToGrid w:val="0"/>
              <w:spacing w:line="420" w:lineRule="exact"/>
              <w:ind w:firstLine="359" w:firstLineChars="171"/>
              <w:rPr>
                <w:rFonts w:hint="eastAsia" w:ascii="宋体" w:eastAsia="宋体"/>
                <w:color w:val="auto"/>
                <w:highlight w:val="none"/>
              </w:rPr>
            </w:pPr>
            <w:r>
              <w:rPr>
                <w:rFonts w:hint="eastAsia" w:ascii="宋体" w:eastAsia="宋体"/>
                <w:color w:val="auto"/>
                <w:highlight w:val="none"/>
              </w:rPr>
              <w:t>3.建设地点：</w:t>
            </w:r>
            <w:r>
              <w:rPr>
                <w:rFonts w:hint="eastAsia"/>
                <w:color w:val="auto"/>
                <w:highlight w:val="none"/>
                <w:lang w:eastAsia="zh-CN"/>
              </w:rPr>
              <w:t>贵港市覃塘区东龙镇高龙小学</w:t>
            </w:r>
            <w:r>
              <w:rPr>
                <w:rFonts w:hint="eastAsia" w:ascii="宋体" w:eastAsia="宋体"/>
                <w:color w:val="auto"/>
                <w:highlight w:val="none"/>
                <w:lang w:val="en-US" w:eastAsia="zh-CN"/>
              </w:rPr>
              <w:t>校园内</w:t>
            </w:r>
            <w:r>
              <w:rPr>
                <w:rFonts w:hint="eastAsia" w:ascii="宋体" w:eastAsia="宋体"/>
                <w:color w:val="auto"/>
                <w:highlight w:val="none"/>
              </w:rPr>
              <w:t>；</w:t>
            </w:r>
          </w:p>
          <w:p w14:paraId="4C761EA9">
            <w:pPr>
              <w:pStyle w:val="21"/>
              <w:adjustRightInd w:val="0"/>
              <w:snapToGrid w:val="0"/>
              <w:spacing w:line="420" w:lineRule="exact"/>
              <w:ind w:firstLine="359" w:firstLineChars="171"/>
              <w:rPr>
                <w:rFonts w:hint="eastAsia" w:ascii="宋体" w:eastAsia="宋体"/>
                <w:color w:val="auto"/>
                <w:highlight w:val="none"/>
              </w:rPr>
            </w:pPr>
            <w:r>
              <w:rPr>
                <w:rFonts w:hint="eastAsia" w:ascii="宋体" w:eastAsia="宋体"/>
                <w:color w:val="auto"/>
                <w:highlight w:val="none"/>
              </w:rPr>
              <w:t>4.预算金额：</w:t>
            </w:r>
            <w:r>
              <w:rPr>
                <w:rFonts w:hint="eastAsia" w:hAnsi="宋体" w:cs="宋体"/>
                <w:color w:val="auto"/>
                <w:kern w:val="2"/>
                <w:sz w:val="21"/>
                <w:highlight w:val="none"/>
                <w:lang w:val="en-US" w:eastAsia="zh-CN" w:bidi="ar-SA"/>
              </w:rPr>
              <w:t>2977692.64</w:t>
            </w:r>
            <w:r>
              <w:rPr>
                <w:rFonts w:hint="eastAsia" w:ascii="宋体" w:hAnsi="宋体" w:eastAsia="宋体" w:cs="宋体"/>
                <w:color w:val="auto"/>
                <w:kern w:val="2"/>
                <w:sz w:val="21"/>
                <w:highlight w:val="none"/>
                <w:lang w:val="en-US" w:eastAsia="zh-CN" w:bidi="ar-SA"/>
              </w:rPr>
              <w:t>元；</w:t>
            </w:r>
          </w:p>
          <w:p w14:paraId="55F84DB8">
            <w:pPr>
              <w:pStyle w:val="21"/>
              <w:adjustRightInd w:val="0"/>
              <w:snapToGrid w:val="0"/>
              <w:spacing w:line="420" w:lineRule="exact"/>
              <w:ind w:firstLine="359" w:firstLineChars="171"/>
              <w:rPr>
                <w:rFonts w:hint="eastAsia" w:ascii="宋体" w:eastAsia="宋体"/>
                <w:color w:val="auto"/>
                <w:highlight w:val="none"/>
              </w:rPr>
            </w:pPr>
            <w:r>
              <w:rPr>
                <w:rFonts w:hint="eastAsia" w:ascii="宋体" w:eastAsia="宋体"/>
                <w:color w:val="auto"/>
                <w:highlight w:val="none"/>
              </w:rPr>
              <w:t>5.最高限价：</w:t>
            </w:r>
            <w:r>
              <w:rPr>
                <w:rFonts w:hint="eastAsia" w:hAnsi="宋体" w:cs="宋体"/>
                <w:color w:val="auto"/>
                <w:szCs w:val="21"/>
                <w:highlight w:val="none"/>
                <w:lang w:val="en-US" w:eastAsia="zh-CN"/>
              </w:rPr>
              <w:t>2977596.84元</w:t>
            </w:r>
            <w:r>
              <w:rPr>
                <w:rFonts w:hint="eastAsia" w:ascii="宋体" w:eastAsia="宋体"/>
                <w:color w:val="auto"/>
                <w:highlight w:val="none"/>
              </w:rPr>
              <w:t>；</w:t>
            </w:r>
          </w:p>
          <w:p w14:paraId="34812334">
            <w:pPr>
              <w:pStyle w:val="21"/>
              <w:adjustRightInd w:val="0"/>
              <w:snapToGrid w:val="0"/>
              <w:spacing w:line="420" w:lineRule="exact"/>
              <w:ind w:firstLine="359" w:firstLineChars="171"/>
              <w:rPr>
                <w:rFonts w:hint="eastAsia" w:ascii="宋体" w:hAnsi="宋体" w:cs="宋体"/>
                <w:color w:val="auto"/>
                <w:szCs w:val="21"/>
                <w:highlight w:val="none"/>
              </w:rPr>
            </w:pPr>
            <w:r>
              <w:rPr>
                <w:rFonts w:hint="eastAsia" w:ascii="宋体" w:eastAsia="宋体"/>
                <w:color w:val="auto"/>
                <w:highlight w:val="none"/>
              </w:rPr>
              <w:t>6.采购需求：本工程为贵港市覃塘区东龙镇高龙小学附设园保教楼项目，框架结构，总建筑面积为1201.08㎡。内容包括：建筑装饰、安装及防雷工程，室外总平给排水工程等。具体施工内容详见图纸及工程量清单</w:t>
            </w:r>
            <w:r>
              <w:rPr>
                <w:rFonts w:hint="eastAsia" w:ascii="宋体" w:hAnsi="宋体" w:cs="宋体"/>
                <w:color w:val="auto"/>
                <w:szCs w:val="21"/>
                <w:highlight w:val="none"/>
              </w:rPr>
              <w:t>。</w:t>
            </w:r>
          </w:p>
          <w:p w14:paraId="1C9A7BA9">
            <w:pPr>
              <w:pStyle w:val="21"/>
              <w:adjustRightInd w:val="0"/>
              <w:snapToGrid w:val="0"/>
              <w:spacing w:line="420" w:lineRule="exact"/>
              <w:ind w:firstLine="359" w:firstLineChars="171"/>
              <w:rPr>
                <w:rFonts w:hint="eastAsia" w:ascii="宋体" w:eastAsia="宋体"/>
                <w:color w:val="auto"/>
                <w:highlight w:val="none"/>
              </w:rPr>
            </w:pPr>
            <w:r>
              <w:rPr>
                <w:rFonts w:hint="eastAsia" w:ascii="宋体" w:eastAsia="宋体"/>
                <w:color w:val="auto"/>
                <w:highlight w:val="none"/>
              </w:rPr>
              <w:t>7.合同履行期限：</w:t>
            </w:r>
            <w:r>
              <w:rPr>
                <w:rFonts w:hint="eastAsia"/>
                <w:color w:val="auto"/>
                <w:highlight w:val="none"/>
                <w:lang w:eastAsia="zh-CN"/>
              </w:rPr>
              <w:t>工期 194日历天</w:t>
            </w:r>
            <w:r>
              <w:rPr>
                <w:rFonts w:hint="eastAsia" w:ascii="宋体" w:eastAsia="宋体"/>
                <w:color w:val="auto"/>
                <w:highlight w:val="none"/>
              </w:rPr>
              <w:t>；</w:t>
            </w:r>
          </w:p>
          <w:p w14:paraId="49041700">
            <w:pPr>
              <w:pStyle w:val="21"/>
              <w:adjustRightInd w:val="0"/>
              <w:snapToGrid w:val="0"/>
              <w:spacing w:line="420" w:lineRule="exact"/>
              <w:ind w:firstLine="359" w:firstLineChars="171"/>
              <w:rPr>
                <w:rFonts w:ascii="宋体" w:hAnsi="宋体" w:cs="宋体"/>
                <w:color w:val="auto"/>
                <w:kern w:val="0"/>
                <w:szCs w:val="21"/>
                <w:highlight w:val="none"/>
              </w:rPr>
            </w:pPr>
            <w:r>
              <w:rPr>
                <w:rFonts w:hint="eastAsia" w:ascii="宋体" w:eastAsia="宋体"/>
                <w:color w:val="auto"/>
                <w:highlight w:val="none"/>
              </w:rPr>
              <w:t>8.质量要求：工程质量符合国家施工验收规范合格标准。</w:t>
            </w:r>
          </w:p>
        </w:tc>
      </w:tr>
      <w:tr w14:paraId="0D8714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dxa"/>
            <w:noWrap/>
            <w:vAlign w:val="center"/>
          </w:tcPr>
          <w:p w14:paraId="5148D42E">
            <w:pPr>
              <w:autoSpaceDE w:val="0"/>
              <w:autoSpaceDN w:val="0"/>
              <w:adjustRightInd w:val="0"/>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886" w:type="dxa"/>
            <w:noWrap/>
            <w:vAlign w:val="center"/>
          </w:tcPr>
          <w:p w14:paraId="0CDB62A5">
            <w:pPr>
              <w:pStyle w:val="21"/>
              <w:adjustRightInd w:val="0"/>
              <w:snapToGrid w:val="0"/>
              <w:spacing w:line="420" w:lineRule="exact"/>
              <w:ind w:firstLine="359" w:firstLineChars="171"/>
              <w:rPr>
                <w:rFonts w:hint="eastAsia" w:ascii="宋体" w:eastAsia="宋体"/>
                <w:color w:val="auto"/>
                <w:highlight w:val="none"/>
              </w:rPr>
            </w:pPr>
            <w:r>
              <w:rPr>
                <w:rFonts w:hint="eastAsia" w:ascii="宋体" w:eastAsia="宋体"/>
                <w:color w:val="auto"/>
                <w:highlight w:val="none"/>
              </w:rPr>
              <w:t>合同名称：</w:t>
            </w:r>
            <w:r>
              <w:rPr>
                <w:rFonts w:hint="eastAsia"/>
                <w:color w:val="auto"/>
                <w:highlight w:val="none"/>
                <w:lang w:eastAsia="zh-CN"/>
              </w:rPr>
              <w:t>贵港市覃塘区东龙镇高龙小学附设园保教楼项目</w:t>
            </w:r>
            <w:r>
              <w:rPr>
                <w:rFonts w:hint="eastAsia" w:ascii="宋体" w:eastAsia="宋体"/>
                <w:color w:val="auto"/>
                <w:highlight w:val="none"/>
              </w:rPr>
              <w:t>施工合同；</w:t>
            </w:r>
          </w:p>
        </w:tc>
      </w:tr>
      <w:tr w14:paraId="53310B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45" w:type="dxa"/>
            <w:noWrap/>
            <w:vAlign w:val="center"/>
          </w:tcPr>
          <w:p w14:paraId="6AFF1086">
            <w:pPr>
              <w:autoSpaceDE w:val="0"/>
              <w:autoSpaceDN w:val="0"/>
              <w:adjustRightInd w:val="0"/>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886" w:type="dxa"/>
            <w:noWrap/>
            <w:vAlign w:val="center"/>
          </w:tcPr>
          <w:p w14:paraId="51DA9233">
            <w:pPr>
              <w:pStyle w:val="21"/>
              <w:adjustRightInd w:val="0"/>
              <w:snapToGrid w:val="0"/>
              <w:spacing w:line="420" w:lineRule="exact"/>
              <w:ind w:firstLine="359" w:firstLineChars="171"/>
              <w:rPr>
                <w:rFonts w:hint="eastAsia" w:ascii="宋体" w:eastAsia="宋体"/>
                <w:color w:val="auto"/>
                <w:highlight w:val="none"/>
              </w:rPr>
            </w:pPr>
            <w:r>
              <w:rPr>
                <w:rFonts w:hint="eastAsia" w:ascii="宋体" w:eastAsia="宋体"/>
                <w:color w:val="auto"/>
                <w:highlight w:val="none"/>
              </w:rPr>
              <w:t>资金来源：</w:t>
            </w:r>
            <w:r>
              <w:rPr>
                <w:rFonts w:hint="eastAsia"/>
                <w:color w:val="auto"/>
                <w:highlight w:val="none"/>
                <w:lang w:val="en-US" w:eastAsia="zh-CN"/>
              </w:rPr>
              <w:t>中央资金</w:t>
            </w:r>
            <w:r>
              <w:rPr>
                <w:rFonts w:hint="eastAsia" w:ascii="宋体" w:eastAsia="宋体"/>
                <w:color w:val="auto"/>
                <w:highlight w:val="none"/>
              </w:rPr>
              <w:t>；</w:t>
            </w:r>
          </w:p>
        </w:tc>
      </w:tr>
      <w:tr w14:paraId="5EF003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dxa"/>
            <w:noWrap/>
            <w:vAlign w:val="center"/>
          </w:tcPr>
          <w:p w14:paraId="0530475A">
            <w:pPr>
              <w:autoSpaceDE w:val="0"/>
              <w:autoSpaceDN w:val="0"/>
              <w:adjustRightInd w:val="0"/>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886" w:type="dxa"/>
            <w:noWrap/>
          </w:tcPr>
          <w:p w14:paraId="0E4AA219">
            <w:pPr>
              <w:spacing w:line="420" w:lineRule="exact"/>
              <w:textAlignment w:val="baseline"/>
              <w:rPr>
                <w:rFonts w:ascii="宋体" w:hAnsi="宋体" w:cs="宋体"/>
                <w:color w:val="auto"/>
                <w:szCs w:val="21"/>
                <w:highlight w:val="none"/>
              </w:rPr>
            </w:pPr>
            <w:r>
              <w:rPr>
                <w:rFonts w:hint="eastAsia" w:ascii="宋体" w:hAnsi="宋体" w:cs="宋体"/>
                <w:b/>
                <w:color w:val="auto"/>
                <w:kern w:val="0"/>
                <w:highlight w:val="none"/>
              </w:rPr>
              <w:t>供应商</w:t>
            </w:r>
            <w:r>
              <w:rPr>
                <w:rFonts w:hint="eastAsia" w:ascii="宋体" w:hAnsi="宋体" w:cs="宋体"/>
                <w:b/>
                <w:color w:val="auto"/>
                <w:highlight w:val="none"/>
              </w:rPr>
              <w:t>资格要求：</w:t>
            </w:r>
          </w:p>
          <w:p w14:paraId="7E310504">
            <w:pPr>
              <w:autoSpaceDE w:val="0"/>
              <w:spacing w:line="440" w:lineRule="exact"/>
              <w:ind w:firstLine="420" w:firstLineChars="200"/>
              <w:rPr>
                <w:rFonts w:ascii="宋体" w:hAnsi="宋体"/>
                <w:color w:val="auto"/>
                <w:highlight w:val="none"/>
              </w:rPr>
            </w:pPr>
            <w:r>
              <w:rPr>
                <w:rFonts w:hint="eastAsia" w:ascii="宋体" w:hAnsi="宋体"/>
                <w:color w:val="auto"/>
                <w:highlight w:val="none"/>
              </w:rPr>
              <w:t>1.满足《中华人民共和国政府采购法》第二十二条规定；</w:t>
            </w:r>
          </w:p>
          <w:p w14:paraId="217F32BC">
            <w:pPr>
              <w:autoSpaceDE w:val="0"/>
              <w:spacing w:line="440" w:lineRule="exact"/>
              <w:ind w:firstLine="420" w:firstLineChars="200"/>
              <w:rPr>
                <w:rFonts w:hint="eastAsia" w:ascii="宋体" w:hAnsi="宋体" w:cs="宋体"/>
                <w:color w:val="auto"/>
                <w:szCs w:val="21"/>
                <w:highlight w:val="none"/>
              </w:rPr>
            </w:pPr>
            <w:r>
              <w:rPr>
                <w:rFonts w:hint="eastAsia" w:ascii="宋体" w:hAnsi="宋体"/>
                <w:color w:val="auto"/>
                <w:highlight w:val="none"/>
              </w:rPr>
              <w:t>2.落实政府采购政策需满足的资格要求：</w:t>
            </w:r>
            <w:r>
              <w:rPr>
                <w:rFonts w:hint="eastAsia" w:ascii="宋体" w:hAnsi="宋体" w:cs="宋体"/>
                <w:color w:val="auto"/>
                <w:szCs w:val="21"/>
                <w:highlight w:val="none"/>
                <w:u w:val="single"/>
                <w:lang w:eastAsia="zh-CN" w:bidi="ar"/>
              </w:rPr>
              <w:t>本项目专门面向中小企业采购；供应商应为中小微型企业或监狱企业或残疾人福利性单位</w:t>
            </w:r>
            <w:r>
              <w:rPr>
                <w:rFonts w:hint="eastAsia" w:ascii="宋体" w:hAnsi="宋体" w:cs="宋体"/>
                <w:color w:val="auto"/>
                <w:szCs w:val="21"/>
                <w:highlight w:val="none"/>
              </w:rPr>
              <w:t>；</w:t>
            </w:r>
          </w:p>
          <w:p w14:paraId="60D42E02">
            <w:pPr>
              <w:autoSpaceDE w:val="0"/>
              <w:spacing w:line="440" w:lineRule="exact"/>
              <w:ind w:firstLine="420" w:firstLineChars="200"/>
              <w:rPr>
                <w:rFonts w:ascii="宋体" w:hAnsi="宋体"/>
                <w:color w:val="auto"/>
                <w:highlight w:val="none"/>
              </w:rPr>
            </w:pPr>
            <w:r>
              <w:rPr>
                <w:rFonts w:hint="eastAsia" w:ascii="宋体" w:hAnsi="宋体"/>
                <w:color w:val="auto"/>
                <w:highlight w:val="none"/>
              </w:rPr>
              <w:t>3.本项目的特定资格要求：（1）具有独立法人资格，具备</w:t>
            </w:r>
            <w:r>
              <w:rPr>
                <w:rFonts w:hint="eastAsia" w:ascii="宋体" w:hAnsi="宋体" w:eastAsia="宋体" w:cs="宋体"/>
                <w:color w:val="auto"/>
                <w:kern w:val="2"/>
                <w:sz w:val="21"/>
                <w:szCs w:val="21"/>
                <w:highlight w:val="none"/>
                <w:lang w:val="en-US" w:eastAsia="zh-CN" w:bidi="ar-SA"/>
              </w:rPr>
              <w:t>建筑工程施工总承包叁级以上（含叁级）</w:t>
            </w:r>
            <w:r>
              <w:rPr>
                <w:rFonts w:hint="eastAsia" w:ascii="宋体" w:hAnsi="宋体"/>
                <w:color w:val="auto"/>
                <w:highlight w:val="none"/>
              </w:rPr>
              <w:t>资质，并在人员、设备、资金等方面具有相应的施工能力。（2）项目经理：</w:t>
            </w:r>
            <w:r>
              <w:rPr>
                <w:rFonts w:hint="eastAsia" w:ascii="宋体" w:hAnsi="宋体" w:eastAsia="宋体" w:cs="宋体"/>
                <w:color w:val="auto"/>
                <w:kern w:val="2"/>
                <w:sz w:val="21"/>
                <w:szCs w:val="21"/>
                <w:highlight w:val="none"/>
                <w:lang w:val="en-US" w:eastAsia="zh-CN" w:bidi="ar-SA"/>
              </w:rPr>
              <w:t>具备建筑工程专业二级以上（含二级）</w:t>
            </w:r>
            <w:r>
              <w:rPr>
                <w:rFonts w:hint="eastAsia" w:ascii="宋体" w:hAnsi="宋体"/>
                <w:color w:val="auto"/>
                <w:highlight w:val="none"/>
              </w:rPr>
              <w:t>注册建造师执业资格，具备有效的安全生产考核合格证书（B类）；</w:t>
            </w:r>
            <w:r>
              <w:rPr>
                <w:rFonts w:hint="eastAsia" w:ascii="宋体" w:hAnsi="宋体"/>
                <w:color w:val="auto"/>
                <w:kern w:val="0"/>
                <w:sz w:val="21"/>
                <w:szCs w:val="21"/>
                <w:highlight w:val="none"/>
              </w:rPr>
              <w:t>本项目不接受有在建、已中标未开工或已列为其他项目中标候选人第一名的建造师作为项目经理；</w:t>
            </w:r>
          </w:p>
          <w:p w14:paraId="457A6B8E">
            <w:pPr>
              <w:autoSpaceDE w:val="0"/>
              <w:spacing w:line="440" w:lineRule="exact"/>
              <w:ind w:firstLine="420" w:firstLineChars="200"/>
              <w:rPr>
                <w:rFonts w:ascii="宋体" w:hAnsi="宋体"/>
                <w:color w:val="auto"/>
                <w:highlight w:val="none"/>
              </w:rPr>
            </w:pPr>
            <w:r>
              <w:rPr>
                <w:rFonts w:hint="eastAsia" w:ascii="宋体" w:hAnsi="宋体"/>
                <w:color w:val="auto"/>
                <w:highlight w:val="none"/>
              </w:rPr>
              <w:t>4、</w:t>
            </w:r>
            <w:r>
              <w:rPr>
                <w:rFonts w:hint="eastAsia" w:ascii="宋体" w:hAnsi="宋体" w:cs="宋体"/>
                <w:color w:val="auto"/>
                <w:szCs w:val="21"/>
                <w:highlight w:val="none"/>
              </w:rPr>
              <w:t>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w:t>
            </w:r>
          </w:p>
          <w:p w14:paraId="703EC8C1">
            <w:pPr>
              <w:autoSpaceDE w:val="0"/>
              <w:spacing w:line="440" w:lineRule="exact"/>
              <w:ind w:firstLine="420" w:firstLineChars="200"/>
              <w:rPr>
                <w:rFonts w:ascii="宋体" w:hAnsi="宋体"/>
                <w:color w:val="auto"/>
                <w:highlight w:val="none"/>
              </w:rPr>
            </w:pPr>
            <w:r>
              <w:rPr>
                <w:rFonts w:hint="eastAsia" w:ascii="宋体" w:hAnsi="宋体"/>
                <w:color w:val="auto"/>
                <w:highlight w:val="none"/>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F30DEF4">
            <w:pPr>
              <w:autoSpaceDE w:val="0"/>
              <w:spacing w:line="440" w:lineRule="exact"/>
              <w:ind w:firstLine="420" w:firstLineChars="200"/>
              <w:rPr>
                <w:rFonts w:ascii="宋体" w:hAnsi="宋体" w:cs="宋体"/>
                <w:color w:val="auto"/>
                <w:szCs w:val="21"/>
                <w:highlight w:val="none"/>
              </w:rPr>
            </w:pPr>
            <w:r>
              <w:rPr>
                <w:rFonts w:hint="eastAsia" w:ascii="宋体" w:hAnsi="宋体"/>
                <w:color w:val="auto"/>
                <w:highlight w:val="none"/>
              </w:rPr>
              <w:t>6、本项目不接受未按竞争性磋商公告要求获取竞争性磋商文件的供应商</w:t>
            </w:r>
            <w:r>
              <w:rPr>
                <w:rFonts w:hint="eastAsia" w:ascii="宋体" w:hAnsi="宋体" w:cs="宋体"/>
                <w:color w:val="auto"/>
                <w:szCs w:val="21"/>
                <w:highlight w:val="none"/>
              </w:rPr>
              <w:t>磋商</w:t>
            </w:r>
            <w:r>
              <w:rPr>
                <w:rFonts w:hint="eastAsia" w:ascii="宋体" w:hAnsi="宋体"/>
                <w:color w:val="auto"/>
                <w:highlight w:val="none"/>
              </w:rPr>
              <w:t>。</w:t>
            </w:r>
          </w:p>
        </w:tc>
      </w:tr>
      <w:tr w14:paraId="15C8B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dxa"/>
            <w:shd w:val="clear" w:color="auto" w:fill="auto"/>
            <w:noWrap/>
            <w:vAlign w:val="center"/>
          </w:tcPr>
          <w:p w14:paraId="02B5E6F5">
            <w:pPr>
              <w:autoSpaceDE w:val="0"/>
              <w:autoSpaceDN w:val="0"/>
              <w:adjustRightInd w:val="0"/>
              <w:snapToGrid w:val="0"/>
              <w:spacing w:line="4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5</w:t>
            </w:r>
          </w:p>
        </w:tc>
        <w:tc>
          <w:tcPr>
            <w:tcW w:w="8886" w:type="dxa"/>
            <w:shd w:val="clear" w:color="auto" w:fill="auto"/>
            <w:noWrap/>
            <w:vAlign w:val="center"/>
          </w:tcPr>
          <w:p w14:paraId="61B5D07B">
            <w:pPr>
              <w:autoSpaceDE w:val="0"/>
              <w:autoSpaceDN w:val="0"/>
              <w:adjustRightInd w:val="0"/>
              <w:snapToGrid w:val="0"/>
              <w:spacing w:line="42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磋商有效期：</w:t>
            </w:r>
            <w:r>
              <w:rPr>
                <w:rFonts w:hint="eastAsia" w:ascii="宋体" w:hAnsi="宋体" w:cs="宋体"/>
                <w:color w:val="auto"/>
                <w:szCs w:val="21"/>
                <w:highlight w:val="none"/>
              </w:rPr>
              <w:t>磋商截止日后30天内。</w:t>
            </w:r>
          </w:p>
        </w:tc>
      </w:tr>
      <w:tr w14:paraId="5F9359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dxa"/>
            <w:noWrap/>
            <w:vAlign w:val="center"/>
          </w:tcPr>
          <w:p w14:paraId="666EFBC8">
            <w:pPr>
              <w:autoSpaceDE w:val="0"/>
              <w:autoSpaceDN w:val="0"/>
              <w:adjustRightInd w:val="0"/>
              <w:snapToGrid w:val="0"/>
              <w:spacing w:line="42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6</w:t>
            </w:r>
          </w:p>
        </w:tc>
        <w:tc>
          <w:tcPr>
            <w:tcW w:w="8886" w:type="dxa"/>
            <w:noWrap/>
          </w:tcPr>
          <w:p w14:paraId="48C08F1C">
            <w:pPr>
              <w:autoSpaceDE w:val="0"/>
              <w:spacing w:line="420" w:lineRule="exact"/>
              <w:rPr>
                <w:b/>
                <w:bCs/>
                <w:color w:val="auto"/>
                <w:highlight w:val="none"/>
              </w:rPr>
            </w:pPr>
            <w:r>
              <w:rPr>
                <w:rFonts w:hint="eastAsia"/>
                <w:b/>
                <w:bCs/>
                <w:color w:val="auto"/>
                <w:highlight w:val="none"/>
              </w:rPr>
              <w:t>竞争性磋商响应文件包括以下</w:t>
            </w:r>
            <w:r>
              <w:rPr>
                <w:rFonts w:hint="eastAsia"/>
                <w:b/>
                <w:bCs/>
                <w:color w:val="auto"/>
                <w:highlight w:val="none"/>
                <w:lang w:val="en-US" w:eastAsia="zh-CN"/>
              </w:rPr>
              <w:t>三</w:t>
            </w:r>
            <w:r>
              <w:rPr>
                <w:rFonts w:hint="eastAsia"/>
                <w:b/>
                <w:bCs/>
                <w:color w:val="auto"/>
                <w:highlight w:val="none"/>
              </w:rPr>
              <w:t>个部分</w:t>
            </w:r>
          </w:p>
          <w:p w14:paraId="5301D346">
            <w:pPr>
              <w:autoSpaceDE w:val="0"/>
              <w:spacing w:line="420" w:lineRule="exact"/>
              <w:ind w:firstLine="422" w:firstLineChars="200"/>
              <w:rPr>
                <w:b/>
                <w:bCs/>
                <w:color w:val="auto"/>
                <w:highlight w:val="none"/>
              </w:rPr>
            </w:pPr>
            <w:r>
              <w:rPr>
                <w:rFonts w:hint="eastAsia"/>
                <w:b/>
                <w:bCs/>
                <w:color w:val="auto"/>
                <w:highlight w:val="none"/>
              </w:rPr>
              <w:t>1、价格文件组成内容：</w:t>
            </w:r>
          </w:p>
          <w:p w14:paraId="258CA7E1">
            <w:pPr>
              <w:autoSpaceDE w:val="0"/>
              <w:spacing w:line="420" w:lineRule="exact"/>
              <w:ind w:firstLine="420" w:firstLineChars="200"/>
              <w:rPr>
                <w:color w:val="auto"/>
                <w:highlight w:val="none"/>
              </w:rPr>
            </w:pPr>
            <w:r>
              <w:rPr>
                <w:rFonts w:hint="eastAsia"/>
                <w:color w:val="auto"/>
                <w:highlight w:val="none"/>
              </w:rPr>
              <w:t>（1）磋商函及磋商函附录；（必须提供）</w:t>
            </w:r>
          </w:p>
          <w:p w14:paraId="1E00E8AC">
            <w:pPr>
              <w:autoSpaceDE w:val="0"/>
              <w:spacing w:line="420" w:lineRule="exact"/>
              <w:ind w:firstLine="420" w:firstLineChars="200"/>
              <w:rPr>
                <w:color w:val="auto"/>
                <w:highlight w:val="none"/>
              </w:rPr>
            </w:pPr>
            <w:r>
              <w:rPr>
                <w:rFonts w:hint="eastAsia"/>
                <w:color w:val="auto"/>
                <w:highlight w:val="none"/>
              </w:rPr>
              <w:t>（2）磋商报价表、磋商报价文件；（必须提供）</w:t>
            </w:r>
          </w:p>
          <w:p w14:paraId="06135A6E">
            <w:pPr>
              <w:autoSpaceDE w:val="0"/>
              <w:spacing w:line="420" w:lineRule="exact"/>
              <w:ind w:firstLine="420" w:firstLineChars="200"/>
              <w:rPr>
                <w:color w:val="auto"/>
                <w:highlight w:val="none"/>
              </w:rPr>
            </w:pPr>
            <w:r>
              <w:rPr>
                <w:rFonts w:hint="eastAsia"/>
                <w:color w:val="auto"/>
                <w:highlight w:val="none"/>
              </w:rPr>
              <w:t>（3）供应商针对报价需要说明的其他文件和说明（格式自拟）；</w:t>
            </w:r>
          </w:p>
          <w:p w14:paraId="3C1A34E5">
            <w:pPr>
              <w:pStyle w:val="21"/>
              <w:adjustRightInd w:val="0"/>
              <w:snapToGrid w:val="0"/>
              <w:spacing w:line="420" w:lineRule="exact"/>
              <w:ind w:firstLine="422" w:firstLineChars="200"/>
              <w:rPr>
                <w:rFonts w:hint="eastAsia" w:eastAsia="宋体"/>
                <w:b/>
                <w:bCs/>
                <w:color w:val="auto"/>
                <w:highlight w:val="none"/>
                <w:lang w:val="en-US" w:eastAsia="zh-CN"/>
              </w:rPr>
            </w:pPr>
            <w:r>
              <w:rPr>
                <w:rFonts w:hint="eastAsia"/>
                <w:b/>
                <w:bCs/>
                <w:color w:val="auto"/>
                <w:highlight w:val="none"/>
                <w:lang w:val="en-US" w:eastAsia="zh-CN"/>
              </w:rPr>
              <w:t>2、资格证明文件组成内容</w:t>
            </w:r>
          </w:p>
          <w:p w14:paraId="68997286">
            <w:pPr>
              <w:pStyle w:val="21"/>
              <w:adjustRightInd w:val="0"/>
              <w:snapToGrid w:val="0"/>
              <w:spacing w:line="420" w:lineRule="exact"/>
              <w:ind w:firstLine="420" w:firstLineChars="200"/>
              <w:rPr>
                <w:rFonts w:hint="eastAsia"/>
                <w:color w:val="auto"/>
                <w:highlight w:val="none"/>
              </w:rPr>
            </w:pPr>
            <w:r>
              <w:rPr>
                <w:rFonts w:hint="eastAsia"/>
                <w:color w:val="auto"/>
                <w:highlight w:val="none"/>
              </w:rPr>
              <w:t>（1）磋商声明书</w:t>
            </w:r>
            <w:r>
              <w:rPr>
                <w:rFonts w:hint="eastAsia" w:ascii="仿宋" w:hAnsi="仿宋" w:eastAsia="仿宋" w:cs="仿宋"/>
                <w:color w:val="auto"/>
                <w:sz w:val="24"/>
                <w:highlight w:val="none"/>
              </w:rPr>
              <w:t>；</w:t>
            </w:r>
            <w:r>
              <w:rPr>
                <w:rFonts w:hint="eastAsia"/>
                <w:color w:val="auto"/>
                <w:highlight w:val="none"/>
              </w:rPr>
              <w:t>(必须提供)</w:t>
            </w:r>
          </w:p>
          <w:p w14:paraId="0DE2D0C6">
            <w:pPr>
              <w:pStyle w:val="21"/>
              <w:adjustRightInd w:val="0"/>
              <w:snapToGrid w:val="0"/>
              <w:spacing w:line="420" w:lineRule="exact"/>
              <w:ind w:firstLine="420" w:firstLineChars="200"/>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企业营业执照副本、资质证书和安全生产许可证复印件；（必须提供）</w:t>
            </w:r>
          </w:p>
          <w:p w14:paraId="05DB7980">
            <w:pPr>
              <w:pStyle w:val="21"/>
              <w:adjustRightInd w:val="0"/>
              <w:snapToGrid w:val="0"/>
              <w:spacing w:line="420" w:lineRule="exact"/>
              <w:ind w:firstLine="359" w:firstLineChars="171"/>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贵港市政府采购项目投标资格承诺函（格式见附件）；（必须提供）</w:t>
            </w:r>
          </w:p>
          <w:p w14:paraId="7D4A49A0">
            <w:pPr>
              <w:pStyle w:val="21"/>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textAlignment w:val="auto"/>
              <w:rPr>
                <w:rFonts w:hint="eastAsia"/>
                <w:color w:val="auto"/>
                <w:highlight w:val="none"/>
                <w:lang w:eastAsia="zh-CN"/>
              </w:rPr>
            </w:pPr>
            <w:r>
              <w:rPr>
                <w:rFonts w:hint="eastAsia"/>
                <w:color w:val="auto"/>
                <w:highlight w:val="none"/>
                <w:lang w:eastAsia="zh-CN"/>
              </w:rPr>
              <w:t>注：根据《贵港市财政局关于深化政府采购制度改革优化营商环境工作有关事项的通知》（贵财采[2020] 16号）要求，政府采购供应商参与政府采购活动实施“承诺+信用管理”的准入制度，不再要求供应商提供相关财务、缴纳税收和社会保障资金等证明材料，供应商提供《</w:t>
            </w:r>
            <w:r>
              <w:rPr>
                <w:rFonts w:hint="eastAsia"/>
                <w:color w:val="auto"/>
                <w:highlight w:val="none"/>
                <w:lang w:val="en-US" w:eastAsia="zh-CN"/>
              </w:rPr>
              <w:t>贵港</w:t>
            </w:r>
            <w:r>
              <w:rPr>
                <w:rFonts w:hint="eastAsia"/>
                <w:color w:val="auto"/>
                <w:highlight w:val="none"/>
                <w:lang w:eastAsia="zh-CN"/>
              </w:rPr>
              <w:t>市政府采购项目投标资格承诺函》（格式见附件）承诺符合参与政府采购活动的资格条件且没有税收缴纳、社会保障方面的失信记录）</w:t>
            </w:r>
          </w:p>
          <w:p w14:paraId="66D3C51C">
            <w:pPr>
              <w:pStyle w:val="21"/>
              <w:adjustRightInd w:val="0"/>
              <w:snapToGrid w:val="0"/>
              <w:spacing w:line="420" w:lineRule="exact"/>
              <w:ind w:firstLine="359" w:firstLineChars="171"/>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lang w:val="en-US" w:eastAsia="zh-CN"/>
              </w:rPr>
              <w:t xml:space="preserve">供应商直接控股、管理关系信息表（格式见附件）；（必须提供） </w:t>
            </w:r>
          </w:p>
          <w:p w14:paraId="3067C6B3">
            <w:pPr>
              <w:autoSpaceDE w:val="0"/>
              <w:spacing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（5）供应商属于</w:t>
            </w:r>
            <w:r>
              <w:rPr>
                <w:rFonts w:hint="eastAsia" w:ascii="宋体" w:hAnsi="宋体" w:cs="宋体"/>
                <w:color w:val="auto"/>
                <w:kern w:val="2"/>
                <w:sz w:val="21"/>
                <w:szCs w:val="21"/>
                <w:highlight w:val="none"/>
                <w:lang w:val="en-US" w:eastAsia="zh-CN" w:bidi="ar-SA"/>
              </w:rPr>
              <w:t>中</w:t>
            </w:r>
            <w:r>
              <w:rPr>
                <w:rFonts w:hint="eastAsia" w:ascii="宋体" w:hAnsi="宋体" w:eastAsia="宋体" w:cs="宋体"/>
                <w:color w:val="auto"/>
                <w:kern w:val="2"/>
                <w:sz w:val="21"/>
                <w:szCs w:val="21"/>
                <w:highlight w:val="none"/>
                <w:lang w:val="en-US" w:eastAsia="zh-CN" w:bidi="ar-SA"/>
              </w:rPr>
              <w:t>小微型企业的，请提供《中小企业声明函》(格式见附件)；属监狱企业的，请提供由省级以上监狱管理局、戒毒管理局（含新疆生产建设兵团）出具的属于监狱企业的证明文件；属于残疾人福利性单位的，请提供《残疾人福利性单位声明函》(格式见附件)；（必须提供）</w:t>
            </w:r>
          </w:p>
          <w:p w14:paraId="3622EC21">
            <w:pPr>
              <w:keepNext w:val="0"/>
              <w:keepLines w:val="0"/>
              <w:widowControl/>
              <w:suppressLineNumbers w:val="0"/>
              <w:jc w:val="left"/>
              <w:rPr>
                <w:rFonts w:hint="default" w:eastAsia="黑体"/>
                <w:color w:val="auto"/>
                <w:highlight w:val="none"/>
                <w:lang w:val="en-US" w:eastAsia="zh-CN"/>
              </w:rPr>
            </w:pPr>
            <w:r>
              <w:rPr>
                <w:rFonts w:hint="eastAsia"/>
                <w:color w:val="auto"/>
                <w:highlight w:val="none"/>
                <w:lang w:val="en-US" w:eastAsia="zh-CN"/>
              </w:rPr>
              <w:t xml:space="preserve">   </w:t>
            </w:r>
            <w:r>
              <w:rPr>
                <w:rFonts w:hint="eastAsia" w:ascii="宋体" w:hAnsi="Courier New" w:eastAsia="宋体" w:cs="Times New Roman"/>
                <w:color w:val="auto"/>
                <w:kern w:val="2"/>
                <w:sz w:val="21"/>
                <w:highlight w:val="none"/>
                <w:lang w:val="en-US" w:eastAsia="zh-CN" w:bidi="ar-SA"/>
              </w:rPr>
              <w:t xml:space="preserve">（6）除磋商文件规定必须提供以外，供应商认为需要提供的其他证明材料； </w:t>
            </w:r>
          </w:p>
          <w:p w14:paraId="2E7503D8">
            <w:pPr>
              <w:pStyle w:val="21"/>
              <w:adjustRightInd w:val="0"/>
              <w:snapToGrid w:val="0"/>
              <w:spacing w:line="420" w:lineRule="exact"/>
              <w:ind w:firstLine="422" w:firstLineChars="200"/>
              <w:rPr>
                <w:rFonts w:hint="eastAsia"/>
                <w:b/>
                <w:bCs/>
                <w:color w:val="auto"/>
                <w:highlight w:val="none"/>
              </w:rPr>
            </w:pPr>
            <w:r>
              <w:rPr>
                <w:rFonts w:hint="eastAsia"/>
                <w:b/>
                <w:bCs/>
                <w:color w:val="auto"/>
                <w:highlight w:val="none"/>
                <w:lang w:val="en-US" w:eastAsia="zh-CN"/>
              </w:rPr>
              <w:t>3</w:t>
            </w:r>
            <w:r>
              <w:rPr>
                <w:rFonts w:hint="eastAsia"/>
                <w:b/>
                <w:bCs/>
                <w:color w:val="auto"/>
                <w:highlight w:val="none"/>
              </w:rPr>
              <w:t>、商务</w:t>
            </w:r>
            <w:r>
              <w:rPr>
                <w:rFonts w:hint="eastAsia"/>
                <w:b/>
                <w:bCs/>
                <w:color w:val="auto"/>
                <w:highlight w:val="none"/>
                <w:lang w:eastAsia="zh-CN"/>
              </w:rPr>
              <w:t>技术</w:t>
            </w:r>
            <w:r>
              <w:rPr>
                <w:rFonts w:hint="eastAsia"/>
                <w:b/>
                <w:bCs/>
                <w:color w:val="auto"/>
                <w:highlight w:val="none"/>
              </w:rPr>
              <w:t>文件组成内容</w:t>
            </w:r>
          </w:p>
          <w:p w14:paraId="012BCECC">
            <w:pPr>
              <w:pStyle w:val="21"/>
              <w:adjustRightInd w:val="0"/>
              <w:snapToGrid w:val="0"/>
              <w:spacing w:line="420" w:lineRule="exact"/>
              <w:ind w:firstLine="359" w:firstLineChars="171"/>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磋商书；（格式见附件，必须提供）</w:t>
            </w:r>
          </w:p>
          <w:p w14:paraId="126A2F98">
            <w:pPr>
              <w:pStyle w:val="21"/>
              <w:adjustRightInd w:val="0"/>
              <w:snapToGrid w:val="0"/>
              <w:spacing w:line="420" w:lineRule="exact"/>
              <w:ind w:firstLine="420" w:firstLineChars="200"/>
              <w:rPr>
                <w:rFonts w:hint="eastAsia"/>
                <w:color w:val="auto"/>
                <w:highlight w:val="none"/>
                <w:lang w:val="en-US" w:eastAsia="zh-CN"/>
              </w:rPr>
            </w:pPr>
            <w:r>
              <w:rPr>
                <w:rFonts w:hint="eastAsia"/>
                <w:color w:val="auto"/>
                <w:highlight w:val="none"/>
                <w:lang w:val="en-US" w:eastAsia="zh-CN"/>
              </w:rPr>
              <w:t>（2）法定代表人身份证明书原件及法定代表人有效身份证正反面复印件；（格式见附件，必须提供）</w:t>
            </w:r>
          </w:p>
          <w:p w14:paraId="0E9B9ABA">
            <w:pPr>
              <w:pStyle w:val="21"/>
              <w:adjustRightInd w:val="0"/>
              <w:snapToGrid w:val="0"/>
              <w:spacing w:line="420" w:lineRule="exact"/>
              <w:ind w:firstLine="420" w:firstLineChars="200"/>
              <w:rPr>
                <w:rFonts w:hint="eastAsia"/>
                <w:color w:val="auto"/>
                <w:highlight w:val="none"/>
                <w:lang w:val="en-US" w:eastAsia="zh-CN"/>
              </w:rPr>
            </w:pPr>
            <w:r>
              <w:rPr>
                <w:rFonts w:hint="eastAsia"/>
                <w:color w:val="auto"/>
                <w:highlight w:val="none"/>
                <w:lang w:val="en-US" w:eastAsia="zh-CN"/>
              </w:rPr>
              <w:t>（3）法定代表人授权委托书原件及被授权人有效身份证正反面复印件；（格式见附件，委托时必须提供，否则磋商无效）</w:t>
            </w:r>
          </w:p>
          <w:p w14:paraId="5B462CD6">
            <w:pPr>
              <w:pStyle w:val="21"/>
              <w:adjustRightInd w:val="0"/>
              <w:snapToGrid w:val="0"/>
              <w:spacing w:line="420" w:lineRule="exact"/>
              <w:ind w:firstLine="42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s="宋体"/>
                <w:color w:val="auto"/>
                <w:highlight w:val="none"/>
              </w:rPr>
              <w:t>拟担任本工程项目经理有效的</w:t>
            </w:r>
            <w:r>
              <w:rPr>
                <w:rFonts w:hint="eastAsia" w:cs="宋体"/>
                <w:color w:val="auto"/>
                <w:highlight w:val="none"/>
                <w:lang w:eastAsia="zh-CN"/>
              </w:rPr>
              <w:t>身份证、</w:t>
            </w:r>
            <w:r>
              <w:rPr>
                <w:rFonts w:hint="eastAsia" w:cs="宋体"/>
                <w:color w:val="auto"/>
                <w:highlight w:val="none"/>
              </w:rPr>
              <w:t>注册建造师资质证书及其安全生产考核合格证复印件加盖单位公章；</w:t>
            </w:r>
            <w:r>
              <w:rPr>
                <w:rFonts w:hint="eastAsia"/>
                <w:color w:val="auto"/>
                <w:highlight w:val="none"/>
                <w:lang w:val="en-US" w:eastAsia="zh-CN"/>
              </w:rPr>
              <w:t>（必须提供）</w:t>
            </w:r>
          </w:p>
          <w:p w14:paraId="3B849827">
            <w:pPr>
              <w:pStyle w:val="21"/>
              <w:adjustRightInd w:val="0"/>
              <w:snapToGrid w:val="0"/>
              <w:spacing w:line="420" w:lineRule="exact"/>
              <w:ind w:firstLine="359" w:firstLineChars="171"/>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）农民工工资保障金的交纳与使用承诺书；（必须提供）</w:t>
            </w:r>
          </w:p>
          <w:p w14:paraId="50D264F4">
            <w:pPr>
              <w:pStyle w:val="21"/>
              <w:adjustRightInd w:val="0"/>
              <w:snapToGrid w:val="0"/>
              <w:spacing w:line="420" w:lineRule="exact"/>
              <w:ind w:firstLine="359" w:firstLineChars="171"/>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w:t>
            </w:r>
            <w:r>
              <w:rPr>
                <w:rFonts w:hint="eastAsia" w:hAnsi="宋体" w:cs="宋体"/>
                <w:color w:val="auto"/>
                <w:szCs w:val="21"/>
                <w:highlight w:val="none"/>
              </w:rPr>
              <w:t>建设工程项目管理承诺书</w:t>
            </w:r>
            <w:r>
              <w:rPr>
                <w:rFonts w:hint="eastAsia"/>
                <w:color w:val="auto"/>
                <w:highlight w:val="none"/>
              </w:rPr>
              <w:t>；（必须提供）</w:t>
            </w:r>
          </w:p>
          <w:p w14:paraId="43AAF8A7">
            <w:pPr>
              <w:pStyle w:val="21"/>
              <w:adjustRightInd w:val="0"/>
              <w:snapToGrid w:val="0"/>
              <w:spacing w:line="420" w:lineRule="exact"/>
              <w:ind w:firstLine="359" w:firstLineChars="171"/>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）施工组织设计或施工方案；（必须提供）</w:t>
            </w:r>
          </w:p>
          <w:p w14:paraId="0E8202A2">
            <w:pPr>
              <w:pStyle w:val="21"/>
              <w:adjustRightInd w:val="0"/>
              <w:snapToGrid w:val="0"/>
              <w:spacing w:line="420" w:lineRule="exact"/>
              <w:ind w:firstLine="359" w:firstLineChars="171"/>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）项目管理机构配备情况；（必须提供）</w:t>
            </w:r>
          </w:p>
          <w:p w14:paraId="79135DD5">
            <w:pPr>
              <w:pStyle w:val="21"/>
              <w:adjustRightInd w:val="0"/>
              <w:snapToGrid w:val="0"/>
              <w:spacing w:line="420" w:lineRule="exact"/>
              <w:ind w:firstLine="359" w:firstLineChars="171"/>
              <w:rPr>
                <w:color w:val="auto"/>
                <w:highlight w:val="none"/>
              </w:rPr>
            </w:pPr>
            <w:r>
              <w:rPr>
                <w:rFonts w:hint="eastAsia"/>
                <w:color w:val="auto"/>
                <w:highlight w:val="none"/>
              </w:rPr>
              <w:t>（</w:t>
            </w:r>
            <w:r>
              <w:rPr>
                <w:rFonts w:hint="eastAsia"/>
                <w:color w:val="auto"/>
                <w:highlight w:val="none"/>
                <w:lang w:val="en-US" w:eastAsia="zh-CN"/>
              </w:rPr>
              <w:t>9</w:t>
            </w:r>
            <w:r>
              <w:rPr>
                <w:rFonts w:hint="eastAsia"/>
                <w:color w:val="auto"/>
                <w:highlight w:val="none"/>
              </w:rPr>
              <w:t>）供应商认为需要提供的有关资料。</w:t>
            </w:r>
          </w:p>
          <w:p w14:paraId="1863F288">
            <w:pPr>
              <w:pStyle w:val="21"/>
              <w:adjustRightInd w:val="0"/>
              <w:snapToGrid w:val="0"/>
              <w:spacing w:line="420" w:lineRule="exact"/>
              <w:rPr>
                <w:color w:val="auto"/>
                <w:highlight w:val="none"/>
              </w:rPr>
            </w:pPr>
            <w:r>
              <w:rPr>
                <w:rFonts w:hint="eastAsia" w:hAnsi="宋体" w:cs="宋体"/>
                <w:b/>
                <w:color w:val="auto"/>
                <w:szCs w:val="21"/>
                <w:highlight w:val="none"/>
              </w:rPr>
              <w:t>注：以上材料注有“必须提供”的内容，为实质性内容必须提供，同时加盖供应商公章，并且要求字迹清晰，否则磋商无效。</w:t>
            </w:r>
          </w:p>
        </w:tc>
      </w:tr>
      <w:bookmarkEnd w:id="148"/>
      <w:tr w14:paraId="71DEA7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dxa"/>
            <w:noWrap/>
            <w:vAlign w:val="center"/>
          </w:tcPr>
          <w:p w14:paraId="2F28DE72">
            <w:pPr>
              <w:autoSpaceDE w:val="0"/>
              <w:autoSpaceDN w:val="0"/>
              <w:adjustRightInd w:val="0"/>
              <w:snapToGrid w:val="0"/>
              <w:spacing w:line="420" w:lineRule="exact"/>
              <w:jc w:val="center"/>
              <w:rPr>
                <w:rFonts w:ascii="宋体" w:hAnsi="宋体" w:cs="宋体"/>
                <w:color w:val="auto"/>
                <w:kern w:val="0"/>
                <w:szCs w:val="21"/>
                <w:highlight w:val="none"/>
              </w:rPr>
            </w:pPr>
            <w:r>
              <w:rPr>
                <w:rFonts w:hint="eastAsia" w:ascii="宋体" w:hAnsi="宋体" w:eastAsia="宋体" w:cs="宋体"/>
                <w:color w:val="auto"/>
                <w:kern w:val="0"/>
                <w:sz w:val="18"/>
                <w:szCs w:val="18"/>
                <w:highlight w:val="none"/>
                <w:lang w:val="en-US" w:eastAsia="zh-CN"/>
              </w:rPr>
              <w:t>7</w:t>
            </w:r>
          </w:p>
        </w:tc>
        <w:tc>
          <w:tcPr>
            <w:tcW w:w="8886" w:type="dxa"/>
            <w:noWrap/>
            <w:vAlign w:val="center"/>
          </w:tcPr>
          <w:p w14:paraId="64CD7FA9">
            <w:pPr>
              <w:autoSpaceDE w:val="0"/>
              <w:autoSpaceDN w:val="0"/>
              <w:adjustRightInd w:val="0"/>
              <w:snapToGrid w:val="0"/>
              <w:spacing w:line="420" w:lineRule="exact"/>
              <w:ind w:firstLine="420" w:firstLineChars="200"/>
              <w:rPr>
                <w:rFonts w:hAnsi="宋体" w:cs="宋体"/>
                <w:color w:val="auto"/>
                <w:highlight w:val="none"/>
              </w:rPr>
            </w:pPr>
            <w:r>
              <w:rPr>
                <w:rFonts w:hint="eastAsia" w:ascii="宋体" w:hAnsi="宋体" w:eastAsia="宋体" w:cs="宋体"/>
                <w:color w:val="auto"/>
                <w:szCs w:val="22"/>
                <w:highlight w:val="none"/>
              </w:rPr>
              <w:t>磋商保证金</w:t>
            </w:r>
            <w:r>
              <w:rPr>
                <w:rFonts w:hint="eastAsia" w:ascii="宋体" w:hAnsi="宋体" w:eastAsia="宋体" w:cs="宋体"/>
                <w:color w:val="auto"/>
                <w:highlight w:val="none"/>
              </w:rPr>
              <w:t>：</w:t>
            </w:r>
            <w:r>
              <w:rPr>
                <w:rFonts w:hint="eastAsia" w:hAnsi="宋体"/>
                <w:color w:val="auto"/>
                <w:szCs w:val="21"/>
                <w:highlight w:val="none"/>
              </w:rPr>
              <w:t>本项目不需要缴纳磋商保证金；</w:t>
            </w:r>
          </w:p>
        </w:tc>
      </w:tr>
      <w:tr w14:paraId="29B79F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dxa"/>
            <w:noWrap/>
            <w:vAlign w:val="center"/>
          </w:tcPr>
          <w:p w14:paraId="0BCB6E4C">
            <w:pPr>
              <w:autoSpaceDE w:val="0"/>
              <w:autoSpaceDN w:val="0"/>
              <w:adjustRightInd w:val="0"/>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8886" w:type="dxa"/>
            <w:noWrap/>
          </w:tcPr>
          <w:p w14:paraId="3E7713E2">
            <w:pPr>
              <w:autoSpaceDE w:val="0"/>
              <w:autoSpaceDN w:val="0"/>
              <w:adjustRightInd w:val="0"/>
              <w:snapToGrid w:val="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递交响应文件截止时间：北京时间</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08</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04</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lang w:eastAsia="zh-CN"/>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lang w:eastAsia="zh-CN"/>
              </w:rPr>
              <w:t>分</w:t>
            </w:r>
            <w:r>
              <w:rPr>
                <w:rFonts w:hint="eastAsia" w:ascii="宋体" w:hAnsi="宋体" w:eastAsia="宋体" w:cs="宋体"/>
                <w:color w:val="auto"/>
                <w:highlight w:val="none"/>
                <w:u w:val="single"/>
              </w:rPr>
              <w:t>整</w:t>
            </w:r>
            <w:r>
              <w:rPr>
                <w:rFonts w:hint="eastAsia" w:ascii="宋体" w:hAnsi="宋体" w:eastAsia="宋体" w:cs="宋体"/>
                <w:color w:val="auto"/>
                <w:highlight w:val="none"/>
              </w:rPr>
              <w:t>；</w:t>
            </w:r>
            <w:r>
              <w:rPr>
                <w:rFonts w:hint="eastAsia" w:ascii="宋体" w:hAnsi="宋体" w:eastAsia="宋体" w:cs="宋体"/>
                <w:color w:val="auto"/>
                <w:highlight w:val="none"/>
              </w:rPr>
              <w:tab/>
            </w:r>
          </w:p>
          <w:p w14:paraId="2B8DDC7A">
            <w:pPr>
              <w:autoSpaceDE w:val="0"/>
              <w:autoSpaceDN w:val="0"/>
              <w:adjustRightInd w:val="0"/>
              <w:snapToGrid w:val="0"/>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递交</w:t>
            </w:r>
            <w:r>
              <w:rPr>
                <w:rFonts w:hint="eastAsia" w:ascii="宋体" w:hAnsi="宋体" w:eastAsia="宋体" w:cs="宋体"/>
                <w:color w:val="auto"/>
                <w:highlight w:val="none"/>
              </w:rPr>
              <w:t>响应文件形式：</w:t>
            </w:r>
            <w:r>
              <w:rPr>
                <w:rFonts w:hint="eastAsia" w:ascii="宋体" w:hAnsi="宋体" w:eastAsia="宋体" w:cs="宋体"/>
                <w:color w:val="auto"/>
                <w:highlight w:val="none"/>
                <w:lang w:val="en-US" w:eastAsia="zh-CN"/>
              </w:rPr>
              <w:t>在广西政府采购</w:t>
            </w:r>
            <w:r>
              <w:rPr>
                <w:rFonts w:hint="eastAsia" w:ascii="宋体" w:hAnsi="宋体" w:eastAsia="宋体" w:cs="宋体"/>
                <w:color w:val="auto"/>
                <w:highlight w:val="none"/>
              </w:rPr>
              <w:t>云平台项目采购-电子招投标操作指南中上传的电子响应文件。</w:t>
            </w:r>
          </w:p>
          <w:p w14:paraId="0F8F622C">
            <w:pPr>
              <w:autoSpaceDE w:val="0"/>
              <w:autoSpaceDN w:val="0"/>
              <w:adjustRightInd w:val="0"/>
              <w:snapToGrid w:val="0"/>
              <w:spacing w:line="420" w:lineRule="exact"/>
              <w:ind w:firstLine="420" w:firstLineChars="200"/>
              <w:rPr>
                <w:rFonts w:ascii="宋体" w:hAnsi="宋体" w:cs="宋体"/>
                <w:color w:val="auto"/>
                <w:highlight w:val="none"/>
              </w:rPr>
            </w:pPr>
            <w:r>
              <w:rPr>
                <w:rFonts w:hint="eastAsia" w:ascii="宋体" w:hAnsi="宋体" w:eastAsia="宋体" w:cs="宋体"/>
                <w:color w:val="auto"/>
                <w:highlight w:val="none"/>
              </w:rPr>
              <w:t>电子响应文件解密时间：首次响应文件提交截止时间后30分钟内，供应商必须在此时间段内登录</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，用“项目采购-开标评标”功能完成电子响应文件的解密。</w:t>
            </w:r>
          </w:p>
        </w:tc>
      </w:tr>
      <w:tr w14:paraId="415B16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dxa"/>
            <w:noWrap/>
            <w:vAlign w:val="center"/>
          </w:tcPr>
          <w:p w14:paraId="7A11859B">
            <w:pPr>
              <w:autoSpaceDE w:val="0"/>
              <w:autoSpaceDN w:val="0"/>
              <w:adjustRightInd w:val="0"/>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886" w:type="dxa"/>
            <w:noWrap/>
          </w:tcPr>
          <w:p w14:paraId="278C9111">
            <w:pPr>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磋商时间：</w:t>
            </w:r>
            <w:r>
              <w:rPr>
                <w:rFonts w:hint="eastAsia" w:ascii="宋体" w:hAnsi="宋体" w:cs="宋体"/>
                <w:color w:val="auto"/>
                <w:highlight w:val="none"/>
              </w:rPr>
              <w:t>北京时间</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08</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04</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lang w:eastAsia="zh-CN"/>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lang w:eastAsia="zh-CN"/>
              </w:rPr>
              <w:t>分</w:t>
            </w:r>
            <w:r>
              <w:rPr>
                <w:rFonts w:hint="eastAsia" w:ascii="宋体" w:hAnsi="宋体" w:cs="宋体"/>
                <w:b/>
                <w:bCs/>
                <w:color w:val="auto"/>
                <w:szCs w:val="21"/>
                <w:highlight w:val="none"/>
              </w:rPr>
              <w:t>截标后（具体时间</w:t>
            </w:r>
            <w:r>
              <w:rPr>
                <w:rFonts w:hint="eastAsia" w:ascii="宋体" w:hAnsi="宋体" w:cs="宋体"/>
                <w:b/>
                <w:bCs/>
                <w:color w:val="auto"/>
                <w:szCs w:val="21"/>
                <w:highlight w:val="none"/>
                <w:lang w:val="en-US" w:eastAsia="zh-CN"/>
              </w:rPr>
              <w:t>将通过广西政府采购云平台【或</w:t>
            </w:r>
            <w:r>
              <w:rPr>
                <w:rFonts w:hint="eastAsia" w:ascii="宋体" w:hAnsi="宋体" w:cs="宋体"/>
                <w:b/>
                <w:bCs/>
                <w:color w:val="auto"/>
                <w:szCs w:val="21"/>
                <w:highlight w:val="none"/>
              </w:rPr>
              <w:t>采购代理机构</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另行通知）</w:t>
            </w:r>
            <w:r>
              <w:rPr>
                <w:rFonts w:hint="eastAsia" w:ascii="宋体" w:hAnsi="宋体"/>
                <w:color w:val="auto"/>
                <w:szCs w:val="21"/>
                <w:highlight w:val="none"/>
              </w:rPr>
              <w:t>；</w:t>
            </w:r>
          </w:p>
          <w:p w14:paraId="23C82897">
            <w:pPr>
              <w:autoSpaceDE w:val="0"/>
              <w:autoSpaceDN w:val="0"/>
              <w:adjustRightInd w:val="0"/>
              <w:snapToGrid w:val="0"/>
              <w:spacing w:line="420" w:lineRule="exact"/>
              <w:ind w:firstLine="420" w:firstLineChars="200"/>
              <w:jc w:val="left"/>
              <w:rPr>
                <w:rFonts w:ascii="宋体" w:hAnsi="宋体" w:cs="宋体"/>
                <w:color w:val="auto"/>
                <w:kern w:val="0"/>
                <w:szCs w:val="21"/>
                <w:highlight w:val="none"/>
              </w:rPr>
            </w:pPr>
            <w:r>
              <w:rPr>
                <w:rFonts w:hint="eastAsia" w:ascii="宋体" w:hAnsi="宋体"/>
                <w:color w:val="auto"/>
                <w:szCs w:val="21"/>
                <w:highlight w:val="none"/>
              </w:rPr>
              <w:t xml:space="preserve">本项目为全流程电子标项目，无需供应商来开标现场递交响应文件，供应商授权委托代理人可以不用到开标现场参加开标（截标）会。代理机构将电话通知供应商进行磋商等相关事宜。 </w:t>
            </w:r>
          </w:p>
        </w:tc>
      </w:tr>
      <w:tr w14:paraId="617D71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dxa"/>
            <w:noWrap/>
            <w:vAlign w:val="center"/>
          </w:tcPr>
          <w:p w14:paraId="28D7B0ED">
            <w:pPr>
              <w:autoSpaceDE w:val="0"/>
              <w:autoSpaceDN w:val="0"/>
              <w:adjustRightInd w:val="0"/>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886" w:type="dxa"/>
            <w:noWrap/>
            <w:vAlign w:val="center"/>
          </w:tcPr>
          <w:p w14:paraId="3516D381">
            <w:pPr>
              <w:autoSpaceDE w:val="0"/>
              <w:autoSpaceDN w:val="0"/>
              <w:adjustRightInd w:val="0"/>
              <w:snapToGrid w:val="0"/>
              <w:spacing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磋商小组组成:</w:t>
            </w:r>
            <w:r>
              <w:rPr>
                <w:rFonts w:hint="eastAsia" w:ascii="宋体" w:hAnsi="宋体" w:cs="宋体"/>
                <w:color w:val="auto"/>
                <w:kern w:val="0"/>
                <w:szCs w:val="21"/>
                <w:highlight w:val="none"/>
                <w:u w:val="single"/>
              </w:rPr>
              <w:t>3</w:t>
            </w:r>
            <w:r>
              <w:rPr>
                <w:rFonts w:hint="eastAsia" w:ascii="宋体" w:hAnsi="宋体" w:cs="宋体"/>
                <w:color w:val="auto"/>
                <w:kern w:val="0"/>
                <w:szCs w:val="21"/>
                <w:highlight w:val="none"/>
              </w:rPr>
              <w:t>人。</w:t>
            </w:r>
          </w:p>
        </w:tc>
      </w:tr>
      <w:tr w14:paraId="2CFBD3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dxa"/>
            <w:noWrap/>
            <w:vAlign w:val="center"/>
          </w:tcPr>
          <w:p w14:paraId="00AB78B1">
            <w:pPr>
              <w:autoSpaceDE w:val="0"/>
              <w:autoSpaceDN w:val="0"/>
              <w:adjustRightInd w:val="0"/>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8886" w:type="dxa"/>
            <w:noWrap/>
            <w:vAlign w:val="center"/>
          </w:tcPr>
          <w:p w14:paraId="6E80CE3C">
            <w:pPr>
              <w:autoSpaceDE w:val="0"/>
              <w:autoSpaceDN w:val="0"/>
              <w:adjustRightInd w:val="0"/>
              <w:snapToGrid w:val="0"/>
              <w:spacing w:line="420" w:lineRule="exact"/>
              <w:rPr>
                <w:rFonts w:ascii="宋体" w:hAnsi="宋体" w:cs="宋体"/>
                <w:color w:val="auto"/>
                <w:kern w:val="0"/>
                <w:szCs w:val="21"/>
                <w:highlight w:val="none"/>
              </w:rPr>
            </w:pPr>
            <w:r>
              <w:rPr>
                <w:rFonts w:hint="eastAsia" w:ascii="宋体" w:hAnsi="宋体" w:cs="宋体"/>
                <w:color w:val="auto"/>
                <w:kern w:val="0"/>
                <w:szCs w:val="21"/>
                <w:highlight w:val="none"/>
              </w:rPr>
              <w:t>评标办法：综合评分法。</w:t>
            </w:r>
          </w:p>
        </w:tc>
      </w:tr>
      <w:tr w14:paraId="76A2BB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dxa"/>
            <w:noWrap/>
            <w:vAlign w:val="center"/>
          </w:tcPr>
          <w:p w14:paraId="487E67B9">
            <w:pPr>
              <w:autoSpaceDE w:val="0"/>
              <w:autoSpaceDN w:val="0"/>
              <w:adjustRightInd w:val="0"/>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886" w:type="dxa"/>
            <w:noWrap/>
            <w:vAlign w:val="center"/>
          </w:tcPr>
          <w:p w14:paraId="1492334F">
            <w:pPr>
              <w:numPr>
                <w:ilvl w:val="0"/>
                <w:numId w:val="2"/>
              </w:numPr>
              <w:autoSpaceDE w:val="0"/>
              <w:autoSpaceDN w:val="0"/>
              <w:adjustRightInd w:val="0"/>
              <w:snapToGrid w:val="0"/>
              <w:spacing w:line="420" w:lineRule="exact"/>
              <w:rPr>
                <w:rFonts w:hint="eastAsia" w:ascii="宋体" w:hAnsi="宋体" w:cs="宋体"/>
                <w:bCs/>
                <w:color w:val="auto"/>
                <w:szCs w:val="21"/>
                <w:highlight w:val="none"/>
              </w:rPr>
            </w:pPr>
            <w:r>
              <w:rPr>
                <w:rFonts w:hint="eastAsia" w:ascii="宋体" w:hAnsi="宋体" w:cs="宋体"/>
                <w:color w:val="auto"/>
                <w:szCs w:val="21"/>
                <w:highlight w:val="none"/>
              </w:rPr>
              <w:t>招标代理费由成交人支付。根据采购单位与采购代理单位签订的本项目招标代理合同约定，本工程招标代理费由成交人在领取成交通知书时，以现金或转帐方式一次性支付给采购代理单位。本工程招标代理费取中标价作为计算基数，按差额定率累进法计算，其费率为：100万元以下--1.0%；100～500万元--0.7%；500～1000万元--0.55%；1000-5000万元--0.35%</w:t>
            </w:r>
            <w:r>
              <w:rPr>
                <w:rFonts w:hint="eastAsia" w:ascii="宋体" w:hAnsi="宋体" w:cs="宋体"/>
                <w:bCs/>
                <w:color w:val="auto"/>
                <w:szCs w:val="21"/>
                <w:highlight w:val="none"/>
              </w:rPr>
              <w:t>。</w:t>
            </w:r>
          </w:p>
          <w:p w14:paraId="41D36B46">
            <w:pPr>
              <w:numPr>
                <w:ilvl w:val="0"/>
                <w:numId w:val="0"/>
              </w:numPr>
              <w:autoSpaceDE w:val="0"/>
              <w:autoSpaceDN w:val="0"/>
              <w:adjustRightInd w:val="0"/>
              <w:snapToGrid w:val="0"/>
              <w:spacing w:line="420" w:lineRule="exact"/>
              <w:rPr>
                <w:rFonts w:ascii="宋体" w:hAnsi="宋体" w:cs="宋体"/>
                <w:color w:val="auto"/>
                <w:kern w:val="0"/>
                <w:szCs w:val="21"/>
                <w:highlight w:val="none"/>
              </w:rPr>
            </w:pPr>
            <w:r>
              <w:rPr>
                <w:rFonts w:hint="eastAsia" w:ascii="宋体" w:hAnsi="宋体" w:cs="宋体"/>
                <w:color w:val="auto"/>
                <w:kern w:val="0"/>
                <w:szCs w:val="21"/>
                <w:highlight w:val="none"/>
              </w:rPr>
              <w:t>2、采购代理机构指定的收取招标代理服务费的银行账户：</w:t>
            </w:r>
          </w:p>
          <w:p w14:paraId="40B1F4BC">
            <w:pPr>
              <w:autoSpaceDE w:val="0"/>
              <w:autoSpaceDN w:val="0"/>
              <w:adjustRightInd w:val="0"/>
              <w:snapToGrid w:val="0"/>
              <w:spacing w:line="420" w:lineRule="exact"/>
              <w:rPr>
                <w:rFonts w:ascii="宋体" w:hAnsi="宋体" w:cs="宋体"/>
                <w:color w:val="auto"/>
                <w:kern w:val="0"/>
                <w:szCs w:val="21"/>
                <w:highlight w:val="none"/>
              </w:rPr>
            </w:pPr>
            <w:r>
              <w:rPr>
                <w:rFonts w:hint="eastAsia" w:ascii="宋体" w:hAnsi="宋体" w:cs="宋体"/>
                <w:color w:val="auto"/>
                <w:kern w:val="0"/>
                <w:szCs w:val="21"/>
                <w:highlight w:val="none"/>
              </w:rPr>
              <w:t>开户名称：广西睿翼工程咨询有限公司南宁分公司</w:t>
            </w:r>
          </w:p>
          <w:p w14:paraId="7267F1C8">
            <w:pPr>
              <w:autoSpaceDE w:val="0"/>
              <w:autoSpaceDN w:val="0"/>
              <w:adjustRightInd w:val="0"/>
              <w:snapToGrid w:val="0"/>
              <w:spacing w:line="420" w:lineRule="exact"/>
              <w:rPr>
                <w:rFonts w:ascii="宋体" w:hAnsi="宋体" w:cs="宋体"/>
                <w:color w:val="auto"/>
                <w:kern w:val="0"/>
                <w:szCs w:val="21"/>
                <w:highlight w:val="none"/>
              </w:rPr>
            </w:pPr>
            <w:r>
              <w:rPr>
                <w:rFonts w:hint="eastAsia" w:ascii="宋体" w:hAnsi="宋体" w:cs="宋体"/>
                <w:color w:val="auto"/>
                <w:kern w:val="0"/>
                <w:szCs w:val="21"/>
                <w:highlight w:val="none"/>
              </w:rPr>
              <w:t>开户银行：华夏银行股份有限公司南宁青秀支行</w:t>
            </w:r>
          </w:p>
          <w:p w14:paraId="19859564">
            <w:pPr>
              <w:autoSpaceDE w:val="0"/>
              <w:autoSpaceDN w:val="0"/>
              <w:adjustRightInd w:val="0"/>
              <w:snapToGrid w:val="0"/>
              <w:spacing w:line="420" w:lineRule="exact"/>
              <w:rPr>
                <w:color w:val="auto"/>
                <w:highlight w:val="none"/>
              </w:rPr>
            </w:pPr>
            <w:r>
              <w:rPr>
                <w:rFonts w:hint="eastAsia" w:ascii="宋体" w:hAnsi="宋体" w:cs="宋体"/>
                <w:color w:val="auto"/>
                <w:kern w:val="0"/>
                <w:szCs w:val="21"/>
                <w:highlight w:val="none"/>
              </w:rPr>
              <w:t>开户账号：1305 3000 0002 17831</w:t>
            </w:r>
          </w:p>
        </w:tc>
      </w:tr>
      <w:tr w14:paraId="089B79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dxa"/>
            <w:noWrap/>
            <w:vAlign w:val="center"/>
          </w:tcPr>
          <w:p w14:paraId="6CADAD18">
            <w:pPr>
              <w:autoSpaceDE w:val="0"/>
              <w:autoSpaceDN w:val="0"/>
              <w:adjustRightInd w:val="0"/>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886" w:type="dxa"/>
            <w:noWrap/>
            <w:vAlign w:val="center"/>
          </w:tcPr>
          <w:p w14:paraId="3D179D59">
            <w:pPr>
              <w:autoSpaceDE w:val="0"/>
              <w:autoSpaceDN w:val="0"/>
              <w:adjustRightInd w:val="0"/>
              <w:snapToGrid w:val="0"/>
              <w:spacing w:line="420" w:lineRule="exact"/>
              <w:rPr>
                <w:rFonts w:ascii="宋体" w:hAnsi="宋体" w:cs="宋体"/>
                <w:color w:val="auto"/>
                <w:szCs w:val="21"/>
                <w:highlight w:val="none"/>
              </w:rPr>
            </w:pPr>
            <w:r>
              <w:rPr>
                <w:rFonts w:hint="eastAsia" w:ascii="宋体" w:hAnsi="宋体" w:cs="宋体"/>
                <w:color w:val="auto"/>
                <w:kern w:val="0"/>
                <w:szCs w:val="21"/>
                <w:highlight w:val="none"/>
              </w:rPr>
              <w:t>农民工工资保障金：</w:t>
            </w:r>
            <w:r>
              <w:rPr>
                <w:rFonts w:hint="eastAsia" w:ascii="宋体" w:hAnsi="宋体" w:cs="宋体"/>
                <w:color w:val="auto"/>
                <w:szCs w:val="21"/>
                <w:highlight w:val="none"/>
              </w:rPr>
              <w:t>按劳动保障、住房城乡建设行政主管部门按照《关于进一步完善建筑行业农民工工资保证金制度的通知》（桂劳社发〔2009〕50号）</w:t>
            </w:r>
          </w:p>
        </w:tc>
      </w:tr>
      <w:tr w14:paraId="431BF4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dxa"/>
            <w:noWrap/>
            <w:vAlign w:val="center"/>
          </w:tcPr>
          <w:p w14:paraId="0D5E3689">
            <w:pPr>
              <w:autoSpaceDE w:val="0"/>
              <w:autoSpaceDN w:val="0"/>
              <w:adjustRightInd w:val="0"/>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4</w:t>
            </w:r>
          </w:p>
        </w:tc>
        <w:tc>
          <w:tcPr>
            <w:tcW w:w="8886" w:type="dxa"/>
            <w:noWrap/>
            <w:vAlign w:val="center"/>
          </w:tcPr>
          <w:p w14:paraId="7D3F2540">
            <w:pPr>
              <w:keepNext/>
              <w:wordWrap w:val="0"/>
              <w:overflowPunct w:val="0"/>
              <w:topLinePunct/>
              <w:spacing w:line="420" w:lineRule="exact"/>
              <w:textAlignment w:val="center"/>
              <w:rPr>
                <w:rFonts w:ascii="宋体" w:hAnsi="宋体" w:cs="宋体"/>
                <w:color w:val="auto"/>
                <w:szCs w:val="21"/>
                <w:highlight w:val="none"/>
              </w:rPr>
            </w:pPr>
            <w:r>
              <w:rPr>
                <w:rFonts w:hint="eastAsia" w:ascii="宋体" w:hAnsi="宋体" w:cs="宋体"/>
                <w:color w:val="auto"/>
                <w:szCs w:val="21"/>
                <w:highlight w:val="none"/>
              </w:rPr>
              <w:t>采购代理机构：广西睿翼工程咨询有限公司</w:t>
            </w:r>
          </w:p>
          <w:p w14:paraId="3E567ABC">
            <w:pPr>
              <w:keepNext/>
              <w:wordWrap w:val="0"/>
              <w:overflowPunct w:val="0"/>
              <w:topLinePunct/>
              <w:spacing w:line="420" w:lineRule="exact"/>
              <w:textAlignment w:val="center"/>
              <w:rPr>
                <w:rFonts w:ascii="宋体" w:hAnsi="宋体" w:cs="宋体"/>
                <w:color w:val="auto"/>
                <w:szCs w:val="21"/>
                <w:highlight w:val="none"/>
              </w:rPr>
            </w:pPr>
            <w:r>
              <w:rPr>
                <w:rFonts w:hint="eastAsia" w:ascii="宋体" w:hAnsi="宋体" w:cs="宋体"/>
                <w:color w:val="auto"/>
                <w:szCs w:val="21"/>
                <w:highlight w:val="none"/>
              </w:rPr>
              <w:t>联系地址：南宁市青秀区民族大道32号宜尚酒店停车场内</w:t>
            </w:r>
          </w:p>
          <w:p w14:paraId="5BBE8999">
            <w:pPr>
              <w:keepNext/>
              <w:wordWrap w:val="0"/>
              <w:overflowPunct w:val="0"/>
              <w:topLinePunct/>
              <w:spacing w:line="420" w:lineRule="exact"/>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 系 人：</w:t>
            </w:r>
            <w:r>
              <w:rPr>
                <w:rFonts w:hint="eastAsia" w:ascii="宋体" w:hAnsi="宋体" w:cs="宋体"/>
                <w:color w:val="auto"/>
                <w:szCs w:val="21"/>
                <w:highlight w:val="none"/>
                <w:lang w:val="en-US" w:eastAsia="zh-CN"/>
              </w:rPr>
              <w:t>农成浩</w:t>
            </w:r>
          </w:p>
          <w:p w14:paraId="095F346F">
            <w:pPr>
              <w:keepNext/>
              <w:wordWrap w:val="0"/>
              <w:overflowPunct w:val="0"/>
              <w:topLinePunct/>
              <w:spacing w:line="420" w:lineRule="exact"/>
              <w:textAlignment w:val="center"/>
              <w:rPr>
                <w:rFonts w:ascii="宋体" w:hAnsi="宋体" w:cs="宋体"/>
                <w:color w:val="auto"/>
                <w:kern w:val="0"/>
                <w:szCs w:val="21"/>
                <w:highlight w:val="none"/>
              </w:rPr>
            </w:pPr>
            <w:r>
              <w:rPr>
                <w:rFonts w:hint="eastAsia" w:ascii="宋体" w:hAnsi="宋体" w:cs="宋体"/>
                <w:color w:val="auto"/>
                <w:szCs w:val="21"/>
                <w:highlight w:val="none"/>
              </w:rPr>
              <w:t>电    话：0771-5349283</w:t>
            </w:r>
          </w:p>
        </w:tc>
      </w:tr>
      <w:tr w14:paraId="1AB979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dxa"/>
            <w:noWrap/>
            <w:vAlign w:val="center"/>
          </w:tcPr>
          <w:p w14:paraId="20F8E1B0">
            <w:pPr>
              <w:autoSpaceDE w:val="0"/>
              <w:autoSpaceDN w:val="0"/>
              <w:adjustRightInd w:val="0"/>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5</w:t>
            </w:r>
          </w:p>
        </w:tc>
        <w:tc>
          <w:tcPr>
            <w:tcW w:w="8886" w:type="dxa"/>
            <w:noWrap/>
            <w:vAlign w:val="center"/>
          </w:tcPr>
          <w:p w14:paraId="3B636401">
            <w:pPr>
              <w:autoSpaceDE w:val="0"/>
              <w:autoSpaceDN w:val="0"/>
              <w:adjustRightInd w:val="0"/>
              <w:snapToGrid w:val="0"/>
              <w:spacing w:line="420" w:lineRule="exact"/>
              <w:ind w:firstLine="422" w:firstLineChars="200"/>
              <w:rPr>
                <w:rFonts w:hint="eastAsia" w:hAnsi="宋体" w:eastAsia="宋体" w:cs="宋体"/>
                <w:b/>
                <w:bCs/>
                <w:color w:val="auto"/>
                <w:highlight w:val="none"/>
                <w:lang w:eastAsia="zh-CN"/>
              </w:rPr>
            </w:pPr>
            <w:r>
              <w:rPr>
                <w:rFonts w:hint="eastAsia" w:hAnsi="宋体" w:cs="宋体"/>
                <w:b/>
                <w:bCs/>
                <w:color w:val="auto"/>
                <w:highlight w:val="none"/>
              </w:rPr>
              <w:t>本项目采购</w:t>
            </w:r>
            <w:r>
              <w:rPr>
                <w:rFonts w:hint="eastAsia" w:hAnsi="宋体" w:cs="宋体"/>
                <w:b/>
                <w:bCs/>
                <w:color w:val="auto"/>
                <w:highlight w:val="none"/>
                <w:lang w:val="en-US" w:eastAsia="zh-CN"/>
              </w:rPr>
              <w:t>最高限价</w:t>
            </w:r>
            <w:r>
              <w:rPr>
                <w:rFonts w:hint="eastAsia" w:hAnsi="宋体" w:cs="宋体"/>
                <w:b/>
                <w:bCs/>
                <w:color w:val="auto"/>
                <w:highlight w:val="none"/>
              </w:rPr>
              <w:t>为：人民币</w:t>
            </w:r>
            <w:r>
              <w:rPr>
                <w:rFonts w:hint="eastAsia" w:hAnsi="宋体" w:cs="宋体"/>
                <w:b/>
                <w:bCs/>
                <w:color w:val="auto"/>
                <w:highlight w:val="none"/>
                <w:lang w:val="en-US" w:eastAsia="zh-CN"/>
              </w:rPr>
              <w:t>贰佰玖拾柒万柒仟伍佰玖拾陆元捌角肆分</w:t>
            </w:r>
            <w:r>
              <w:rPr>
                <w:rFonts w:hint="eastAsia" w:hAnsi="宋体" w:cs="宋体"/>
                <w:b/>
                <w:bCs/>
                <w:color w:val="auto"/>
                <w:highlight w:val="none"/>
              </w:rPr>
              <w:t>（￥</w:t>
            </w:r>
            <w:r>
              <w:rPr>
                <w:rFonts w:hint="eastAsia" w:hAnsi="宋体" w:cs="宋体"/>
                <w:b/>
                <w:bCs/>
                <w:color w:val="auto"/>
                <w:highlight w:val="none"/>
                <w:lang w:val="en-US" w:eastAsia="zh-CN"/>
              </w:rPr>
              <w:t>2977596.84</w:t>
            </w:r>
            <w:r>
              <w:rPr>
                <w:rFonts w:hint="eastAsia" w:hAnsi="宋体" w:cs="宋体"/>
                <w:b/>
                <w:bCs/>
                <w:color w:val="auto"/>
                <w:highlight w:val="none"/>
              </w:rPr>
              <w:t>元）</w:t>
            </w:r>
            <w:r>
              <w:rPr>
                <w:rFonts w:hint="eastAsia" w:hAnsi="宋体" w:cs="宋体"/>
                <w:b/>
                <w:bCs/>
                <w:color w:val="auto"/>
                <w:highlight w:val="none"/>
                <w:lang w:eastAsia="zh-CN"/>
              </w:rPr>
              <w:t>。</w:t>
            </w:r>
          </w:p>
          <w:p w14:paraId="6C726725">
            <w:pPr>
              <w:tabs>
                <w:tab w:val="left" w:pos="2880"/>
              </w:tabs>
              <w:autoSpaceDE w:val="0"/>
              <w:autoSpaceDN w:val="0"/>
              <w:snapToGrid w:val="0"/>
              <w:spacing w:line="440" w:lineRule="exact"/>
              <w:ind w:firstLine="422" w:firstLineChars="200"/>
              <w:rPr>
                <w:rFonts w:ascii="宋体" w:hAnsi="宋体" w:cs="宋体"/>
                <w:color w:val="auto"/>
                <w:kern w:val="0"/>
                <w:szCs w:val="21"/>
                <w:highlight w:val="none"/>
              </w:rPr>
            </w:pPr>
            <w:r>
              <w:rPr>
                <w:rFonts w:hint="eastAsia" w:ascii="宋体" w:hAnsi="宋体" w:cs="宋体"/>
                <w:b/>
                <w:bCs/>
                <w:color w:val="auto"/>
                <w:highlight w:val="none"/>
              </w:rPr>
              <w:t>磋商报价有效报价范围为小于或等于采购最高限价</w:t>
            </w:r>
            <w:r>
              <w:rPr>
                <w:rFonts w:hint="eastAsia" w:ascii="宋体" w:hAnsi="宋体" w:cs="宋体"/>
                <w:b/>
                <w:bCs/>
                <w:color w:val="auto"/>
                <w:highlight w:val="none"/>
                <w:lang w:val="en-US" w:eastAsia="zh-CN"/>
              </w:rPr>
              <w:t>及对应的控制价单价</w:t>
            </w:r>
            <w:r>
              <w:rPr>
                <w:rFonts w:hint="eastAsia" w:ascii="宋体" w:hAnsi="宋体" w:cs="宋体"/>
                <w:b/>
                <w:bCs/>
                <w:color w:val="auto"/>
                <w:highlight w:val="none"/>
              </w:rPr>
              <w:t>，且经磋商小组审定不存在严重不平衡、不合理、不低于其企业成本的</w:t>
            </w:r>
            <w:r>
              <w:rPr>
                <w:rFonts w:hint="eastAsia" w:ascii="宋体" w:hAnsi="宋体" w:eastAsia="宋体" w:cs="宋体"/>
                <w:b/>
                <w:bCs/>
                <w:color w:val="auto"/>
                <w:highlight w:val="none"/>
              </w:rPr>
              <w:t>磋商</w:t>
            </w:r>
            <w:r>
              <w:rPr>
                <w:rFonts w:hint="eastAsia" w:ascii="宋体" w:hAnsi="宋体" w:cs="宋体"/>
                <w:b/>
                <w:bCs/>
                <w:color w:val="auto"/>
                <w:highlight w:val="none"/>
              </w:rPr>
              <w:t>报价。</w:t>
            </w:r>
            <w:r>
              <w:rPr>
                <w:rFonts w:hint="eastAsia" w:ascii="宋体" w:hAnsi="宋体" w:eastAsia="宋体" w:cs="宋体"/>
                <w:b/>
                <w:bCs/>
                <w:color w:val="auto"/>
                <w:highlight w:val="none"/>
              </w:rPr>
              <w:t>磋商</w:t>
            </w:r>
            <w:r>
              <w:rPr>
                <w:rFonts w:hint="eastAsia" w:ascii="宋体" w:hAnsi="宋体" w:cs="宋体"/>
                <w:b/>
                <w:bCs/>
                <w:color w:val="auto"/>
                <w:highlight w:val="none"/>
              </w:rPr>
              <w:t>报价超出有效报价范围，作废标处理。</w:t>
            </w:r>
          </w:p>
        </w:tc>
      </w:tr>
      <w:tr w14:paraId="371D37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45" w:type="dxa"/>
            <w:noWrap/>
            <w:vAlign w:val="center"/>
          </w:tcPr>
          <w:p w14:paraId="356C63DF">
            <w:pPr>
              <w:autoSpaceDE w:val="0"/>
              <w:autoSpaceDN w:val="0"/>
              <w:adjustRightInd w:val="0"/>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6</w:t>
            </w:r>
          </w:p>
        </w:tc>
        <w:tc>
          <w:tcPr>
            <w:tcW w:w="8886" w:type="dxa"/>
            <w:noWrap/>
            <w:vAlign w:val="center"/>
          </w:tcPr>
          <w:p w14:paraId="514D729E">
            <w:pPr>
              <w:pStyle w:val="21"/>
              <w:spacing w:line="420" w:lineRule="exact"/>
              <w:rPr>
                <w:rFonts w:hAnsi="宋体"/>
                <w:b/>
                <w:color w:val="auto"/>
                <w:spacing w:val="-4"/>
                <w:szCs w:val="21"/>
                <w:highlight w:val="none"/>
              </w:rPr>
            </w:pPr>
            <w:r>
              <w:rPr>
                <w:rFonts w:hint="eastAsia" w:ascii="Times New Roman" w:hAnsi="宋体" w:cs="宋体"/>
                <w:b/>
                <w:bCs/>
                <w:color w:val="auto"/>
                <w:highlight w:val="none"/>
              </w:rPr>
              <w:t>所属行业：建筑业</w:t>
            </w:r>
          </w:p>
        </w:tc>
      </w:tr>
      <w:tr w14:paraId="13AA6E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dxa"/>
            <w:noWrap/>
            <w:vAlign w:val="center"/>
          </w:tcPr>
          <w:p w14:paraId="6E8C651C">
            <w:pPr>
              <w:autoSpaceDE w:val="0"/>
              <w:autoSpaceDN w:val="0"/>
              <w:adjustRightInd w:val="0"/>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7</w:t>
            </w:r>
          </w:p>
        </w:tc>
        <w:tc>
          <w:tcPr>
            <w:tcW w:w="8886" w:type="dxa"/>
            <w:noWrap/>
            <w:vAlign w:val="center"/>
          </w:tcPr>
          <w:p w14:paraId="3BD3BDD3">
            <w:pPr>
              <w:keepNext/>
              <w:wordWrap w:val="0"/>
              <w:overflowPunct w:val="0"/>
              <w:topLinePunct/>
              <w:spacing w:line="420" w:lineRule="exact"/>
              <w:textAlignment w:val="center"/>
              <w:rPr>
                <w:rFonts w:ascii="宋体" w:hAnsi="宋体" w:cs="宋体"/>
                <w:color w:val="auto"/>
                <w:szCs w:val="21"/>
                <w:highlight w:val="none"/>
              </w:rPr>
            </w:pPr>
            <w:r>
              <w:rPr>
                <w:rFonts w:hint="eastAsia" w:ascii="宋体" w:hAnsi="宋体" w:cs="宋体"/>
                <w:color w:val="auto"/>
                <w:szCs w:val="21"/>
                <w:highlight w:val="none"/>
              </w:rPr>
              <w:t>磋商小组在评标现场对供应商进行信用查询：</w:t>
            </w:r>
          </w:p>
          <w:p w14:paraId="66079909">
            <w:pPr>
              <w:keepNext/>
              <w:wordWrap w:val="0"/>
              <w:overflowPunct w:val="0"/>
              <w:topLinePunct/>
              <w:spacing w:line="420" w:lineRule="exact"/>
              <w:textAlignment w:val="center"/>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Cs w:val="21"/>
                <w:highlight w:val="none"/>
              </w:rPr>
              <w:t>www.ccgp.gov.cn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)等；</w:t>
            </w:r>
          </w:p>
          <w:p w14:paraId="65D7B263">
            <w:pPr>
              <w:keepNext/>
              <w:wordWrap w:val="0"/>
              <w:overflowPunct w:val="0"/>
              <w:topLinePunct/>
              <w:spacing w:line="420" w:lineRule="exact"/>
              <w:textAlignment w:val="center"/>
              <w:rPr>
                <w:rFonts w:ascii="宋体" w:hAnsi="宋体" w:cs="宋体"/>
                <w:color w:val="auto"/>
                <w:szCs w:val="21"/>
                <w:highlight w:val="none"/>
              </w:rPr>
            </w:pPr>
            <w:r>
              <w:rPr>
                <w:rFonts w:hint="eastAsia" w:ascii="宋体" w:hAnsi="宋体" w:cs="宋体"/>
                <w:color w:val="auto"/>
                <w:szCs w:val="21"/>
                <w:highlight w:val="none"/>
              </w:rPr>
              <w:t>“信用中国”网站查询内容：失信被执行人、重大税收违法失信主体、政府采购严重违法失信行为记录名单查询结果或界面截图。</w:t>
            </w:r>
          </w:p>
          <w:p w14:paraId="73EB92FF">
            <w:pPr>
              <w:keepNext/>
              <w:wordWrap w:val="0"/>
              <w:overflowPunct w:val="0"/>
              <w:topLinePunct/>
              <w:spacing w:line="420" w:lineRule="exact"/>
              <w:textAlignment w:val="center"/>
              <w:rPr>
                <w:rFonts w:ascii="宋体" w:hAnsi="宋体" w:cs="宋体"/>
                <w:color w:val="auto"/>
                <w:szCs w:val="21"/>
                <w:highlight w:val="none"/>
              </w:rPr>
            </w:pPr>
            <w:r>
              <w:rPr>
                <w:rFonts w:hint="eastAsia" w:ascii="宋体" w:hAnsi="宋体" w:cs="宋体"/>
                <w:color w:val="auto"/>
                <w:szCs w:val="21"/>
                <w:highlight w:val="none"/>
              </w:rPr>
              <w:t>“中国政府采购网”的查询内容：政府采购严重违法失信行为信息记录（查询界面截图须显示供应商名称以及查询结果）；</w:t>
            </w:r>
          </w:p>
          <w:p w14:paraId="3976C001">
            <w:pPr>
              <w:autoSpaceDE w:val="0"/>
              <w:autoSpaceDN w:val="0"/>
              <w:adjustRightInd w:val="0"/>
              <w:snapToGrid w:val="0"/>
              <w:spacing w:line="420" w:lineRule="exact"/>
              <w:rPr>
                <w:rFonts w:ascii="宋体" w:hAnsi="宋体" w:cs="宋体"/>
                <w:color w:val="auto"/>
                <w:kern w:val="0"/>
                <w:szCs w:val="21"/>
                <w:highlight w:val="none"/>
              </w:rPr>
            </w:pPr>
            <w:r>
              <w:rPr>
                <w:rFonts w:hint="eastAsia" w:ascii="宋体" w:hAnsi="宋体" w:cs="宋体"/>
                <w:color w:val="auto"/>
                <w:szCs w:val="21"/>
                <w:highlight w:val="none"/>
              </w:rPr>
              <w:t>信用信息使用规则：对在“信用中国”网站(www.creditchina.gov.cn)、中国政府采购网(www.ccgp.gov.cn)等渠道列入失信被执行人、重大税收违法失信主体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FB0FA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dxa"/>
            <w:noWrap/>
            <w:vAlign w:val="center"/>
          </w:tcPr>
          <w:p w14:paraId="60F10192">
            <w:pPr>
              <w:autoSpaceDE w:val="0"/>
              <w:autoSpaceDN w:val="0"/>
              <w:adjustRightInd w:val="0"/>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8886" w:type="dxa"/>
            <w:noWrap/>
            <w:vAlign w:val="center"/>
          </w:tcPr>
          <w:p w14:paraId="29E4B132">
            <w:pPr>
              <w:keepNext/>
              <w:wordWrap w:val="0"/>
              <w:overflowPunct w:val="0"/>
              <w:topLinePunct/>
              <w:spacing w:line="420" w:lineRule="exact"/>
              <w:textAlignment w:val="center"/>
              <w:rPr>
                <w:b/>
                <w:bCs/>
                <w:color w:val="auto"/>
                <w:highlight w:val="none"/>
              </w:rPr>
            </w:pPr>
            <w:r>
              <w:rPr>
                <w:rFonts w:hint="eastAsia"/>
                <w:b/>
                <w:bCs/>
                <w:color w:val="auto"/>
                <w:highlight w:val="none"/>
              </w:rPr>
              <w:t>一、在线磋商响应（电子磋商）说明</w:t>
            </w:r>
          </w:p>
          <w:p w14:paraId="0AD189D0">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（1）本项目通过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实行在线</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），供应商需要先安装“</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电子交易客户端”，并按照本竞争性磋商文件和</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的要求，通过“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电子交易客户端”编制并加密响应文件。供应商未按规定编制并加密的响应文件，</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将予以拒收。</w:t>
            </w:r>
          </w:p>
          <w:p w14:paraId="26CD56F6">
            <w:pPr>
              <w:spacing w:line="48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广西政府采购云平台电子交易客户端”请自行前往广西政府采购网下载并安装（http://zfcg.gxzf.gov.cn/）；电子磋商具体操作流程可在广西政府采购云平台（https://www.gcy.zfcg.gxzf.gov.cn/）中下载；通过广西政府采购云平台参与在线磋商时如遇平台技术问题详询95763。</w:t>
            </w:r>
          </w:p>
          <w:p w14:paraId="552A35FC">
            <w:pPr>
              <w:spacing w:line="48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为确保网上操作合法、有效和安全，供应商应当在响应文件递交截止时间前完成在“广西政府采购云平台”的身份认证，确保在电子磋商过程中能够对相关数据电文进行加密和使用电子签章。使用“广西政府采购云平台电子交易客户端”需要提前申领CA数字证书；</w:t>
            </w:r>
          </w:p>
          <w:p w14:paraId="2AB57065">
            <w:pPr>
              <w:spacing w:line="48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供应商应当在响应文件递交截止时间前，将生成的“电子加密响应文件”上传递交至广西政府采购云平台。响应文件递交截止时间前可以补充、修改或者撤回电子响应文件。补充或者修改电子响应文件的，应当先行撤回原文件，补充、修改后重新传输递交，响应文件递交截止时间前未完成传输的，视为撤回响应文件。</w:t>
            </w:r>
          </w:p>
          <w:p w14:paraId="0C2B3E9F">
            <w:pPr>
              <w:spacing w:line="48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（4）响应文件提交截止时间后，代理机构向各供应商发出电子加密响应文件【开始解密】通知，代理机构发起解密通知后 30 分钟内，响应文件提交截止时间前已将生成的“电子加密响应文件”上传递交至广西政府采购云平台的供应商，必须在此时间段内登录广西政府采购云平台，用“项目采购-开标评标”功能完成电子响应文件的解密。供应商响应文件提交截止前通过“广西政府采购云平台”上传递交的“电子加密响应文件”无法正常解密的，请及时联系代理机构，代理机构与项目归属监督部门备案后告知供应商通过邮件传输递交电子备份文件，通过邮件传输递交电子备份文件也必须在发起解密通知后 30 分钟内完成，逾期未完成传输的，拒收其响应文件。</w:t>
            </w:r>
          </w:p>
          <w:p w14:paraId="7460BCC1">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请各供应商在获取采购文件时，认真填写供应商名称、联系人、联系电话等相关信息。项目开标当天联系人要保持电话畅通，如因供应商自身原因导致无法响应文件无法正常解密、电子备份文件未能在规定的时间内传输递交、无法正常谈判（磋商）等，后果由供应商自行承担。</w:t>
            </w:r>
          </w:p>
          <w:p w14:paraId="52FDCF79">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6）在供应商提交了电子备份响应文件后，如通过广西政府采购云平台上传递交的电子加密响应文件无法按时解密且无法通过广西政府采购云平台“异常处理”端口处理的视为响应文件撤回，所造成的后果由供应商自行承担。</w:t>
            </w:r>
          </w:p>
          <w:p w14:paraId="44821DEA">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）若对项目采购电子交易系统操作有疑问，可登录广西政府采购云平台（https://www.gcy.zfcg.</w:t>
            </w:r>
          </w:p>
          <w:p w14:paraId="7FFF11B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gxzf.gov.cn/），点击右侧咨询小采，获取采小蜜智能服务管家帮助，或拨打广西政府采购云平台服务热线95763获取热线服务帮助。</w:t>
            </w:r>
          </w:p>
          <w:p w14:paraId="0027FB98">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）本项目为全流程电子标项目，无需供应商来开标现场递交响应文件，供应商授权委托代理人可以不用到开标现场参加开标（截标）会。</w:t>
            </w:r>
          </w:p>
          <w:p w14:paraId="740FC1D0">
            <w:pPr>
              <w:pStyle w:val="4"/>
              <w:spacing w:before="0" w:beforeLines="0" w:after="0" w:afterLines="0" w:line="480" w:lineRule="exact"/>
              <w:ind w:firstLine="422" w:firstLineChars="200"/>
              <w:rPr>
                <w:rFonts w:hint="eastAsia"/>
                <w:b/>
                <w:bCs/>
                <w:color w:val="auto"/>
                <w:highlight w:val="none"/>
              </w:rPr>
            </w:pPr>
            <w:bookmarkStart w:id="149" w:name="_Toc25766"/>
            <w:r>
              <w:rPr>
                <w:rFonts w:hint="eastAsia" w:ascii="宋体" w:hAnsi="宋体" w:eastAsia="宋体" w:cs="宋体"/>
                <w:color w:val="auto"/>
                <w:sz w:val="21"/>
                <w:szCs w:val="21"/>
                <w:highlight w:val="none"/>
              </w:rPr>
              <w:t>注：能够处理异常解密、递交电子备份文件的前提，是供应商已上传了标书且未能按时正常解密标书；系统生成标书时，生成两份，一份是投标用的标书，一份是备份标书；提供的备份标书要跟上传的电子标书是同一份，否则系统也不支持进行异常解密。</w:t>
            </w:r>
            <w:bookmarkEnd w:id="149"/>
          </w:p>
          <w:p w14:paraId="2FD5413D">
            <w:pPr>
              <w:keepNext/>
              <w:wordWrap w:val="0"/>
              <w:overflowPunct w:val="0"/>
              <w:topLinePunct/>
              <w:spacing w:line="420" w:lineRule="exact"/>
              <w:textAlignment w:val="center"/>
              <w:rPr>
                <w:b/>
                <w:bCs/>
                <w:color w:val="auto"/>
                <w:szCs w:val="21"/>
                <w:highlight w:val="none"/>
              </w:rPr>
            </w:pPr>
            <w:r>
              <w:rPr>
                <w:rFonts w:hint="eastAsia"/>
                <w:b/>
                <w:bCs/>
                <w:color w:val="auto"/>
                <w:highlight w:val="none"/>
              </w:rPr>
              <w:t>二</w:t>
            </w:r>
            <w:r>
              <w:rPr>
                <w:rFonts w:hint="eastAsia"/>
                <w:b/>
                <w:bCs/>
                <w:color w:val="auto"/>
                <w:szCs w:val="21"/>
                <w:highlight w:val="none"/>
              </w:rPr>
              <w:t>、其他</w:t>
            </w:r>
          </w:p>
          <w:p w14:paraId="6D522021">
            <w:pPr>
              <w:spacing w:line="420" w:lineRule="exact"/>
              <w:ind w:firstLine="218" w:firstLineChars="104"/>
              <w:rPr>
                <w:rFonts w:ascii="宋体" w:hAnsi="宋体" w:cs="宋体"/>
                <w:color w:val="auto"/>
                <w:szCs w:val="21"/>
                <w:highlight w:val="none"/>
              </w:rPr>
            </w:pPr>
            <w:r>
              <w:rPr>
                <w:rFonts w:hint="eastAsia"/>
                <w:color w:val="auto"/>
                <w:szCs w:val="21"/>
                <w:highlight w:val="none"/>
              </w:rPr>
              <w:t>（1）</w:t>
            </w:r>
            <w:r>
              <w:rPr>
                <w:rFonts w:hint="eastAsia" w:ascii="宋体" w:hAnsi="宋体" w:cs="宋体"/>
                <w:color w:val="auto"/>
                <w:szCs w:val="21"/>
                <w:highlight w:val="none"/>
              </w:rPr>
              <w:t>本竞争性磋商文件中描述供应商的“公章”是指供应商通过指定电子化政府采购平台办理数字证书（CA 认证证书）获得的以法定主体行为名称制作的电子印章。本竞争性磋商文件中要求供应商对其电子响应文件的相关内容加盖公章的，均指采用 CA 证书签章。</w:t>
            </w:r>
          </w:p>
          <w:p w14:paraId="49AC65A0">
            <w:pPr>
              <w:spacing w:line="420" w:lineRule="exact"/>
              <w:ind w:firstLine="218" w:firstLineChars="104"/>
              <w:rPr>
                <w:rFonts w:ascii="宋体" w:hAnsi="宋体" w:cs="宋体"/>
                <w:color w:val="auto"/>
                <w:szCs w:val="21"/>
                <w:highlight w:val="none"/>
              </w:rPr>
            </w:pPr>
            <w:r>
              <w:rPr>
                <w:rFonts w:hint="eastAsia" w:ascii="宋体" w:hAnsi="宋体" w:cs="宋体"/>
                <w:color w:val="auto"/>
                <w:szCs w:val="21"/>
                <w:highlight w:val="none"/>
              </w:rPr>
              <w:t>（2）本竞争性磋商文件中描述供应商的“签字”是指供应商通过指定电子化政府采购平台办理数字证书（CA 认证证书）获得的以供应商法定代表人（负责人、自然人）或者委托代理人姓名制作的个人电子印章或手写签字。没有办理个人 CA 证书的，可以为手写签字的形式。</w:t>
            </w:r>
          </w:p>
          <w:p w14:paraId="18B2F629">
            <w:pPr>
              <w:spacing w:line="420" w:lineRule="exact"/>
              <w:ind w:firstLine="219" w:firstLineChars="104"/>
              <w:rPr>
                <w:rFonts w:ascii="宋体" w:hAnsi="宋体" w:cs="宋体"/>
                <w:color w:val="auto"/>
                <w:szCs w:val="21"/>
                <w:highlight w:val="none"/>
              </w:rPr>
            </w:pPr>
            <w:r>
              <w:rPr>
                <w:rFonts w:hint="eastAsia" w:ascii="宋体" w:hAnsi="宋体" w:cs="宋体"/>
                <w:b/>
                <w:color w:val="auto"/>
                <w:szCs w:val="21"/>
                <w:highlight w:val="none"/>
              </w:rPr>
              <w:t>不符合要求的或漏签的作响应无效处理。</w:t>
            </w:r>
          </w:p>
          <w:p w14:paraId="4CC11EC7">
            <w:pPr>
              <w:spacing w:line="420" w:lineRule="exact"/>
              <w:ind w:firstLine="218" w:firstLineChars="104"/>
              <w:rPr>
                <w:rFonts w:ascii="宋体" w:hAnsi="宋体" w:cs="宋体"/>
                <w:color w:val="auto"/>
                <w:szCs w:val="21"/>
                <w:highlight w:val="none"/>
              </w:rPr>
            </w:pPr>
            <w:r>
              <w:rPr>
                <w:rFonts w:hint="eastAsia" w:ascii="宋体" w:hAnsi="宋体" w:cs="宋体"/>
                <w:color w:val="auto"/>
                <w:szCs w:val="21"/>
                <w:highlight w:val="none"/>
              </w:rPr>
              <w:t>（3）供应商须知前附表是对供应商须知的具体补充和修改，如有矛盾，应以本前附表为准。</w:t>
            </w:r>
          </w:p>
          <w:p w14:paraId="4711256F">
            <w:pPr>
              <w:spacing w:line="420" w:lineRule="exact"/>
              <w:ind w:firstLine="218" w:firstLineChars="104"/>
              <w:rPr>
                <w:color w:val="auto"/>
                <w:highlight w:val="none"/>
              </w:rPr>
            </w:pPr>
            <w:r>
              <w:rPr>
                <w:rFonts w:hint="eastAsia" w:ascii="宋体" w:hAnsi="宋体" w:cs="宋体"/>
                <w:color w:val="auto"/>
                <w:szCs w:val="21"/>
                <w:highlight w:val="none"/>
              </w:rPr>
              <w:t>（4）本采购文件是根据国家有关法律及有关政策、法规编制，解释权属采购代理机构。</w:t>
            </w:r>
          </w:p>
        </w:tc>
      </w:tr>
    </w:tbl>
    <w:p w14:paraId="07BC0DA0">
      <w:pPr>
        <w:pStyle w:val="4"/>
        <w:keepNext w:val="0"/>
        <w:keepLines w:val="0"/>
        <w:adjustRightInd w:val="0"/>
        <w:snapToGrid w:val="0"/>
        <w:spacing w:line="480" w:lineRule="exact"/>
        <w:jc w:val="center"/>
        <w:rPr>
          <w:rFonts w:ascii="宋体" w:hAnsi="宋体" w:eastAsia="宋体" w:cs="宋体"/>
          <w:color w:val="auto"/>
          <w:sz w:val="28"/>
          <w:highlight w:val="none"/>
        </w:rPr>
      </w:pPr>
      <w:bookmarkStart w:id="150" w:name="_Toc75182673"/>
      <w:r>
        <w:rPr>
          <w:rFonts w:hint="eastAsia" w:ascii="宋体" w:hAnsi="宋体" w:eastAsia="宋体" w:cs="宋体"/>
          <w:color w:val="auto"/>
          <w:sz w:val="28"/>
          <w:highlight w:val="none"/>
        </w:rPr>
        <w:br w:type="page"/>
      </w:r>
      <w:bookmarkStart w:id="151" w:name="_Toc27416"/>
      <w:r>
        <w:rPr>
          <w:rFonts w:hint="eastAsia" w:ascii="宋体" w:hAnsi="宋体" w:eastAsia="宋体" w:cs="宋体"/>
          <w:color w:val="auto"/>
          <w:sz w:val="28"/>
          <w:highlight w:val="none"/>
        </w:rPr>
        <w:t>二、磋  商  须  知</w:t>
      </w:r>
      <w:bookmarkEnd w:id="147"/>
      <w:bookmarkEnd w:id="150"/>
      <w:bookmarkEnd w:id="151"/>
    </w:p>
    <w:p w14:paraId="4463C999">
      <w:pPr>
        <w:pStyle w:val="5"/>
        <w:keepNext w:val="0"/>
        <w:keepLines w:val="0"/>
        <w:numPr>
          <w:ilvl w:val="0"/>
          <w:numId w:val="3"/>
        </w:numPr>
        <w:adjustRightInd w:val="0"/>
        <w:snapToGrid w:val="0"/>
        <w:spacing w:line="420" w:lineRule="exact"/>
        <w:jc w:val="center"/>
        <w:rPr>
          <w:rFonts w:ascii="宋体" w:hAnsi="宋体" w:cs="宋体"/>
          <w:color w:val="auto"/>
          <w:sz w:val="24"/>
          <w:szCs w:val="24"/>
          <w:highlight w:val="none"/>
        </w:rPr>
      </w:pPr>
      <w:bookmarkStart w:id="152" w:name="_Toc85085492"/>
      <w:bookmarkStart w:id="153" w:name="_Toc78294029"/>
      <w:bookmarkStart w:id="154" w:name="_Toc20956"/>
      <w:bookmarkStart w:id="155" w:name="_Toc75182674"/>
      <w:r>
        <w:rPr>
          <w:rFonts w:hint="eastAsia" w:ascii="宋体" w:hAnsi="宋体" w:cs="宋体"/>
          <w:color w:val="auto"/>
          <w:sz w:val="24"/>
          <w:szCs w:val="24"/>
          <w:highlight w:val="none"/>
        </w:rPr>
        <w:t>总  则</w:t>
      </w:r>
      <w:bookmarkEnd w:id="152"/>
      <w:bookmarkEnd w:id="153"/>
      <w:bookmarkEnd w:id="154"/>
      <w:bookmarkEnd w:id="155"/>
    </w:p>
    <w:p w14:paraId="2A59C7D3">
      <w:pPr>
        <w:pStyle w:val="17"/>
        <w:spacing w:line="420" w:lineRule="exact"/>
        <w:rPr>
          <w:rFonts w:ascii="宋体" w:hAnsi="宋体" w:eastAsia="宋体" w:cs="宋体"/>
          <w:color w:val="auto"/>
          <w:sz w:val="21"/>
          <w:highlight w:val="none"/>
        </w:rPr>
      </w:pPr>
      <w:bookmarkStart w:id="156" w:name="_Toc55206448"/>
      <w:bookmarkStart w:id="157" w:name="_Toc514238586"/>
      <w:bookmarkStart w:id="158" w:name="_Toc75923215"/>
      <w:r>
        <w:rPr>
          <w:rFonts w:hint="eastAsia" w:ascii="宋体" w:hAnsi="宋体" w:eastAsia="宋体" w:cs="宋体"/>
          <w:color w:val="auto"/>
          <w:sz w:val="21"/>
          <w:highlight w:val="none"/>
        </w:rPr>
        <w:t>1、工程说明</w:t>
      </w:r>
      <w:bookmarkEnd w:id="156"/>
      <w:bookmarkEnd w:id="157"/>
      <w:bookmarkEnd w:id="158"/>
    </w:p>
    <w:p w14:paraId="25F0E9B3">
      <w:pPr>
        <w:autoSpaceDE w:val="0"/>
        <w:autoSpaceDN w:val="0"/>
        <w:adjustRightInd w:val="0"/>
        <w:snapToGrid w:val="0"/>
        <w:spacing w:line="440" w:lineRule="exact"/>
        <w:ind w:firstLine="480"/>
        <w:jc w:val="left"/>
        <w:rPr>
          <w:rFonts w:ascii="宋体" w:hAnsi="宋体" w:cs="宋体"/>
          <w:color w:val="auto"/>
          <w:kern w:val="0"/>
          <w:szCs w:val="21"/>
          <w:highlight w:val="none"/>
        </w:rPr>
      </w:pPr>
      <w:bookmarkStart w:id="159" w:name="_Toc55206450"/>
      <w:bookmarkStart w:id="160" w:name="_Toc514238588"/>
      <w:bookmarkStart w:id="161" w:name="_Toc75923217"/>
      <w:r>
        <w:rPr>
          <w:rFonts w:hint="eastAsia" w:ascii="宋体" w:hAnsi="宋体" w:cs="宋体"/>
          <w:color w:val="auto"/>
          <w:kern w:val="0"/>
          <w:szCs w:val="21"/>
          <w:highlight w:val="none"/>
        </w:rPr>
        <w:t>1.1 本采购工程的说明详见本须知前附表（以下称“前附表”）所述。</w:t>
      </w:r>
    </w:p>
    <w:p w14:paraId="43F1BC73">
      <w:pPr>
        <w:autoSpaceDE w:val="0"/>
        <w:autoSpaceDN w:val="0"/>
        <w:adjustRightInd w:val="0"/>
        <w:snapToGrid w:val="0"/>
        <w:spacing w:line="440" w:lineRule="exact"/>
        <w:ind w:firstLine="480"/>
        <w:rPr>
          <w:rFonts w:ascii="宋体" w:hAnsi="宋体" w:cs="宋体"/>
          <w:color w:val="auto"/>
          <w:kern w:val="0"/>
          <w:szCs w:val="21"/>
          <w:highlight w:val="none"/>
        </w:rPr>
      </w:pPr>
      <w:r>
        <w:rPr>
          <w:rFonts w:hint="eastAsia" w:ascii="宋体" w:hAnsi="宋体" w:cs="宋体"/>
          <w:color w:val="auto"/>
          <w:kern w:val="0"/>
          <w:szCs w:val="21"/>
          <w:highlight w:val="none"/>
        </w:rPr>
        <w:t>1.2 本采购工程按照</w:t>
      </w:r>
      <w:r>
        <w:rPr>
          <w:rFonts w:hint="eastAsia" w:ascii="宋体" w:hAnsi="宋体" w:cs="宋体"/>
          <w:color w:val="auto"/>
          <w:szCs w:val="21"/>
          <w:highlight w:val="none"/>
        </w:rPr>
        <w:t>《中华人民共和国政府采购法》、《中华人民共和国政府采购法实施条例》、《政府采购竞争性磋商采购方式管理暂行办法》等有关规定</w:t>
      </w:r>
      <w:r>
        <w:rPr>
          <w:rFonts w:hint="eastAsia" w:ascii="宋体" w:hAnsi="宋体" w:cs="宋体"/>
          <w:color w:val="auto"/>
          <w:kern w:val="0"/>
          <w:szCs w:val="21"/>
          <w:highlight w:val="none"/>
        </w:rPr>
        <w:t>等有关法律、行政法规和部门规章，已办理相关手续，现通过竞争性磋商来择优选定施工单位。</w:t>
      </w:r>
    </w:p>
    <w:p w14:paraId="1EB8229A">
      <w:pPr>
        <w:pStyle w:val="5"/>
        <w:snapToGrid w:val="0"/>
        <w:spacing w:line="440" w:lineRule="exact"/>
        <w:rPr>
          <w:rFonts w:ascii="宋体" w:hAnsi="宋体" w:cs="宋体"/>
          <w:color w:val="auto"/>
          <w:kern w:val="0"/>
          <w:sz w:val="21"/>
          <w:szCs w:val="21"/>
          <w:highlight w:val="none"/>
        </w:rPr>
      </w:pPr>
      <w:bookmarkStart w:id="162" w:name="_Toc514238587"/>
      <w:bookmarkStart w:id="163" w:name="_Toc75182675"/>
      <w:bookmarkStart w:id="164" w:name="_Toc47088130"/>
      <w:bookmarkStart w:id="165" w:name="_Toc277017115"/>
      <w:bookmarkStart w:id="166" w:name="_Toc277016199"/>
      <w:bookmarkStart w:id="167" w:name="_Toc277058896"/>
      <w:bookmarkStart w:id="168" w:name="_Toc47088274"/>
      <w:bookmarkStart w:id="169" w:name="_Toc7283"/>
      <w:bookmarkStart w:id="170" w:name="_Toc55206449"/>
      <w:bookmarkStart w:id="171" w:name="_Toc277016781"/>
      <w:bookmarkStart w:id="172" w:name="_Toc482785073"/>
      <w:r>
        <w:rPr>
          <w:rFonts w:hint="eastAsia" w:ascii="宋体" w:hAnsi="宋体" w:cs="宋体"/>
          <w:color w:val="auto"/>
          <w:kern w:val="0"/>
          <w:sz w:val="21"/>
          <w:szCs w:val="21"/>
          <w:highlight w:val="none"/>
        </w:rPr>
        <w:t>2、采购范围</w:t>
      </w:r>
      <w:bookmarkEnd w:id="162"/>
      <w:r>
        <w:rPr>
          <w:rFonts w:hint="eastAsia" w:ascii="宋体" w:hAnsi="宋体" w:cs="宋体"/>
          <w:color w:val="auto"/>
          <w:kern w:val="0"/>
          <w:sz w:val="21"/>
          <w:szCs w:val="21"/>
          <w:highlight w:val="none"/>
        </w:rPr>
        <w:t>及工期</w:t>
      </w:r>
      <w:bookmarkEnd w:id="163"/>
      <w:bookmarkEnd w:id="164"/>
      <w:bookmarkEnd w:id="165"/>
      <w:bookmarkEnd w:id="166"/>
      <w:bookmarkEnd w:id="167"/>
      <w:bookmarkEnd w:id="168"/>
      <w:bookmarkEnd w:id="169"/>
      <w:bookmarkEnd w:id="170"/>
      <w:bookmarkEnd w:id="171"/>
      <w:bookmarkEnd w:id="172"/>
    </w:p>
    <w:p w14:paraId="578D72E3">
      <w:pPr>
        <w:autoSpaceDE w:val="0"/>
        <w:autoSpaceDN w:val="0"/>
        <w:snapToGrid w:val="0"/>
        <w:spacing w:line="440" w:lineRule="exac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2.1 本采购工程项目的范围详见本须知前附表。</w:t>
      </w:r>
    </w:p>
    <w:p w14:paraId="05609194">
      <w:pPr>
        <w:autoSpaceDE w:val="0"/>
        <w:autoSpaceDN w:val="0"/>
        <w:snapToGrid w:val="0"/>
        <w:spacing w:line="440" w:lineRule="exact"/>
        <w:ind w:firstLine="480"/>
        <w:jc w:val="left"/>
        <w:rPr>
          <w:rFonts w:ascii="宋体" w:hAnsi="宋体" w:cs="宋体"/>
          <w:color w:val="auto"/>
          <w:kern w:val="0"/>
          <w:szCs w:val="21"/>
          <w:highlight w:val="none"/>
        </w:rPr>
      </w:pPr>
      <w:r>
        <w:rPr>
          <w:rFonts w:hint="eastAsia" w:ascii="宋体" w:hAnsi="宋体" w:cs="宋体"/>
          <w:color w:val="auto"/>
          <w:kern w:val="0"/>
          <w:highlight w:val="none"/>
        </w:rPr>
        <w:t>2.2 本采购工程项目的工期要求详见本须知前附表。</w:t>
      </w:r>
    </w:p>
    <w:p w14:paraId="733A62DF">
      <w:pPr>
        <w:pStyle w:val="17"/>
        <w:spacing w:line="420" w:lineRule="exact"/>
        <w:rPr>
          <w:rFonts w:ascii="宋体" w:hAnsi="宋体" w:eastAsia="宋体" w:cs="宋体"/>
          <w:color w:val="auto"/>
          <w:sz w:val="21"/>
          <w:highlight w:val="none"/>
        </w:rPr>
      </w:pPr>
      <w:r>
        <w:rPr>
          <w:rFonts w:hint="eastAsia" w:ascii="宋体" w:hAnsi="宋体" w:eastAsia="宋体" w:cs="宋体"/>
          <w:color w:val="auto"/>
          <w:sz w:val="21"/>
          <w:highlight w:val="none"/>
        </w:rPr>
        <w:t>3、资金来源</w:t>
      </w:r>
      <w:bookmarkEnd w:id="159"/>
      <w:bookmarkEnd w:id="160"/>
      <w:bookmarkEnd w:id="161"/>
    </w:p>
    <w:p w14:paraId="7A86E613">
      <w:pPr>
        <w:autoSpaceDE w:val="0"/>
        <w:autoSpaceDN w:val="0"/>
        <w:adjustRightInd w:val="0"/>
        <w:snapToGrid w:val="0"/>
        <w:spacing w:line="440" w:lineRule="exac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3.1 本采购工程项目资金来源详见</w:t>
      </w:r>
      <w:r>
        <w:rPr>
          <w:rFonts w:hint="eastAsia" w:ascii="宋体" w:hAnsi="宋体" w:cs="宋体"/>
          <w:color w:val="auto"/>
          <w:highlight w:val="none"/>
        </w:rPr>
        <w:t>磋商</w:t>
      </w:r>
      <w:r>
        <w:rPr>
          <w:rFonts w:hint="eastAsia" w:ascii="宋体" w:hAnsi="宋体" w:cs="宋体"/>
          <w:color w:val="auto"/>
          <w:kern w:val="0"/>
          <w:szCs w:val="21"/>
          <w:highlight w:val="none"/>
        </w:rPr>
        <w:t>须知前附表。</w:t>
      </w:r>
    </w:p>
    <w:p w14:paraId="446FB456">
      <w:pPr>
        <w:pStyle w:val="17"/>
        <w:spacing w:line="420" w:lineRule="exact"/>
        <w:rPr>
          <w:rFonts w:ascii="宋体" w:hAnsi="宋体" w:eastAsia="宋体" w:cs="宋体"/>
          <w:color w:val="auto"/>
          <w:sz w:val="21"/>
          <w:highlight w:val="none"/>
        </w:rPr>
      </w:pPr>
      <w:bookmarkStart w:id="173" w:name="_Toc75923218"/>
      <w:bookmarkStart w:id="174" w:name="_Toc514238589"/>
      <w:bookmarkStart w:id="175" w:name="_Toc55206451"/>
      <w:r>
        <w:rPr>
          <w:rFonts w:hint="eastAsia" w:ascii="宋体" w:hAnsi="宋体" w:eastAsia="宋体" w:cs="宋体"/>
          <w:color w:val="auto"/>
          <w:sz w:val="21"/>
          <w:highlight w:val="none"/>
        </w:rPr>
        <w:t>4、</w:t>
      </w:r>
      <w:bookmarkEnd w:id="173"/>
      <w:bookmarkEnd w:id="174"/>
      <w:bookmarkEnd w:id="175"/>
      <w:r>
        <w:rPr>
          <w:rFonts w:hint="eastAsia" w:ascii="宋体" w:hAnsi="宋体" w:eastAsia="宋体" w:cs="宋体"/>
          <w:color w:val="auto"/>
          <w:sz w:val="21"/>
          <w:highlight w:val="none"/>
        </w:rPr>
        <w:t>供应商资格要求</w:t>
      </w:r>
    </w:p>
    <w:p w14:paraId="41CBFA2D">
      <w:pPr>
        <w:autoSpaceDE w:val="0"/>
        <w:autoSpaceDN w:val="0"/>
        <w:adjustRightInd w:val="0"/>
        <w:snapToGrid w:val="0"/>
        <w:spacing w:line="42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4.1 本采购项目的供应商资格要求详见本须知前附表。</w:t>
      </w:r>
    </w:p>
    <w:p w14:paraId="1E73007A">
      <w:pPr>
        <w:pStyle w:val="5"/>
        <w:snapToGrid w:val="0"/>
        <w:spacing w:line="440" w:lineRule="exact"/>
        <w:rPr>
          <w:rFonts w:ascii="宋体" w:hAnsi="宋体" w:cs="宋体"/>
          <w:color w:val="auto"/>
          <w:kern w:val="0"/>
          <w:sz w:val="21"/>
          <w:szCs w:val="21"/>
          <w:highlight w:val="none"/>
        </w:rPr>
      </w:pPr>
      <w:bookmarkStart w:id="176" w:name="_Toc277016203"/>
      <w:bookmarkStart w:id="177" w:name="_Toc14453"/>
      <w:bookmarkStart w:id="178" w:name="_Toc277016785"/>
      <w:bookmarkStart w:id="179" w:name="_Toc277058900"/>
      <w:bookmarkStart w:id="180" w:name="_Toc47088131"/>
      <w:bookmarkStart w:id="181" w:name="_Toc482785074"/>
      <w:bookmarkStart w:id="182" w:name="_Toc277017119"/>
      <w:bookmarkStart w:id="183" w:name="_Toc75182676"/>
      <w:bookmarkStart w:id="184" w:name="_Toc47088275"/>
      <w:r>
        <w:rPr>
          <w:rFonts w:hint="eastAsia" w:ascii="宋体" w:hAnsi="宋体" w:cs="宋体"/>
          <w:color w:val="auto"/>
          <w:kern w:val="0"/>
          <w:sz w:val="21"/>
          <w:szCs w:val="21"/>
          <w:highlight w:val="none"/>
        </w:rPr>
        <w:t>5、磋商费用</w:t>
      </w:r>
      <w:bookmarkEnd w:id="176"/>
      <w:bookmarkEnd w:id="177"/>
      <w:bookmarkEnd w:id="178"/>
      <w:bookmarkEnd w:id="179"/>
      <w:bookmarkEnd w:id="180"/>
      <w:bookmarkEnd w:id="181"/>
      <w:bookmarkEnd w:id="182"/>
      <w:bookmarkEnd w:id="183"/>
      <w:bookmarkEnd w:id="184"/>
    </w:p>
    <w:p w14:paraId="467413F5">
      <w:pPr>
        <w:autoSpaceDE w:val="0"/>
        <w:autoSpaceDN w:val="0"/>
        <w:adjustRightInd w:val="0"/>
        <w:snapToGrid w:val="0"/>
        <w:spacing w:line="420" w:lineRule="exact"/>
        <w:ind w:firstLine="420" w:firstLineChars="200"/>
        <w:jc w:val="left"/>
        <w:rPr>
          <w:rFonts w:ascii="宋体" w:hAnsi="宋体" w:cs="宋体"/>
          <w:b/>
          <w:color w:val="auto"/>
          <w:highlight w:val="none"/>
        </w:rPr>
      </w:pPr>
      <w:r>
        <w:rPr>
          <w:rFonts w:hint="eastAsia" w:ascii="宋体" w:hAnsi="宋体" w:cs="宋体"/>
          <w:color w:val="auto"/>
          <w:kern w:val="0"/>
          <w:szCs w:val="21"/>
          <w:highlight w:val="none"/>
        </w:rPr>
        <w:t>5.1</w:t>
      </w:r>
      <w:r>
        <w:rPr>
          <w:rFonts w:hint="eastAsia" w:ascii="宋体" w:hAnsi="宋体" w:cs="宋体"/>
          <w:color w:val="auto"/>
          <w:highlight w:val="none"/>
        </w:rPr>
        <w:t>供应商应自行承担所有与本次磋商有关的全部费用；</w:t>
      </w:r>
    </w:p>
    <w:p w14:paraId="15945FEF">
      <w:pPr>
        <w:autoSpaceDE w:val="0"/>
        <w:autoSpaceDN w:val="0"/>
        <w:adjustRightInd w:val="0"/>
        <w:snapToGri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highlight w:val="none"/>
        </w:rPr>
        <w:t>5.2</w:t>
      </w:r>
      <w:r>
        <w:rPr>
          <w:rFonts w:hint="eastAsia" w:ascii="宋体" w:hAnsi="宋体" w:cs="宋体"/>
          <w:color w:val="auto"/>
          <w:kern w:val="0"/>
          <w:szCs w:val="21"/>
          <w:highlight w:val="none"/>
        </w:rPr>
        <w:t>供应商应自行勘察施工现场，勘察现场的费用由供应商自行承担。</w:t>
      </w:r>
    </w:p>
    <w:p w14:paraId="4C38EC00">
      <w:pPr>
        <w:autoSpaceDE w:val="0"/>
        <w:autoSpaceDN w:val="0"/>
        <w:adjustRightInd w:val="0"/>
        <w:snapToGri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highlight w:val="none"/>
        </w:rPr>
        <w:t>5.3</w:t>
      </w:r>
      <w:r>
        <w:rPr>
          <w:rFonts w:hint="eastAsia" w:ascii="宋体" w:hAnsi="宋体" w:cs="宋体"/>
          <w:color w:val="auto"/>
          <w:kern w:val="0"/>
          <w:szCs w:val="21"/>
          <w:highlight w:val="none"/>
        </w:rPr>
        <w:t>供应商应承担其参加本采购活动自身所发生的费用。在任何情况下采购人对上述费用均不负任何责任。</w:t>
      </w:r>
    </w:p>
    <w:p w14:paraId="35DB4360">
      <w:pPr>
        <w:pStyle w:val="5"/>
        <w:keepNext w:val="0"/>
        <w:keepLines w:val="0"/>
        <w:adjustRightInd w:val="0"/>
        <w:snapToGrid w:val="0"/>
        <w:spacing w:line="420" w:lineRule="exact"/>
        <w:jc w:val="center"/>
        <w:rPr>
          <w:rFonts w:ascii="宋体" w:hAnsi="宋体" w:cs="宋体"/>
          <w:color w:val="auto"/>
          <w:sz w:val="24"/>
          <w:szCs w:val="24"/>
          <w:highlight w:val="none"/>
        </w:rPr>
      </w:pPr>
      <w:bookmarkStart w:id="185" w:name="_Toc85085493"/>
      <w:bookmarkStart w:id="186" w:name="_Toc78294030"/>
      <w:bookmarkStart w:id="187" w:name="_Toc75182677"/>
      <w:bookmarkStart w:id="188" w:name="_Toc18380"/>
      <w:r>
        <w:rPr>
          <w:rFonts w:hint="eastAsia" w:ascii="宋体" w:hAnsi="宋体" w:cs="宋体"/>
          <w:color w:val="auto"/>
          <w:sz w:val="24"/>
          <w:szCs w:val="24"/>
          <w:highlight w:val="none"/>
        </w:rPr>
        <w:t xml:space="preserve">(二) </w:t>
      </w:r>
      <w:bookmarkEnd w:id="185"/>
      <w:bookmarkEnd w:id="186"/>
      <w:r>
        <w:rPr>
          <w:rFonts w:hint="eastAsia" w:ascii="宋体" w:hAnsi="宋体" w:cs="宋体"/>
          <w:color w:val="auto"/>
          <w:sz w:val="24"/>
          <w:szCs w:val="24"/>
          <w:highlight w:val="none"/>
        </w:rPr>
        <w:t>竞争性磋商文件</w:t>
      </w:r>
      <w:bookmarkEnd w:id="187"/>
      <w:bookmarkEnd w:id="188"/>
    </w:p>
    <w:p w14:paraId="0B33DEA8">
      <w:pPr>
        <w:pStyle w:val="21"/>
        <w:adjustRightInd w:val="0"/>
        <w:snapToGrid w:val="0"/>
        <w:spacing w:line="420" w:lineRule="exact"/>
        <w:rPr>
          <w:rFonts w:hAnsi="宋体" w:cs="宋体"/>
          <w:color w:val="auto"/>
          <w:szCs w:val="21"/>
          <w:highlight w:val="none"/>
        </w:rPr>
      </w:pPr>
      <w:r>
        <w:rPr>
          <w:rFonts w:hint="eastAsia" w:hAnsi="宋体" w:cs="宋体"/>
          <w:b/>
          <w:color w:val="auto"/>
          <w:szCs w:val="21"/>
          <w:highlight w:val="none"/>
        </w:rPr>
        <w:t>6.竞争性磋商文件构成</w:t>
      </w:r>
    </w:p>
    <w:p w14:paraId="3EC15BC1">
      <w:pPr>
        <w:pStyle w:val="21"/>
        <w:adjustRightInd w:val="0"/>
        <w:snapToGrid w:val="0"/>
        <w:spacing w:line="420" w:lineRule="exact"/>
        <w:ind w:firstLine="420"/>
        <w:rPr>
          <w:rFonts w:hAnsi="宋体" w:cs="宋体"/>
          <w:color w:val="auto"/>
          <w:kern w:val="0"/>
          <w:szCs w:val="21"/>
          <w:highlight w:val="none"/>
        </w:rPr>
      </w:pPr>
      <w:r>
        <w:rPr>
          <w:rFonts w:hint="eastAsia" w:hAnsi="宋体" w:cs="宋体"/>
          <w:color w:val="auto"/>
          <w:szCs w:val="21"/>
          <w:highlight w:val="none"/>
        </w:rPr>
        <w:t>6.1竞争性磋商文件包括：</w:t>
      </w:r>
    </w:p>
    <w:p w14:paraId="687A3489">
      <w:pPr>
        <w:pStyle w:val="21"/>
        <w:adjustRightInd w:val="0"/>
        <w:snapToGrid w:val="0"/>
        <w:spacing w:line="420" w:lineRule="exact"/>
        <w:ind w:firstLine="709"/>
        <w:rPr>
          <w:rFonts w:hAnsi="宋体" w:cs="宋体"/>
          <w:color w:val="auto"/>
          <w:szCs w:val="21"/>
          <w:highlight w:val="none"/>
        </w:rPr>
      </w:pPr>
      <w:r>
        <w:rPr>
          <w:rFonts w:hint="eastAsia" w:hAnsi="宋体" w:cs="宋体"/>
          <w:color w:val="auto"/>
          <w:szCs w:val="21"/>
          <w:highlight w:val="none"/>
        </w:rPr>
        <w:t>(1)磋商须知及前附表；</w:t>
      </w:r>
    </w:p>
    <w:p w14:paraId="77E001E6">
      <w:pPr>
        <w:pStyle w:val="21"/>
        <w:adjustRightInd w:val="0"/>
        <w:snapToGrid w:val="0"/>
        <w:spacing w:line="420" w:lineRule="exact"/>
        <w:ind w:firstLine="709"/>
        <w:rPr>
          <w:rFonts w:hAnsi="宋体" w:cs="宋体"/>
          <w:color w:val="auto"/>
          <w:szCs w:val="21"/>
          <w:highlight w:val="none"/>
        </w:rPr>
      </w:pPr>
      <w:r>
        <w:rPr>
          <w:rFonts w:hint="eastAsia" w:hAnsi="宋体" w:cs="宋体"/>
          <w:color w:val="auto"/>
          <w:szCs w:val="21"/>
          <w:highlight w:val="none"/>
        </w:rPr>
        <w:t>(2)合同条款；</w:t>
      </w:r>
    </w:p>
    <w:p w14:paraId="4AA645D7">
      <w:pPr>
        <w:pStyle w:val="21"/>
        <w:adjustRightInd w:val="0"/>
        <w:snapToGrid w:val="0"/>
        <w:spacing w:line="420" w:lineRule="exact"/>
        <w:ind w:firstLine="709"/>
        <w:rPr>
          <w:rFonts w:hAnsi="宋体" w:cs="宋体"/>
          <w:color w:val="auto"/>
          <w:kern w:val="0"/>
          <w:szCs w:val="21"/>
          <w:highlight w:val="none"/>
        </w:rPr>
      </w:pPr>
      <w:r>
        <w:rPr>
          <w:rFonts w:hint="eastAsia" w:hAnsi="宋体" w:cs="宋体"/>
          <w:color w:val="auto"/>
          <w:szCs w:val="21"/>
          <w:highlight w:val="none"/>
        </w:rPr>
        <w:t>(3)</w:t>
      </w:r>
      <w:r>
        <w:rPr>
          <w:rFonts w:hint="eastAsia" w:hAnsi="宋体" w:cs="宋体"/>
          <w:color w:val="auto"/>
          <w:kern w:val="0"/>
          <w:szCs w:val="21"/>
          <w:highlight w:val="none"/>
        </w:rPr>
        <w:t>合同文件格式；</w:t>
      </w:r>
    </w:p>
    <w:p w14:paraId="63F9FBBC">
      <w:pPr>
        <w:pStyle w:val="21"/>
        <w:adjustRightInd w:val="0"/>
        <w:snapToGrid w:val="0"/>
        <w:spacing w:line="420" w:lineRule="exact"/>
        <w:ind w:firstLine="709"/>
        <w:rPr>
          <w:rFonts w:hAnsi="宋体" w:cs="宋体"/>
          <w:color w:val="auto"/>
          <w:kern w:val="0"/>
          <w:szCs w:val="21"/>
          <w:highlight w:val="none"/>
        </w:rPr>
      </w:pPr>
      <w:r>
        <w:rPr>
          <w:rFonts w:hint="eastAsia" w:hAnsi="宋体" w:cs="宋体"/>
          <w:color w:val="auto"/>
          <w:kern w:val="0"/>
          <w:szCs w:val="21"/>
          <w:highlight w:val="none"/>
        </w:rPr>
        <w:t>(4)</w:t>
      </w:r>
      <w:r>
        <w:rPr>
          <w:rFonts w:hint="eastAsia" w:hAnsi="宋体" w:cs="宋体"/>
          <w:color w:val="auto"/>
          <w:szCs w:val="21"/>
          <w:highlight w:val="none"/>
        </w:rPr>
        <w:t>图纸、工程量清单；</w:t>
      </w:r>
    </w:p>
    <w:p w14:paraId="02937704">
      <w:pPr>
        <w:pStyle w:val="21"/>
        <w:adjustRightInd w:val="0"/>
        <w:snapToGrid w:val="0"/>
        <w:spacing w:line="420" w:lineRule="exact"/>
        <w:ind w:firstLine="709"/>
        <w:rPr>
          <w:rFonts w:hAnsi="宋体" w:cs="宋体"/>
          <w:color w:val="auto"/>
          <w:szCs w:val="21"/>
          <w:highlight w:val="none"/>
        </w:rPr>
      </w:pPr>
      <w:r>
        <w:rPr>
          <w:rFonts w:hint="eastAsia" w:hAnsi="宋体" w:cs="宋体"/>
          <w:color w:val="auto"/>
          <w:szCs w:val="21"/>
          <w:highlight w:val="none"/>
        </w:rPr>
        <w:t>(5)磋商响应文件格式；</w:t>
      </w:r>
    </w:p>
    <w:p w14:paraId="63550BF7">
      <w:pPr>
        <w:pStyle w:val="21"/>
        <w:adjustRightInd w:val="0"/>
        <w:snapToGrid w:val="0"/>
        <w:spacing w:line="420" w:lineRule="exact"/>
        <w:ind w:firstLine="709"/>
        <w:rPr>
          <w:rFonts w:hAnsi="宋体" w:cs="宋体"/>
          <w:color w:val="auto"/>
          <w:szCs w:val="21"/>
          <w:highlight w:val="none"/>
        </w:rPr>
      </w:pPr>
      <w:r>
        <w:rPr>
          <w:rFonts w:hint="eastAsia" w:hAnsi="宋体" w:cs="宋体"/>
          <w:color w:val="auto"/>
          <w:szCs w:val="21"/>
          <w:highlight w:val="none"/>
        </w:rPr>
        <w:t>(6)磋商原则和定标办法；</w:t>
      </w:r>
    </w:p>
    <w:p w14:paraId="31923A22">
      <w:pPr>
        <w:autoSpaceDE w:val="0"/>
        <w:autoSpaceDN w:val="0"/>
        <w:adjustRightInd w:val="0"/>
        <w:snapToGrid w:val="0"/>
        <w:spacing w:line="440" w:lineRule="exact"/>
        <w:ind w:firstLine="480"/>
        <w:jc w:val="left"/>
        <w:rPr>
          <w:rFonts w:ascii="宋体" w:hAnsi="宋体" w:cs="宋体"/>
          <w:color w:val="auto"/>
          <w:kern w:val="0"/>
          <w:szCs w:val="21"/>
          <w:highlight w:val="none"/>
        </w:rPr>
      </w:pPr>
      <w:bookmarkStart w:id="189" w:name="_Toc85085494"/>
      <w:bookmarkStart w:id="190" w:name="_Toc78294031"/>
      <w:r>
        <w:rPr>
          <w:rFonts w:hint="eastAsia" w:ascii="宋体" w:hAnsi="宋体" w:cs="宋体"/>
          <w:color w:val="auto"/>
          <w:kern w:val="0"/>
          <w:szCs w:val="21"/>
          <w:highlight w:val="none"/>
        </w:rPr>
        <w:t>6.2 除6.1内容外，采购人按本须知第7条和第8条以书面形式发出的对竞争性磋商文件的澄清或修改内容，均为竞争性磋商文件的组成部分，对采购人和供应商起约束作用。</w:t>
      </w:r>
    </w:p>
    <w:p w14:paraId="4D3DE47E">
      <w:pPr>
        <w:autoSpaceDE w:val="0"/>
        <w:autoSpaceDN w:val="0"/>
        <w:adjustRightInd w:val="0"/>
        <w:snapToGrid w:val="0"/>
        <w:spacing w:line="440" w:lineRule="exac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6.3 供应商获取竞争性磋商文件后，应仔细审查竞争性磋商文件的所有内容，如有残缺等问题应在获得竞争性磋商文件</w:t>
      </w:r>
      <w:r>
        <w:rPr>
          <w:rFonts w:hint="eastAsia" w:ascii="宋体" w:hAnsi="宋体" w:cs="宋体"/>
          <w:b/>
          <w:color w:val="auto"/>
          <w:kern w:val="0"/>
          <w:szCs w:val="21"/>
          <w:highlight w:val="none"/>
          <w:u w:val="single"/>
        </w:rPr>
        <w:t>2</w:t>
      </w:r>
      <w:r>
        <w:rPr>
          <w:rFonts w:hint="eastAsia" w:ascii="宋体" w:hAnsi="宋体" w:cs="宋体"/>
          <w:color w:val="auto"/>
          <w:kern w:val="0"/>
          <w:szCs w:val="21"/>
          <w:highlight w:val="none"/>
        </w:rPr>
        <w:t>日内向采购人提出，否则，由此引起的损失由供应商自己承担。供应商同时应认真审阅竞争性磋商文件中所有的事项、格式、条款和规范要求等，若供应商的磋商响应文件没有按竞争性磋商文件要求递交全部资料，或磋商响应文件没有对竞争性磋商文件做出实质性响应，其风险由供应商自行承担，并根据有关条款规定，该磋商有可能被拒绝。</w:t>
      </w:r>
    </w:p>
    <w:p w14:paraId="2A73B1E7">
      <w:pPr>
        <w:pStyle w:val="5"/>
        <w:snapToGrid w:val="0"/>
        <w:spacing w:line="440" w:lineRule="exact"/>
        <w:rPr>
          <w:rFonts w:ascii="宋体" w:hAnsi="宋体" w:cs="宋体"/>
          <w:color w:val="auto"/>
          <w:kern w:val="0"/>
          <w:sz w:val="21"/>
          <w:szCs w:val="21"/>
          <w:highlight w:val="none"/>
        </w:rPr>
      </w:pPr>
      <w:bookmarkStart w:id="191" w:name="_Toc514238596"/>
      <w:bookmarkStart w:id="192" w:name="_Toc277017122"/>
      <w:bookmarkStart w:id="193" w:name="_Toc277058903"/>
      <w:bookmarkStart w:id="194" w:name="_Toc55206456"/>
      <w:bookmarkStart w:id="195" w:name="_Toc75182678"/>
      <w:bookmarkStart w:id="196" w:name="_Toc47088277"/>
      <w:bookmarkStart w:id="197" w:name="_Toc11165"/>
      <w:bookmarkStart w:id="198" w:name="_Toc72920794"/>
      <w:bookmarkStart w:id="199" w:name="_Toc47088133"/>
      <w:bookmarkStart w:id="200" w:name="_Toc482785076"/>
      <w:bookmarkStart w:id="201" w:name="_Toc277016788"/>
      <w:bookmarkStart w:id="202" w:name="_Toc277016206"/>
      <w:r>
        <w:rPr>
          <w:rFonts w:hint="eastAsia" w:ascii="宋体" w:hAnsi="宋体" w:cs="宋体"/>
          <w:color w:val="auto"/>
          <w:kern w:val="0"/>
          <w:sz w:val="21"/>
          <w:szCs w:val="21"/>
          <w:highlight w:val="none"/>
        </w:rPr>
        <w:t>7、竞争性磋商文件的</w:t>
      </w:r>
      <w:bookmarkEnd w:id="191"/>
      <w:r>
        <w:rPr>
          <w:rFonts w:hint="eastAsia" w:ascii="宋体" w:hAnsi="宋体" w:cs="宋体"/>
          <w:color w:val="auto"/>
          <w:kern w:val="0"/>
          <w:sz w:val="21"/>
          <w:szCs w:val="21"/>
          <w:highlight w:val="none"/>
        </w:rPr>
        <w:t>澄清</w:t>
      </w:r>
      <w:bookmarkEnd w:id="192"/>
      <w:bookmarkEnd w:id="193"/>
      <w:bookmarkEnd w:id="194"/>
      <w:bookmarkEnd w:id="195"/>
      <w:bookmarkEnd w:id="196"/>
      <w:bookmarkEnd w:id="197"/>
      <w:bookmarkEnd w:id="198"/>
      <w:bookmarkEnd w:id="199"/>
      <w:bookmarkEnd w:id="200"/>
      <w:bookmarkEnd w:id="201"/>
      <w:bookmarkEnd w:id="202"/>
    </w:p>
    <w:p w14:paraId="55F4FF69">
      <w:pPr>
        <w:pStyle w:val="21"/>
        <w:snapToGrid w:val="0"/>
        <w:spacing w:line="440" w:lineRule="exact"/>
        <w:ind w:firstLine="420" w:firstLineChars="200"/>
        <w:rPr>
          <w:rFonts w:hAnsi="宋体" w:cs="宋体"/>
          <w:b/>
          <w:color w:val="auto"/>
          <w:highlight w:val="none"/>
        </w:rPr>
      </w:pPr>
      <w:bookmarkStart w:id="203" w:name="_Toc277058904"/>
      <w:bookmarkStart w:id="204" w:name="_Toc72920795"/>
      <w:bookmarkStart w:id="205" w:name="_Toc277016789"/>
      <w:bookmarkStart w:id="206" w:name="_Toc277016207"/>
      <w:bookmarkStart w:id="207" w:name="_Toc514238597"/>
      <w:bookmarkStart w:id="208" w:name="_Toc55206457"/>
      <w:bookmarkStart w:id="209" w:name="_Toc277017123"/>
      <w:r>
        <w:rPr>
          <w:rFonts w:hint="eastAsia" w:hAnsi="宋体" w:cs="宋体"/>
          <w:color w:val="auto"/>
          <w:highlight w:val="none"/>
        </w:rPr>
        <w:t>任何要求澄清竞争性磋商文件的供应商，均应在磋商截止日（磋商响应文件递交截止日）5日前以书面形式通知采购代理机构或采购人，同时认定其他澄清方式为无效。采购代理机构将以更改通知形式网上公布予以答复。</w:t>
      </w:r>
    </w:p>
    <w:p w14:paraId="04400A4D">
      <w:pPr>
        <w:pStyle w:val="5"/>
        <w:snapToGrid w:val="0"/>
        <w:spacing w:line="440" w:lineRule="exact"/>
        <w:rPr>
          <w:rFonts w:ascii="宋体" w:hAnsi="宋体" w:cs="宋体"/>
          <w:color w:val="auto"/>
          <w:kern w:val="0"/>
          <w:sz w:val="21"/>
          <w:szCs w:val="21"/>
          <w:highlight w:val="none"/>
        </w:rPr>
      </w:pPr>
      <w:bookmarkStart w:id="210" w:name="_Toc75182679"/>
      <w:bookmarkStart w:id="211" w:name="_Toc47088278"/>
      <w:bookmarkStart w:id="212" w:name="_Toc482785077"/>
      <w:bookmarkStart w:id="213" w:name="_Toc22236"/>
      <w:bookmarkStart w:id="214" w:name="_Toc47088134"/>
      <w:r>
        <w:rPr>
          <w:rFonts w:hint="eastAsia" w:ascii="宋体" w:hAnsi="宋体" w:cs="宋体"/>
          <w:color w:val="auto"/>
          <w:kern w:val="0"/>
          <w:sz w:val="21"/>
          <w:szCs w:val="21"/>
          <w:highlight w:val="none"/>
        </w:rPr>
        <w:t>8、竞争性磋商文件的修改</w:t>
      </w:r>
      <w:bookmarkEnd w:id="203"/>
      <w:bookmarkEnd w:id="204"/>
      <w:bookmarkEnd w:id="205"/>
      <w:bookmarkEnd w:id="206"/>
      <w:bookmarkEnd w:id="207"/>
      <w:bookmarkEnd w:id="208"/>
      <w:bookmarkEnd w:id="209"/>
      <w:bookmarkEnd w:id="210"/>
      <w:bookmarkEnd w:id="211"/>
      <w:bookmarkEnd w:id="212"/>
      <w:bookmarkEnd w:id="213"/>
      <w:bookmarkEnd w:id="214"/>
    </w:p>
    <w:p w14:paraId="2570B3CC">
      <w:pPr>
        <w:autoSpaceDE w:val="0"/>
        <w:autoSpaceDN w:val="0"/>
        <w:adjustRightInd w:val="0"/>
        <w:snapToGrid w:val="0"/>
        <w:spacing w:line="440" w:lineRule="exact"/>
        <w:ind w:firstLine="480"/>
        <w:jc w:val="left"/>
        <w:rPr>
          <w:rFonts w:ascii="宋体" w:hAnsi="宋体" w:cs="宋体"/>
          <w:color w:val="auto"/>
          <w:kern w:val="0"/>
          <w:szCs w:val="21"/>
          <w:highlight w:val="none"/>
        </w:rPr>
      </w:pPr>
      <w:r>
        <w:rPr>
          <w:rFonts w:hint="eastAsia" w:ascii="宋体" w:hAnsi="宋体" w:cs="宋体"/>
          <w:color w:val="auto"/>
          <w:szCs w:val="21"/>
          <w:highlight w:val="none"/>
        </w:rPr>
        <w:t>在竞争性磋商文件要求提交磋商响应文件截止时间至少5日前，采购代理机构对可以已发出的竞争性磋商文件进行修改，以</w:t>
      </w:r>
      <w:r>
        <w:rPr>
          <w:rFonts w:hint="eastAsia" w:ascii="宋体" w:hAnsi="宋体" w:cs="宋体"/>
          <w:color w:val="auto"/>
          <w:highlight w:val="none"/>
        </w:rPr>
        <w:t>更改通知形式网上公布</w:t>
      </w:r>
      <w:r>
        <w:rPr>
          <w:rFonts w:hint="eastAsia" w:ascii="宋体" w:hAnsi="宋体" w:cs="宋体"/>
          <w:color w:val="auto"/>
          <w:szCs w:val="21"/>
          <w:highlight w:val="none"/>
        </w:rPr>
        <w:t>通知所有竞争性磋商文件收受人。修改内容距提交磋商响应文件截止时间至不足5日可能影响响应文件编制的，应当顺延递交首次磋商响应文件截止之日，该澄清或修改的内容为竞争性磋商文件的组成部分。</w:t>
      </w:r>
    </w:p>
    <w:p w14:paraId="425BBE79">
      <w:pPr>
        <w:pStyle w:val="5"/>
        <w:keepNext w:val="0"/>
        <w:keepLines w:val="0"/>
        <w:adjustRightInd w:val="0"/>
        <w:snapToGrid w:val="0"/>
        <w:spacing w:line="480" w:lineRule="exact"/>
        <w:jc w:val="center"/>
        <w:rPr>
          <w:rFonts w:ascii="宋体" w:hAnsi="宋体" w:cs="宋体"/>
          <w:color w:val="auto"/>
          <w:sz w:val="28"/>
          <w:highlight w:val="none"/>
        </w:rPr>
      </w:pPr>
      <w:bookmarkStart w:id="215" w:name="_Toc75182680"/>
      <w:bookmarkStart w:id="216" w:name="_Toc27774"/>
      <w:r>
        <w:rPr>
          <w:rFonts w:hint="eastAsia" w:ascii="宋体" w:hAnsi="宋体" w:cs="宋体"/>
          <w:color w:val="auto"/>
          <w:sz w:val="28"/>
          <w:highlight w:val="none"/>
        </w:rPr>
        <w:t>(三) 磋商响应文件的编制</w:t>
      </w:r>
      <w:bookmarkEnd w:id="189"/>
      <w:bookmarkEnd w:id="190"/>
      <w:bookmarkEnd w:id="215"/>
      <w:bookmarkEnd w:id="216"/>
    </w:p>
    <w:p w14:paraId="6925C9B4">
      <w:pPr>
        <w:pStyle w:val="21"/>
        <w:adjustRightInd w:val="0"/>
        <w:snapToGrid w:val="0"/>
        <w:spacing w:line="400" w:lineRule="exact"/>
        <w:rPr>
          <w:rFonts w:hAnsi="宋体" w:cs="宋体"/>
          <w:b/>
          <w:color w:val="auto"/>
          <w:szCs w:val="21"/>
          <w:highlight w:val="none"/>
        </w:rPr>
      </w:pPr>
      <w:r>
        <w:rPr>
          <w:rFonts w:hint="eastAsia" w:hAnsi="宋体" w:cs="宋体"/>
          <w:b/>
          <w:color w:val="auto"/>
          <w:szCs w:val="21"/>
          <w:highlight w:val="none"/>
        </w:rPr>
        <w:t>9.磋商响应文件编写注意事项</w:t>
      </w:r>
    </w:p>
    <w:p w14:paraId="213A3F5B">
      <w:pPr>
        <w:pStyle w:val="21"/>
        <w:adjustRightInd w:val="0"/>
        <w:snapToGrid w:val="0"/>
        <w:spacing w:line="400" w:lineRule="exact"/>
        <w:ind w:firstLine="422" w:firstLineChars="200"/>
        <w:rPr>
          <w:rFonts w:hAnsi="宋体"/>
          <w:color w:val="auto"/>
          <w:highlight w:val="none"/>
        </w:rPr>
      </w:pPr>
      <w:r>
        <w:rPr>
          <w:rFonts w:hint="eastAsia" w:hAnsi="宋体" w:cs="宋体"/>
          <w:b/>
          <w:bCs/>
          <w:color w:val="auto"/>
          <w:highlight w:val="none"/>
        </w:rPr>
        <w:t>9</w:t>
      </w:r>
      <w:r>
        <w:rPr>
          <w:rFonts w:hint="eastAsia" w:hAnsi="宋体"/>
          <w:color w:val="auto"/>
          <w:highlight w:val="none"/>
        </w:rPr>
        <w:t>.1 供应商应根据“</w:t>
      </w:r>
      <w:r>
        <w:rPr>
          <w:rFonts w:hint="eastAsia" w:hAnsi="宋体"/>
          <w:color w:val="auto"/>
          <w:highlight w:val="none"/>
          <w:lang w:eastAsia="zh-CN"/>
        </w:rPr>
        <w:t>广西政府采购云平台</w:t>
      </w:r>
      <w:r>
        <w:rPr>
          <w:rFonts w:hint="eastAsia" w:hAnsi="宋体"/>
          <w:color w:val="auto"/>
          <w:highlight w:val="none"/>
        </w:rPr>
        <w:t xml:space="preserve">”及本竞争性磋商文件规定的格式编制响应文件，响应文件内容不完整、编排混乱导致响应文件被误读、漏读或者查找不到相关内容的，导致磋商无效的风险，由供应商自行承担。 </w:t>
      </w:r>
    </w:p>
    <w:p w14:paraId="1544D0C4">
      <w:pPr>
        <w:pStyle w:val="21"/>
        <w:adjustRightInd w:val="0"/>
        <w:snapToGrid w:val="0"/>
        <w:spacing w:line="400" w:lineRule="exact"/>
        <w:ind w:firstLine="422" w:firstLineChars="200"/>
        <w:rPr>
          <w:rFonts w:hAnsi="宋体"/>
          <w:color w:val="auto"/>
          <w:highlight w:val="none"/>
        </w:rPr>
      </w:pPr>
      <w:r>
        <w:rPr>
          <w:rFonts w:hint="eastAsia" w:hAnsi="宋体" w:cs="宋体"/>
          <w:b/>
          <w:bCs/>
          <w:color w:val="auto"/>
          <w:highlight w:val="none"/>
        </w:rPr>
        <w:t>9</w:t>
      </w:r>
      <w:r>
        <w:rPr>
          <w:rFonts w:hint="eastAsia" w:hAnsi="宋体"/>
          <w:color w:val="auto"/>
          <w:highlight w:val="none"/>
        </w:rPr>
        <w:t xml:space="preserve">.2 响应文件电子版：具体材料见“供应商须知前附表”。 </w:t>
      </w:r>
    </w:p>
    <w:p w14:paraId="14312235">
      <w:pPr>
        <w:pStyle w:val="21"/>
        <w:adjustRightInd w:val="0"/>
        <w:snapToGrid w:val="0"/>
        <w:spacing w:line="400" w:lineRule="exact"/>
        <w:ind w:firstLine="422" w:firstLineChars="200"/>
        <w:rPr>
          <w:rFonts w:hAnsi="宋体"/>
          <w:color w:val="auto"/>
          <w:highlight w:val="none"/>
        </w:rPr>
      </w:pPr>
      <w:r>
        <w:rPr>
          <w:rFonts w:hint="eastAsia" w:hAnsi="宋体" w:cs="宋体"/>
          <w:b/>
          <w:bCs/>
          <w:color w:val="auto"/>
          <w:highlight w:val="none"/>
        </w:rPr>
        <w:t>9</w:t>
      </w:r>
      <w:r>
        <w:rPr>
          <w:rFonts w:hint="eastAsia" w:hAnsi="宋体"/>
          <w:color w:val="auto"/>
          <w:highlight w:val="none"/>
        </w:rPr>
        <w:t xml:space="preserve">.3 响应文件须由供应商在规定位置盖公章并由法定代表人或委托代理人签字或签章，否则其响应文件按无效响应处理。 </w:t>
      </w:r>
    </w:p>
    <w:p w14:paraId="0BC83383">
      <w:pPr>
        <w:pStyle w:val="21"/>
        <w:adjustRightInd w:val="0"/>
        <w:snapToGrid w:val="0"/>
        <w:spacing w:line="400" w:lineRule="exact"/>
        <w:ind w:firstLine="422" w:firstLineChars="200"/>
        <w:rPr>
          <w:rFonts w:hAnsi="宋体"/>
          <w:color w:val="auto"/>
          <w:highlight w:val="none"/>
        </w:rPr>
      </w:pPr>
      <w:r>
        <w:rPr>
          <w:rFonts w:hint="eastAsia" w:hAnsi="宋体" w:cs="宋体"/>
          <w:b/>
          <w:bCs/>
          <w:color w:val="auto"/>
          <w:highlight w:val="none"/>
        </w:rPr>
        <w:t>9</w:t>
      </w:r>
      <w:r>
        <w:rPr>
          <w:rFonts w:hint="eastAsia" w:hAnsi="宋体"/>
          <w:color w:val="auto"/>
          <w:highlight w:val="none"/>
        </w:rPr>
        <w:t xml:space="preserve">.4 响应文件中标注的供应商名称应与营业执照（事业单位法人证书、执业许可证、自然人 身份证）及公章一致，否则其响应文件按无效响应处理。 </w:t>
      </w:r>
    </w:p>
    <w:p w14:paraId="1EC5F265">
      <w:pPr>
        <w:pStyle w:val="21"/>
        <w:adjustRightInd w:val="0"/>
        <w:snapToGrid w:val="0"/>
        <w:spacing w:line="400" w:lineRule="exact"/>
        <w:ind w:firstLine="422" w:firstLineChars="200"/>
        <w:rPr>
          <w:rFonts w:hAnsi="宋体"/>
          <w:color w:val="auto"/>
          <w:highlight w:val="none"/>
        </w:rPr>
      </w:pPr>
      <w:r>
        <w:rPr>
          <w:rFonts w:hint="eastAsia" w:hAnsi="宋体" w:cs="宋体"/>
          <w:b/>
          <w:bCs/>
          <w:color w:val="auto"/>
          <w:highlight w:val="none"/>
        </w:rPr>
        <w:t>9</w:t>
      </w:r>
      <w:r>
        <w:rPr>
          <w:rFonts w:hint="eastAsia" w:hAnsi="宋体"/>
          <w:color w:val="auto"/>
          <w:highlight w:val="none"/>
        </w:rPr>
        <w:t xml:space="preserve">.5 响应文件应尽量避免涂改、行间插字或删除。如果出现上述情况，改动之处应由供应商的法定代表人或其委托代理人签字或加盖公章。响应文件因涂改、行间插字或删除导致字迹潦草或表达不清所引起的后果由供应商承担。 </w:t>
      </w:r>
    </w:p>
    <w:p w14:paraId="344D8A00">
      <w:pPr>
        <w:pStyle w:val="21"/>
        <w:adjustRightInd w:val="0"/>
        <w:snapToGrid w:val="0"/>
        <w:spacing w:line="400" w:lineRule="exact"/>
        <w:ind w:firstLine="422" w:firstLineChars="200"/>
        <w:rPr>
          <w:rFonts w:hAnsi="宋体"/>
          <w:color w:val="auto"/>
          <w:highlight w:val="none"/>
        </w:rPr>
      </w:pPr>
      <w:r>
        <w:rPr>
          <w:rFonts w:hint="eastAsia" w:hAnsi="宋体" w:cs="宋体"/>
          <w:b/>
          <w:bCs/>
          <w:color w:val="auto"/>
          <w:highlight w:val="none"/>
        </w:rPr>
        <w:t>9</w:t>
      </w:r>
      <w:r>
        <w:rPr>
          <w:rFonts w:hint="eastAsia" w:hAnsi="宋体"/>
          <w:color w:val="auto"/>
          <w:highlight w:val="none"/>
        </w:rPr>
        <w:t>.6 电子响应文件中须加盖供应商公章的均采用 CA 签章，并根据“</w:t>
      </w:r>
      <w:r>
        <w:rPr>
          <w:rFonts w:hint="eastAsia" w:hAnsi="宋体"/>
          <w:color w:val="auto"/>
          <w:highlight w:val="none"/>
          <w:lang w:eastAsia="zh-CN"/>
        </w:rPr>
        <w:t>广西政府采购云平台</w:t>
      </w:r>
      <w:r>
        <w:rPr>
          <w:rFonts w:hint="eastAsia" w:hAnsi="宋体"/>
          <w:color w:val="auto"/>
          <w:highlight w:val="none"/>
        </w:rPr>
        <w:t xml:space="preserve">” 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竞争性磋商文件规定的部位查找不到相关内容的，由供应商自行承担。 </w:t>
      </w:r>
    </w:p>
    <w:p w14:paraId="03696C1C">
      <w:pPr>
        <w:pStyle w:val="21"/>
        <w:adjustRightInd w:val="0"/>
        <w:snapToGrid w:val="0"/>
        <w:spacing w:line="400" w:lineRule="exact"/>
        <w:ind w:firstLine="422" w:firstLineChars="200"/>
        <w:rPr>
          <w:rFonts w:hAnsi="宋体"/>
          <w:color w:val="auto"/>
          <w:highlight w:val="none"/>
        </w:rPr>
      </w:pPr>
      <w:r>
        <w:rPr>
          <w:rFonts w:hint="eastAsia" w:hAnsi="宋体" w:cs="宋体"/>
          <w:b/>
          <w:bCs/>
          <w:color w:val="auto"/>
          <w:highlight w:val="none"/>
        </w:rPr>
        <w:t>9</w:t>
      </w:r>
      <w:r>
        <w:rPr>
          <w:rFonts w:hint="eastAsia" w:hAnsi="宋体"/>
          <w:color w:val="auto"/>
          <w:highlight w:val="none"/>
        </w:rPr>
        <w:t xml:space="preserve">.7 </w:t>
      </w:r>
      <w:r>
        <w:rPr>
          <w:rFonts w:hAnsi="宋体"/>
          <w:color w:val="auto"/>
          <w:highlight w:val="none"/>
        </w:rPr>
        <w:t xml:space="preserve"> CA </w:t>
      </w:r>
      <w:r>
        <w:rPr>
          <w:rFonts w:hint="eastAsia" w:hAnsi="宋体"/>
          <w:color w:val="auto"/>
          <w:highlight w:val="none"/>
        </w:rPr>
        <w:t xml:space="preserve">签章上关于法定代表人（负责人）或授权代表签字信息，供应商在响应文件中涉及到签字的位置线下【签好字然后扫描或者拍照做成 </w:t>
      </w:r>
      <w:r>
        <w:rPr>
          <w:rFonts w:hAnsi="宋体"/>
          <w:color w:val="auto"/>
          <w:highlight w:val="none"/>
        </w:rPr>
        <w:t xml:space="preserve">PDF </w:t>
      </w:r>
      <w:r>
        <w:rPr>
          <w:rFonts w:hint="eastAsia" w:hAnsi="宋体"/>
          <w:color w:val="auto"/>
          <w:highlight w:val="none"/>
        </w:rPr>
        <w:t xml:space="preserve">的格式】或【通过政采云电子交易客户端使用 </w:t>
      </w:r>
      <w:r>
        <w:rPr>
          <w:rFonts w:hAnsi="宋体"/>
          <w:color w:val="auto"/>
          <w:highlight w:val="none"/>
        </w:rPr>
        <w:t xml:space="preserve">CA </w:t>
      </w:r>
      <w:r>
        <w:rPr>
          <w:rFonts w:hint="eastAsia" w:hAnsi="宋体"/>
          <w:color w:val="auto"/>
          <w:highlight w:val="none"/>
        </w:rPr>
        <w:t xml:space="preserve">法定代表人（负责人）或授权代表签章】亦可。响应文件中涉及到签字的位置未按要求签字的，提供的材料视为无效。  </w:t>
      </w:r>
    </w:p>
    <w:p w14:paraId="0E5491B9">
      <w:pPr>
        <w:pStyle w:val="21"/>
        <w:adjustRightInd w:val="0"/>
        <w:snapToGrid w:val="0"/>
        <w:spacing w:line="400" w:lineRule="exact"/>
        <w:ind w:firstLine="420" w:firstLineChars="200"/>
        <w:rPr>
          <w:rFonts w:hAnsi="宋体"/>
          <w:color w:val="auto"/>
          <w:highlight w:val="none"/>
        </w:rPr>
      </w:pPr>
      <w:r>
        <w:rPr>
          <w:rFonts w:hint="eastAsia" w:hAnsi="宋体" w:cs="宋体"/>
          <w:color w:val="auto"/>
          <w:highlight w:val="none"/>
        </w:rPr>
        <w:t>9</w:t>
      </w:r>
      <w:r>
        <w:rPr>
          <w:rFonts w:hAnsi="宋体"/>
          <w:color w:val="auto"/>
          <w:highlight w:val="none"/>
        </w:rPr>
        <w:t xml:space="preserve">.8 </w:t>
      </w:r>
      <w:r>
        <w:rPr>
          <w:rFonts w:hint="eastAsia" w:hAnsi="宋体"/>
          <w:color w:val="auto"/>
          <w:highlight w:val="none"/>
        </w:rPr>
        <w:t xml:space="preserve">响应文件不得涂改，若有修改错漏处，须加盖单位公章或者法定代表人（负责人）或授权委托人签字或盖章。响应文件因字迹潦草或表达不清所引起的后果由供应商负责。 </w:t>
      </w:r>
    </w:p>
    <w:p w14:paraId="1AE13861">
      <w:pPr>
        <w:pStyle w:val="21"/>
        <w:adjustRightInd w:val="0"/>
        <w:snapToGrid w:val="0"/>
        <w:spacing w:line="400" w:lineRule="exact"/>
        <w:ind w:firstLine="420" w:firstLineChars="200"/>
        <w:rPr>
          <w:rFonts w:eastAsia="黑体"/>
          <w:color w:val="auto"/>
          <w:highlight w:val="none"/>
        </w:rPr>
      </w:pPr>
      <w:r>
        <w:rPr>
          <w:rFonts w:hint="eastAsia" w:hAnsi="宋体"/>
          <w:color w:val="auto"/>
          <w:highlight w:val="none"/>
        </w:rPr>
        <w:t>9.9</w:t>
      </w:r>
      <w:r>
        <w:rPr>
          <w:rFonts w:hint="eastAsia" w:hAnsi="宋体" w:cs="宋体"/>
          <w:color w:val="auto"/>
          <w:szCs w:val="21"/>
          <w:highlight w:val="none"/>
        </w:rPr>
        <w:t>供应商应认真阅读竞争性磋商文件，按照竞争性磋商文件的要求编制磋商响应文件。如果没有按照竞争性磋商文件要求提交磋商响应文件,没有对竞争性磋商文件提出的实质性要求和条件作出响应，</w:t>
      </w:r>
      <w:r>
        <w:rPr>
          <w:rFonts w:hint="eastAsia" w:hAnsi="宋体" w:cs="宋体"/>
          <w:b/>
          <w:color w:val="auto"/>
          <w:szCs w:val="21"/>
          <w:highlight w:val="none"/>
        </w:rPr>
        <w:t>磋商专家有权判定为无效磋商</w:t>
      </w:r>
      <w:r>
        <w:rPr>
          <w:rFonts w:hint="eastAsia" w:hAnsi="宋体" w:cs="宋体"/>
          <w:color w:val="auto"/>
          <w:szCs w:val="21"/>
          <w:highlight w:val="none"/>
        </w:rPr>
        <w:t>。</w:t>
      </w:r>
    </w:p>
    <w:p w14:paraId="59D03FDC">
      <w:pPr>
        <w:pStyle w:val="21"/>
        <w:adjustRightInd w:val="0"/>
        <w:snapToGrid w:val="0"/>
        <w:spacing w:line="400" w:lineRule="exact"/>
        <w:rPr>
          <w:rFonts w:hAnsi="宋体" w:cs="宋体"/>
          <w:color w:val="auto"/>
          <w:szCs w:val="21"/>
          <w:highlight w:val="none"/>
        </w:rPr>
      </w:pPr>
      <w:r>
        <w:rPr>
          <w:rFonts w:hint="eastAsia" w:hAnsi="宋体" w:cs="宋体"/>
          <w:b/>
          <w:color w:val="auto"/>
          <w:szCs w:val="21"/>
          <w:highlight w:val="none"/>
        </w:rPr>
        <w:t>10.磋商的语言及计量单位</w:t>
      </w:r>
    </w:p>
    <w:p w14:paraId="5065A81A">
      <w:pPr>
        <w:pStyle w:val="21"/>
        <w:adjustRightInd w:val="0"/>
        <w:snapToGrid w:val="0"/>
        <w:spacing w:line="400" w:lineRule="exact"/>
        <w:ind w:firstLine="420"/>
        <w:rPr>
          <w:rFonts w:hAnsi="宋体" w:cs="宋体"/>
          <w:color w:val="auto"/>
          <w:szCs w:val="21"/>
          <w:highlight w:val="none"/>
        </w:rPr>
      </w:pPr>
      <w:r>
        <w:rPr>
          <w:rFonts w:hint="eastAsia" w:hAnsi="宋体" w:cs="宋体"/>
          <w:color w:val="auto"/>
          <w:szCs w:val="21"/>
          <w:highlight w:val="none"/>
        </w:rPr>
        <w:t>10.1</w:t>
      </w:r>
      <w:r>
        <w:rPr>
          <w:rFonts w:hint="eastAsia" w:hAnsi="宋体" w:cs="宋体"/>
          <w:color w:val="auto"/>
          <w:spacing w:val="2"/>
          <w:szCs w:val="21"/>
          <w:highlight w:val="none"/>
        </w:rPr>
        <w:t>“</w:t>
      </w:r>
      <w:r>
        <w:rPr>
          <w:rFonts w:hint="eastAsia" w:hAnsi="宋体" w:cs="宋体"/>
          <w:color w:val="auto"/>
          <w:szCs w:val="21"/>
          <w:highlight w:val="none"/>
        </w:rPr>
        <w:t>磋商响应文件”是指：供应商根据本竞争性磋商文件要求，编制包含报价、技术和服务等所有内容的响应文件。</w:t>
      </w:r>
    </w:p>
    <w:p w14:paraId="7A6FAEAA">
      <w:pPr>
        <w:pStyle w:val="21"/>
        <w:adjustRightInd w:val="0"/>
        <w:snapToGrid w:val="0"/>
        <w:spacing w:line="400" w:lineRule="exact"/>
        <w:ind w:firstLine="420"/>
        <w:rPr>
          <w:rFonts w:hAnsi="宋体" w:cs="宋体"/>
          <w:color w:val="auto"/>
          <w:szCs w:val="21"/>
          <w:highlight w:val="none"/>
        </w:rPr>
      </w:pPr>
      <w:r>
        <w:rPr>
          <w:rFonts w:hint="eastAsia" w:hAnsi="宋体" w:cs="宋体"/>
          <w:color w:val="auto"/>
          <w:szCs w:val="21"/>
          <w:highlight w:val="none"/>
        </w:rPr>
        <w:t>10.2</w:t>
      </w:r>
      <w:r>
        <w:rPr>
          <w:rFonts w:hint="eastAsia" w:hAnsi="宋体" w:cs="宋体"/>
          <w:color w:val="auto"/>
          <w:spacing w:val="-2"/>
          <w:szCs w:val="21"/>
          <w:highlight w:val="none"/>
        </w:rPr>
        <w:t>磋商响应文件及供应商与采购人之间往来的与磋商有关的通知、函件和文件均应使用</w:t>
      </w:r>
      <w:r>
        <w:rPr>
          <w:rFonts w:hint="eastAsia" w:hAnsi="宋体" w:cs="宋体"/>
          <w:bCs/>
          <w:color w:val="auto"/>
          <w:spacing w:val="-2"/>
          <w:szCs w:val="21"/>
          <w:highlight w:val="none"/>
        </w:rPr>
        <w:t>中</w:t>
      </w:r>
      <w:r>
        <w:rPr>
          <w:rFonts w:hint="eastAsia" w:hAnsi="宋体" w:cs="宋体"/>
          <w:color w:val="auto"/>
          <w:spacing w:val="-2"/>
          <w:szCs w:val="21"/>
          <w:highlight w:val="none"/>
        </w:rPr>
        <w:t>文。</w:t>
      </w:r>
    </w:p>
    <w:p w14:paraId="11B9A7B7">
      <w:pPr>
        <w:pStyle w:val="21"/>
        <w:adjustRightInd w:val="0"/>
        <w:snapToGrid w:val="0"/>
        <w:spacing w:line="400" w:lineRule="exact"/>
        <w:ind w:firstLine="420"/>
        <w:rPr>
          <w:rFonts w:hAnsi="宋体" w:cs="宋体"/>
          <w:color w:val="auto"/>
          <w:szCs w:val="21"/>
          <w:highlight w:val="none"/>
        </w:rPr>
      </w:pPr>
      <w:r>
        <w:rPr>
          <w:rFonts w:hint="eastAsia" w:hAnsi="宋体" w:cs="宋体"/>
          <w:color w:val="auto"/>
          <w:szCs w:val="21"/>
          <w:highlight w:val="none"/>
        </w:rPr>
        <w:t>10.3供应商的磋商响应文件以及供应商与采购代理机构所有来往函电统一使用中文（特别规定除外）。</w:t>
      </w:r>
    </w:p>
    <w:p w14:paraId="1CBB92A3">
      <w:pPr>
        <w:pStyle w:val="21"/>
        <w:adjustRightInd w:val="0"/>
        <w:snapToGrid w:val="0"/>
        <w:spacing w:line="400" w:lineRule="exact"/>
        <w:ind w:firstLine="420"/>
        <w:rPr>
          <w:rFonts w:hAnsi="宋体" w:cs="宋体"/>
          <w:color w:val="auto"/>
          <w:szCs w:val="21"/>
          <w:highlight w:val="none"/>
        </w:rPr>
      </w:pPr>
      <w:r>
        <w:rPr>
          <w:rFonts w:hint="eastAsia" w:hAnsi="宋体" w:cs="宋体"/>
          <w:color w:val="auto"/>
          <w:szCs w:val="21"/>
          <w:highlight w:val="none"/>
        </w:rPr>
        <w:t>10.4磋商响应文件中使用的计量单位除竞争性磋商文件中有特殊规定外，一律使用法定计量单位。</w:t>
      </w:r>
    </w:p>
    <w:p w14:paraId="3B4E02D6">
      <w:pPr>
        <w:pStyle w:val="21"/>
        <w:adjustRightInd w:val="0"/>
        <w:snapToGrid w:val="0"/>
        <w:spacing w:line="400" w:lineRule="exact"/>
        <w:rPr>
          <w:rFonts w:hAnsi="宋体" w:cs="宋体"/>
          <w:b/>
          <w:color w:val="auto"/>
          <w:szCs w:val="21"/>
          <w:highlight w:val="none"/>
        </w:rPr>
      </w:pPr>
      <w:r>
        <w:rPr>
          <w:rFonts w:hint="eastAsia" w:hAnsi="宋体" w:cs="宋体"/>
          <w:b/>
          <w:color w:val="auto"/>
          <w:szCs w:val="21"/>
          <w:highlight w:val="none"/>
        </w:rPr>
        <w:t>11.磋商响应文件构成</w:t>
      </w:r>
    </w:p>
    <w:p w14:paraId="59124FDF">
      <w:pPr>
        <w:pStyle w:val="21"/>
        <w:adjustRightInd w:val="0"/>
        <w:snapToGrid w:val="0"/>
        <w:spacing w:line="400" w:lineRule="exact"/>
        <w:ind w:firstLine="357" w:firstLineChars="170"/>
        <w:rPr>
          <w:rFonts w:hAnsi="宋体" w:cs="宋体"/>
          <w:color w:val="auto"/>
          <w:szCs w:val="21"/>
          <w:highlight w:val="none"/>
        </w:rPr>
      </w:pPr>
      <w:r>
        <w:rPr>
          <w:rFonts w:hint="eastAsia" w:hAnsi="宋体" w:cs="宋体"/>
          <w:color w:val="auto"/>
          <w:kern w:val="0"/>
          <w:szCs w:val="21"/>
          <w:highlight w:val="none"/>
        </w:rPr>
        <w:t>11.1.磋商响应文件由以下</w:t>
      </w:r>
      <w:r>
        <w:rPr>
          <w:rFonts w:hint="eastAsia" w:hAnsi="宋体" w:cs="宋体"/>
          <w:color w:val="auto"/>
          <w:szCs w:val="21"/>
          <w:highlight w:val="none"/>
        </w:rPr>
        <w:t>价格文件、商务技术文件</w:t>
      </w:r>
      <w:r>
        <w:rPr>
          <w:rFonts w:hint="eastAsia" w:hAnsi="宋体" w:cs="宋体"/>
          <w:color w:val="auto"/>
          <w:kern w:val="0"/>
          <w:szCs w:val="21"/>
          <w:highlight w:val="none"/>
        </w:rPr>
        <w:t>组成，供应商应该自编目录及页码</w:t>
      </w:r>
      <w:r>
        <w:rPr>
          <w:rFonts w:hint="eastAsia" w:hAnsi="宋体" w:cs="宋体"/>
          <w:color w:val="auto"/>
          <w:szCs w:val="21"/>
          <w:highlight w:val="none"/>
        </w:rPr>
        <w:t>。</w:t>
      </w:r>
    </w:p>
    <w:p w14:paraId="370AC651">
      <w:pPr>
        <w:pStyle w:val="21"/>
        <w:adjustRightInd w:val="0"/>
        <w:snapToGrid w:val="0"/>
        <w:spacing w:line="400" w:lineRule="exact"/>
        <w:ind w:firstLine="359" w:firstLineChars="171"/>
        <w:rPr>
          <w:rFonts w:hAnsi="宋体" w:cs="宋体"/>
          <w:color w:val="auto"/>
          <w:szCs w:val="21"/>
          <w:highlight w:val="none"/>
        </w:rPr>
      </w:pPr>
      <w:r>
        <w:rPr>
          <w:rFonts w:hint="eastAsia" w:hAnsi="宋体" w:cs="宋体"/>
          <w:color w:val="auto"/>
          <w:szCs w:val="21"/>
          <w:highlight w:val="none"/>
        </w:rPr>
        <w:t>（1）价格文件：（详见须知前附表）</w:t>
      </w:r>
    </w:p>
    <w:p w14:paraId="63E230EB">
      <w:pPr>
        <w:pStyle w:val="21"/>
        <w:adjustRightInd w:val="0"/>
        <w:snapToGrid w:val="0"/>
        <w:spacing w:line="400" w:lineRule="exact"/>
        <w:ind w:firstLine="359" w:firstLineChars="171"/>
        <w:rPr>
          <w:rFonts w:hint="eastAsia" w:hAnsi="宋体" w:cs="宋体"/>
          <w:color w:val="auto"/>
          <w:szCs w:val="21"/>
          <w:highlight w:val="none"/>
        </w:rPr>
      </w:pPr>
      <w:r>
        <w:rPr>
          <w:rFonts w:hint="eastAsia" w:hAnsi="宋体" w:cs="宋体"/>
          <w:color w:val="auto"/>
          <w:szCs w:val="21"/>
          <w:highlight w:val="none"/>
        </w:rPr>
        <w:t>（</w:t>
      </w:r>
      <w:r>
        <w:rPr>
          <w:rFonts w:hint="eastAsia" w:hAnsi="宋体" w:cs="宋体"/>
          <w:color w:val="auto"/>
          <w:szCs w:val="21"/>
          <w:highlight w:val="none"/>
          <w:lang w:val="en-US" w:eastAsia="zh-CN"/>
        </w:rPr>
        <w:t>2</w:t>
      </w:r>
      <w:r>
        <w:rPr>
          <w:rFonts w:hint="eastAsia" w:hAnsi="宋体" w:cs="宋体"/>
          <w:color w:val="auto"/>
          <w:szCs w:val="21"/>
          <w:highlight w:val="none"/>
        </w:rPr>
        <w:t>）</w:t>
      </w:r>
      <w:r>
        <w:rPr>
          <w:rFonts w:hint="eastAsia" w:hAnsi="宋体" w:cs="宋体"/>
          <w:color w:val="auto"/>
          <w:szCs w:val="21"/>
          <w:highlight w:val="none"/>
          <w:lang w:eastAsia="zh-CN"/>
        </w:rPr>
        <w:t>资格证明</w:t>
      </w:r>
      <w:r>
        <w:rPr>
          <w:rFonts w:hint="eastAsia" w:hAnsi="宋体" w:cs="宋体"/>
          <w:color w:val="auto"/>
          <w:szCs w:val="21"/>
          <w:highlight w:val="none"/>
        </w:rPr>
        <w:t>文件：（详见须知前附表）</w:t>
      </w:r>
    </w:p>
    <w:p w14:paraId="4EC961E9">
      <w:pPr>
        <w:pStyle w:val="21"/>
        <w:adjustRightInd w:val="0"/>
        <w:snapToGrid w:val="0"/>
        <w:spacing w:line="400" w:lineRule="exact"/>
        <w:ind w:firstLine="359" w:firstLineChars="171"/>
        <w:rPr>
          <w:rFonts w:hint="default" w:eastAsia="黑体"/>
          <w:color w:val="auto"/>
          <w:highlight w:val="none"/>
          <w:lang w:val="en-US" w:eastAsia="zh-CN"/>
        </w:rPr>
      </w:pPr>
      <w:r>
        <w:rPr>
          <w:rFonts w:hint="eastAsia" w:hAnsi="宋体" w:cs="宋体"/>
          <w:color w:val="auto"/>
          <w:szCs w:val="21"/>
          <w:highlight w:val="none"/>
        </w:rPr>
        <w:t>（</w:t>
      </w:r>
      <w:r>
        <w:rPr>
          <w:rFonts w:hint="eastAsia" w:hAnsi="宋体" w:cs="宋体"/>
          <w:color w:val="auto"/>
          <w:szCs w:val="21"/>
          <w:highlight w:val="none"/>
          <w:lang w:val="en-US" w:eastAsia="zh-CN"/>
        </w:rPr>
        <w:t>3</w:t>
      </w:r>
      <w:r>
        <w:rPr>
          <w:rFonts w:hint="eastAsia" w:hAnsi="宋体" w:cs="宋体"/>
          <w:color w:val="auto"/>
          <w:szCs w:val="21"/>
          <w:highlight w:val="none"/>
        </w:rPr>
        <w:t>）商务技术文件：（详见须知前附表）</w:t>
      </w:r>
    </w:p>
    <w:p w14:paraId="6E72A61E">
      <w:pPr>
        <w:pStyle w:val="21"/>
        <w:adjustRightInd w:val="0"/>
        <w:spacing w:line="400" w:lineRule="exact"/>
        <w:ind w:firstLine="359" w:firstLineChars="171"/>
        <w:rPr>
          <w:rFonts w:hAnsi="宋体" w:cs="宋体"/>
          <w:color w:val="auto"/>
          <w:szCs w:val="21"/>
          <w:highlight w:val="none"/>
        </w:rPr>
      </w:pPr>
      <w:r>
        <w:rPr>
          <w:rFonts w:hint="eastAsia" w:hAnsi="宋体" w:cs="宋体"/>
          <w:color w:val="auto"/>
          <w:szCs w:val="21"/>
          <w:highlight w:val="none"/>
        </w:rPr>
        <w:t>11.2本项目的</w:t>
      </w:r>
      <w:r>
        <w:rPr>
          <w:rFonts w:hint="eastAsia" w:hAnsi="宋体" w:cs="宋体"/>
          <w:b/>
          <w:bCs/>
          <w:color w:val="auto"/>
          <w:szCs w:val="21"/>
          <w:highlight w:val="none"/>
        </w:rPr>
        <w:t>项目经理及技术负责人采取实名制</w:t>
      </w:r>
      <w:r>
        <w:rPr>
          <w:rFonts w:hint="eastAsia" w:hAnsi="宋体" w:cs="宋体"/>
          <w:color w:val="auto"/>
          <w:szCs w:val="21"/>
          <w:highlight w:val="none"/>
        </w:rPr>
        <w:t>，若工程施工过程中发现项目经理及技术负责人与磋商时拟派的项目经理及技术负责人不符的，视为转包，采购人有权解除合同。</w:t>
      </w:r>
    </w:p>
    <w:p w14:paraId="740ADCEE">
      <w:pPr>
        <w:pStyle w:val="5"/>
        <w:snapToGrid w:val="0"/>
        <w:spacing w:line="440" w:lineRule="exact"/>
        <w:rPr>
          <w:rFonts w:ascii="宋体" w:hAnsi="宋体" w:cs="宋体"/>
          <w:b w:val="0"/>
          <w:color w:val="auto"/>
          <w:kern w:val="0"/>
          <w:sz w:val="21"/>
          <w:szCs w:val="21"/>
          <w:highlight w:val="none"/>
        </w:rPr>
      </w:pPr>
      <w:bookmarkStart w:id="217" w:name="_Toc277017133"/>
      <w:bookmarkStart w:id="218" w:name="_Toc47088280"/>
      <w:bookmarkStart w:id="219" w:name="_Toc277016793"/>
      <w:bookmarkStart w:id="220" w:name="_Toc47088136"/>
      <w:bookmarkStart w:id="221" w:name="_Toc21288"/>
      <w:bookmarkStart w:id="222" w:name="_Toc277016211"/>
      <w:bookmarkStart w:id="223" w:name="_Toc482785079"/>
      <w:bookmarkStart w:id="224" w:name="_Toc75182681"/>
      <w:bookmarkStart w:id="225" w:name="_Toc277058916"/>
      <w:r>
        <w:rPr>
          <w:rFonts w:hint="eastAsia" w:ascii="宋体" w:hAnsi="宋体" w:cs="宋体"/>
          <w:color w:val="auto"/>
          <w:kern w:val="0"/>
          <w:sz w:val="21"/>
          <w:szCs w:val="21"/>
          <w:highlight w:val="none"/>
        </w:rPr>
        <w:t>12、磋商响应文件格式</w:t>
      </w:r>
      <w:bookmarkEnd w:id="217"/>
      <w:bookmarkEnd w:id="218"/>
      <w:bookmarkEnd w:id="219"/>
      <w:bookmarkEnd w:id="220"/>
      <w:bookmarkEnd w:id="221"/>
      <w:bookmarkEnd w:id="222"/>
      <w:bookmarkEnd w:id="223"/>
      <w:bookmarkEnd w:id="224"/>
      <w:bookmarkEnd w:id="225"/>
    </w:p>
    <w:p w14:paraId="14630CCB">
      <w:pPr>
        <w:autoSpaceDE w:val="0"/>
        <w:autoSpaceDN w:val="0"/>
        <w:adjustRightInd w:val="0"/>
        <w:snapToGrid w:val="0"/>
        <w:spacing w:line="440" w:lineRule="exac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12.1 磋商响应文件包括本须知第11条中规定的</w:t>
      </w:r>
      <w:r>
        <w:rPr>
          <w:rFonts w:hint="eastAsia" w:hAnsi="宋体" w:cs="宋体"/>
          <w:color w:val="auto"/>
          <w:szCs w:val="21"/>
          <w:highlight w:val="none"/>
        </w:rPr>
        <w:t>价格文件、商务技术文件</w:t>
      </w:r>
      <w:r>
        <w:rPr>
          <w:rFonts w:hint="eastAsia" w:ascii="宋体" w:hAnsi="宋体" w:cs="宋体"/>
          <w:color w:val="auto"/>
          <w:kern w:val="0"/>
          <w:szCs w:val="21"/>
          <w:highlight w:val="none"/>
        </w:rPr>
        <w:t>，供应商递交的磋商响应文件应当使用竞争性磋商文件所提供的磋商响应文件全部格式</w:t>
      </w:r>
      <w:bookmarkStart w:id="226" w:name="_Hlt76287184"/>
      <w:bookmarkEnd w:id="226"/>
      <w:r>
        <w:rPr>
          <w:rFonts w:hint="eastAsia" w:ascii="宋体" w:hAnsi="宋体" w:cs="宋体"/>
          <w:color w:val="auto"/>
          <w:kern w:val="0"/>
          <w:szCs w:val="21"/>
          <w:highlight w:val="none"/>
        </w:rPr>
        <w:t>（表格可以按同样格</w:t>
      </w:r>
      <w:bookmarkStart w:id="227" w:name="_Hlt76233225"/>
      <w:bookmarkEnd w:id="227"/>
      <w:r>
        <w:rPr>
          <w:rFonts w:hint="eastAsia" w:ascii="宋体" w:hAnsi="宋体" w:cs="宋体"/>
          <w:color w:val="auto"/>
          <w:kern w:val="0"/>
          <w:szCs w:val="21"/>
          <w:highlight w:val="none"/>
        </w:rPr>
        <w:t>式扩展）。</w:t>
      </w:r>
    </w:p>
    <w:p w14:paraId="2561ECB2">
      <w:pPr>
        <w:pStyle w:val="21"/>
        <w:adjustRightInd w:val="0"/>
        <w:snapToGrid w:val="0"/>
        <w:spacing w:line="400" w:lineRule="exact"/>
        <w:rPr>
          <w:rFonts w:hAnsi="宋体" w:cs="宋体"/>
          <w:b/>
          <w:color w:val="auto"/>
          <w:szCs w:val="21"/>
          <w:highlight w:val="none"/>
        </w:rPr>
      </w:pPr>
      <w:r>
        <w:rPr>
          <w:rFonts w:hint="eastAsia" w:hAnsi="宋体" w:cs="宋体"/>
          <w:b/>
          <w:color w:val="auto"/>
          <w:szCs w:val="21"/>
          <w:highlight w:val="none"/>
        </w:rPr>
        <w:t>13、磋商报价</w:t>
      </w:r>
    </w:p>
    <w:p w14:paraId="641C117A">
      <w:pPr>
        <w:snapToGrid w:val="0"/>
        <w:spacing w:line="440" w:lineRule="exact"/>
        <w:ind w:left="19" w:leftChars="9" w:firstLine="420" w:firstLineChars="200"/>
        <w:rPr>
          <w:rFonts w:ascii="宋体" w:hAnsi="宋体" w:cs="宋体"/>
          <w:color w:val="auto"/>
          <w:szCs w:val="21"/>
          <w:highlight w:val="none"/>
        </w:rPr>
      </w:pPr>
      <w:r>
        <w:rPr>
          <w:rFonts w:hint="eastAsia" w:ascii="宋体" w:hAnsi="宋体" w:cs="宋体"/>
          <w:color w:val="auto"/>
          <w:szCs w:val="21"/>
          <w:highlight w:val="none"/>
        </w:rPr>
        <w:t>13.1本工程的采购控制价由具备相应造价咨询资质的单位编制。</w:t>
      </w:r>
    </w:p>
    <w:p w14:paraId="52707D18">
      <w:pPr>
        <w:snapToGrid w:val="0"/>
        <w:spacing w:line="440" w:lineRule="exact"/>
        <w:ind w:left="19" w:leftChars="9" w:firstLine="420" w:firstLineChars="200"/>
        <w:rPr>
          <w:rFonts w:ascii="宋体" w:hAnsi="宋体" w:cs="宋体"/>
          <w:color w:val="auto"/>
          <w:szCs w:val="21"/>
          <w:highlight w:val="none"/>
        </w:rPr>
      </w:pPr>
      <w:r>
        <w:rPr>
          <w:rFonts w:hint="eastAsia" w:ascii="宋体" w:hAnsi="宋体" w:cs="宋体"/>
          <w:color w:val="auto"/>
          <w:szCs w:val="21"/>
          <w:highlight w:val="none"/>
        </w:rPr>
        <w:t>13.2供应商应认真对照施工设计图纸等文件核对采购人公布的工程采购控制价，发现工程采购控制价明显误差的，必须在磋商截止时间5天前向采购人提出书面异议或修正要求。</w:t>
      </w:r>
    </w:p>
    <w:p w14:paraId="265ED847">
      <w:pPr>
        <w:snapToGrid w:val="0"/>
        <w:spacing w:line="440" w:lineRule="exact"/>
        <w:ind w:left="19" w:leftChars="9" w:firstLine="420" w:firstLineChars="200"/>
        <w:rPr>
          <w:rFonts w:ascii="宋体" w:hAnsi="宋体" w:cs="宋体"/>
          <w:color w:val="auto"/>
          <w:szCs w:val="21"/>
          <w:highlight w:val="none"/>
        </w:rPr>
      </w:pPr>
      <w:r>
        <w:rPr>
          <w:rFonts w:hint="eastAsia" w:ascii="宋体" w:hAnsi="宋体" w:cs="宋体"/>
          <w:color w:val="auto"/>
          <w:szCs w:val="21"/>
          <w:highlight w:val="none"/>
        </w:rPr>
        <w:t>13.3采购人在收到供应商提出的书面异议或修正要求后，将对异议或修正要求进行核实。如采购人认为有必要对工程采购控制价进行修正的，将在磋商截止时间前重新公布修正后的工程采购控制价，并相应的延期磋商截止时间。</w:t>
      </w:r>
    </w:p>
    <w:p w14:paraId="7A7576FA">
      <w:pPr>
        <w:snapToGrid w:val="0"/>
        <w:spacing w:line="440" w:lineRule="exact"/>
        <w:ind w:left="19" w:leftChars="9" w:firstLine="420" w:firstLineChars="200"/>
        <w:rPr>
          <w:rFonts w:ascii="宋体" w:hAnsi="宋体" w:cs="宋体"/>
          <w:color w:val="auto"/>
          <w:szCs w:val="21"/>
          <w:highlight w:val="none"/>
        </w:rPr>
      </w:pPr>
      <w:r>
        <w:rPr>
          <w:rFonts w:hint="eastAsia" w:ascii="宋体" w:hAnsi="宋体" w:cs="宋体"/>
          <w:color w:val="auto"/>
          <w:szCs w:val="21"/>
          <w:highlight w:val="none"/>
        </w:rPr>
        <w:t>13.4供应商应在磋商报价表上标明磋商单价和磋商总价。大写金额和小写金额不一致的，以大写金额为准，如总价金额与按单价汇总金额不一致的，以单价金额计算结果为准；单价金额小数点有明显错位的，应以总价为准，并修改单价。如果供应商不接受对其错误的更正，其磋商将被拒绝。</w:t>
      </w:r>
    </w:p>
    <w:p w14:paraId="703B235A">
      <w:pPr>
        <w:snapToGrid w:val="0"/>
        <w:spacing w:line="440" w:lineRule="exact"/>
        <w:ind w:left="19" w:leftChars="9"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13.5 磋商总报价不高于采购控制价的为有效报价。</w:t>
      </w:r>
    </w:p>
    <w:p w14:paraId="4F858FED">
      <w:pPr>
        <w:pStyle w:val="21"/>
        <w:adjustRightInd w:val="0"/>
        <w:snapToGrid w:val="0"/>
        <w:spacing w:line="400" w:lineRule="exact"/>
        <w:rPr>
          <w:rFonts w:hAnsi="宋体" w:cs="宋体"/>
          <w:b/>
          <w:color w:val="auto"/>
          <w:szCs w:val="21"/>
          <w:highlight w:val="none"/>
        </w:rPr>
      </w:pPr>
      <w:r>
        <w:rPr>
          <w:rFonts w:hint="eastAsia" w:hAnsi="宋体" w:cs="宋体"/>
          <w:b/>
          <w:color w:val="auto"/>
          <w:szCs w:val="21"/>
          <w:highlight w:val="none"/>
        </w:rPr>
        <w:t>14.磋商有效期</w:t>
      </w:r>
    </w:p>
    <w:p w14:paraId="074529F1">
      <w:pPr>
        <w:pStyle w:val="21"/>
        <w:adjustRightInd w:val="0"/>
        <w:snapToGrid w:val="0"/>
        <w:spacing w:line="400" w:lineRule="exact"/>
        <w:ind w:firstLine="420" w:firstLineChars="200"/>
        <w:rPr>
          <w:rFonts w:hAnsi="宋体" w:cs="宋体"/>
          <w:b/>
          <w:color w:val="auto"/>
          <w:szCs w:val="21"/>
          <w:highlight w:val="none"/>
        </w:rPr>
      </w:pPr>
      <w:r>
        <w:rPr>
          <w:rFonts w:hint="eastAsia" w:hAnsi="宋体" w:cs="宋体"/>
          <w:color w:val="auto"/>
          <w:szCs w:val="21"/>
          <w:highlight w:val="none"/>
        </w:rPr>
        <w:t>14.1磋商有效期从提交竞争性磋商文件的截止之日起算。有效期内供应商不得改变磋商报价、成交标的及承诺的全部义务。磋商有效期较短的，采购人可以视为非响应性磋商予以拒绝。</w:t>
      </w:r>
      <w:r>
        <w:rPr>
          <w:rFonts w:hint="eastAsia" w:hAnsi="宋体" w:cs="宋体"/>
          <w:color w:val="auto"/>
          <w:szCs w:val="21"/>
          <w:highlight w:val="none"/>
        </w:rPr>
        <w:br w:type="textWrapping"/>
      </w:r>
      <w:r>
        <w:rPr>
          <w:rFonts w:hint="eastAsia" w:hAnsi="宋体" w:cs="宋体"/>
          <w:color w:val="auto"/>
          <w:szCs w:val="21"/>
          <w:highlight w:val="none"/>
          <w:lang w:val="en-US" w:eastAsia="zh-CN"/>
        </w:rPr>
        <w:t xml:space="preserve">    </w:t>
      </w:r>
      <w:r>
        <w:rPr>
          <w:rFonts w:hint="eastAsia" w:hAnsi="宋体" w:cs="宋体"/>
          <w:color w:val="auto"/>
          <w:szCs w:val="21"/>
          <w:highlight w:val="none"/>
        </w:rPr>
        <w:t>14.2如出现特殊情况需要延长磋商有效期的，采购人可向供应商提出延长磋商有效期的要求。这种要求与答复均应采用书面形式。供应商可以拒绝采购人的这种要求但不被没收磋商保证金。同意延长磋商有效期的供应商既不能要求也不允许修改其磋商文件。</w:t>
      </w:r>
      <w:r>
        <w:rPr>
          <w:rFonts w:hint="eastAsia" w:hAnsi="宋体" w:cs="宋体"/>
          <w:color w:val="auto"/>
          <w:szCs w:val="21"/>
          <w:highlight w:val="none"/>
        </w:rPr>
        <w:br w:type="textWrapping"/>
      </w:r>
      <w:r>
        <w:rPr>
          <w:rFonts w:hint="eastAsia" w:hAnsi="宋体" w:cs="宋体"/>
          <w:color w:val="auto"/>
          <w:szCs w:val="21"/>
          <w:highlight w:val="none"/>
          <w:lang w:val="en-US" w:eastAsia="zh-CN"/>
        </w:rPr>
        <w:t xml:space="preserve">    </w:t>
      </w:r>
      <w:r>
        <w:rPr>
          <w:rFonts w:hint="eastAsia" w:hAnsi="宋体" w:cs="宋体"/>
          <w:color w:val="auto"/>
          <w:szCs w:val="21"/>
          <w:highlight w:val="none"/>
        </w:rPr>
        <w:t xml:space="preserve">14.3成交供应商的竞争性磋商文件自开标之日起至合同履行完毕止均应保持有效。 </w:t>
      </w:r>
    </w:p>
    <w:p w14:paraId="1863D394">
      <w:pPr>
        <w:pStyle w:val="21"/>
        <w:adjustRightInd w:val="0"/>
        <w:snapToGrid w:val="0"/>
        <w:spacing w:line="400" w:lineRule="exact"/>
        <w:rPr>
          <w:rFonts w:hAnsi="宋体" w:cs="宋体"/>
          <w:b/>
          <w:color w:val="auto"/>
          <w:szCs w:val="21"/>
          <w:highlight w:val="none"/>
        </w:rPr>
      </w:pPr>
      <w:r>
        <w:rPr>
          <w:rFonts w:hint="eastAsia" w:hAnsi="宋体" w:cs="宋体"/>
          <w:b/>
          <w:color w:val="auto"/>
          <w:szCs w:val="21"/>
          <w:highlight w:val="none"/>
        </w:rPr>
        <w:t>15.磋商响应文件的编制</w:t>
      </w:r>
    </w:p>
    <w:p w14:paraId="033C2AF3">
      <w:pPr>
        <w:pStyle w:val="21"/>
        <w:adjustRightInd w:val="0"/>
        <w:snapToGrid w:val="0"/>
        <w:spacing w:line="400" w:lineRule="exact"/>
        <w:ind w:firstLine="420" w:firstLineChars="200"/>
        <w:rPr>
          <w:rFonts w:hAnsi="宋体" w:cs="宋体"/>
          <w:color w:val="auto"/>
          <w:highlight w:val="none"/>
        </w:rPr>
      </w:pPr>
      <w:bookmarkStart w:id="228" w:name="_Hlk85728365"/>
      <w:r>
        <w:rPr>
          <w:rFonts w:hint="eastAsia" w:hAnsi="宋体" w:cs="宋体"/>
          <w:color w:val="auto"/>
          <w:highlight w:val="none"/>
        </w:rPr>
        <w:t>15.1 供应商应根据“</w:t>
      </w:r>
      <w:r>
        <w:rPr>
          <w:rFonts w:hint="eastAsia" w:hAnsi="宋体"/>
          <w:color w:val="auto"/>
          <w:highlight w:val="none"/>
          <w:lang w:eastAsia="zh-CN"/>
        </w:rPr>
        <w:t>广西政府采购云平台</w:t>
      </w:r>
      <w:r>
        <w:rPr>
          <w:rFonts w:hint="eastAsia" w:hAnsi="宋体" w:cs="宋体"/>
          <w:color w:val="auto"/>
          <w:highlight w:val="none"/>
        </w:rPr>
        <w:t>”及本竞争性磋商文件规定的格式编制响应文件，响应文件内容不完整、编排混乱导致响应文件被误读、漏读或者查找不到相关内容的，</w:t>
      </w:r>
      <w:r>
        <w:rPr>
          <w:rFonts w:hint="eastAsia" w:hAnsi="宋体" w:cs="宋体"/>
          <w:color w:val="auto"/>
          <w:highlight w:val="none"/>
          <w:lang w:val="en-US" w:eastAsia="zh-CN"/>
        </w:rPr>
        <w:t>由</w:t>
      </w:r>
      <w:r>
        <w:rPr>
          <w:rFonts w:hint="eastAsia" w:hAnsi="宋体" w:cs="宋体"/>
          <w:color w:val="auto"/>
          <w:highlight w:val="none"/>
        </w:rPr>
        <w:t xml:space="preserve">供应商自行承担。 </w:t>
      </w:r>
    </w:p>
    <w:p w14:paraId="04C077F8">
      <w:pPr>
        <w:pStyle w:val="21"/>
        <w:adjustRightInd w:val="0"/>
        <w:snapToGrid w:val="0"/>
        <w:spacing w:line="400" w:lineRule="exact"/>
        <w:ind w:firstLine="420" w:firstLineChars="200"/>
        <w:rPr>
          <w:rFonts w:hAnsi="宋体" w:cs="宋体"/>
          <w:color w:val="auto"/>
          <w:highlight w:val="none"/>
        </w:rPr>
      </w:pPr>
      <w:r>
        <w:rPr>
          <w:rFonts w:hint="eastAsia" w:hAnsi="宋体" w:cs="宋体"/>
          <w:color w:val="auto"/>
          <w:highlight w:val="none"/>
        </w:rPr>
        <w:t xml:space="preserve">15.2 响应文件须由供应商在规定位置盖公章并由法定代表人或委托代理人签字或签章，否则其响应文件按无效响应处理。 </w:t>
      </w:r>
    </w:p>
    <w:p w14:paraId="6AEEDEE7">
      <w:pPr>
        <w:pStyle w:val="21"/>
        <w:adjustRightInd w:val="0"/>
        <w:snapToGrid w:val="0"/>
        <w:spacing w:line="400" w:lineRule="exact"/>
        <w:ind w:firstLine="420" w:firstLineChars="200"/>
        <w:rPr>
          <w:rFonts w:hAnsi="宋体" w:cs="宋体"/>
          <w:color w:val="auto"/>
          <w:highlight w:val="none"/>
        </w:rPr>
      </w:pPr>
      <w:r>
        <w:rPr>
          <w:rFonts w:hint="eastAsia" w:hAnsi="宋体" w:cs="宋体"/>
          <w:color w:val="auto"/>
          <w:highlight w:val="none"/>
        </w:rPr>
        <w:t>15.3 响应文件中标注的供应商名称应与营业执照（事业单位法人证书、执业许可证、自然人 身份证）及</w:t>
      </w:r>
      <w:r>
        <w:rPr>
          <w:rFonts w:hint="eastAsia" w:hAnsi="宋体" w:cs="宋体"/>
          <w:color w:val="auto"/>
          <w:szCs w:val="21"/>
          <w:highlight w:val="none"/>
        </w:rPr>
        <w:t>电子</w:t>
      </w:r>
      <w:r>
        <w:rPr>
          <w:rFonts w:hint="eastAsia" w:hAnsi="宋体" w:cs="宋体"/>
          <w:color w:val="auto"/>
          <w:highlight w:val="none"/>
        </w:rPr>
        <w:t xml:space="preserve">公章一致，否则其响应文件按无效响应处理。 </w:t>
      </w:r>
    </w:p>
    <w:p w14:paraId="53276F84">
      <w:pPr>
        <w:pStyle w:val="21"/>
        <w:adjustRightInd w:val="0"/>
        <w:snapToGrid w:val="0"/>
        <w:spacing w:line="400" w:lineRule="exact"/>
        <w:ind w:firstLine="420" w:firstLineChars="200"/>
        <w:rPr>
          <w:rFonts w:hAnsi="宋体" w:cs="宋体"/>
          <w:color w:val="auto"/>
          <w:highlight w:val="none"/>
        </w:rPr>
      </w:pPr>
      <w:r>
        <w:rPr>
          <w:rFonts w:hint="eastAsia" w:hAnsi="宋体" w:cs="宋体"/>
          <w:color w:val="auto"/>
          <w:highlight w:val="none"/>
        </w:rPr>
        <w:t>15.4 响应文件应尽量避免涂改、行间插字或删除。如果出现上述情况，改动之处应由供应商的法定代表人或其委托代理人签字或加盖</w:t>
      </w:r>
      <w:r>
        <w:rPr>
          <w:rFonts w:hint="eastAsia" w:hAnsi="宋体" w:cs="宋体"/>
          <w:color w:val="auto"/>
          <w:szCs w:val="21"/>
          <w:highlight w:val="none"/>
        </w:rPr>
        <w:t>电子</w:t>
      </w:r>
      <w:r>
        <w:rPr>
          <w:rFonts w:hint="eastAsia" w:hAnsi="宋体" w:cs="宋体"/>
          <w:color w:val="auto"/>
          <w:highlight w:val="none"/>
        </w:rPr>
        <w:t xml:space="preserve">公章。响应文件因涂改、行间插字或删除导致字迹潦草或表达不清所引起的后果由供应商承担。 </w:t>
      </w:r>
    </w:p>
    <w:p w14:paraId="79333052">
      <w:pPr>
        <w:pStyle w:val="21"/>
        <w:adjustRightInd w:val="0"/>
        <w:snapToGrid w:val="0"/>
        <w:spacing w:line="400" w:lineRule="exact"/>
        <w:ind w:firstLine="420" w:firstLineChars="200"/>
        <w:rPr>
          <w:rFonts w:hAnsi="宋体" w:cs="宋体"/>
          <w:color w:val="auto"/>
          <w:highlight w:val="none"/>
        </w:rPr>
      </w:pPr>
      <w:r>
        <w:rPr>
          <w:rFonts w:hint="eastAsia" w:hAnsi="宋体" w:cs="宋体"/>
          <w:color w:val="auto"/>
          <w:highlight w:val="none"/>
        </w:rPr>
        <w:t>15.5电子响应文件中须加盖供应商公章均采用 CA 签章，并根据</w:t>
      </w:r>
      <w:r>
        <w:rPr>
          <w:rFonts w:hint="eastAsia" w:hAnsi="宋体"/>
          <w:color w:val="auto"/>
          <w:highlight w:val="none"/>
          <w:lang w:eastAsia="zh-CN"/>
        </w:rPr>
        <w:t>“广西政府采购云平台”</w:t>
      </w:r>
      <w:r>
        <w:rPr>
          <w:rFonts w:hint="eastAsia" w:hAnsi="宋体" w:cs="宋体"/>
          <w:color w:val="auto"/>
          <w:highlight w:val="none"/>
        </w:rPr>
        <w:t xml:space="preserve">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 </w:t>
      </w:r>
    </w:p>
    <w:p w14:paraId="62CC0702">
      <w:pPr>
        <w:pStyle w:val="21"/>
        <w:adjustRightInd w:val="0"/>
        <w:snapToGrid w:val="0"/>
        <w:spacing w:line="400" w:lineRule="exact"/>
        <w:ind w:firstLine="420" w:firstLineChars="200"/>
        <w:rPr>
          <w:rFonts w:hAnsi="宋体" w:cs="宋体"/>
          <w:color w:val="auto"/>
          <w:highlight w:val="none"/>
        </w:rPr>
      </w:pPr>
      <w:r>
        <w:rPr>
          <w:rFonts w:hint="eastAsia" w:hAnsi="宋体" w:cs="宋体"/>
          <w:color w:val="auto"/>
          <w:highlight w:val="none"/>
        </w:rPr>
        <w:t>15.6  CA 签章上关于法定代表人（负责人）或授权代表签字信息，供应商在响应文件中涉及到签字的位置线下【签好字然后扫描或者拍照做成 PDF 的格式】或【通过</w:t>
      </w:r>
      <w:r>
        <w:rPr>
          <w:rFonts w:hint="eastAsia" w:hAnsi="宋体" w:cs="宋体"/>
          <w:color w:val="auto"/>
          <w:highlight w:val="none"/>
          <w:lang w:val="en-US" w:eastAsia="zh-CN"/>
        </w:rPr>
        <w:t>广西政府采购云平台</w:t>
      </w:r>
      <w:r>
        <w:rPr>
          <w:rFonts w:hint="eastAsia" w:hAnsi="宋体" w:cs="宋体"/>
          <w:color w:val="auto"/>
          <w:highlight w:val="none"/>
        </w:rPr>
        <w:t xml:space="preserve">电子交易客户端使用 CA 法定代表人（负责人）或授权代表签章】亦可。响应文件中涉及到签字的位置未按要求签字的，提供的材料视为无效。 </w:t>
      </w:r>
    </w:p>
    <w:p w14:paraId="11AEDC73">
      <w:pPr>
        <w:pStyle w:val="21"/>
        <w:adjustRightInd w:val="0"/>
        <w:snapToGrid w:val="0"/>
        <w:spacing w:line="400" w:lineRule="exact"/>
        <w:ind w:firstLine="420" w:firstLineChars="200"/>
        <w:rPr>
          <w:rFonts w:hAnsi="宋体" w:cs="宋体"/>
          <w:color w:val="auto"/>
          <w:highlight w:val="none"/>
        </w:rPr>
      </w:pPr>
      <w:r>
        <w:rPr>
          <w:rFonts w:hint="eastAsia" w:hAnsi="宋体" w:cs="宋体"/>
          <w:color w:val="auto"/>
          <w:highlight w:val="none"/>
        </w:rPr>
        <w:t>15.7响应文件（包含电子备份响应文件），其中电子响应文件中所须加盖公章的均采用 CA 签章或企业公章。若竞争性磋商文件中有专门标注的某关联点，并要求供应商在电子磋商系统中作出磋商响应的，如供应商未对关联点进行响应或者在响应文件其它内容进行描述，造成电子评审不能查询的责任由供应商自行承担。</w:t>
      </w:r>
    </w:p>
    <w:p w14:paraId="6E5A89BC">
      <w:pPr>
        <w:pStyle w:val="21"/>
        <w:adjustRightInd w:val="0"/>
        <w:snapToGrid w:val="0"/>
        <w:spacing w:line="400" w:lineRule="exact"/>
        <w:ind w:firstLine="422" w:firstLineChars="200"/>
        <w:jc w:val="left"/>
        <w:rPr>
          <w:rFonts w:hAnsi="宋体"/>
          <w:color w:val="auto"/>
          <w:highlight w:val="none"/>
        </w:rPr>
      </w:pPr>
      <w:r>
        <w:rPr>
          <w:rFonts w:hint="eastAsia" w:hAnsi="宋体" w:cs="宋体"/>
          <w:b/>
          <w:bCs/>
          <w:color w:val="auto"/>
          <w:highlight w:val="none"/>
        </w:rPr>
        <w:t>15.8磋商响应文件中所提供的资格证明文件及相关材料若为复印件必须加盖磋商单位电子公章，否则视为无效。</w:t>
      </w:r>
    </w:p>
    <w:bookmarkEnd w:id="228"/>
    <w:p w14:paraId="65D1ACF9">
      <w:pPr>
        <w:pStyle w:val="21"/>
        <w:adjustRightInd w:val="0"/>
        <w:snapToGrid w:val="0"/>
        <w:spacing w:line="400" w:lineRule="exact"/>
        <w:rPr>
          <w:rFonts w:hAnsi="宋体" w:cs="宋体"/>
          <w:b/>
          <w:color w:val="auto"/>
          <w:szCs w:val="21"/>
          <w:highlight w:val="none"/>
        </w:rPr>
      </w:pPr>
      <w:r>
        <w:rPr>
          <w:rFonts w:hint="eastAsia" w:hAnsi="宋体" w:cs="宋体"/>
          <w:b/>
          <w:color w:val="auto"/>
          <w:szCs w:val="21"/>
          <w:highlight w:val="none"/>
        </w:rPr>
        <w:t>16.磋商保证金：</w:t>
      </w:r>
      <w:bookmarkStart w:id="229" w:name="_Hlk85728431"/>
      <w:r>
        <w:rPr>
          <w:rFonts w:hint="eastAsia" w:hAnsi="宋体" w:cs="宋体"/>
          <w:b/>
          <w:color w:val="auto"/>
          <w:szCs w:val="21"/>
          <w:highlight w:val="none"/>
        </w:rPr>
        <w:t>本项目不需要缴纳磋商保证金。</w:t>
      </w:r>
      <w:bookmarkEnd w:id="229"/>
    </w:p>
    <w:p w14:paraId="174DE2D8">
      <w:pPr>
        <w:pStyle w:val="5"/>
        <w:keepNext w:val="0"/>
        <w:keepLines w:val="0"/>
        <w:adjustRightInd w:val="0"/>
        <w:snapToGrid w:val="0"/>
        <w:spacing w:line="400" w:lineRule="exact"/>
        <w:jc w:val="center"/>
        <w:rPr>
          <w:rFonts w:ascii="宋体" w:hAnsi="宋体" w:cs="宋体"/>
          <w:color w:val="auto"/>
          <w:sz w:val="28"/>
          <w:highlight w:val="none"/>
        </w:rPr>
      </w:pPr>
      <w:bookmarkStart w:id="230" w:name="_Toc85085495"/>
      <w:bookmarkStart w:id="231" w:name="_Toc8039"/>
      <w:bookmarkStart w:id="232" w:name="_Toc75182682"/>
      <w:bookmarkStart w:id="233" w:name="_Toc78294032"/>
      <w:r>
        <w:rPr>
          <w:rFonts w:hint="eastAsia" w:ascii="宋体" w:hAnsi="宋体" w:cs="宋体"/>
          <w:color w:val="auto"/>
          <w:sz w:val="28"/>
          <w:highlight w:val="none"/>
        </w:rPr>
        <w:t>(四) 磋商响应文件的递交</w:t>
      </w:r>
      <w:bookmarkEnd w:id="230"/>
      <w:bookmarkEnd w:id="231"/>
      <w:bookmarkEnd w:id="232"/>
      <w:bookmarkEnd w:id="233"/>
    </w:p>
    <w:p w14:paraId="25955BCF">
      <w:pPr>
        <w:pStyle w:val="21"/>
        <w:adjustRightInd w:val="0"/>
        <w:snapToGrid w:val="0"/>
        <w:spacing w:line="400" w:lineRule="exact"/>
        <w:rPr>
          <w:rFonts w:hAnsi="宋体" w:cs="宋体"/>
          <w:b/>
          <w:color w:val="auto"/>
          <w:highlight w:val="none"/>
        </w:rPr>
      </w:pPr>
      <w:bookmarkStart w:id="234" w:name="_Toc85085496"/>
      <w:bookmarkStart w:id="235" w:name="_Toc78294033"/>
      <w:r>
        <w:rPr>
          <w:rFonts w:hint="eastAsia" w:hAnsi="宋体" w:cs="宋体"/>
          <w:b/>
          <w:color w:val="auto"/>
          <w:highlight w:val="none"/>
        </w:rPr>
        <w:t>17.磋商响应文件的密封与标记：/</w:t>
      </w:r>
    </w:p>
    <w:p w14:paraId="632CAF13">
      <w:pPr>
        <w:pStyle w:val="21"/>
        <w:adjustRightInd w:val="0"/>
        <w:snapToGrid w:val="0"/>
        <w:spacing w:line="400" w:lineRule="exact"/>
        <w:jc w:val="left"/>
        <w:rPr>
          <w:rFonts w:hAnsi="宋体"/>
          <w:b/>
          <w:bCs/>
          <w:color w:val="auto"/>
          <w:highlight w:val="none"/>
        </w:rPr>
      </w:pPr>
      <w:bookmarkStart w:id="236" w:name="_Toc26920"/>
      <w:bookmarkStart w:id="237" w:name="_Toc482785081"/>
      <w:r>
        <w:rPr>
          <w:rFonts w:hint="eastAsia" w:hAnsi="宋体"/>
          <w:b/>
          <w:bCs/>
          <w:color w:val="auto"/>
          <w:highlight w:val="none"/>
        </w:rPr>
        <w:t>18.</w:t>
      </w:r>
      <w:bookmarkStart w:id="238" w:name="_Toc514238609"/>
      <w:bookmarkStart w:id="239" w:name="_Toc55206470"/>
      <w:bookmarkStart w:id="240" w:name="_Toc277016802"/>
      <w:bookmarkStart w:id="241" w:name="_Toc277016220"/>
      <w:bookmarkStart w:id="242" w:name="_Toc277058925"/>
      <w:bookmarkStart w:id="243" w:name="_Toc277017142"/>
      <w:r>
        <w:rPr>
          <w:rFonts w:hint="eastAsia" w:hAnsi="宋体"/>
          <w:b/>
          <w:bCs/>
          <w:color w:val="auto"/>
          <w:highlight w:val="none"/>
        </w:rPr>
        <w:t>磋商响应文件的</w:t>
      </w:r>
      <w:bookmarkEnd w:id="238"/>
      <w:bookmarkEnd w:id="239"/>
      <w:r>
        <w:rPr>
          <w:rFonts w:hint="eastAsia" w:hAnsi="宋体"/>
          <w:b/>
          <w:bCs/>
          <w:color w:val="auto"/>
          <w:highlight w:val="none"/>
        </w:rPr>
        <w:t>递交</w:t>
      </w:r>
      <w:bookmarkEnd w:id="236"/>
      <w:bookmarkEnd w:id="237"/>
      <w:bookmarkEnd w:id="240"/>
      <w:bookmarkEnd w:id="241"/>
      <w:bookmarkEnd w:id="242"/>
      <w:bookmarkEnd w:id="243"/>
      <w:r>
        <w:rPr>
          <w:rFonts w:hint="eastAsia" w:hAnsi="宋体"/>
          <w:b/>
          <w:bCs/>
          <w:color w:val="auto"/>
          <w:highlight w:val="none"/>
        </w:rPr>
        <w:t>：</w:t>
      </w:r>
    </w:p>
    <w:p w14:paraId="5D59B4A9">
      <w:pPr>
        <w:pStyle w:val="21"/>
        <w:adjustRightInd w:val="0"/>
        <w:snapToGrid w:val="0"/>
        <w:spacing w:line="400" w:lineRule="exact"/>
        <w:ind w:firstLine="422" w:firstLineChars="200"/>
        <w:rPr>
          <w:rFonts w:hint="eastAsia" w:hAnsi="宋体"/>
          <w:color w:val="auto"/>
          <w:highlight w:val="none"/>
        </w:rPr>
      </w:pPr>
      <w:r>
        <w:rPr>
          <w:rFonts w:hint="eastAsia" w:hAnsi="宋体" w:cs="宋体"/>
          <w:b/>
          <w:bCs/>
          <w:color w:val="auto"/>
          <w:highlight w:val="none"/>
        </w:rPr>
        <w:t>18</w:t>
      </w:r>
      <w:r>
        <w:rPr>
          <w:rFonts w:hint="eastAsia" w:hAnsi="宋体"/>
          <w:color w:val="auto"/>
          <w:highlight w:val="none"/>
        </w:rPr>
        <w:t>.1 所有响应文件应于竞争性磋商文件中规定的时间上传递交至</w:t>
      </w:r>
      <w:r>
        <w:rPr>
          <w:rFonts w:hint="eastAsia" w:hAnsi="宋体"/>
          <w:color w:val="auto"/>
          <w:highlight w:val="none"/>
          <w:lang w:eastAsia="zh-CN"/>
        </w:rPr>
        <w:t>广西政府采购云</w:t>
      </w:r>
      <w:r>
        <w:rPr>
          <w:rFonts w:hint="eastAsia" w:hAnsi="宋体"/>
          <w:color w:val="auto"/>
          <w:highlight w:val="none"/>
        </w:rPr>
        <w:t>平台。</w:t>
      </w:r>
    </w:p>
    <w:p w14:paraId="5D5B2B04">
      <w:pPr>
        <w:pStyle w:val="21"/>
        <w:adjustRightInd w:val="0"/>
        <w:snapToGrid w:val="0"/>
        <w:spacing w:line="400" w:lineRule="exact"/>
        <w:ind w:firstLine="420" w:firstLineChars="200"/>
        <w:rPr>
          <w:rFonts w:hAnsi="宋体"/>
          <w:color w:val="auto"/>
          <w:highlight w:val="none"/>
        </w:rPr>
      </w:pPr>
      <w:r>
        <w:rPr>
          <w:rFonts w:hint="eastAsia" w:hAnsi="宋体"/>
          <w:color w:val="auto"/>
          <w:highlight w:val="none"/>
        </w:rPr>
        <w:t>1</w:t>
      </w:r>
      <w:r>
        <w:rPr>
          <w:rFonts w:hint="eastAsia" w:hAnsi="宋体" w:cs="宋体"/>
          <w:b/>
          <w:bCs/>
          <w:color w:val="auto"/>
          <w:highlight w:val="none"/>
        </w:rPr>
        <w:t>8</w:t>
      </w:r>
      <w:r>
        <w:rPr>
          <w:rFonts w:hint="eastAsia" w:hAnsi="宋体"/>
          <w:color w:val="auto"/>
          <w:highlight w:val="none"/>
        </w:rPr>
        <w:t xml:space="preserve">.2 电子响应文件的相关说明 </w:t>
      </w:r>
    </w:p>
    <w:p w14:paraId="5B899DF6">
      <w:pPr>
        <w:pStyle w:val="21"/>
        <w:adjustRightInd w:val="0"/>
        <w:snapToGrid w:val="0"/>
        <w:spacing w:line="400" w:lineRule="exact"/>
        <w:ind w:firstLine="420" w:firstLineChars="200"/>
        <w:rPr>
          <w:rFonts w:hAnsi="宋体"/>
          <w:color w:val="auto"/>
          <w:highlight w:val="none"/>
        </w:rPr>
      </w:pPr>
      <w:r>
        <w:rPr>
          <w:rFonts w:hint="eastAsia" w:hAnsi="宋体"/>
          <w:color w:val="auto"/>
          <w:highlight w:val="none"/>
        </w:rPr>
        <w:t>1</w:t>
      </w:r>
      <w:r>
        <w:rPr>
          <w:rFonts w:hint="eastAsia" w:hAnsi="宋体" w:cs="宋体"/>
          <w:b/>
          <w:bCs/>
          <w:color w:val="auto"/>
          <w:highlight w:val="none"/>
        </w:rPr>
        <w:t>8</w:t>
      </w:r>
      <w:r>
        <w:rPr>
          <w:rFonts w:hint="eastAsia" w:hAnsi="宋体"/>
          <w:color w:val="auto"/>
          <w:highlight w:val="none"/>
        </w:rPr>
        <w:t>.2.1 供应商进行电子</w:t>
      </w:r>
      <w:r>
        <w:rPr>
          <w:rFonts w:hint="eastAsia" w:hAnsi="宋体"/>
          <w:color w:val="auto"/>
          <w:highlight w:val="none"/>
          <w:lang w:eastAsia="zh-CN"/>
        </w:rPr>
        <w:t>磋商</w:t>
      </w:r>
      <w:r>
        <w:rPr>
          <w:rFonts w:hint="eastAsia" w:hAnsi="宋体"/>
          <w:color w:val="auto"/>
          <w:highlight w:val="none"/>
        </w:rPr>
        <w:t xml:space="preserve">应安装客户端软件，并按照采购文件和电子交易平台的要求编制并加密响应文件。供应商未按规定加密的响应文件，电子交易平台将拒收。供应商应当在响应文件递交截止时间前完成响应文件的传输递交，并可以补充、修改或者撤回响应文件。补充或者修改响应文件的，应当先行撤回原文件，补充、修改后重新传输递交。响应文件递交截止时间前未完成传输的，视为撤回响应文件。响应文件递交截止时间后递交的响应文件，电子交易平台将拒收。 </w:t>
      </w:r>
    </w:p>
    <w:p w14:paraId="0C2EDDAC">
      <w:pPr>
        <w:pStyle w:val="21"/>
        <w:adjustRightInd w:val="0"/>
        <w:snapToGrid w:val="0"/>
        <w:spacing w:line="400" w:lineRule="exact"/>
        <w:ind w:firstLine="420" w:firstLineChars="200"/>
        <w:rPr>
          <w:rFonts w:hAnsi="宋体"/>
          <w:color w:val="auto"/>
          <w:highlight w:val="none"/>
        </w:rPr>
      </w:pPr>
      <w:r>
        <w:rPr>
          <w:rFonts w:hint="eastAsia" w:hAnsi="宋体"/>
          <w:color w:val="auto"/>
          <w:highlight w:val="none"/>
        </w:rPr>
        <w:t>1</w:t>
      </w:r>
      <w:r>
        <w:rPr>
          <w:rFonts w:hint="eastAsia" w:hAnsi="宋体" w:cs="宋体"/>
          <w:b/>
          <w:bCs/>
          <w:color w:val="auto"/>
          <w:highlight w:val="none"/>
        </w:rPr>
        <w:t>8</w:t>
      </w:r>
      <w:r>
        <w:rPr>
          <w:rFonts w:hint="eastAsia" w:hAnsi="宋体"/>
          <w:color w:val="auto"/>
          <w:highlight w:val="none"/>
        </w:rPr>
        <w:t xml:space="preserve">.2.2 供应商在电子交易平台传输递交响应文件后，必须在响应文件递交截止时间前提交电子备份响应文件，若供应商未提交电子备份响应文件，其后果由供应商自行承担。 </w:t>
      </w:r>
    </w:p>
    <w:p w14:paraId="4442D753">
      <w:pPr>
        <w:autoSpaceDE w:val="0"/>
        <w:autoSpaceDN w:val="0"/>
        <w:adjustRightIn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olor w:val="auto"/>
          <w:highlight w:val="none"/>
        </w:rPr>
        <w:t>18.2.</w:t>
      </w:r>
      <w:r>
        <w:rPr>
          <w:rFonts w:ascii="宋体" w:hAnsi="宋体"/>
          <w:color w:val="auto"/>
          <w:highlight w:val="none"/>
        </w:rPr>
        <w:t>3</w:t>
      </w:r>
      <w:r>
        <w:rPr>
          <w:rFonts w:hint="eastAsia" w:ascii="宋体" w:hAnsi="宋体"/>
          <w:color w:val="auto"/>
          <w:highlight w:val="none"/>
        </w:rPr>
        <w:t xml:space="preserve"> </w:t>
      </w:r>
      <w:r>
        <w:rPr>
          <w:rFonts w:hint="eastAsia" w:hAnsi="宋体"/>
          <w:color w:val="auto"/>
          <w:highlight w:val="none"/>
        </w:rPr>
        <w:t>如有特殊情况，本项目延长截止时间和开标时间，采购人、采购代理机构和供应商的权利和义务将受到新的截止时间和开标时间的约束。</w:t>
      </w:r>
    </w:p>
    <w:p w14:paraId="029730EE">
      <w:pPr>
        <w:pStyle w:val="21"/>
        <w:adjustRightInd w:val="0"/>
        <w:snapToGrid w:val="0"/>
        <w:spacing w:line="400" w:lineRule="exact"/>
        <w:jc w:val="left"/>
        <w:rPr>
          <w:rFonts w:hAnsi="宋体" w:cs="宋体"/>
          <w:b/>
          <w:color w:val="auto"/>
          <w:highlight w:val="none"/>
        </w:rPr>
      </w:pPr>
      <w:r>
        <w:rPr>
          <w:rFonts w:hint="eastAsia" w:hAnsi="宋体" w:cs="宋体"/>
          <w:b/>
          <w:color w:val="auto"/>
          <w:highlight w:val="none"/>
        </w:rPr>
        <w:t>19.磋商截止时间</w:t>
      </w:r>
    </w:p>
    <w:p w14:paraId="718DB1F0">
      <w:pPr>
        <w:spacing w:line="400" w:lineRule="exact"/>
        <w:ind w:firstLine="417" w:firstLineChars="195"/>
        <w:rPr>
          <w:b/>
          <w:bCs/>
          <w:color w:val="auto"/>
          <w:highlight w:val="none"/>
        </w:rPr>
      </w:pPr>
      <w:bookmarkStart w:id="244" w:name="_Toc277016222"/>
      <w:bookmarkStart w:id="245" w:name="_Toc277016804"/>
      <w:bookmarkStart w:id="246" w:name="_Toc55206472"/>
      <w:bookmarkStart w:id="247" w:name="_Toc277058927"/>
      <w:bookmarkStart w:id="248" w:name="_Toc277017144"/>
      <w:r>
        <w:rPr>
          <w:rFonts w:hint="eastAsia" w:ascii="宋体" w:hAnsi="宋体" w:cs="宋体"/>
          <w:color w:val="auto"/>
          <w:spacing w:val="2"/>
          <w:highlight w:val="none"/>
        </w:rPr>
        <w:t>详见供应商须知前附表。</w:t>
      </w:r>
      <w:r>
        <w:rPr>
          <w:rFonts w:hint="eastAsia" w:ascii="宋体" w:hAnsi="宋体" w:cs="宋体"/>
          <w:color w:val="auto"/>
          <w:kern w:val="0"/>
          <w:szCs w:val="21"/>
          <w:highlight w:val="none"/>
        </w:rPr>
        <w:t>本项目为全流程电子标项目，无需供应商来开标现场递交响应文件，供应商授权委托代理人可以不用到开标现场参加开标（截标）会。代理机构将电话通知供应商进行磋商等相关事宜。</w:t>
      </w:r>
    </w:p>
    <w:p w14:paraId="7DECF82A">
      <w:pPr>
        <w:pStyle w:val="5"/>
        <w:spacing w:line="440" w:lineRule="exact"/>
        <w:rPr>
          <w:rFonts w:ascii="宋体" w:hAnsi="宋体" w:cs="宋体"/>
          <w:color w:val="auto"/>
          <w:kern w:val="0"/>
          <w:sz w:val="21"/>
          <w:szCs w:val="21"/>
          <w:highlight w:val="none"/>
        </w:rPr>
      </w:pPr>
      <w:bookmarkStart w:id="249" w:name="_Toc482785082"/>
      <w:bookmarkStart w:id="250" w:name="_Toc47088283"/>
      <w:bookmarkStart w:id="251" w:name="_Toc75182684"/>
      <w:bookmarkStart w:id="252" w:name="_Toc47088139"/>
      <w:bookmarkStart w:id="253" w:name="_Toc5411"/>
      <w:r>
        <w:rPr>
          <w:rFonts w:hint="eastAsia" w:ascii="宋体" w:hAnsi="宋体" w:cs="宋体"/>
          <w:color w:val="auto"/>
          <w:kern w:val="0"/>
          <w:sz w:val="21"/>
          <w:szCs w:val="21"/>
          <w:highlight w:val="none"/>
        </w:rPr>
        <w:t>20、</w:t>
      </w:r>
      <w:bookmarkEnd w:id="244"/>
      <w:bookmarkEnd w:id="245"/>
      <w:bookmarkEnd w:id="246"/>
      <w:bookmarkEnd w:id="247"/>
      <w:bookmarkEnd w:id="248"/>
      <w:bookmarkEnd w:id="249"/>
      <w:bookmarkEnd w:id="250"/>
      <w:bookmarkEnd w:id="251"/>
      <w:bookmarkEnd w:id="252"/>
      <w:r>
        <w:rPr>
          <w:rFonts w:hint="eastAsia" w:ascii="宋体" w:hAnsi="宋体" w:cs="宋体"/>
          <w:color w:val="auto"/>
          <w:kern w:val="0"/>
          <w:sz w:val="21"/>
          <w:szCs w:val="21"/>
          <w:highlight w:val="none"/>
        </w:rPr>
        <w:t>磋商响应文件的解密</w:t>
      </w:r>
      <w:bookmarkEnd w:id="253"/>
    </w:p>
    <w:p w14:paraId="5C3943FD">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响应文件提交截止时间后，代理机构向各供应商发出电子加密响应文件【开始解密】通知，代理机构发起解密通知后30分钟内，响应文件提交截止时间前已将生成的“电子加密响应文件”上传递交至</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的供应商，必须在此时间段内登录</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，用“项目采购-开标评标”功能完成电子响应文件的解密。供应商响应文件提交截止前通过“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”上传递交的“电子加密响应文件”无法正常解密的，请及时联系代理机构，代理机构与项目归属监督部门备案后告知供应</w:t>
      </w:r>
      <w:r>
        <w:rPr>
          <w:rFonts w:hint="eastAsia" w:ascii="宋体" w:hAnsi="宋体" w:cs="宋体"/>
          <w:color w:val="auto"/>
          <w:szCs w:val="21"/>
          <w:highlight w:val="none"/>
          <w:lang w:val="en-US" w:eastAsia="zh-CN"/>
        </w:rPr>
        <w:t>商可以上传</w:t>
      </w:r>
      <w:r>
        <w:rPr>
          <w:rFonts w:hint="eastAsia" w:ascii="宋体" w:hAnsi="宋体" w:cs="宋体"/>
          <w:color w:val="auto"/>
          <w:szCs w:val="21"/>
          <w:highlight w:val="none"/>
        </w:rPr>
        <w:t>电子备份文件</w:t>
      </w:r>
      <w:r>
        <w:rPr>
          <w:rFonts w:hint="eastAsia" w:ascii="宋体" w:hAnsi="宋体" w:cs="宋体"/>
          <w:color w:val="auto"/>
          <w:szCs w:val="21"/>
          <w:highlight w:val="none"/>
          <w:lang w:eastAsia="zh-CN"/>
        </w:rPr>
        <w:t>的</w:t>
      </w:r>
      <w:r>
        <w:rPr>
          <w:rFonts w:hint="eastAsia" w:ascii="宋体" w:hAnsi="宋体" w:cs="宋体"/>
          <w:color w:val="auto"/>
          <w:szCs w:val="21"/>
          <w:highlight w:val="none"/>
        </w:rPr>
        <w:t>，通过</w:t>
      </w:r>
      <w:r>
        <w:rPr>
          <w:rFonts w:hint="eastAsia" w:ascii="宋体" w:hAnsi="宋体" w:cs="宋体"/>
          <w:color w:val="auto"/>
          <w:szCs w:val="21"/>
          <w:highlight w:val="none"/>
          <w:lang w:val="en-US" w:eastAsia="zh-CN"/>
        </w:rPr>
        <w:t>上传</w:t>
      </w:r>
      <w:r>
        <w:rPr>
          <w:rFonts w:hint="eastAsia" w:ascii="宋体" w:hAnsi="宋体" w:cs="宋体"/>
          <w:color w:val="auto"/>
          <w:szCs w:val="21"/>
          <w:highlight w:val="none"/>
        </w:rPr>
        <w:t>电子备份文件</w:t>
      </w:r>
      <w:r>
        <w:rPr>
          <w:rFonts w:hint="eastAsia" w:ascii="宋体" w:hAnsi="宋体" w:cs="宋体"/>
          <w:color w:val="auto"/>
          <w:szCs w:val="21"/>
          <w:highlight w:val="none"/>
          <w:lang w:val="en-US" w:eastAsia="zh-CN"/>
        </w:rPr>
        <w:t>并解密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否则</w:t>
      </w:r>
      <w:r>
        <w:rPr>
          <w:rFonts w:hint="eastAsia" w:ascii="宋体" w:hAnsi="宋体" w:cs="宋体"/>
          <w:color w:val="auto"/>
          <w:szCs w:val="21"/>
          <w:highlight w:val="none"/>
        </w:rPr>
        <w:t>拒收其响应文件。</w:t>
      </w:r>
    </w:p>
    <w:p w14:paraId="5FB5A2D6">
      <w:pPr>
        <w:pStyle w:val="21"/>
        <w:adjustRightInd w:val="0"/>
        <w:snapToGrid w:val="0"/>
        <w:spacing w:line="440" w:lineRule="exact"/>
        <w:rPr>
          <w:rFonts w:hAnsi="宋体" w:cs="宋体"/>
          <w:color w:val="auto"/>
          <w:highlight w:val="none"/>
        </w:rPr>
      </w:pPr>
      <w:r>
        <w:rPr>
          <w:rFonts w:hint="eastAsia" w:hAnsi="宋体" w:cs="宋体"/>
          <w:b/>
          <w:color w:val="auto"/>
          <w:highlight w:val="none"/>
        </w:rPr>
        <w:t>21.磋商响应文件的修改及撤回</w:t>
      </w:r>
    </w:p>
    <w:p w14:paraId="1594DBFB">
      <w:pPr>
        <w:spacing w:line="440" w:lineRule="exact"/>
        <w:ind w:firstLine="422" w:firstLineChars="201"/>
        <w:rPr>
          <w:rFonts w:ascii="宋体" w:hAnsi="宋体" w:cs="宋体"/>
          <w:b/>
          <w:bCs/>
          <w:color w:val="auto"/>
          <w:szCs w:val="21"/>
          <w:highlight w:val="none"/>
        </w:rPr>
      </w:pPr>
      <w:r>
        <w:rPr>
          <w:rFonts w:hint="eastAsia" w:ascii="宋体" w:hAnsi="宋体" w:cs="宋体"/>
          <w:bCs/>
          <w:color w:val="auto"/>
          <w:szCs w:val="21"/>
          <w:highlight w:val="none"/>
        </w:rPr>
        <w:t>21.1 供应商应当在响应文件递交截止时间前，将生成的“电子加密响应文件”上传递交至</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响应文件递交截止时间前可以补充、修改或者撤回电子响应文件。补充或者修改电子响应文件的，应当先行撤回原文件，补充、修改后重新传输递交，响应文件递交截止时间前未完成传输的，视为撤回响应文件。</w:t>
      </w:r>
    </w:p>
    <w:bookmarkEnd w:id="234"/>
    <w:bookmarkEnd w:id="235"/>
    <w:p w14:paraId="36BBC8DC">
      <w:pPr>
        <w:spacing w:line="440" w:lineRule="exact"/>
        <w:rPr>
          <w:rFonts w:hint="eastAsia" w:ascii="宋体" w:hAnsi="宋体" w:cs="宋体"/>
          <w:b/>
          <w:bCs w:val="0"/>
          <w:color w:val="auto"/>
          <w:szCs w:val="21"/>
          <w:highlight w:val="none"/>
        </w:rPr>
      </w:pPr>
      <w:bookmarkStart w:id="254" w:name="_Toc65237652"/>
      <w:bookmarkStart w:id="255" w:name="_Toc75182685"/>
      <w:bookmarkStart w:id="256" w:name="_Toc211398810"/>
      <w:bookmarkStart w:id="257" w:name="_Toc78294034"/>
      <w:bookmarkStart w:id="258" w:name="_Toc85085497"/>
      <w:r>
        <w:rPr>
          <w:rFonts w:hint="eastAsia" w:ascii="宋体" w:hAnsi="宋体" w:cs="宋体"/>
          <w:b/>
          <w:bCs w:val="0"/>
          <w:color w:val="auto"/>
          <w:szCs w:val="21"/>
          <w:highlight w:val="none"/>
        </w:rPr>
        <w:t>21.2首次响应文件的退回</w:t>
      </w:r>
    </w:p>
    <w:p w14:paraId="50B76641">
      <w:pPr>
        <w:pStyle w:val="21"/>
        <w:adjustRightInd w:val="0"/>
        <w:snapToGrid w:val="0"/>
        <w:spacing w:line="460" w:lineRule="exact"/>
        <w:ind w:firstLine="445" w:firstLineChars="211"/>
        <w:rPr>
          <w:rFonts w:hint="eastAsia" w:hAnsi="宋体" w:cs="宋体"/>
          <w:color w:val="auto"/>
          <w:spacing w:val="-4"/>
          <w:highlight w:val="none"/>
        </w:rPr>
      </w:pPr>
      <w:r>
        <w:rPr>
          <w:rFonts w:hint="eastAsia" w:hAnsi="宋体" w:cs="宋体"/>
          <w:b/>
          <w:bCs/>
          <w:color w:val="auto"/>
          <w:szCs w:val="21"/>
          <w:highlight w:val="none"/>
        </w:rPr>
        <w:t>在首次响应文件提交截止时间止提交响应文件的供应商不足3家时电子响应文件由代理机构在“广西政府采购云平台”平台操作退回，除此之外采购人和采购代理机构对已提交的电子响应文件概不退回。</w:t>
      </w:r>
    </w:p>
    <w:p w14:paraId="239F8F8F">
      <w:pPr>
        <w:pStyle w:val="5"/>
        <w:keepNext w:val="0"/>
        <w:keepLines w:val="0"/>
        <w:adjustRightInd w:val="0"/>
        <w:snapToGrid w:val="0"/>
        <w:spacing w:line="480" w:lineRule="exact"/>
        <w:jc w:val="center"/>
        <w:rPr>
          <w:rFonts w:ascii="宋体" w:hAnsi="宋体" w:cs="宋体"/>
          <w:color w:val="auto"/>
          <w:sz w:val="28"/>
          <w:highlight w:val="none"/>
        </w:rPr>
      </w:pPr>
      <w:bookmarkStart w:id="259" w:name="_Toc21238"/>
      <w:r>
        <w:rPr>
          <w:rFonts w:hint="eastAsia" w:ascii="宋体" w:hAnsi="宋体" w:cs="宋体"/>
          <w:color w:val="auto"/>
          <w:sz w:val="28"/>
          <w:highlight w:val="none"/>
        </w:rPr>
        <w:t>(五) 磋商与评标</w:t>
      </w:r>
      <w:bookmarkEnd w:id="254"/>
      <w:bookmarkEnd w:id="255"/>
      <w:bookmarkEnd w:id="256"/>
      <w:bookmarkEnd w:id="259"/>
    </w:p>
    <w:p w14:paraId="60F87241">
      <w:pPr>
        <w:pStyle w:val="5"/>
        <w:spacing w:line="440" w:lineRule="exact"/>
        <w:rPr>
          <w:rFonts w:ascii="宋体" w:hAnsi="宋体" w:cs="宋体"/>
          <w:color w:val="auto"/>
          <w:kern w:val="0"/>
          <w:sz w:val="21"/>
          <w:szCs w:val="21"/>
          <w:highlight w:val="none"/>
        </w:rPr>
      </w:pPr>
      <w:bookmarkStart w:id="260" w:name="_Toc256265773"/>
      <w:bookmarkStart w:id="261" w:name="_Toc256424762"/>
      <w:bookmarkStart w:id="262" w:name="_Toc28955"/>
      <w:bookmarkStart w:id="263" w:name="_Toc269225986"/>
      <w:bookmarkStart w:id="264" w:name="_Toc246693206"/>
      <w:bookmarkStart w:id="265" w:name="_Toc246259637"/>
      <w:bookmarkStart w:id="266" w:name="_Toc236815995"/>
      <w:bookmarkStart w:id="267" w:name="_Toc245915331"/>
      <w:r>
        <w:rPr>
          <w:rFonts w:hint="eastAsia" w:ascii="宋体" w:hAnsi="宋体" w:cs="宋体"/>
          <w:color w:val="auto"/>
          <w:kern w:val="0"/>
          <w:sz w:val="21"/>
          <w:szCs w:val="21"/>
          <w:highlight w:val="none"/>
        </w:rPr>
        <w:t>22．磋商</w:t>
      </w:r>
      <w:bookmarkEnd w:id="260"/>
      <w:bookmarkEnd w:id="261"/>
      <w:bookmarkEnd w:id="262"/>
      <w:bookmarkEnd w:id="263"/>
      <w:bookmarkEnd w:id="264"/>
      <w:bookmarkEnd w:id="265"/>
      <w:bookmarkEnd w:id="266"/>
      <w:bookmarkEnd w:id="267"/>
    </w:p>
    <w:p w14:paraId="22F4125E">
      <w:pPr>
        <w:tabs>
          <w:tab w:val="left" w:pos="540"/>
        </w:tabs>
        <w:spacing w:line="44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22.1磋商时间及地点：按须知前附表规定。</w:t>
      </w:r>
    </w:p>
    <w:p w14:paraId="1795B7D6">
      <w:pPr>
        <w:tabs>
          <w:tab w:val="left" w:pos="540"/>
        </w:tabs>
        <w:spacing w:line="44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22.2供应商参加磋商需要携带的材料：按须知前附表规定。</w:t>
      </w:r>
    </w:p>
    <w:p w14:paraId="29E3C35D">
      <w:pPr>
        <w:tabs>
          <w:tab w:val="left" w:pos="540"/>
        </w:tabs>
        <w:spacing w:line="44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22.3磋商小组按须知前附表规定的磋商顺序，</w:t>
      </w:r>
      <w:r>
        <w:rPr>
          <w:rFonts w:hint="eastAsia" w:ascii="宋体" w:hAnsi="宋体" w:eastAsia="宋体" w:cs="宋体"/>
          <w:color w:val="auto"/>
          <w:sz w:val="21"/>
          <w:szCs w:val="21"/>
          <w:highlight w:val="none"/>
          <w:lang w:val="en-US" w:eastAsia="zh-CN"/>
        </w:rPr>
        <w:t>通过广西政府采购云平台系统</w:t>
      </w:r>
      <w:r>
        <w:rPr>
          <w:rFonts w:hint="eastAsia" w:ascii="宋体" w:hAnsi="宋体" w:cs="宋体"/>
          <w:color w:val="auto"/>
          <w:szCs w:val="21"/>
          <w:highlight w:val="none"/>
        </w:rPr>
        <w:t>与单一供应商分别进行磋商，并给予所有参加磋商的供应商平等的磋商机会。</w:t>
      </w:r>
    </w:p>
    <w:p w14:paraId="499D50CA">
      <w:pPr>
        <w:tabs>
          <w:tab w:val="left" w:pos="540"/>
        </w:tabs>
        <w:spacing w:line="44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07921C65">
      <w:pPr>
        <w:tabs>
          <w:tab w:val="left" w:pos="540"/>
        </w:tabs>
        <w:spacing w:after="0" w:afterLines="0" w:line="440" w:lineRule="exact"/>
        <w:ind w:firstLine="422" w:firstLineChars="201"/>
        <w:rPr>
          <w:rFonts w:hint="eastAsia" w:ascii="宋体" w:hAnsi="宋体" w:eastAsia="宋体" w:cs="宋体"/>
          <w:color w:val="auto"/>
          <w:sz w:val="21"/>
          <w:szCs w:val="21"/>
          <w:highlight w:val="none"/>
        </w:rPr>
      </w:pPr>
      <w:r>
        <w:rPr>
          <w:rFonts w:hint="eastAsia" w:ascii="宋体" w:hAnsi="宋体" w:cs="宋体"/>
          <w:color w:val="auto"/>
          <w:szCs w:val="21"/>
          <w:highlight w:val="none"/>
        </w:rPr>
        <w:t>对磋商文件作出的实质性变动是磋商文件的有效组成部分，</w:t>
      </w:r>
      <w:r>
        <w:rPr>
          <w:rFonts w:hint="eastAsia" w:ascii="宋体" w:hAnsi="宋体" w:eastAsia="宋体" w:cs="宋体"/>
          <w:color w:val="auto"/>
          <w:sz w:val="21"/>
          <w:szCs w:val="21"/>
          <w:highlight w:val="none"/>
        </w:rPr>
        <w:t>磋商小组应当及时以</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形式</w:t>
      </w:r>
      <w:r>
        <w:rPr>
          <w:rFonts w:hint="eastAsia" w:ascii="宋体" w:hAnsi="宋体" w:eastAsia="宋体" w:cs="宋体"/>
          <w:color w:val="auto"/>
          <w:sz w:val="21"/>
          <w:szCs w:val="21"/>
          <w:highlight w:val="none"/>
          <w:lang w:val="en-US" w:eastAsia="zh-CN"/>
        </w:rPr>
        <w:t>通过广西政府采购云平台系统</w:t>
      </w:r>
      <w:r>
        <w:rPr>
          <w:rFonts w:hint="eastAsia" w:ascii="宋体" w:hAnsi="宋体" w:eastAsia="宋体" w:cs="宋体"/>
          <w:color w:val="auto"/>
          <w:sz w:val="21"/>
          <w:szCs w:val="21"/>
          <w:highlight w:val="none"/>
        </w:rPr>
        <w:t>通知所有参加磋商的供应商。</w:t>
      </w:r>
    </w:p>
    <w:p w14:paraId="6B147281">
      <w:pPr>
        <w:tabs>
          <w:tab w:val="left" w:pos="540"/>
        </w:tabs>
        <w:spacing w:after="0" w:afterLines="0" w:line="440" w:lineRule="exact"/>
        <w:ind w:firstLine="422" w:firstLineChars="20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供应商应当按照磋商文件的变动情况和磋商小组的要求</w:t>
      </w:r>
      <w:r>
        <w:rPr>
          <w:rFonts w:hint="eastAsia" w:ascii="宋体" w:hAnsi="宋体" w:eastAsia="宋体" w:cs="宋体"/>
          <w:color w:val="auto"/>
          <w:sz w:val="21"/>
          <w:szCs w:val="21"/>
          <w:highlight w:val="none"/>
          <w:lang w:val="en-US" w:eastAsia="zh-CN"/>
        </w:rPr>
        <w:t>通过广西政府采购云平台系统</w:t>
      </w:r>
      <w:r>
        <w:rPr>
          <w:rFonts w:hint="eastAsia" w:ascii="宋体" w:hAnsi="宋体" w:eastAsia="宋体" w:cs="宋体"/>
          <w:color w:val="auto"/>
          <w:sz w:val="21"/>
          <w:szCs w:val="21"/>
          <w:highlight w:val="none"/>
        </w:rPr>
        <w:t>重新提交响应文件，并由其法定代表人（负责人）或授权代表签字或者加盖公章。由授权代表签字的，应当附法定代表人（负责人）授权书。供应商为自然人的，应当由本人签字并附身份证明。</w:t>
      </w:r>
    </w:p>
    <w:p w14:paraId="2ADC79D7">
      <w:pPr>
        <w:tabs>
          <w:tab w:val="left" w:pos="540"/>
        </w:tabs>
        <w:spacing w:line="44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磋商过程中，磋商的任何一方不得透露与磋商有关的其他供应商的技术资料、价格和其他信息。</w:t>
      </w:r>
    </w:p>
    <w:p w14:paraId="15C9152C">
      <w:pPr>
        <w:tabs>
          <w:tab w:val="left" w:pos="540"/>
        </w:tabs>
        <w:spacing w:after="0" w:afterLines="0" w:line="440" w:lineRule="exact"/>
        <w:ind w:firstLine="422" w:firstLineChars="20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供应商未在通知的时间内参加磋商的，或未提交书面说明退出磋商的，或未在规定时间内</w:t>
      </w:r>
      <w:r>
        <w:rPr>
          <w:rFonts w:hint="eastAsia" w:ascii="宋体" w:hAnsi="宋体" w:eastAsia="宋体" w:cs="宋体"/>
          <w:color w:val="auto"/>
          <w:sz w:val="21"/>
          <w:szCs w:val="21"/>
          <w:highlight w:val="none"/>
          <w:lang w:val="en-US" w:eastAsia="zh-CN"/>
        </w:rPr>
        <w:t>通过广西政府采购云平台系统</w:t>
      </w:r>
      <w:r>
        <w:rPr>
          <w:rFonts w:hint="eastAsia" w:ascii="宋体" w:hAnsi="宋体" w:eastAsia="宋体" w:cs="宋体"/>
          <w:color w:val="auto"/>
          <w:sz w:val="21"/>
          <w:szCs w:val="21"/>
          <w:highlight w:val="none"/>
        </w:rPr>
        <w:t>提交书面应答文件和最后报价的，视为供应商自动放弃磋商。</w:t>
      </w:r>
    </w:p>
    <w:p w14:paraId="663B3430">
      <w:pPr>
        <w:tabs>
          <w:tab w:val="left" w:pos="540"/>
        </w:tabs>
        <w:spacing w:line="440" w:lineRule="exact"/>
        <w:ind w:firstLine="424" w:firstLineChars="201"/>
        <w:rPr>
          <w:rFonts w:ascii="宋体" w:hAnsi="宋体" w:cs="宋体"/>
          <w:b/>
          <w:color w:val="auto"/>
          <w:szCs w:val="21"/>
          <w:highlight w:val="none"/>
        </w:rPr>
      </w:pPr>
      <w:r>
        <w:rPr>
          <w:rFonts w:hint="eastAsia" w:ascii="宋体" w:hAnsi="宋体" w:cs="宋体"/>
          <w:b/>
          <w:color w:val="auto"/>
          <w:szCs w:val="21"/>
          <w:highlight w:val="none"/>
        </w:rPr>
        <w:t>22.4最后报价</w:t>
      </w:r>
    </w:p>
    <w:p w14:paraId="207FC1FA">
      <w:pPr>
        <w:tabs>
          <w:tab w:val="left" w:pos="540"/>
        </w:tabs>
        <w:spacing w:line="440" w:lineRule="exact"/>
        <w:ind w:firstLine="422" w:firstLineChars="201"/>
        <w:rPr>
          <w:rFonts w:ascii="宋体" w:hAnsi="宋体" w:cs="宋体"/>
          <w:color w:val="auto"/>
          <w:szCs w:val="21"/>
          <w:highlight w:val="none"/>
        </w:rPr>
      </w:pPr>
      <w:r>
        <w:rPr>
          <w:rFonts w:hint="eastAsia" w:ascii="宋体" w:hAnsi="宋体" w:cs="宋体"/>
          <w:bCs/>
          <w:color w:val="auto"/>
          <w:szCs w:val="21"/>
          <w:highlight w:val="none"/>
        </w:rPr>
        <w:t>22.4.1</w:t>
      </w:r>
      <w:r>
        <w:rPr>
          <w:rFonts w:hint="eastAsia" w:ascii="宋体" w:hAnsi="宋体" w:cs="宋体"/>
          <w:color w:val="auto"/>
          <w:szCs w:val="21"/>
          <w:highlight w:val="none"/>
        </w:rPr>
        <w:t>磋商文件能够详细列明采购标的的技术、服务要求的，磋商结束后，由磋商小组要求所有继续参加磋商的供应商在规定时间</w:t>
      </w:r>
      <w:r>
        <w:rPr>
          <w:rFonts w:hint="eastAsia" w:ascii="宋体" w:hAnsi="宋体" w:eastAsia="宋体" w:cs="宋体"/>
          <w:color w:val="auto"/>
          <w:sz w:val="21"/>
          <w:szCs w:val="21"/>
          <w:highlight w:val="none"/>
        </w:rPr>
        <w:t>内</w:t>
      </w:r>
      <w:r>
        <w:rPr>
          <w:rFonts w:hint="eastAsia" w:ascii="宋体" w:hAnsi="宋体" w:eastAsia="宋体" w:cs="宋体"/>
          <w:color w:val="auto"/>
          <w:sz w:val="21"/>
          <w:szCs w:val="21"/>
          <w:highlight w:val="none"/>
          <w:lang w:val="en-US" w:eastAsia="zh-CN"/>
        </w:rPr>
        <w:t>通过广西政府采购云平台系统</w:t>
      </w:r>
      <w:r>
        <w:rPr>
          <w:rFonts w:hint="eastAsia" w:ascii="宋体" w:hAnsi="宋体" w:cs="宋体"/>
          <w:color w:val="auto"/>
          <w:szCs w:val="21"/>
          <w:highlight w:val="none"/>
        </w:rPr>
        <w:t>提交最后报价，除本章第</w:t>
      </w:r>
      <w:r>
        <w:rPr>
          <w:rFonts w:hint="eastAsia" w:ascii="宋体" w:hAnsi="宋体" w:cs="宋体"/>
          <w:bCs/>
          <w:color w:val="auto"/>
          <w:szCs w:val="21"/>
          <w:highlight w:val="none"/>
        </w:rPr>
        <w:t>22.4.</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条外</w:t>
      </w:r>
      <w:r>
        <w:rPr>
          <w:rFonts w:hint="eastAsia" w:ascii="宋体" w:hAnsi="宋体" w:cs="宋体"/>
          <w:b w:val="0"/>
          <w:bCs w:val="0"/>
          <w:color w:val="auto"/>
          <w:szCs w:val="21"/>
          <w:highlight w:val="none"/>
          <w:lang w:val="en-US" w:eastAsia="zh-CN"/>
        </w:rPr>
        <w:t>。</w:t>
      </w:r>
      <w:r>
        <w:rPr>
          <w:rFonts w:hint="eastAsia" w:ascii="宋体" w:hAnsi="宋体" w:cs="宋体"/>
          <w:b/>
          <w:bCs/>
          <w:color w:val="auto"/>
          <w:szCs w:val="21"/>
          <w:highlight w:val="none"/>
        </w:rPr>
        <w:t>提交最后报价的供应商不得少于3家，否则必须重新采购。</w:t>
      </w:r>
    </w:p>
    <w:p w14:paraId="4BA055AB">
      <w:pPr>
        <w:tabs>
          <w:tab w:val="left" w:pos="540"/>
        </w:tabs>
        <w:spacing w:after="0" w:afterLines="0" w:line="440" w:lineRule="exact"/>
        <w:ind w:firstLine="424" w:firstLineChars="201"/>
        <w:rPr>
          <w:b/>
          <w:color w:val="auto"/>
          <w:highlight w:val="none"/>
        </w:rPr>
      </w:pPr>
      <w:r>
        <w:rPr>
          <w:rFonts w:hint="eastAsia" w:ascii="宋体" w:hAnsi="宋体" w:cs="宋体"/>
          <w:b/>
          <w:color w:val="auto"/>
          <w:highlight w:val="none"/>
        </w:rPr>
        <w:t>最终报价时</w:t>
      </w:r>
      <w:r>
        <w:rPr>
          <w:rFonts w:hint="eastAsia" w:ascii="宋体" w:hAnsi="宋体" w:cs="宋体"/>
          <w:b/>
          <w:bCs w:val="0"/>
          <w:color w:val="auto"/>
          <w:highlight w:val="none"/>
          <w:u w:val="none"/>
          <w:lang w:eastAsia="zh-CN"/>
        </w:rPr>
        <w:t>评审专家组长</w:t>
      </w:r>
      <w:r>
        <w:rPr>
          <w:rFonts w:hint="eastAsia" w:ascii="宋体" w:hAnsi="宋体" w:cs="宋体"/>
          <w:b/>
          <w:bCs w:val="0"/>
          <w:color w:val="auto"/>
          <w:highlight w:val="none"/>
          <w:u w:val="none"/>
          <w:lang w:val="en-US" w:eastAsia="zh-CN"/>
        </w:rPr>
        <w:t>在广西政府采购云系统上开启最终报价程序</w:t>
      </w:r>
      <w:r>
        <w:rPr>
          <w:rFonts w:hint="eastAsia" w:ascii="宋体" w:hAnsi="宋体" w:cs="宋体"/>
          <w:b/>
          <w:color w:val="auto"/>
          <w:highlight w:val="none"/>
        </w:rPr>
        <w:t>，</w:t>
      </w:r>
      <w:r>
        <w:rPr>
          <w:rFonts w:hint="eastAsia" w:ascii="宋体" w:hAnsi="宋体" w:cs="宋体"/>
          <w:b/>
          <w:bCs w:val="0"/>
          <w:color w:val="auto"/>
          <w:highlight w:val="none"/>
          <w:u w:val="none"/>
        </w:rPr>
        <w:t>所有继续参加磋商的供应商</w:t>
      </w:r>
      <w:r>
        <w:rPr>
          <w:rFonts w:hint="eastAsia" w:ascii="宋体" w:hAnsi="宋体" w:cs="宋体"/>
          <w:b/>
          <w:bCs w:val="0"/>
          <w:color w:val="auto"/>
          <w:highlight w:val="none"/>
          <w:u w:val="none"/>
          <w:lang w:val="en-US" w:eastAsia="zh-CN"/>
        </w:rPr>
        <w:t>在接到系统短息提醒或代理电话通知后，必须</w:t>
      </w:r>
      <w:r>
        <w:rPr>
          <w:rFonts w:hint="eastAsia" w:ascii="宋体" w:hAnsi="宋体" w:cs="宋体"/>
          <w:b/>
          <w:bCs w:val="0"/>
          <w:color w:val="auto"/>
          <w:highlight w:val="none"/>
          <w:u w:val="none"/>
        </w:rPr>
        <w:t>在规定时间内提交最终报价</w:t>
      </w:r>
      <w:r>
        <w:rPr>
          <w:rFonts w:hint="eastAsia" w:ascii="宋体" w:hAnsi="宋体" w:cs="宋体"/>
          <w:b/>
          <w:bCs w:val="0"/>
          <w:color w:val="auto"/>
          <w:highlight w:val="none"/>
          <w:u w:val="none"/>
          <w:lang w:eastAsia="zh-CN"/>
        </w:rPr>
        <w:t>，</w:t>
      </w:r>
      <w:r>
        <w:rPr>
          <w:rFonts w:hint="eastAsia" w:ascii="宋体" w:hAnsi="宋体" w:cs="宋体"/>
          <w:b/>
          <w:bCs w:val="0"/>
          <w:color w:val="auto"/>
          <w:highlight w:val="none"/>
          <w:u w:val="none"/>
        </w:rPr>
        <w:t>因此各供应商必须提前做好相关准备并按时递交最终报价文件</w:t>
      </w:r>
      <w:r>
        <w:rPr>
          <w:rFonts w:hint="eastAsia" w:ascii="宋体" w:hAnsi="宋体" w:cs="宋体"/>
          <w:b/>
          <w:bCs w:val="0"/>
          <w:color w:val="auto"/>
          <w:highlight w:val="none"/>
          <w:u w:val="none"/>
          <w:lang w:eastAsia="zh-CN"/>
        </w:rPr>
        <w:t>【</w:t>
      </w:r>
      <w:r>
        <w:rPr>
          <w:rFonts w:hint="eastAsia" w:ascii="宋体" w:hAnsi="宋体" w:cs="宋体"/>
          <w:b/>
          <w:bCs w:val="0"/>
          <w:color w:val="auto"/>
          <w:highlight w:val="none"/>
          <w:u w:val="none"/>
        </w:rPr>
        <w:t>最终报价不得以总价报价或总价下浮的方式（最终报价与首次报价的总价及投标报价表完全一致除外，但在最终报价时必须写明清楚）</w:t>
      </w:r>
      <w:r>
        <w:rPr>
          <w:rFonts w:hint="eastAsia" w:ascii="宋体" w:hAnsi="宋体" w:cs="宋体"/>
          <w:b/>
          <w:bCs w:val="0"/>
          <w:color w:val="auto"/>
          <w:highlight w:val="none"/>
          <w:u w:val="none"/>
          <w:lang w:eastAsia="zh-CN"/>
        </w:rPr>
        <w:t>】；</w:t>
      </w:r>
      <w:r>
        <w:rPr>
          <w:rFonts w:hint="eastAsia" w:ascii="宋体" w:hAnsi="宋体" w:cs="宋体"/>
          <w:b/>
          <w:bCs w:val="0"/>
          <w:color w:val="auto"/>
          <w:highlight w:val="none"/>
          <w:u w:val="none"/>
          <w:lang w:val="en-US" w:eastAsia="zh-CN"/>
        </w:rPr>
        <w:t>如</w:t>
      </w:r>
      <w:r>
        <w:rPr>
          <w:rFonts w:hint="eastAsia" w:ascii="宋体" w:hAnsi="宋体" w:cs="宋体"/>
          <w:b/>
          <w:bCs w:val="0"/>
          <w:color w:val="auto"/>
          <w:highlight w:val="none"/>
          <w:u w:val="none"/>
        </w:rPr>
        <w:t>各供应商的最终报价</w:t>
      </w:r>
      <w:r>
        <w:rPr>
          <w:rFonts w:hint="eastAsia" w:ascii="宋体" w:hAnsi="宋体" w:cs="宋体"/>
          <w:b/>
          <w:bCs w:val="0"/>
          <w:color w:val="auto"/>
          <w:highlight w:val="none"/>
          <w:u w:val="none"/>
          <w:lang w:val="en-US" w:eastAsia="zh-CN"/>
        </w:rPr>
        <w:t>有变动的，则</w:t>
      </w:r>
      <w:r>
        <w:rPr>
          <w:rFonts w:hint="eastAsia" w:ascii="宋体" w:hAnsi="宋体" w:cs="宋体"/>
          <w:b/>
          <w:bCs w:val="0"/>
          <w:color w:val="auto"/>
          <w:highlight w:val="none"/>
          <w:u w:val="none"/>
        </w:rPr>
        <w:t>必须</w:t>
      </w:r>
      <w:r>
        <w:rPr>
          <w:rFonts w:hint="eastAsia" w:ascii="宋体" w:hAnsi="宋体" w:cs="宋体"/>
          <w:b/>
          <w:bCs w:val="0"/>
          <w:color w:val="auto"/>
          <w:highlight w:val="none"/>
          <w:u w:val="none"/>
          <w:lang w:val="en-US" w:eastAsia="zh-CN"/>
        </w:rPr>
        <w:t>重新提交</w:t>
      </w:r>
      <w:r>
        <w:rPr>
          <w:rFonts w:hint="eastAsia" w:ascii="宋体" w:hAnsi="宋体" w:cs="宋体"/>
          <w:b/>
          <w:bCs w:val="0"/>
          <w:color w:val="auto"/>
          <w:highlight w:val="none"/>
          <w:u w:val="none"/>
        </w:rPr>
        <w:t>以投标报价表</w:t>
      </w:r>
      <w:r>
        <w:rPr>
          <w:rFonts w:hint="eastAsia" w:ascii="宋体" w:hAnsi="宋体" w:cs="宋体"/>
          <w:b/>
          <w:bCs w:val="0"/>
          <w:color w:val="auto"/>
          <w:highlight w:val="none"/>
          <w:u w:val="none"/>
          <w:lang w:eastAsia="zh-CN"/>
        </w:rPr>
        <w:t>（</w:t>
      </w:r>
      <w:r>
        <w:rPr>
          <w:rFonts w:hint="eastAsia" w:ascii="宋体" w:hAnsi="宋体" w:cs="宋体"/>
          <w:b/>
          <w:color w:val="auto"/>
          <w:highlight w:val="none"/>
        </w:rPr>
        <w:t>已标价工程量清单</w:t>
      </w:r>
      <w:r>
        <w:rPr>
          <w:rFonts w:hint="eastAsia" w:ascii="宋体" w:hAnsi="宋体" w:cs="宋体"/>
          <w:b/>
          <w:bCs w:val="0"/>
          <w:color w:val="auto"/>
          <w:highlight w:val="none"/>
          <w:u w:val="none"/>
          <w:lang w:eastAsia="zh-CN"/>
        </w:rPr>
        <w:t>）</w:t>
      </w:r>
      <w:r>
        <w:rPr>
          <w:rFonts w:hint="eastAsia" w:ascii="宋体" w:hAnsi="宋体" w:cs="宋体"/>
          <w:b/>
          <w:bCs w:val="0"/>
          <w:color w:val="auto"/>
          <w:highlight w:val="none"/>
          <w:u w:val="none"/>
        </w:rPr>
        <w:t>的格式编制</w:t>
      </w:r>
      <w:r>
        <w:rPr>
          <w:rFonts w:hint="eastAsia" w:ascii="宋体" w:hAnsi="宋体" w:cs="宋体"/>
          <w:b/>
          <w:bCs w:val="0"/>
          <w:color w:val="auto"/>
          <w:highlight w:val="none"/>
          <w:u w:val="none"/>
          <w:lang w:val="en-US" w:eastAsia="zh-CN"/>
        </w:rPr>
        <w:t>的</w:t>
      </w:r>
      <w:r>
        <w:rPr>
          <w:rFonts w:hint="eastAsia" w:ascii="宋体" w:hAnsi="宋体" w:cs="宋体"/>
          <w:b/>
          <w:bCs w:val="0"/>
          <w:color w:val="auto"/>
          <w:highlight w:val="none"/>
          <w:u w:val="none"/>
        </w:rPr>
        <w:t>最终报价，否则，作无效标处理。最终报价高于</w:t>
      </w:r>
      <w:r>
        <w:rPr>
          <w:rFonts w:hint="eastAsia" w:ascii="宋体" w:hAnsi="宋体" w:cs="宋体"/>
          <w:b/>
          <w:bCs w:val="0"/>
          <w:color w:val="auto"/>
          <w:highlight w:val="none"/>
          <w:u w:val="none"/>
          <w:lang w:val="en-US" w:eastAsia="zh-CN"/>
        </w:rPr>
        <w:t>采购</w:t>
      </w:r>
      <w:r>
        <w:rPr>
          <w:rFonts w:hint="eastAsia" w:ascii="宋体" w:hAnsi="宋体" w:cs="宋体"/>
          <w:b/>
          <w:bCs w:val="0"/>
          <w:color w:val="auto"/>
          <w:highlight w:val="none"/>
          <w:u w:val="none"/>
        </w:rPr>
        <w:t>控制价的响应文件作无效标处理。</w:t>
      </w:r>
    </w:p>
    <w:p w14:paraId="343A04FA">
      <w:pPr>
        <w:tabs>
          <w:tab w:val="left" w:pos="540"/>
        </w:tabs>
        <w:spacing w:line="440" w:lineRule="exact"/>
        <w:ind w:firstLine="422" w:firstLineChars="201"/>
        <w:rPr>
          <w:rFonts w:ascii="宋体" w:hAnsi="宋体" w:cs="宋体"/>
          <w:color w:val="auto"/>
          <w:szCs w:val="21"/>
          <w:highlight w:val="none"/>
        </w:rPr>
      </w:pPr>
      <w:r>
        <w:rPr>
          <w:rFonts w:hint="eastAsia" w:ascii="宋体" w:hAnsi="宋体" w:cs="宋体"/>
          <w:bCs/>
          <w:color w:val="auto"/>
          <w:szCs w:val="21"/>
          <w:highlight w:val="none"/>
        </w:rPr>
        <w:t>22.4.</w:t>
      </w:r>
      <w:r>
        <w:rPr>
          <w:rFonts w:hint="eastAsia" w:ascii="宋体" w:hAnsi="宋体" w:cs="宋体"/>
          <w:color w:val="auto"/>
          <w:szCs w:val="21"/>
          <w:highlight w:val="none"/>
        </w:rPr>
        <w:t>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w:t>
      </w:r>
      <w:r>
        <w:rPr>
          <w:rFonts w:hint="eastAsia" w:ascii="宋体" w:hAnsi="宋体" w:eastAsia="宋体" w:cs="宋体"/>
          <w:color w:val="auto"/>
          <w:sz w:val="21"/>
          <w:szCs w:val="21"/>
          <w:highlight w:val="none"/>
          <w:lang w:val="en-US" w:eastAsia="zh-CN"/>
        </w:rPr>
        <w:t>通过广西政府采购云平台系统</w:t>
      </w:r>
      <w:r>
        <w:rPr>
          <w:rFonts w:hint="eastAsia" w:ascii="宋体" w:hAnsi="宋体" w:cs="宋体"/>
          <w:color w:val="auto"/>
          <w:szCs w:val="21"/>
          <w:highlight w:val="none"/>
        </w:rPr>
        <w:t>提交最后报价。</w:t>
      </w:r>
    </w:p>
    <w:p w14:paraId="24F97C2A">
      <w:pPr>
        <w:tabs>
          <w:tab w:val="left" w:pos="540"/>
        </w:tabs>
        <w:spacing w:line="440" w:lineRule="exact"/>
        <w:ind w:firstLine="422" w:firstLineChars="201"/>
        <w:rPr>
          <w:rFonts w:ascii="宋体" w:hAnsi="宋体" w:cs="宋体"/>
          <w:color w:val="auto"/>
          <w:szCs w:val="21"/>
          <w:highlight w:val="none"/>
        </w:rPr>
      </w:pPr>
      <w:r>
        <w:rPr>
          <w:rFonts w:hint="eastAsia" w:ascii="宋体" w:hAnsi="宋体" w:cs="宋体"/>
          <w:bCs/>
          <w:color w:val="auto"/>
          <w:szCs w:val="21"/>
          <w:highlight w:val="none"/>
        </w:rPr>
        <w:t>22.4.</w:t>
      </w:r>
      <w:r>
        <w:rPr>
          <w:rFonts w:hint="eastAsia" w:ascii="宋体" w:hAnsi="宋体" w:cs="宋体"/>
          <w:color w:val="auto"/>
          <w:szCs w:val="21"/>
          <w:highlight w:val="none"/>
        </w:rPr>
        <w:t>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2954C41">
      <w:pPr>
        <w:tabs>
          <w:tab w:val="left" w:pos="540"/>
        </w:tabs>
        <w:spacing w:line="440" w:lineRule="exact"/>
        <w:ind w:firstLine="422" w:firstLineChars="201"/>
        <w:rPr>
          <w:rFonts w:ascii="宋体" w:hAnsi="宋体" w:cs="宋体"/>
          <w:color w:val="auto"/>
          <w:szCs w:val="21"/>
          <w:highlight w:val="none"/>
        </w:rPr>
      </w:pPr>
      <w:r>
        <w:rPr>
          <w:rFonts w:hint="eastAsia" w:ascii="宋体" w:hAnsi="宋体" w:cs="宋体"/>
          <w:bCs/>
          <w:color w:val="auto"/>
          <w:szCs w:val="21"/>
          <w:highlight w:val="none"/>
        </w:rPr>
        <w:t>22.4.</w:t>
      </w:r>
      <w:r>
        <w:rPr>
          <w:rFonts w:hint="eastAsia" w:ascii="宋体" w:hAnsi="宋体" w:cs="宋体"/>
          <w:color w:val="auto"/>
          <w:szCs w:val="21"/>
          <w:highlight w:val="none"/>
        </w:rPr>
        <w:t>4已经提交响应文件的供应商，在提交最后报价之前，可以根据磋商情况退出磋商，退出磋商的供应商的响应文件按无效响应处理。</w:t>
      </w:r>
    </w:p>
    <w:p w14:paraId="683E0630">
      <w:pPr>
        <w:tabs>
          <w:tab w:val="left" w:pos="540"/>
        </w:tabs>
        <w:spacing w:line="440" w:lineRule="exact"/>
        <w:ind w:firstLine="422" w:firstLineChars="201"/>
        <w:rPr>
          <w:rFonts w:ascii="宋体" w:hAnsi="宋体" w:cs="宋体"/>
          <w:color w:val="auto"/>
          <w:szCs w:val="21"/>
          <w:highlight w:val="none"/>
        </w:rPr>
      </w:pPr>
      <w:r>
        <w:rPr>
          <w:rFonts w:hint="eastAsia" w:ascii="宋体" w:hAnsi="宋体" w:cs="宋体"/>
          <w:bCs/>
          <w:color w:val="auto"/>
          <w:szCs w:val="21"/>
          <w:highlight w:val="none"/>
        </w:rPr>
        <w:t>22.4.</w:t>
      </w:r>
      <w:r>
        <w:rPr>
          <w:rFonts w:hint="eastAsia" w:ascii="宋体" w:hAnsi="宋体" w:cs="宋体"/>
          <w:color w:val="auto"/>
          <w:szCs w:val="21"/>
          <w:highlight w:val="none"/>
        </w:rPr>
        <w:t>5</w:t>
      </w:r>
      <w:r>
        <w:rPr>
          <w:rFonts w:hint="eastAsia" w:ascii="宋体" w:hAnsi="宋体" w:eastAsia="宋体" w:cs="宋体"/>
          <w:color w:val="auto"/>
          <w:sz w:val="21"/>
          <w:szCs w:val="21"/>
          <w:highlight w:val="none"/>
        </w:rPr>
        <w:t>供应商未在规定时间内</w:t>
      </w:r>
      <w:r>
        <w:rPr>
          <w:rFonts w:hint="eastAsia" w:ascii="宋体" w:hAnsi="宋体" w:eastAsia="宋体" w:cs="宋体"/>
          <w:color w:val="auto"/>
          <w:sz w:val="21"/>
          <w:szCs w:val="21"/>
          <w:highlight w:val="none"/>
          <w:lang w:val="en-US" w:eastAsia="zh-CN"/>
        </w:rPr>
        <w:t>通过广西政府采购云平台系统</w:t>
      </w:r>
      <w:r>
        <w:rPr>
          <w:rFonts w:hint="eastAsia" w:ascii="宋体" w:hAnsi="宋体" w:eastAsia="宋体" w:cs="宋体"/>
          <w:color w:val="auto"/>
          <w:sz w:val="21"/>
          <w:szCs w:val="21"/>
          <w:highlight w:val="none"/>
        </w:rPr>
        <w:t>提交最后报价的，视同退出磋商。</w:t>
      </w:r>
    </w:p>
    <w:p w14:paraId="3C60416B">
      <w:pPr>
        <w:tabs>
          <w:tab w:val="left" w:pos="540"/>
        </w:tabs>
        <w:spacing w:line="440" w:lineRule="exact"/>
        <w:ind w:firstLine="422" w:firstLineChars="201"/>
        <w:rPr>
          <w:rFonts w:ascii="宋体" w:hAnsi="宋体" w:cs="宋体"/>
          <w:color w:val="auto"/>
          <w:szCs w:val="21"/>
          <w:highlight w:val="none"/>
        </w:rPr>
      </w:pPr>
      <w:r>
        <w:rPr>
          <w:rFonts w:hint="eastAsia" w:ascii="宋体" w:hAnsi="宋体" w:cs="宋体"/>
          <w:bCs/>
          <w:color w:val="auto"/>
          <w:szCs w:val="21"/>
          <w:highlight w:val="none"/>
        </w:rPr>
        <w:t>22.4.</w:t>
      </w:r>
      <w:r>
        <w:rPr>
          <w:rFonts w:hint="eastAsia" w:ascii="宋体" w:hAnsi="宋体" w:cs="宋体"/>
          <w:color w:val="auto"/>
          <w:szCs w:val="21"/>
          <w:highlight w:val="none"/>
        </w:rPr>
        <w:t>6磋商小组收齐某一分标最后报价后统一开启，磋商小组对最后报价进行有效性、完整性和响应程度的审查。</w:t>
      </w:r>
    </w:p>
    <w:p w14:paraId="1FE209EE">
      <w:pPr>
        <w:tabs>
          <w:tab w:val="left" w:pos="540"/>
        </w:tabs>
        <w:spacing w:line="440" w:lineRule="exact"/>
        <w:ind w:firstLine="422" w:firstLineChars="201"/>
        <w:rPr>
          <w:rFonts w:ascii="宋体" w:hAnsi="宋体" w:cs="宋体"/>
          <w:color w:val="auto"/>
          <w:szCs w:val="21"/>
          <w:highlight w:val="none"/>
        </w:rPr>
      </w:pPr>
      <w:r>
        <w:rPr>
          <w:rFonts w:hint="eastAsia" w:ascii="宋体" w:hAnsi="宋体" w:cs="宋体"/>
          <w:bCs/>
          <w:color w:val="auto"/>
          <w:szCs w:val="21"/>
          <w:highlight w:val="none"/>
        </w:rPr>
        <w:t>22.4.</w:t>
      </w:r>
      <w:r>
        <w:rPr>
          <w:rFonts w:hint="eastAsia" w:ascii="宋体" w:hAnsi="宋体" w:cs="宋体"/>
          <w:color w:val="auto"/>
          <w:szCs w:val="21"/>
          <w:highlight w:val="none"/>
        </w:rPr>
        <w:t xml:space="preserve">7最终响应文件的报价出现前后不一致的，按照本章第13条的规定修正。 </w:t>
      </w:r>
    </w:p>
    <w:p w14:paraId="673C3135">
      <w:pPr>
        <w:tabs>
          <w:tab w:val="left" w:pos="540"/>
        </w:tabs>
        <w:spacing w:line="440" w:lineRule="exact"/>
        <w:ind w:firstLine="422" w:firstLineChars="201"/>
        <w:rPr>
          <w:rFonts w:ascii="宋体" w:hAnsi="宋体" w:cs="宋体"/>
          <w:color w:val="auto"/>
          <w:szCs w:val="21"/>
          <w:highlight w:val="none"/>
        </w:rPr>
      </w:pPr>
      <w:r>
        <w:rPr>
          <w:rFonts w:hint="eastAsia" w:ascii="宋体" w:hAnsi="宋体" w:cs="宋体"/>
          <w:bCs/>
          <w:color w:val="auto"/>
          <w:szCs w:val="21"/>
          <w:highlight w:val="none"/>
        </w:rPr>
        <w:t>22.4.</w:t>
      </w:r>
      <w:r>
        <w:rPr>
          <w:rFonts w:hint="eastAsia" w:ascii="宋体" w:hAnsi="宋体" w:cs="宋体"/>
          <w:color w:val="auto"/>
          <w:szCs w:val="21"/>
          <w:highlight w:val="none"/>
        </w:rPr>
        <w:t>8修正后的最终报价出现下列情形的，按无效响应处理：</w:t>
      </w:r>
    </w:p>
    <w:p w14:paraId="17914FBC">
      <w:pPr>
        <w:tabs>
          <w:tab w:val="left" w:pos="540"/>
        </w:tabs>
        <w:spacing w:line="44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3708D35E">
      <w:pPr>
        <w:tabs>
          <w:tab w:val="left" w:pos="540"/>
        </w:tabs>
        <w:spacing w:line="44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（2）经供应商确认修正后的响应报价（包含首次报价、最后报价）高于采购预算金额或者最高限价的（如本项目公布了最高限价）；</w:t>
      </w:r>
    </w:p>
    <w:p w14:paraId="6711456C">
      <w:pPr>
        <w:tabs>
          <w:tab w:val="left" w:pos="540"/>
        </w:tabs>
        <w:spacing w:line="440" w:lineRule="exact"/>
        <w:ind w:firstLine="422" w:firstLineChars="201"/>
        <w:rPr>
          <w:rFonts w:ascii="宋体" w:hAnsi="宋体" w:cs="宋体"/>
          <w:color w:val="auto"/>
          <w:szCs w:val="21"/>
          <w:highlight w:val="none"/>
        </w:rPr>
      </w:pPr>
      <w:r>
        <w:rPr>
          <w:rFonts w:hint="eastAsia" w:ascii="宋体" w:hAnsi="宋体" w:cs="宋体"/>
          <w:bCs/>
          <w:color w:val="auto"/>
          <w:szCs w:val="21"/>
          <w:highlight w:val="none"/>
        </w:rPr>
        <w:t>22.4.</w:t>
      </w:r>
      <w:r>
        <w:rPr>
          <w:rFonts w:hint="eastAsia" w:ascii="宋体" w:hAnsi="宋体" w:cs="宋体"/>
          <w:color w:val="auto"/>
          <w:szCs w:val="21"/>
          <w:highlight w:val="none"/>
        </w:rPr>
        <w:t>9经供应商确认修正后的最后报价作为评审及签订合同的依据。</w:t>
      </w:r>
    </w:p>
    <w:p w14:paraId="2A09CB52">
      <w:pPr>
        <w:tabs>
          <w:tab w:val="left" w:pos="540"/>
        </w:tabs>
        <w:spacing w:line="440" w:lineRule="exact"/>
        <w:ind w:firstLine="422" w:firstLineChars="201"/>
        <w:rPr>
          <w:rFonts w:ascii="宋体" w:hAnsi="宋体" w:cs="宋体"/>
          <w:color w:val="auto"/>
          <w:szCs w:val="21"/>
          <w:highlight w:val="none"/>
        </w:rPr>
      </w:pPr>
      <w:r>
        <w:rPr>
          <w:rFonts w:hint="eastAsia" w:ascii="宋体" w:hAnsi="宋体" w:cs="宋体"/>
          <w:bCs/>
          <w:color w:val="auto"/>
          <w:szCs w:val="21"/>
          <w:highlight w:val="none"/>
        </w:rPr>
        <w:t>22.4</w:t>
      </w:r>
      <w:r>
        <w:rPr>
          <w:rFonts w:hint="eastAsia" w:ascii="宋体" w:hAnsi="宋体" w:cs="宋体"/>
          <w:color w:val="auto"/>
          <w:szCs w:val="21"/>
          <w:highlight w:val="none"/>
        </w:rPr>
        <w:t>.10供应商出现最后报价按无效响应处理或者响应文件按无效处理时，磋商小组应当告知有关供应商。</w:t>
      </w:r>
    </w:p>
    <w:p w14:paraId="0354CFE9">
      <w:pPr>
        <w:tabs>
          <w:tab w:val="left" w:pos="540"/>
        </w:tabs>
        <w:spacing w:line="440" w:lineRule="exact"/>
        <w:ind w:firstLine="422" w:firstLineChars="201"/>
        <w:rPr>
          <w:rFonts w:ascii="宋体" w:hAnsi="宋体" w:cs="宋体"/>
          <w:color w:val="auto"/>
          <w:szCs w:val="21"/>
          <w:highlight w:val="none"/>
        </w:rPr>
      </w:pPr>
      <w:r>
        <w:rPr>
          <w:rFonts w:hint="eastAsia" w:ascii="宋体" w:hAnsi="宋体" w:cs="宋体"/>
          <w:bCs/>
          <w:color w:val="auto"/>
          <w:szCs w:val="21"/>
          <w:highlight w:val="none"/>
        </w:rPr>
        <w:t>22.4.</w:t>
      </w:r>
      <w:r>
        <w:rPr>
          <w:rFonts w:hint="eastAsia" w:ascii="宋体" w:hAnsi="宋体" w:cs="宋体"/>
          <w:color w:val="auto"/>
          <w:szCs w:val="21"/>
          <w:highlight w:val="none"/>
        </w:rPr>
        <w:t>11最后报价结束后，磋商小组不得再与供应商进行任何形式的商谈。</w:t>
      </w:r>
    </w:p>
    <w:p w14:paraId="3DE7EE5A">
      <w:pPr>
        <w:tabs>
          <w:tab w:val="left" w:pos="540"/>
        </w:tabs>
        <w:spacing w:line="440" w:lineRule="exact"/>
        <w:ind w:firstLine="424" w:firstLineChars="201"/>
        <w:rPr>
          <w:rFonts w:ascii="宋体" w:hAnsi="宋体" w:cs="宋体"/>
          <w:b/>
          <w:color w:val="auto"/>
          <w:szCs w:val="21"/>
          <w:highlight w:val="none"/>
        </w:rPr>
      </w:pPr>
      <w:r>
        <w:rPr>
          <w:rFonts w:hint="eastAsia" w:ascii="宋体" w:hAnsi="宋体" w:cs="宋体"/>
          <w:b/>
          <w:color w:val="auto"/>
          <w:szCs w:val="21"/>
          <w:highlight w:val="none"/>
        </w:rPr>
        <w:t>22.5评审与比较</w:t>
      </w:r>
    </w:p>
    <w:p w14:paraId="01A3DEA3">
      <w:pPr>
        <w:tabs>
          <w:tab w:val="left" w:pos="540"/>
        </w:tabs>
        <w:spacing w:line="44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评审方法：综合评分法。</w:t>
      </w:r>
    </w:p>
    <w:p w14:paraId="37875E47">
      <w:pPr>
        <w:tabs>
          <w:tab w:val="left" w:pos="540"/>
        </w:tabs>
        <w:spacing w:line="44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22.5.1经磋商确定最终采购需求和提交最后报价的供应商后，由磋商小组采用综合评分法对提交最后报价的供应商的响应文件和最后报价进行综合评分。</w:t>
      </w:r>
    </w:p>
    <w:p w14:paraId="562168AB">
      <w:pPr>
        <w:tabs>
          <w:tab w:val="left" w:pos="540"/>
        </w:tabs>
        <w:spacing w:line="44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22.5.2评审时，磋商小组各成员应当独立对每个有效响应的文件进行评价、打分，然后汇总每个供应商每项评分因素的得分。</w:t>
      </w:r>
    </w:p>
    <w:p w14:paraId="12012AD0">
      <w:pPr>
        <w:tabs>
          <w:tab w:val="left" w:pos="540"/>
        </w:tabs>
        <w:spacing w:line="44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5C936EB2">
      <w:pPr>
        <w:tabs>
          <w:tab w:val="left" w:pos="540"/>
        </w:tabs>
        <w:spacing w:line="44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3AB330C0">
      <w:pPr>
        <w:tabs>
          <w:tab w:val="left" w:pos="540"/>
        </w:tabs>
        <w:spacing w:line="44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22.5.3评审价为供应商的最后报价进行政策性扣除后的价格，评审价只是作为评审时使用。最终成交供应商的成交金额等于最后报价（如有修正，以确认修正后的最后报价为准）。</w:t>
      </w:r>
    </w:p>
    <w:p w14:paraId="565B2A39">
      <w:pPr>
        <w:tabs>
          <w:tab w:val="left" w:pos="540"/>
        </w:tabs>
        <w:spacing w:line="440" w:lineRule="exact"/>
        <w:ind w:firstLine="422" w:firstLineChars="201"/>
        <w:rPr>
          <w:rFonts w:ascii="宋体" w:hAnsi="宋体" w:cs="宋体"/>
          <w:color w:val="auto"/>
          <w:kern w:val="0"/>
          <w:szCs w:val="21"/>
          <w:highlight w:val="none"/>
        </w:rPr>
      </w:pPr>
      <w:r>
        <w:rPr>
          <w:rFonts w:hint="eastAsia" w:ascii="宋体" w:hAnsi="宋体" w:cs="宋体"/>
          <w:color w:val="auto"/>
          <w:szCs w:val="21"/>
          <w:highlight w:val="none"/>
        </w:rPr>
        <w:t>22.5.4由磋商小组根据综合评分情况，按照评审得分由高到低顺序推荐3名以上成交候选供应商，并编写评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w:t>
      </w:r>
      <w:r>
        <w:rPr>
          <w:rFonts w:hint="eastAsia" w:ascii="宋体" w:hAnsi="宋体" w:cs="宋体"/>
          <w:bCs/>
          <w:color w:val="auto"/>
          <w:szCs w:val="21"/>
          <w:highlight w:val="none"/>
        </w:rPr>
        <w:t>22.4.</w:t>
      </w:r>
      <w:r>
        <w:rPr>
          <w:rFonts w:hint="eastAsia" w:ascii="宋体" w:hAnsi="宋体" w:cs="宋体"/>
          <w:color w:val="auto"/>
          <w:szCs w:val="21"/>
          <w:highlight w:val="none"/>
        </w:rPr>
        <w:t>3</w:t>
      </w:r>
      <w:r>
        <w:rPr>
          <w:rFonts w:hint="eastAsia" w:ascii="宋体" w:hAnsi="宋体" w:cs="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6A38565C">
      <w:pPr>
        <w:tabs>
          <w:tab w:val="left" w:pos="540"/>
        </w:tabs>
        <w:spacing w:line="44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22.5.5</w:t>
      </w:r>
      <w:r>
        <w:rPr>
          <w:rFonts w:hint="eastAsia" w:ascii="宋体" w:hAnsi="宋体" w:cs="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02AE776">
      <w:pPr>
        <w:pStyle w:val="21"/>
        <w:snapToGrid w:val="0"/>
        <w:spacing w:line="440" w:lineRule="exact"/>
        <w:ind w:firstLine="422" w:firstLineChars="200"/>
        <w:rPr>
          <w:rFonts w:hAnsi="宋体" w:cs="宋体"/>
          <w:color w:val="auto"/>
          <w:highlight w:val="none"/>
        </w:rPr>
      </w:pPr>
      <w:r>
        <w:rPr>
          <w:rFonts w:hint="eastAsia" w:hAnsi="宋体" w:cs="宋体"/>
          <w:b/>
          <w:bCs/>
          <w:color w:val="auto"/>
          <w:szCs w:val="21"/>
          <w:highlight w:val="none"/>
        </w:rPr>
        <w:t>22.5.6在评审过程中出现法律法规和磋商文件均没有明确规定的情形时，由磋商小组现场协商解决，协商不一致的，由全体磋商小组投票表决，以得票率二分之一以上专家的意见为准。</w:t>
      </w:r>
    </w:p>
    <w:p w14:paraId="601FBE96">
      <w:pPr>
        <w:pStyle w:val="21"/>
        <w:adjustRightInd w:val="0"/>
        <w:snapToGrid w:val="0"/>
        <w:spacing w:line="440" w:lineRule="exact"/>
        <w:ind w:firstLine="422" w:firstLineChars="200"/>
        <w:rPr>
          <w:rFonts w:hAnsi="宋体" w:cs="宋体"/>
          <w:b/>
          <w:color w:val="auto"/>
          <w:highlight w:val="none"/>
        </w:rPr>
      </w:pPr>
      <w:r>
        <w:rPr>
          <w:rFonts w:hint="eastAsia" w:hAnsi="宋体" w:cs="宋体"/>
          <w:b/>
          <w:color w:val="auto"/>
          <w:highlight w:val="none"/>
        </w:rPr>
        <w:t xml:space="preserve">23. 评标 </w:t>
      </w:r>
    </w:p>
    <w:p w14:paraId="2C70592F">
      <w:pPr>
        <w:pStyle w:val="21"/>
        <w:adjustRightInd w:val="0"/>
        <w:snapToGrid w:val="0"/>
        <w:spacing w:line="440" w:lineRule="exact"/>
        <w:ind w:firstLine="420"/>
        <w:rPr>
          <w:rFonts w:hAnsi="宋体" w:cs="宋体"/>
          <w:color w:val="auto"/>
          <w:highlight w:val="none"/>
        </w:rPr>
      </w:pPr>
      <w:r>
        <w:rPr>
          <w:rFonts w:hint="eastAsia" w:hAnsi="宋体" w:cs="宋体"/>
          <w:color w:val="auto"/>
          <w:highlight w:val="none"/>
        </w:rPr>
        <w:t>23.1本项目的评标采用封闭方式评标，评标办法：</w:t>
      </w:r>
      <w:r>
        <w:rPr>
          <w:rFonts w:hint="eastAsia" w:hAnsi="宋体" w:cs="宋体"/>
          <w:b/>
          <w:color w:val="auto"/>
          <w:highlight w:val="none"/>
          <w:u w:val="single"/>
        </w:rPr>
        <w:t>综合评分法</w:t>
      </w:r>
      <w:r>
        <w:rPr>
          <w:rFonts w:hint="eastAsia" w:hAnsi="宋体" w:cs="宋体"/>
          <w:color w:val="auto"/>
          <w:highlight w:val="none"/>
        </w:rPr>
        <w:t>；</w:t>
      </w:r>
    </w:p>
    <w:p w14:paraId="198F704F">
      <w:pPr>
        <w:pStyle w:val="21"/>
        <w:adjustRightInd w:val="0"/>
        <w:snapToGrid w:val="0"/>
        <w:spacing w:line="440" w:lineRule="exact"/>
        <w:ind w:firstLine="420"/>
        <w:rPr>
          <w:rFonts w:hAnsi="宋体" w:cs="宋体"/>
          <w:color w:val="auto"/>
          <w:kern w:val="0"/>
          <w:highlight w:val="none"/>
        </w:rPr>
      </w:pPr>
      <w:r>
        <w:rPr>
          <w:rFonts w:hint="eastAsia" w:hAnsi="宋体" w:cs="宋体"/>
          <w:color w:val="auto"/>
          <w:highlight w:val="none"/>
        </w:rPr>
        <w:t>23.2磋商小组成员组成：磋商小组共3人组成，其中采购人代表1人，政府采购评审专家2人。政府采购评审专家从财政部门设立的政府采购评审专家库中随机抽取。</w:t>
      </w:r>
    </w:p>
    <w:p w14:paraId="0D580BAE">
      <w:pPr>
        <w:autoSpaceDE w:val="0"/>
        <w:autoSpaceDN w:val="0"/>
        <w:adjustRightInd w:val="0"/>
        <w:spacing w:line="440" w:lineRule="exact"/>
        <w:ind w:firstLine="390" w:firstLineChars="186"/>
        <w:jc w:val="left"/>
        <w:rPr>
          <w:rFonts w:ascii="宋体" w:hAnsi="宋体" w:cs="宋体"/>
          <w:color w:val="auto"/>
          <w:highlight w:val="none"/>
        </w:rPr>
      </w:pPr>
      <w:r>
        <w:rPr>
          <w:rFonts w:hint="eastAsia" w:ascii="宋体" w:hAnsi="宋体" w:cs="宋体"/>
          <w:color w:val="auto"/>
          <w:highlight w:val="none"/>
        </w:rPr>
        <w:t>23.3 本项目超出预算控制价的磋商最终报价为无效报价；</w:t>
      </w:r>
    </w:p>
    <w:p w14:paraId="65A9B6AB">
      <w:pPr>
        <w:pStyle w:val="21"/>
        <w:adjustRightInd w:val="0"/>
        <w:snapToGrid w:val="0"/>
        <w:spacing w:line="440" w:lineRule="exact"/>
        <w:ind w:firstLine="420"/>
        <w:rPr>
          <w:rFonts w:hAnsi="宋体" w:cs="宋体"/>
          <w:color w:val="auto"/>
          <w:highlight w:val="none"/>
        </w:rPr>
      </w:pPr>
      <w:r>
        <w:rPr>
          <w:rFonts w:hint="eastAsia" w:hAnsi="宋体" w:cs="宋体"/>
          <w:color w:val="auto"/>
          <w:highlight w:val="none"/>
        </w:rPr>
        <w:t>23.4参与磋商会议的所有人员不得透露对磋商响应文件的评审和比较、成交候选人的推荐以及与评标有关的其他情况，否则由此引起的一切后果自负；</w:t>
      </w:r>
    </w:p>
    <w:p w14:paraId="701E49F3">
      <w:pPr>
        <w:pStyle w:val="21"/>
        <w:spacing w:line="440" w:lineRule="exact"/>
        <w:ind w:firstLine="420"/>
        <w:rPr>
          <w:rFonts w:hAnsi="宋体" w:cs="宋体"/>
          <w:color w:val="auto"/>
          <w:highlight w:val="none"/>
        </w:rPr>
      </w:pPr>
      <w:r>
        <w:rPr>
          <w:rFonts w:hint="eastAsia" w:hAnsi="宋体" w:cs="宋体"/>
          <w:color w:val="auto"/>
          <w:highlight w:val="none"/>
        </w:rPr>
        <w:t>23.5供应商在磋商过程中，如果有力图影响评标结果或干扰磋商秩序的行为，磋商小组成员有权判定其磋商无效。</w:t>
      </w:r>
    </w:p>
    <w:p w14:paraId="3E339BA6">
      <w:pPr>
        <w:spacing w:line="440" w:lineRule="exact"/>
        <w:ind w:firstLine="422" w:firstLineChars="200"/>
        <w:rPr>
          <w:rFonts w:ascii="宋体" w:hAnsi="宋体" w:cs="宋体"/>
          <w:b/>
          <w:color w:val="auto"/>
          <w:spacing w:val="2"/>
          <w:highlight w:val="none"/>
        </w:rPr>
      </w:pPr>
      <w:r>
        <w:rPr>
          <w:rFonts w:hint="eastAsia" w:ascii="宋体" w:hAnsi="宋体" w:cs="宋体"/>
          <w:b/>
          <w:color w:val="auto"/>
          <w:highlight w:val="none"/>
        </w:rPr>
        <w:t>23.6</w:t>
      </w:r>
      <w:r>
        <w:rPr>
          <w:rFonts w:hint="eastAsia" w:ascii="宋体" w:hAnsi="宋体" w:cs="宋体"/>
          <w:b/>
          <w:color w:val="auto"/>
          <w:spacing w:val="2"/>
          <w:highlight w:val="none"/>
        </w:rPr>
        <w:t>无效磋商条款：</w:t>
      </w:r>
    </w:p>
    <w:p w14:paraId="792F2174">
      <w:pPr>
        <w:spacing w:line="440" w:lineRule="exact"/>
        <w:ind w:firstLine="411" w:firstLineChars="196"/>
        <w:rPr>
          <w:rFonts w:ascii="宋体" w:hAnsi="宋体" w:cs="宋体"/>
          <w:color w:val="auto"/>
          <w:spacing w:val="2"/>
          <w:highlight w:val="none"/>
        </w:rPr>
      </w:pPr>
      <w:r>
        <w:rPr>
          <w:rFonts w:hint="eastAsia" w:ascii="宋体" w:hAnsi="宋体" w:cs="宋体"/>
          <w:color w:val="auto"/>
          <w:highlight w:val="none"/>
        </w:rPr>
        <w:t>磋商响应文件如有下列情况之一，在评审中按照无效磋商处理</w:t>
      </w:r>
    </w:p>
    <w:p w14:paraId="79C7EFC5">
      <w:pPr>
        <w:spacing w:line="440" w:lineRule="exact"/>
        <w:ind w:firstLine="419" w:firstLineChars="196"/>
        <w:rPr>
          <w:rFonts w:ascii="宋体" w:hAnsi="宋体" w:cs="宋体"/>
          <w:color w:val="auto"/>
          <w:spacing w:val="2"/>
          <w:highlight w:val="none"/>
        </w:rPr>
      </w:pPr>
      <w:r>
        <w:rPr>
          <w:rFonts w:hint="eastAsia" w:ascii="宋体" w:hAnsi="宋体" w:cs="宋体"/>
          <w:color w:val="auto"/>
          <w:spacing w:val="2"/>
          <w:highlight w:val="none"/>
        </w:rPr>
        <w:t>（1）供应商法定代表人或其委托代理人未按规定签字；</w:t>
      </w:r>
    </w:p>
    <w:p w14:paraId="0A6E9EAD">
      <w:pPr>
        <w:spacing w:line="440" w:lineRule="exact"/>
        <w:ind w:firstLine="419" w:firstLineChars="196"/>
        <w:rPr>
          <w:rFonts w:ascii="宋体" w:hAnsi="宋体" w:cs="宋体"/>
          <w:color w:val="auto"/>
          <w:spacing w:val="2"/>
          <w:highlight w:val="none"/>
        </w:rPr>
      </w:pPr>
      <w:r>
        <w:rPr>
          <w:rFonts w:hint="eastAsia" w:ascii="宋体" w:hAnsi="宋体" w:cs="宋体"/>
          <w:color w:val="auto"/>
          <w:spacing w:val="2"/>
          <w:highlight w:val="none"/>
        </w:rPr>
        <w:t>（2）供应商未按规定加盖单位公章；</w:t>
      </w:r>
    </w:p>
    <w:p w14:paraId="15B5038A">
      <w:pPr>
        <w:spacing w:line="440" w:lineRule="exact"/>
        <w:ind w:firstLine="419" w:firstLineChars="196"/>
        <w:rPr>
          <w:rFonts w:ascii="宋体" w:hAnsi="宋体" w:cs="宋体"/>
          <w:color w:val="auto"/>
          <w:spacing w:val="2"/>
          <w:highlight w:val="none"/>
        </w:rPr>
      </w:pPr>
      <w:r>
        <w:rPr>
          <w:rFonts w:hint="eastAsia" w:ascii="宋体" w:hAnsi="宋体" w:cs="宋体"/>
          <w:color w:val="auto"/>
          <w:spacing w:val="2"/>
          <w:highlight w:val="none"/>
        </w:rPr>
        <w:t>（3）未按规定的格式填写或者字迹模糊、辨认不清；</w:t>
      </w:r>
    </w:p>
    <w:p w14:paraId="4DA0D27E">
      <w:pPr>
        <w:spacing w:line="440" w:lineRule="exact"/>
        <w:ind w:firstLine="419" w:firstLineChars="196"/>
        <w:rPr>
          <w:rFonts w:hint="eastAsia" w:ascii="宋体" w:hAnsi="宋体" w:cs="宋体"/>
          <w:color w:val="auto"/>
          <w:spacing w:val="2"/>
          <w:highlight w:val="none"/>
        </w:rPr>
      </w:pPr>
      <w:r>
        <w:rPr>
          <w:rFonts w:hint="eastAsia" w:ascii="宋体" w:hAnsi="宋体" w:cs="宋体"/>
          <w:color w:val="auto"/>
          <w:spacing w:val="2"/>
          <w:highlight w:val="none"/>
        </w:rPr>
        <w:t>（4）磋商响应文件内容不真实或未按磋商文件要求提供实质性材料；</w:t>
      </w:r>
    </w:p>
    <w:p w14:paraId="1B2643C3">
      <w:pPr>
        <w:spacing w:line="400" w:lineRule="exact"/>
        <w:ind w:firstLine="411" w:firstLineChars="196"/>
        <w:rPr>
          <w:color w:val="auto"/>
          <w:highlight w:val="none"/>
        </w:rPr>
      </w:pPr>
      <w:r>
        <w:rPr>
          <w:rFonts w:hint="eastAsia" w:ascii="宋体" w:hAnsi="宋体" w:cs="宋体"/>
          <w:color w:val="auto"/>
          <w:highlight w:val="none"/>
        </w:rPr>
        <w:t>（5）磋商供应商未按竞争性磋商文件的规定递交磋商保证金的；</w:t>
      </w:r>
    </w:p>
    <w:p w14:paraId="321933BF">
      <w:pPr>
        <w:spacing w:line="400" w:lineRule="exact"/>
        <w:ind w:firstLine="411" w:firstLineChars="196"/>
        <w:rPr>
          <w:rFonts w:hint="eastAsia" w:hAnsi="宋体" w:cs="宋体"/>
          <w:bCs/>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）磋商响应文件内容不真实；</w:t>
      </w:r>
    </w:p>
    <w:p w14:paraId="1502CE99">
      <w:pPr>
        <w:pStyle w:val="21"/>
        <w:adjustRightInd w:val="0"/>
        <w:snapToGrid w:val="0"/>
        <w:spacing w:line="440" w:lineRule="exact"/>
        <w:ind w:firstLine="417" w:firstLineChars="199"/>
        <w:rPr>
          <w:rFonts w:hAnsi="宋体" w:cs="宋体"/>
          <w:color w:val="auto"/>
          <w:highlight w:val="none"/>
        </w:rPr>
      </w:pPr>
      <w:r>
        <w:rPr>
          <w:rFonts w:hint="eastAsia" w:hAnsi="宋体" w:cs="宋体"/>
          <w:bCs/>
          <w:color w:val="auto"/>
          <w:highlight w:val="none"/>
        </w:rPr>
        <w:t>（</w:t>
      </w:r>
      <w:r>
        <w:rPr>
          <w:rFonts w:hint="eastAsia" w:hAnsi="宋体" w:cs="宋体"/>
          <w:bCs/>
          <w:color w:val="auto"/>
          <w:highlight w:val="none"/>
          <w:lang w:val="en-US" w:eastAsia="zh-CN"/>
        </w:rPr>
        <w:t>7</w:t>
      </w:r>
      <w:r>
        <w:rPr>
          <w:rFonts w:hint="eastAsia" w:hAnsi="宋体" w:cs="宋体"/>
          <w:bCs/>
          <w:color w:val="auto"/>
          <w:highlight w:val="none"/>
        </w:rPr>
        <w:t>）供应商不按要求提交</w:t>
      </w:r>
      <w:r>
        <w:rPr>
          <w:rFonts w:hint="eastAsia" w:hAnsi="宋体" w:cs="宋体"/>
          <w:color w:val="auto"/>
          <w:highlight w:val="none"/>
        </w:rPr>
        <w:t>农民工工资保障承诺书的；</w:t>
      </w:r>
    </w:p>
    <w:p w14:paraId="60420DA9">
      <w:pPr>
        <w:spacing w:line="440" w:lineRule="exact"/>
        <w:ind w:firstLine="420"/>
        <w:rPr>
          <w:rFonts w:ascii="宋体" w:hAnsi="宋体" w:cs="宋体"/>
          <w:bCs/>
          <w:color w:val="auto"/>
          <w:highlight w:val="none"/>
        </w:rPr>
      </w:pPr>
      <w:r>
        <w:rPr>
          <w:rFonts w:hint="eastAsia" w:ascii="宋体" w:hAnsi="宋体" w:cs="宋体"/>
          <w:bCs/>
          <w:color w:val="auto"/>
          <w:highlight w:val="none"/>
        </w:rPr>
        <w:t>（</w:t>
      </w:r>
      <w:r>
        <w:rPr>
          <w:rFonts w:hint="eastAsia" w:ascii="宋体" w:hAnsi="宋体" w:cs="宋体"/>
          <w:bCs/>
          <w:color w:val="auto"/>
          <w:highlight w:val="none"/>
          <w:lang w:val="en-US" w:eastAsia="zh-CN"/>
        </w:rPr>
        <w:t>8</w:t>
      </w:r>
      <w:r>
        <w:rPr>
          <w:rFonts w:hint="eastAsia" w:ascii="宋体" w:hAnsi="宋体" w:cs="宋体"/>
          <w:bCs/>
          <w:color w:val="auto"/>
          <w:highlight w:val="none"/>
        </w:rPr>
        <w:t>）无安全生产许可证的；</w:t>
      </w:r>
    </w:p>
    <w:p w14:paraId="68E9CF1F">
      <w:pPr>
        <w:tabs>
          <w:tab w:val="left" w:pos="540"/>
        </w:tabs>
        <w:spacing w:line="440" w:lineRule="exact"/>
        <w:ind w:firstLine="424" w:firstLineChars="201"/>
        <w:rPr>
          <w:rFonts w:ascii="宋体" w:hAnsi="宋体" w:cs="宋体"/>
          <w:b/>
          <w:bCs/>
          <w:color w:val="auto"/>
          <w:szCs w:val="21"/>
          <w:highlight w:val="none"/>
        </w:rPr>
      </w:pPr>
      <w:r>
        <w:rPr>
          <w:rFonts w:hint="eastAsia" w:hAnsi="宋体" w:cs="宋体"/>
          <w:b/>
          <w:bCs/>
          <w:color w:val="auto"/>
          <w:highlight w:val="none"/>
        </w:rPr>
        <w:t>23.7</w:t>
      </w:r>
      <w:r>
        <w:rPr>
          <w:rFonts w:hint="eastAsia" w:ascii="宋体" w:hAnsi="宋体" w:cs="宋体"/>
          <w:b/>
          <w:bCs/>
          <w:color w:val="auto"/>
          <w:szCs w:val="21"/>
          <w:highlight w:val="none"/>
        </w:rPr>
        <w:t>终止采购</w:t>
      </w:r>
    </w:p>
    <w:p w14:paraId="66359431">
      <w:pPr>
        <w:tabs>
          <w:tab w:val="left" w:pos="540"/>
        </w:tabs>
        <w:spacing w:line="440" w:lineRule="exact"/>
        <w:ind w:firstLine="422" w:firstLineChars="201"/>
        <w:rPr>
          <w:rFonts w:ascii="宋体" w:hAnsi="宋体" w:cs="宋体"/>
          <w:bCs/>
          <w:color w:val="auto"/>
          <w:szCs w:val="21"/>
          <w:highlight w:val="none"/>
        </w:rPr>
      </w:pPr>
      <w:r>
        <w:rPr>
          <w:rFonts w:hint="eastAsia" w:ascii="宋体" w:hAnsi="宋体" w:cs="宋体"/>
          <w:bCs/>
          <w:color w:val="auto"/>
          <w:szCs w:val="21"/>
          <w:highlight w:val="none"/>
        </w:rPr>
        <w:t>（1）出现下列情形之一的，采购人或者采购代理机构终止竞争性磋商采购活动，发布项目终止公告并说明原因，重新开展采购活动：</w:t>
      </w:r>
    </w:p>
    <w:p w14:paraId="23EB23C2">
      <w:pPr>
        <w:tabs>
          <w:tab w:val="left" w:pos="540"/>
        </w:tabs>
        <w:spacing w:line="440" w:lineRule="exact"/>
        <w:ind w:firstLine="422" w:firstLineChars="201"/>
        <w:rPr>
          <w:rFonts w:ascii="宋体" w:hAnsi="宋体" w:cs="宋体"/>
          <w:bCs/>
          <w:color w:val="auto"/>
          <w:szCs w:val="21"/>
          <w:highlight w:val="none"/>
        </w:rPr>
      </w:pPr>
      <w:r>
        <w:rPr>
          <w:rFonts w:hint="eastAsia" w:ascii="宋体" w:hAnsi="宋体" w:cs="宋体"/>
          <w:bCs/>
          <w:color w:val="auto"/>
          <w:szCs w:val="21"/>
          <w:highlight w:val="none"/>
        </w:rPr>
        <w:t>1.1因情况变化，不再符合竞争性磋商采购方式规定的适用情形；</w:t>
      </w:r>
    </w:p>
    <w:p w14:paraId="0E1A997F">
      <w:pPr>
        <w:tabs>
          <w:tab w:val="left" w:pos="540"/>
        </w:tabs>
        <w:spacing w:line="440" w:lineRule="exact"/>
        <w:ind w:firstLine="422" w:firstLineChars="201"/>
        <w:rPr>
          <w:rFonts w:ascii="宋体" w:hAnsi="宋体" w:cs="宋体"/>
          <w:bCs/>
          <w:color w:val="auto"/>
          <w:szCs w:val="21"/>
          <w:highlight w:val="none"/>
        </w:rPr>
      </w:pPr>
      <w:r>
        <w:rPr>
          <w:rFonts w:hint="eastAsia" w:ascii="宋体" w:hAnsi="宋体" w:cs="宋体"/>
          <w:bCs/>
          <w:color w:val="auto"/>
          <w:szCs w:val="21"/>
          <w:highlight w:val="none"/>
        </w:rPr>
        <w:t>1.2出现影响采购公正的违法、违规行为的；</w:t>
      </w:r>
    </w:p>
    <w:p w14:paraId="1766D819">
      <w:pPr>
        <w:tabs>
          <w:tab w:val="left" w:pos="540"/>
        </w:tabs>
        <w:spacing w:line="440" w:lineRule="exact"/>
        <w:ind w:firstLine="422" w:firstLineChars="201"/>
        <w:rPr>
          <w:rFonts w:ascii="宋体" w:hAnsi="宋体" w:cs="宋体"/>
          <w:bCs/>
          <w:color w:val="auto"/>
          <w:szCs w:val="21"/>
          <w:highlight w:val="none"/>
        </w:rPr>
      </w:pPr>
      <w:r>
        <w:rPr>
          <w:rFonts w:hint="eastAsia" w:ascii="宋体" w:hAnsi="宋体" w:cs="宋体"/>
          <w:bCs/>
          <w:color w:val="auto"/>
          <w:szCs w:val="21"/>
          <w:highlight w:val="none"/>
        </w:rPr>
        <w:t>1.3在采购过程中符合竞争要求的供应商或者报价未超过采购预算的供应商不足3家的，但《政府采购竞争性磋商采购方式管理暂行办法》第二十一条第三款规定的情形除外。</w:t>
      </w:r>
    </w:p>
    <w:p w14:paraId="112D86B4">
      <w:pPr>
        <w:spacing w:line="44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（2）在采购活动中因重大变故，采购任务取消的，采购人或者采购代理机构应当终止采购活动，通知所有参加采购活动的供应商，并将项目实施情况和采购任务取消原因报送本级监督部门。</w:t>
      </w:r>
    </w:p>
    <w:p w14:paraId="0674D85E">
      <w:pPr>
        <w:tabs>
          <w:tab w:val="left" w:pos="540"/>
        </w:tabs>
        <w:spacing w:line="500" w:lineRule="exact"/>
        <w:ind w:firstLine="422" w:firstLineChars="201"/>
        <w:rPr>
          <w:rFonts w:ascii="宋体" w:hAnsi="宋体" w:cs="宋体"/>
          <w:bCs/>
          <w:color w:val="auto"/>
          <w:szCs w:val="21"/>
          <w:highlight w:val="none"/>
        </w:rPr>
      </w:pPr>
      <w:r>
        <w:rPr>
          <w:rFonts w:hint="eastAsia" w:ascii="宋体" w:hAnsi="宋体" w:cs="宋体"/>
          <w:bCs/>
          <w:color w:val="auto"/>
          <w:szCs w:val="21"/>
          <w:highlight w:val="none"/>
        </w:rPr>
        <w:t>（3）电子交易活动的中止。采购过程中出现以下情形，导致电子交易平台无法正常运行，或者无法保证电子交易的公平、公正和安全时，采购机构可中止电子交易活动：</w:t>
      </w:r>
    </w:p>
    <w:p w14:paraId="576BEE9F">
      <w:pPr>
        <w:tabs>
          <w:tab w:val="left" w:pos="540"/>
        </w:tabs>
        <w:spacing w:line="500" w:lineRule="exact"/>
        <w:ind w:firstLine="422" w:firstLineChars="201"/>
        <w:rPr>
          <w:rFonts w:ascii="宋体" w:hAnsi="宋体" w:cs="宋体"/>
          <w:bCs/>
          <w:color w:val="auto"/>
          <w:szCs w:val="21"/>
          <w:highlight w:val="none"/>
        </w:rPr>
      </w:pPr>
      <w:r>
        <w:rPr>
          <w:rFonts w:hint="eastAsia" w:ascii="宋体" w:hAnsi="宋体" w:cs="宋体"/>
          <w:bCs/>
          <w:color w:val="auto"/>
          <w:szCs w:val="21"/>
          <w:highlight w:val="none"/>
        </w:rPr>
        <w:t xml:space="preserve">3.1电子交易平台发生故障而无法登录访问的； </w:t>
      </w:r>
    </w:p>
    <w:p w14:paraId="4F3C73B0">
      <w:pPr>
        <w:tabs>
          <w:tab w:val="left" w:pos="540"/>
        </w:tabs>
        <w:spacing w:line="500" w:lineRule="exact"/>
        <w:ind w:firstLine="422" w:firstLineChars="201"/>
        <w:rPr>
          <w:rFonts w:ascii="宋体" w:hAnsi="宋体" w:cs="宋体"/>
          <w:bCs/>
          <w:color w:val="auto"/>
          <w:szCs w:val="21"/>
          <w:highlight w:val="none"/>
        </w:rPr>
      </w:pPr>
      <w:r>
        <w:rPr>
          <w:rFonts w:hint="eastAsia" w:ascii="宋体" w:hAnsi="宋体" w:cs="宋体"/>
          <w:bCs/>
          <w:color w:val="auto"/>
          <w:szCs w:val="21"/>
          <w:highlight w:val="none"/>
        </w:rPr>
        <w:t>3.2电子交易平台应用或数据库出现错误，不能进行正常操作的；</w:t>
      </w:r>
    </w:p>
    <w:p w14:paraId="1447B176">
      <w:pPr>
        <w:tabs>
          <w:tab w:val="left" w:pos="540"/>
        </w:tabs>
        <w:spacing w:line="500" w:lineRule="exact"/>
        <w:ind w:firstLine="422" w:firstLineChars="201"/>
        <w:rPr>
          <w:rFonts w:ascii="宋体" w:hAnsi="宋体" w:cs="宋体"/>
          <w:bCs/>
          <w:color w:val="auto"/>
          <w:szCs w:val="21"/>
          <w:highlight w:val="none"/>
        </w:rPr>
      </w:pPr>
      <w:r>
        <w:rPr>
          <w:rFonts w:hint="eastAsia" w:ascii="宋体" w:hAnsi="宋体" w:cs="宋体"/>
          <w:bCs/>
          <w:color w:val="auto"/>
          <w:szCs w:val="21"/>
          <w:highlight w:val="none"/>
        </w:rPr>
        <w:t>3.3电子交易平台发现严重安全漏洞，有潜在泄密危险的；</w:t>
      </w:r>
    </w:p>
    <w:p w14:paraId="45E247A4">
      <w:pPr>
        <w:tabs>
          <w:tab w:val="left" w:pos="540"/>
        </w:tabs>
        <w:spacing w:line="500" w:lineRule="exact"/>
        <w:ind w:firstLine="422" w:firstLineChars="201"/>
        <w:rPr>
          <w:rFonts w:ascii="宋体" w:hAnsi="宋体" w:cs="宋体"/>
          <w:bCs/>
          <w:color w:val="auto"/>
          <w:szCs w:val="21"/>
          <w:highlight w:val="none"/>
        </w:rPr>
      </w:pPr>
      <w:r>
        <w:rPr>
          <w:rFonts w:hint="eastAsia" w:ascii="宋体" w:hAnsi="宋体" w:cs="宋体"/>
          <w:bCs/>
          <w:color w:val="auto"/>
          <w:szCs w:val="21"/>
          <w:highlight w:val="none"/>
        </w:rPr>
        <w:t xml:space="preserve">3.4系统病毒发作导致不能进行正常操作的； </w:t>
      </w:r>
    </w:p>
    <w:p w14:paraId="2AEC5B8F">
      <w:pPr>
        <w:tabs>
          <w:tab w:val="left" w:pos="540"/>
        </w:tabs>
        <w:spacing w:line="500" w:lineRule="exact"/>
        <w:ind w:firstLine="422" w:firstLineChars="201"/>
        <w:rPr>
          <w:rFonts w:ascii="宋体" w:hAnsi="宋体" w:cs="宋体"/>
          <w:bCs/>
          <w:color w:val="auto"/>
          <w:szCs w:val="21"/>
          <w:highlight w:val="none"/>
        </w:rPr>
      </w:pPr>
      <w:r>
        <w:rPr>
          <w:rFonts w:hint="eastAsia" w:ascii="宋体" w:hAnsi="宋体" w:cs="宋体"/>
          <w:bCs/>
          <w:color w:val="auto"/>
          <w:szCs w:val="21"/>
          <w:highlight w:val="none"/>
        </w:rPr>
        <w:t>3.5其他无法保证电子交易的公平、公正和安全的情况。</w:t>
      </w:r>
    </w:p>
    <w:p w14:paraId="26ABF7F1">
      <w:pPr>
        <w:pStyle w:val="21"/>
        <w:spacing w:line="440" w:lineRule="exact"/>
        <w:ind w:firstLine="420"/>
        <w:rPr>
          <w:rFonts w:hAnsi="宋体" w:cs="宋体"/>
          <w:color w:val="auto"/>
          <w:highlight w:val="none"/>
        </w:rPr>
      </w:pPr>
      <w:r>
        <w:rPr>
          <w:rFonts w:hint="eastAsia" w:hAnsi="宋体" w:cs="宋体"/>
          <w:bCs/>
          <w:color w:val="auto"/>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5C2CBD5">
      <w:pPr>
        <w:snapToGrid w:val="0"/>
        <w:spacing w:line="440" w:lineRule="exact"/>
        <w:ind w:firstLine="413" w:firstLineChars="196"/>
        <w:outlineLvl w:val="4"/>
        <w:rPr>
          <w:rFonts w:ascii="宋体" w:hAnsi="宋体" w:cs="宋体"/>
          <w:color w:val="auto"/>
          <w:highlight w:val="none"/>
        </w:rPr>
      </w:pPr>
      <w:r>
        <w:rPr>
          <w:rFonts w:hint="eastAsia" w:ascii="宋体" w:hAnsi="宋体" w:cs="宋体"/>
          <w:b/>
          <w:color w:val="auto"/>
          <w:highlight w:val="none"/>
        </w:rPr>
        <w:t>24.磋商响应文件的澄清或说明</w:t>
      </w:r>
    </w:p>
    <w:p w14:paraId="6AA2E818">
      <w:pPr>
        <w:pStyle w:val="21"/>
        <w:spacing w:line="440" w:lineRule="exact"/>
        <w:ind w:firstLine="420"/>
        <w:rPr>
          <w:rFonts w:hAnsi="宋体" w:cs="宋体"/>
          <w:color w:val="auto"/>
          <w:highlight w:val="none"/>
        </w:rPr>
      </w:pPr>
      <w:r>
        <w:rPr>
          <w:rFonts w:hint="eastAsia" w:hAnsi="宋体" w:cs="宋体"/>
          <w:color w:val="auto"/>
          <w:spacing w:val="-4"/>
          <w:highlight w:val="none"/>
        </w:rPr>
        <w:t>24.1磋商小组成员有权要求供应商就其磋商响应文件中含义不明确的内容</w:t>
      </w:r>
      <w:r>
        <w:rPr>
          <w:rFonts w:hint="eastAsia" w:hAnsi="宋体" w:cs="宋体"/>
          <w:color w:val="auto"/>
          <w:highlight w:val="none"/>
        </w:rPr>
        <w:t>在规定时间内以书面形式予以澄清</w:t>
      </w:r>
      <w:r>
        <w:rPr>
          <w:rFonts w:hint="eastAsia" w:hAnsi="宋体" w:cs="宋体"/>
          <w:color w:val="auto"/>
          <w:spacing w:val="-4"/>
          <w:highlight w:val="none"/>
        </w:rPr>
        <w:t>或说明，</w:t>
      </w:r>
      <w:r>
        <w:rPr>
          <w:rFonts w:hint="eastAsia" w:hAnsi="宋体" w:cs="宋体"/>
          <w:color w:val="auto"/>
          <w:highlight w:val="none"/>
        </w:rPr>
        <w:t>并由其法定代表人或授权委托代理人签名并盖单位公章，上传至电子评标系统。</w:t>
      </w:r>
    </w:p>
    <w:p w14:paraId="1EA6725E">
      <w:pPr>
        <w:pStyle w:val="21"/>
        <w:spacing w:line="440" w:lineRule="exact"/>
        <w:ind w:firstLine="420"/>
        <w:rPr>
          <w:rFonts w:hAnsi="宋体" w:cs="宋体"/>
          <w:color w:val="auto"/>
          <w:highlight w:val="none"/>
        </w:rPr>
      </w:pPr>
      <w:r>
        <w:rPr>
          <w:rFonts w:hint="eastAsia" w:hAnsi="宋体" w:cs="宋体"/>
          <w:color w:val="auto"/>
          <w:highlight w:val="none"/>
        </w:rPr>
        <w:t>24.2供应商的澄清或说明函是磋商响应文件的组成部分。</w:t>
      </w:r>
    </w:p>
    <w:p w14:paraId="12D4E5F3">
      <w:pPr>
        <w:pStyle w:val="21"/>
        <w:spacing w:line="440" w:lineRule="exact"/>
        <w:ind w:firstLine="420"/>
        <w:rPr>
          <w:rFonts w:hAnsi="宋体" w:cs="宋体"/>
          <w:color w:val="auto"/>
          <w:highlight w:val="none"/>
        </w:rPr>
      </w:pPr>
      <w:r>
        <w:rPr>
          <w:rFonts w:hint="eastAsia" w:hAnsi="宋体" w:cs="宋体"/>
          <w:color w:val="auto"/>
          <w:highlight w:val="none"/>
        </w:rPr>
        <w:t>24.3供应商对磋商响应文件的澄清或说明不得超出磋商响应文件的范围或改变磋商响应文件的实质性内容。</w:t>
      </w:r>
    </w:p>
    <w:p w14:paraId="1A6DE8F7">
      <w:pPr>
        <w:adjustRightInd w:val="0"/>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25.确定成交供应商办法</w:t>
      </w:r>
    </w:p>
    <w:p w14:paraId="6AF518CE">
      <w:pPr>
        <w:adjustRightInd w:val="0"/>
        <w:snapToGri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25.1 根据以下原则确定成交供应商：</w:t>
      </w:r>
    </w:p>
    <w:p w14:paraId="7BFDC25F">
      <w:pPr>
        <w:adjustRightInd w:val="0"/>
        <w:snapToGri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采购项目的评审依据为竞争性磋商文件和竞争性磋商响应文件，采用的评定标准为：综合评分法。磋商小组应当根据综合评分情况，按照评审得分由高到低顺序推荐3名以上成交候选供应商，并编写评审报告。符合</w:t>
      </w:r>
      <w:r>
        <w:rPr>
          <w:rFonts w:hint="eastAsia" w:ascii="宋体" w:hAnsi="宋体" w:cs="宋体"/>
          <w:color w:val="auto"/>
          <w:highlight w:val="none"/>
        </w:rPr>
        <w:t>《政府采购竞争性磋商采购方式管理暂行办法》第二十一条第三款情形的</w:t>
      </w:r>
      <w:r>
        <w:rPr>
          <w:rFonts w:hint="eastAsia" w:ascii="宋体" w:hAnsi="宋体" w:cs="宋体"/>
          <w:color w:val="auto"/>
          <w:kern w:val="0"/>
          <w:szCs w:val="21"/>
          <w:highlight w:val="none"/>
        </w:rPr>
        <w:t>，可以推荐2家成交候选供应商。评审总得分相同的，按照报价得分高低顺序推荐（得分高者排序靠前），报价得分相同的，按照技术标得分高低顺序推荐（得分高者排序靠前）。</w:t>
      </w:r>
    </w:p>
    <w:p w14:paraId="02D0CCA9">
      <w:pPr>
        <w:pStyle w:val="21"/>
        <w:spacing w:line="440" w:lineRule="exact"/>
        <w:ind w:firstLine="420" w:firstLineChars="200"/>
        <w:rPr>
          <w:rFonts w:hAnsi="宋体" w:cs="宋体"/>
          <w:color w:val="auto"/>
          <w:highlight w:val="none"/>
        </w:rPr>
      </w:pPr>
      <w:r>
        <w:rPr>
          <w:rFonts w:hint="eastAsia" w:hAnsi="宋体" w:cs="宋体"/>
          <w:color w:val="auto"/>
          <w:highlight w:val="none"/>
        </w:rPr>
        <w:t>25.2</w:t>
      </w:r>
      <w:r>
        <w:rPr>
          <w:rFonts w:hint="eastAsia" w:hAnsi="宋体" w:cs="宋体"/>
          <w:color w:val="auto"/>
          <w:kern w:val="0"/>
          <w:highlight w:val="none"/>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AE858A5">
      <w:pPr>
        <w:pStyle w:val="21"/>
        <w:adjustRightInd w:val="0"/>
        <w:snapToGrid w:val="0"/>
        <w:spacing w:line="440" w:lineRule="exact"/>
        <w:ind w:firstLine="422" w:firstLineChars="200"/>
        <w:rPr>
          <w:rFonts w:hAnsi="宋体" w:cs="宋体"/>
          <w:b/>
          <w:color w:val="auto"/>
          <w:highlight w:val="none"/>
        </w:rPr>
      </w:pPr>
      <w:r>
        <w:rPr>
          <w:rFonts w:hint="eastAsia" w:hAnsi="宋体" w:cs="宋体"/>
          <w:b/>
          <w:color w:val="auto"/>
          <w:highlight w:val="none"/>
        </w:rPr>
        <w:t>26.成交公告</w:t>
      </w:r>
    </w:p>
    <w:p w14:paraId="6C6141EC">
      <w:pPr>
        <w:pStyle w:val="21"/>
        <w:adjustRightInd w:val="0"/>
        <w:snapToGrid w:val="0"/>
        <w:spacing w:line="440" w:lineRule="exact"/>
        <w:ind w:firstLine="420"/>
        <w:rPr>
          <w:rFonts w:hAnsi="宋体" w:cs="宋体"/>
          <w:color w:val="auto"/>
          <w:highlight w:val="none"/>
        </w:rPr>
      </w:pPr>
      <w:r>
        <w:rPr>
          <w:rFonts w:hint="eastAsia" w:hAnsi="宋体" w:cs="宋体"/>
          <w:color w:val="auto"/>
          <w:highlight w:val="none"/>
        </w:rPr>
        <w:t>26.1采购代理机构于评标结束后两个工作日内将评审报告送交采购人，采购人应当自收到评审报告五个工作日内在评审报告推荐的成交候选供应商中按顺序确定成交供应商，采购代理机构当自成交供应商确定之日起两个工作日内，在本项目指定媒体上公示成交结果，在公告成交结果的同时，采购人或者采购代理机构可向成交供应商发出成交通知书。</w:t>
      </w:r>
    </w:p>
    <w:p w14:paraId="3C964B67">
      <w:pPr>
        <w:pStyle w:val="21"/>
        <w:adjustRightInd w:val="0"/>
        <w:snapToGrid w:val="0"/>
        <w:spacing w:line="440" w:lineRule="exact"/>
        <w:ind w:firstLine="420"/>
        <w:rPr>
          <w:rFonts w:hAnsi="宋体" w:cs="宋体"/>
          <w:color w:val="auto"/>
          <w:highlight w:val="none"/>
        </w:rPr>
      </w:pPr>
      <w:r>
        <w:rPr>
          <w:rFonts w:hint="eastAsia" w:hAnsi="宋体" w:cs="宋体"/>
          <w:color w:val="auto"/>
          <w:highlight w:val="none"/>
        </w:rPr>
        <w:t>26.2成交供应商应自收到成交通知之日起必须及时办理成交通知书领取手续，如不按期办理领取手续，超过签订合同约定时间的，视为自动放弃中标资格。成交供应商所投相应标的磋商保证金将不予退还，上缴同级财政国库，并从磋商小组推荐的成交候选供应商中按顺序重新确定成交供应商。</w:t>
      </w:r>
    </w:p>
    <w:p w14:paraId="32033E1A">
      <w:pPr>
        <w:pStyle w:val="21"/>
        <w:spacing w:line="440" w:lineRule="exact"/>
        <w:ind w:firstLine="422" w:firstLineChars="200"/>
        <w:rPr>
          <w:rFonts w:hAnsi="宋体" w:cs="宋体"/>
          <w:b/>
          <w:color w:val="auto"/>
          <w:highlight w:val="none"/>
        </w:rPr>
      </w:pPr>
      <w:r>
        <w:rPr>
          <w:rFonts w:hint="eastAsia" w:hAnsi="宋体" w:cs="宋体"/>
          <w:b/>
          <w:color w:val="auto"/>
          <w:highlight w:val="none"/>
        </w:rPr>
        <w:t>27.质疑及投诉</w:t>
      </w:r>
    </w:p>
    <w:p w14:paraId="74C1EAF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27.1供应商对政府采购活动事项有疑问的，可以向采购人、采购代理机构提出询问。</w:t>
      </w:r>
    </w:p>
    <w:p w14:paraId="6E0406C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27.2供应商认为采购文件、采购过程或成交结果使自己的合法权益受到损害的，应当在知道或者应知其权益受到损害之日起七个工作日内，以书面形式向采购人、采购代理机构提出质疑。具体计算起算时间如下：</w:t>
      </w:r>
    </w:p>
    <w:p w14:paraId="5A1CC2A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（一）对可以质疑的采购文件提出质疑的，为收到采购文件之日或者采购文件公告期限届满之日；</w:t>
      </w:r>
    </w:p>
    <w:p w14:paraId="5A830DF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（二）对采购过程提出质疑的，为各采购程序环节结束之日；</w:t>
      </w:r>
    </w:p>
    <w:p w14:paraId="5CD7D82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（三）对成交结果提出质疑的，为成交结果公告期限届满之日。</w:t>
      </w:r>
    </w:p>
    <w:p w14:paraId="0F7A115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人或采购代理机构在收到供应商书面质疑后7个工作日内，对质疑内容作出答复。供应商对采购人或采购代理机构的质疑答复不满意或者采购人或采购代理机构未在规定时间内作出答复的，可以在答复期满后十五个工作日内向同级采购监管部门投诉。</w:t>
      </w:r>
    </w:p>
    <w:p w14:paraId="1FDFE2A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质疑函接收及联系方式详见供应商须知前附表。</w:t>
      </w:r>
    </w:p>
    <w:p w14:paraId="5C0EE10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27.3供应商的质疑和投诉行为应当符合《政府采购质疑和投诉办法》（中华人民共和国财政部令第94号）规定。质疑、投诉应当采用书面形式，质疑函、投诉书应按财政部发布《政府采购供应商质疑函范本》、《政府采购供应商投诉书范本》编制，质疑书、投诉书均应明确阐述采购文件、采购过程、成交结果中使自己合法权益受到损害的实质性内容，提供相关事实、明确的请求、必要的证明材料，便于有关单位调查、答复和处理。</w:t>
      </w:r>
    </w:p>
    <w:p w14:paraId="360D4B8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供应商提出质疑应当提交质疑函和必要的证明材料，针对同一采购程序环节的质疑必须在法定质疑期内一次性提出。</w:t>
      </w:r>
    </w:p>
    <w:p w14:paraId="2F50DB0D">
      <w:pPr>
        <w:pStyle w:val="21"/>
        <w:spacing w:line="440" w:lineRule="exact"/>
        <w:ind w:firstLine="420" w:firstLineChars="200"/>
        <w:rPr>
          <w:rFonts w:hAnsi="宋体" w:cs="宋体"/>
          <w:color w:val="auto"/>
          <w:highlight w:val="none"/>
        </w:rPr>
      </w:pPr>
      <w:r>
        <w:rPr>
          <w:rFonts w:hint="eastAsia" w:hAnsi="宋体" w:cs="宋体"/>
          <w:color w:val="auto"/>
          <w:szCs w:val="21"/>
          <w:highlight w:val="none"/>
        </w:rPr>
        <w:t>27.4 供应商必须首先经过质疑程序，在对采购代理机构的答复不满意或者采购代理机构未在规定时间内做出答复，可以在答复期满十五个工作日内以书面向同级政府采购监管部门投诉。</w:t>
      </w:r>
    </w:p>
    <w:p w14:paraId="148A5C2B">
      <w:pPr>
        <w:pStyle w:val="5"/>
        <w:keepNext w:val="0"/>
        <w:keepLines w:val="0"/>
        <w:adjustRightInd w:val="0"/>
        <w:snapToGrid w:val="0"/>
        <w:spacing w:line="440" w:lineRule="exact"/>
        <w:jc w:val="center"/>
        <w:rPr>
          <w:rFonts w:ascii="宋体" w:hAnsi="宋体" w:cs="宋体"/>
          <w:color w:val="auto"/>
          <w:sz w:val="28"/>
          <w:highlight w:val="none"/>
        </w:rPr>
      </w:pPr>
      <w:bookmarkStart w:id="268" w:name="_Toc12733"/>
      <w:bookmarkStart w:id="269" w:name="_Toc75182686"/>
      <w:r>
        <w:rPr>
          <w:rFonts w:hint="eastAsia" w:ascii="宋体" w:hAnsi="宋体" w:cs="宋体"/>
          <w:color w:val="auto"/>
          <w:sz w:val="28"/>
          <w:highlight w:val="none"/>
        </w:rPr>
        <w:t>(六) 签订合同</w:t>
      </w:r>
      <w:bookmarkEnd w:id="257"/>
      <w:bookmarkEnd w:id="258"/>
      <w:bookmarkEnd w:id="268"/>
      <w:bookmarkEnd w:id="269"/>
    </w:p>
    <w:p w14:paraId="4EE34889">
      <w:pPr>
        <w:pStyle w:val="21"/>
        <w:adjustRightInd w:val="0"/>
        <w:snapToGrid w:val="0"/>
        <w:spacing w:line="440" w:lineRule="exact"/>
        <w:ind w:firstLine="422" w:firstLineChars="200"/>
        <w:rPr>
          <w:rFonts w:hAnsi="宋体" w:cs="宋体"/>
          <w:b/>
          <w:color w:val="auto"/>
          <w:highlight w:val="none"/>
        </w:rPr>
      </w:pPr>
      <w:bookmarkStart w:id="270" w:name="_Toc130105445"/>
      <w:bookmarkStart w:id="271" w:name="_Toc85085498"/>
      <w:bookmarkStart w:id="272" w:name="_Toc78294035"/>
      <w:r>
        <w:rPr>
          <w:rFonts w:hint="eastAsia" w:hAnsi="宋体" w:cs="宋体"/>
          <w:b/>
          <w:color w:val="auto"/>
          <w:highlight w:val="none"/>
        </w:rPr>
        <w:t>28.合同授予标准</w:t>
      </w:r>
    </w:p>
    <w:p w14:paraId="34977B0A">
      <w:pPr>
        <w:pStyle w:val="21"/>
        <w:adjustRightInd w:val="0"/>
        <w:snapToGrid w:val="0"/>
        <w:spacing w:line="440" w:lineRule="exact"/>
        <w:ind w:firstLine="420"/>
        <w:rPr>
          <w:rFonts w:hAnsi="宋体" w:cs="宋体"/>
          <w:color w:val="auto"/>
          <w:highlight w:val="none"/>
        </w:rPr>
      </w:pPr>
      <w:r>
        <w:rPr>
          <w:rFonts w:hint="eastAsia" w:hAnsi="宋体" w:cs="宋体"/>
          <w:color w:val="auto"/>
          <w:highlight w:val="none"/>
        </w:rPr>
        <w:t>28.1采购人将合同授予评委推荐的成交候选人中实质性最大限度地满足竞争性磋商文件要求的供应商。</w:t>
      </w:r>
    </w:p>
    <w:p w14:paraId="0DA1D5CF">
      <w:pPr>
        <w:pStyle w:val="21"/>
        <w:adjustRightInd w:val="0"/>
        <w:snapToGrid w:val="0"/>
        <w:spacing w:line="440" w:lineRule="exact"/>
        <w:ind w:firstLine="420"/>
        <w:rPr>
          <w:rFonts w:hAnsi="宋体" w:cs="宋体"/>
          <w:color w:val="auto"/>
          <w:highlight w:val="none"/>
        </w:rPr>
      </w:pPr>
      <w:r>
        <w:rPr>
          <w:rFonts w:hint="eastAsia" w:hAnsi="宋体" w:cs="宋体"/>
          <w:color w:val="auto"/>
          <w:highlight w:val="none"/>
        </w:rPr>
        <w:t>28.2成交供应商因不可抗力或者自身原因不能履行施工合同的，采购人可以按成交候选人排序顺序依次与下一家候选人签订施工合同，依此类推。成交供应商拒绝签订政府采购合同的，如政府采购活动或成交供应商不存在违法违规情形的，采购人可以根据采购项目的实际情况，综合考虑递补供应商的经济性和效率等因素，自主确定是否重新开展采购活动或确定下一候选人为成交供应商。</w:t>
      </w:r>
    </w:p>
    <w:p w14:paraId="0E929E08">
      <w:pPr>
        <w:pStyle w:val="21"/>
        <w:adjustRightInd w:val="0"/>
        <w:snapToGrid w:val="0"/>
        <w:spacing w:line="440" w:lineRule="exact"/>
        <w:ind w:firstLine="422" w:firstLineChars="200"/>
        <w:rPr>
          <w:rFonts w:hAnsi="宋体" w:cs="宋体"/>
          <w:b/>
          <w:color w:val="auto"/>
          <w:highlight w:val="none"/>
        </w:rPr>
      </w:pPr>
      <w:r>
        <w:rPr>
          <w:rFonts w:hint="eastAsia" w:hAnsi="宋体" w:cs="宋体"/>
          <w:b/>
          <w:color w:val="auto"/>
          <w:highlight w:val="none"/>
        </w:rPr>
        <w:t>29.签订合同</w:t>
      </w:r>
    </w:p>
    <w:p w14:paraId="6606FE07">
      <w:pPr>
        <w:pStyle w:val="21"/>
        <w:spacing w:line="440" w:lineRule="exact"/>
        <w:ind w:firstLine="420" w:firstLineChars="200"/>
        <w:rPr>
          <w:rFonts w:hAnsi="宋体" w:cs="宋体"/>
          <w:color w:val="auto"/>
          <w:highlight w:val="none"/>
        </w:rPr>
      </w:pPr>
      <w:r>
        <w:rPr>
          <w:rFonts w:hint="eastAsia" w:hAnsi="宋体" w:cs="宋体"/>
          <w:color w:val="auto"/>
          <w:highlight w:val="none"/>
        </w:rPr>
        <w:t>成交通知书发出之日起</w:t>
      </w:r>
      <w:r>
        <w:rPr>
          <w:rFonts w:hint="eastAsia" w:hAnsi="宋体" w:cs="宋体"/>
          <w:color w:val="auto"/>
          <w:highlight w:val="none"/>
          <w:lang w:val="en-US" w:eastAsia="zh-CN"/>
        </w:rPr>
        <w:t>20</w:t>
      </w:r>
      <w:r>
        <w:rPr>
          <w:rFonts w:hint="eastAsia" w:hAnsi="宋体" w:cs="宋体"/>
          <w:color w:val="auto"/>
          <w:highlight w:val="none"/>
        </w:rPr>
        <w:t>日内，采购人与成交供应商必须按竞争性磋商文件确定的事项及磋商响应文件承诺签订合同。若采购人无正当理由不与成交供应商签订合同的，根据《中华人民共和国政法采购法》第七十一条承担法律责任。若由于成交供应商无正当理由不与采购人或者采购代理机构签订合同的，成交供应商依法承担相关法律责任，采购单位不予退还其交纳的磋商保证金；情节严重的，由财政部门将其列入不良行为记录名单，在一至三年内禁止参加政府采购活动，并予以通报。</w:t>
      </w:r>
    </w:p>
    <w:bookmarkEnd w:id="270"/>
    <w:bookmarkEnd w:id="271"/>
    <w:bookmarkEnd w:id="272"/>
    <w:p w14:paraId="34FE9527">
      <w:pPr>
        <w:pStyle w:val="21"/>
        <w:adjustRightInd w:val="0"/>
        <w:snapToGrid w:val="0"/>
        <w:spacing w:line="440" w:lineRule="exact"/>
        <w:ind w:firstLine="422" w:firstLineChars="200"/>
        <w:rPr>
          <w:rFonts w:hint="eastAsia" w:hAnsi="宋体" w:cs="宋体"/>
          <w:b/>
          <w:color w:val="auto"/>
          <w:highlight w:val="none"/>
        </w:rPr>
      </w:pPr>
      <w:bookmarkStart w:id="273" w:name="_Toc55206554"/>
      <w:bookmarkStart w:id="274" w:name="_Toc514238626"/>
      <w:bookmarkStart w:id="275" w:name="_Toc138046208"/>
      <w:bookmarkStart w:id="276" w:name="_Toc106708118"/>
      <w:bookmarkStart w:id="277" w:name="_Toc103581194"/>
      <w:bookmarkStart w:id="278" w:name="_Toc256259983"/>
      <w:bookmarkStart w:id="279" w:name="_Toc130105464"/>
      <w:bookmarkStart w:id="280" w:name="_Toc130105466"/>
      <w:bookmarkStart w:id="281" w:name="_Toc85085521"/>
      <w:bookmarkStart w:id="282" w:name="_Toc75923328"/>
      <w:bookmarkStart w:id="283" w:name="_Toc78294043"/>
      <w:bookmarkStart w:id="284" w:name="_Toc55206560"/>
      <w:bookmarkStart w:id="285" w:name="_Toc75923323"/>
      <w:bookmarkStart w:id="286" w:name="_Toc93808081"/>
      <w:bookmarkStart w:id="287" w:name="_Toc85085516"/>
      <w:r>
        <w:rPr>
          <w:rFonts w:hint="eastAsia" w:hAnsi="宋体" w:cs="宋体"/>
          <w:b/>
          <w:color w:val="auto"/>
          <w:highlight w:val="none"/>
          <w:lang w:val="en-US" w:eastAsia="zh-CN"/>
        </w:rPr>
        <w:t>30.</w:t>
      </w:r>
      <w:r>
        <w:rPr>
          <w:rFonts w:hint="eastAsia" w:hAnsi="宋体" w:cs="宋体"/>
          <w:b/>
          <w:color w:val="auto"/>
          <w:highlight w:val="none"/>
        </w:rPr>
        <w:t>政府采购合同公告</w:t>
      </w:r>
    </w:p>
    <w:p w14:paraId="42331750">
      <w:pPr>
        <w:pStyle w:val="21"/>
        <w:spacing w:line="440" w:lineRule="exact"/>
        <w:ind w:firstLine="420" w:firstLineChars="200"/>
        <w:rPr>
          <w:rFonts w:hint="eastAsia"/>
          <w:color w:val="auto"/>
          <w:highlight w:val="none"/>
        </w:rPr>
      </w:pPr>
      <w:r>
        <w:rPr>
          <w:rFonts w:hint="eastAsia" w:hAnsi="宋体" w:cs="宋体"/>
          <w:color w:val="auto"/>
          <w:highlight w:val="none"/>
          <w:lang w:val="en-US" w:eastAsia="zh-CN"/>
        </w:rPr>
        <w:t>30</w:t>
      </w:r>
      <w:r>
        <w:rPr>
          <w:rFonts w:hint="eastAsia" w:hAnsi="宋体" w:cs="宋体"/>
          <w:color w:val="auto"/>
          <w:highlight w:val="none"/>
        </w:rPr>
        <w:t>.1如采购文件无特殊规定，成交人应在签订合同后1个工作日内，将政府采购合同副本送采购代理机构备案。</w:t>
      </w:r>
    </w:p>
    <w:p w14:paraId="2F37405E">
      <w:pPr>
        <w:pStyle w:val="21"/>
        <w:spacing w:line="440" w:lineRule="exact"/>
        <w:ind w:firstLine="420" w:firstLineChars="200"/>
        <w:rPr>
          <w:color w:val="auto"/>
          <w:highlight w:val="none"/>
        </w:rPr>
      </w:pPr>
      <w:r>
        <w:rPr>
          <w:rFonts w:hint="eastAsia" w:hAnsi="宋体" w:cs="宋体"/>
          <w:color w:val="auto"/>
          <w:highlight w:val="none"/>
          <w:lang w:val="en-US" w:eastAsia="zh-CN"/>
        </w:rPr>
        <w:t>30</w:t>
      </w:r>
      <w:r>
        <w:rPr>
          <w:rFonts w:hint="eastAsia" w:hAnsi="宋体" w:cs="宋体"/>
          <w:color w:val="auto"/>
          <w:highlight w:val="none"/>
        </w:rPr>
        <w:t>.2采购人应当自政府采购合同签订之日起2个工作日内，将政府采购合同在省级以上人民政府财政部门指定的媒体上公告，但政府采购合同中涉及国家秘密、商业秘密的内容除外。</w:t>
      </w:r>
    </w:p>
    <w:p w14:paraId="61F4E040">
      <w:pPr>
        <w:pStyle w:val="21"/>
        <w:adjustRightInd w:val="0"/>
        <w:snapToGrid w:val="0"/>
        <w:spacing w:line="440" w:lineRule="exact"/>
        <w:ind w:firstLine="422" w:firstLineChars="200"/>
        <w:rPr>
          <w:rFonts w:hAnsi="宋体" w:cs="宋体"/>
          <w:color w:val="auto"/>
          <w:highlight w:val="none"/>
        </w:rPr>
      </w:pPr>
      <w:r>
        <w:rPr>
          <w:rFonts w:hint="eastAsia" w:hAnsi="宋体" w:cs="宋体"/>
          <w:b/>
          <w:color w:val="auto"/>
          <w:highlight w:val="none"/>
        </w:rPr>
        <w:t>3</w:t>
      </w:r>
      <w:r>
        <w:rPr>
          <w:rFonts w:hint="eastAsia" w:hAnsi="宋体" w:cs="宋体"/>
          <w:b/>
          <w:color w:val="auto"/>
          <w:highlight w:val="none"/>
          <w:lang w:val="en-US" w:eastAsia="zh-CN"/>
        </w:rPr>
        <w:t>1</w:t>
      </w:r>
      <w:r>
        <w:rPr>
          <w:rFonts w:hint="eastAsia" w:hAnsi="宋体" w:cs="宋体"/>
          <w:b/>
          <w:color w:val="auto"/>
          <w:highlight w:val="none"/>
        </w:rPr>
        <w:t>.</w:t>
      </w:r>
      <w:r>
        <w:rPr>
          <w:rFonts w:hint="eastAsia" w:hAnsi="宋体" w:cs="宋体"/>
          <w:color w:val="auto"/>
          <w:highlight w:val="none"/>
        </w:rPr>
        <w:t>本项目不允许转包和分包，若发现将立即取消合同资格。</w:t>
      </w:r>
    </w:p>
    <w:p w14:paraId="2AE36DE2">
      <w:pPr>
        <w:pStyle w:val="21"/>
        <w:adjustRightInd w:val="0"/>
        <w:snapToGrid w:val="0"/>
        <w:spacing w:line="440" w:lineRule="exact"/>
        <w:ind w:firstLine="422" w:firstLineChars="200"/>
        <w:rPr>
          <w:rFonts w:hAnsi="宋体" w:cs="宋体"/>
          <w:color w:val="auto"/>
          <w:highlight w:val="none"/>
        </w:rPr>
      </w:pPr>
      <w:r>
        <w:rPr>
          <w:rFonts w:hint="eastAsia" w:hAnsi="宋体" w:cs="宋体"/>
          <w:b/>
          <w:color w:val="auto"/>
          <w:highlight w:val="none"/>
        </w:rPr>
        <w:t>3</w:t>
      </w:r>
      <w:r>
        <w:rPr>
          <w:rFonts w:hint="eastAsia" w:hAnsi="宋体" w:cs="宋体"/>
          <w:b/>
          <w:color w:val="auto"/>
          <w:highlight w:val="none"/>
          <w:lang w:val="en-US" w:eastAsia="zh-CN"/>
        </w:rPr>
        <w:t>2</w:t>
      </w:r>
      <w:r>
        <w:rPr>
          <w:rFonts w:hint="eastAsia" w:hAnsi="宋体" w:cs="宋体"/>
          <w:b/>
          <w:color w:val="auto"/>
          <w:highlight w:val="none"/>
        </w:rPr>
        <w:t>. 履约保证金</w:t>
      </w:r>
    </w:p>
    <w:p w14:paraId="06010443">
      <w:pPr>
        <w:pStyle w:val="21"/>
        <w:adjustRightInd w:val="0"/>
        <w:snapToGrid w:val="0"/>
        <w:spacing w:line="440" w:lineRule="exact"/>
        <w:ind w:firstLine="420" w:firstLineChars="200"/>
        <w:rPr>
          <w:rFonts w:hAnsi="宋体" w:cs="宋体"/>
          <w:color w:val="auto"/>
          <w:highlight w:val="none"/>
        </w:rPr>
      </w:pPr>
      <w:r>
        <w:rPr>
          <w:rFonts w:hint="eastAsia" w:hAnsi="宋体" w:cs="宋体"/>
          <w:color w:val="auto"/>
          <w:highlight w:val="none"/>
        </w:rPr>
        <w:t>履约保证金的形式：本项目不收取履约保证金；</w:t>
      </w:r>
    </w:p>
    <w:p w14:paraId="6DEEB5B9">
      <w:pPr>
        <w:pStyle w:val="21"/>
        <w:adjustRightInd w:val="0"/>
        <w:snapToGrid w:val="0"/>
        <w:spacing w:line="440" w:lineRule="exact"/>
        <w:ind w:firstLine="420" w:firstLineChars="200"/>
        <w:rPr>
          <w:rFonts w:hAnsi="宋体" w:cs="宋体"/>
          <w:color w:val="auto"/>
          <w:highlight w:val="none"/>
        </w:rPr>
      </w:pPr>
      <w:r>
        <w:rPr>
          <w:rFonts w:hint="eastAsia" w:hAnsi="宋体" w:cs="宋体"/>
          <w:color w:val="auto"/>
          <w:highlight w:val="none"/>
        </w:rPr>
        <w:t>履约保证金的金额：本项目不收取履约保证金。</w:t>
      </w:r>
    </w:p>
    <w:p w14:paraId="193AB9FD">
      <w:pPr>
        <w:pStyle w:val="5"/>
        <w:keepNext w:val="0"/>
        <w:keepLines w:val="0"/>
        <w:adjustRightInd w:val="0"/>
        <w:snapToGrid w:val="0"/>
        <w:spacing w:line="440" w:lineRule="exact"/>
        <w:jc w:val="center"/>
        <w:rPr>
          <w:rFonts w:ascii="宋体" w:hAnsi="宋体" w:cs="宋体"/>
          <w:color w:val="auto"/>
          <w:sz w:val="28"/>
          <w:highlight w:val="none"/>
        </w:rPr>
      </w:pPr>
      <w:bookmarkStart w:id="288" w:name="_Toc75182687"/>
      <w:bookmarkStart w:id="289" w:name="_Toc30934"/>
      <w:r>
        <w:rPr>
          <w:rFonts w:hint="eastAsia" w:ascii="宋体" w:hAnsi="宋体" w:cs="宋体"/>
          <w:color w:val="auto"/>
          <w:sz w:val="28"/>
          <w:highlight w:val="none"/>
        </w:rPr>
        <w:t>(七) 其他事项</w:t>
      </w:r>
      <w:bookmarkEnd w:id="288"/>
      <w:bookmarkEnd w:id="289"/>
    </w:p>
    <w:p w14:paraId="4B33521C">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.代理服务费</w:t>
      </w:r>
    </w:p>
    <w:p w14:paraId="48877B74">
      <w:pPr>
        <w:pStyle w:val="21"/>
        <w:adjustRightInd w:val="0"/>
        <w:snapToGrid w:val="0"/>
        <w:spacing w:line="440" w:lineRule="exact"/>
        <w:ind w:firstLine="420" w:firstLineChars="200"/>
        <w:rPr>
          <w:rFonts w:hAnsi="宋体" w:cs="宋体"/>
          <w:color w:val="auto"/>
          <w:highlight w:val="none"/>
        </w:rPr>
      </w:pPr>
      <w:r>
        <w:rPr>
          <w:rFonts w:hint="eastAsia" w:hAnsi="宋体" w:cs="宋体"/>
          <w:color w:val="auto"/>
          <w:highlight w:val="none"/>
        </w:rPr>
        <w:t>3</w:t>
      </w:r>
      <w:r>
        <w:rPr>
          <w:rFonts w:hint="eastAsia" w:hAnsi="宋体" w:cs="宋体"/>
          <w:color w:val="auto"/>
          <w:highlight w:val="none"/>
          <w:lang w:val="en-US" w:eastAsia="zh-CN"/>
        </w:rPr>
        <w:t>3</w:t>
      </w:r>
      <w:r>
        <w:rPr>
          <w:rFonts w:hint="eastAsia" w:hAnsi="宋体" w:cs="宋体"/>
          <w:color w:val="auto"/>
          <w:highlight w:val="none"/>
        </w:rPr>
        <w:t>.1 采购代理费由成交供应商支付。</w:t>
      </w:r>
      <w:r>
        <w:rPr>
          <w:rFonts w:hint="eastAsia" w:hAnsi="宋体" w:cs="宋体"/>
          <w:color w:val="auto"/>
          <w:highlight w:val="none"/>
          <w:lang w:val="en-US" w:eastAsia="zh-CN"/>
        </w:rPr>
        <w:t>具体详见“供应商须知及前附表”。</w:t>
      </w:r>
    </w:p>
    <w:p w14:paraId="5BE8C044">
      <w:pPr>
        <w:pStyle w:val="21"/>
        <w:adjustRightInd w:val="0"/>
        <w:snapToGrid w:val="0"/>
        <w:spacing w:line="440" w:lineRule="exact"/>
        <w:ind w:firstLine="422" w:firstLineChars="200"/>
        <w:rPr>
          <w:rFonts w:hAnsi="宋体" w:cs="宋体"/>
          <w:b/>
          <w:color w:val="auto"/>
          <w:highlight w:val="none"/>
        </w:rPr>
      </w:pPr>
      <w:r>
        <w:rPr>
          <w:rFonts w:hint="eastAsia" w:hAnsi="宋体" w:cs="宋体"/>
          <w:b/>
          <w:color w:val="auto"/>
          <w:highlight w:val="none"/>
        </w:rPr>
        <w:t>3</w:t>
      </w:r>
      <w:r>
        <w:rPr>
          <w:rFonts w:hint="eastAsia" w:hAnsi="宋体" w:cs="宋体"/>
          <w:b/>
          <w:color w:val="auto"/>
          <w:highlight w:val="none"/>
          <w:lang w:val="en-US" w:eastAsia="zh-CN"/>
        </w:rPr>
        <w:t>4</w:t>
      </w:r>
      <w:r>
        <w:rPr>
          <w:rFonts w:hint="eastAsia" w:hAnsi="宋体" w:cs="宋体"/>
          <w:b/>
          <w:color w:val="auto"/>
          <w:highlight w:val="none"/>
        </w:rPr>
        <w:t>. 解释权</w:t>
      </w:r>
    </w:p>
    <w:p w14:paraId="0850B484">
      <w:pPr>
        <w:pStyle w:val="21"/>
        <w:spacing w:line="440" w:lineRule="exact"/>
        <w:ind w:left="97" w:leftChars="46" w:firstLine="323" w:firstLineChars="154"/>
        <w:rPr>
          <w:rFonts w:hAnsi="宋体" w:cs="宋体"/>
          <w:b/>
          <w:color w:val="auto"/>
          <w:highlight w:val="none"/>
        </w:rPr>
      </w:pPr>
      <w:r>
        <w:rPr>
          <w:rFonts w:hint="eastAsia" w:hAnsi="宋体" w:cs="宋体"/>
          <w:color w:val="auto"/>
          <w:highlight w:val="none"/>
        </w:rPr>
        <w:t>本竞争性磋商文件是根据根据</w:t>
      </w:r>
      <w:r>
        <w:rPr>
          <w:rFonts w:hint="eastAsia" w:hAnsi="宋体" w:cs="宋体"/>
          <w:color w:val="auto"/>
          <w:szCs w:val="21"/>
          <w:highlight w:val="none"/>
        </w:rPr>
        <w:t>《中华人民共和国政府采购法》、《中华人民共和国政府采购法实施条例》、《政府采购竞争性磋商采购方式管理暂行办法》</w:t>
      </w:r>
      <w:r>
        <w:rPr>
          <w:rFonts w:hint="eastAsia" w:hAnsi="宋体" w:cs="宋体"/>
          <w:color w:val="auto"/>
          <w:kern w:val="0"/>
          <w:szCs w:val="21"/>
          <w:highlight w:val="none"/>
        </w:rPr>
        <w:t>等</w:t>
      </w:r>
      <w:r>
        <w:rPr>
          <w:rFonts w:hint="eastAsia" w:hAnsi="宋体" w:cs="宋体"/>
          <w:color w:val="auto"/>
          <w:highlight w:val="none"/>
        </w:rPr>
        <w:t>相关法律法规编制，解释权属本采购代理机构。</w:t>
      </w:r>
    </w:p>
    <w:p w14:paraId="69E11F3F">
      <w:pPr>
        <w:rPr>
          <w:rFonts w:ascii="宋体" w:hAnsi="宋体" w:cs="宋体"/>
          <w:color w:val="auto"/>
          <w:highlight w:val="none"/>
        </w:rPr>
        <w:sectPr>
          <w:headerReference r:id="rId5" w:type="default"/>
          <w:footerReference r:id="rId6" w:type="default"/>
          <w:footerReference r:id="rId7" w:type="even"/>
          <w:pgSz w:w="11910" w:h="16850"/>
          <w:pgMar w:top="1480" w:right="1315" w:bottom="1040" w:left="1332" w:header="876" w:footer="853" w:gutter="0"/>
          <w:pgNumType w:start="1"/>
          <w:cols w:space="720" w:num="1"/>
        </w:sectPr>
      </w:pPr>
    </w:p>
    <w:bookmarkEnd w:id="273"/>
    <w:bookmarkEnd w:id="274"/>
    <w:bookmarkEnd w:id="275"/>
    <w:bookmarkEnd w:id="276"/>
    <w:p w14:paraId="70B96A4A">
      <w:pPr>
        <w:pStyle w:val="3"/>
        <w:spacing w:line="500" w:lineRule="exact"/>
        <w:ind w:firstLine="2891" w:firstLineChars="900"/>
        <w:jc w:val="both"/>
        <w:rPr>
          <w:rFonts w:ascii="宋体" w:hAnsi="宋体" w:eastAsia="宋体" w:cs="宋体"/>
          <w:color w:val="auto"/>
          <w:highlight w:val="none"/>
        </w:rPr>
      </w:pPr>
      <w:bookmarkStart w:id="290" w:name="_bookmark158"/>
      <w:bookmarkEnd w:id="290"/>
      <w:bookmarkStart w:id="291" w:name="_Toc14850"/>
      <w:r>
        <w:rPr>
          <w:rFonts w:hint="eastAsia" w:ascii="宋体" w:hAnsi="宋体" w:eastAsia="宋体" w:cs="宋体"/>
          <w:b/>
          <w:color w:val="auto"/>
          <w:kern w:val="0"/>
          <w:szCs w:val="32"/>
          <w:highlight w:val="none"/>
        </w:rPr>
        <w:t>第二章 合同条款及格式</w:t>
      </w:r>
      <w:bookmarkEnd w:id="291"/>
      <w:bookmarkStart w:id="292" w:name="_Toc256405206"/>
      <w:bookmarkStart w:id="293" w:name="_Toc251265781"/>
      <w:bookmarkStart w:id="294" w:name="_Toc199256173"/>
      <w:bookmarkStart w:id="295" w:name="_Toc509932933"/>
      <w:bookmarkStart w:id="296" w:name="_Toc169249207"/>
      <w:bookmarkStart w:id="297" w:name="_Toc509933260"/>
      <w:bookmarkStart w:id="298" w:name="_Toc369725979"/>
      <w:bookmarkStart w:id="299" w:name="_Toc92103653"/>
      <w:bookmarkStart w:id="300" w:name="_Toc498596674"/>
    </w:p>
    <w:bookmarkEnd w:id="292"/>
    <w:bookmarkEnd w:id="293"/>
    <w:bookmarkEnd w:id="294"/>
    <w:bookmarkEnd w:id="295"/>
    <w:bookmarkEnd w:id="296"/>
    <w:bookmarkEnd w:id="297"/>
    <w:bookmarkEnd w:id="298"/>
    <w:bookmarkEnd w:id="299"/>
    <w:bookmarkEnd w:id="300"/>
    <w:p w14:paraId="1ECAC18B">
      <w:pPr>
        <w:spacing w:line="360" w:lineRule="auto"/>
        <w:ind w:firstLine="422" w:firstLineChars="200"/>
        <w:jc w:val="center"/>
        <w:rPr>
          <w:rFonts w:ascii="宋体" w:hAnsi="宋体" w:cs="宋体"/>
          <w:b/>
          <w:color w:val="auto"/>
          <w:kern w:val="0"/>
          <w:szCs w:val="21"/>
          <w:highlight w:val="none"/>
        </w:rPr>
      </w:pPr>
      <w:bookmarkStart w:id="301" w:name="_Toc85085500"/>
      <w:bookmarkStart w:id="302" w:name="_Toc55206492"/>
      <w:bookmarkStart w:id="303" w:name="_Toc514238627"/>
      <w:bookmarkStart w:id="304" w:name="_Toc75923257"/>
      <w:r>
        <w:rPr>
          <w:rFonts w:hint="eastAsia" w:ascii="宋体" w:hAnsi="宋体" w:cs="宋体"/>
          <w:b/>
          <w:color w:val="auto"/>
          <w:kern w:val="0"/>
          <w:szCs w:val="21"/>
          <w:highlight w:val="none"/>
        </w:rPr>
        <w:t>采用《建设工程施工合同（示范文本）》（GF—2017—0201）。</w:t>
      </w:r>
    </w:p>
    <w:p w14:paraId="2711D1B9">
      <w:pPr>
        <w:pStyle w:val="4"/>
        <w:keepNext w:val="0"/>
        <w:keepLines w:val="0"/>
        <w:snapToGrid w:val="0"/>
        <w:spacing w:line="340" w:lineRule="exact"/>
        <w:jc w:val="center"/>
        <w:rPr>
          <w:rFonts w:ascii="宋体" w:hAnsi="宋体" w:eastAsia="宋体" w:cs="宋体"/>
          <w:color w:val="auto"/>
          <w:sz w:val="28"/>
          <w:szCs w:val="28"/>
          <w:highlight w:val="none"/>
        </w:rPr>
      </w:pPr>
      <w:r>
        <w:rPr>
          <w:rFonts w:hint="eastAsia" w:ascii="宋体" w:hAnsi="宋体" w:eastAsia="宋体" w:cs="宋体"/>
          <w:color w:val="auto"/>
          <w:sz w:val="30"/>
          <w:szCs w:val="30"/>
          <w:highlight w:val="none"/>
        </w:rPr>
        <w:br w:type="page"/>
      </w:r>
      <w:bookmarkStart w:id="305" w:name="_Toc75182689"/>
      <w:bookmarkStart w:id="306" w:name="_Toc515488135"/>
      <w:bookmarkStart w:id="307" w:name="_Toc24264"/>
      <w:r>
        <w:rPr>
          <w:rFonts w:hint="eastAsia" w:ascii="宋体" w:hAnsi="宋体" w:eastAsia="宋体" w:cs="宋体"/>
          <w:color w:val="auto"/>
          <w:sz w:val="28"/>
          <w:szCs w:val="28"/>
          <w:highlight w:val="none"/>
        </w:rPr>
        <w:t>第一部分  合同协议书</w:t>
      </w:r>
      <w:bookmarkEnd w:id="305"/>
      <w:bookmarkEnd w:id="306"/>
      <w:bookmarkEnd w:id="307"/>
    </w:p>
    <w:p w14:paraId="77FCA251">
      <w:pPr>
        <w:pStyle w:val="4"/>
        <w:keepNext w:val="0"/>
        <w:keepLines w:val="0"/>
        <w:snapToGrid w:val="0"/>
        <w:spacing w:line="3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308" w:name="_Toc29831"/>
      <w:r>
        <w:rPr>
          <w:rFonts w:hint="eastAsia" w:ascii="宋体" w:hAnsi="宋体" w:eastAsia="宋体" w:cs="宋体"/>
          <w:color w:val="auto"/>
          <w:sz w:val="21"/>
          <w:szCs w:val="21"/>
          <w:highlight w:val="none"/>
        </w:rPr>
        <w:t>合同协议书</w:t>
      </w:r>
      <w:bookmarkEnd w:id="308"/>
    </w:p>
    <w:p w14:paraId="0ED27115">
      <w:pPr>
        <w:pStyle w:val="91"/>
        <w:spacing w:line="440" w:lineRule="exact"/>
        <w:rPr>
          <w:rFonts w:ascii="宋体" w:hAnsi="宋体" w:cs="宋体"/>
          <w:b/>
          <w:color w:val="auto"/>
          <w:szCs w:val="21"/>
          <w:highlight w:val="none"/>
          <w:u w:val="single"/>
        </w:rPr>
      </w:pPr>
      <w:r>
        <w:rPr>
          <w:rFonts w:hint="eastAsia" w:ascii="宋体" w:hAnsi="宋体" w:cs="宋体"/>
          <w:b/>
          <w:color w:val="auto"/>
          <w:szCs w:val="21"/>
          <w:highlight w:val="none"/>
        </w:rPr>
        <w:t>发包人（全称）：</w:t>
      </w:r>
      <w:r>
        <w:rPr>
          <w:rFonts w:hint="eastAsia" w:ascii="宋体" w:hAnsi="宋体" w:cs="宋体"/>
          <w:b/>
          <w:color w:val="auto"/>
          <w:szCs w:val="21"/>
          <w:highlight w:val="none"/>
          <w:u w:val="single"/>
        </w:rPr>
        <w:t>                       </w:t>
      </w:r>
    </w:p>
    <w:p w14:paraId="70D1819A">
      <w:pPr>
        <w:pStyle w:val="91"/>
        <w:spacing w:line="440" w:lineRule="exact"/>
        <w:rPr>
          <w:rFonts w:ascii="宋体" w:hAnsi="宋体" w:cs="宋体"/>
          <w:b/>
          <w:color w:val="auto"/>
          <w:szCs w:val="21"/>
          <w:highlight w:val="none"/>
          <w:u w:val="single"/>
        </w:rPr>
      </w:pPr>
      <w:r>
        <w:rPr>
          <w:rFonts w:hint="eastAsia" w:ascii="宋体" w:hAnsi="宋体" w:cs="宋体"/>
          <w:b/>
          <w:color w:val="auto"/>
          <w:szCs w:val="21"/>
          <w:highlight w:val="none"/>
        </w:rPr>
        <w:t>承包人（全称）：</w:t>
      </w:r>
      <w:r>
        <w:rPr>
          <w:rFonts w:hint="eastAsia" w:ascii="宋体" w:hAnsi="宋体" w:cs="宋体"/>
          <w:b/>
          <w:color w:val="auto"/>
          <w:szCs w:val="21"/>
          <w:highlight w:val="none"/>
          <w:u w:val="single"/>
        </w:rPr>
        <w:t>                      </w:t>
      </w:r>
    </w:p>
    <w:p w14:paraId="1314ED15">
      <w:pPr>
        <w:pStyle w:val="9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根据《中华人民共和国民法典》、《中华人民共和国建筑法》及有关法律规定，遵循平等、自愿、公平和诚实信用的原则，双方就工程施工及有关事项协商一致，共同达成如下协议：</w:t>
      </w:r>
    </w:p>
    <w:p w14:paraId="06C31C97">
      <w:pPr>
        <w:pStyle w:val="143"/>
        <w:spacing w:line="440" w:lineRule="exact"/>
        <w:rPr>
          <w:rFonts w:ascii="宋体" w:hAnsi="宋体" w:cs="宋体"/>
          <w:bCs w:val="0"/>
          <w:color w:val="auto"/>
          <w:sz w:val="21"/>
          <w:szCs w:val="21"/>
          <w:highlight w:val="none"/>
        </w:rPr>
      </w:pPr>
      <w:bookmarkStart w:id="309" w:name="_Toc351203481"/>
      <w:r>
        <w:rPr>
          <w:rFonts w:hint="eastAsia" w:ascii="宋体" w:hAnsi="宋体" w:cs="宋体"/>
          <w:b w:val="0"/>
          <w:color w:val="auto"/>
          <w:sz w:val="21"/>
          <w:szCs w:val="21"/>
          <w:highlight w:val="none"/>
        </w:rPr>
        <w:t>一、工程概况</w:t>
      </w:r>
      <w:bookmarkEnd w:id="309"/>
    </w:p>
    <w:p w14:paraId="61188283">
      <w:pPr>
        <w:pStyle w:val="91"/>
        <w:spacing w:line="440" w:lineRule="exact"/>
        <w:ind w:firstLine="420" w:firstLineChars="200"/>
        <w:rPr>
          <w:rFonts w:ascii="宋体" w:hAnsi="宋体" w:cs="宋体"/>
          <w:color w:val="auto"/>
          <w:szCs w:val="21"/>
          <w:highlight w:val="none"/>
          <w:u w:val="single"/>
        </w:rPr>
      </w:pPr>
      <w:r>
        <w:rPr>
          <w:rFonts w:hint="eastAsia" w:ascii="宋体" w:hAnsi="宋体" w:cs="宋体"/>
          <w:bCs/>
          <w:color w:val="auto"/>
          <w:szCs w:val="21"/>
          <w:highlight w:val="none"/>
        </w:rPr>
        <w:t>1.工程名称：</w:t>
      </w:r>
      <w:r>
        <w:rPr>
          <w:rFonts w:hint="eastAsia" w:ascii="宋体" w:hAnsi="宋体" w:cs="宋体"/>
          <w:bCs/>
          <w:color w:val="auto"/>
          <w:szCs w:val="21"/>
          <w:highlight w:val="none"/>
          <w:u w:val="single"/>
          <w:lang w:eastAsia="zh-CN"/>
        </w:rPr>
        <w:t>贵港市覃塘区东龙镇高龙小学附设园保教楼项目</w:t>
      </w:r>
      <w:r>
        <w:rPr>
          <w:rFonts w:hint="eastAsia" w:ascii="宋体" w:hAnsi="宋体" w:cs="宋体"/>
          <w:bCs/>
          <w:color w:val="auto"/>
          <w:szCs w:val="21"/>
          <w:highlight w:val="none"/>
        </w:rPr>
        <w:t>。</w:t>
      </w:r>
    </w:p>
    <w:p w14:paraId="6572E263">
      <w:pPr>
        <w:pStyle w:val="91"/>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2.工程地点：</w:t>
      </w:r>
      <w:r>
        <w:rPr>
          <w:rFonts w:hint="eastAsia" w:ascii="宋体" w:hAnsi="宋体" w:cs="宋体"/>
          <w:bCs/>
          <w:color w:val="auto"/>
          <w:szCs w:val="21"/>
          <w:highlight w:val="none"/>
          <w:u w:val="single"/>
          <w:lang w:eastAsia="zh-CN"/>
        </w:rPr>
        <w:t>贵港市覃塘区东龙镇高龙小学</w:t>
      </w:r>
      <w:r>
        <w:rPr>
          <w:rFonts w:hint="eastAsia" w:ascii="宋体" w:hAnsi="宋体" w:cs="宋体"/>
          <w:bCs/>
          <w:color w:val="auto"/>
          <w:szCs w:val="21"/>
          <w:highlight w:val="none"/>
          <w:u w:val="single"/>
          <w:lang w:val="en-US" w:eastAsia="zh-CN"/>
        </w:rPr>
        <w:t>校园内</w:t>
      </w:r>
      <w:r>
        <w:rPr>
          <w:rFonts w:hint="eastAsia" w:ascii="宋体" w:hAnsi="宋体" w:cs="宋体"/>
          <w:color w:val="auto"/>
          <w:szCs w:val="21"/>
          <w:highlight w:val="none"/>
        </w:rPr>
        <w:t>。</w:t>
      </w:r>
    </w:p>
    <w:p w14:paraId="053444E3">
      <w:pPr>
        <w:pStyle w:val="91"/>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3.工程立项批准文号：</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rPr>
        <w:t>。</w:t>
      </w:r>
    </w:p>
    <w:p w14:paraId="020645CD">
      <w:pPr>
        <w:pStyle w:val="91"/>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4.资金来源：</w:t>
      </w:r>
      <w:r>
        <w:rPr>
          <w:rFonts w:hint="eastAsia" w:ascii="宋体" w:hAnsi="宋体" w:cs="宋体"/>
          <w:color w:val="auto"/>
          <w:szCs w:val="21"/>
          <w:highlight w:val="none"/>
          <w:u w:val="single"/>
          <w:lang w:val="en-US" w:eastAsia="zh-CN"/>
        </w:rPr>
        <w:t>中央资金</w:t>
      </w:r>
      <w:r>
        <w:rPr>
          <w:rFonts w:hint="eastAsia" w:ascii="宋体" w:hAnsi="宋体" w:cs="宋体"/>
          <w:bCs/>
          <w:color w:val="auto"/>
          <w:szCs w:val="21"/>
          <w:highlight w:val="none"/>
        </w:rPr>
        <w:t>。</w:t>
      </w:r>
    </w:p>
    <w:p w14:paraId="18CE6A2E">
      <w:pPr>
        <w:shd w:val="clear" w:color="auto" w:fill="auto"/>
        <w:autoSpaceDE w:val="0"/>
        <w:autoSpaceDN w:val="0"/>
        <w:spacing w:line="400" w:lineRule="exact"/>
        <w:ind w:firstLine="420" w:firstLineChars="200"/>
        <w:jc w:val="left"/>
        <w:rPr>
          <w:rFonts w:hint="eastAsia" w:ascii="宋体" w:hAnsi="宋体" w:cs="宋体"/>
          <w:color w:val="auto"/>
          <w:szCs w:val="21"/>
          <w:highlight w:val="none"/>
          <w:u w:val="single"/>
        </w:rPr>
      </w:pPr>
      <w:bookmarkStart w:id="310" w:name="_Toc351203482"/>
      <w:r>
        <w:rPr>
          <w:rFonts w:hint="eastAsia" w:ascii="宋体" w:hAnsi="宋体" w:cs="宋体"/>
          <w:color w:val="auto"/>
          <w:szCs w:val="21"/>
          <w:highlight w:val="none"/>
        </w:rPr>
        <w:t>5.工程内容：</w:t>
      </w:r>
      <w:r>
        <w:rPr>
          <w:rFonts w:hint="eastAsia" w:ascii="宋体" w:eastAsia="宋体"/>
          <w:color w:val="auto"/>
          <w:highlight w:val="none"/>
        </w:rPr>
        <w:t>本工程为贵港市覃塘区东龙镇高龙小学附设园保教楼项目，框架结构，总建筑面积为1201.08㎡。内容包括：建筑装饰、安装及防雷工程，室外总平给排水工程等。</w:t>
      </w:r>
    </w:p>
    <w:p w14:paraId="4BA0DFEF">
      <w:pPr>
        <w:shd w:val="clear" w:color="auto" w:fill="auto"/>
        <w:spacing w:line="400" w:lineRule="exact"/>
        <w:ind w:firstLine="420" w:firstLineChars="200"/>
        <w:jc w:val="left"/>
        <w:rPr>
          <w:rFonts w:hint="eastAsia" w:ascii="宋体" w:hAnsi="宋体" w:cs="宋体"/>
          <w:b w:val="0"/>
          <w:color w:val="auto"/>
          <w:sz w:val="21"/>
          <w:szCs w:val="21"/>
          <w:highlight w:val="none"/>
        </w:rPr>
      </w:pPr>
      <w:r>
        <w:rPr>
          <w:rFonts w:hint="eastAsia" w:ascii="宋体" w:hAnsi="宋体" w:cs="宋体"/>
          <w:color w:val="auto"/>
          <w:szCs w:val="21"/>
          <w:highlight w:val="none"/>
        </w:rPr>
        <w:t>6.工程承包范围：</w:t>
      </w:r>
      <w:r>
        <w:rPr>
          <w:rFonts w:hint="eastAsia" w:ascii="宋体" w:hAnsi="宋体" w:cs="宋体"/>
          <w:color w:val="auto"/>
          <w:szCs w:val="21"/>
          <w:highlight w:val="none"/>
          <w:u w:val="single"/>
        </w:rPr>
        <w:t>具体施工内容详见图纸及工程量清单</w:t>
      </w:r>
      <w:r>
        <w:rPr>
          <w:rFonts w:hint="eastAsia" w:ascii="宋体" w:hAnsi="宋体" w:cs="宋体"/>
          <w:color w:val="auto"/>
          <w:szCs w:val="21"/>
          <w:highlight w:val="none"/>
          <w:u w:val="none"/>
        </w:rPr>
        <w:t>。</w:t>
      </w:r>
    </w:p>
    <w:p w14:paraId="2377CACC">
      <w:pPr>
        <w:pStyle w:val="143"/>
        <w:spacing w:line="44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二、合同工期</w:t>
      </w:r>
      <w:bookmarkEnd w:id="310"/>
    </w:p>
    <w:p w14:paraId="2AA4E830">
      <w:pPr>
        <w:pStyle w:val="91"/>
        <w:spacing w:line="440" w:lineRule="exact"/>
        <w:ind w:firstLine="459"/>
        <w:rPr>
          <w:rFonts w:hint="eastAsia" w:ascii="宋体" w:hAnsi="宋体" w:cs="宋体"/>
          <w:color w:val="auto"/>
          <w:szCs w:val="21"/>
          <w:highlight w:val="none"/>
        </w:rPr>
      </w:pPr>
      <w:r>
        <w:rPr>
          <w:rFonts w:hint="eastAsia" w:ascii="宋体" w:hAnsi="宋体" w:cs="宋体"/>
          <w:color w:val="auto"/>
          <w:szCs w:val="21"/>
          <w:highlight w:val="none"/>
        </w:rPr>
        <w:t>计划开工日期：</w:t>
      </w:r>
      <w:r>
        <w:rPr>
          <w:rFonts w:hint="eastAsia" w:ascii="宋体" w:hAnsi="宋体" w:cs="宋体"/>
          <w:color w:val="auto"/>
          <w:szCs w:val="21"/>
          <w:highlight w:val="none"/>
          <w:u w:val="single"/>
        </w:rPr>
        <w:t></w:t>
      </w:r>
      <w:r>
        <w:rPr>
          <w:rFonts w:hint="eastAsia" w:ascii="宋体" w:hAnsi="宋体" w:cs="宋体"/>
          <w:color w:val="auto"/>
          <w:szCs w:val="21"/>
          <w:highlight w:val="none"/>
        </w:rPr>
        <w:t>年</w:t>
      </w:r>
      <w:r>
        <w:rPr>
          <w:rFonts w:hint="eastAsia" w:ascii="宋体" w:hAnsi="宋体" w:cs="宋体"/>
          <w:color w:val="auto"/>
          <w:szCs w:val="21"/>
          <w:highlight w:val="none"/>
          <w:u w:val="single"/>
        </w:rPr>
        <w:t></w:t>
      </w:r>
      <w:r>
        <w:rPr>
          <w:rFonts w:hint="eastAsia" w:ascii="宋体" w:hAnsi="宋体" w:cs="宋体"/>
          <w:color w:val="auto"/>
          <w:szCs w:val="21"/>
          <w:highlight w:val="none"/>
        </w:rPr>
        <w:t>月</w:t>
      </w:r>
      <w:r>
        <w:rPr>
          <w:rFonts w:hint="eastAsia" w:ascii="宋体" w:hAnsi="宋体" w:cs="宋体"/>
          <w:color w:val="auto"/>
          <w:szCs w:val="21"/>
          <w:highlight w:val="none"/>
          <w:u w:val="single"/>
        </w:rPr>
        <w:t></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。（具体以发包人书面通知为准）</w:t>
      </w:r>
    </w:p>
    <w:p w14:paraId="57ADC890">
      <w:pPr>
        <w:pStyle w:val="91"/>
        <w:spacing w:line="440" w:lineRule="exact"/>
        <w:ind w:firstLine="459"/>
        <w:rPr>
          <w:rFonts w:ascii="宋体" w:hAnsi="宋体" w:cs="宋体"/>
          <w:color w:val="auto"/>
          <w:szCs w:val="21"/>
          <w:highlight w:val="none"/>
        </w:rPr>
      </w:pPr>
      <w:r>
        <w:rPr>
          <w:rFonts w:hint="eastAsia" w:ascii="宋体" w:hAnsi="宋体" w:cs="宋体"/>
          <w:color w:val="auto"/>
          <w:szCs w:val="21"/>
          <w:highlight w:val="none"/>
        </w:rPr>
        <w:t>计划竣工日期：</w:t>
      </w:r>
      <w:r>
        <w:rPr>
          <w:rFonts w:hint="eastAsia" w:ascii="宋体" w:hAnsi="宋体" w:cs="宋体"/>
          <w:color w:val="auto"/>
          <w:szCs w:val="21"/>
          <w:highlight w:val="none"/>
          <w:u w:val="single"/>
        </w:rPr>
        <w:t></w:t>
      </w:r>
      <w:r>
        <w:rPr>
          <w:rFonts w:hint="eastAsia" w:ascii="宋体" w:hAnsi="宋体" w:cs="宋体"/>
          <w:color w:val="auto"/>
          <w:szCs w:val="21"/>
          <w:highlight w:val="none"/>
        </w:rPr>
        <w:t>年</w:t>
      </w:r>
      <w:r>
        <w:rPr>
          <w:rFonts w:hint="eastAsia" w:ascii="宋体" w:hAnsi="宋体" w:cs="宋体"/>
          <w:color w:val="auto"/>
          <w:szCs w:val="21"/>
          <w:highlight w:val="none"/>
          <w:u w:val="single"/>
        </w:rPr>
        <w:t></w:t>
      </w:r>
      <w:r>
        <w:rPr>
          <w:rFonts w:hint="eastAsia" w:ascii="宋体" w:hAnsi="宋体" w:cs="宋体"/>
          <w:color w:val="auto"/>
          <w:szCs w:val="21"/>
          <w:highlight w:val="none"/>
        </w:rPr>
        <w:t>月</w:t>
      </w:r>
      <w:r>
        <w:rPr>
          <w:rFonts w:hint="eastAsia" w:ascii="宋体" w:hAnsi="宋体" w:cs="宋体"/>
          <w:color w:val="auto"/>
          <w:szCs w:val="21"/>
          <w:highlight w:val="none"/>
          <w:u w:val="single"/>
        </w:rPr>
        <w:t></w:t>
      </w:r>
      <w:r>
        <w:rPr>
          <w:rFonts w:hint="eastAsia" w:ascii="宋体" w:hAnsi="宋体" w:cs="宋体"/>
          <w:color w:val="auto"/>
          <w:szCs w:val="21"/>
          <w:highlight w:val="none"/>
        </w:rPr>
        <w:t>日。</w:t>
      </w:r>
    </w:p>
    <w:p w14:paraId="06E1B7E0">
      <w:pPr>
        <w:pStyle w:val="91"/>
        <w:spacing w:line="440" w:lineRule="exact"/>
        <w:ind w:firstLine="459"/>
        <w:rPr>
          <w:rFonts w:ascii="宋体" w:hAnsi="宋体" w:cs="宋体"/>
          <w:color w:val="auto"/>
          <w:szCs w:val="21"/>
          <w:highlight w:val="none"/>
        </w:rPr>
      </w:pPr>
      <w:r>
        <w:rPr>
          <w:rFonts w:hint="eastAsia" w:ascii="宋体" w:hAnsi="宋体" w:cs="宋体"/>
          <w:color w:val="auto"/>
          <w:szCs w:val="21"/>
          <w:highlight w:val="none"/>
        </w:rPr>
        <w:t>工期总日历天数：</w:t>
      </w:r>
      <w:r>
        <w:rPr>
          <w:rFonts w:hint="eastAsia" w:ascii="宋体" w:hAnsi="宋体" w:cs="宋体"/>
          <w:color w:val="auto"/>
          <w:szCs w:val="21"/>
          <w:highlight w:val="none"/>
          <w:u w:val="single"/>
        </w:rPr>
        <w:t></w:t>
      </w:r>
      <w:r>
        <w:rPr>
          <w:rFonts w:hint="eastAsia" w:ascii="宋体" w:hAnsi="宋体" w:cs="宋体"/>
          <w:color w:val="auto"/>
          <w:szCs w:val="21"/>
          <w:highlight w:val="none"/>
        </w:rPr>
        <w:t>天。工期总日历天数与根据前述计划开竣工日期计算的工期天数不一致的，以工期总日历天数为准。</w:t>
      </w:r>
    </w:p>
    <w:p w14:paraId="1CEA31B1">
      <w:pPr>
        <w:pStyle w:val="143"/>
        <w:spacing w:line="440" w:lineRule="exact"/>
        <w:rPr>
          <w:rFonts w:ascii="宋体" w:hAnsi="宋体" w:cs="宋体"/>
          <w:bCs w:val="0"/>
          <w:color w:val="auto"/>
          <w:sz w:val="21"/>
          <w:szCs w:val="21"/>
          <w:highlight w:val="none"/>
        </w:rPr>
      </w:pPr>
      <w:bookmarkStart w:id="311" w:name="_Toc351203483"/>
      <w:r>
        <w:rPr>
          <w:rFonts w:hint="eastAsia" w:ascii="宋体" w:hAnsi="宋体" w:cs="宋体"/>
          <w:b w:val="0"/>
          <w:color w:val="auto"/>
          <w:sz w:val="21"/>
          <w:szCs w:val="21"/>
          <w:highlight w:val="none"/>
        </w:rPr>
        <w:t>三、质量标准</w:t>
      </w:r>
      <w:bookmarkEnd w:id="311"/>
    </w:p>
    <w:p w14:paraId="4ED125ED">
      <w:pPr>
        <w:pStyle w:val="91"/>
        <w:spacing w:line="440" w:lineRule="exact"/>
        <w:ind w:firstLine="459"/>
        <w:rPr>
          <w:rFonts w:ascii="宋体" w:hAnsi="宋体" w:cs="宋体"/>
          <w:color w:val="auto"/>
          <w:szCs w:val="21"/>
          <w:highlight w:val="none"/>
        </w:rPr>
      </w:pPr>
      <w:r>
        <w:rPr>
          <w:rFonts w:hint="eastAsia" w:ascii="宋体" w:hAnsi="宋体" w:cs="宋体"/>
          <w:color w:val="auto"/>
          <w:szCs w:val="21"/>
          <w:highlight w:val="none"/>
        </w:rPr>
        <w:t>工程质量符合</w:t>
      </w:r>
      <w:r>
        <w:rPr>
          <w:rFonts w:hint="eastAsia" w:ascii="宋体" w:hAnsi="宋体" w:cs="宋体"/>
          <w:color w:val="auto"/>
          <w:szCs w:val="21"/>
          <w:highlight w:val="none"/>
          <w:u w:val="single"/>
          <w:lang w:val="en-US" w:eastAsia="zh-CN"/>
        </w:rPr>
        <w:t xml:space="preserve">达到国家施工质量验收规范合格 </w:t>
      </w:r>
      <w:r>
        <w:rPr>
          <w:rFonts w:hint="eastAsia" w:ascii="宋体" w:hAnsi="宋体" w:cs="宋体"/>
          <w:color w:val="auto"/>
          <w:szCs w:val="21"/>
          <w:highlight w:val="none"/>
        </w:rPr>
        <w:t>标准。</w:t>
      </w:r>
    </w:p>
    <w:p w14:paraId="1A548227">
      <w:pPr>
        <w:pStyle w:val="143"/>
        <w:spacing w:line="440" w:lineRule="exact"/>
        <w:rPr>
          <w:rFonts w:ascii="宋体" w:hAnsi="宋体" w:cs="宋体"/>
          <w:bCs w:val="0"/>
          <w:color w:val="auto"/>
          <w:sz w:val="21"/>
          <w:szCs w:val="21"/>
          <w:highlight w:val="none"/>
        </w:rPr>
      </w:pPr>
      <w:bookmarkStart w:id="312" w:name="_Toc351203484"/>
      <w:r>
        <w:rPr>
          <w:rFonts w:hint="eastAsia" w:ascii="宋体" w:hAnsi="宋体" w:cs="宋体"/>
          <w:b w:val="0"/>
          <w:color w:val="auto"/>
          <w:sz w:val="21"/>
          <w:szCs w:val="21"/>
          <w:highlight w:val="none"/>
        </w:rPr>
        <w:t>四、签约合同价与合同价格形式</w:t>
      </w:r>
      <w:bookmarkEnd w:id="312"/>
      <w:r>
        <w:rPr>
          <w:rFonts w:hint="eastAsia" w:ascii="宋体" w:hAnsi="宋体" w:cs="宋体"/>
          <w:b w:val="0"/>
          <w:color w:val="auto"/>
          <w:sz w:val="21"/>
          <w:szCs w:val="21"/>
          <w:highlight w:val="none"/>
        </w:rPr>
        <w:tab/>
      </w:r>
    </w:p>
    <w:p w14:paraId="509796F5">
      <w:pPr>
        <w:pStyle w:val="9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1.签约合同价为：</w:t>
      </w:r>
    </w:p>
    <w:p w14:paraId="2C86CE5E">
      <w:pPr>
        <w:pStyle w:val="91"/>
        <w:spacing w:line="44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bCs/>
          <w:color w:val="auto"/>
          <w:szCs w:val="21"/>
          <w:highlight w:val="none"/>
          <w:u w:val="single"/>
          <w:lang w:val="en-US" w:eastAsia="zh-CN"/>
        </w:rPr>
        <w:t xml:space="preserve">                 </w:t>
      </w:r>
      <w:r>
        <w:rPr>
          <w:rFonts w:hint="eastAsia" w:ascii="宋体" w:hAnsi="宋体" w:cs="宋体"/>
          <w:color w:val="auto"/>
          <w:szCs w:val="21"/>
          <w:highlight w:val="none"/>
        </w:rPr>
        <w:t>(¥</w:t>
      </w:r>
      <w:r>
        <w:rPr>
          <w:rFonts w:hint="eastAsia" w:ascii="宋体" w:hAnsi="宋体" w:cs="宋体"/>
          <w:bCs/>
          <w:color w:val="auto"/>
          <w:szCs w:val="21"/>
          <w:highlight w:val="none"/>
          <w:u w:val="single"/>
          <w:lang w:val="en-US" w:eastAsia="zh-CN"/>
        </w:rPr>
        <w:t xml:space="preserve">         </w:t>
      </w:r>
      <w:r>
        <w:rPr>
          <w:rFonts w:hint="eastAsia" w:ascii="宋体" w:hAnsi="宋体" w:cs="宋体"/>
          <w:color w:val="auto"/>
          <w:szCs w:val="21"/>
          <w:highlight w:val="none"/>
        </w:rPr>
        <w:t>元)；；</w:t>
      </w:r>
    </w:p>
    <w:p w14:paraId="1ABAE6DD">
      <w:pPr>
        <w:pStyle w:val="9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其中：</w:t>
      </w:r>
    </w:p>
    <w:p w14:paraId="4A441551">
      <w:pPr>
        <w:pStyle w:val="9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（1）安全文明施工费：</w:t>
      </w:r>
    </w:p>
    <w:p w14:paraId="7ECA8053">
      <w:pPr>
        <w:pStyle w:val="91"/>
        <w:spacing w:line="440" w:lineRule="exact"/>
        <w:ind w:firstLine="945" w:firstLineChars="450"/>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bCs/>
          <w:color w:val="auto"/>
          <w:szCs w:val="21"/>
          <w:highlight w:val="none"/>
          <w:u w:val="single"/>
          <w:lang w:val="en-US" w:eastAsia="zh-CN"/>
        </w:rPr>
        <w:t xml:space="preserve">                 </w:t>
      </w:r>
      <w:r>
        <w:rPr>
          <w:rFonts w:hint="eastAsia" w:ascii="宋体" w:hAnsi="宋体" w:cs="宋体"/>
          <w:color w:val="auto"/>
          <w:szCs w:val="21"/>
          <w:highlight w:val="none"/>
        </w:rPr>
        <w:t>(¥</w:t>
      </w:r>
      <w:r>
        <w:rPr>
          <w:rFonts w:hint="eastAsia" w:ascii="宋体" w:hAnsi="宋体" w:cs="宋体"/>
          <w:bCs/>
          <w:color w:val="auto"/>
          <w:szCs w:val="21"/>
          <w:highlight w:val="none"/>
          <w:u w:val="single"/>
          <w:lang w:val="en-US" w:eastAsia="zh-CN"/>
        </w:rPr>
        <w:t xml:space="preserve">         </w:t>
      </w:r>
      <w:r>
        <w:rPr>
          <w:rFonts w:hint="eastAsia" w:ascii="宋体" w:hAnsi="宋体" w:cs="宋体"/>
          <w:color w:val="auto"/>
          <w:szCs w:val="21"/>
          <w:highlight w:val="none"/>
        </w:rPr>
        <w:t>元)；</w:t>
      </w:r>
    </w:p>
    <w:p w14:paraId="7B29F1E6">
      <w:pPr>
        <w:pStyle w:val="9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（2）材料和工程设备暂估价金额：</w:t>
      </w:r>
    </w:p>
    <w:p w14:paraId="4336BFC9">
      <w:pPr>
        <w:pStyle w:val="91"/>
        <w:spacing w:line="440" w:lineRule="exact"/>
        <w:ind w:firstLine="945" w:firstLineChars="450"/>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bCs/>
          <w:color w:val="auto"/>
          <w:szCs w:val="21"/>
          <w:highlight w:val="none"/>
          <w:u w:val="single"/>
          <w:lang w:val="en-US" w:eastAsia="zh-CN"/>
        </w:rPr>
        <w:t xml:space="preserve">                 </w:t>
      </w:r>
      <w:r>
        <w:rPr>
          <w:rFonts w:hint="eastAsia" w:ascii="宋体" w:hAnsi="宋体" w:cs="宋体"/>
          <w:color w:val="auto"/>
          <w:szCs w:val="21"/>
          <w:highlight w:val="none"/>
        </w:rPr>
        <w:t>(¥</w:t>
      </w:r>
      <w:r>
        <w:rPr>
          <w:rFonts w:hint="eastAsia" w:ascii="宋体" w:hAnsi="宋体" w:cs="宋体"/>
          <w:bCs/>
          <w:color w:val="auto"/>
          <w:szCs w:val="21"/>
          <w:highlight w:val="none"/>
          <w:u w:val="single"/>
          <w:lang w:val="en-US" w:eastAsia="zh-CN"/>
        </w:rPr>
        <w:t xml:space="preserve">         </w:t>
      </w:r>
      <w:r>
        <w:rPr>
          <w:rFonts w:hint="eastAsia" w:ascii="宋体" w:hAnsi="宋体" w:cs="宋体"/>
          <w:color w:val="auto"/>
          <w:szCs w:val="21"/>
          <w:highlight w:val="none"/>
        </w:rPr>
        <w:t>元)；</w:t>
      </w:r>
    </w:p>
    <w:p w14:paraId="28261185">
      <w:pPr>
        <w:pStyle w:val="9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（3）专业工程暂估价金额：</w:t>
      </w:r>
    </w:p>
    <w:p w14:paraId="0BEA4F2B">
      <w:pPr>
        <w:pStyle w:val="91"/>
        <w:spacing w:line="440" w:lineRule="exact"/>
        <w:ind w:firstLine="945" w:firstLineChars="450"/>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bCs/>
          <w:color w:val="auto"/>
          <w:szCs w:val="21"/>
          <w:highlight w:val="none"/>
          <w:u w:val="single"/>
          <w:lang w:val="en-US" w:eastAsia="zh-CN"/>
        </w:rPr>
        <w:t xml:space="preserve">                 </w:t>
      </w:r>
      <w:r>
        <w:rPr>
          <w:rFonts w:hint="eastAsia" w:ascii="宋体" w:hAnsi="宋体" w:cs="宋体"/>
          <w:color w:val="auto"/>
          <w:szCs w:val="21"/>
          <w:highlight w:val="none"/>
        </w:rPr>
        <w:t>(¥</w:t>
      </w:r>
      <w:r>
        <w:rPr>
          <w:rFonts w:hint="eastAsia" w:ascii="宋体" w:hAnsi="宋体" w:cs="宋体"/>
          <w:bCs/>
          <w:color w:val="auto"/>
          <w:szCs w:val="21"/>
          <w:highlight w:val="none"/>
          <w:u w:val="single"/>
          <w:lang w:val="en-US" w:eastAsia="zh-CN"/>
        </w:rPr>
        <w:t xml:space="preserve">         </w:t>
      </w:r>
      <w:r>
        <w:rPr>
          <w:rFonts w:hint="eastAsia" w:ascii="宋体" w:hAnsi="宋体" w:cs="宋体"/>
          <w:color w:val="auto"/>
          <w:szCs w:val="21"/>
          <w:highlight w:val="none"/>
        </w:rPr>
        <w:t>元)；；</w:t>
      </w:r>
    </w:p>
    <w:p w14:paraId="5854A22E">
      <w:pPr>
        <w:pStyle w:val="9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（4）暂列金额：</w:t>
      </w:r>
    </w:p>
    <w:p w14:paraId="4DF4F20F">
      <w:pPr>
        <w:pStyle w:val="91"/>
        <w:spacing w:line="440" w:lineRule="exact"/>
        <w:ind w:firstLine="945" w:firstLineChars="450"/>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bCs/>
          <w:color w:val="auto"/>
          <w:szCs w:val="21"/>
          <w:highlight w:val="none"/>
          <w:u w:val="single"/>
          <w:lang w:val="en-US" w:eastAsia="zh-CN"/>
        </w:rPr>
        <w:t xml:space="preserve">                 </w:t>
      </w:r>
      <w:r>
        <w:rPr>
          <w:rFonts w:hint="eastAsia" w:ascii="宋体" w:hAnsi="宋体" w:cs="宋体"/>
          <w:color w:val="auto"/>
          <w:szCs w:val="21"/>
          <w:highlight w:val="none"/>
        </w:rPr>
        <w:t>(¥</w:t>
      </w:r>
      <w:r>
        <w:rPr>
          <w:rFonts w:hint="eastAsia" w:ascii="宋体" w:hAnsi="宋体" w:cs="宋体"/>
          <w:bCs/>
          <w:color w:val="auto"/>
          <w:szCs w:val="21"/>
          <w:highlight w:val="none"/>
          <w:u w:val="single"/>
          <w:lang w:val="en-US" w:eastAsia="zh-CN"/>
        </w:rPr>
        <w:t xml:space="preserve">         </w:t>
      </w:r>
      <w:r>
        <w:rPr>
          <w:rFonts w:hint="eastAsia" w:ascii="宋体" w:hAnsi="宋体" w:cs="宋体"/>
          <w:color w:val="auto"/>
          <w:szCs w:val="21"/>
          <w:highlight w:val="none"/>
        </w:rPr>
        <w:t>元)；。</w:t>
      </w:r>
    </w:p>
    <w:p w14:paraId="055752E0">
      <w:pPr>
        <w:pStyle w:val="91"/>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2.合同价格形式：</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固定综合单价合同</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06508E1F">
      <w:pPr>
        <w:pStyle w:val="91"/>
        <w:spacing w:line="440" w:lineRule="exact"/>
        <w:ind w:firstLine="420" w:firstLineChars="200"/>
        <w:rPr>
          <w:rFonts w:hint="eastAsia" w:ascii="宋体" w:hAnsi="宋体" w:cs="宋体"/>
          <w:color w:val="auto"/>
          <w:szCs w:val="21"/>
          <w:highlight w:val="none"/>
        </w:rPr>
      </w:pPr>
    </w:p>
    <w:p w14:paraId="000E04B1">
      <w:pPr>
        <w:pStyle w:val="143"/>
        <w:spacing w:line="440" w:lineRule="exact"/>
        <w:rPr>
          <w:rFonts w:ascii="宋体" w:hAnsi="宋体" w:cs="宋体"/>
          <w:b w:val="0"/>
          <w:color w:val="auto"/>
          <w:sz w:val="21"/>
          <w:szCs w:val="21"/>
          <w:highlight w:val="none"/>
        </w:rPr>
      </w:pPr>
      <w:bookmarkStart w:id="313" w:name="_Toc351203485"/>
      <w:r>
        <w:rPr>
          <w:rFonts w:hint="eastAsia" w:ascii="宋体" w:hAnsi="宋体" w:cs="宋体"/>
          <w:b w:val="0"/>
          <w:color w:val="auto"/>
          <w:sz w:val="21"/>
          <w:szCs w:val="21"/>
          <w:highlight w:val="none"/>
        </w:rPr>
        <w:t>五、</w:t>
      </w:r>
      <w:bookmarkEnd w:id="313"/>
      <w:r>
        <w:rPr>
          <w:rFonts w:hint="eastAsia" w:ascii="宋体" w:hAnsi="宋体" w:cs="宋体"/>
          <w:b w:val="0"/>
          <w:color w:val="auto"/>
          <w:sz w:val="21"/>
          <w:szCs w:val="21"/>
          <w:highlight w:val="none"/>
        </w:rPr>
        <w:t>项目经理</w:t>
      </w:r>
    </w:p>
    <w:p w14:paraId="6A63CBAD">
      <w:pPr>
        <w:pStyle w:val="9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承包人项目经理：</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3450508">
      <w:pPr>
        <w:pStyle w:val="143"/>
        <w:spacing w:line="440" w:lineRule="exact"/>
        <w:rPr>
          <w:rFonts w:ascii="宋体" w:hAnsi="宋体" w:cs="宋体"/>
          <w:bCs w:val="0"/>
          <w:color w:val="auto"/>
          <w:sz w:val="21"/>
          <w:szCs w:val="21"/>
          <w:highlight w:val="none"/>
        </w:rPr>
      </w:pPr>
      <w:bookmarkStart w:id="314" w:name="_Toc351203486"/>
      <w:r>
        <w:rPr>
          <w:rFonts w:hint="eastAsia" w:ascii="宋体" w:hAnsi="宋体" w:cs="宋体"/>
          <w:b w:val="0"/>
          <w:color w:val="auto"/>
          <w:sz w:val="21"/>
          <w:szCs w:val="21"/>
          <w:highlight w:val="none"/>
        </w:rPr>
        <w:t>六、合同文件构成</w:t>
      </w:r>
      <w:bookmarkEnd w:id="314"/>
    </w:p>
    <w:p w14:paraId="233548B9">
      <w:pPr>
        <w:pStyle w:val="91"/>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本协议书与下列文件一起构成合同文件：</w:t>
      </w:r>
    </w:p>
    <w:p w14:paraId="65B5B2CC">
      <w:pPr>
        <w:pStyle w:val="91"/>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（1）成交通知书（如果有）；</w:t>
      </w:r>
    </w:p>
    <w:p w14:paraId="535C04E0">
      <w:pPr>
        <w:pStyle w:val="91"/>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（2）磋商函及其附录（如果有）； </w:t>
      </w:r>
    </w:p>
    <w:p w14:paraId="1032C5A9">
      <w:pPr>
        <w:pStyle w:val="91"/>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（3）专用合同条款及其附件；</w:t>
      </w:r>
    </w:p>
    <w:p w14:paraId="6AE708C6">
      <w:pPr>
        <w:pStyle w:val="91"/>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（4）通用合同条款；</w:t>
      </w:r>
    </w:p>
    <w:p w14:paraId="6DF3B7F6">
      <w:pPr>
        <w:pStyle w:val="91"/>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（5）技术标准和要求；</w:t>
      </w:r>
    </w:p>
    <w:p w14:paraId="101FB333">
      <w:pPr>
        <w:pStyle w:val="91"/>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（6）图纸；</w:t>
      </w:r>
    </w:p>
    <w:p w14:paraId="283BB13D">
      <w:pPr>
        <w:pStyle w:val="91"/>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（7）已标价工程量清单或预算书；</w:t>
      </w:r>
    </w:p>
    <w:p w14:paraId="533923BC">
      <w:pPr>
        <w:pStyle w:val="91"/>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（8）其他合同文件。</w:t>
      </w:r>
    </w:p>
    <w:p w14:paraId="640053FF">
      <w:pPr>
        <w:pStyle w:val="91"/>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w:t>
      </w:r>
    </w:p>
    <w:p w14:paraId="18301ACA">
      <w:pPr>
        <w:pStyle w:val="91"/>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04AF4255">
      <w:pPr>
        <w:pStyle w:val="143"/>
        <w:spacing w:line="440" w:lineRule="exact"/>
        <w:rPr>
          <w:rFonts w:ascii="宋体" w:hAnsi="宋体" w:cs="宋体"/>
          <w:b w:val="0"/>
          <w:bCs w:val="0"/>
          <w:color w:val="auto"/>
          <w:sz w:val="21"/>
          <w:szCs w:val="21"/>
          <w:highlight w:val="none"/>
        </w:rPr>
      </w:pPr>
      <w:bookmarkStart w:id="315" w:name="_Toc351203487"/>
      <w:r>
        <w:rPr>
          <w:rFonts w:hint="eastAsia" w:ascii="宋体" w:hAnsi="宋体" w:cs="宋体"/>
          <w:b w:val="0"/>
          <w:color w:val="auto"/>
          <w:sz w:val="21"/>
          <w:szCs w:val="21"/>
          <w:highlight w:val="none"/>
        </w:rPr>
        <w:t>七、承诺</w:t>
      </w:r>
      <w:bookmarkEnd w:id="315"/>
    </w:p>
    <w:p w14:paraId="172BC42D">
      <w:pPr>
        <w:pStyle w:val="91"/>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1.发包人承诺按照法律规定履行项目审批手续、筹集工程建设资金并按照合同约定的期限和方式支付合同价款。</w:t>
      </w:r>
    </w:p>
    <w:p w14:paraId="367A300A">
      <w:pPr>
        <w:pStyle w:val="91"/>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14:paraId="0DAAD63F">
      <w:pPr>
        <w:pStyle w:val="91"/>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3.发包人和承包人通过招磋商形式签订合同的，双方理解并承诺不再就同一工程另行签订与合同实质性内容相背离的协议。</w:t>
      </w:r>
    </w:p>
    <w:p w14:paraId="6A23D47F">
      <w:pPr>
        <w:pStyle w:val="91"/>
        <w:spacing w:line="440" w:lineRule="exact"/>
        <w:rPr>
          <w:rFonts w:ascii="宋体" w:hAnsi="宋体" w:cs="宋体"/>
          <w:bCs/>
          <w:color w:val="auto"/>
          <w:szCs w:val="21"/>
          <w:highlight w:val="none"/>
        </w:rPr>
      </w:pPr>
      <w:bookmarkStart w:id="316" w:name="_Toc351203488"/>
      <w:r>
        <w:rPr>
          <w:rFonts w:hint="eastAsia" w:ascii="宋体" w:hAnsi="宋体" w:cs="宋体"/>
          <w:b/>
          <w:color w:val="auto"/>
          <w:szCs w:val="21"/>
          <w:highlight w:val="none"/>
        </w:rPr>
        <w:t xml:space="preserve">    八、词语含义</w:t>
      </w:r>
      <w:bookmarkEnd w:id="316"/>
    </w:p>
    <w:p w14:paraId="4D096287">
      <w:pPr>
        <w:pStyle w:val="91"/>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14:paraId="49D22A1A">
      <w:pPr>
        <w:pStyle w:val="143"/>
        <w:spacing w:line="440" w:lineRule="exact"/>
        <w:rPr>
          <w:rFonts w:ascii="宋体" w:hAnsi="宋体" w:cs="宋体"/>
          <w:bCs w:val="0"/>
          <w:color w:val="auto"/>
          <w:sz w:val="21"/>
          <w:szCs w:val="21"/>
          <w:highlight w:val="none"/>
        </w:rPr>
      </w:pPr>
      <w:bookmarkStart w:id="317" w:name="_Toc351203489"/>
      <w:r>
        <w:rPr>
          <w:rFonts w:hint="eastAsia" w:ascii="宋体" w:hAnsi="宋体" w:cs="宋体"/>
          <w:b w:val="0"/>
          <w:color w:val="auto"/>
          <w:sz w:val="21"/>
          <w:szCs w:val="21"/>
          <w:highlight w:val="none"/>
        </w:rPr>
        <w:t>九、签订时间</w:t>
      </w:r>
      <w:bookmarkEnd w:id="317"/>
    </w:p>
    <w:p w14:paraId="4C807316">
      <w:pPr>
        <w:pStyle w:val="91"/>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本合同于</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rPr>
        <w:t>日签订。</w:t>
      </w:r>
    </w:p>
    <w:p w14:paraId="4D233877">
      <w:pPr>
        <w:pStyle w:val="143"/>
        <w:spacing w:line="440" w:lineRule="exact"/>
        <w:rPr>
          <w:rFonts w:ascii="宋体" w:hAnsi="宋体" w:cs="宋体"/>
          <w:bCs w:val="0"/>
          <w:color w:val="auto"/>
          <w:sz w:val="21"/>
          <w:szCs w:val="21"/>
          <w:highlight w:val="none"/>
        </w:rPr>
      </w:pPr>
      <w:bookmarkStart w:id="318" w:name="_Toc351203490"/>
      <w:r>
        <w:rPr>
          <w:rFonts w:hint="eastAsia" w:ascii="宋体" w:hAnsi="宋体" w:cs="宋体"/>
          <w:b w:val="0"/>
          <w:color w:val="auto"/>
          <w:sz w:val="21"/>
          <w:szCs w:val="21"/>
          <w:highlight w:val="none"/>
        </w:rPr>
        <w:t>十、签订地点</w:t>
      </w:r>
      <w:bookmarkEnd w:id="318"/>
    </w:p>
    <w:p w14:paraId="7D1FE9E7">
      <w:pPr>
        <w:pStyle w:val="91"/>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本合同在</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rPr>
        <w:t>签订。</w:t>
      </w:r>
    </w:p>
    <w:p w14:paraId="79EE1AC6">
      <w:pPr>
        <w:pStyle w:val="143"/>
        <w:spacing w:line="440" w:lineRule="exact"/>
        <w:rPr>
          <w:rFonts w:ascii="宋体" w:hAnsi="宋体" w:cs="宋体"/>
          <w:bCs w:val="0"/>
          <w:color w:val="auto"/>
          <w:sz w:val="21"/>
          <w:szCs w:val="21"/>
          <w:highlight w:val="none"/>
        </w:rPr>
      </w:pPr>
      <w:bookmarkStart w:id="319" w:name="_Toc351203491"/>
      <w:r>
        <w:rPr>
          <w:rFonts w:hint="eastAsia" w:ascii="宋体" w:hAnsi="宋体" w:cs="宋体"/>
          <w:b w:val="0"/>
          <w:color w:val="auto"/>
          <w:sz w:val="21"/>
          <w:szCs w:val="21"/>
          <w:highlight w:val="none"/>
        </w:rPr>
        <w:t>十一、补充协议</w:t>
      </w:r>
      <w:bookmarkEnd w:id="319"/>
    </w:p>
    <w:p w14:paraId="309B79DB">
      <w:pPr>
        <w:pStyle w:val="91"/>
        <w:spacing w:line="440" w:lineRule="exact"/>
        <w:ind w:firstLine="420" w:firstLineChars="200"/>
        <w:rPr>
          <w:rFonts w:ascii="宋体" w:hAnsi="宋体" w:cs="宋体"/>
          <w:b/>
          <w:bCs/>
          <w:color w:val="auto"/>
          <w:szCs w:val="21"/>
          <w:highlight w:val="none"/>
        </w:rPr>
      </w:pPr>
      <w:r>
        <w:rPr>
          <w:rFonts w:hint="eastAsia" w:ascii="宋体" w:hAnsi="宋体" w:cs="宋体"/>
          <w:bCs/>
          <w:color w:val="auto"/>
          <w:szCs w:val="21"/>
          <w:highlight w:val="none"/>
        </w:rPr>
        <w:t>合同未尽事宜，合同当事人另行签订补充协议，补充协议是合同的组成部分。</w:t>
      </w:r>
    </w:p>
    <w:p w14:paraId="56FED87F">
      <w:pPr>
        <w:pStyle w:val="143"/>
        <w:spacing w:line="440" w:lineRule="exact"/>
        <w:rPr>
          <w:rFonts w:ascii="宋体" w:hAnsi="宋体" w:cs="宋体"/>
          <w:bCs w:val="0"/>
          <w:color w:val="auto"/>
          <w:sz w:val="21"/>
          <w:szCs w:val="21"/>
          <w:highlight w:val="none"/>
        </w:rPr>
      </w:pPr>
      <w:bookmarkStart w:id="320" w:name="_Toc351203492"/>
      <w:r>
        <w:rPr>
          <w:rFonts w:hint="eastAsia" w:ascii="宋体" w:hAnsi="宋体" w:cs="宋体"/>
          <w:b w:val="0"/>
          <w:color w:val="auto"/>
          <w:sz w:val="21"/>
          <w:szCs w:val="21"/>
          <w:highlight w:val="none"/>
        </w:rPr>
        <w:t>十二、合同生效</w:t>
      </w:r>
      <w:bookmarkEnd w:id="320"/>
    </w:p>
    <w:p w14:paraId="5E10C81D">
      <w:pPr>
        <w:pStyle w:val="91"/>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本合同自生效。</w:t>
      </w:r>
    </w:p>
    <w:p w14:paraId="21CDA727">
      <w:pPr>
        <w:pStyle w:val="143"/>
        <w:spacing w:line="440" w:lineRule="exact"/>
        <w:rPr>
          <w:rFonts w:ascii="宋体" w:hAnsi="宋体" w:cs="宋体"/>
          <w:bCs w:val="0"/>
          <w:color w:val="auto"/>
          <w:sz w:val="21"/>
          <w:szCs w:val="21"/>
          <w:highlight w:val="none"/>
        </w:rPr>
      </w:pPr>
      <w:bookmarkStart w:id="321" w:name="_Toc351203493"/>
      <w:r>
        <w:rPr>
          <w:rFonts w:hint="eastAsia" w:ascii="宋体" w:hAnsi="宋体" w:cs="宋体"/>
          <w:b w:val="0"/>
          <w:color w:val="auto"/>
          <w:sz w:val="21"/>
          <w:szCs w:val="21"/>
          <w:highlight w:val="none"/>
        </w:rPr>
        <w:t>十三、合同份数</w:t>
      </w:r>
      <w:bookmarkEnd w:id="321"/>
    </w:p>
    <w:p w14:paraId="1DA7EB11">
      <w:pPr>
        <w:pStyle w:val="91"/>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本合同一式份，均具有同等法律效力，发包人执份，承包人执份。</w:t>
      </w:r>
    </w:p>
    <w:p w14:paraId="20BB61E5">
      <w:pPr>
        <w:pStyle w:val="91"/>
        <w:spacing w:line="440" w:lineRule="exact"/>
        <w:rPr>
          <w:rFonts w:ascii="宋体" w:hAnsi="宋体" w:cs="宋体"/>
          <w:bCs/>
          <w:color w:val="auto"/>
          <w:szCs w:val="21"/>
          <w:highlight w:val="none"/>
        </w:rPr>
      </w:pPr>
    </w:p>
    <w:p w14:paraId="25E52E72">
      <w:pPr>
        <w:pStyle w:val="91"/>
        <w:spacing w:line="440" w:lineRule="exact"/>
        <w:rPr>
          <w:rFonts w:ascii="宋体" w:hAnsi="宋体" w:cs="宋体"/>
          <w:bCs/>
          <w:color w:val="auto"/>
          <w:szCs w:val="21"/>
          <w:highlight w:val="none"/>
        </w:rPr>
      </w:pPr>
    </w:p>
    <w:p w14:paraId="67703FC1">
      <w:pPr>
        <w:pStyle w:val="91"/>
        <w:spacing w:line="440" w:lineRule="exact"/>
        <w:rPr>
          <w:rFonts w:ascii="宋体" w:hAnsi="宋体" w:cs="宋体"/>
          <w:color w:val="auto"/>
          <w:szCs w:val="21"/>
          <w:highlight w:val="none"/>
        </w:rPr>
      </w:pPr>
      <w:r>
        <w:rPr>
          <w:rFonts w:hint="eastAsia" w:ascii="宋体" w:hAnsi="宋体" w:cs="宋体"/>
          <w:color w:val="auto"/>
          <w:szCs w:val="21"/>
          <w:highlight w:val="none"/>
        </w:rPr>
        <w:t>发包人：  (公章)             承包人：  (公章)</w:t>
      </w:r>
    </w:p>
    <w:p w14:paraId="1DA7D016">
      <w:pPr>
        <w:pStyle w:val="91"/>
        <w:spacing w:line="440" w:lineRule="exact"/>
        <w:rPr>
          <w:rFonts w:ascii="宋体" w:hAnsi="宋体" w:cs="宋体"/>
          <w:color w:val="auto"/>
          <w:szCs w:val="21"/>
          <w:highlight w:val="none"/>
          <w:u w:val="single"/>
        </w:rPr>
      </w:pPr>
    </w:p>
    <w:p w14:paraId="188DEF1B">
      <w:pPr>
        <w:pStyle w:val="91"/>
        <w:spacing w:line="440" w:lineRule="exact"/>
        <w:rPr>
          <w:rFonts w:ascii="宋体" w:hAnsi="宋体" w:cs="宋体"/>
          <w:color w:val="auto"/>
          <w:szCs w:val="21"/>
          <w:highlight w:val="none"/>
        </w:rPr>
      </w:pPr>
      <w:r>
        <w:rPr>
          <w:rFonts w:hint="eastAsia" w:ascii="宋体" w:hAnsi="宋体" w:cs="宋体"/>
          <w:color w:val="auto"/>
          <w:szCs w:val="21"/>
          <w:highlight w:val="none"/>
        </w:rPr>
        <w:t>法定代表人或其委托代理人：  法定代表人或其委托代理人：</w:t>
      </w:r>
    </w:p>
    <w:p w14:paraId="6188AB2B">
      <w:pPr>
        <w:pStyle w:val="91"/>
        <w:spacing w:line="440" w:lineRule="exact"/>
        <w:rPr>
          <w:rFonts w:ascii="宋体" w:hAnsi="宋体" w:cs="宋体"/>
          <w:color w:val="auto"/>
          <w:szCs w:val="21"/>
          <w:highlight w:val="none"/>
        </w:rPr>
      </w:pPr>
      <w:r>
        <w:rPr>
          <w:rFonts w:hint="eastAsia" w:ascii="宋体" w:hAnsi="宋体" w:cs="宋体"/>
          <w:color w:val="auto"/>
          <w:szCs w:val="21"/>
          <w:highlight w:val="none"/>
        </w:rPr>
        <w:t>（签字）                    （签字）</w:t>
      </w:r>
    </w:p>
    <w:p w14:paraId="6CDDA6C0">
      <w:pPr>
        <w:pStyle w:val="91"/>
        <w:spacing w:line="440" w:lineRule="exact"/>
        <w:rPr>
          <w:rFonts w:ascii="宋体" w:hAnsi="宋体" w:cs="宋体"/>
          <w:color w:val="auto"/>
          <w:szCs w:val="21"/>
          <w:highlight w:val="none"/>
          <w:u w:val="single"/>
        </w:rPr>
      </w:pPr>
    </w:p>
    <w:p w14:paraId="04C7422A">
      <w:pPr>
        <w:pStyle w:val="91"/>
        <w:tabs>
          <w:tab w:val="left" w:pos="4410"/>
        </w:tabs>
        <w:spacing w:line="440" w:lineRule="exact"/>
        <w:rPr>
          <w:rFonts w:ascii="宋体" w:hAnsi="宋体" w:cs="宋体"/>
          <w:color w:val="auto"/>
          <w:szCs w:val="21"/>
          <w:highlight w:val="none"/>
        </w:rPr>
      </w:pPr>
      <w:r>
        <w:rPr>
          <w:rFonts w:hint="eastAsia" w:ascii="宋体" w:hAnsi="宋体" w:cs="宋体"/>
          <w:color w:val="auto"/>
          <w:szCs w:val="21"/>
          <w:highlight w:val="none"/>
        </w:rPr>
        <w:t>组织机构代码：</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组织机构代码：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        </w:t>
      </w:r>
    </w:p>
    <w:p w14:paraId="2B6A3E80">
      <w:pPr>
        <w:pStyle w:val="91"/>
        <w:spacing w:line="440" w:lineRule="exact"/>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       </w:t>
      </w:r>
    </w:p>
    <w:p w14:paraId="42443BD7">
      <w:pPr>
        <w:pStyle w:val="91"/>
        <w:spacing w:line="440" w:lineRule="exact"/>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2F872C05">
      <w:pPr>
        <w:pStyle w:val="91"/>
        <w:spacing w:line="440" w:lineRule="exact"/>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       </w:t>
      </w:r>
    </w:p>
    <w:p w14:paraId="09F0B055">
      <w:pPr>
        <w:pStyle w:val="91"/>
        <w:spacing w:line="440" w:lineRule="exact"/>
        <w:rPr>
          <w:rFonts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             </w:t>
      </w:r>
    </w:p>
    <w:p w14:paraId="324DE431">
      <w:pPr>
        <w:pStyle w:val="91"/>
        <w:spacing w:line="440" w:lineRule="exact"/>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5C79FDE2">
      <w:pPr>
        <w:pStyle w:val="91"/>
        <w:spacing w:line="440" w:lineRule="exact"/>
        <w:rPr>
          <w:rFonts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   </w:t>
      </w:r>
    </w:p>
    <w:p w14:paraId="4909C898">
      <w:pPr>
        <w:pStyle w:val="91"/>
        <w:spacing w:line="440" w:lineRule="exact"/>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bCs/>
          <w:color w:val="auto"/>
          <w:szCs w:val="21"/>
          <w:highlight w:val="none"/>
          <w:u w:val="singl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p>
    <w:p w14:paraId="2C8B567D">
      <w:pPr>
        <w:pStyle w:val="91"/>
        <w:spacing w:line="440" w:lineRule="exact"/>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p>
    <w:p w14:paraId="46FE77C3">
      <w:pPr>
        <w:pStyle w:val="4"/>
        <w:keepNext w:val="0"/>
        <w:keepLines w:val="0"/>
        <w:snapToGrid w:val="0"/>
        <w:spacing w:line="440" w:lineRule="exact"/>
        <w:rPr>
          <w:rFonts w:ascii="宋体" w:hAnsi="宋体" w:eastAsia="宋体" w:cs="宋体"/>
          <w:b w:val="0"/>
          <w:color w:val="auto"/>
          <w:sz w:val="28"/>
          <w:szCs w:val="28"/>
          <w:highlight w:val="none"/>
        </w:rPr>
      </w:pPr>
      <w:bookmarkStart w:id="322" w:name="_Toc47088289"/>
      <w:bookmarkStart w:id="323" w:name="_Toc12360"/>
      <w:bookmarkStart w:id="324" w:name="_Toc75182690"/>
      <w:bookmarkStart w:id="325" w:name="_Toc515488136"/>
      <w:r>
        <w:rPr>
          <w:rFonts w:hint="eastAsia" w:ascii="宋体" w:hAnsi="宋体" w:eastAsia="宋体" w:cs="宋体"/>
          <w:b w:val="0"/>
          <w:color w:val="auto"/>
          <w:sz w:val="21"/>
          <w:szCs w:val="21"/>
          <w:highlight w:val="none"/>
        </w:rPr>
        <w:t>账  号：</w:t>
      </w:r>
      <w:r>
        <w:rPr>
          <w:rFonts w:hint="eastAsia" w:ascii="宋体" w:hAnsi="宋体" w:eastAsia="宋体" w:cs="宋体"/>
          <w:b w:val="0"/>
          <w:color w:val="auto"/>
          <w:sz w:val="21"/>
          <w:szCs w:val="21"/>
          <w:highlight w:val="none"/>
          <w:u w:val="single"/>
        </w:rPr>
        <w:t xml:space="preserve">       </w:t>
      </w:r>
      <w:r>
        <w:rPr>
          <w:rFonts w:hint="eastAsia" w:ascii="宋体" w:hAnsi="宋体" w:eastAsia="宋体" w:cs="宋体"/>
          <w:b w:val="0"/>
          <w:color w:val="auto"/>
          <w:sz w:val="21"/>
          <w:szCs w:val="21"/>
          <w:highlight w:val="none"/>
        </w:rPr>
        <w:t xml:space="preserve">   账   号：</w:t>
      </w:r>
      <w:r>
        <w:rPr>
          <w:rFonts w:hint="eastAsia" w:ascii="宋体" w:hAnsi="宋体" w:eastAsia="宋体" w:cs="宋体"/>
          <w:b w:val="0"/>
          <w:color w:val="auto"/>
          <w:sz w:val="21"/>
          <w:szCs w:val="21"/>
          <w:highlight w:val="none"/>
          <w:u w:val="single"/>
        </w:rPr>
        <w:t></w:t>
      </w:r>
      <w:bookmarkEnd w:id="322"/>
      <w:bookmarkEnd w:id="323"/>
      <w:bookmarkEnd w:id="324"/>
      <w:bookmarkEnd w:id="325"/>
    </w:p>
    <w:p w14:paraId="08DC0E9E">
      <w:pPr>
        <w:pStyle w:val="4"/>
        <w:keepNext w:val="0"/>
        <w:keepLines w:val="0"/>
        <w:snapToGrid w:val="0"/>
        <w:spacing w:line="440" w:lineRule="exact"/>
        <w:rPr>
          <w:rFonts w:ascii="宋体" w:hAnsi="宋体" w:eastAsia="宋体" w:cs="宋体"/>
          <w:b w:val="0"/>
          <w:color w:val="auto"/>
          <w:sz w:val="21"/>
          <w:szCs w:val="21"/>
          <w:highlight w:val="none"/>
        </w:rPr>
      </w:pPr>
    </w:p>
    <w:p w14:paraId="6BB95AD3">
      <w:pPr>
        <w:pStyle w:val="3"/>
        <w:keepNext w:val="0"/>
        <w:keepLines w:val="0"/>
        <w:rPr>
          <w:rFonts w:ascii="宋体" w:hAnsi="宋体" w:eastAsia="宋体" w:cs="宋体"/>
          <w:color w:val="auto"/>
          <w:sz w:val="30"/>
          <w:szCs w:val="30"/>
          <w:highlight w:val="none"/>
        </w:rPr>
      </w:pPr>
    </w:p>
    <w:p w14:paraId="47A69B9E">
      <w:pPr>
        <w:pStyle w:val="4"/>
        <w:keepNext w:val="0"/>
        <w:keepLines w:val="0"/>
        <w:snapToGrid w:val="0"/>
        <w:spacing w:line="340" w:lineRule="exact"/>
        <w:jc w:val="center"/>
        <w:rPr>
          <w:rFonts w:ascii="宋体" w:hAnsi="宋体" w:cs="宋体"/>
          <w:color w:val="auto"/>
          <w:sz w:val="30"/>
          <w:szCs w:val="30"/>
          <w:highlight w:val="none"/>
        </w:rPr>
      </w:pPr>
      <w:r>
        <w:rPr>
          <w:rFonts w:hint="eastAsia" w:ascii="宋体" w:hAnsi="宋体" w:cs="宋体"/>
          <w:color w:val="auto"/>
          <w:sz w:val="30"/>
          <w:szCs w:val="30"/>
          <w:highlight w:val="none"/>
        </w:rPr>
        <w:br w:type="page"/>
      </w:r>
      <w:bookmarkStart w:id="326" w:name="_Toc515488137"/>
      <w:bookmarkStart w:id="327" w:name="_Toc488905910"/>
      <w:bookmarkStart w:id="328" w:name="_Toc75182691"/>
    </w:p>
    <w:p w14:paraId="3999C4C6">
      <w:pPr>
        <w:pStyle w:val="4"/>
        <w:keepNext w:val="0"/>
        <w:keepLines w:val="0"/>
        <w:snapToGrid w:val="0"/>
        <w:spacing w:line="340" w:lineRule="exact"/>
        <w:jc w:val="center"/>
        <w:rPr>
          <w:rFonts w:ascii="宋体" w:hAnsi="宋体" w:cs="宋体"/>
          <w:color w:val="auto"/>
          <w:highlight w:val="none"/>
        </w:rPr>
      </w:pPr>
      <w:bookmarkStart w:id="329" w:name="_Toc10874"/>
      <w:r>
        <w:rPr>
          <w:rFonts w:hint="eastAsia" w:ascii="宋体" w:hAnsi="宋体" w:eastAsia="宋体" w:cs="宋体"/>
          <w:color w:val="auto"/>
          <w:sz w:val="28"/>
          <w:szCs w:val="28"/>
          <w:highlight w:val="none"/>
        </w:rPr>
        <w:t xml:space="preserve">第二部分 </w:t>
      </w:r>
      <w:bookmarkEnd w:id="326"/>
      <w:bookmarkEnd w:id="327"/>
      <w:r>
        <w:rPr>
          <w:rFonts w:hint="eastAsia" w:ascii="宋体" w:hAnsi="宋体" w:eastAsia="宋体" w:cs="宋体"/>
          <w:color w:val="auto"/>
          <w:sz w:val="28"/>
          <w:szCs w:val="28"/>
          <w:highlight w:val="none"/>
        </w:rPr>
        <w:t>通用合同条款</w:t>
      </w:r>
      <w:bookmarkEnd w:id="328"/>
      <w:bookmarkEnd w:id="329"/>
    </w:p>
    <w:p w14:paraId="3F73390B">
      <w:pPr>
        <w:pStyle w:val="3"/>
        <w:keepNext w:val="0"/>
        <w:keepLines w:val="0"/>
        <w:rPr>
          <w:rFonts w:ascii="宋体" w:hAnsi="宋体" w:eastAsia="宋体" w:cs="宋体"/>
          <w:color w:val="auto"/>
          <w:sz w:val="21"/>
          <w:szCs w:val="21"/>
          <w:highlight w:val="none"/>
        </w:rPr>
      </w:pPr>
      <w:bookmarkStart w:id="330" w:name="_Toc47088291"/>
      <w:bookmarkStart w:id="331" w:name="_Toc75182692"/>
      <w:bookmarkStart w:id="332" w:name="_Toc1590"/>
      <w:r>
        <w:rPr>
          <w:rFonts w:hint="eastAsia" w:ascii="宋体" w:hAnsi="宋体" w:eastAsia="宋体" w:cs="宋体"/>
          <w:b/>
          <w:color w:val="auto"/>
          <w:sz w:val="21"/>
          <w:szCs w:val="21"/>
          <w:highlight w:val="none"/>
        </w:rPr>
        <w:t>采用《建设工程施工合同（示范文本）》（GF—2017—0201）。</w:t>
      </w:r>
      <w:bookmarkEnd w:id="330"/>
      <w:bookmarkEnd w:id="331"/>
      <w:bookmarkEnd w:id="332"/>
    </w:p>
    <w:p w14:paraId="47251532">
      <w:pPr>
        <w:pStyle w:val="3"/>
        <w:keepNext w:val="0"/>
        <w:keepLines w:val="0"/>
        <w:rPr>
          <w:rFonts w:ascii="宋体" w:hAnsi="宋体" w:eastAsia="宋体" w:cs="宋体"/>
          <w:color w:val="auto"/>
          <w:sz w:val="30"/>
          <w:szCs w:val="30"/>
          <w:highlight w:val="none"/>
        </w:rPr>
      </w:pPr>
    </w:p>
    <w:p w14:paraId="374EAE9E">
      <w:pPr>
        <w:pStyle w:val="3"/>
        <w:keepNext w:val="0"/>
        <w:keepLines w:val="0"/>
        <w:rPr>
          <w:rFonts w:ascii="宋体" w:hAnsi="宋体" w:eastAsia="宋体" w:cs="宋体"/>
          <w:b/>
          <w:bCs/>
          <w:color w:val="auto"/>
          <w:sz w:val="30"/>
          <w:szCs w:val="30"/>
          <w:highlight w:val="none"/>
        </w:rPr>
      </w:pPr>
      <w:bookmarkStart w:id="333" w:name="_Toc23549"/>
      <w:bookmarkStart w:id="334" w:name="_Toc75182693"/>
      <w:r>
        <w:rPr>
          <w:rFonts w:hint="eastAsia" w:ascii="宋体" w:hAnsi="宋体" w:eastAsia="宋体" w:cs="宋体"/>
          <w:b/>
          <w:bCs/>
          <w:color w:val="auto"/>
          <w:sz w:val="30"/>
          <w:szCs w:val="30"/>
          <w:highlight w:val="none"/>
        </w:rPr>
        <w:t>第三部分 专用合同条款</w:t>
      </w:r>
      <w:bookmarkEnd w:id="333"/>
      <w:bookmarkEnd w:id="334"/>
    </w:p>
    <w:p w14:paraId="29B6BF71">
      <w:pPr>
        <w:pStyle w:val="130"/>
        <w:spacing w:line="420" w:lineRule="exact"/>
        <w:rPr>
          <w:rFonts w:ascii="宋体" w:hAnsi="宋体" w:cs="宋体"/>
          <w:color w:val="auto"/>
          <w:sz w:val="24"/>
          <w:szCs w:val="24"/>
          <w:highlight w:val="none"/>
        </w:rPr>
      </w:pPr>
      <w:bookmarkStart w:id="335" w:name="_Toc75182694"/>
      <w:bookmarkStart w:id="336" w:name="_Toc497147149"/>
      <w:bookmarkStart w:id="337" w:name="_Toc497215706"/>
      <w:bookmarkStart w:id="338" w:name="_Toc47088293"/>
      <w:bookmarkStart w:id="339" w:name="_Toc2020"/>
      <w:bookmarkStart w:id="340" w:name="_Toc407135194"/>
      <w:bookmarkStart w:id="341" w:name="_Toc497901105"/>
      <w:r>
        <w:rPr>
          <w:rFonts w:hint="eastAsia" w:ascii="宋体" w:hAnsi="宋体" w:cs="宋体"/>
          <w:color w:val="auto"/>
          <w:sz w:val="24"/>
          <w:szCs w:val="24"/>
          <w:highlight w:val="none"/>
        </w:rPr>
        <w:t>1. 一般约定</w:t>
      </w:r>
      <w:bookmarkEnd w:id="335"/>
      <w:bookmarkEnd w:id="336"/>
      <w:bookmarkEnd w:id="337"/>
      <w:bookmarkEnd w:id="338"/>
      <w:bookmarkEnd w:id="339"/>
      <w:bookmarkEnd w:id="340"/>
      <w:bookmarkEnd w:id="341"/>
    </w:p>
    <w:p w14:paraId="460F4679">
      <w:pPr>
        <w:pStyle w:val="62"/>
        <w:spacing w:line="420" w:lineRule="exact"/>
        <w:rPr>
          <w:rFonts w:ascii="宋体" w:hAnsi="宋体" w:cs="宋体"/>
          <w:color w:val="auto"/>
          <w:sz w:val="24"/>
          <w:szCs w:val="24"/>
          <w:highlight w:val="none"/>
        </w:rPr>
      </w:pPr>
      <w:bookmarkStart w:id="342" w:name="_Toc497215707"/>
      <w:bookmarkStart w:id="343" w:name="_Toc1004"/>
      <w:bookmarkStart w:id="344" w:name="_Toc497147150"/>
      <w:bookmarkStart w:id="345" w:name="_Toc47088294"/>
      <w:bookmarkStart w:id="346" w:name="_Toc407135195"/>
      <w:bookmarkStart w:id="347" w:name="_Toc75182695"/>
      <w:bookmarkStart w:id="348" w:name="_Toc497901106"/>
      <w:r>
        <w:rPr>
          <w:rFonts w:hint="eastAsia" w:ascii="宋体" w:hAnsi="宋体" w:cs="宋体"/>
          <w:color w:val="auto"/>
          <w:sz w:val="24"/>
          <w:szCs w:val="24"/>
          <w:highlight w:val="none"/>
        </w:rPr>
        <w:t>1.1 词语定义</w:t>
      </w:r>
      <w:bookmarkEnd w:id="342"/>
      <w:bookmarkEnd w:id="343"/>
      <w:bookmarkEnd w:id="344"/>
      <w:bookmarkEnd w:id="345"/>
      <w:bookmarkEnd w:id="346"/>
      <w:bookmarkEnd w:id="347"/>
      <w:bookmarkEnd w:id="348"/>
    </w:p>
    <w:p w14:paraId="7CED1E5F">
      <w:pPr>
        <w:pStyle w:val="63"/>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1.1.1 合同</w:t>
      </w:r>
    </w:p>
    <w:p w14:paraId="104DC5A6">
      <w:pPr>
        <w:pStyle w:val="63"/>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1.1.1.10 其他合同文件包括：</w:t>
      </w:r>
      <w:r>
        <w:rPr>
          <w:rFonts w:hint="eastAsia" w:ascii="宋体" w:hAnsi="宋体" w:cs="宋体"/>
          <w:color w:val="auto"/>
          <w:szCs w:val="21"/>
          <w:highlight w:val="none"/>
          <w:u w:val="single"/>
        </w:rPr>
        <w:t xml:space="preserve">履行合同过程中双方工地代表人书面确认的对合同内容有实质性影响的会议纪要、签证、设计变更等资料  </w:t>
      </w:r>
      <w:r>
        <w:rPr>
          <w:rFonts w:hint="eastAsia" w:ascii="宋体" w:hAnsi="宋体" w:cs="宋体"/>
          <w:color w:val="auto"/>
          <w:szCs w:val="21"/>
          <w:highlight w:val="none"/>
        </w:rPr>
        <w:t>。</w:t>
      </w:r>
    </w:p>
    <w:p w14:paraId="636D09BC">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 合同当事人及其他相关方</w:t>
      </w:r>
    </w:p>
    <w:p w14:paraId="77A9FD69">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 监理人：</w:t>
      </w:r>
    </w:p>
    <w:p w14:paraId="3C34AF3A">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中标后填写             </w:t>
      </w:r>
      <w:r>
        <w:rPr>
          <w:rFonts w:hint="eastAsia" w:ascii="宋体" w:hAnsi="宋体" w:cs="宋体"/>
          <w:color w:val="auto"/>
          <w:szCs w:val="21"/>
          <w:highlight w:val="none"/>
        </w:rPr>
        <w:t>；</w:t>
      </w:r>
    </w:p>
    <w:p w14:paraId="4E81F155">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中标后填写     </w:t>
      </w:r>
      <w:r>
        <w:rPr>
          <w:rFonts w:hint="eastAsia" w:ascii="宋体" w:hAnsi="宋体" w:cs="宋体"/>
          <w:color w:val="auto"/>
          <w:szCs w:val="21"/>
          <w:highlight w:val="none"/>
        </w:rPr>
        <w:t>；</w:t>
      </w:r>
    </w:p>
    <w:p w14:paraId="2E37C4B8">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中标后填写     </w:t>
      </w:r>
      <w:r>
        <w:rPr>
          <w:rFonts w:hint="eastAsia" w:ascii="宋体" w:hAnsi="宋体" w:cs="宋体"/>
          <w:color w:val="auto"/>
          <w:szCs w:val="21"/>
          <w:highlight w:val="none"/>
        </w:rPr>
        <w:t>；</w:t>
      </w:r>
    </w:p>
    <w:p w14:paraId="4D6D0899">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中标后填写   </w:t>
      </w:r>
      <w:r>
        <w:rPr>
          <w:rFonts w:hint="eastAsia" w:ascii="宋体" w:hAnsi="宋体" w:cs="宋体"/>
          <w:color w:val="auto"/>
          <w:szCs w:val="21"/>
          <w:highlight w:val="none"/>
        </w:rPr>
        <w:t>；</w:t>
      </w:r>
    </w:p>
    <w:p w14:paraId="7382DFA5">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中标后填写   </w:t>
      </w:r>
      <w:r>
        <w:rPr>
          <w:rFonts w:hint="eastAsia" w:ascii="宋体" w:hAnsi="宋体" w:cs="宋体"/>
          <w:color w:val="auto"/>
          <w:szCs w:val="21"/>
          <w:highlight w:val="none"/>
        </w:rPr>
        <w:t>。</w:t>
      </w:r>
    </w:p>
    <w:p w14:paraId="2EE6CBBE">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1.1.2.5 设计人：</w:t>
      </w:r>
    </w:p>
    <w:p w14:paraId="7899AD4D">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603C1210">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3A61DD88">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1DFD681">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334D0DA">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65B8950F">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工程和设备</w:t>
      </w:r>
    </w:p>
    <w:p w14:paraId="67E0B4CF">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1.1.3.7 作为施工现场组成部分的其他场所包括：</w:t>
      </w:r>
      <w:r>
        <w:rPr>
          <w:rFonts w:hint="eastAsia" w:ascii="宋体" w:hAnsi="宋体" w:cs="宋体"/>
          <w:color w:val="auto"/>
          <w:szCs w:val="21"/>
          <w:highlight w:val="none"/>
          <w:u w:val="single"/>
        </w:rPr>
        <w:t>发包人提交的本合同工程所涉地块土地红线范围内所包括的场所</w:t>
      </w:r>
      <w:r>
        <w:rPr>
          <w:rFonts w:hint="eastAsia" w:ascii="宋体" w:hAnsi="宋体" w:cs="宋体"/>
          <w:color w:val="auto"/>
          <w:szCs w:val="21"/>
          <w:highlight w:val="none"/>
        </w:rPr>
        <w:t>。</w:t>
      </w:r>
    </w:p>
    <w:p w14:paraId="20C2B58D">
      <w:pPr>
        <w:pStyle w:val="63"/>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szCs w:val="21"/>
          <w:highlight w:val="none"/>
          <w:u w:val="single"/>
        </w:rPr>
        <w:t xml:space="preserve">           </w:t>
      </w:r>
      <w:r>
        <w:rPr>
          <w:rFonts w:hint="eastAsia" w:ascii="宋体" w:hAnsi="宋体" w:cs="宋体"/>
          <w:color w:val="auto"/>
          <w:kern w:val="0"/>
          <w:szCs w:val="21"/>
          <w:highlight w:val="none"/>
        </w:rPr>
        <w:t>。</w:t>
      </w:r>
    </w:p>
    <w:p w14:paraId="6644D772">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1.1.3.10 临时占地包括：</w:t>
      </w:r>
      <w:r>
        <w:rPr>
          <w:rFonts w:hint="eastAsia" w:ascii="宋体" w:hAnsi="宋体" w:cs="宋体"/>
          <w:color w:val="auto"/>
          <w:szCs w:val="21"/>
          <w:highlight w:val="none"/>
          <w:u w:val="single"/>
        </w:rPr>
        <w:t xml:space="preserve">             </w:t>
      </w:r>
      <w:r>
        <w:rPr>
          <w:rFonts w:hint="eastAsia" w:ascii="宋体" w:hAnsi="宋体" w:cs="宋体"/>
          <w:color w:val="auto"/>
          <w:kern w:val="0"/>
          <w:szCs w:val="21"/>
          <w:highlight w:val="none"/>
        </w:rPr>
        <w:t>。</w:t>
      </w:r>
    </w:p>
    <w:p w14:paraId="683007A1">
      <w:pPr>
        <w:pStyle w:val="130"/>
        <w:spacing w:line="420" w:lineRule="exact"/>
        <w:rPr>
          <w:rFonts w:ascii="宋体" w:hAnsi="宋体" w:cs="宋体"/>
          <w:color w:val="auto"/>
          <w:sz w:val="24"/>
          <w:szCs w:val="24"/>
          <w:highlight w:val="none"/>
        </w:rPr>
      </w:pPr>
      <w:bookmarkStart w:id="349" w:name="_Toc75182696"/>
      <w:bookmarkStart w:id="350" w:name="_Toc497215708"/>
      <w:bookmarkStart w:id="351" w:name="_Toc407135196"/>
      <w:bookmarkStart w:id="352" w:name="_Toc497901107"/>
      <w:bookmarkStart w:id="353" w:name="_Toc47088295"/>
      <w:bookmarkStart w:id="354" w:name="_Toc14921"/>
      <w:bookmarkStart w:id="355" w:name="_Toc497147151"/>
      <w:r>
        <w:rPr>
          <w:rFonts w:hint="eastAsia" w:ascii="宋体" w:hAnsi="宋体" w:cs="宋体"/>
          <w:color w:val="auto"/>
          <w:sz w:val="24"/>
          <w:szCs w:val="24"/>
          <w:highlight w:val="none"/>
        </w:rPr>
        <w:t>1.3 法律</w:t>
      </w:r>
      <w:bookmarkEnd w:id="349"/>
      <w:bookmarkEnd w:id="350"/>
      <w:bookmarkEnd w:id="351"/>
      <w:bookmarkEnd w:id="352"/>
      <w:bookmarkEnd w:id="353"/>
      <w:bookmarkEnd w:id="354"/>
      <w:bookmarkEnd w:id="355"/>
    </w:p>
    <w:p w14:paraId="7FCF9835">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适用于合同的其他规范性文件：</w:t>
      </w:r>
      <w:r>
        <w:rPr>
          <w:rFonts w:hint="eastAsia" w:ascii="宋体" w:hAnsi="宋体" w:cs="宋体"/>
          <w:b/>
          <w:color w:val="auto"/>
          <w:szCs w:val="21"/>
          <w:highlight w:val="none"/>
          <w:u w:val="single"/>
        </w:rPr>
        <w:t>国家现行法律、行政法规及地方政府的有关法规和规章</w:t>
      </w:r>
      <w:r>
        <w:rPr>
          <w:rFonts w:hint="eastAsia" w:ascii="宋体" w:hAnsi="宋体" w:cs="宋体"/>
          <w:color w:val="auto"/>
          <w:szCs w:val="21"/>
          <w:highlight w:val="none"/>
        </w:rPr>
        <w:t>。</w:t>
      </w:r>
    </w:p>
    <w:p w14:paraId="4A0EC3A9">
      <w:pPr>
        <w:pStyle w:val="130"/>
        <w:spacing w:line="420" w:lineRule="exact"/>
        <w:rPr>
          <w:rFonts w:ascii="宋体" w:hAnsi="宋体" w:cs="宋体"/>
          <w:color w:val="auto"/>
          <w:sz w:val="24"/>
          <w:szCs w:val="24"/>
          <w:highlight w:val="none"/>
        </w:rPr>
      </w:pPr>
      <w:bookmarkStart w:id="356" w:name="_Toc497147152"/>
      <w:bookmarkStart w:id="357" w:name="_Toc497215709"/>
      <w:bookmarkStart w:id="358" w:name="_Toc75182697"/>
      <w:bookmarkStart w:id="359" w:name="_Toc407135197"/>
      <w:bookmarkStart w:id="360" w:name="_Toc497901108"/>
      <w:bookmarkStart w:id="361" w:name="_Toc23238"/>
      <w:bookmarkStart w:id="362" w:name="_Toc47088296"/>
      <w:r>
        <w:rPr>
          <w:rFonts w:hint="eastAsia" w:ascii="宋体" w:hAnsi="宋体" w:cs="宋体"/>
          <w:color w:val="auto"/>
          <w:sz w:val="24"/>
          <w:szCs w:val="24"/>
          <w:highlight w:val="none"/>
        </w:rPr>
        <w:t>1.4 标准和规范</w:t>
      </w:r>
      <w:bookmarkEnd w:id="356"/>
      <w:bookmarkEnd w:id="357"/>
      <w:bookmarkEnd w:id="358"/>
      <w:bookmarkEnd w:id="359"/>
      <w:bookmarkEnd w:id="360"/>
      <w:bookmarkEnd w:id="361"/>
      <w:bookmarkEnd w:id="362"/>
    </w:p>
    <w:p w14:paraId="1F4E9129">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适用于工程的标准规范包括：</w:t>
      </w:r>
      <w:r>
        <w:rPr>
          <w:rFonts w:hint="eastAsia" w:ascii="宋体" w:hAnsi="宋体" w:cs="宋体"/>
          <w:b/>
          <w:color w:val="auto"/>
          <w:szCs w:val="21"/>
          <w:highlight w:val="none"/>
          <w:u w:val="single"/>
        </w:rPr>
        <w:t>现行的国家标准、规范以及行业标准、规范及地方标准、规范</w:t>
      </w:r>
      <w:r>
        <w:rPr>
          <w:rFonts w:hint="eastAsia" w:ascii="宋体" w:hAnsi="宋体" w:cs="宋体"/>
          <w:color w:val="auto"/>
          <w:szCs w:val="21"/>
          <w:highlight w:val="none"/>
        </w:rPr>
        <w:t>。</w:t>
      </w:r>
    </w:p>
    <w:p w14:paraId="76346963">
      <w:pPr>
        <w:pStyle w:val="63"/>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1.4.2 发包人提供国外标准、规范的名称：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474BB08">
      <w:pPr>
        <w:pStyle w:val="63"/>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发包人提供国外标准、规范的份数：</w:t>
      </w:r>
      <w:r>
        <w:rPr>
          <w:rFonts w:hint="eastAsia" w:ascii="宋体" w:hAnsi="宋体" w:cs="宋体"/>
          <w:color w:val="auto"/>
          <w:szCs w:val="21"/>
          <w:highlight w:val="none"/>
          <w:u w:val="single"/>
        </w:rPr>
        <w:t>/</w:t>
      </w:r>
      <w:r>
        <w:rPr>
          <w:rFonts w:hint="eastAsia" w:ascii="宋体" w:hAnsi="宋体" w:cs="宋体"/>
          <w:color w:val="auto"/>
          <w:kern w:val="0"/>
          <w:szCs w:val="21"/>
          <w:highlight w:val="none"/>
        </w:rPr>
        <w:t>；</w:t>
      </w:r>
    </w:p>
    <w:p w14:paraId="1B643617">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发包人提供国外标准、规范的名称：</w:t>
      </w:r>
      <w:r>
        <w:rPr>
          <w:rFonts w:hint="eastAsia" w:ascii="宋体" w:hAnsi="宋体" w:cs="宋体"/>
          <w:color w:val="auto"/>
          <w:szCs w:val="21"/>
          <w:highlight w:val="none"/>
          <w:u w:val="single"/>
        </w:rPr>
        <w:t>/</w:t>
      </w:r>
      <w:r>
        <w:rPr>
          <w:rFonts w:hint="eastAsia" w:ascii="宋体" w:hAnsi="宋体" w:cs="宋体"/>
          <w:color w:val="auto"/>
          <w:kern w:val="0"/>
          <w:szCs w:val="21"/>
          <w:highlight w:val="none"/>
        </w:rPr>
        <w:t>。</w:t>
      </w:r>
    </w:p>
    <w:p w14:paraId="1DD0B07A">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 发包人对工程的技术标准和功能要求的特殊要求：</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663466D0">
      <w:pPr>
        <w:pStyle w:val="130"/>
        <w:spacing w:line="420" w:lineRule="exact"/>
        <w:rPr>
          <w:rFonts w:ascii="宋体" w:hAnsi="宋体" w:cs="宋体"/>
          <w:color w:val="auto"/>
          <w:sz w:val="24"/>
          <w:szCs w:val="24"/>
          <w:highlight w:val="none"/>
        </w:rPr>
      </w:pPr>
      <w:bookmarkStart w:id="363" w:name="_Toc497901109"/>
      <w:bookmarkStart w:id="364" w:name="_Toc497147153"/>
      <w:bookmarkStart w:id="365" w:name="_Toc47088297"/>
      <w:bookmarkStart w:id="366" w:name="_Toc497215710"/>
      <w:bookmarkStart w:id="367" w:name="_Toc407135198"/>
      <w:bookmarkStart w:id="368" w:name="_Toc9666"/>
      <w:bookmarkStart w:id="369" w:name="_Toc75182698"/>
      <w:r>
        <w:rPr>
          <w:rFonts w:hint="eastAsia" w:ascii="宋体" w:hAnsi="宋体" w:cs="宋体"/>
          <w:color w:val="auto"/>
          <w:sz w:val="24"/>
          <w:szCs w:val="24"/>
          <w:highlight w:val="none"/>
        </w:rPr>
        <w:t>1.5 合同文件的优先顺序</w:t>
      </w:r>
      <w:bookmarkEnd w:id="363"/>
      <w:bookmarkEnd w:id="364"/>
      <w:bookmarkEnd w:id="365"/>
      <w:bookmarkEnd w:id="366"/>
      <w:bookmarkEnd w:id="367"/>
      <w:bookmarkEnd w:id="368"/>
      <w:bookmarkEnd w:id="369"/>
    </w:p>
    <w:p w14:paraId="7C1E6116">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合同文件组成及优先顺序为：</w:t>
      </w:r>
    </w:p>
    <w:p w14:paraId="0B8B34C0">
      <w:pPr>
        <w:pStyle w:val="63"/>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（1）合同协议书；</w:t>
      </w:r>
    </w:p>
    <w:p w14:paraId="782D31FE">
      <w:pPr>
        <w:pStyle w:val="63"/>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（2）成交通知书（如果有）；</w:t>
      </w:r>
    </w:p>
    <w:p w14:paraId="290E5769">
      <w:pPr>
        <w:pStyle w:val="63"/>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（3）磋商函及其附录（如果有）；</w:t>
      </w:r>
    </w:p>
    <w:p w14:paraId="4704F8C6">
      <w:pPr>
        <w:pStyle w:val="63"/>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（4）专用合同条款及其附件；</w:t>
      </w:r>
    </w:p>
    <w:p w14:paraId="43EBF84A">
      <w:pPr>
        <w:pStyle w:val="63"/>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（5）通用合同条款；</w:t>
      </w:r>
    </w:p>
    <w:p w14:paraId="2DCD9E46">
      <w:pPr>
        <w:pStyle w:val="63"/>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kern w:val="0"/>
          <w:szCs w:val="21"/>
          <w:highlight w:val="none"/>
          <w:u w:val="single"/>
        </w:rPr>
        <w:t>技术标准和要求</w:t>
      </w:r>
      <w:r>
        <w:rPr>
          <w:rFonts w:hint="eastAsia" w:ascii="宋体" w:hAnsi="宋体" w:cs="宋体"/>
          <w:color w:val="auto"/>
          <w:kern w:val="0"/>
          <w:szCs w:val="21"/>
          <w:highlight w:val="none"/>
        </w:rPr>
        <w:t>；</w:t>
      </w:r>
    </w:p>
    <w:p w14:paraId="36F3B7FE">
      <w:pPr>
        <w:pStyle w:val="63"/>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w:t>
      </w:r>
      <w:r>
        <w:rPr>
          <w:rFonts w:hint="eastAsia" w:ascii="宋体" w:hAnsi="宋体" w:cs="宋体"/>
          <w:color w:val="auto"/>
          <w:kern w:val="0"/>
          <w:szCs w:val="21"/>
          <w:highlight w:val="none"/>
          <w:u w:val="single"/>
        </w:rPr>
        <w:t>图纸</w:t>
      </w:r>
      <w:r>
        <w:rPr>
          <w:rFonts w:hint="eastAsia" w:ascii="宋体" w:hAnsi="宋体" w:cs="宋体"/>
          <w:color w:val="auto"/>
          <w:kern w:val="0"/>
          <w:szCs w:val="21"/>
          <w:highlight w:val="none"/>
        </w:rPr>
        <w:t>；</w:t>
      </w:r>
    </w:p>
    <w:p w14:paraId="2F2F3AE1">
      <w:pPr>
        <w:pStyle w:val="63"/>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w:t>
      </w:r>
      <w:r>
        <w:rPr>
          <w:rFonts w:hint="eastAsia" w:ascii="宋体" w:hAnsi="宋体" w:cs="宋体"/>
          <w:color w:val="auto"/>
          <w:kern w:val="0"/>
          <w:szCs w:val="21"/>
          <w:highlight w:val="none"/>
          <w:u w:val="single"/>
        </w:rPr>
        <w:t>已标价工程量清单或预算书</w:t>
      </w:r>
      <w:r>
        <w:rPr>
          <w:rFonts w:hint="eastAsia" w:ascii="宋体" w:hAnsi="宋体" w:cs="宋体"/>
          <w:color w:val="auto"/>
          <w:kern w:val="0"/>
          <w:szCs w:val="21"/>
          <w:highlight w:val="none"/>
        </w:rPr>
        <w:t>；</w:t>
      </w:r>
    </w:p>
    <w:p w14:paraId="0432FC32">
      <w:pPr>
        <w:pStyle w:val="63"/>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w:t>
      </w:r>
      <w:r>
        <w:rPr>
          <w:rFonts w:hint="eastAsia" w:ascii="宋体" w:hAnsi="宋体" w:cs="宋体"/>
          <w:color w:val="auto"/>
          <w:kern w:val="0"/>
          <w:szCs w:val="21"/>
          <w:highlight w:val="none"/>
          <w:u w:val="single"/>
        </w:rPr>
        <w:t>其他合同文件</w:t>
      </w:r>
      <w:r>
        <w:rPr>
          <w:rFonts w:hint="eastAsia" w:ascii="宋体" w:hAnsi="宋体" w:cs="宋体"/>
          <w:color w:val="auto"/>
          <w:kern w:val="0"/>
          <w:szCs w:val="21"/>
          <w:highlight w:val="none"/>
        </w:rPr>
        <w:t>。</w:t>
      </w:r>
    </w:p>
    <w:p w14:paraId="1F3D149A">
      <w:pPr>
        <w:pStyle w:val="63"/>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p>
    <w:p w14:paraId="0B812884">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说明：（6）、（7）、（8）、（9）填空内容分别限于技术标准和要求、图纸、已标价工程量清单或预算书、其他合同文件四者之一，其优先顺序可根据采取的不同合同方式由双方约定。</w:t>
      </w:r>
    </w:p>
    <w:p w14:paraId="7A41AC65">
      <w:pPr>
        <w:pStyle w:val="130"/>
        <w:spacing w:line="420" w:lineRule="exact"/>
        <w:rPr>
          <w:rFonts w:ascii="宋体" w:hAnsi="宋体" w:cs="宋体"/>
          <w:color w:val="auto"/>
          <w:sz w:val="24"/>
          <w:szCs w:val="24"/>
          <w:highlight w:val="none"/>
        </w:rPr>
      </w:pPr>
      <w:bookmarkStart w:id="370" w:name="_Toc497215711"/>
      <w:bookmarkStart w:id="371" w:name="_Toc75182699"/>
      <w:bookmarkStart w:id="372" w:name="_Toc497901110"/>
      <w:bookmarkStart w:id="373" w:name="_Toc6628"/>
      <w:bookmarkStart w:id="374" w:name="_Toc47088298"/>
      <w:bookmarkStart w:id="375" w:name="_Toc407135199"/>
      <w:bookmarkStart w:id="376" w:name="_Toc497147154"/>
      <w:r>
        <w:rPr>
          <w:rFonts w:hint="eastAsia" w:ascii="宋体" w:hAnsi="宋体" w:cs="宋体"/>
          <w:color w:val="auto"/>
          <w:sz w:val="24"/>
          <w:szCs w:val="24"/>
          <w:highlight w:val="none"/>
        </w:rPr>
        <w:t>1.6 图纸和承包人文件</w:t>
      </w:r>
      <w:bookmarkEnd w:id="370"/>
      <w:bookmarkEnd w:id="371"/>
      <w:bookmarkEnd w:id="372"/>
      <w:bookmarkEnd w:id="373"/>
      <w:bookmarkEnd w:id="374"/>
      <w:bookmarkEnd w:id="375"/>
      <w:bookmarkEnd w:id="376"/>
      <w:r>
        <w:rPr>
          <w:rFonts w:hint="eastAsia" w:ascii="宋体" w:hAnsi="宋体" w:cs="宋体"/>
          <w:color w:val="auto"/>
          <w:sz w:val="24"/>
          <w:szCs w:val="24"/>
          <w:highlight w:val="none"/>
        </w:rPr>
        <w:tab/>
      </w:r>
    </w:p>
    <w:p w14:paraId="7BC67325">
      <w:pPr>
        <w:pStyle w:val="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 图纸的提供</w:t>
      </w:r>
    </w:p>
    <w:p w14:paraId="7B8A5AEB">
      <w:pPr>
        <w:pStyle w:val="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rPr>
        <w:t></w:t>
      </w:r>
      <w:r>
        <w:rPr>
          <w:rFonts w:hint="eastAsia" w:ascii="宋体" w:hAnsi="宋体" w:cs="宋体"/>
          <w:b/>
          <w:color w:val="auto"/>
          <w:szCs w:val="21"/>
          <w:highlight w:val="none"/>
          <w:u w:val="single"/>
        </w:rPr>
        <w:t>合同生效后7天内</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7CEDEAC3">
      <w:pPr>
        <w:pStyle w:val="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rPr>
        <w:t>三套，承包人需要增加图纸套数的，发包人应代为复制，复制费用由承包人承担</w:t>
      </w:r>
      <w:r>
        <w:rPr>
          <w:rFonts w:hint="eastAsia" w:ascii="宋体" w:hAnsi="宋体" w:cs="宋体"/>
          <w:color w:val="auto"/>
          <w:szCs w:val="21"/>
          <w:highlight w:val="none"/>
        </w:rPr>
        <w:t>；</w:t>
      </w:r>
    </w:p>
    <w:p w14:paraId="77AE9782">
      <w:pPr>
        <w:pStyle w:val="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szCs w:val="21"/>
          <w:highlight w:val="none"/>
          <w:u w:val="single"/>
        </w:rPr>
        <w:t></w:t>
      </w:r>
      <w:r>
        <w:rPr>
          <w:rFonts w:hint="eastAsia" w:ascii="宋体" w:hAnsi="宋体" w:cs="宋体"/>
          <w:b/>
          <w:color w:val="auto"/>
          <w:szCs w:val="21"/>
          <w:highlight w:val="none"/>
          <w:u w:val="single"/>
        </w:rPr>
        <w:t>经审图单位盖章合格的全套施工图</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1159484E">
      <w:pPr>
        <w:pStyle w:val="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 承包人文件</w:t>
      </w:r>
    </w:p>
    <w:p w14:paraId="2144EFC8">
      <w:pPr>
        <w:pStyle w:val="7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需要由承包人提供的文件，包括：</w:t>
      </w:r>
      <w:r>
        <w:rPr>
          <w:rFonts w:hint="eastAsia" w:ascii="宋体" w:hAnsi="宋体" w:cs="宋体"/>
          <w:color w:val="auto"/>
          <w:szCs w:val="21"/>
          <w:highlight w:val="none"/>
          <w:u w:val="single"/>
        </w:rPr>
        <w:t></w:t>
      </w:r>
      <w:r>
        <w:rPr>
          <w:rFonts w:hint="eastAsia" w:ascii="宋体" w:hAnsi="宋体" w:cs="宋体"/>
          <w:b/>
          <w:color w:val="auto"/>
          <w:szCs w:val="21"/>
          <w:highlight w:val="none"/>
          <w:u w:val="single"/>
        </w:rPr>
        <w:t>必要的加工图、大样图及国家建筑标准设计图集</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62F93280">
      <w:pPr>
        <w:pStyle w:val="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color w:val="auto"/>
          <w:szCs w:val="21"/>
          <w:highlight w:val="none"/>
          <w:u w:val="single"/>
        </w:rPr>
        <w:t></w:t>
      </w:r>
      <w:r>
        <w:rPr>
          <w:rFonts w:hint="eastAsia" w:ascii="宋体" w:hAnsi="宋体" w:cs="宋体"/>
          <w:b/>
          <w:bCs/>
          <w:color w:val="auto"/>
          <w:szCs w:val="21"/>
          <w:highlight w:val="none"/>
          <w:u w:val="single"/>
        </w:rPr>
        <w:t>工程</w:t>
      </w:r>
      <w:r>
        <w:rPr>
          <w:rFonts w:hint="eastAsia" w:ascii="宋体" w:hAnsi="宋体" w:cs="宋体"/>
          <w:b/>
          <w:color w:val="auto"/>
          <w:szCs w:val="21"/>
          <w:highlight w:val="none"/>
          <w:u w:val="single"/>
        </w:rPr>
        <w:t>开始施工前7天内</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27F8DDEE">
      <w:pPr>
        <w:pStyle w:val="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color w:val="auto"/>
          <w:szCs w:val="21"/>
          <w:highlight w:val="none"/>
          <w:u w:val="single"/>
        </w:rPr>
        <w:t></w:t>
      </w:r>
      <w:r>
        <w:rPr>
          <w:rFonts w:hint="eastAsia" w:ascii="宋体" w:hAnsi="宋体" w:cs="宋体"/>
          <w:b/>
          <w:color w:val="auto"/>
          <w:szCs w:val="21"/>
          <w:highlight w:val="none"/>
          <w:u w:val="single"/>
        </w:rPr>
        <w:t>一式四份</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0206888">
      <w:pPr>
        <w:pStyle w:val="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color w:val="auto"/>
          <w:szCs w:val="21"/>
          <w:highlight w:val="none"/>
          <w:u w:val="single"/>
        </w:rPr>
        <w:t></w:t>
      </w:r>
      <w:r>
        <w:rPr>
          <w:rFonts w:hint="eastAsia" w:ascii="宋体" w:hAnsi="宋体" w:cs="宋体"/>
          <w:b/>
          <w:color w:val="auto"/>
          <w:szCs w:val="21"/>
          <w:highlight w:val="none"/>
          <w:u w:val="single"/>
        </w:rPr>
        <w:t>纸质</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170CE8A5">
      <w:pPr>
        <w:pStyle w:val="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color w:val="auto"/>
          <w:szCs w:val="21"/>
          <w:highlight w:val="none"/>
          <w:u w:val="single"/>
        </w:rPr>
        <w:t></w:t>
      </w:r>
      <w:r>
        <w:rPr>
          <w:rFonts w:hint="eastAsia" w:ascii="宋体" w:hAnsi="宋体" w:cs="宋体"/>
          <w:b/>
          <w:color w:val="auto"/>
          <w:kern w:val="0"/>
          <w:szCs w:val="21"/>
          <w:highlight w:val="none"/>
          <w:u w:val="single"/>
        </w:rPr>
        <w:t>文件签收后7天内</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6796220A">
      <w:pPr>
        <w:pStyle w:val="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 现场图纸准备</w:t>
      </w:r>
    </w:p>
    <w:p w14:paraId="2874D96B">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color w:val="auto"/>
          <w:szCs w:val="21"/>
          <w:highlight w:val="none"/>
          <w:u w:val="single"/>
        </w:rPr>
        <w:t></w:t>
      </w:r>
      <w:r>
        <w:rPr>
          <w:rFonts w:hint="eastAsia" w:ascii="宋体" w:hAnsi="宋体" w:cs="宋体"/>
          <w:b/>
          <w:color w:val="auto"/>
          <w:kern w:val="0"/>
          <w:szCs w:val="21"/>
          <w:highlight w:val="none"/>
          <w:u w:val="single"/>
        </w:rPr>
        <w:t>在该工程或相应部位施工前7天</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4D5712C1">
      <w:pPr>
        <w:pStyle w:val="130"/>
        <w:spacing w:line="420" w:lineRule="exact"/>
        <w:rPr>
          <w:rFonts w:ascii="宋体" w:hAnsi="宋体" w:cs="宋体"/>
          <w:color w:val="auto"/>
          <w:sz w:val="24"/>
          <w:szCs w:val="24"/>
          <w:highlight w:val="none"/>
        </w:rPr>
      </w:pPr>
      <w:bookmarkStart w:id="377" w:name="_Toc75182700"/>
      <w:bookmarkStart w:id="378" w:name="_Toc407135200"/>
      <w:bookmarkStart w:id="379" w:name="_Toc47088299"/>
      <w:bookmarkStart w:id="380" w:name="_Toc28401"/>
      <w:bookmarkStart w:id="381" w:name="_Toc497147155"/>
      <w:bookmarkStart w:id="382" w:name="_Toc497901111"/>
      <w:bookmarkStart w:id="383" w:name="_Toc497215712"/>
      <w:r>
        <w:rPr>
          <w:rFonts w:hint="eastAsia" w:ascii="宋体" w:hAnsi="宋体" w:cs="宋体"/>
          <w:color w:val="auto"/>
          <w:sz w:val="24"/>
          <w:szCs w:val="24"/>
          <w:highlight w:val="none"/>
        </w:rPr>
        <w:t>1.7 联络</w:t>
      </w:r>
      <w:bookmarkEnd w:id="377"/>
      <w:bookmarkEnd w:id="378"/>
      <w:bookmarkEnd w:id="379"/>
      <w:bookmarkEnd w:id="380"/>
      <w:bookmarkEnd w:id="381"/>
      <w:bookmarkEnd w:id="382"/>
      <w:bookmarkEnd w:id="383"/>
    </w:p>
    <w:p w14:paraId="5F09C16E">
      <w:pPr>
        <w:pStyle w:val="7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1.7.1发包人和承包人应当在</w:t>
      </w:r>
      <w:r>
        <w:rPr>
          <w:rFonts w:hint="eastAsia" w:ascii="宋体" w:hAnsi="宋体" w:cs="宋体"/>
          <w:color w:val="auto"/>
          <w:szCs w:val="21"/>
          <w:highlight w:val="none"/>
          <w:u w:val="single"/>
        </w:rPr>
        <w:t xml:space="preserve">7 </w:t>
      </w:r>
      <w:r>
        <w:rPr>
          <w:rFonts w:hint="eastAsia" w:ascii="宋体" w:hAnsi="宋体" w:cs="宋体"/>
          <w:color w:val="auto"/>
          <w:kern w:val="0"/>
          <w:szCs w:val="21"/>
          <w:highlight w:val="none"/>
        </w:rPr>
        <w:t>天内将与合同有关的通知、批准、证明、证书、指示、指令、要求、请求、同意、意见、确定和决定等书面函件送达对方当事人。</w:t>
      </w:r>
    </w:p>
    <w:p w14:paraId="514375B1">
      <w:pPr>
        <w:pStyle w:val="7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1.7.2 发包人接收文件的地点：</w:t>
      </w:r>
      <w:r>
        <w:rPr>
          <w:rFonts w:hint="eastAsia" w:ascii="宋体" w:hAnsi="宋体" w:cs="宋体"/>
          <w:color w:val="auto"/>
          <w:szCs w:val="21"/>
          <w:highlight w:val="none"/>
          <w:u w:val="single"/>
        </w:rPr>
        <w:t></w:t>
      </w:r>
      <w:r>
        <w:rPr>
          <w:rFonts w:hint="eastAsia" w:ascii="宋体" w:hAnsi="宋体" w:cs="宋体"/>
          <w:b/>
          <w:color w:val="auto"/>
          <w:kern w:val="0"/>
          <w:szCs w:val="21"/>
          <w:highlight w:val="none"/>
          <w:u w:val="single"/>
        </w:rPr>
        <w:t>工程项目部</w:t>
      </w:r>
      <w:r>
        <w:rPr>
          <w:rFonts w:hint="eastAsia" w:ascii="宋体" w:hAnsi="宋体" w:cs="宋体"/>
          <w:color w:val="auto"/>
          <w:szCs w:val="21"/>
          <w:highlight w:val="none"/>
          <w:u w:val="single"/>
        </w:rPr>
        <w:t></w:t>
      </w:r>
      <w:r>
        <w:rPr>
          <w:rFonts w:hint="eastAsia" w:ascii="宋体" w:hAnsi="宋体" w:cs="宋体"/>
          <w:color w:val="auto"/>
          <w:kern w:val="0"/>
          <w:szCs w:val="21"/>
          <w:highlight w:val="none"/>
        </w:rPr>
        <w:t>；</w:t>
      </w:r>
    </w:p>
    <w:p w14:paraId="42C114E9">
      <w:pPr>
        <w:pStyle w:val="7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szCs w:val="21"/>
          <w:highlight w:val="none"/>
          <w:u w:val="single"/>
        </w:rPr>
        <w:t></w:t>
      </w:r>
      <w:r>
        <w:rPr>
          <w:rFonts w:hint="eastAsia" w:ascii="宋体" w:hAnsi="宋体" w:cs="宋体"/>
          <w:b/>
          <w:color w:val="auto"/>
          <w:szCs w:val="21"/>
          <w:highlight w:val="none"/>
          <w:u w:val="single"/>
        </w:rPr>
        <w:t>发包人现场代表</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0EDEC72C">
      <w:pPr>
        <w:pStyle w:val="7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color w:val="auto"/>
          <w:szCs w:val="21"/>
          <w:highlight w:val="none"/>
          <w:u w:val="single"/>
        </w:rPr>
        <w:t></w:t>
      </w:r>
      <w:r>
        <w:rPr>
          <w:rFonts w:hint="eastAsia" w:ascii="宋体" w:hAnsi="宋体" w:cs="宋体"/>
          <w:b/>
          <w:color w:val="auto"/>
          <w:kern w:val="0"/>
          <w:szCs w:val="21"/>
          <w:highlight w:val="none"/>
          <w:u w:val="single"/>
        </w:rPr>
        <w:t>工程项目部</w:t>
      </w:r>
      <w:r>
        <w:rPr>
          <w:rFonts w:hint="eastAsia" w:ascii="宋体" w:hAnsi="宋体" w:cs="宋体"/>
          <w:color w:val="auto"/>
          <w:szCs w:val="21"/>
          <w:highlight w:val="none"/>
          <w:u w:val="single"/>
        </w:rPr>
        <w:t></w:t>
      </w:r>
      <w:r>
        <w:rPr>
          <w:rFonts w:hint="eastAsia" w:ascii="宋体" w:hAnsi="宋体" w:cs="宋体"/>
          <w:color w:val="auto"/>
          <w:kern w:val="0"/>
          <w:szCs w:val="21"/>
          <w:highlight w:val="none"/>
        </w:rPr>
        <w:t>；</w:t>
      </w:r>
    </w:p>
    <w:p w14:paraId="7DFA5A77">
      <w:pPr>
        <w:pStyle w:val="7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szCs w:val="21"/>
          <w:highlight w:val="none"/>
          <w:u w:val="single"/>
        </w:rPr>
        <w:t></w:t>
      </w:r>
      <w:r>
        <w:rPr>
          <w:rFonts w:hint="eastAsia" w:ascii="宋体" w:hAnsi="宋体" w:cs="宋体"/>
          <w:b/>
          <w:color w:val="auto"/>
          <w:szCs w:val="21"/>
          <w:highlight w:val="none"/>
          <w:u w:val="single"/>
        </w:rPr>
        <w:t>项目经理</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49A1DF7C">
      <w:pPr>
        <w:pStyle w:val="7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color w:val="auto"/>
          <w:szCs w:val="21"/>
          <w:highlight w:val="none"/>
          <w:u w:val="single"/>
        </w:rPr>
        <w:t></w:t>
      </w:r>
      <w:r>
        <w:rPr>
          <w:rFonts w:hint="eastAsia" w:ascii="宋体" w:hAnsi="宋体" w:cs="宋体"/>
          <w:b/>
          <w:color w:val="auto"/>
          <w:szCs w:val="21"/>
          <w:highlight w:val="none"/>
          <w:u w:val="single"/>
        </w:rPr>
        <w:t>项目监理办公室</w:t>
      </w:r>
      <w:r>
        <w:rPr>
          <w:rFonts w:hint="eastAsia" w:ascii="宋体" w:hAnsi="宋体" w:cs="宋体"/>
          <w:color w:val="auto"/>
          <w:kern w:val="0"/>
          <w:szCs w:val="21"/>
          <w:highlight w:val="none"/>
        </w:rPr>
        <w:t>；</w:t>
      </w:r>
    </w:p>
    <w:p w14:paraId="3761FC2C">
      <w:pPr>
        <w:pStyle w:val="63"/>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监理人指定的接收人为：</w:t>
      </w:r>
      <w:r>
        <w:rPr>
          <w:rFonts w:hint="eastAsia" w:ascii="宋体" w:hAnsi="宋体" w:cs="宋体"/>
          <w:color w:val="auto"/>
          <w:szCs w:val="21"/>
          <w:highlight w:val="none"/>
          <w:u w:val="single"/>
        </w:rPr>
        <w:t></w:t>
      </w:r>
      <w:r>
        <w:rPr>
          <w:rFonts w:hint="eastAsia" w:ascii="宋体" w:hAnsi="宋体" w:cs="宋体"/>
          <w:b/>
          <w:color w:val="auto"/>
          <w:szCs w:val="21"/>
          <w:highlight w:val="none"/>
          <w:u w:val="single"/>
        </w:rPr>
        <w:t>现场监理工程师</w:t>
      </w:r>
      <w:r>
        <w:rPr>
          <w:rFonts w:hint="eastAsia" w:ascii="宋体" w:hAnsi="宋体" w:cs="宋体"/>
          <w:color w:val="auto"/>
          <w:szCs w:val="21"/>
          <w:highlight w:val="none"/>
          <w:u w:val="single"/>
        </w:rPr>
        <w:t></w:t>
      </w:r>
      <w:r>
        <w:rPr>
          <w:rFonts w:hint="eastAsia" w:ascii="宋体" w:hAnsi="宋体" w:cs="宋体"/>
          <w:color w:val="auto"/>
          <w:kern w:val="0"/>
          <w:szCs w:val="21"/>
          <w:highlight w:val="none"/>
        </w:rPr>
        <w:t>。</w:t>
      </w:r>
    </w:p>
    <w:p w14:paraId="7B427051">
      <w:pPr>
        <w:pStyle w:val="130"/>
        <w:spacing w:line="420" w:lineRule="exact"/>
        <w:rPr>
          <w:rFonts w:ascii="宋体" w:hAnsi="宋体" w:cs="宋体"/>
          <w:color w:val="auto"/>
          <w:sz w:val="24"/>
          <w:szCs w:val="24"/>
          <w:highlight w:val="none"/>
        </w:rPr>
      </w:pPr>
      <w:bookmarkStart w:id="384" w:name="_Toc75182701"/>
      <w:bookmarkStart w:id="385" w:name="_Toc497215713"/>
      <w:bookmarkStart w:id="386" w:name="_Toc47088300"/>
      <w:bookmarkStart w:id="387" w:name="_Toc497147156"/>
      <w:bookmarkStart w:id="388" w:name="_Toc497901112"/>
      <w:bookmarkStart w:id="389" w:name="_Toc407135201"/>
      <w:bookmarkStart w:id="390" w:name="_Toc2401"/>
      <w:r>
        <w:rPr>
          <w:rFonts w:hint="eastAsia" w:ascii="宋体" w:hAnsi="宋体" w:cs="宋体"/>
          <w:color w:val="auto"/>
          <w:sz w:val="24"/>
          <w:szCs w:val="24"/>
          <w:highlight w:val="none"/>
        </w:rPr>
        <w:t>1.10 交通运输</w:t>
      </w:r>
      <w:bookmarkEnd w:id="384"/>
      <w:bookmarkEnd w:id="385"/>
      <w:bookmarkEnd w:id="386"/>
      <w:bookmarkEnd w:id="387"/>
      <w:bookmarkEnd w:id="388"/>
      <w:bookmarkEnd w:id="389"/>
      <w:bookmarkEnd w:id="390"/>
    </w:p>
    <w:p w14:paraId="21F640AB">
      <w:pPr>
        <w:pStyle w:val="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1.10.1 出入现场的权利</w:t>
      </w:r>
    </w:p>
    <w:p w14:paraId="2B1ABF8C">
      <w:pPr>
        <w:pStyle w:val="7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关于出入现场的权利的约定：</w:t>
      </w:r>
      <w:r>
        <w:rPr>
          <w:rFonts w:hint="eastAsia" w:ascii="宋体" w:hAnsi="宋体" w:cs="宋体"/>
          <w:color w:val="auto"/>
          <w:szCs w:val="21"/>
          <w:highlight w:val="none"/>
          <w:u w:val="single"/>
        </w:rPr>
        <w:t></w:t>
      </w:r>
      <w:r>
        <w:rPr>
          <w:rFonts w:hint="eastAsia" w:ascii="宋体" w:hAnsi="宋体" w:cs="宋体"/>
          <w:color w:val="auto"/>
          <w:kern w:val="0"/>
          <w:szCs w:val="21"/>
          <w:highlight w:val="none"/>
          <w:u w:val="single"/>
        </w:rPr>
        <w:t>由承包人按发包人要求负责取得出入施工现场所需的批准手续和全部权利</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00793698">
      <w:pPr>
        <w:pStyle w:val="7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1.10.3 场内交通</w:t>
      </w:r>
    </w:p>
    <w:p w14:paraId="7D6CF955">
      <w:pPr>
        <w:pStyle w:val="7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关于场外交通和场内交通的边界的约定：</w:t>
      </w:r>
      <w:r>
        <w:rPr>
          <w:rFonts w:hint="eastAsia" w:ascii="宋体" w:hAnsi="宋体" w:cs="宋体"/>
          <w:color w:val="auto"/>
          <w:szCs w:val="21"/>
          <w:highlight w:val="none"/>
          <w:u w:val="single"/>
        </w:rPr>
        <w:t></w:t>
      </w:r>
      <w:r>
        <w:rPr>
          <w:rFonts w:hint="eastAsia" w:ascii="宋体" w:hAnsi="宋体" w:cs="宋体"/>
          <w:b/>
          <w:color w:val="auto"/>
          <w:kern w:val="0"/>
          <w:szCs w:val="21"/>
          <w:highlight w:val="none"/>
          <w:u w:val="single"/>
        </w:rPr>
        <w:t>本项目约定工程所在地块红线范围内为场内</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78190980">
      <w:pPr>
        <w:pStyle w:val="7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s="宋体"/>
          <w:color w:val="auto"/>
          <w:szCs w:val="21"/>
          <w:highlight w:val="none"/>
          <w:u w:val="single"/>
        </w:rPr>
        <w:t xml:space="preserve">开工前七天公共道路通道开通至施工场地外边缘即可，其余由承包人负责修建及保养  </w:t>
      </w:r>
      <w:r>
        <w:rPr>
          <w:rFonts w:hint="eastAsia" w:ascii="宋体" w:hAnsi="宋体" w:cs="宋体"/>
          <w:color w:val="auto"/>
          <w:szCs w:val="21"/>
          <w:highlight w:val="none"/>
        </w:rPr>
        <w:t>。</w:t>
      </w:r>
    </w:p>
    <w:p w14:paraId="38B9F0D1">
      <w:pPr>
        <w:pStyle w:val="7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1.10.4 超大件和超重件的运输</w:t>
      </w:r>
    </w:p>
    <w:p w14:paraId="594DCC34">
      <w:pPr>
        <w:pStyle w:val="63"/>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b/>
          <w:bCs/>
          <w:color w:val="auto"/>
          <w:szCs w:val="21"/>
          <w:highlight w:val="none"/>
          <w:u w:val="single"/>
        </w:rPr>
        <w:t>已计价的</w:t>
      </w:r>
      <w:r>
        <w:rPr>
          <w:rFonts w:hint="eastAsia" w:ascii="宋体" w:hAnsi="宋体" w:cs="宋体"/>
          <w:b/>
          <w:color w:val="auto"/>
          <w:szCs w:val="21"/>
          <w:highlight w:val="none"/>
          <w:u w:val="single"/>
        </w:rPr>
        <w:t>承包人</w:t>
      </w:r>
      <w:r>
        <w:rPr>
          <w:rFonts w:hint="eastAsia" w:ascii="宋体" w:hAnsi="宋体" w:cs="宋体"/>
          <w:color w:val="auto"/>
          <w:szCs w:val="21"/>
          <w:highlight w:val="none"/>
        </w:rPr>
        <w:t>承担。</w:t>
      </w:r>
    </w:p>
    <w:p w14:paraId="2A82F5D7">
      <w:pPr>
        <w:pStyle w:val="130"/>
        <w:spacing w:line="420" w:lineRule="exact"/>
        <w:rPr>
          <w:rFonts w:ascii="宋体" w:hAnsi="宋体" w:cs="宋体"/>
          <w:color w:val="auto"/>
          <w:sz w:val="24"/>
          <w:szCs w:val="24"/>
          <w:highlight w:val="none"/>
        </w:rPr>
      </w:pPr>
      <w:bookmarkStart w:id="391" w:name="_Toc9080"/>
      <w:bookmarkStart w:id="392" w:name="_Toc497215714"/>
      <w:bookmarkStart w:id="393" w:name="_Toc497901113"/>
      <w:bookmarkStart w:id="394" w:name="_Toc47088301"/>
      <w:bookmarkStart w:id="395" w:name="_Toc497147157"/>
      <w:bookmarkStart w:id="396" w:name="_Toc75182702"/>
      <w:bookmarkStart w:id="397" w:name="_Toc407135202"/>
      <w:r>
        <w:rPr>
          <w:rFonts w:hint="eastAsia" w:ascii="宋体" w:hAnsi="宋体" w:cs="宋体"/>
          <w:color w:val="auto"/>
          <w:sz w:val="24"/>
          <w:szCs w:val="24"/>
          <w:highlight w:val="none"/>
        </w:rPr>
        <w:t>1.11 知识产权</w:t>
      </w:r>
      <w:bookmarkEnd w:id="391"/>
      <w:bookmarkEnd w:id="392"/>
      <w:bookmarkEnd w:id="393"/>
      <w:bookmarkEnd w:id="394"/>
      <w:bookmarkEnd w:id="395"/>
      <w:bookmarkEnd w:id="396"/>
      <w:bookmarkEnd w:id="397"/>
    </w:p>
    <w:p w14:paraId="65502EFD">
      <w:pPr>
        <w:pStyle w:val="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rPr>
        <w:t></w:t>
      </w:r>
      <w:r>
        <w:rPr>
          <w:rFonts w:hint="eastAsia" w:ascii="宋体" w:hAnsi="宋体" w:cs="宋体"/>
          <w:b/>
          <w:color w:val="auto"/>
          <w:szCs w:val="21"/>
          <w:highlight w:val="none"/>
          <w:u w:val="single"/>
        </w:rPr>
        <w:t>发包人</w:t>
      </w:r>
      <w:r>
        <w:rPr>
          <w:rFonts w:hint="eastAsia" w:ascii="宋体" w:hAnsi="宋体" w:cs="宋体"/>
          <w:color w:val="auto"/>
          <w:szCs w:val="21"/>
          <w:highlight w:val="none"/>
        </w:rPr>
        <w:t>。</w:t>
      </w:r>
    </w:p>
    <w:p w14:paraId="0D8A7269">
      <w:pPr>
        <w:pStyle w:val="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color w:val="auto"/>
          <w:szCs w:val="21"/>
          <w:highlight w:val="none"/>
          <w:u w:val="single"/>
        </w:rPr>
        <w:t xml:space="preserve">  承包人可以为实现合同目的而复制、使用此类文件，但不能用于与本合同无关的其他事项，未经发包人书面同意，承包人不得为了本合同以外的目的而复制、使用上述文件或将之提供给任何第三方</w:t>
      </w:r>
      <w:r>
        <w:rPr>
          <w:rFonts w:hint="eastAsia" w:ascii="宋体" w:hAnsi="宋体" w:cs="宋体"/>
          <w:color w:val="auto"/>
          <w:szCs w:val="21"/>
          <w:highlight w:val="none"/>
        </w:rPr>
        <w:t>。</w:t>
      </w:r>
    </w:p>
    <w:p w14:paraId="13DF7DE9">
      <w:pPr>
        <w:pStyle w:val="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s="宋体"/>
          <w:b/>
          <w:color w:val="auto"/>
          <w:szCs w:val="21"/>
          <w:highlight w:val="none"/>
          <w:u w:val="single"/>
        </w:rPr>
        <w:t xml:space="preserve">承包人 </w:t>
      </w:r>
      <w:r>
        <w:rPr>
          <w:rFonts w:hint="eastAsia" w:ascii="宋体" w:hAnsi="宋体" w:cs="宋体"/>
          <w:color w:val="auto"/>
          <w:szCs w:val="21"/>
          <w:highlight w:val="none"/>
        </w:rPr>
        <w:t>。</w:t>
      </w:r>
    </w:p>
    <w:p w14:paraId="337D55D7">
      <w:pPr>
        <w:pStyle w:val="7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关于承包人提供的上述文件的使用限制的要求：</w:t>
      </w:r>
      <w:r>
        <w:rPr>
          <w:rFonts w:hint="eastAsia" w:ascii="宋体" w:hAnsi="宋体" w:cs="宋体"/>
          <w:color w:val="auto"/>
          <w:szCs w:val="21"/>
          <w:highlight w:val="none"/>
          <w:u w:val="single"/>
        </w:rPr>
        <w:t>发包人可因施工工程的运行、调试、维修、改造等目的而复制、使用此类文件。未经承包人书面同意，发包人不能为了合同以外的目的而复制、使用上述文件或将之提供给任何第三方</w:t>
      </w:r>
      <w:r>
        <w:rPr>
          <w:rFonts w:hint="eastAsia" w:ascii="宋体" w:hAnsi="宋体" w:cs="宋体"/>
          <w:color w:val="auto"/>
          <w:szCs w:val="21"/>
          <w:highlight w:val="none"/>
        </w:rPr>
        <w:t>。</w:t>
      </w:r>
    </w:p>
    <w:p w14:paraId="083F30B5">
      <w:pPr>
        <w:pStyle w:val="63"/>
        <w:spacing w:line="360" w:lineRule="auto"/>
        <w:rPr>
          <w:rFonts w:ascii="宋体" w:hAnsi="宋体" w:cs="宋体"/>
          <w:color w:val="auto"/>
          <w:kern w:val="0"/>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s="宋体"/>
          <w:b/>
          <w:color w:val="auto"/>
          <w:kern w:val="0"/>
          <w:highlight w:val="none"/>
          <w:u w:val="single"/>
        </w:rPr>
        <w:t>按通用条款</w:t>
      </w:r>
      <w:r>
        <w:rPr>
          <w:rFonts w:hint="eastAsia" w:ascii="宋体" w:hAnsi="宋体" w:cs="宋体"/>
          <w:b/>
          <w:color w:val="auto"/>
          <w:szCs w:val="21"/>
          <w:highlight w:val="none"/>
          <w:u w:val="single"/>
        </w:rPr>
        <w:t>1.11.4条执行</w:t>
      </w:r>
      <w:r>
        <w:rPr>
          <w:rFonts w:hint="eastAsia" w:ascii="宋体" w:hAnsi="宋体" w:cs="宋体"/>
          <w:color w:val="auto"/>
          <w:kern w:val="0"/>
          <w:szCs w:val="21"/>
          <w:highlight w:val="none"/>
        </w:rPr>
        <w:t>。</w:t>
      </w:r>
    </w:p>
    <w:p w14:paraId="67D7D53D">
      <w:pPr>
        <w:pStyle w:val="130"/>
        <w:spacing w:line="420" w:lineRule="exact"/>
        <w:rPr>
          <w:rFonts w:ascii="宋体" w:hAnsi="宋体" w:cs="宋体"/>
          <w:color w:val="auto"/>
          <w:sz w:val="24"/>
          <w:szCs w:val="24"/>
          <w:highlight w:val="none"/>
        </w:rPr>
      </w:pPr>
      <w:bookmarkStart w:id="398" w:name="_Toc497147158"/>
      <w:bookmarkStart w:id="399" w:name="_Toc47088302"/>
      <w:bookmarkStart w:id="400" w:name="_Toc407135203"/>
      <w:bookmarkStart w:id="401" w:name="_Toc13930"/>
      <w:bookmarkStart w:id="402" w:name="_Toc75182703"/>
      <w:bookmarkStart w:id="403" w:name="_Toc497901114"/>
      <w:bookmarkStart w:id="404" w:name="_Toc497215715"/>
      <w:r>
        <w:rPr>
          <w:rFonts w:hint="eastAsia" w:ascii="宋体" w:hAnsi="宋体" w:cs="宋体"/>
          <w:color w:val="auto"/>
          <w:sz w:val="24"/>
          <w:szCs w:val="24"/>
          <w:highlight w:val="none"/>
        </w:rPr>
        <w:t>1.13工程量清单错误的修正</w:t>
      </w:r>
      <w:bookmarkEnd w:id="398"/>
      <w:bookmarkEnd w:id="399"/>
      <w:bookmarkEnd w:id="400"/>
      <w:bookmarkEnd w:id="401"/>
      <w:bookmarkEnd w:id="402"/>
      <w:bookmarkEnd w:id="403"/>
      <w:bookmarkEnd w:id="404"/>
    </w:p>
    <w:p w14:paraId="3EDE9283">
      <w:pPr>
        <w:pStyle w:val="63"/>
        <w:spacing w:line="360" w:lineRule="auto"/>
        <w:rPr>
          <w:rFonts w:ascii="宋体" w:hAnsi="宋体" w:cs="宋体"/>
          <w:color w:val="auto"/>
          <w:szCs w:val="21"/>
          <w:highlight w:val="none"/>
        </w:rPr>
      </w:pPr>
      <w:r>
        <w:rPr>
          <w:rFonts w:hint="eastAsia" w:ascii="宋体" w:hAnsi="宋体" w:cs="宋体"/>
          <w:color w:val="auto"/>
          <w:szCs w:val="21"/>
          <w:highlight w:val="none"/>
        </w:rPr>
        <w:t>出现工程量清单工程量偏差时，是否调整合同价格：</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不调整 </w:t>
      </w:r>
      <w:r>
        <w:rPr>
          <w:rFonts w:hint="eastAsia" w:ascii="宋体" w:hAnsi="宋体" w:cs="宋体"/>
          <w:color w:val="auto"/>
          <w:kern w:val="0"/>
          <w:szCs w:val="21"/>
          <w:highlight w:val="none"/>
        </w:rPr>
        <w:t>。</w:t>
      </w:r>
    </w:p>
    <w:p w14:paraId="0E9AB1A3">
      <w:pPr>
        <w:pStyle w:val="63"/>
        <w:spacing w:line="360" w:lineRule="auto"/>
        <w:rPr>
          <w:rFonts w:ascii="宋体" w:hAnsi="宋体" w:cs="宋体"/>
          <w:color w:val="auto"/>
          <w:szCs w:val="21"/>
          <w:highlight w:val="none"/>
          <w:u w:val="single"/>
        </w:rPr>
      </w:pPr>
      <w:r>
        <w:rPr>
          <w:rFonts w:hint="eastAsia" w:ascii="宋体" w:hAnsi="宋体" w:cs="宋体"/>
          <w:color w:val="auto"/>
          <w:szCs w:val="21"/>
          <w:highlight w:val="none"/>
        </w:rPr>
        <w:t>允许调整合同价格的工程量偏差范围及其调整办法：</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不调整</w:t>
      </w:r>
      <w:r>
        <w:rPr>
          <w:rFonts w:hint="eastAsia" w:ascii="宋体" w:hAnsi="宋体" w:cs="宋体"/>
          <w:color w:val="auto"/>
          <w:szCs w:val="21"/>
          <w:highlight w:val="none"/>
          <w:u w:val="single"/>
          <w:lang w:val="en-US" w:eastAsia="zh-CN"/>
        </w:rPr>
        <w:t xml:space="preserve"> </w:t>
      </w:r>
      <w:r>
        <w:rPr>
          <w:rFonts w:hint="eastAsia" w:ascii="宋体" w:hAnsi="宋体" w:cs="宋体"/>
          <w:b/>
          <w:bCs/>
          <w:color w:val="auto"/>
          <w:szCs w:val="32"/>
          <w:highlight w:val="none"/>
          <w:u w:val="none"/>
        </w:rPr>
        <w:t>。</w:t>
      </w:r>
    </w:p>
    <w:p w14:paraId="0759F422">
      <w:pPr>
        <w:pStyle w:val="130"/>
        <w:spacing w:beforeLines="50" w:afterLines="50" w:line="420" w:lineRule="exact"/>
        <w:rPr>
          <w:rFonts w:ascii="宋体" w:hAnsi="宋体" w:cs="宋体"/>
          <w:color w:val="auto"/>
          <w:sz w:val="24"/>
          <w:szCs w:val="24"/>
          <w:highlight w:val="none"/>
        </w:rPr>
      </w:pPr>
      <w:bookmarkStart w:id="405" w:name="_Toc75182704"/>
      <w:bookmarkStart w:id="406" w:name="_Toc47088303"/>
      <w:bookmarkStart w:id="407" w:name="_Toc16801"/>
      <w:bookmarkStart w:id="408" w:name="_Toc497147159"/>
      <w:bookmarkStart w:id="409" w:name="_Toc497901115"/>
      <w:bookmarkStart w:id="410" w:name="_Toc497215716"/>
      <w:bookmarkStart w:id="411" w:name="_Toc407135204"/>
      <w:r>
        <w:rPr>
          <w:rFonts w:hint="eastAsia" w:ascii="宋体" w:hAnsi="宋体" w:cs="宋体"/>
          <w:color w:val="auto"/>
          <w:sz w:val="24"/>
          <w:szCs w:val="24"/>
          <w:highlight w:val="none"/>
        </w:rPr>
        <w:t>2. 发包人</w:t>
      </w:r>
      <w:bookmarkEnd w:id="405"/>
      <w:bookmarkEnd w:id="406"/>
      <w:bookmarkEnd w:id="407"/>
      <w:bookmarkEnd w:id="408"/>
      <w:bookmarkEnd w:id="409"/>
      <w:bookmarkEnd w:id="410"/>
      <w:bookmarkEnd w:id="411"/>
    </w:p>
    <w:p w14:paraId="09E37265">
      <w:pPr>
        <w:pStyle w:val="130"/>
        <w:spacing w:line="420" w:lineRule="exact"/>
        <w:rPr>
          <w:rFonts w:ascii="宋体" w:hAnsi="宋体" w:cs="宋体"/>
          <w:color w:val="auto"/>
          <w:sz w:val="24"/>
          <w:szCs w:val="24"/>
          <w:highlight w:val="none"/>
        </w:rPr>
      </w:pPr>
      <w:bookmarkStart w:id="412" w:name="_Toc75182705"/>
      <w:bookmarkStart w:id="413" w:name="_Toc407135205"/>
      <w:bookmarkStart w:id="414" w:name="_Toc497215717"/>
      <w:bookmarkStart w:id="415" w:name="_Toc497147160"/>
      <w:bookmarkStart w:id="416" w:name="_Toc47088304"/>
      <w:bookmarkStart w:id="417" w:name="_Toc497901116"/>
      <w:bookmarkStart w:id="418" w:name="_Toc23749"/>
      <w:r>
        <w:rPr>
          <w:rFonts w:hint="eastAsia" w:ascii="宋体" w:hAnsi="宋体" w:cs="宋体"/>
          <w:color w:val="auto"/>
          <w:sz w:val="24"/>
          <w:szCs w:val="24"/>
          <w:highlight w:val="none"/>
        </w:rPr>
        <w:t>2.2 发包人代表</w:t>
      </w:r>
      <w:bookmarkEnd w:id="412"/>
      <w:bookmarkEnd w:id="413"/>
      <w:bookmarkEnd w:id="414"/>
      <w:bookmarkEnd w:id="415"/>
      <w:bookmarkEnd w:id="416"/>
      <w:bookmarkEnd w:id="417"/>
      <w:bookmarkEnd w:id="418"/>
    </w:p>
    <w:p w14:paraId="0ADBDD29">
      <w:pPr>
        <w:pStyle w:val="63"/>
        <w:spacing w:line="360" w:lineRule="auto"/>
        <w:ind w:firstLine="420" w:firstLineChars="200"/>
        <w:rPr>
          <w:rFonts w:ascii="宋体" w:hAnsi="宋体" w:cs="宋体"/>
          <w:color w:val="auto"/>
          <w:szCs w:val="21"/>
          <w:highlight w:val="none"/>
        </w:rPr>
      </w:pPr>
      <w:bookmarkStart w:id="419" w:name="_Toc407135206"/>
      <w:r>
        <w:rPr>
          <w:rFonts w:hint="eastAsia" w:ascii="宋体" w:hAnsi="宋体" w:cs="宋体"/>
          <w:color w:val="auto"/>
          <w:szCs w:val="21"/>
          <w:highlight w:val="none"/>
        </w:rPr>
        <w:t>发包人代表：</w:t>
      </w:r>
    </w:p>
    <w:p w14:paraId="026799B6">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478238B">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p>
    <w:p w14:paraId="0D447668">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A961F81">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56FEAEF5">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7C0A1016">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p>
    <w:p w14:paraId="4CA42A60">
      <w:pPr>
        <w:pStyle w:val="63"/>
        <w:spacing w:line="360" w:lineRule="auto"/>
        <w:ind w:firstLine="420" w:firstLineChars="200"/>
        <w:rPr>
          <w:rFonts w:ascii="宋体" w:hAnsi="宋体" w:cs="宋体"/>
          <w:color w:val="auto"/>
          <w:szCs w:val="21"/>
          <w:highlight w:val="none"/>
        </w:rPr>
      </w:pPr>
      <w:bookmarkStart w:id="420" w:name="_Toc489136091"/>
      <w:bookmarkStart w:id="421" w:name="_Toc490835458"/>
      <w:r>
        <w:rPr>
          <w:rFonts w:hint="eastAsia" w:ascii="宋体" w:hAnsi="宋体" w:cs="宋体"/>
          <w:color w:val="auto"/>
          <w:szCs w:val="21"/>
          <w:highlight w:val="none"/>
        </w:rPr>
        <w:t>发包人对发包人代表的授权范围如下：</w:t>
      </w:r>
      <w:r>
        <w:rPr>
          <w:rFonts w:hint="eastAsia" w:ascii="宋体" w:hAnsi="宋体" w:cs="宋体"/>
          <w:color w:val="auto"/>
          <w:szCs w:val="21"/>
          <w:highlight w:val="none"/>
          <w:u w:val="single"/>
        </w:rPr>
        <w:t>在施工过程中，监督工程施工质量，负责工地现场的安全管理并代表发包人签署与此相关的文件</w:t>
      </w:r>
      <w:r>
        <w:rPr>
          <w:rFonts w:hint="eastAsia" w:ascii="宋体" w:hAnsi="宋体" w:cs="宋体"/>
          <w:color w:val="auto"/>
          <w:szCs w:val="21"/>
          <w:highlight w:val="none"/>
        </w:rPr>
        <w:t>。</w:t>
      </w:r>
      <w:bookmarkEnd w:id="420"/>
      <w:bookmarkEnd w:id="421"/>
    </w:p>
    <w:p w14:paraId="69224812">
      <w:pPr>
        <w:pStyle w:val="130"/>
        <w:spacing w:line="420" w:lineRule="exact"/>
        <w:rPr>
          <w:rFonts w:ascii="宋体" w:hAnsi="宋体" w:cs="宋体"/>
          <w:color w:val="auto"/>
          <w:sz w:val="24"/>
          <w:szCs w:val="24"/>
          <w:highlight w:val="none"/>
        </w:rPr>
      </w:pPr>
      <w:bookmarkStart w:id="422" w:name="_Toc497147161"/>
      <w:bookmarkStart w:id="423" w:name="_Toc497901117"/>
      <w:bookmarkStart w:id="424" w:name="_Toc31283"/>
      <w:bookmarkStart w:id="425" w:name="_Toc47088305"/>
      <w:bookmarkStart w:id="426" w:name="_Toc497215718"/>
      <w:bookmarkStart w:id="427" w:name="_Toc75182706"/>
      <w:r>
        <w:rPr>
          <w:rFonts w:hint="eastAsia" w:ascii="宋体" w:hAnsi="宋体" w:cs="宋体"/>
          <w:color w:val="auto"/>
          <w:sz w:val="24"/>
          <w:szCs w:val="24"/>
          <w:highlight w:val="none"/>
        </w:rPr>
        <w:t>2.4 施工现场、施工条件和基础资料的提供</w:t>
      </w:r>
      <w:bookmarkEnd w:id="419"/>
      <w:bookmarkEnd w:id="422"/>
      <w:bookmarkEnd w:id="423"/>
      <w:bookmarkEnd w:id="424"/>
      <w:bookmarkEnd w:id="425"/>
      <w:bookmarkEnd w:id="426"/>
      <w:bookmarkEnd w:id="427"/>
    </w:p>
    <w:p w14:paraId="791C2896">
      <w:pPr>
        <w:pStyle w:val="63"/>
        <w:spacing w:line="360" w:lineRule="auto"/>
        <w:ind w:firstLine="420" w:firstLineChars="200"/>
        <w:rPr>
          <w:rFonts w:ascii="宋体" w:hAnsi="宋体" w:cs="宋体"/>
          <w:color w:val="auto"/>
          <w:szCs w:val="21"/>
          <w:highlight w:val="none"/>
        </w:rPr>
      </w:pPr>
      <w:bookmarkStart w:id="428" w:name="_Toc407135207"/>
      <w:r>
        <w:rPr>
          <w:rFonts w:hint="eastAsia" w:ascii="宋体" w:hAnsi="宋体" w:cs="宋体"/>
          <w:color w:val="auto"/>
          <w:szCs w:val="21"/>
          <w:highlight w:val="none"/>
        </w:rPr>
        <w:t>2.4.1 提供施工现场</w:t>
      </w:r>
    </w:p>
    <w:p w14:paraId="62492FAA">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u w:val="single"/>
        </w:rPr>
        <w:t></w:t>
      </w:r>
      <w:r>
        <w:rPr>
          <w:rFonts w:hint="eastAsia" w:ascii="宋体" w:hAnsi="宋体" w:cs="宋体"/>
          <w:b/>
          <w:color w:val="auto"/>
          <w:szCs w:val="21"/>
          <w:highlight w:val="none"/>
          <w:u w:val="single"/>
        </w:rPr>
        <w:t>开工前7天</w:t>
      </w:r>
      <w:r>
        <w:rPr>
          <w:rFonts w:hint="eastAsia" w:ascii="宋体" w:hAnsi="宋体" w:cs="宋体"/>
          <w:color w:val="auto"/>
          <w:szCs w:val="21"/>
          <w:highlight w:val="none"/>
        </w:rPr>
        <w:t>。</w:t>
      </w:r>
    </w:p>
    <w:p w14:paraId="6A8A0948">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提供施工条件</w:t>
      </w:r>
    </w:p>
    <w:p w14:paraId="35C677D9">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关于发包人应负责提供施工所需要的条件，包括：</w:t>
      </w:r>
      <w:r>
        <w:rPr>
          <w:rFonts w:hint="eastAsia" w:ascii="宋体" w:hAnsi="宋体" w:cs="宋体"/>
          <w:color w:val="auto"/>
          <w:szCs w:val="21"/>
          <w:highlight w:val="none"/>
          <w:u w:val="single"/>
        </w:rPr>
        <w:t xml:space="preserve">  按合同通用条款执行  </w:t>
      </w:r>
      <w:r>
        <w:rPr>
          <w:rFonts w:hint="eastAsia" w:ascii="宋体" w:hAnsi="宋体" w:cs="宋体"/>
          <w:color w:val="auto"/>
          <w:szCs w:val="21"/>
          <w:highlight w:val="none"/>
        </w:rPr>
        <w:t>。</w:t>
      </w:r>
    </w:p>
    <w:p w14:paraId="4197963B">
      <w:pPr>
        <w:pStyle w:val="130"/>
        <w:spacing w:line="420" w:lineRule="exact"/>
        <w:rPr>
          <w:rFonts w:ascii="宋体" w:hAnsi="宋体" w:cs="宋体"/>
          <w:color w:val="auto"/>
          <w:sz w:val="24"/>
          <w:szCs w:val="24"/>
          <w:highlight w:val="none"/>
        </w:rPr>
      </w:pPr>
      <w:bookmarkStart w:id="429" w:name="_Toc497215719"/>
      <w:bookmarkStart w:id="430" w:name="_Toc75182707"/>
      <w:bookmarkStart w:id="431" w:name="_Toc497147162"/>
      <w:bookmarkStart w:id="432" w:name="_Toc9677"/>
      <w:bookmarkStart w:id="433" w:name="_Toc47088306"/>
      <w:bookmarkStart w:id="434" w:name="_Toc497901118"/>
      <w:r>
        <w:rPr>
          <w:rFonts w:hint="eastAsia" w:ascii="宋体" w:hAnsi="宋体" w:cs="宋体"/>
          <w:color w:val="auto"/>
          <w:sz w:val="24"/>
          <w:szCs w:val="24"/>
          <w:highlight w:val="none"/>
        </w:rPr>
        <w:t>2.5 资金来源证明及支付担保</w:t>
      </w:r>
      <w:bookmarkEnd w:id="428"/>
      <w:bookmarkEnd w:id="429"/>
      <w:bookmarkEnd w:id="430"/>
      <w:bookmarkEnd w:id="431"/>
      <w:bookmarkEnd w:id="432"/>
      <w:bookmarkEnd w:id="433"/>
      <w:bookmarkEnd w:id="434"/>
    </w:p>
    <w:p w14:paraId="5EB7C399">
      <w:pPr>
        <w:pStyle w:val="70"/>
        <w:spacing w:line="360" w:lineRule="auto"/>
        <w:ind w:firstLine="420" w:firstLineChars="200"/>
        <w:rPr>
          <w:rFonts w:ascii="宋体" w:hAnsi="宋体" w:cs="宋体"/>
          <w:color w:val="auto"/>
          <w:szCs w:val="21"/>
          <w:highlight w:val="none"/>
        </w:rPr>
      </w:pPr>
      <w:bookmarkStart w:id="435" w:name="_Toc407135208"/>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4D2E288E">
      <w:pPr>
        <w:pStyle w:val="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257A504">
      <w:pPr>
        <w:pStyle w:val="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30C3B11">
      <w:pPr>
        <w:pStyle w:val="7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发包人提供的支付担保格式：</w:t>
      </w:r>
      <w:r>
        <w:rPr>
          <w:rFonts w:hint="eastAsia" w:ascii="宋体" w:hAnsi="宋体" w:cs="宋体"/>
          <w:color w:val="auto"/>
          <w:szCs w:val="21"/>
          <w:highlight w:val="none"/>
          <w:u w:val="single"/>
        </w:rPr>
        <w:t>/</w:t>
      </w:r>
    </w:p>
    <w:p w14:paraId="6D6E5802">
      <w:pPr>
        <w:pStyle w:val="130"/>
        <w:spacing w:beforeLines="50" w:afterLines="50" w:line="420" w:lineRule="exact"/>
        <w:rPr>
          <w:rFonts w:ascii="宋体" w:hAnsi="宋体" w:cs="宋体"/>
          <w:color w:val="auto"/>
          <w:sz w:val="24"/>
          <w:szCs w:val="24"/>
          <w:highlight w:val="none"/>
        </w:rPr>
      </w:pPr>
      <w:bookmarkStart w:id="436" w:name="_Toc47088307"/>
      <w:bookmarkStart w:id="437" w:name="_Toc75182708"/>
      <w:bookmarkStart w:id="438" w:name="_Toc497147163"/>
      <w:bookmarkStart w:id="439" w:name="_Toc26115"/>
      <w:bookmarkStart w:id="440" w:name="_Toc497901119"/>
      <w:bookmarkStart w:id="441" w:name="_Toc497215720"/>
      <w:r>
        <w:rPr>
          <w:rFonts w:hint="eastAsia" w:ascii="宋体" w:hAnsi="宋体" w:cs="宋体"/>
          <w:color w:val="auto"/>
          <w:sz w:val="24"/>
          <w:szCs w:val="24"/>
          <w:highlight w:val="none"/>
        </w:rPr>
        <w:t>3. 承包人</w:t>
      </w:r>
      <w:bookmarkEnd w:id="435"/>
      <w:bookmarkEnd w:id="436"/>
      <w:bookmarkEnd w:id="437"/>
      <w:bookmarkEnd w:id="438"/>
      <w:bookmarkEnd w:id="439"/>
      <w:bookmarkEnd w:id="440"/>
      <w:bookmarkEnd w:id="441"/>
    </w:p>
    <w:p w14:paraId="079BB288">
      <w:pPr>
        <w:pStyle w:val="130"/>
        <w:spacing w:line="420" w:lineRule="exact"/>
        <w:rPr>
          <w:rFonts w:ascii="宋体" w:hAnsi="宋体" w:cs="宋体"/>
          <w:color w:val="auto"/>
          <w:sz w:val="24"/>
          <w:szCs w:val="24"/>
          <w:highlight w:val="none"/>
        </w:rPr>
      </w:pPr>
      <w:bookmarkStart w:id="442" w:name="_Toc47088308"/>
      <w:bookmarkStart w:id="443" w:name="_Toc12356"/>
      <w:bookmarkStart w:id="444" w:name="_Toc497901120"/>
      <w:bookmarkStart w:id="445" w:name="_Toc497215721"/>
      <w:bookmarkStart w:id="446" w:name="_Toc497147164"/>
      <w:bookmarkStart w:id="447" w:name="_Toc407135209"/>
      <w:bookmarkStart w:id="448" w:name="_Toc75182709"/>
      <w:r>
        <w:rPr>
          <w:rFonts w:hint="eastAsia" w:ascii="宋体" w:hAnsi="宋体" w:cs="宋体"/>
          <w:color w:val="auto"/>
          <w:sz w:val="24"/>
          <w:szCs w:val="24"/>
          <w:highlight w:val="none"/>
        </w:rPr>
        <w:t>3.1 承包人的一般义务</w:t>
      </w:r>
      <w:bookmarkEnd w:id="442"/>
      <w:bookmarkEnd w:id="443"/>
      <w:bookmarkEnd w:id="444"/>
      <w:bookmarkEnd w:id="445"/>
      <w:bookmarkEnd w:id="446"/>
      <w:bookmarkEnd w:id="447"/>
      <w:bookmarkEnd w:id="448"/>
    </w:p>
    <w:p w14:paraId="710B65EA">
      <w:pPr>
        <w:pStyle w:val="7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承包人提交的竣工资料的内容：</w:t>
      </w:r>
      <w:r>
        <w:rPr>
          <w:rFonts w:hint="eastAsia" w:ascii="宋体" w:hAnsi="宋体" w:cs="宋体"/>
          <w:b/>
          <w:color w:val="auto"/>
          <w:szCs w:val="21"/>
          <w:highlight w:val="none"/>
          <w:u w:val="single"/>
        </w:rPr>
        <w:t>按国家和工程所在地建设行政管理部门竣工验收规范要求，提供竣工图、工程质保资料、备案资料等</w:t>
      </w:r>
      <w:r>
        <w:rPr>
          <w:rFonts w:hint="eastAsia" w:ascii="宋体" w:hAnsi="宋体" w:cs="宋体"/>
          <w:color w:val="auto"/>
          <w:szCs w:val="21"/>
          <w:highlight w:val="none"/>
        </w:rPr>
        <w:t>。</w:t>
      </w:r>
    </w:p>
    <w:p w14:paraId="75E242B3">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b/>
          <w:color w:val="auto"/>
          <w:szCs w:val="21"/>
          <w:highlight w:val="none"/>
          <w:u w:val="single"/>
        </w:rPr>
        <w:t>3套</w:t>
      </w:r>
      <w:r>
        <w:rPr>
          <w:rFonts w:hint="eastAsia" w:ascii="宋体" w:hAnsi="宋体" w:cs="宋体"/>
          <w:color w:val="auto"/>
          <w:szCs w:val="21"/>
          <w:highlight w:val="none"/>
        </w:rPr>
        <w:t>。</w:t>
      </w:r>
    </w:p>
    <w:p w14:paraId="256A36C5">
      <w:pPr>
        <w:pStyle w:val="63"/>
        <w:spacing w:line="360" w:lineRule="auto"/>
        <w:ind w:left="424" w:leftChars="202"/>
        <w:jc w:val="left"/>
        <w:rPr>
          <w:rFonts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b/>
          <w:color w:val="auto"/>
          <w:szCs w:val="21"/>
          <w:highlight w:val="none"/>
          <w:u w:val="single"/>
        </w:rPr>
        <w:t>由承包人自理</w:t>
      </w:r>
      <w:r>
        <w:rPr>
          <w:rFonts w:hint="eastAsia" w:ascii="宋体" w:hAnsi="宋体" w:cs="宋体"/>
          <w:color w:val="auto"/>
          <w:szCs w:val="21"/>
          <w:highlight w:val="none"/>
        </w:rPr>
        <w:t>。</w:t>
      </w:r>
    </w:p>
    <w:p w14:paraId="2D9EF01F">
      <w:pPr>
        <w:pStyle w:val="63"/>
        <w:spacing w:line="360" w:lineRule="auto"/>
        <w:ind w:left="424" w:leftChars="202"/>
        <w:jc w:val="left"/>
        <w:rPr>
          <w:rFonts w:ascii="宋体" w:hAnsi="宋体" w:cs="宋体"/>
          <w:color w:val="auto"/>
          <w:szCs w:val="21"/>
          <w:highlight w:val="none"/>
        </w:rPr>
      </w:pPr>
      <w:r>
        <w:rPr>
          <w:rFonts w:hint="eastAsia" w:ascii="宋体" w:hAnsi="宋体" w:cs="宋体"/>
          <w:color w:val="auto"/>
          <w:szCs w:val="21"/>
          <w:highlight w:val="none"/>
        </w:rPr>
        <w:t>承包人提交的竣工资料移交时间：</w:t>
      </w:r>
      <w:r>
        <w:rPr>
          <w:rFonts w:hint="eastAsia" w:ascii="宋体" w:hAnsi="宋体" w:cs="宋体"/>
          <w:b/>
          <w:color w:val="auto"/>
          <w:szCs w:val="21"/>
          <w:highlight w:val="none"/>
          <w:u w:val="single"/>
        </w:rPr>
        <w:t>竣工验收合格30天内</w:t>
      </w:r>
      <w:r>
        <w:rPr>
          <w:rFonts w:hint="eastAsia" w:ascii="宋体" w:hAnsi="宋体" w:cs="宋体"/>
          <w:color w:val="auto"/>
          <w:szCs w:val="21"/>
          <w:highlight w:val="none"/>
        </w:rPr>
        <w:t>。</w:t>
      </w:r>
    </w:p>
    <w:p w14:paraId="1AAA2465">
      <w:pPr>
        <w:pStyle w:val="7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b/>
          <w:color w:val="auto"/>
          <w:szCs w:val="21"/>
          <w:highlight w:val="none"/>
          <w:u w:val="single"/>
        </w:rPr>
        <w:t>原件纸质材料（需规范分类装订成册）</w:t>
      </w:r>
      <w:r>
        <w:rPr>
          <w:rFonts w:hint="eastAsia" w:ascii="宋体" w:hAnsi="宋体" w:cs="宋体"/>
          <w:color w:val="auto"/>
          <w:szCs w:val="21"/>
          <w:highlight w:val="none"/>
        </w:rPr>
        <w:t>。</w:t>
      </w:r>
    </w:p>
    <w:p w14:paraId="1C054365">
      <w:pPr>
        <w:pStyle w:val="63"/>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（10）承包人应履行的其他义务：</w:t>
      </w:r>
      <w:r>
        <w:rPr>
          <w:rFonts w:hint="eastAsia" w:ascii="宋体" w:hAnsi="宋体" w:cs="宋体"/>
          <w:color w:val="auto"/>
          <w:kern w:val="0"/>
          <w:szCs w:val="21"/>
          <w:highlight w:val="none"/>
          <w:u w:val="single"/>
        </w:rPr>
        <w:t>承包人应负责提供完成合同所需的劳务、材料、施工设备、工程设备和其他物品，并按合同约定负责设施的设计、建造、运行、维护、管理和拆除。</w:t>
      </w:r>
      <w:r>
        <w:rPr>
          <w:rFonts w:hint="eastAsia" w:ascii="宋体" w:hAnsi="宋体" w:cs="宋体"/>
          <w:color w:val="auto"/>
          <w:kern w:val="0"/>
          <w:szCs w:val="21"/>
          <w:highlight w:val="none"/>
          <w:u w:val="single"/>
          <w:lang w:val="en-US" w:eastAsia="zh-CN"/>
        </w:rPr>
        <w:t>其余事项按《通用合同条款》条执行</w:t>
      </w:r>
      <w:r>
        <w:rPr>
          <w:rFonts w:hint="eastAsia" w:ascii="宋体" w:hAnsi="宋体" w:cs="宋体"/>
          <w:color w:val="auto"/>
          <w:kern w:val="0"/>
          <w:szCs w:val="21"/>
          <w:highlight w:val="none"/>
        </w:rPr>
        <w:t>。</w:t>
      </w:r>
    </w:p>
    <w:p w14:paraId="75DCB0EF">
      <w:pPr>
        <w:pStyle w:val="130"/>
        <w:spacing w:line="420" w:lineRule="exact"/>
        <w:rPr>
          <w:rFonts w:ascii="宋体" w:hAnsi="宋体" w:cs="宋体"/>
          <w:color w:val="auto"/>
          <w:sz w:val="24"/>
          <w:szCs w:val="24"/>
          <w:highlight w:val="none"/>
        </w:rPr>
      </w:pPr>
      <w:bookmarkStart w:id="449" w:name="_Toc497901121"/>
      <w:bookmarkStart w:id="450" w:name="_Toc407135210"/>
      <w:bookmarkStart w:id="451" w:name="_Toc47088309"/>
      <w:bookmarkStart w:id="452" w:name="_Toc497215722"/>
      <w:bookmarkStart w:id="453" w:name="_Toc75182710"/>
      <w:bookmarkStart w:id="454" w:name="_Toc29958"/>
      <w:bookmarkStart w:id="455" w:name="_Toc497147165"/>
      <w:r>
        <w:rPr>
          <w:rFonts w:hint="eastAsia" w:ascii="宋体" w:hAnsi="宋体" w:cs="宋体"/>
          <w:color w:val="auto"/>
          <w:sz w:val="24"/>
          <w:szCs w:val="24"/>
          <w:highlight w:val="none"/>
        </w:rPr>
        <w:t>3.2 项目经理</w:t>
      </w:r>
      <w:bookmarkEnd w:id="449"/>
      <w:bookmarkEnd w:id="450"/>
      <w:bookmarkEnd w:id="451"/>
      <w:bookmarkEnd w:id="452"/>
      <w:bookmarkEnd w:id="453"/>
      <w:bookmarkEnd w:id="454"/>
      <w:bookmarkEnd w:id="455"/>
    </w:p>
    <w:p w14:paraId="66A9BF01">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14:paraId="1D644554">
      <w:pPr>
        <w:pStyle w:val="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中标后填写 </w:t>
      </w:r>
      <w:r>
        <w:rPr>
          <w:rFonts w:hint="eastAsia" w:ascii="宋体" w:hAnsi="宋体" w:cs="宋体"/>
          <w:color w:val="auto"/>
          <w:szCs w:val="21"/>
          <w:highlight w:val="none"/>
        </w:rPr>
        <w:t>；</w:t>
      </w:r>
    </w:p>
    <w:p w14:paraId="7DAFA2EA">
      <w:pPr>
        <w:pStyle w:val="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中标后填写 </w:t>
      </w:r>
      <w:r>
        <w:rPr>
          <w:rFonts w:hint="eastAsia" w:ascii="宋体" w:hAnsi="宋体" w:cs="宋体"/>
          <w:color w:val="auto"/>
          <w:szCs w:val="21"/>
          <w:highlight w:val="none"/>
        </w:rPr>
        <w:t>；</w:t>
      </w:r>
    </w:p>
    <w:p w14:paraId="036F330A">
      <w:pPr>
        <w:pStyle w:val="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中标后填写</w:t>
      </w:r>
      <w:r>
        <w:rPr>
          <w:rFonts w:hint="eastAsia" w:ascii="宋体" w:hAnsi="宋体" w:cs="宋体"/>
          <w:color w:val="auto"/>
          <w:szCs w:val="21"/>
          <w:highlight w:val="none"/>
        </w:rPr>
        <w:t>；</w:t>
      </w:r>
    </w:p>
    <w:p w14:paraId="142D2E5F">
      <w:pPr>
        <w:pStyle w:val="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中标后填写</w:t>
      </w:r>
      <w:r>
        <w:rPr>
          <w:rFonts w:hint="eastAsia" w:ascii="宋体" w:hAnsi="宋体" w:cs="宋体"/>
          <w:color w:val="auto"/>
          <w:szCs w:val="21"/>
          <w:highlight w:val="none"/>
        </w:rPr>
        <w:t>；</w:t>
      </w:r>
    </w:p>
    <w:p w14:paraId="04B176D7">
      <w:pPr>
        <w:pStyle w:val="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中标后填写 </w:t>
      </w:r>
      <w:r>
        <w:rPr>
          <w:rFonts w:hint="eastAsia" w:ascii="宋体" w:hAnsi="宋体" w:cs="宋体"/>
          <w:color w:val="auto"/>
          <w:szCs w:val="21"/>
          <w:highlight w:val="none"/>
        </w:rPr>
        <w:t>；</w:t>
      </w:r>
    </w:p>
    <w:p w14:paraId="666F89A2">
      <w:pPr>
        <w:pStyle w:val="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中标后填写 </w:t>
      </w:r>
      <w:r>
        <w:rPr>
          <w:rFonts w:hint="eastAsia" w:ascii="宋体" w:hAnsi="宋体" w:cs="宋体"/>
          <w:color w:val="auto"/>
          <w:szCs w:val="21"/>
          <w:highlight w:val="none"/>
        </w:rPr>
        <w:t>；</w:t>
      </w:r>
    </w:p>
    <w:p w14:paraId="3B3B68D1">
      <w:pPr>
        <w:pStyle w:val="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广西建筑市场诚信卡卡号：</w:t>
      </w:r>
      <w:r>
        <w:rPr>
          <w:rFonts w:hint="eastAsia" w:ascii="宋体" w:hAnsi="宋体" w:cs="宋体"/>
          <w:color w:val="auto"/>
          <w:szCs w:val="21"/>
          <w:highlight w:val="none"/>
          <w:u w:val="single"/>
        </w:rPr>
        <w:t xml:space="preserve">  中标后填写    </w:t>
      </w:r>
      <w:r>
        <w:rPr>
          <w:rFonts w:hint="eastAsia" w:ascii="宋体" w:hAnsi="宋体" w:cs="宋体"/>
          <w:color w:val="auto"/>
          <w:szCs w:val="21"/>
          <w:highlight w:val="none"/>
        </w:rPr>
        <w:t>；</w:t>
      </w:r>
    </w:p>
    <w:p w14:paraId="191C2CF7">
      <w:pPr>
        <w:pStyle w:val="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中标后填写 </w:t>
      </w:r>
      <w:r>
        <w:rPr>
          <w:rFonts w:hint="eastAsia" w:ascii="宋体" w:hAnsi="宋体" w:cs="宋体"/>
          <w:color w:val="auto"/>
          <w:szCs w:val="21"/>
          <w:highlight w:val="none"/>
        </w:rPr>
        <w:t>；</w:t>
      </w:r>
    </w:p>
    <w:p w14:paraId="78371508">
      <w:pPr>
        <w:pStyle w:val="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中标后填写 </w:t>
      </w:r>
      <w:r>
        <w:rPr>
          <w:rFonts w:hint="eastAsia" w:ascii="宋体" w:hAnsi="宋体" w:cs="宋体"/>
          <w:color w:val="auto"/>
          <w:szCs w:val="21"/>
          <w:highlight w:val="none"/>
        </w:rPr>
        <w:t>；</w:t>
      </w:r>
    </w:p>
    <w:p w14:paraId="7DFCFE47">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中标后填写 </w:t>
      </w:r>
      <w:r>
        <w:rPr>
          <w:rFonts w:hint="eastAsia" w:ascii="宋体" w:hAnsi="宋体" w:cs="宋体"/>
          <w:color w:val="auto"/>
          <w:szCs w:val="21"/>
          <w:highlight w:val="none"/>
        </w:rPr>
        <w:t>；</w:t>
      </w:r>
    </w:p>
    <w:p w14:paraId="2D3AE987">
      <w:pPr>
        <w:pStyle w:val="7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承包人对项目经理的授权范围如下：</w:t>
      </w:r>
      <w:r>
        <w:rPr>
          <w:rFonts w:hint="eastAsia" w:ascii="宋体" w:hAnsi="宋体" w:cs="宋体"/>
          <w:color w:val="auto"/>
          <w:szCs w:val="21"/>
          <w:highlight w:val="none"/>
          <w:u w:val="single"/>
        </w:rPr>
        <w:t xml:space="preserve"> 实行项目经理责任制，负责项目的施工组织与管理 </w:t>
      </w:r>
      <w:r>
        <w:rPr>
          <w:rFonts w:hint="eastAsia" w:ascii="宋体" w:hAnsi="宋体" w:cs="宋体"/>
          <w:color w:val="auto"/>
          <w:szCs w:val="21"/>
          <w:highlight w:val="none"/>
        </w:rPr>
        <w:t>。</w:t>
      </w:r>
    </w:p>
    <w:p w14:paraId="195586EB">
      <w:pPr>
        <w:pStyle w:val="63"/>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s="宋体"/>
          <w:b/>
          <w:color w:val="auto"/>
          <w:kern w:val="0"/>
          <w:szCs w:val="21"/>
          <w:highlight w:val="none"/>
          <w:u w:val="single"/>
        </w:rPr>
        <w:t>每月在施工现场时间不得少于20个工作日</w:t>
      </w:r>
      <w:r>
        <w:rPr>
          <w:rFonts w:hint="eastAsia" w:ascii="宋体" w:hAnsi="宋体" w:cs="宋体"/>
          <w:color w:val="auto"/>
          <w:szCs w:val="21"/>
          <w:highlight w:val="none"/>
        </w:rPr>
        <w:t>。</w:t>
      </w:r>
    </w:p>
    <w:p w14:paraId="3D9692A7">
      <w:pPr>
        <w:pStyle w:val="63"/>
        <w:spacing w:line="360" w:lineRule="auto"/>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color w:val="auto"/>
          <w:szCs w:val="21"/>
          <w:highlight w:val="none"/>
          <w:u w:val="single"/>
        </w:rPr>
        <w:t>项目经理每月在岗带班时间不得少于当月施工时间的80%。未经发包人同意或正当理由，项目经理每月在岗带班时间少于当月施工时间80%的，少在岗带班一天，发包人有权处违约金</w:t>
      </w:r>
      <w:r>
        <w:rPr>
          <w:rFonts w:hint="eastAsia" w:ascii="宋体" w:hAnsi="宋体" w:cs="宋体"/>
          <w:b/>
          <w:color w:val="auto"/>
          <w:szCs w:val="21"/>
          <w:highlight w:val="none"/>
          <w:u w:val="single"/>
        </w:rPr>
        <w:t>2000元/日</w:t>
      </w:r>
      <w:r>
        <w:rPr>
          <w:rFonts w:hint="eastAsia" w:ascii="宋体" w:hAnsi="宋体" w:cs="宋体"/>
          <w:color w:val="auto"/>
          <w:szCs w:val="21"/>
          <w:highlight w:val="none"/>
          <w:u w:val="single"/>
        </w:rPr>
        <w:t xml:space="preserve">（人民币）  </w:t>
      </w:r>
      <w:r>
        <w:rPr>
          <w:rFonts w:hint="eastAsia" w:ascii="宋体" w:hAnsi="宋体" w:cs="宋体"/>
          <w:color w:val="auto"/>
          <w:szCs w:val="21"/>
          <w:highlight w:val="none"/>
        </w:rPr>
        <w:t>。</w:t>
      </w:r>
    </w:p>
    <w:p w14:paraId="4E142E49">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承包人擅自更换项目经理的违约责任：</w:t>
      </w:r>
      <w:r>
        <w:rPr>
          <w:rFonts w:hint="eastAsia" w:ascii="宋体" w:hAnsi="宋体" w:cs="宋体"/>
          <w:color w:val="auto"/>
          <w:szCs w:val="21"/>
          <w:highlight w:val="none"/>
          <w:u w:val="single"/>
        </w:rPr>
        <w:t>承包人项目经理必须与承包人投标时所承诺的人员一致，并在根据通用合同条款第11.1.1项确定的开工日期前到任。在监理人向承包人颁发竣工证明材料前，项目经理不得同时兼任其他任何项目的项目经理</w:t>
      </w:r>
      <w:r>
        <w:rPr>
          <w:rFonts w:hint="eastAsia" w:ascii="宋体" w:hAnsi="宋体" w:cs="宋体"/>
          <w:color w:val="auto"/>
          <w:kern w:val="0"/>
          <w:szCs w:val="21"/>
          <w:highlight w:val="none"/>
          <w:u w:val="single"/>
        </w:rPr>
        <w:t>（符合桂建管</w:t>
      </w:r>
      <w:r>
        <w:rPr>
          <w:rFonts w:hint="eastAsia" w:ascii="宋体" w:hAnsi="宋体" w:cs="宋体"/>
          <w:color w:val="auto"/>
          <w:szCs w:val="21"/>
          <w:highlight w:val="none"/>
          <w:u w:val="single"/>
        </w:rPr>
        <w:t>﹝2013﹞</w:t>
      </w:r>
      <w:r>
        <w:rPr>
          <w:rFonts w:hint="eastAsia" w:ascii="宋体" w:hAnsi="宋体" w:cs="宋体"/>
          <w:color w:val="auto"/>
          <w:kern w:val="0"/>
          <w:szCs w:val="21"/>
          <w:highlight w:val="none"/>
          <w:u w:val="single"/>
        </w:rPr>
        <w:t>17号和</w:t>
      </w:r>
      <w:r>
        <w:rPr>
          <w:rFonts w:hint="eastAsia" w:ascii="宋体" w:hAnsi="宋体" w:cs="宋体"/>
          <w:color w:val="auto"/>
          <w:szCs w:val="21"/>
          <w:highlight w:val="none"/>
          <w:u w:val="single"/>
        </w:rPr>
        <w:t>桂建管﹝2014﹞25号</w:t>
      </w:r>
      <w:r>
        <w:rPr>
          <w:rFonts w:hint="eastAsia" w:ascii="宋体" w:hAnsi="宋体" w:cs="宋体"/>
          <w:color w:val="auto"/>
          <w:kern w:val="0"/>
          <w:szCs w:val="21"/>
          <w:highlight w:val="none"/>
          <w:u w:val="single"/>
        </w:rPr>
        <w:t>文除外）</w:t>
      </w:r>
      <w:r>
        <w:rPr>
          <w:rFonts w:hint="eastAsia" w:ascii="宋体" w:hAnsi="宋体" w:cs="宋体"/>
          <w:color w:val="auto"/>
          <w:szCs w:val="21"/>
          <w:highlight w:val="none"/>
          <w:u w:val="single"/>
        </w:rPr>
        <w:t>。未经发包人书面同意，承包人擅自更换项目经理的视为违约，违约金处</w:t>
      </w:r>
      <w:r>
        <w:rPr>
          <w:rFonts w:hint="eastAsia" w:ascii="宋体" w:hAnsi="宋体" w:cs="宋体"/>
          <w:b/>
          <w:color w:val="auto"/>
          <w:szCs w:val="21"/>
          <w:highlight w:val="none"/>
          <w:u w:val="single"/>
          <w:lang w:val="en-US" w:eastAsia="zh-CN"/>
        </w:rPr>
        <w:t>5000</w:t>
      </w:r>
      <w:r>
        <w:rPr>
          <w:rFonts w:hint="eastAsia" w:ascii="宋体" w:hAnsi="宋体" w:cs="宋体"/>
          <w:b/>
          <w:color w:val="auto"/>
          <w:szCs w:val="21"/>
          <w:highlight w:val="none"/>
          <w:u w:val="single"/>
        </w:rPr>
        <w:t>元/人•次（人民币）</w:t>
      </w:r>
      <w:r>
        <w:rPr>
          <w:rFonts w:hint="eastAsia" w:ascii="宋体" w:hAnsi="宋体" w:cs="宋体"/>
          <w:color w:val="auto"/>
          <w:szCs w:val="21"/>
          <w:highlight w:val="none"/>
        </w:rPr>
        <w:t>。</w:t>
      </w:r>
    </w:p>
    <w:p w14:paraId="5A2D39E1">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3.2.4 承包人无正当理由拒绝更换项目经理的违约责任：</w:t>
      </w:r>
      <w:r>
        <w:rPr>
          <w:rFonts w:hint="eastAsia" w:ascii="宋体" w:hAnsi="宋体" w:cs="宋体"/>
          <w:color w:val="auto"/>
          <w:szCs w:val="21"/>
          <w:highlight w:val="none"/>
          <w:u w:val="single"/>
        </w:rPr>
        <w:t>因承包人项目经理不称职，发包人要求调换而未及时调换的，视为承包人违约，必须向发包人交纳处罚金</w:t>
      </w:r>
      <w:r>
        <w:rPr>
          <w:rFonts w:hint="eastAsia" w:ascii="宋体" w:hAnsi="宋体" w:cs="宋体"/>
          <w:b/>
          <w:color w:val="auto"/>
          <w:szCs w:val="21"/>
          <w:highlight w:val="none"/>
          <w:u w:val="single"/>
          <w:lang w:val="en-US" w:eastAsia="zh-CN"/>
        </w:rPr>
        <w:t>5000</w:t>
      </w:r>
      <w:r>
        <w:rPr>
          <w:rFonts w:hint="eastAsia" w:ascii="宋体" w:hAnsi="宋体" w:cs="宋体"/>
          <w:b/>
          <w:color w:val="auto"/>
          <w:szCs w:val="21"/>
          <w:highlight w:val="none"/>
          <w:u w:val="single"/>
        </w:rPr>
        <w:t>元/人•次（人民币）</w:t>
      </w:r>
      <w:r>
        <w:rPr>
          <w:rFonts w:hint="eastAsia" w:ascii="宋体" w:hAnsi="宋体" w:cs="宋体"/>
          <w:color w:val="auto"/>
          <w:szCs w:val="21"/>
          <w:highlight w:val="none"/>
        </w:rPr>
        <w:t>。</w:t>
      </w:r>
    </w:p>
    <w:p w14:paraId="33A34FBE">
      <w:pPr>
        <w:pStyle w:val="130"/>
        <w:spacing w:line="420" w:lineRule="exact"/>
        <w:rPr>
          <w:rFonts w:ascii="宋体" w:hAnsi="宋体" w:cs="宋体"/>
          <w:color w:val="auto"/>
          <w:sz w:val="24"/>
          <w:szCs w:val="24"/>
          <w:highlight w:val="none"/>
        </w:rPr>
      </w:pPr>
      <w:bookmarkStart w:id="456" w:name="_Toc75182711"/>
      <w:bookmarkStart w:id="457" w:name="_Toc12191"/>
      <w:bookmarkStart w:id="458" w:name="_Toc407135211"/>
      <w:bookmarkStart w:id="459" w:name="_Toc497215723"/>
      <w:bookmarkStart w:id="460" w:name="_Toc497901122"/>
      <w:bookmarkStart w:id="461" w:name="_Toc497147166"/>
      <w:bookmarkStart w:id="462" w:name="_Toc47088310"/>
      <w:r>
        <w:rPr>
          <w:rFonts w:hint="eastAsia" w:ascii="宋体" w:hAnsi="宋体" w:cs="宋体"/>
          <w:color w:val="auto"/>
          <w:sz w:val="24"/>
          <w:szCs w:val="24"/>
          <w:highlight w:val="none"/>
        </w:rPr>
        <w:t>3.3 承包人人员</w:t>
      </w:r>
      <w:bookmarkEnd w:id="456"/>
      <w:bookmarkEnd w:id="457"/>
      <w:bookmarkEnd w:id="458"/>
      <w:bookmarkEnd w:id="459"/>
      <w:bookmarkEnd w:id="460"/>
      <w:bookmarkEnd w:id="461"/>
      <w:bookmarkEnd w:id="462"/>
    </w:p>
    <w:p w14:paraId="7ADFE754">
      <w:pPr>
        <w:pStyle w:val="63"/>
        <w:spacing w:line="360" w:lineRule="auto"/>
        <w:rPr>
          <w:rFonts w:ascii="宋体" w:hAnsi="宋体" w:cs="宋体"/>
          <w:color w:val="auto"/>
          <w:szCs w:val="21"/>
          <w:highlight w:val="none"/>
        </w:rPr>
      </w:pPr>
      <w:r>
        <w:rPr>
          <w:rFonts w:hint="eastAsia" w:ascii="宋体" w:hAnsi="宋体" w:cs="宋体"/>
          <w:color w:val="auto"/>
          <w:szCs w:val="21"/>
          <w:highlight w:val="none"/>
        </w:rPr>
        <w:t>3.3.1 承包人提交项目管理机构及施工现场管理人员安排报告的期限：</w:t>
      </w:r>
      <w:r>
        <w:rPr>
          <w:rFonts w:hint="eastAsia" w:ascii="宋体" w:hAnsi="宋体" w:cs="宋体"/>
          <w:b/>
          <w:color w:val="auto"/>
          <w:szCs w:val="21"/>
          <w:highlight w:val="none"/>
          <w:u w:val="single"/>
        </w:rPr>
        <w:t>接到开工通知后7天内</w:t>
      </w:r>
      <w:r>
        <w:rPr>
          <w:rFonts w:hint="eastAsia" w:ascii="宋体" w:hAnsi="宋体" w:cs="宋体"/>
          <w:color w:val="auto"/>
          <w:szCs w:val="21"/>
          <w:highlight w:val="none"/>
        </w:rPr>
        <w:t>。</w:t>
      </w:r>
    </w:p>
    <w:p w14:paraId="6638EAAF">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color w:val="auto"/>
          <w:szCs w:val="21"/>
          <w:highlight w:val="none"/>
          <w:u w:val="single"/>
        </w:rPr>
        <w:t>因承包人主要施工管理人员不称职，发包人要求调换而无正当理由拒绝撤换或未及时调换的，视为承包人违约，必须向发包人交纳处罚金，处罚标准：技术负责人</w:t>
      </w:r>
      <w:r>
        <w:rPr>
          <w:rFonts w:hint="eastAsia" w:ascii="宋体" w:hAnsi="宋体" w:cs="宋体"/>
          <w:b/>
          <w:color w:val="auto"/>
          <w:szCs w:val="21"/>
          <w:highlight w:val="none"/>
          <w:u w:val="single"/>
          <w:lang w:val="en-US" w:eastAsia="zh-CN"/>
        </w:rPr>
        <w:t>3000</w:t>
      </w:r>
      <w:r>
        <w:rPr>
          <w:rFonts w:hint="eastAsia" w:ascii="宋体" w:hAnsi="宋体" w:cs="宋体"/>
          <w:b/>
          <w:color w:val="auto"/>
          <w:szCs w:val="21"/>
          <w:highlight w:val="none"/>
          <w:u w:val="single"/>
        </w:rPr>
        <w:t>元/人•次</w:t>
      </w:r>
      <w:r>
        <w:rPr>
          <w:rFonts w:hint="eastAsia" w:ascii="宋体" w:hAnsi="宋体" w:cs="宋体"/>
          <w:color w:val="auto"/>
          <w:szCs w:val="21"/>
          <w:highlight w:val="none"/>
          <w:u w:val="single"/>
        </w:rPr>
        <w:t>（人民币）；专业工程师</w:t>
      </w:r>
      <w:r>
        <w:rPr>
          <w:rFonts w:hint="eastAsia" w:ascii="宋体" w:hAnsi="宋体" w:cs="宋体"/>
          <w:b/>
          <w:color w:val="auto"/>
          <w:szCs w:val="21"/>
          <w:highlight w:val="none"/>
          <w:u w:val="single"/>
          <w:lang w:val="en-US" w:eastAsia="zh-CN"/>
        </w:rPr>
        <w:t>3000</w:t>
      </w:r>
      <w:r>
        <w:rPr>
          <w:rFonts w:hint="eastAsia" w:ascii="宋体" w:hAnsi="宋体" w:cs="宋体"/>
          <w:b/>
          <w:color w:val="auto"/>
          <w:szCs w:val="21"/>
          <w:highlight w:val="none"/>
          <w:u w:val="single"/>
        </w:rPr>
        <w:t>元/人•次</w:t>
      </w:r>
      <w:r>
        <w:rPr>
          <w:rFonts w:hint="eastAsia" w:ascii="宋体" w:hAnsi="宋体" w:cs="宋体"/>
          <w:color w:val="auto"/>
          <w:szCs w:val="21"/>
          <w:highlight w:val="none"/>
          <w:u w:val="single"/>
        </w:rPr>
        <w:t>（人民币）</w:t>
      </w:r>
      <w:r>
        <w:rPr>
          <w:rFonts w:hint="eastAsia" w:ascii="宋体" w:hAnsi="宋体" w:cs="宋体"/>
          <w:color w:val="auto"/>
          <w:szCs w:val="21"/>
          <w:highlight w:val="none"/>
        </w:rPr>
        <w:t>。</w:t>
      </w:r>
    </w:p>
    <w:p w14:paraId="12004E07">
      <w:pPr>
        <w:pStyle w:val="63"/>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3.3.4 承包人主要施工管理人员离开施工现场的批准要求：</w:t>
      </w:r>
      <w:r>
        <w:rPr>
          <w:rFonts w:hint="eastAsia" w:ascii="宋体" w:hAnsi="宋体" w:cs="宋体"/>
          <w:b/>
          <w:color w:val="auto"/>
          <w:szCs w:val="21"/>
          <w:highlight w:val="none"/>
          <w:u w:val="single"/>
        </w:rPr>
        <w:t>按承包人的规章制度办理并报告发包人代表并报发包人同意后方可离开</w:t>
      </w:r>
      <w:r>
        <w:rPr>
          <w:rFonts w:hint="eastAsia" w:ascii="宋体" w:hAnsi="宋体" w:cs="宋体"/>
          <w:color w:val="auto"/>
          <w:szCs w:val="21"/>
          <w:highlight w:val="none"/>
        </w:rPr>
        <w:t>。</w:t>
      </w:r>
    </w:p>
    <w:p w14:paraId="01375494">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 承包人擅自更换主要施工管理人员的违约责任：</w:t>
      </w:r>
      <w:r>
        <w:rPr>
          <w:rFonts w:hint="eastAsia" w:ascii="宋体" w:hAnsi="宋体" w:cs="宋体"/>
          <w:color w:val="auto"/>
          <w:szCs w:val="21"/>
          <w:highlight w:val="none"/>
          <w:u w:val="single"/>
        </w:rPr>
        <w:t>项目技术负责人、专职安全员及其承诺的其它在场管理人员未经发包人书面同意不准擅自更换，擅自更换项目技术负责人处</w:t>
      </w:r>
      <w:r>
        <w:rPr>
          <w:rFonts w:hint="eastAsia" w:ascii="宋体" w:hAnsi="宋体" w:cs="宋体"/>
          <w:b/>
          <w:color w:val="auto"/>
          <w:szCs w:val="21"/>
          <w:highlight w:val="none"/>
          <w:u w:val="single"/>
          <w:lang w:val="en-US" w:eastAsia="zh-CN"/>
        </w:rPr>
        <w:t>3000</w:t>
      </w:r>
      <w:r>
        <w:rPr>
          <w:rFonts w:hint="eastAsia" w:ascii="宋体" w:hAnsi="宋体" w:cs="宋体"/>
          <w:b/>
          <w:color w:val="auto"/>
          <w:szCs w:val="21"/>
          <w:highlight w:val="none"/>
          <w:u w:val="single"/>
        </w:rPr>
        <w:t>元/人•次</w:t>
      </w:r>
      <w:r>
        <w:rPr>
          <w:rFonts w:hint="eastAsia" w:ascii="宋体" w:hAnsi="宋体" w:cs="宋体"/>
          <w:color w:val="auto"/>
          <w:szCs w:val="21"/>
          <w:highlight w:val="none"/>
          <w:u w:val="single"/>
        </w:rPr>
        <w:t>（人民币）违约金；擅自更换专职安全员处</w:t>
      </w:r>
      <w:r>
        <w:rPr>
          <w:rFonts w:hint="eastAsia" w:ascii="宋体" w:hAnsi="宋体" w:cs="宋体"/>
          <w:b/>
          <w:color w:val="auto"/>
          <w:szCs w:val="21"/>
          <w:highlight w:val="none"/>
          <w:u w:val="single"/>
          <w:lang w:val="en-US" w:eastAsia="zh-CN"/>
        </w:rPr>
        <w:t>3000</w:t>
      </w:r>
      <w:r>
        <w:rPr>
          <w:rFonts w:hint="eastAsia" w:ascii="宋体" w:hAnsi="宋体" w:cs="宋体"/>
          <w:b/>
          <w:color w:val="auto"/>
          <w:szCs w:val="21"/>
          <w:highlight w:val="none"/>
          <w:u w:val="single"/>
        </w:rPr>
        <w:t>元/人•次</w:t>
      </w:r>
      <w:r>
        <w:rPr>
          <w:rFonts w:hint="eastAsia" w:ascii="宋体" w:hAnsi="宋体" w:cs="宋体"/>
          <w:color w:val="auto"/>
          <w:szCs w:val="21"/>
          <w:highlight w:val="none"/>
          <w:u w:val="single"/>
        </w:rPr>
        <w:t>（人民币）违约金；擅自更换其它在场管理人员处</w:t>
      </w:r>
      <w:r>
        <w:rPr>
          <w:rFonts w:hint="eastAsia" w:ascii="宋体" w:hAnsi="宋体" w:cs="宋体"/>
          <w:b/>
          <w:color w:val="auto"/>
          <w:szCs w:val="21"/>
          <w:highlight w:val="none"/>
          <w:u w:val="single"/>
        </w:rPr>
        <w:t>2万元/人•次</w:t>
      </w:r>
      <w:r>
        <w:rPr>
          <w:rFonts w:hint="eastAsia" w:ascii="宋体" w:hAnsi="宋体" w:cs="宋体"/>
          <w:color w:val="auto"/>
          <w:szCs w:val="21"/>
          <w:highlight w:val="none"/>
          <w:u w:val="single"/>
        </w:rPr>
        <w:t>（人民币）违约金</w:t>
      </w:r>
      <w:r>
        <w:rPr>
          <w:rFonts w:hint="eastAsia" w:ascii="宋体" w:hAnsi="宋体" w:cs="宋体"/>
          <w:color w:val="auto"/>
          <w:szCs w:val="21"/>
          <w:highlight w:val="none"/>
        </w:rPr>
        <w:t>。</w:t>
      </w:r>
    </w:p>
    <w:p w14:paraId="369B329E">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承包人主要施工管理人员擅自离开施工现场的违约责任：</w:t>
      </w:r>
      <w:r>
        <w:rPr>
          <w:rFonts w:hint="eastAsia" w:ascii="宋体" w:hAnsi="宋体" w:cs="宋体"/>
          <w:color w:val="auto"/>
          <w:szCs w:val="21"/>
          <w:highlight w:val="none"/>
          <w:u w:val="single"/>
        </w:rPr>
        <w:t xml:space="preserve">未经发包人同意，项目技术负责人擅自离岗的，视为承包人违约，发包人有权处违约金 </w:t>
      </w:r>
      <w:r>
        <w:rPr>
          <w:rFonts w:hint="eastAsia" w:ascii="宋体" w:hAnsi="宋体" w:cs="宋体"/>
          <w:b/>
          <w:color w:val="auto"/>
          <w:szCs w:val="21"/>
          <w:highlight w:val="none"/>
          <w:u w:val="single"/>
          <w:lang w:val="en-US" w:eastAsia="zh-CN"/>
        </w:rPr>
        <w:t>1</w:t>
      </w:r>
      <w:r>
        <w:rPr>
          <w:rFonts w:hint="eastAsia" w:ascii="宋体" w:hAnsi="宋体" w:cs="宋体"/>
          <w:b/>
          <w:color w:val="auto"/>
          <w:szCs w:val="21"/>
          <w:highlight w:val="none"/>
          <w:u w:val="single"/>
        </w:rPr>
        <w:t>000元/人•次</w:t>
      </w:r>
      <w:r>
        <w:rPr>
          <w:rFonts w:hint="eastAsia" w:ascii="宋体" w:hAnsi="宋体" w:cs="宋体"/>
          <w:color w:val="auto"/>
          <w:szCs w:val="21"/>
          <w:highlight w:val="none"/>
          <w:u w:val="single"/>
        </w:rPr>
        <w:t xml:space="preserve">（人民币）；未经发包人同意，专职安全员擅自离岗的，视为承包人违约，发包人有权处违约金 </w:t>
      </w:r>
      <w:r>
        <w:rPr>
          <w:rFonts w:hint="eastAsia" w:ascii="宋体" w:hAnsi="宋体" w:cs="宋体"/>
          <w:b/>
          <w:color w:val="auto"/>
          <w:szCs w:val="21"/>
          <w:highlight w:val="none"/>
          <w:u w:val="single"/>
          <w:lang w:val="en-US" w:eastAsia="zh-CN"/>
        </w:rPr>
        <w:t>1</w:t>
      </w:r>
      <w:r>
        <w:rPr>
          <w:rFonts w:hint="eastAsia" w:ascii="宋体" w:hAnsi="宋体" w:cs="宋体"/>
          <w:b/>
          <w:color w:val="auto"/>
          <w:szCs w:val="21"/>
          <w:highlight w:val="none"/>
          <w:u w:val="single"/>
        </w:rPr>
        <w:t>000元/人•次</w:t>
      </w:r>
      <w:r>
        <w:rPr>
          <w:rFonts w:hint="eastAsia" w:ascii="宋体" w:hAnsi="宋体" w:cs="宋体"/>
          <w:color w:val="auto"/>
          <w:szCs w:val="21"/>
          <w:highlight w:val="none"/>
          <w:u w:val="single"/>
        </w:rPr>
        <w:t>（人民币）；其它在场管理人员擅自离岗的，视为承包人违约，发包人有权处违约金</w:t>
      </w:r>
      <w:r>
        <w:rPr>
          <w:rFonts w:hint="eastAsia" w:ascii="宋体" w:hAnsi="宋体" w:cs="宋体"/>
          <w:b/>
          <w:color w:val="auto"/>
          <w:szCs w:val="21"/>
          <w:highlight w:val="none"/>
          <w:u w:val="single"/>
          <w:lang w:val="en-US" w:eastAsia="zh-CN"/>
        </w:rPr>
        <w:t>1</w:t>
      </w:r>
      <w:r>
        <w:rPr>
          <w:rFonts w:hint="eastAsia" w:ascii="宋体" w:hAnsi="宋体" w:cs="宋体"/>
          <w:b/>
          <w:color w:val="auto"/>
          <w:szCs w:val="21"/>
          <w:highlight w:val="none"/>
          <w:u w:val="single"/>
        </w:rPr>
        <w:t>000元/人•次</w:t>
      </w:r>
      <w:r>
        <w:rPr>
          <w:rFonts w:hint="eastAsia" w:ascii="宋体" w:hAnsi="宋体" w:cs="宋体"/>
          <w:color w:val="auto"/>
          <w:szCs w:val="21"/>
          <w:highlight w:val="none"/>
          <w:u w:val="single"/>
        </w:rPr>
        <w:t>（人民币）</w:t>
      </w:r>
      <w:r>
        <w:rPr>
          <w:rFonts w:hint="eastAsia" w:ascii="宋体" w:hAnsi="宋体" w:cs="宋体"/>
          <w:color w:val="auto"/>
          <w:szCs w:val="21"/>
          <w:highlight w:val="none"/>
        </w:rPr>
        <w:t>。</w:t>
      </w:r>
    </w:p>
    <w:p w14:paraId="13E28F73">
      <w:pPr>
        <w:pStyle w:val="130"/>
        <w:spacing w:line="420" w:lineRule="exact"/>
        <w:rPr>
          <w:rFonts w:ascii="宋体" w:hAnsi="宋体" w:cs="宋体"/>
          <w:color w:val="auto"/>
          <w:sz w:val="24"/>
          <w:szCs w:val="24"/>
          <w:highlight w:val="none"/>
        </w:rPr>
      </w:pPr>
      <w:bookmarkStart w:id="463" w:name="_Toc407135212"/>
      <w:bookmarkStart w:id="464" w:name="_Toc497215724"/>
      <w:bookmarkStart w:id="465" w:name="_Toc497901123"/>
      <w:bookmarkStart w:id="466" w:name="_Toc47088311"/>
      <w:bookmarkStart w:id="467" w:name="_Toc19178"/>
      <w:bookmarkStart w:id="468" w:name="_Toc497147167"/>
      <w:bookmarkStart w:id="469" w:name="_Toc75182712"/>
      <w:r>
        <w:rPr>
          <w:rFonts w:hint="eastAsia" w:ascii="宋体" w:hAnsi="宋体" w:cs="宋体"/>
          <w:color w:val="auto"/>
          <w:sz w:val="24"/>
          <w:szCs w:val="24"/>
          <w:highlight w:val="none"/>
        </w:rPr>
        <w:t>3.5 分包</w:t>
      </w:r>
      <w:bookmarkEnd w:id="463"/>
      <w:bookmarkEnd w:id="464"/>
      <w:bookmarkEnd w:id="465"/>
      <w:bookmarkEnd w:id="466"/>
      <w:bookmarkEnd w:id="467"/>
      <w:bookmarkEnd w:id="468"/>
      <w:bookmarkEnd w:id="469"/>
    </w:p>
    <w:p w14:paraId="4159BB0B">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3.5.1 分包的一般约定</w:t>
      </w:r>
    </w:p>
    <w:p w14:paraId="654EB140">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color w:val="auto"/>
          <w:szCs w:val="21"/>
          <w:highlight w:val="none"/>
          <w:u w:val="single"/>
        </w:rPr>
        <w:t></w:t>
      </w:r>
      <w:r>
        <w:rPr>
          <w:rFonts w:hint="eastAsia" w:ascii="宋体" w:hAnsi="宋体" w:cs="宋体"/>
          <w:b/>
          <w:color w:val="auto"/>
          <w:szCs w:val="21"/>
          <w:highlight w:val="none"/>
          <w:u w:val="single"/>
        </w:rPr>
        <w:t>本项目禁止分包</w:t>
      </w:r>
      <w:r>
        <w:rPr>
          <w:rFonts w:hint="eastAsia" w:ascii="宋体" w:hAnsi="宋体" w:cs="宋体"/>
          <w:color w:val="auto"/>
          <w:szCs w:val="21"/>
          <w:highlight w:val="none"/>
        </w:rPr>
        <w:t>。</w:t>
      </w:r>
    </w:p>
    <w:p w14:paraId="507A3B1B">
      <w:pPr>
        <w:pStyle w:val="7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主体结构、关键性工作的范围：</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2D27286">
      <w:pPr>
        <w:pStyle w:val="7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3.5.2 分包的确定</w:t>
      </w:r>
    </w:p>
    <w:p w14:paraId="7FD0E912">
      <w:pPr>
        <w:pStyle w:val="7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117A033">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其他关于分包的约定：</w:t>
      </w:r>
    </w:p>
    <w:p w14:paraId="1AE6DC7F">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024BCF1F">
      <w:pPr>
        <w:pStyle w:val="63"/>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（2）在相关分包合同签订并报送有关建设行政主管部门备案后7天内，承包人应当将一份副本提交给监理人，承包人应保障分包工作不得再次分包。</w:t>
      </w:r>
    </w:p>
    <w:p w14:paraId="36AF1561">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（3）未经承包人和监理人审批同意的分包工程和分包人，承包人有权拒绝验收分包工程和支付相应款项，由此引起的发包人费用增加和(或)延误的工期由发包人承担。</w:t>
      </w:r>
    </w:p>
    <w:p w14:paraId="095488E7">
      <w:pPr>
        <w:pStyle w:val="146"/>
        <w:spacing w:line="360" w:lineRule="auto"/>
        <w:ind w:firstLine="420" w:firstLineChars="200"/>
        <w:rPr>
          <w:rFonts w:hAnsi="宋体" w:cs="宋体"/>
          <w:color w:val="auto"/>
          <w:szCs w:val="21"/>
          <w:highlight w:val="none"/>
        </w:rPr>
      </w:pPr>
      <w:r>
        <w:rPr>
          <w:rFonts w:hint="eastAsia" w:hAnsi="宋体" w:cs="宋体"/>
          <w:color w:val="auto"/>
          <w:szCs w:val="21"/>
          <w:highlight w:val="none"/>
        </w:rPr>
        <w:t>（4）承包人有以下情况之一者，发包人有权解除合同，并视情况扣除其履约保证金：</w:t>
      </w:r>
    </w:p>
    <w:p w14:paraId="250CAD16">
      <w:pPr>
        <w:pStyle w:val="146"/>
        <w:spacing w:line="360" w:lineRule="auto"/>
        <w:ind w:firstLine="441" w:firstLineChars="210"/>
        <w:rPr>
          <w:rFonts w:hAnsi="宋体" w:cs="宋体"/>
          <w:color w:val="auto"/>
          <w:szCs w:val="21"/>
          <w:highlight w:val="none"/>
        </w:rPr>
      </w:pPr>
      <w:r>
        <w:rPr>
          <w:rFonts w:hint="eastAsia" w:hAnsi="宋体" w:cs="宋体"/>
          <w:color w:val="auto"/>
          <w:szCs w:val="21"/>
          <w:highlight w:val="none"/>
        </w:rPr>
        <w:t>①个人承包工程，包括本人单位及外单位人员承包，发包人不承认其个人拥有任何资质等级及营业许可资格。没收全部履约保证金。</w:t>
      </w:r>
    </w:p>
    <w:p w14:paraId="29BD1EA8">
      <w:pPr>
        <w:pStyle w:val="146"/>
        <w:spacing w:line="360" w:lineRule="auto"/>
        <w:ind w:firstLine="441" w:firstLineChars="210"/>
        <w:rPr>
          <w:rFonts w:hAnsi="宋体" w:cs="宋体"/>
          <w:color w:val="auto"/>
          <w:szCs w:val="21"/>
          <w:highlight w:val="none"/>
        </w:rPr>
      </w:pPr>
      <w:r>
        <w:rPr>
          <w:rFonts w:hint="eastAsia" w:hAnsi="宋体" w:cs="宋体"/>
          <w:color w:val="auto"/>
          <w:szCs w:val="21"/>
          <w:highlight w:val="none"/>
        </w:rPr>
        <w:t>②几个人联合承包工程，就地组织暗分包队伍，不具备完成本工程的技术、机械能力，被发包人判定为没有能力履行的承包人。没收全部履约保证金。</w:t>
      </w:r>
    </w:p>
    <w:p w14:paraId="5E409CE5">
      <w:pPr>
        <w:pStyle w:val="146"/>
        <w:spacing w:line="360" w:lineRule="auto"/>
        <w:ind w:firstLine="441" w:firstLineChars="210"/>
        <w:rPr>
          <w:rFonts w:hAnsi="宋体" w:cs="宋体"/>
          <w:color w:val="auto"/>
          <w:szCs w:val="21"/>
          <w:highlight w:val="none"/>
        </w:rPr>
      </w:pPr>
      <w:r>
        <w:rPr>
          <w:rFonts w:hint="eastAsia" w:hAnsi="宋体" w:cs="宋体"/>
          <w:color w:val="auto"/>
          <w:szCs w:val="21"/>
          <w:highlight w:val="none"/>
        </w:rPr>
        <w:t>③就地转包全部的工程，以谋取高额转让费、管理费的承包人。没收全部履约保证金。</w:t>
      </w:r>
    </w:p>
    <w:p w14:paraId="112CA75C">
      <w:pPr>
        <w:pStyle w:val="63"/>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7FA9F7BB">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3.5.4 分包合同价款</w:t>
      </w:r>
    </w:p>
    <w:p w14:paraId="472F42C6">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73144AA5">
      <w:pPr>
        <w:pStyle w:val="130"/>
        <w:spacing w:line="420" w:lineRule="exact"/>
        <w:rPr>
          <w:rFonts w:ascii="宋体" w:hAnsi="宋体" w:cs="宋体"/>
          <w:color w:val="auto"/>
          <w:sz w:val="24"/>
          <w:szCs w:val="24"/>
          <w:highlight w:val="none"/>
        </w:rPr>
      </w:pPr>
      <w:bookmarkStart w:id="470" w:name="_Toc497215725"/>
      <w:bookmarkStart w:id="471" w:name="_Toc9909"/>
      <w:bookmarkStart w:id="472" w:name="_Toc47088312"/>
      <w:bookmarkStart w:id="473" w:name="_Toc497901124"/>
      <w:bookmarkStart w:id="474" w:name="_Toc407135213"/>
      <w:bookmarkStart w:id="475" w:name="_Toc497147168"/>
      <w:bookmarkStart w:id="476" w:name="_Toc75182713"/>
      <w:r>
        <w:rPr>
          <w:rFonts w:hint="eastAsia" w:ascii="宋体" w:hAnsi="宋体" w:cs="宋体"/>
          <w:color w:val="auto"/>
          <w:sz w:val="24"/>
          <w:szCs w:val="24"/>
          <w:highlight w:val="none"/>
        </w:rPr>
        <w:t>3.6 工程照管与成品、半成品保护</w:t>
      </w:r>
      <w:bookmarkEnd w:id="470"/>
      <w:bookmarkEnd w:id="471"/>
      <w:bookmarkEnd w:id="472"/>
      <w:bookmarkEnd w:id="473"/>
      <w:bookmarkEnd w:id="474"/>
      <w:bookmarkEnd w:id="475"/>
      <w:bookmarkEnd w:id="476"/>
    </w:p>
    <w:p w14:paraId="28AABC92">
      <w:pPr>
        <w:pStyle w:val="63"/>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s="宋体"/>
          <w:b/>
          <w:color w:val="auto"/>
          <w:kern w:val="0"/>
          <w:szCs w:val="21"/>
          <w:highlight w:val="none"/>
          <w:u w:val="single"/>
        </w:rPr>
        <w:t>发包人（或发包人委托的监理机构）向承包人发出开工令之日起至项目交付使用之日</w:t>
      </w:r>
      <w:r>
        <w:rPr>
          <w:rFonts w:hint="eastAsia" w:ascii="宋体" w:hAnsi="宋体" w:cs="宋体"/>
          <w:b/>
          <w:color w:val="auto"/>
          <w:kern w:val="0"/>
          <w:sz w:val="24"/>
          <w:highlight w:val="none"/>
          <w:u w:val="single"/>
        </w:rPr>
        <w:t>止</w:t>
      </w:r>
      <w:r>
        <w:rPr>
          <w:rFonts w:hint="eastAsia" w:ascii="宋体" w:hAnsi="宋体" w:cs="宋体"/>
          <w:color w:val="auto"/>
          <w:kern w:val="0"/>
          <w:szCs w:val="21"/>
          <w:highlight w:val="none"/>
        </w:rPr>
        <w:t>。</w:t>
      </w:r>
    </w:p>
    <w:p w14:paraId="1B8A99CF">
      <w:pPr>
        <w:pStyle w:val="130"/>
        <w:spacing w:line="420" w:lineRule="exact"/>
        <w:rPr>
          <w:rFonts w:ascii="宋体" w:hAnsi="宋体" w:cs="宋体"/>
          <w:color w:val="auto"/>
          <w:sz w:val="24"/>
          <w:szCs w:val="24"/>
          <w:highlight w:val="none"/>
        </w:rPr>
      </w:pPr>
      <w:bookmarkStart w:id="477" w:name="_Toc497901125"/>
      <w:bookmarkStart w:id="478" w:name="_Toc497215726"/>
      <w:bookmarkStart w:id="479" w:name="_Toc407135214"/>
      <w:bookmarkStart w:id="480" w:name="_Toc47088313"/>
      <w:bookmarkStart w:id="481" w:name="_Toc7553"/>
      <w:bookmarkStart w:id="482" w:name="_Toc75182714"/>
      <w:bookmarkStart w:id="483" w:name="_Toc497147169"/>
      <w:r>
        <w:rPr>
          <w:rFonts w:hint="eastAsia" w:ascii="宋体" w:hAnsi="宋体" w:cs="宋体"/>
          <w:color w:val="auto"/>
          <w:sz w:val="24"/>
          <w:szCs w:val="24"/>
          <w:highlight w:val="none"/>
        </w:rPr>
        <w:t>3.7 履约保证金</w:t>
      </w:r>
      <w:bookmarkEnd w:id="477"/>
      <w:bookmarkEnd w:id="478"/>
      <w:bookmarkEnd w:id="479"/>
      <w:bookmarkEnd w:id="480"/>
      <w:bookmarkEnd w:id="481"/>
      <w:bookmarkEnd w:id="482"/>
      <w:bookmarkEnd w:id="483"/>
    </w:p>
    <w:p w14:paraId="3B81DBB0">
      <w:pPr>
        <w:pStyle w:val="63"/>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承包人提供履约担保的形式、金额及期限的：</w:t>
      </w:r>
      <w:r>
        <w:rPr>
          <w:rFonts w:hint="eastAsia" w:ascii="宋体" w:hAnsi="宋体" w:cs="宋体"/>
          <w:color w:val="auto"/>
          <w:szCs w:val="21"/>
          <w:highlight w:val="none"/>
          <w:u w:val="single"/>
        </w:rPr>
        <w:t>/。</w:t>
      </w:r>
    </w:p>
    <w:p w14:paraId="6FF9A2F3">
      <w:pPr>
        <w:pStyle w:val="63"/>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承包人在中标后7个工作日内，按</w:t>
      </w:r>
      <w:r>
        <w:rPr>
          <w:rFonts w:hint="eastAsia" w:ascii="宋体" w:hAnsi="宋体" w:cs="宋体"/>
          <w:b/>
          <w:bCs/>
          <w:color w:val="auto"/>
          <w:szCs w:val="21"/>
          <w:highlight w:val="none"/>
          <w:u w:val="single"/>
        </w:rPr>
        <w:t>桂劳社发[2009]50号文规定</w:t>
      </w:r>
      <w:r>
        <w:rPr>
          <w:rFonts w:hint="eastAsia" w:ascii="宋体" w:hAnsi="宋体" w:cs="宋体"/>
          <w:color w:val="auto"/>
          <w:szCs w:val="21"/>
          <w:highlight w:val="none"/>
          <w:u w:val="single"/>
        </w:rPr>
        <w:t>将农民工工资保障金存入账户。工程竣工验收结算经审定后，按照规定程序，将农民工工资保障金没有使用或剩余的金额退还给承包人。</w:t>
      </w:r>
    </w:p>
    <w:p w14:paraId="36C6EA52">
      <w:pPr>
        <w:pStyle w:val="130"/>
        <w:spacing w:beforeLines="50" w:afterLines="50" w:line="420" w:lineRule="exact"/>
        <w:rPr>
          <w:rFonts w:ascii="宋体" w:hAnsi="宋体" w:cs="宋体"/>
          <w:color w:val="auto"/>
          <w:sz w:val="24"/>
          <w:szCs w:val="24"/>
          <w:highlight w:val="none"/>
        </w:rPr>
      </w:pPr>
      <w:bookmarkStart w:id="484" w:name="_Toc407135215"/>
      <w:bookmarkStart w:id="485" w:name="_Toc75182715"/>
      <w:bookmarkStart w:id="486" w:name="_Toc497215727"/>
      <w:bookmarkStart w:id="487" w:name="_Toc497901126"/>
      <w:bookmarkStart w:id="488" w:name="_Toc47088314"/>
      <w:bookmarkStart w:id="489" w:name="_Toc497147170"/>
      <w:bookmarkStart w:id="490" w:name="_Toc8449"/>
      <w:r>
        <w:rPr>
          <w:rFonts w:hint="eastAsia" w:ascii="宋体" w:hAnsi="宋体" w:cs="宋体"/>
          <w:color w:val="auto"/>
          <w:sz w:val="24"/>
          <w:szCs w:val="24"/>
          <w:highlight w:val="none"/>
        </w:rPr>
        <w:t>4. 监理人</w:t>
      </w:r>
      <w:bookmarkEnd w:id="484"/>
      <w:bookmarkEnd w:id="485"/>
      <w:bookmarkEnd w:id="486"/>
      <w:bookmarkEnd w:id="487"/>
      <w:bookmarkEnd w:id="488"/>
      <w:bookmarkEnd w:id="489"/>
      <w:bookmarkEnd w:id="490"/>
    </w:p>
    <w:p w14:paraId="2AFBDC22">
      <w:pPr>
        <w:pStyle w:val="130"/>
        <w:spacing w:line="420" w:lineRule="exact"/>
        <w:rPr>
          <w:rFonts w:ascii="宋体" w:hAnsi="宋体" w:cs="宋体"/>
          <w:color w:val="auto"/>
          <w:sz w:val="24"/>
          <w:szCs w:val="24"/>
          <w:highlight w:val="none"/>
        </w:rPr>
      </w:pPr>
      <w:bookmarkStart w:id="491" w:name="_Toc75182716"/>
      <w:bookmarkStart w:id="492" w:name="_Toc497901127"/>
      <w:bookmarkStart w:id="493" w:name="_Toc497215728"/>
      <w:bookmarkStart w:id="494" w:name="_Toc2952"/>
      <w:bookmarkStart w:id="495" w:name="_Toc497147171"/>
      <w:bookmarkStart w:id="496" w:name="_Toc47088315"/>
      <w:bookmarkStart w:id="497" w:name="_Toc407135216"/>
      <w:r>
        <w:rPr>
          <w:rFonts w:hint="eastAsia" w:ascii="宋体" w:hAnsi="宋体" w:cs="宋体"/>
          <w:color w:val="auto"/>
          <w:sz w:val="24"/>
          <w:szCs w:val="24"/>
          <w:highlight w:val="none"/>
        </w:rPr>
        <w:t>4.1 监理人的一般规定</w:t>
      </w:r>
      <w:bookmarkEnd w:id="491"/>
      <w:bookmarkEnd w:id="492"/>
      <w:bookmarkEnd w:id="493"/>
      <w:bookmarkEnd w:id="494"/>
      <w:bookmarkEnd w:id="495"/>
      <w:bookmarkEnd w:id="496"/>
      <w:bookmarkEnd w:id="497"/>
    </w:p>
    <w:p w14:paraId="46D8138C">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kern w:val="0"/>
          <w:szCs w:val="21"/>
          <w:highlight w:val="none"/>
          <w:u w:val="single"/>
        </w:rPr>
        <w:t>按本项目的监理合同约定</w:t>
      </w:r>
      <w:r>
        <w:rPr>
          <w:rFonts w:hint="eastAsia" w:ascii="宋体" w:hAnsi="宋体" w:cs="宋体"/>
          <w:color w:val="auto"/>
          <w:szCs w:val="21"/>
          <w:highlight w:val="none"/>
        </w:rPr>
        <w:t>。</w:t>
      </w:r>
    </w:p>
    <w:p w14:paraId="0F4FFC86">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color w:val="auto"/>
          <w:kern w:val="0"/>
          <w:szCs w:val="21"/>
          <w:highlight w:val="none"/>
          <w:u w:val="single"/>
        </w:rPr>
        <w:t>按本项目的监理合同约定</w:t>
      </w:r>
      <w:r>
        <w:rPr>
          <w:rFonts w:hint="eastAsia" w:ascii="宋体" w:hAnsi="宋体" w:cs="宋体"/>
          <w:color w:val="auto"/>
          <w:szCs w:val="21"/>
          <w:highlight w:val="none"/>
        </w:rPr>
        <w:t xml:space="preserve">。 </w:t>
      </w:r>
    </w:p>
    <w:p w14:paraId="543C3AD4">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color w:val="auto"/>
          <w:szCs w:val="21"/>
          <w:highlight w:val="none"/>
          <w:u w:val="single"/>
          <w:lang w:val="en-US" w:eastAsia="zh-CN"/>
        </w:rPr>
        <w:t>监理人在施工现场的办公场所、生活场所由承包人提供，所发生的费用由承包人承担</w:t>
      </w:r>
      <w:r>
        <w:rPr>
          <w:rFonts w:hint="eastAsia" w:ascii="宋体" w:hAnsi="宋体" w:cs="宋体"/>
          <w:b/>
          <w:bCs/>
          <w:color w:val="auto"/>
          <w:kern w:val="0"/>
          <w:szCs w:val="21"/>
          <w:highlight w:val="none"/>
          <w:u w:val="single"/>
        </w:rPr>
        <w:t xml:space="preserve">  </w:t>
      </w:r>
      <w:r>
        <w:rPr>
          <w:rFonts w:hint="eastAsia" w:ascii="宋体" w:hAnsi="宋体" w:cs="宋体"/>
          <w:color w:val="auto"/>
          <w:szCs w:val="21"/>
          <w:highlight w:val="none"/>
        </w:rPr>
        <w:t>。</w:t>
      </w:r>
    </w:p>
    <w:p w14:paraId="56E487E7">
      <w:pPr>
        <w:pStyle w:val="130"/>
        <w:spacing w:line="420" w:lineRule="exact"/>
        <w:rPr>
          <w:rFonts w:ascii="宋体" w:hAnsi="宋体" w:cs="宋体"/>
          <w:color w:val="auto"/>
          <w:sz w:val="24"/>
          <w:szCs w:val="24"/>
          <w:highlight w:val="none"/>
        </w:rPr>
      </w:pPr>
      <w:bookmarkStart w:id="498" w:name="_Toc75182717"/>
      <w:bookmarkStart w:id="499" w:name="_Toc497147172"/>
      <w:bookmarkStart w:id="500" w:name="_Toc47088316"/>
      <w:bookmarkStart w:id="501" w:name="_Toc497215729"/>
      <w:bookmarkStart w:id="502" w:name="_Toc9938"/>
      <w:bookmarkStart w:id="503" w:name="_Toc497901128"/>
      <w:bookmarkStart w:id="504" w:name="_Toc407135217"/>
      <w:r>
        <w:rPr>
          <w:rFonts w:hint="eastAsia" w:ascii="宋体" w:hAnsi="宋体" w:cs="宋体"/>
          <w:color w:val="auto"/>
          <w:sz w:val="24"/>
          <w:szCs w:val="24"/>
          <w:highlight w:val="none"/>
        </w:rPr>
        <w:t>4.2 监理人员</w:t>
      </w:r>
      <w:bookmarkEnd w:id="498"/>
      <w:bookmarkEnd w:id="499"/>
      <w:bookmarkEnd w:id="500"/>
      <w:bookmarkEnd w:id="501"/>
      <w:bookmarkEnd w:id="502"/>
      <w:bookmarkEnd w:id="503"/>
      <w:bookmarkEnd w:id="504"/>
    </w:p>
    <w:p w14:paraId="19777248">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总监理工程师：</w:t>
      </w:r>
    </w:p>
    <w:p w14:paraId="22C0D440">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w:t>
      </w:r>
      <w:r>
        <w:rPr>
          <w:rFonts w:hint="eastAsia" w:ascii="宋体" w:hAnsi="宋体" w:cs="宋体"/>
          <w:b/>
          <w:color w:val="auto"/>
          <w:szCs w:val="21"/>
          <w:highlight w:val="none"/>
          <w:u w:val="single"/>
        </w:rPr>
        <w:t>中标后填写</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02C1520">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w:t>
      </w:r>
      <w:r>
        <w:rPr>
          <w:rFonts w:hint="eastAsia" w:ascii="宋体" w:hAnsi="宋体" w:cs="宋体"/>
          <w:b/>
          <w:color w:val="auto"/>
          <w:szCs w:val="21"/>
          <w:highlight w:val="none"/>
          <w:u w:val="single"/>
        </w:rPr>
        <w:t xml:space="preserve">中标后填写  </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36F7487A">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w:t>
      </w:r>
      <w:r>
        <w:rPr>
          <w:rFonts w:hint="eastAsia" w:ascii="宋体" w:hAnsi="宋体" w:cs="宋体"/>
          <w:b/>
          <w:color w:val="auto"/>
          <w:szCs w:val="21"/>
          <w:highlight w:val="none"/>
          <w:u w:val="single"/>
        </w:rPr>
        <w:t>中标后填写</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1DF34980">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广西建筑市场诚信卡卡号：</w:t>
      </w:r>
      <w:r>
        <w:rPr>
          <w:rFonts w:hint="eastAsia" w:ascii="宋体" w:hAnsi="宋体" w:cs="宋体"/>
          <w:b/>
          <w:color w:val="auto"/>
          <w:szCs w:val="21"/>
          <w:highlight w:val="none"/>
          <w:u w:val="single"/>
        </w:rPr>
        <w:t>中标后填写</w:t>
      </w:r>
      <w:r>
        <w:rPr>
          <w:rFonts w:hint="eastAsia" w:ascii="宋体" w:hAnsi="宋体" w:cs="宋体"/>
          <w:color w:val="auto"/>
          <w:szCs w:val="21"/>
          <w:highlight w:val="none"/>
        </w:rPr>
        <w:t>；</w:t>
      </w:r>
    </w:p>
    <w:p w14:paraId="7BE83283">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w:t>
      </w:r>
      <w:r>
        <w:rPr>
          <w:rFonts w:hint="eastAsia" w:ascii="宋体" w:hAnsi="宋体" w:cs="宋体"/>
          <w:b/>
          <w:color w:val="auto"/>
          <w:szCs w:val="21"/>
          <w:highlight w:val="none"/>
          <w:u w:val="single"/>
        </w:rPr>
        <w:t>中标后填写</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0B237CB">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w:t>
      </w:r>
      <w:r>
        <w:rPr>
          <w:rFonts w:hint="eastAsia" w:ascii="宋体" w:hAnsi="宋体" w:cs="宋体"/>
          <w:b/>
          <w:color w:val="auto"/>
          <w:szCs w:val="21"/>
          <w:highlight w:val="none"/>
          <w:u w:val="single"/>
        </w:rPr>
        <w:t xml:space="preserve">中标后填写  </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62A6F453">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w:t>
      </w:r>
      <w:r>
        <w:rPr>
          <w:rFonts w:hint="eastAsia" w:ascii="宋体" w:hAnsi="宋体" w:cs="宋体"/>
          <w:b/>
          <w:color w:val="auto"/>
          <w:szCs w:val="21"/>
          <w:highlight w:val="none"/>
          <w:u w:val="single"/>
        </w:rPr>
        <w:t>中标后填写</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66ACBE24">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w:t>
      </w:r>
      <w:r>
        <w:rPr>
          <w:rFonts w:hint="eastAsia" w:ascii="宋体" w:hAnsi="宋体" w:cs="宋体"/>
          <w:b/>
          <w:color w:val="auto"/>
          <w:szCs w:val="21"/>
          <w:highlight w:val="none"/>
          <w:u w:val="single"/>
        </w:rPr>
        <w:t>中标后填写</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41B63BB9">
      <w:pPr>
        <w:pStyle w:val="130"/>
        <w:spacing w:line="420" w:lineRule="exact"/>
        <w:rPr>
          <w:rFonts w:ascii="宋体" w:hAnsi="宋体" w:cs="宋体"/>
          <w:color w:val="auto"/>
          <w:sz w:val="24"/>
          <w:szCs w:val="24"/>
          <w:highlight w:val="none"/>
        </w:rPr>
      </w:pPr>
      <w:bookmarkStart w:id="505" w:name="_Toc75182718"/>
      <w:bookmarkStart w:id="506" w:name="_Toc497215730"/>
      <w:bookmarkStart w:id="507" w:name="_Toc47088317"/>
      <w:bookmarkStart w:id="508" w:name="_Toc497147173"/>
      <w:bookmarkStart w:id="509" w:name="_Toc22150"/>
      <w:bookmarkStart w:id="510" w:name="_Toc497901129"/>
      <w:bookmarkStart w:id="511" w:name="_Toc407135218"/>
      <w:r>
        <w:rPr>
          <w:rFonts w:hint="eastAsia" w:ascii="宋体" w:hAnsi="宋体" w:cs="宋体"/>
          <w:color w:val="auto"/>
          <w:sz w:val="24"/>
          <w:szCs w:val="24"/>
          <w:highlight w:val="none"/>
        </w:rPr>
        <w:t>4.4 商定或确定</w:t>
      </w:r>
      <w:bookmarkEnd w:id="505"/>
      <w:bookmarkEnd w:id="506"/>
      <w:bookmarkEnd w:id="507"/>
      <w:bookmarkEnd w:id="508"/>
      <w:bookmarkEnd w:id="509"/>
      <w:bookmarkEnd w:id="510"/>
      <w:bookmarkEnd w:id="511"/>
    </w:p>
    <w:p w14:paraId="75E50AED">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在发包人和承包人不能通过协商达成一致意见时，发包人授权监理人对以下事项进行确定：</w:t>
      </w:r>
    </w:p>
    <w:p w14:paraId="0407D379">
      <w:pPr>
        <w:pStyle w:val="63"/>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959673A">
      <w:pPr>
        <w:pStyle w:val="63"/>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28A016D9">
      <w:pPr>
        <w:pStyle w:val="63"/>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D5D5DB1">
      <w:pPr>
        <w:pStyle w:val="130"/>
        <w:spacing w:beforeLines="50" w:afterLines="50" w:line="420" w:lineRule="exact"/>
        <w:rPr>
          <w:rFonts w:ascii="宋体" w:hAnsi="宋体" w:cs="宋体"/>
          <w:color w:val="auto"/>
          <w:sz w:val="24"/>
          <w:szCs w:val="24"/>
          <w:highlight w:val="none"/>
        </w:rPr>
      </w:pPr>
      <w:bookmarkStart w:id="512" w:name="_Toc407135219"/>
      <w:bookmarkStart w:id="513" w:name="_Toc47088318"/>
      <w:bookmarkStart w:id="514" w:name="_Toc75182719"/>
      <w:bookmarkStart w:id="515" w:name="_Toc497901130"/>
      <w:bookmarkStart w:id="516" w:name="_Toc497215731"/>
      <w:bookmarkStart w:id="517" w:name="_Toc497147174"/>
      <w:bookmarkStart w:id="518" w:name="_Toc19489"/>
      <w:r>
        <w:rPr>
          <w:rFonts w:hint="eastAsia" w:ascii="宋体" w:hAnsi="宋体" w:cs="宋体"/>
          <w:color w:val="auto"/>
          <w:sz w:val="24"/>
          <w:szCs w:val="24"/>
          <w:highlight w:val="none"/>
        </w:rPr>
        <w:t>5. 工程质量</w:t>
      </w:r>
      <w:bookmarkEnd w:id="512"/>
      <w:bookmarkEnd w:id="513"/>
      <w:bookmarkEnd w:id="514"/>
      <w:bookmarkEnd w:id="515"/>
      <w:bookmarkEnd w:id="516"/>
      <w:bookmarkEnd w:id="517"/>
      <w:bookmarkEnd w:id="518"/>
    </w:p>
    <w:p w14:paraId="254647B9">
      <w:pPr>
        <w:pStyle w:val="130"/>
        <w:spacing w:line="420" w:lineRule="exact"/>
        <w:rPr>
          <w:rFonts w:ascii="宋体" w:hAnsi="宋体" w:cs="宋体"/>
          <w:color w:val="auto"/>
          <w:sz w:val="24"/>
          <w:szCs w:val="24"/>
          <w:highlight w:val="none"/>
        </w:rPr>
      </w:pPr>
      <w:bookmarkStart w:id="519" w:name="_Toc407135220"/>
      <w:bookmarkStart w:id="520" w:name="_Toc75182720"/>
      <w:bookmarkStart w:id="521" w:name="_Toc497901131"/>
      <w:bookmarkStart w:id="522" w:name="_Toc225"/>
      <w:bookmarkStart w:id="523" w:name="_Toc497215732"/>
      <w:bookmarkStart w:id="524" w:name="_Toc47088319"/>
      <w:bookmarkStart w:id="525" w:name="_Toc497147175"/>
      <w:r>
        <w:rPr>
          <w:rFonts w:hint="eastAsia" w:ascii="宋体" w:hAnsi="宋体" w:cs="宋体"/>
          <w:color w:val="auto"/>
          <w:sz w:val="24"/>
          <w:szCs w:val="24"/>
          <w:highlight w:val="none"/>
        </w:rPr>
        <w:t>5.1 质量要求</w:t>
      </w:r>
      <w:bookmarkEnd w:id="519"/>
      <w:bookmarkEnd w:id="520"/>
      <w:bookmarkEnd w:id="521"/>
      <w:bookmarkEnd w:id="522"/>
      <w:bookmarkEnd w:id="523"/>
      <w:bookmarkEnd w:id="524"/>
      <w:bookmarkEnd w:id="525"/>
    </w:p>
    <w:p w14:paraId="472E9223">
      <w:pPr>
        <w:pStyle w:val="63"/>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5.1.1 特殊质量标准和要求：</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7A992F3">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关于工程奖项的约定：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4045F412">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 隐蔽工程检查</w:t>
      </w:r>
    </w:p>
    <w:p w14:paraId="679D3570">
      <w:pPr>
        <w:pStyle w:val="63"/>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5.3.2承包人提前通知监理人隐蔽工程检查的期限的约定：</w:t>
      </w:r>
      <w:r>
        <w:rPr>
          <w:rFonts w:hint="eastAsia" w:ascii="宋体" w:hAnsi="宋体" w:cs="宋体"/>
          <w:bCs/>
          <w:color w:val="auto"/>
          <w:szCs w:val="21"/>
          <w:highlight w:val="none"/>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68BD1DB4">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监理人不能按时进行检查时，应提前</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小时提交书面延期要求。</w:t>
      </w:r>
    </w:p>
    <w:p w14:paraId="3AEDEC11">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48    </w:t>
      </w:r>
      <w:r>
        <w:rPr>
          <w:rFonts w:hint="eastAsia" w:ascii="宋体" w:hAnsi="宋体" w:cs="宋体"/>
          <w:color w:val="auto"/>
          <w:szCs w:val="21"/>
          <w:highlight w:val="none"/>
        </w:rPr>
        <w:t>小时。</w:t>
      </w:r>
    </w:p>
    <w:p w14:paraId="02474E1A">
      <w:pPr>
        <w:pStyle w:val="130"/>
        <w:spacing w:beforeLines="50" w:afterLines="50" w:line="420" w:lineRule="exact"/>
        <w:rPr>
          <w:rFonts w:ascii="宋体" w:hAnsi="宋体" w:cs="宋体"/>
          <w:color w:val="auto"/>
          <w:sz w:val="24"/>
          <w:szCs w:val="24"/>
          <w:highlight w:val="none"/>
        </w:rPr>
      </w:pPr>
      <w:bookmarkStart w:id="526" w:name="_Toc497215733"/>
      <w:bookmarkStart w:id="527" w:name="_Toc75182721"/>
      <w:bookmarkStart w:id="528" w:name="_Toc30431"/>
      <w:bookmarkStart w:id="529" w:name="_Toc47088320"/>
      <w:bookmarkStart w:id="530" w:name="_Toc497147176"/>
      <w:bookmarkStart w:id="531" w:name="_Toc407135221"/>
      <w:bookmarkStart w:id="532" w:name="_Toc497901132"/>
      <w:r>
        <w:rPr>
          <w:rFonts w:hint="eastAsia" w:ascii="宋体" w:hAnsi="宋体" w:cs="宋体"/>
          <w:color w:val="auto"/>
          <w:sz w:val="24"/>
          <w:szCs w:val="24"/>
          <w:highlight w:val="none"/>
        </w:rPr>
        <w:t>6. 安全文明施工与环境保护</w:t>
      </w:r>
      <w:bookmarkEnd w:id="526"/>
      <w:bookmarkEnd w:id="527"/>
      <w:bookmarkEnd w:id="528"/>
      <w:bookmarkEnd w:id="529"/>
      <w:bookmarkEnd w:id="530"/>
      <w:bookmarkEnd w:id="531"/>
      <w:bookmarkEnd w:id="532"/>
    </w:p>
    <w:p w14:paraId="13AF200A">
      <w:pPr>
        <w:pStyle w:val="130"/>
        <w:spacing w:line="420" w:lineRule="exact"/>
        <w:rPr>
          <w:rFonts w:ascii="宋体" w:hAnsi="宋体" w:cs="宋体"/>
          <w:color w:val="auto"/>
          <w:sz w:val="24"/>
          <w:szCs w:val="24"/>
          <w:highlight w:val="none"/>
        </w:rPr>
      </w:pPr>
      <w:bookmarkStart w:id="533" w:name="_Toc497901133"/>
      <w:bookmarkStart w:id="534" w:name="_Toc497147177"/>
      <w:bookmarkStart w:id="535" w:name="_Toc47088321"/>
      <w:bookmarkStart w:id="536" w:name="_Toc497215734"/>
      <w:bookmarkStart w:id="537" w:name="_Toc407135222"/>
      <w:bookmarkStart w:id="538" w:name="_Toc75182722"/>
      <w:bookmarkStart w:id="539" w:name="_Toc6488"/>
      <w:r>
        <w:rPr>
          <w:rFonts w:hint="eastAsia" w:ascii="宋体" w:hAnsi="宋体" w:cs="宋体"/>
          <w:color w:val="auto"/>
          <w:sz w:val="24"/>
          <w:szCs w:val="24"/>
          <w:highlight w:val="none"/>
        </w:rPr>
        <w:t>6.1 安全文明施工</w:t>
      </w:r>
      <w:bookmarkEnd w:id="533"/>
      <w:bookmarkEnd w:id="534"/>
      <w:bookmarkEnd w:id="535"/>
      <w:bookmarkEnd w:id="536"/>
      <w:bookmarkEnd w:id="537"/>
      <w:bookmarkEnd w:id="538"/>
      <w:bookmarkEnd w:id="539"/>
    </w:p>
    <w:p w14:paraId="38E67FCC">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6.1.1 项目安全生产的达标目标及相应事项的约定：</w:t>
      </w:r>
      <w:r>
        <w:rPr>
          <w:rFonts w:hint="eastAsia" w:ascii="宋体" w:hAnsi="宋体" w:cs="宋体"/>
          <w:b/>
          <w:bCs/>
          <w:color w:val="auto"/>
          <w:szCs w:val="21"/>
          <w:highlight w:val="none"/>
          <w:u w:val="single"/>
        </w:rPr>
        <w:t>按通用条款6.1.1执行</w:t>
      </w:r>
      <w:r>
        <w:rPr>
          <w:rFonts w:hint="eastAsia" w:ascii="宋体" w:hAnsi="宋体" w:cs="宋体"/>
          <w:color w:val="auto"/>
          <w:szCs w:val="21"/>
          <w:highlight w:val="none"/>
        </w:rPr>
        <w:t>。</w:t>
      </w:r>
    </w:p>
    <w:p w14:paraId="21AAD354">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关于安全文明施工奖项的约定：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43A6F46A">
      <w:pPr>
        <w:pStyle w:val="63"/>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6.1.4 关于治安保卫的特别约定：</w:t>
      </w:r>
      <w:r>
        <w:rPr>
          <w:rFonts w:hint="eastAsia" w:ascii="宋体" w:hAnsi="宋体" w:cs="宋体"/>
          <w:color w:val="auto"/>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3D5E0AEB">
      <w:pPr>
        <w:pStyle w:val="7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rFonts w:hint="eastAsia" w:ascii="宋体" w:hAnsi="宋体" w:cs="宋体"/>
          <w:b/>
          <w:bCs/>
          <w:color w:val="auto"/>
          <w:szCs w:val="21"/>
          <w:highlight w:val="none"/>
          <w:u w:val="single"/>
        </w:rPr>
        <w:t>按通用条款6.1.4执行</w:t>
      </w:r>
      <w:r>
        <w:rPr>
          <w:rFonts w:hint="eastAsia" w:ascii="宋体" w:hAnsi="宋体" w:cs="宋体"/>
          <w:color w:val="auto"/>
          <w:szCs w:val="21"/>
          <w:highlight w:val="none"/>
        </w:rPr>
        <w:t>。</w:t>
      </w:r>
    </w:p>
    <w:p w14:paraId="4584A960">
      <w:pPr>
        <w:pStyle w:val="7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6.1.5 文明施工</w:t>
      </w:r>
    </w:p>
    <w:p w14:paraId="3F807FCC">
      <w:pPr>
        <w:pStyle w:val="7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合同当事人对文明施工的要求：</w:t>
      </w:r>
      <w:r>
        <w:rPr>
          <w:rFonts w:hint="eastAsia" w:ascii="宋体" w:hAnsi="宋体" w:cs="宋体"/>
          <w:color w:val="auto"/>
          <w:szCs w:val="21"/>
          <w:highlight w:val="none"/>
          <w:u w:val="single"/>
        </w:rPr>
        <w:t xml:space="preserve"> 按文明施工规范要求施工 </w:t>
      </w:r>
      <w:r>
        <w:rPr>
          <w:rFonts w:hint="eastAsia" w:ascii="宋体" w:hAnsi="宋体" w:cs="宋体"/>
          <w:color w:val="auto"/>
          <w:szCs w:val="21"/>
          <w:highlight w:val="none"/>
        </w:rPr>
        <w:t>。</w:t>
      </w:r>
    </w:p>
    <w:p w14:paraId="70F95C8F">
      <w:pPr>
        <w:pStyle w:val="7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6.1.6 关于安全文明施工费支付比例和支付期限的约定：</w:t>
      </w:r>
    </w:p>
    <w:p w14:paraId="2B317925">
      <w:pPr>
        <w:pStyle w:val="70"/>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（1）本合同价款已包含安全文明施工费</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中标合同价中的安全文明施工费金额）</w:t>
      </w:r>
      <w:r>
        <w:rPr>
          <w:rFonts w:hint="eastAsia" w:ascii="宋体" w:hAnsi="宋体" w:cs="宋体"/>
          <w:color w:val="auto"/>
          <w:szCs w:val="21"/>
          <w:highlight w:val="none"/>
          <w:u w:val="single"/>
          <w:lang w:val="en-US" w:eastAsia="zh-CN"/>
        </w:rPr>
        <w:t xml:space="preserve">        </w:t>
      </w:r>
      <w:r>
        <w:rPr>
          <w:rFonts w:hint="eastAsia" w:ascii="宋体" w:hAnsi="宋体" w:cs="宋体"/>
          <w:color w:val="auto"/>
          <w:kern w:val="0"/>
          <w:szCs w:val="21"/>
          <w:highlight w:val="none"/>
        </w:rPr>
        <w:t>元。</w:t>
      </w:r>
    </w:p>
    <w:p w14:paraId="5AD1E320">
      <w:pPr>
        <w:pStyle w:val="70"/>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（2）使用要求：专款专用。具体按</w:t>
      </w:r>
      <w:r>
        <w:rPr>
          <w:rFonts w:hint="eastAsia" w:ascii="宋体" w:hAnsi="宋体" w:cs="宋体"/>
          <w:color w:val="auto"/>
          <w:kern w:val="0"/>
          <w:szCs w:val="21"/>
          <w:highlight w:val="none"/>
          <w:u w:val="single"/>
        </w:rPr>
        <w:t>《广西壮族自治区建设工程安全文明施工费使用管理细则》（桂建质〔2015〕16号）</w:t>
      </w:r>
      <w:r>
        <w:rPr>
          <w:rFonts w:hint="eastAsia" w:ascii="宋体" w:hAnsi="宋体" w:cs="宋体"/>
          <w:color w:val="auto"/>
          <w:kern w:val="0"/>
          <w:szCs w:val="21"/>
          <w:highlight w:val="none"/>
        </w:rPr>
        <w:t>和</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市相关规定执行。</w:t>
      </w:r>
    </w:p>
    <w:p w14:paraId="429326E3">
      <w:pPr>
        <w:pStyle w:val="63"/>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highlight w:val="none"/>
        </w:rPr>
        <w:t>（3）支付约定：</w:t>
      </w:r>
      <w:r>
        <w:rPr>
          <w:rFonts w:hint="eastAsia" w:ascii="宋体" w:hAnsi="宋体" w:cs="宋体"/>
          <w:color w:val="auto"/>
          <w:kern w:val="0"/>
          <w:highlight w:val="none"/>
          <w:u w:val="single"/>
        </w:rPr>
        <w:t>发包人应在工程开工后的28天内，预付安全文明施工费总额的50%，预付款以外的款项按照施工进度支付</w:t>
      </w:r>
      <w:r>
        <w:rPr>
          <w:rFonts w:hint="eastAsia" w:ascii="宋体" w:hAnsi="宋体" w:cs="宋体"/>
          <w:color w:val="auto"/>
          <w:kern w:val="0"/>
          <w:szCs w:val="21"/>
          <w:highlight w:val="none"/>
        </w:rPr>
        <w:t>。</w:t>
      </w:r>
    </w:p>
    <w:p w14:paraId="11C4D891">
      <w:pPr>
        <w:pStyle w:val="70"/>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u w:val="single"/>
          <w:lang w:val="en-US" w:eastAsia="zh-CN"/>
        </w:rPr>
        <w:t>建设单位按规定将安全生产费用转入施工单位设立的安全生产费用专户</w:t>
      </w:r>
      <w:r>
        <w:rPr>
          <w:rFonts w:hint="eastAsia" w:ascii="宋体" w:hAnsi="宋体" w:eastAsia="宋体" w:cs="宋体"/>
          <w:color w:val="auto"/>
          <w:kern w:val="0"/>
          <w:szCs w:val="21"/>
          <w:highlight w:val="none"/>
          <w:lang w:val="en-US" w:eastAsia="zh-CN"/>
        </w:rPr>
        <w:t xml:space="preserve">。 </w:t>
      </w:r>
    </w:p>
    <w:p w14:paraId="777B1BB6">
      <w:pPr>
        <w:pStyle w:val="70"/>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u w:val="single"/>
          <w:lang w:val="en-US" w:eastAsia="zh-CN"/>
        </w:rPr>
        <w:t>工程施工完成后安全生产费用尚有结余的，结余部分由建设单位收回</w:t>
      </w:r>
      <w:r>
        <w:rPr>
          <w:rFonts w:hint="eastAsia" w:ascii="宋体" w:hAnsi="宋体" w:eastAsia="宋体" w:cs="宋体"/>
          <w:color w:val="auto"/>
          <w:kern w:val="0"/>
          <w:szCs w:val="21"/>
          <w:highlight w:val="none"/>
          <w:lang w:val="en-US" w:eastAsia="zh-CN"/>
        </w:rPr>
        <w:t xml:space="preserve">。 </w:t>
      </w:r>
    </w:p>
    <w:p w14:paraId="6704427A">
      <w:pPr>
        <w:pStyle w:val="70"/>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u w:val="single"/>
          <w:lang w:val="en-US" w:eastAsia="zh-CN"/>
        </w:rPr>
        <w:t>施工单位将安全生产费用使用情况定期报告建设单位和监理单位，并提供相应的材料接受建设</w:t>
      </w:r>
      <w:r>
        <w:rPr>
          <w:rFonts w:hint="eastAsia" w:ascii="宋体" w:hAnsi="宋体" w:eastAsia="宋体" w:cs="宋体"/>
          <w:color w:val="auto"/>
          <w:kern w:val="0"/>
          <w:szCs w:val="21"/>
          <w:highlight w:val="none"/>
          <w:lang w:val="en-US" w:eastAsia="zh-CN"/>
        </w:rPr>
        <w:t xml:space="preserve">行政主管部门对此事项监管。 </w:t>
      </w:r>
    </w:p>
    <w:p w14:paraId="5A68FD4B">
      <w:pPr>
        <w:pStyle w:val="70"/>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u w:val="single"/>
          <w:lang w:val="en-US" w:eastAsia="zh-CN"/>
        </w:rPr>
        <w:t>安全生产费用专户：××××公司安全生产费用专户</w:t>
      </w:r>
      <w:r>
        <w:rPr>
          <w:rFonts w:hint="eastAsia" w:ascii="宋体" w:hAnsi="宋体" w:eastAsia="宋体" w:cs="宋体"/>
          <w:color w:val="auto"/>
          <w:kern w:val="0"/>
          <w:szCs w:val="21"/>
          <w:highlight w:val="none"/>
          <w:lang w:val="en-US" w:eastAsia="zh-CN"/>
        </w:rPr>
        <w:t xml:space="preserve">。 </w:t>
      </w:r>
    </w:p>
    <w:p w14:paraId="127180DB">
      <w:pPr>
        <w:pStyle w:val="70"/>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开户银行：</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kern w:val="0"/>
          <w:szCs w:val="21"/>
          <w:highlight w:val="none"/>
          <w:lang w:val="en-US" w:eastAsia="zh-CN"/>
        </w:rPr>
        <w:t xml:space="preserve">。 </w:t>
      </w:r>
    </w:p>
    <w:p w14:paraId="7AD35E75">
      <w:pPr>
        <w:pStyle w:val="70"/>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账号：</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kern w:val="0"/>
          <w:szCs w:val="21"/>
          <w:highlight w:val="none"/>
          <w:lang w:val="en-US" w:eastAsia="zh-CN"/>
        </w:rPr>
        <w:t xml:space="preserve">。 </w:t>
      </w:r>
    </w:p>
    <w:p w14:paraId="2A8CB9B2">
      <w:pPr>
        <w:pStyle w:val="130"/>
        <w:spacing w:line="420" w:lineRule="exact"/>
        <w:rPr>
          <w:rFonts w:ascii="宋体" w:hAnsi="宋体" w:cs="宋体"/>
          <w:color w:val="auto"/>
          <w:sz w:val="24"/>
          <w:szCs w:val="24"/>
          <w:highlight w:val="none"/>
        </w:rPr>
      </w:pPr>
      <w:bookmarkStart w:id="540" w:name="_Toc47088322"/>
      <w:bookmarkStart w:id="541" w:name="_Toc497215735"/>
      <w:bookmarkStart w:id="542" w:name="_Toc8448"/>
      <w:bookmarkStart w:id="543" w:name="_Toc497147178"/>
      <w:bookmarkStart w:id="544" w:name="_Toc407135223"/>
      <w:bookmarkStart w:id="545" w:name="_Toc497901134"/>
      <w:bookmarkStart w:id="546" w:name="_Toc75182723"/>
      <w:r>
        <w:rPr>
          <w:rFonts w:hint="eastAsia" w:ascii="宋体" w:hAnsi="宋体" w:cs="宋体"/>
          <w:color w:val="auto"/>
          <w:sz w:val="24"/>
          <w:szCs w:val="24"/>
          <w:highlight w:val="none"/>
        </w:rPr>
        <w:t>6.3 环境保护</w:t>
      </w:r>
      <w:bookmarkEnd w:id="540"/>
      <w:bookmarkEnd w:id="541"/>
      <w:bookmarkEnd w:id="542"/>
      <w:bookmarkEnd w:id="543"/>
      <w:bookmarkEnd w:id="544"/>
      <w:bookmarkEnd w:id="545"/>
      <w:bookmarkEnd w:id="546"/>
    </w:p>
    <w:p w14:paraId="49651147">
      <w:pPr>
        <w:pStyle w:val="63"/>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因施工需要，经发包人批准，由承包人办理有关施工场地交通、环卫和施工噪音管理等手续，费用由承包人负责。</w:t>
      </w:r>
    </w:p>
    <w:p w14:paraId="29E9CE5D">
      <w:pPr>
        <w:pStyle w:val="63"/>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经过城市道路的施工车辆，必须按交警、城管、运输等部门相关规定执行。由于施工车辆造成的道路、环境等污染，其责任和费用均由承包人承担。</w:t>
      </w:r>
    </w:p>
    <w:p w14:paraId="6FA8043F">
      <w:pPr>
        <w:pStyle w:val="130"/>
        <w:spacing w:beforeLines="50" w:afterLines="50" w:line="420" w:lineRule="exact"/>
        <w:rPr>
          <w:rFonts w:ascii="宋体" w:hAnsi="宋体" w:cs="宋体"/>
          <w:color w:val="auto"/>
          <w:sz w:val="24"/>
          <w:szCs w:val="24"/>
          <w:highlight w:val="none"/>
        </w:rPr>
      </w:pPr>
      <w:bookmarkStart w:id="547" w:name="_Toc407135224"/>
      <w:bookmarkStart w:id="548" w:name="_Toc497147179"/>
      <w:bookmarkStart w:id="549" w:name="_Toc497901135"/>
      <w:bookmarkStart w:id="550" w:name="_Toc1919"/>
      <w:bookmarkStart w:id="551" w:name="_Toc47088323"/>
      <w:bookmarkStart w:id="552" w:name="_Toc497215736"/>
      <w:bookmarkStart w:id="553" w:name="_Toc75182724"/>
      <w:r>
        <w:rPr>
          <w:rFonts w:hint="eastAsia" w:ascii="宋体" w:hAnsi="宋体" w:cs="宋体"/>
          <w:color w:val="auto"/>
          <w:sz w:val="24"/>
          <w:szCs w:val="24"/>
          <w:highlight w:val="none"/>
        </w:rPr>
        <w:t>7. 工期和进度</w:t>
      </w:r>
      <w:bookmarkEnd w:id="547"/>
      <w:bookmarkEnd w:id="548"/>
      <w:bookmarkEnd w:id="549"/>
      <w:bookmarkEnd w:id="550"/>
      <w:bookmarkEnd w:id="551"/>
      <w:bookmarkEnd w:id="552"/>
      <w:bookmarkEnd w:id="553"/>
    </w:p>
    <w:p w14:paraId="3B8E0396">
      <w:pPr>
        <w:pStyle w:val="130"/>
        <w:spacing w:line="420" w:lineRule="exact"/>
        <w:rPr>
          <w:rFonts w:ascii="宋体" w:hAnsi="宋体" w:cs="宋体"/>
          <w:color w:val="auto"/>
          <w:sz w:val="24"/>
          <w:szCs w:val="24"/>
          <w:highlight w:val="none"/>
        </w:rPr>
      </w:pPr>
      <w:bookmarkStart w:id="554" w:name="_Toc75182725"/>
      <w:bookmarkStart w:id="555" w:name="_Toc497147180"/>
      <w:bookmarkStart w:id="556" w:name="_Toc15245"/>
      <w:bookmarkStart w:id="557" w:name="_Toc497215737"/>
      <w:bookmarkStart w:id="558" w:name="_Toc47088324"/>
      <w:bookmarkStart w:id="559" w:name="_Toc407135225"/>
      <w:bookmarkStart w:id="560" w:name="_Toc497901136"/>
      <w:r>
        <w:rPr>
          <w:rFonts w:hint="eastAsia" w:ascii="宋体" w:hAnsi="宋体" w:cs="宋体"/>
          <w:color w:val="auto"/>
          <w:sz w:val="24"/>
          <w:szCs w:val="24"/>
          <w:highlight w:val="none"/>
        </w:rPr>
        <w:t>7.1 施工组织设计</w:t>
      </w:r>
      <w:bookmarkEnd w:id="554"/>
      <w:bookmarkEnd w:id="555"/>
      <w:bookmarkEnd w:id="556"/>
      <w:bookmarkEnd w:id="557"/>
      <w:bookmarkEnd w:id="558"/>
      <w:bookmarkEnd w:id="559"/>
      <w:bookmarkEnd w:id="560"/>
    </w:p>
    <w:p w14:paraId="42517297">
      <w:pPr>
        <w:pStyle w:val="63"/>
        <w:autoSpaceDE w:val="0"/>
        <w:autoSpaceDN w:val="0"/>
        <w:adjustRightIn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7.1.1 合</w:t>
      </w:r>
      <w:r>
        <w:rPr>
          <w:rFonts w:hint="eastAsia" w:ascii="宋体" w:hAnsi="宋体" w:cs="宋体"/>
          <w:color w:val="auto"/>
          <w:kern w:val="0"/>
          <w:szCs w:val="21"/>
          <w:highlight w:val="none"/>
        </w:rPr>
        <w:t>同当事人约定的施工组织设计应包括的其他内容：</w:t>
      </w:r>
      <w:r>
        <w:rPr>
          <w:rFonts w:hint="eastAsia" w:ascii="宋体" w:hAnsi="宋体" w:cs="宋体"/>
          <w:color w:val="auto"/>
          <w:szCs w:val="21"/>
          <w:highlight w:val="none"/>
          <w:u w:val="single"/>
        </w:rPr>
        <w:t>按通用条款7.1.1条执行</w:t>
      </w:r>
      <w:r>
        <w:rPr>
          <w:rFonts w:hint="eastAsia" w:ascii="宋体" w:hAnsi="宋体" w:cs="宋体"/>
          <w:color w:val="auto"/>
          <w:szCs w:val="21"/>
          <w:highlight w:val="none"/>
        </w:rPr>
        <w:t>。</w:t>
      </w:r>
    </w:p>
    <w:p w14:paraId="48D198F6">
      <w:pPr>
        <w:pStyle w:val="63"/>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 xml:space="preserve">7.1.2 </w:t>
      </w:r>
      <w:r>
        <w:rPr>
          <w:rFonts w:hint="eastAsia" w:ascii="宋体" w:hAnsi="宋体" w:cs="宋体"/>
          <w:color w:val="auto"/>
          <w:kern w:val="0"/>
          <w:szCs w:val="21"/>
          <w:highlight w:val="none"/>
        </w:rPr>
        <w:t>施工组织设计的提交和修改</w:t>
      </w:r>
    </w:p>
    <w:p w14:paraId="1F5D5877">
      <w:pPr>
        <w:pStyle w:val="70"/>
        <w:autoSpaceDE w:val="0"/>
        <w:autoSpaceDN w:val="0"/>
        <w:adjustRightIn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承包人提交详细施工组织设计的期限的约定：</w:t>
      </w:r>
      <w:r>
        <w:rPr>
          <w:rFonts w:hint="eastAsia" w:ascii="宋体" w:hAnsi="宋体" w:cs="宋体"/>
          <w:color w:val="auto"/>
          <w:szCs w:val="21"/>
          <w:highlight w:val="none"/>
          <w:u w:val="single"/>
        </w:rPr>
        <w:t xml:space="preserve">  按通用条款7.1.2条执行      </w:t>
      </w:r>
      <w:r>
        <w:rPr>
          <w:rFonts w:hint="eastAsia" w:ascii="宋体" w:hAnsi="宋体" w:cs="宋体"/>
          <w:color w:val="auto"/>
          <w:szCs w:val="21"/>
          <w:highlight w:val="none"/>
        </w:rPr>
        <w:t>。</w:t>
      </w:r>
    </w:p>
    <w:p w14:paraId="38AF318C">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color w:val="auto"/>
          <w:szCs w:val="21"/>
          <w:highlight w:val="none"/>
          <w:u w:val="single"/>
        </w:rPr>
        <w:t>按通用条款7.1.2条执行。逾期未确定的，工期延误责任由发包人承担</w:t>
      </w:r>
      <w:r>
        <w:rPr>
          <w:rFonts w:hint="eastAsia" w:ascii="宋体" w:hAnsi="宋体" w:cs="宋体"/>
          <w:color w:val="auto"/>
          <w:szCs w:val="21"/>
          <w:highlight w:val="none"/>
        </w:rPr>
        <w:t>。</w:t>
      </w:r>
    </w:p>
    <w:p w14:paraId="5F1A5181">
      <w:pPr>
        <w:pStyle w:val="130"/>
        <w:spacing w:line="420" w:lineRule="exact"/>
        <w:rPr>
          <w:rFonts w:ascii="宋体" w:hAnsi="宋体" w:cs="宋体"/>
          <w:color w:val="auto"/>
          <w:sz w:val="24"/>
          <w:szCs w:val="24"/>
          <w:highlight w:val="none"/>
        </w:rPr>
      </w:pPr>
      <w:bookmarkStart w:id="561" w:name="_Toc497901137"/>
      <w:bookmarkStart w:id="562" w:name="_Toc497215738"/>
      <w:bookmarkStart w:id="563" w:name="_Toc407135226"/>
      <w:bookmarkStart w:id="564" w:name="_Toc497147181"/>
      <w:bookmarkStart w:id="565" w:name="_Toc75182726"/>
      <w:bookmarkStart w:id="566" w:name="_Toc47088325"/>
      <w:bookmarkStart w:id="567" w:name="_Toc2293"/>
      <w:r>
        <w:rPr>
          <w:rFonts w:hint="eastAsia" w:ascii="宋体" w:hAnsi="宋体" w:cs="宋体"/>
          <w:color w:val="auto"/>
          <w:sz w:val="24"/>
          <w:szCs w:val="24"/>
          <w:highlight w:val="none"/>
        </w:rPr>
        <w:t>7.2 施工进度计划</w:t>
      </w:r>
      <w:bookmarkEnd w:id="561"/>
      <w:bookmarkEnd w:id="562"/>
      <w:bookmarkEnd w:id="563"/>
      <w:bookmarkEnd w:id="564"/>
      <w:bookmarkEnd w:id="565"/>
      <w:bookmarkEnd w:id="566"/>
      <w:bookmarkEnd w:id="567"/>
    </w:p>
    <w:p w14:paraId="1BD9EBD3">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7.2.2 施工进度计划的修订</w:t>
      </w:r>
    </w:p>
    <w:p w14:paraId="563B0745">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发包人和监理人在收到修订的施工进度计划后确认或提出修改意见的期限：</w:t>
      </w:r>
      <w:r>
        <w:rPr>
          <w:rFonts w:hint="eastAsia" w:ascii="宋体" w:hAnsi="宋体" w:cs="宋体"/>
          <w:color w:val="auto"/>
          <w:szCs w:val="21"/>
          <w:highlight w:val="none"/>
          <w:u w:val="single"/>
        </w:rPr>
        <w:t>收到后5天</w:t>
      </w:r>
      <w:r>
        <w:rPr>
          <w:rFonts w:hint="eastAsia" w:ascii="宋体" w:hAnsi="宋体" w:cs="宋体"/>
          <w:color w:val="auto"/>
          <w:szCs w:val="21"/>
          <w:highlight w:val="none"/>
        </w:rPr>
        <w:t>。</w:t>
      </w:r>
    </w:p>
    <w:p w14:paraId="0F23466A">
      <w:pPr>
        <w:pStyle w:val="130"/>
        <w:spacing w:line="420" w:lineRule="exact"/>
        <w:rPr>
          <w:rFonts w:ascii="宋体" w:hAnsi="宋体" w:cs="宋体"/>
          <w:color w:val="auto"/>
          <w:sz w:val="24"/>
          <w:szCs w:val="24"/>
          <w:highlight w:val="none"/>
        </w:rPr>
      </w:pPr>
      <w:bookmarkStart w:id="568" w:name="_Toc47088326"/>
      <w:bookmarkStart w:id="569" w:name="_Toc497215739"/>
      <w:bookmarkStart w:id="570" w:name="_Toc407135227"/>
      <w:bookmarkStart w:id="571" w:name="_Toc17273"/>
      <w:bookmarkStart w:id="572" w:name="_Toc497147182"/>
      <w:bookmarkStart w:id="573" w:name="_Toc497901138"/>
      <w:bookmarkStart w:id="574" w:name="_Toc75182727"/>
      <w:r>
        <w:rPr>
          <w:rFonts w:hint="eastAsia" w:ascii="宋体" w:hAnsi="宋体" w:cs="宋体"/>
          <w:color w:val="auto"/>
          <w:sz w:val="24"/>
          <w:szCs w:val="24"/>
          <w:highlight w:val="none"/>
        </w:rPr>
        <w:t>7.3 开工</w:t>
      </w:r>
      <w:bookmarkEnd w:id="568"/>
      <w:bookmarkEnd w:id="569"/>
      <w:bookmarkEnd w:id="570"/>
      <w:bookmarkEnd w:id="571"/>
      <w:bookmarkEnd w:id="572"/>
      <w:bookmarkEnd w:id="573"/>
      <w:bookmarkEnd w:id="574"/>
    </w:p>
    <w:p w14:paraId="0BE5E2F8">
      <w:pPr>
        <w:pStyle w:val="7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7.3.1 开工准备</w:t>
      </w:r>
    </w:p>
    <w:p w14:paraId="4D4D04CC">
      <w:pPr>
        <w:pStyle w:val="70"/>
        <w:spacing w:line="360" w:lineRule="auto"/>
        <w:ind w:firstLine="426"/>
        <w:jc w:val="left"/>
        <w:rPr>
          <w:rFonts w:ascii="宋体" w:hAnsi="宋体" w:cs="宋体"/>
          <w:color w:val="auto"/>
          <w:szCs w:val="21"/>
          <w:highlight w:val="none"/>
          <w:u w:val="single"/>
        </w:rPr>
      </w:pPr>
      <w:r>
        <w:rPr>
          <w:rFonts w:hint="eastAsia" w:ascii="宋体" w:hAnsi="宋体" w:cs="宋体"/>
          <w:color w:val="auto"/>
          <w:szCs w:val="21"/>
          <w:highlight w:val="none"/>
        </w:rPr>
        <w:t>关于承包人提交</w:t>
      </w:r>
      <w:r>
        <w:rPr>
          <w:rFonts w:hint="eastAsia" w:ascii="宋体" w:hAnsi="宋体" w:cs="宋体"/>
          <w:color w:val="auto"/>
          <w:kern w:val="0"/>
          <w:szCs w:val="21"/>
          <w:highlight w:val="none"/>
        </w:rPr>
        <w:t>工程开工报审表的期限：</w:t>
      </w:r>
      <w:r>
        <w:rPr>
          <w:rFonts w:hint="eastAsia" w:ascii="宋体" w:hAnsi="宋体" w:cs="宋体"/>
          <w:color w:val="auto"/>
          <w:szCs w:val="21"/>
          <w:highlight w:val="none"/>
          <w:u w:val="single"/>
        </w:rPr>
        <w:t xml:space="preserve">  按通用条款7.3.1条执行  </w:t>
      </w:r>
      <w:r>
        <w:rPr>
          <w:rFonts w:hint="eastAsia" w:ascii="宋体" w:hAnsi="宋体" w:cs="宋体"/>
          <w:color w:val="auto"/>
          <w:szCs w:val="21"/>
          <w:highlight w:val="none"/>
        </w:rPr>
        <w:t>。</w:t>
      </w:r>
    </w:p>
    <w:p w14:paraId="02AB3470">
      <w:pPr>
        <w:pStyle w:val="70"/>
        <w:spacing w:line="360" w:lineRule="auto"/>
        <w:ind w:firstLine="426"/>
        <w:jc w:val="left"/>
        <w:rPr>
          <w:rFonts w:ascii="宋体" w:hAnsi="宋体" w:cs="宋体"/>
          <w:color w:val="auto"/>
          <w:szCs w:val="21"/>
          <w:highlight w:val="none"/>
          <w:u w:val="single"/>
        </w:rPr>
      </w:pPr>
      <w:r>
        <w:rPr>
          <w:rFonts w:hint="eastAsia" w:ascii="宋体" w:hAnsi="宋体" w:cs="宋体"/>
          <w:color w:val="auto"/>
          <w:szCs w:val="21"/>
          <w:highlight w:val="none"/>
        </w:rPr>
        <w:t>关于发包人应完成的其他开工准备工作及期限：</w:t>
      </w:r>
      <w:r>
        <w:rPr>
          <w:rFonts w:hint="eastAsia" w:ascii="宋体" w:hAnsi="宋体" w:cs="宋体"/>
          <w:color w:val="auto"/>
          <w:szCs w:val="21"/>
          <w:highlight w:val="none"/>
          <w:u w:val="single"/>
        </w:rPr>
        <w:t xml:space="preserve">  按通用条款7.3.1条执行   </w:t>
      </w:r>
      <w:r>
        <w:rPr>
          <w:rFonts w:hint="eastAsia" w:ascii="宋体" w:hAnsi="宋体" w:cs="宋体"/>
          <w:color w:val="auto"/>
          <w:szCs w:val="21"/>
          <w:highlight w:val="none"/>
        </w:rPr>
        <w:t>。</w:t>
      </w:r>
    </w:p>
    <w:p w14:paraId="7845F1B7">
      <w:pPr>
        <w:pStyle w:val="7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关于承包人应完成的其他开工准备工作及期限：</w:t>
      </w:r>
      <w:r>
        <w:rPr>
          <w:rFonts w:hint="eastAsia" w:ascii="宋体" w:hAnsi="宋体" w:cs="宋体"/>
          <w:color w:val="auto"/>
          <w:szCs w:val="21"/>
          <w:highlight w:val="none"/>
          <w:u w:val="single"/>
        </w:rPr>
        <w:t xml:space="preserve">   按通用条款7.3.1条执行  </w:t>
      </w:r>
      <w:r>
        <w:rPr>
          <w:rFonts w:hint="eastAsia" w:ascii="宋体" w:hAnsi="宋体" w:cs="宋体"/>
          <w:color w:val="auto"/>
          <w:szCs w:val="21"/>
          <w:highlight w:val="none"/>
        </w:rPr>
        <w:t>。</w:t>
      </w:r>
    </w:p>
    <w:p w14:paraId="2938AC0C">
      <w:pPr>
        <w:pStyle w:val="7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 开工通知</w:t>
      </w:r>
    </w:p>
    <w:p w14:paraId="4D5CAF81">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rPr>
        <w:t xml:space="preserve"> 60 </w:t>
      </w:r>
      <w:r>
        <w:rPr>
          <w:rFonts w:hint="eastAsia" w:ascii="宋体" w:hAnsi="宋体" w:cs="宋体"/>
          <w:color w:val="auto"/>
          <w:szCs w:val="21"/>
          <w:highlight w:val="none"/>
        </w:rPr>
        <w:t>天内发出开工通知的，承包人有权提出价格调整要求，或者解除合同。</w:t>
      </w:r>
    </w:p>
    <w:p w14:paraId="03B81983">
      <w:pPr>
        <w:pStyle w:val="130"/>
        <w:spacing w:line="420" w:lineRule="exact"/>
        <w:rPr>
          <w:rFonts w:ascii="宋体" w:hAnsi="宋体" w:cs="宋体"/>
          <w:color w:val="auto"/>
          <w:sz w:val="24"/>
          <w:szCs w:val="24"/>
          <w:highlight w:val="none"/>
        </w:rPr>
      </w:pPr>
      <w:bookmarkStart w:id="575" w:name="_Toc47088327"/>
      <w:bookmarkStart w:id="576" w:name="_Toc497901139"/>
      <w:bookmarkStart w:id="577" w:name="_Toc497215740"/>
      <w:bookmarkStart w:id="578" w:name="_Toc497147183"/>
      <w:bookmarkStart w:id="579" w:name="_Toc19815"/>
      <w:bookmarkStart w:id="580" w:name="_Toc407135228"/>
      <w:bookmarkStart w:id="581" w:name="_Toc75182728"/>
      <w:r>
        <w:rPr>
          <w:rFonts w:hint="eastAsia" w:ascii="宋体" w:hAnsi="宋体" w:cs="宋体"/>
          <w:color w:val="auto"/>
          <w:sz w:val="24"/>
          <w:szCs w:val="24"/>
          <w:highlight w:val="none"/>
        </w:rPr>
        <w:t>7.4 测量放线</w:t>
      </w:r>
      <w:bookmarkEnd w:id="575"/>
      <w:bookmarkEnd w:id="576"/>
      <w:bookmarkEnd w:id="577"/>
      <w:bookmarkEnd w:id="578"/>
      <w:bookmarkEnd w:id="579"/>
      <w:bookmarkEnd w:id="580"/>
      <w:bookmarkEnd w:id="581"/>
    </w:p>
    <w:p w14:paraId="6970DA6D">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7.4.1发包人通过监理人向承包人提供测量基准点、基准线和水准点及其书面资料的期限：</w:t>
      </w:r>
    </w:p>
    <w:p w14:paraId="558147E1">
      <w:pPr>
        <w:pStyle w:val="63"/>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u w:val="single"/>
        </w:rPr>
        <w:t>合同签订后开工前</w:t>
      </w:r>
      <w:r>
        <w:rPr>
          <w:rFonts w:hint="eastAsia" w:ascii="宋体" w:hAnsi="宋体" w:cs="宋体"/>
          <w:color w:val="auto"/>
          <w:szCs w:val="21"/>
          <w:highlight w:val="none"/>
        </w:rPr>
        <w:t>。</w:t>
      </w:r>
    </w:p>
    <w:p w14:paraId="4B841EEC">
      <w:pPr>
        <w:pStyle w:val="130"/>
        <w:spacing w:line="420" w:lineRule="exact"/>
        <w:rPr>
          <w:rFonts w:ascii="宋体" w:hAnsi="宋体" w:cs="宋体"/>
          <w:color w:val="auto"/>
          <w:sz w:val="24"/>
          <w:szCs w:val="24"/>
          <w:highlight w:val="none"/>
        </w:rPr>
      </w:pPr>
      <w:bookmarkStart w:id="582" w:name="_Toc497215741"/>
      <w:bookmarkStart w:id="583" w:name="_Toc47088328"/>
      <w:bookmarkStart w:id="584" w:name="_Toc407135229"/>
      <w:bookmarkStart w:id="585" w:name="_Toc24093"/>
      <w:bookmarkStart w:id="586" w:name="_Toc75182729"/>
      <w:bookmarkStart w:id="587" w:name="_Toc497901140"/>
      <w:bookmarkStart w:id="588" w:name="_Toc497147184"/>
      <w:r>
        <w:rPr>
          <w:rFonts w:hint="eastAsia" w:ascii="宋体" w:hAnsi="宋体" w:cs="宋体"/>
          <w:color w:val="auto"/>
          <w:sz w:val="24"/>
          <w:szCs w:val="24"/>
          <w:highlight w:val="none"/>
        </w:rPr>
        <w:t>7.5 工期延误</w:t>
      </w:r>
      <w:bookmarkEnd w:id="582"/>
      <w:bookmarkEnd w:id="583"/>
      <w:bookmarkEnd w:id="584"/>
      <w:bookmarkEnd w:id="585"/>
      <w:bookmarkEnd w:id="586"/>
      <w:bookmarkEnd w:id="587"/>
      <w:bookmarkEnd w:id="588"/>
    </w:p>
    <w:p w14:paraId="762D35A9">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7.5.1 因发包人原因导致工期延误</w:t>
      </w:r>
    </w:p>
    <w:p w14:paraId="0512200C">
      <w:pPr>
        <w:pStyle w:val="7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（7）因发包人原因导致工期延误的其他情形：</w:t>
      </w:r>
      <w:r>
        <w:rPr>
          <w:rFonts w:hint="eastAsia" w:ascii="宋体" w:hAnsi="宋体" w:cs="宋体"/>
          <w:color w:val="auto"/>
          <w:szCs w:val="21"/>
          <w:highlight w:val="none"/>
          <w:u w:val="single"/>
        </w:rPr>
        <w:t xml:space="preserve"> ①重大图纸变更影响关健线路工序施工；②施工期间如因停电、停水连续8小时以上或一周内间歇性停水、停电累计8小时（含8小时）影响正常施工的。③在施工过程中遇到地下障碍物、溶洞、岩石、文物或地下管线的。④因发包人未能及时确认变更价格或甲供材料提供延误的。⑤非承包人的责任造成的工期延误其他情形。</w:t>
      </w:r>
    </w:p>
    <w:p w14:paraId="13B71DFE">
      <w:pPr>
        <w:pStyle w:val="7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7.5.2 因承包人原因导致工期延误</w:t>
      </w:r>
    </w:p>
    <w:p w14:paraId="156A3AB1">
      <w:pPr>
        <w:pStyle w:val="7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双方约定经监理工程师确认，工期相应顺延的情况：</w:t>
      </w:r>
      <w:r>
        <w:rPr>
          <w:rFonts w:hint="eastAsia" w:ascii="宋体" w:hAnsi="宋体" w:cs="宋体"/>
          <w:color w:val="auto"/>
          <w:szCs w:val="21"/>
          <w:highlight w:val="none"/>
          <w:u w:val="single"/>
        </w:rPr>
        <w:t>发包人完全无法提供工作面的、不可抗力的原因或本合同约定的可顺延工期的其他情形</w:t>
      </w:r>
      <w:r>
        <w:rPr>
          <w:rFonts w:hint="eastAsia" w:ascii="宋体" w:hAnsi="宋体" w:cs="宋体"/>
          <w:color w:val="auto"/>
          <w:szCs w:val="21"/>
          <w:highlight w:val="none"/>
        </w:rPr>
        <w:t>。</w:t>
      </w:r>
    </w:p>
    <w:p w14:paraId="71296056">
      <w:pPr>
        <w:pStyle w:val="7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因承包人原因造成工期延误，逾期竣工违约金的计算方法为：</w:t>
      </w:r>
      <w:r>
        <w:rPr>
          <w:rFonts w:hint="eastAsia" w:ascii="宋体" w:hAnsi="宋体" w:cs="宋体"/>
          <w:color w:val="auto"/>
          <w:szCs w:val="21"/>
          <w:highlight w:val="none"/>
          <w:u w:val="single"/>
        </w:rPr>
        <w:t>非上述原因，承包人不能按合同约定的时间竣工，承包人应承担违约责任。应向发包人支付误期赔偿费（每延误一天,按工程结算造价扣除发包人材料价款、暂估专业工程、暂列金额后的万分之</w:t>
      </w:r>
      <w:r>
        <w:rPr>
          <w:rFonts w:hint="eastAsia" w:ascii="宋体" w:hAnsi="宋体" w:cs="宋体"/>
          <w:b/>
          <w:color w:val="auto"/>
          <w:szCs w:val="21"/>
          <w:highlight w:val="none"/>
          <w:u w:val="single"/>
        </w:rPr>
        <w:t>四</w:t>
      </w:r>
      <w:r>
        <w:rPr>
          <w:rFonts w:hint="eastAsia" w:ascii="宋体" w:hAnsi="宋体" w:cs="宋体"/>
          <w:color w:val="auto"/>
          <w:szCs w:val="21"/>
          <w:highlight w:val="none"/>
          <w:u w:val="single"/>
        </w:rPr>
        <w:t xml:space="preserve">处罚,罚款直接从结算款中扣除。）误期时间从规定竣工日期起直到相应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p w14:paraId="632E91D0">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因承包人原因造成工期延误，逾期竣工违约金的上限：</w:t>
      </w:r>
      <w:r>
        <w:rPr>
          <w:rFonts w:hint="eastAsia" w:ascii="宋体" w:hAnsi="宋体" w:cs="宋体"/>
          <w:color w:val="auto"/>
          <w:szCs w:val="21"/>
          <w:highlight w:val="none"/>
          <w:u w:val="single"/>
        </w:rPr>
        <w:t>逾期竣工的单位工程结算造价扣除发包人材料价款、暂估专业工程、暂列金额后的5%（直接从结算款中扣除）</w:t>
      </w:r>
      <w:r>
        <w:rPr>
          <w:rFonts w:hint="eastAsia" w:ascii="宋体" w:hAnsi="宋体" w:cs="宋体"/>
          <w:color w:val="auto"/>
          <w:szCs w:val="21"/>
          <w:highlight w:val="none"/>
        </w:rPr>
        <w:t>。</w:t>
      </w:r>
    </w:p>
    <w:p w14:paraId="4492F554">
      <w:pPr>
        <w:pStyle w:val="130"/>
        <w:spacing w:line="420" w:lineRule="exact"/>
        <w:rPr>
          <w:rFonts w:ascii="宋体" w:hAnsi="宋体" w:cs="宋体"/>
          <w:color w:val="auto"/>
          <w:sz w:val="24"/>
          <w:szCs w:val="24"/>
          <w:highlight w:val="none"/>
        </w:rPr>
      </w:pPr>
      <w:bookmarkStart w:id="589" w:name="_Toc497147185"/>
      <w:bookmarkStart w:id="590" w:name="_Toc497901141"/>
      <w:bookmarkStart w:id="591" w:name="_Toc47088329"/>
      <w:bookmarkStart w:id="592" w:name="_Toc407135230"/>
      <w:bookmarkStart w:id="593" w:name="_Toc497215742"/>
      <w:bookmarkStart w:id="594" w:name="_Toc20390"/>
      <w:bookmarkStart w:id="595" w:name="_Toc75182730"/>
      <w:r>
        <w:rPr>
          <w:rFonts w:hint="eastAsia" w:ascii="宋体" w:hAnsi="宋体" w:cs="宋体"/>
          <w:color w:val="auto"/>
          <w:sz w:val="24"/>
          <w:szCs w:val="24"/>
          <w:highlight w:val="none"/>
        </w:rPr>
        <w:t>7.6 不利物质条件</w:t>
      </w:r>
      <w:bookmarkEnd w:id="589"/>
      <w:bookmarkEnd w:id="590"/>
      <w:bookmarkEnd w:id="591"/>
      <w:bookmarkEnd w:id="592"/>
      <w:bookmarkEnd w:id="593"/>
      <w:bookmarkEnd w:id="594"/>
      <w:bookmarkEnd w:id="595"/>
    </w:p>
    <w:p w14:paraId="480A26F9">
      <w:pPr>
        <w:pStyle w:val="63"/>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不利物质条件的其他情形和有关约定：</w:t>
      </w:r>
      <w:r>
        <w:rPr>
          <w:rFonts w:hint="eastAsia" w:ascii="宋体" w:hAnsi="宋体" w:cs="宋体"/>
          <w:color w:val="auto"/>
          <w:szCs w:val="21"/>
          <w:highlight w:val="none"/>
          <w:u w:val="single"/>
        </w:rPr>
        <w:t>按通用条款7.6执行</w:t>
      </w:r>
      <w:r>
        <w:rPr>
          <w:rFonts w:hint="eastAsia" w:ascii="宋体" w:hAnsi="宋体" w:cs="宋体"/>
          <w:color w:val="auto"/>
          <w:szCs w:val="21"/>
          <w:highlight w:val="none"/>
        </w:rPr>
        <w:t>。</w:t>
      </w:r>
    </w:p>
    <w:p w14:paraId="0CC258E5">
      <w:pPr>
        <w:pStyle w:val="130"/>
        <w:spacing w:line="420" w:lineRule="exact"/>
        <w:rPr>
          <w:rFonts w:ascii="宋体" w:hAnsi="宋体" w:cs="宋体"/>
          <w:color w:val="auto"/>
          <w:sz w:val="24"/>
          <w:szCs w:val="24"/>
          <w:highlight w:val="none"/>
        </w:rPr>
      </w:pPr>
      <w:bookmarkStart w:id="596" w:name="_Toc75182731"/>
      <w:bookmarkStart w:id="597" w:name="_Toc497901142"/>
      <w:bookmarkStart w:id="598" w:name="_Toc497215743"/>
      <w:bookmarkStart w:id="599" w:name="_Toc497147186"/>
      <w:bookmarkStart w:id="600" w:name="_Toc17023"/>
      <w:bookmarkStart w:id="601" w:name="_Toc47088330"/>
      <w:bookmarkStart w:id="602" w:name="_Toc407135231"/>
      <w:r>
        <w:rPr>
          <w:rFonts w:hint="eastAsia" w:ascii="宋体" w:hAnsi="宋体" w:cs="宋体"/>
          <w:color w:val="auto"/>
          <w:sz w:val="24"/>
          <w:szCs w:val="24"/>
          <w:highlight w:val="none"/>
        </w:rPr>
        <w:t>7.7 异常恶劣的气候条件</w:t>
      </w:r>
      <w:bookmarkEnd w:id="596"/>
      <w:bookmarkEnd w:id="597"/>
      <w:bookmarkEnd w:id="598"/>
      <w:bookmarkEnd w:id="599"/>
      <w:bookmarkEnd w:id="600"/>
      <w:bookmarkEnd w:id="601"/>
      <w:bookmarkEnd w:id="602"/>
    </w:p>
    <w:p w14:paraId="5190A037">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14:paraId="157C4EB9">
      <w:pPr>
        <w:pStyle w:val="63"/>
        <w:spacing w:line="360" w:lineRule="auto"/>
        <w:ind w:firstLine="422" w:firstLineChars="200"/>
        <w:jc w:val="left"/>
        <w:rPr>
          <w:rFonts w:ascii="宋体" w:hAnsi="宋体" w:cs="宋体"/>
          <w:b/>
          <w:color w:val="auto"/>
          <w:kern w:val="0"/>
          <w:szCs w:val="21"/>
          <w:highlight w:val="none"/>
        </w:rPr>
      </w:pPr>
      <w:bookmarkStart w:id="603" w:name="_Toc75182732"/>
      <w:bookmarkStart w:id="604" w:name="_Toc497147187"/>
      <w:bookmarkStart w:id="605" w:name="_Toc47088331"/>
      <w:bookmarkStart w:id="606" w:name="_Toc497901143"/>
      <w:bookmarkStart w:id="607" w:name="_Toc497215744"/>
      <w:bookmarkStart w:id="608" w:name="_Toc407135232"/>
      <w:r>
        <w:rPr>
          <w:rFonts w:hint="eastAsia" w:ascii="宋体" w:hAnsi="宋体" w:cs="宋体"/>
          <w:b/>
          <w:color w:val="auto"/>
          <w:kern w:val="0"/>
          <w:szCs w:val="21"/>
          <w:highlight w:val="none"/>
        </w:rPr>
        <w:t>(1) 6.5 级以上的地震；</w:t>
      </w:r>
    </w:p>
    <w:p w14:paraId="115033D7">
      <w:pPr>
        <w:pStyle w:val="63"/>
        <w:spacing w:line="44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(2) 12级以上持续一天的大风；</w:t>
      </w:r>
    </w:p>
    <w:p w14:paraId="1CE02439">
      <w:pPr>
        <w:pStyle w:val="63"/>
        <w:spacing w:line="44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(3) 日雨量达100mm以上持续三天的大雨；</w:t>
      </w:r>
    </w:p>
    <w:p w14:paraId="2135A638">
      <w:pPr>
        <w:pStyle w:val="63"/>
        <w:spacing w:line="44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(4) 40℃以上持续三天的高温天气；</w:t>
      </w:r>
    </w:p>
    <w:p w14:paraId="2AC1375F">
      <w:pPr>
        <w:pStyle w:val="63"/>
        <w:spacing w:line="44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(5) 0℃以下持续三天的低温天气；</w:t>
      </w:r>
    </w:p>
    <w:p w14:paraId="54B043A2">
      <w:pPr>
        <w:pStyle w:val="63"/>
        <w:spacing w:line="440" w:lineRule="exact"/>
        <w:ind w:firstLine="422" w:firstLineChars="200"/>
        <w:jc w:val="left"/>
        <w:rPr>
          <w:rFonts w:ascii="宋体" w:hAnsi="宋体" w:cs="宋体"/>
          <w:color w:val="auto"/>
          <w:kern w:val="0"/>
          <w:szCs w:val="21"/>
          <w:highlight w:val="none"/>
          <w:u w:val="single"/>
        </w:rPr>
      </w:pPr>
      <w:r>
        <w:rPr>
          <w:rFonts w:hint="eastAsia" w:ascii="宋体" w:hAnsi="宋体" w:cs="宋体"/>
          <w:b/>
          <w:color w:val="auto"/>
          <w:kern w:val="0"/>
          <w:szCs w:val="21"/>
          <w:highlight w:val="none"/>
        </w:rPr>
        <w:t>(6) 50年以上未发生过的洪水</w:t>
      </w:r>
      <w:r>
        <w:rPr>
          <w:rFonts w:hint="eastAsia" w:ascii="宋体" w:hAnsi="宋体" w:cs="宋体"/>
          <w:color w:val="auto"/>
          <w:kern w:val="0"/>
          <w:szCs w:val="21"/>
          <w:highlight w:val="none"/>
        </w:rPr>
        <w:t>。</w:t>
      </w:r>
    </w:p>
    <w:p w14:paraId="25652816">
      <w:pPr>
        <w:pStyle w:val="130"/>
        <w:spacing w:line="420" w:lineRule="exact"/>
        <w:rPr>
          <w:rFonts w:ascii="宋体" w:hAnsi="宋体" w:cs="宋体"/>
          <w:color w:val="auto"/>
          <w:sz w:val="24"/>
          <w:szCs w:val="24"/>
          <w:highlight w:val="none"/>
        </w:rPr>
      </w:pPr>
      <w:bookmarkStart w:id="609" w:name="_Toc15437"/>
      <w:r>
        <w:rPr>
          <w:rFonts w:hint="eastAsia" w:ascii="宋体" w:hAnsi="宋体" w:cs="宋体"/>
          <w:color w:val="auto"/>
          <w:sz w:val="24"/>
          <w:szCs w:val="24"/>
          <w:highlight w:val="none"/>
        </w:rPr>
        <w:t>7.9 提前竣工</w:t>
      </w:r>
      <w:bookmarkEnd w:id="603"/>
      <w:bookmarkEnd w:id="604"/>
      <w:bookmarkEnd w:id="605"/>
      <w:bookmarkEnd w:id="606"/>
      <w:bookmarkEnd w:id="607"/>
      <w:bookmarkEnd w:id="608"/>
      <w:bookmarkEnd w:id="609"/>
    </w:p>
    <w:p w14:paraId="521C5743">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7.9.2提前竣工（赶工）增加费的计算方法：</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20F173C0">
      <w:pPr>
        <w:pStyle w:val="130"/>
        <w:spacing w:beforeLines="50" w:afterLines="50" w:line="420" w:lineRule="exact"/>
        <w:rPr>
          <w:rFonts w:ascii="宋体" w:hAnsi="宋体" w:cs="宋体"/>
          <w:color w:val="auto"/>
          <w:sz w:val="24"/>
          <w:szCs w:val="24"/>
          <w:highlight w:val="none"/>
        </w:rPr>
      </w:pPr>
      <w:bookmarkStart w:id="610" w:name="_Toc75182733"/>
      <w:bookmarkStart w:id="611" w:name="_Toc47088332"/>
      <w:bookmarkStart w:id="612" w:name="_Toc407135233"/>
      <w:bookmarkStart w:id="613" w:name="_Toc497147188"/>
      <w:bookmarkStart w:id="614" w:name="_Toc497901144"/>
      <w:bookmarkStart w:id="615" w:name="_Toc497215745"/>
      <w:bookmarkStart w:id="616" w:name="_Toc7624"/>
      <w:r>
        <w:rPr>
          <w:rFonts w:hint="eastAsia" w:ascii="宋体" w:hAnsi="宋体" w:cs="宋体"/>
          <w:color w:val="auto"/>
          <w:sz w:val="24"/>
          <w:szCs w:val="24"/>
          <w:highlight w:val="none"/>
        </w:rPr>
        <w:t>8. 材料与设备</w:t>
      </w:r>
      <w:bookmarkEnd w:id="610"/>
      <w:bookmarkEnd w:id="611"/>
      <w:bookmarkEnd w:id="612"/>
      <w:bookmarkEnd w:id="613"/>
      <w:bookmarkEnd w:id="614"/>
      <w:bookmarkEnd w:id="615"/>
      <w:bookmarkEnd w:id="616"/>
    </w:p>
    <w:p w14:paraId="117E8F75">
      <w:pPr>
        <w:pStyle w:val="130"/>
        <w:spacing w:line="420" w:lineRule="exact"/>
        <w:rPr>
          <w:rFonts w:ascii="宋体" w:hAnsi="宋体" w:cs="宋体"/>
          <w:color w:val="auto"/>
          <w:sz w:val="24"/>
          <w:szCs w:val="24"/>
          <w:highlight w:val="none"/>
        </w:rPr>
      </w:pPr>
      <w:bookmarkStart w:id="617" w:name="_Toc407135234"/>
      <w:bookmarkStart w:id="618" w:name="_Toc31444"/>
      <w:bookmarkStart w:id="619" w:name="_Toc497147189"/>
      <w:bookmarkStart w:id="620" w:name="_Toc497215746"/>
      <w:bookmarkStart w:id="621" w:name="_Toc47088333"/>
      <w:bookmarkStart w:id="622" w:name="_Toc75182734"/>
      <w:bookmarkStart w:id="623" w:name="_Toc497901145"/>
      <w:r>
        <w:rPr>
          <w:rFonts w:hint="eastAsia" w:ascii="宋体" w:hAnsi="宋体" w:cs="宋体"/>
          <w:color w:val="auto"/>
          <w:sz w:val="24"/>
          <w:szCs w:val="24"/>
          <w:highlight w:val="none"/>
        </w:rPr>
        <w:t>8.2 承包人采购材料与工程设备</w:t>
      </w:r>
      <w:bookmarkEnd w:id="617"/>
      <w:bookmarkEnd w:id="618"/>
      <w:bookmarkEnd w:id="619"/>
      <w:bookmarkEnd w:id="620"/>
      <w:bookmarkEnd w:id="621"/>
      <w:bookmarkEnd w:id="622"/>
      <w:bookmarkEnd w:id="623"/>
    </w:p>
    <w:p w14:paraId="7C48E22E">
      <w:pPr>
        <w:pStyle w:val="63"/>
        <w:autoSpaceDE w:val="0"/>
        <w:autoSpaceDN w:val="0"/>
        <w:adjustRightIn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除已标价工程量清单《发包人提供主要材料和工程设备一览表》（表-21）中明确的材料、工程设备外，由承包人负责材料和工程设备的采购、运输和保管。《</w:t>
      </w:r>
      <w:r>
        <w:rPr>
          <w:rFonts w:hint="eastAsia" w:ascii="宋体" w:hAnsi="宋体" w:cs="宋体"/>
          <w:color w:val="auto"/>
          <w:highlight w:val="none"/>
        </w:rPr>
        <w:t>承包人提供主要材料和工程设备一览表》</w:t>
      </w:r>
      <w:r>
        <w:rPr>
          <w:rFonts w:hint="eastAsia" w:ascii="宋体" w:hAnsi="宋体" w:cs="宋体"/>
          <w:color w:val="auto"/>
          <w:kern w:val="0"/>
          <w:highlight w:val="none"/>
        </w:rPr>
        <w:t>（表-22）见已标价工程量清单。</w:t>
      </w:r>
    </w:p>
    <w:p w14:paraId="527C8C67">
      <w:pPr>
        <w:pStyle w:val="63"/>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033FF7DF">
      <w:pPr>
        <w:pStyle w:val="130"/>
        <w:spacing w:line="420" w:lineRule="exact"/>
        <w:rPr>
          <w:rFonts w:ascii="宋体" w:hAnsi="宋体" w:cs="宋体"/>
          <w:color w:val="auto"/>
          <w:sz w:val="24"/>
          <w:szCs w:val="24"/>
          <w:highlight w:val="none"/>
        </w:rPr>
      </w:pPr>
      <w:bookmarkStart w:id="624" w:name="_Toc497901146"/>
      <w:bookmarkStart w:id="625" w:name="_Toc75182735"/>
      <w:bookmarkStart w:id="626" w:name="_Toc21670"/>
      <w:bookmarkStart w:id="627" w:name="_Toc497215747"/>
      <w:bookmarkStart w:id="628" w:name="_Toc497147190"/>
      <w:bookmarkStart w:id="629" w:name="_Toc47088334"/>
      <w:bookmarkStart w:id="630" w:name="_Toc407135235"/>
      <w:r>
        <w:rPr>
          <w:rFonts w:hint="eastAsia" w:ascii="宋体" w:hAnsi="宋体" w:cs="宋体"/>
          <w:color w:val="auto"/>
          <w:sz w:val="24"/>
          <w:szCs w:val="24"/>
          <w:highlight w:val="none"/>
        </w:rPr>
        <w:t>8.4 材料与工程设备的保管与使用</w:t>
      </w:r>
      <w:bookmarkEnd w:id="624"/>
      <w:bookmarkEnd w:id="625"/>
      <w:bookmarkEnd w:id="626"/>
      <w:bookmarkEnd w:id="627"/>
      <w:bookmarkEnd w:id="628"/>
      <w:bookmarkEnd w:id="629"/>
      <w:bookmarkEnd w:id="630"/>
    </w:p>
    <w:p w14:paraId="3ACD1237">
      <w:pPr>
        <w:pStyle w:val="63"/>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8.4.1发包人供应的材料设备的保管费用的承担：</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65D46723">
      <w:pPr>
        <w:pStyle w:val="130"/>
        <w:spacing w:line="420" w:lineRule="exact"/>
        <w:rPr>
          <w:rFonts w:ascii="宋体" w:hAnsi="宋体" w:cs="宋体"/>
          <w:color w:val="auto"/>
          <w:sz w:val="24"/>
          <w:szCs w:val="24"/>
          <w:highlight w:val="none"/>
        </w:rPr>
      </w:pPr>
      <w:bookmarkStart w:id="631" w:name="_Toc497147191"/>
      <w:bookmarkStart w:id="632" w:name="_Toc407135236"/>
      <w:bookmarkStart w:id="633" w:name="_Toc75182736"/>
      <w:bookmarkStart w:id="634" w:name="_Toc21508"/>
      <w:bookmarkStart w:id="635" w:name="_Toc47088335"/>
      <w:bookmarkStart w:id="636" w:name="_Toc497901147"/>
      <w:bookmarkStart w:id="637" w:name="_Toc497215748"/>
      <w:r>
        <w:rPr>
          <w:rFonts w:hint="eastAsia" w:ascii="宋体" w:hAnsi="宋体" w:cs="宋体"/>
          <w:color w:val="auto"/>
          <w:sz w:val="24"/>
          <w:szCs w:val="24"/>
          <w:highlight w:val="none"/>
        </w:rPr>
        <w:t>8.6 样品</w:t>
      </w:r>
      <w:bookmarkEnd w:id="631"/>
      <w:bookmarkEnd w:id="632"/>
      <w:bookmarkEnd w:id="633"/>
      <w:bookmarkEnd w:id="634"/>
      <w:bookmarkEnd w:id="635"/>
      <w:bookmarkEnd w:id="636"/>
      <w:bookmarkEnd w:id="637"/>
    </w:p>
    <w:p w14:paraId="5F65C3E3">
      <w:pPr>
        <w:pStyle w:val="63"/>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8.6.1 样品的报送与封存</w:t>
      </w:r>
    </w:p>
    <w:p w14:paraId="4D39D873">
      <w:pPr>
        <w:pStyle w:val="63"/>
        <w:autoSpaceDE w:val="0"/>
        <w:autoSpaceDN w:val="0"/>
        <w:adjustRightIn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需要承包人报送样品的材料或工程设备，样品的种类、名称、规格、数量要求：</w:t>
      </w:r>
      <w:r>
        <w:rPr>
          <w:rFonts w:hint="eastAsia" w:ascii="宋体" w:hAnsi="宋体" w:cs="宋体"/>
          <w:color w:val="auto"/>
          <w:szCs w:val="21"/>
          <w:highlight w:val="none"/>
          <w:u w:val="single"/>
        </w:rPr>
        <w:t>主要材料涉及品种、款式、颜色等方面内容的，承包人应提交准备合格的材料样品送发包人选定。</w:t>
      </w:r>
    </w:p>
    <w:p w14:paraId="30444079">
      <w:pPr>
        <w:pStyle w:val="130"/>
        <w:spacing w:line="420" w:lineRule="exact"/>
        <w:rPr>
          <w:rFonts w:ascii="宋体" w:hAnsi="宋体" w:cs="宋体"/>
          <w:color w:val="auto"/>
          <w:sz w:val="24"/>
          <w:szCs w:val="24"/>
          <w:highlight w:val="none"/>
        </w:rPr>
      </w:pPr>
      <w:bookmarkStart w:id="638" w:name="_Toc47088336"/>
      <w:bookmarkStart w:id="639" w:name="_Toc407135237"/>
      <w:bookmarkStart w:id="640" w:name="_Toc75182737"/>
      <w:bookmarkStart w:id="641" w:name="_Toc497901148"/>
      <w:bookmarkStart w:id="642" w:name="_Toc497147192"/>
      <w:bookmarkStart w:id="643" w:name="_Toc497215749"/>
      <w:bookmarkStart w:id="644" w:name="_Toc20575"/>
      <w:r>
        <w:rPr>
          <w:rFonts w:hint="eastAsia" w:ascii="宋体" w:hAnsi="宋体" w:cs="宋体"/>
          <w:color w:val="auto"/>
          <w:sz w:val="24"/>
          <w:szCs w:val="24"/>
          <w:highlight w:val="none"/>
        </w:rPr>
        <w:t>8.8 施工设备和临时设施</w:t>
      </w:r>
      <w:bookmarkEnd w:id="638"/>
      <w:bookmarkEnd w:id="639"/>
      <w:bookmarkEnd w:id="640"/>
      <w:bookmarkEnd w:id="641"/>
      <w:bookmarkEnd w:id="642"/>
      <w:bookmarkEnd w:id="643"/>
      <w:bookmarkEnd w:id="644"/>
    </w:p>
    <w:p w14:paraId="7498B277">
      <w:pPr>
        <w:pStyle w:val="63"/>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14:paraId="08D6EBFE">
      <w:pPr>
        <w:pStyle w:val="63"/>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除专用合同条款另有约定的其他独立承包人和监理人指示的他人提供条件外，承包人运入施工场地的所有施工设备以及在施工场地建设的临时设施仅限于用于合同工程。</w:t>
      </w:r>
    </w:p>
    <w:p w14:paraId="77D0A9A5">
      <w:pPr>
        <w:pStyle w:val="63"/>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关于修建临时设施费用承担的约定：</w:t>
      </w:r>
    </w:p>
    <w:p w14:paraId="4B21AC50">
      <w:pPr>
        <w:pStyle w:val="63"/>
        <w:autoSpaceDE w:val="0"/>
        <w:autoSpaceDN w:val="0"/>
        <w:adjustRightIn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①承包人的临时用地（含项目部驻地等）租用费（含拆迁补偿）、临时用地的环保、恢复、临时用地的青苗补偿及地面附着物拆除等费用均由承包人负责，以上费用在投标报价中综合考虑。</w:t>
      </w:r>
    </w:p>
    <w:p w14:paraId="11CA6E42">
      <w:pPr>
        <w:pStyle w:val="63"/>
        <w:autoSpaceDE w:val="0"/>
        <w:autoSpaceDN w:val="0"/>
        <w:adjustRightIn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②承包人负责合同实施期间其合同段内临时交通道路（含场内外连接公共交通道路）和交通设施的修建、维修、养护和交通管理工作，并承担一切费用。</w:t>
      </w:r>
    </w:p>
    <w:p w14:paraId="75644D62">
      <w:pPr>
        <w:pStyle w:val="63"/>
        <w:autoSpaceDE w:val="0"/>
        <w:autoSpaceDN w:val="0"/>
        <w:adjustRightIn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32151C44">
      <w:pPr>
        <w:pStyle w:val="63"/>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8.8.2 发包人提供的施工设备和临时设施</w:t>
      </w:r>
    </w:p>
    <w:p w14:paraId="1EC11E3C">
      <w:pPr>
        <w:pStyle w:val="63"/>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发包人提供的施工设备和临时设施：</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7D5E5D4">
      <w:pPr>
        <w:pStyle w:val="63"/>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发包人提供的施工设备和临时设施的运行、维护、拆除、清运费用的承担人：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4667D10">
      <w:pPr>
        <w:pStyle w:val="130"/>
        <w:spacing w:line="420" w:lineRule="exact"/>
        <w:rPr>
          <w:rFonts w:ascii="宋体" w:hAnsi="宋体" w:cs="宋体"/>
          <w:color w:val="auto"/>
          <w:sz w:val="24"/>
          <w:szCs w:val="24"/>
          <w:highlight w:val="none"/>
        </w:rPr>
      </w:pPr>
      <w:bookmarkStart w:id="645" w:name="_Toc18717"/>
      <w:bookmarkStart w:id="646" w:name="_Toc497215750"/>
      <w:bookmarkStart w:id="647" w:name="_Toc497901149"/>
      <w:bookmarkStart w:id="648" w:name="_Toc75182738"/>
      <w:bookmarkStart w:id="649" w:name="_Toc407135238"/>
      <w:bookmarkStart w:id="650" w:name="_Toc47088337"/>
      <w:bookmarkStart w:id="651" w:name="_Toc497147193"/>
      <w:r>
        <w:rPr>
          <w:rFonts w:hint="eastAsia" w:ascii="宋体" w:hAnsi="宋体" w:cs="宋体"/>
          <w:color w:val="auto"/>
          <w:sz w:val="24"/>
          <w:szCs w:val="24"/>
          <w:highlight w:val="none"/>
        </w:rPr>
        <w:t>9. 试验与检验</w:t>
      </w:r>
      <w:bookmarkEnd w:id="645"/>
      <w:bookmarkEnd w:id="646"/>
      <w:bookmarkEnd w:id="647"/>
      <w:bookmarkEnd w:id="648"/>
      <w:bookmarkEnd w:id="649"/>
      <w:bookmarkEnd w:id="650"/>
      <w:bookmarkEnd w:id="651"/>
    </w:p>
    <w:p w14:paraId="4F64FF6B">
      <w:pPr>
        <w:pStyle w:val="130"/>
        <w:spacing w:line="420" w:lineRule="exact"/>
        <w:rPr>
          <w:rFonts w:ascii="宋体" w:hAnsi="宋体" w:cs="宋体"/>
          <w:color w:val="auto"/>
          <w:sz w:val="24"/>
          <w:szCs w:val="24"/>
          <w:highlight w:val="none"/>
        </w:rPr>
      </w:pPr>
      <w:bookmarkStart w:id="652" w:name="_Toc497901150"/>
      <w:bookmarkStart w:id="653" w:name="_Toc497215751"/>
      <w:bookmarkStart w:id="654" w:name="_Toc47088338"/>
      <w:bookmarkStart w:id="655" w:name="_Toc497147194"/>
      <w:bookmarkStart w:id="656" w:name="_Toc407135239"/>
      <w:bookmarkStart w:id="657" w:name="_Toc75182739"/>
      <w:bookmarkStart w:id="658" w:name="_Toc15844"/>
      <w:r>
        <w:rPr>
          <w:rFonts w:hint="eastAsia" w:ascii="宋体" w:hAnsi="宋体" w:cs="宋体"/>
          <w:color w:val="auto"/>
          <w:sz w:val="24"/>
          <w:szCs w:val="24"/>
          <w:highlight w:val="none"/>
        </w:rPr>
        <w:t>9.1 试验设备与试验人员</w:t>
      </w:r>
      <w:bookmarkEnd w:id="652"/>
      <w:bookmarkEnd w:id="653"/>
      <w:bookmarkEnd w:id="654"/>
      <w:bookmarkEnd w:id="655"/>
      <w:bookmarkEnd w:id="656"/>
      <w:bookmarkEnd w:id="657"/>
      <w:bookmarkEnd w:id="658"/>
    </w:p>
    <w:p w14:paraId="69595949">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9.1.2 试验设备</w:t>
      </w:r>
    </w:p>
    <w:p w14:paraId="14EEEBCB">
      <w:pPr>
        <w:pStyle w:val="63"/>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施工现场需要配置的试验场所：</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74CDBE7">
      <w:pPr>
        <w:pStyle w:val="63"/>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施工现场需要配备的试验设备：</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5281DD21">
      <w:pPr>
        <w:pStyle w:val="63"/>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施工现场需要具备的其他试验条件：</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61E9C05">
      <w:pPr>
        <w:pStyle w:val="130"/>
        <w:spacing w:line="420" w:lineRule="exact"/>
        <w:rPr>
          <w:rFonts w:ascii="宋体" w:hAnsi="宋体" w:cs="宋体"/>
          <w:color w:val="auto"/>
          <w:sz w:val="24"/>
          <w:szCs w:val="24"/>
          <w:highlight w:val="none"/>
        </w:rPr>
      </w:pPr>
      <w:bookmarkStart w:id="659" w:name="_Toc497215752"/>
      <w:bookmarkStart w:id="660" w:name="_Toc497147195"/>
      <w:bookmarkStart w:id="661" w:name="_Toc407135240"/>
      <w:bookmarkStart w:id="662" w:name="_Toc2360"/>
      <w:bookmarkStart w:id="663" w:name="_Toc75182740"/>
      <w:bookmarkStart w:id="664" w:name="_Toc497901151"/>
      <w:bookmarkStart w:id="665" w:name="_Toc47088339"/>
      <w:r>
        <w:rPr>
          <w:rFonts w:hint="eastAsia" w:ascii="宋体" w:hAnsi="宋体" w:cs="宋体"/>
          <w:color w:val="auto"/>
          <w:sz w:val="24"/>
          <w:szCs w:val="24"/>
          <w:highlight w:val="none"/>
        </w:rPr>
        <w:t>9.4 现场工艺试验</w:t>
      </w:r>
      <w:bookmarkEnd w:id="659"/>
      <w:bookmarkEnd w:id="660"/>
      <w:bookmarkEnd w:id="661"/>
      <w:bookmarkEnd w:id="662"/>
      <w:bookmarkEnd w:id="663"/>
      <w:bookmarkEnd w:id="664"/>
      <w:bookmarkEnd w:id="665"/>
    </w:p>
    <w:p w14:paraId="6180D1DD">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623E610">
      <w:pPr>
        <w:pStyle w:val="130"/>
        <w:spacing w:line="420" w:lineRule="exact"/>
        <w:rPr>
          <w:rFonts w:ascii="宋体" w:hAnsi="宋体" w:cs="宋体"/>
          <w:color w:val="auto"/>
          <w:sz w:val="24"/>
          <w:szCs w:val="24"/>
          <w:highlight w:val="none"/>
        </w:rPr>
      </w:pPr>
      <w:bookmarkStart w:id="666" w:name="_Toc407135241"/>
      <w:bookmarkStart w:id="667" w:name="_Toc5679"/>
      <w:bookmarkStart w:id="668" w:name="_Toc47088340"/>
      <w:bookmarkStart w:id="669" w:name="_Toc497215753"/>
      <w:bookmarkStart w:id="670" w:name="_Toc497901152"/>
      <w:bookmarkStart w:id="671" w:name="_Toc497147196"/>
      <w:bookmarkStart w:id="672" w:name="_Toc75182741"/>
      <w:r>
        <w:rPr>
          <w:rFonts w:hint="eastAsia" w:ascii="宋体" w:hAnsi="宋体" w:cs="宋体"/>
          <w:color w:val="auto"/>
          <w:sz w:val="24"/>
          <w:szCs w:val="24"/>
          <w:highlight w:val="none"/>
        </w:rPr>
        <w:t>9.5 检验费用</w:t>
      </w:r>
      <w:bookmarkEnd w:id="666"/>
      <w:bookmarkEnd w:id="667"/>
      <w:bookmarkEnd w:id="668"/>
      <w:bookmarkEnd w:id="669"/>
      <w:bookmarkEnd w:id="670"/>
      <w:bookmarkEnd w:id="671"/>
      <w:bookmarkEnd w:id="672"/>
    </w:p>
    <w:p w14:paraId="2327115C">
      <w:pPr>
        <w:pStyle w:val="63"/>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根据《建设工程质量检测管理办法》（建设部令第141号）以及</w:t>
      </w:r>
      <w:r>
        <w:rPr>
          <w:rFonts w:hint="eastAsia" w:ascii="宋体" w:hAnsi="宋体" w:cs="宋体"/>
          <w:bCs/>
          <w:color w:val="auto"/>
          <w:szCs w:val="21"/>
          <w:highlight w:val="none"/>
        </w:rPr>
        <w:t>《广西壮族自治区建设工程质量检测管理规定》（桂建管〔2013〕11号）</w:t>
      </w:r>
      <w:r>
        <w:rPr>
          <w:rFonts w:hint="eastAsia" w:ascii="宋体" w:hAnsi="宋体" w:cs="宋体"/>
          <w:color w:val="auto"/>
          <w:szCs w:val="21"/>
          <w:highlight w:val="none"/>
        </w:rPr>
        <w:t>规定，工程质量检测业务由发包人委托有相应资质的检测机构检测。费用由发包人直接支付给检测机构，不计入合同价款内。检验试验配合费按费用定额规定计取，计入本合同价款内。</w:t>
      </w:r>
    </w:p>
    <w:p w14:paraId="43830CFB">
      <w:pPr>
        <w:pStyle w:val="130"/>
        <w:spacing w:line="420" w:lineRule="exact"/>
        <w:rPr>
          <w:rFonts w:ascii="宋体" w:hAnsi="宋体" w:cs="宋体"/>
          <w:color w:val="auto"/>
          <w:sz w:val="24"/>
          <w:szCs w:val="24"/>
          <w:highlight w:val="none"/>
        </w:rPr>
      </w:pPr>
      <w:bookmarkStart w:id="673" w:name="_Toc497215754"/>
      <w:bookmarkStart w:id="674" w:name="_Toc497901153"/>
      <w:bookmarkStart w:id="675" w:name="_Toc407135242"/>
      <w:bookmarkStart w:id="676" w:name="_Toc47088341"/>
      <w:bookmarkStart w:id="677" w:name="_Toc75182742"/>
      <w:bookmarkStart w:id="678" w:name="_Toc497147197"/>
      <w:bookmarkStart w:id="679" w:name="_Toc7847"/>
      <w:r>
        <w:rPr>
          <w:rFonts w:hint="eastAsia" w:ascii="宋体" w:hAnsi="宋体" w:cs="宋体"/>
          <w:color w:val="auto"/>
          <w:sz w:val="24"/>
          <w:szCs w:val="24"/>
          <w:highlight w:val="none"/>
        </w:rPr>
        <w:t>10. 变更</w:t>
      </w:r>
      <w:bookmarkEnd w:id="673"/>
      <w:bookmarkEnd w:id="674"/>
      <w:bookmarkEnd w:id="675"/>
      <w:bookmarkEnd w:id="676"/>
      <w:bookmarkEnd w:id="677"/>
      <w:bookmarkEnd w:id="678"/>
      <w:bookmarkEnd w:id="679"/>
    </w:p>
    <w:p w14:paraId="2AD4C75C">
      <w:pPr>
        <w:pStyle w:val="130"/>
        <w:spacing w:line="420" w:lineRule="exact"/>
        <w:rPr>
          <w:rFonts w:ascii="宋体" w:hAnsi="宋体" w:cs="宋体"/>
          <w:color w:val="auto"/>
          <w:sz w:val="24"/>
          <w:szCs w:val="24"/>
          <w:highlight w:val="none"/>
        </w:rPr>
      </w:pPr>
      <w:bookmarkStart w:id="680" w:name="_Toc497147198"/>
      <w:bookmarkStart w:id="681" w:name="_Toc497215755"/>
      <w:bookmarkStart w:id="682" w:name="_Toc17049"/>
      <w:bookmarkStart w:id="683" w:name="_Toc75182743"/>
      <w:bookmarkStart w:id="684" w:name="_Toc47088342"/>
      <w:bookmarkStart w:id="685" w:name="_Toc497901154"/>
      <w:bookmarkStart w:id="686" w:name="_Toc407135243"/>
      <w:r>
        <w:rPr>
          <w:rFonts w:hint="eastAsia" w:ascii="宋体" w:hAnsi="宋体" w:cs="宋体"/>
          <w:color w:val="auto"/>
          <w:sz w:val="24"/>
          <w:szCs w:val="24"/>
          <w:highlight w:val="none"/>
        </w:rPr>
        <w:t>10.1 变更的范围</w:t>
      </w:r>
      <w:bookmarkEnd w:id="680"/>
      <w:bookmarkEnd w:id="681"/>
      <w:bookmarkEnd w:id="682"/>
      <w:bookmarkEnd w:id="683"/>
      <w:bookmarkEnd w:id="684"/>
      <w:bookmarkEnd w:id="685"/>
      <w:bookmarkEnd w:id="686"/>
    </w:p>
    <w:p w14:paraId="7807859D">
      <w:pPr>
        <w:pStyle w:val="63"/>
        <w:spacing w:line="360" w:lineRule="auto"/>
        <w:ind w:firstLine="426"/>
        <w:jc w:val="left"/>
        <w:rPr>
          <w:rFonts w:ascii="宋体" w:hAnsi="宋体" w:cs="宋体"/>
          <w:color w:val="auto"/>
          <w:szCs w:val="21"/>
          <w:highlight w:val="none"/>
        </w:rPr>
      </w:pPr>
      <w:r>
        <w:rPr>
          <w:rFonts w:hint="eastAsia" w:ascii="宋体" w:hAnsi="宋体" w:cs="宋体"/>
          <w:color w:val="auto"/>
          <w:szCs w:val="21"/>
          <w:highlight w:val="none"/>
        </w:rPr>
        <w:t>关于变更的范围的约定：</w:t>
      </w:r>
      <w:r>
        <w:rPr>
          <w:rFonts w:hint="eastAsia" w:ascii="宋体" w:hAnsi="宋体" w:cs="宋体"/>
          <w:color w:val="auto"/>
          <w:szCs w:val="21"/>
          <w:highlight w:val="none"/>
          <w:u w:val="single"/>
        </w:rPr>
        <w:t xml:space="preserve">  按通用条款10.1执行     </w:t>
      </w:r>
      <w:r>
        <w:rPr>
          <w:rFonts w:hint="eastAsia" w:ascii="宋体" w:hAnsi="宋体" w:cs="宋体"/>
          <w:color w:val="auto"/>
          <w:szCs w:val="21"/>
          <w:highlight w:val="none"/>
        </w:rPr>
        <w:t>。</w:t>
      </w:r>
    </w:p>
    <w:p w14:paraId="774BCCAE">
      <w:pPr>
        <w:pStyle w:val="130"/>
        <w:spacing w:line="420" w:lineRule="exact"/>
        <w:rPr>
          <w:rFonts w:ascii="宋体" w:hAnsi="宋体" w:cs="宋体"/>
          <w:color w:val="auto"/>
          <w:sz w:val="24"/>
          <w:szCs w:val="24"/>
          <w:highlight w:val="none"/>
        </w:rPr>
      </w:pPr>
      <w:bookmarkStart w:id="687" w:name="_Toc407135244"/>
      <w:bookmarkStart w:id="688" w:name="_Toc47088343"/>
      <w:bookmarkStart w:id="689" w:name="_Toc497901155"/>
      <w:bookmarkStart w:id="690" w:name="_Toc497147199"/>
      <w:bookmarkStart w:id="691" w:name="_Toc31839"/>
      <w:bookmarkStart w:id="692" w:name="_Toc75182744"/>
      <w:bookmarkStart w:id="693" w:name="_Toc497215756"/>
      <w:r>
        <w:rPr>
          <w:rFonts w:hint="eastAsia" w:ascii="宋体" w:hAnsi="宋体" w:cs="宋体"/>
          <w:color w:val="auto"/>
          <w:sz w:val="24"/>
          <w:szCs w:val="24"/>
          <w:highlight w:val="none"/>
        </w:rPr>
        <w:t>10.3 变更程序</w:t>
      </w:r>
      <w:bookmarkEnd w:id="687"/>
      <w:bookmarkEnd w:id="688"/>
      <w:bookmarkEnd w:id="689"/>
      <w:bookmarkEnd w:id="690"/>
      <w:bookmarkEnd w:id="691"/>
      <w:bookmarkEnd w:id="692"/>
      <w:bookmarkEnd w:id="693"/>
    </w:p>
    <w:p w14:paraId="714D59BC">
      <w:pPr>
        <w:pStyle w:val="146"/>
        <w:spacing w:line="360" w:lineRule="auto"/>
        <w:ind w:firstLine="441" w:firstLineChars="210"/>
        <w:rPr>
          <w:rFonts w:hAnsi="宋体" w:cs="宋体"/>
          <w:bCs/>
          <w:color w:val="auto"/>
          <w:szCs w:val="21"/>
          <w:highlight w:val="none"/>
        </w:rPr>
      </w:pPr>
      <w:r>
        <w:rPr>
          <w:rFonts w:hint="eastAsia" w:hAnsi="宋体" w:cs="宋体"/>
          <w:bCs/>
          <w:color w:val="auto"/>
          <w:szCs w:val="21"/>
          <w:highlight w:val="none"/>
        </w:rPr>
        <w:t>10.3.1国有投资项目：</w:t>
      </w:r>
    </w:p>
    <w:p w14:paraId="5AB824D4">
      <w:pPr>
        <w:pStyle w:val="146"/>
        <w:spacing w:line="360" w:lineRule="auto"/>
        <w:ind w:firstLine="441" w:firstLineChars="210"/>
        <w:rPr>
          <w:rFonts w:hAnsi="宋体" w:cs="宋体"/>
          <w:bCs/>
          <w:color w:val="auto"/>
          <w:szCs w:val="21"/>
          <w:highlight w:val="none"/>
        </w:rPr>
      </w:pPr>
      <w:r>
        <w:rPr>
          <w:rFonts w:hint="eastAsia" w:hAnsi="宋体" w:cs="宋体"/>
          <w:bCs/>
          <w:color w:val="auto"/>
          <w:szCs w:val="21"/>
          <w:highlight w:val="none"/>
        </w:rPr>
        <w:t>⑴设计变更和工程签证，按各市政府或相关部门的规定办理。属不可抗力（自然灾害、突发事件等）造成变更的，按特事特办原则予以办理。</w:t>
      </w:r>
    </w:p>
    <w:p w14:paraId="50E85E19">
      <w:pPr>
        <w:pStyle w:val="146"/>
        <w:spacing w:line="360" w:lineRule="auto"/>
        <w:ind w:firstLine="441" w:firstLineChars="210"/>
        <w:rPr>
          <w:rFonts w:hAnsi="宋体" w:cs="宋体"/>
          <w:bCs/>
          <w:color w:val="auto"/>
          <w:szCs w:val="21"/>
          <w:highlight w:val="none"/>
        </w:rPr>
      </w:pPr>
      <w:r>
        <w:rPr>
          <w:rFonts w:hint="eastAsia" w:hAnsi="宋体" w:cs="宋体"/>
          <w:bCs/>
          <w:color w:val="auto"/>
          <w:szCs w:val="21"/>
          <w:highlight w:val="none"/>
        </w:rPr>
        <w:t>⑵建设单位在实施项目过程中，若发生单价变动，由建设单位、监理单位、施工单位及其他相关单位共同商定并签字确认。</w:t>
      </w:r>
    </w:p>
    <w:p w14:paraId="5272F11A">
      <w:pPr>
        <w:pStyle w:val="63"/>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681BFAE8">
      <w:pPr>
        <w:pStyle w:val="72"/>
        <w:spacing w:line="360" w:lineRule="auto"/>
        <w:ind w:firstLine="441" w:firstLineChars="210"/>
        <w:rPr>
          <w:rFonts w:hAnsi="宋体" w:cs="宋体"/>
          <w:bCs/>
          <w:color w:val="auto"/>
          <w:szCs w:val="21"/>
          <w:highlight w:val="none"/>
        </w:rPr>
      </w:pPr>
      <w:r>
        <w:rPr>
          <w:rFonts w:hint="eastAsia" w:hAnsi="宋体" w:cs="宋体"/>
          <w:bCs/>
          <w:color w:val="auto"/>
          <w:szCs w:val="21"/>
          <w:highlight w:val="none"/>
        </w:rPr>
        <w:t>10.3.2 非国有投资项目：</w:t>
      </w:r>
      <w:r>
        <w:rPr>
          <w:rFonts w:hint="eastAsia" w:hAnsi="宋体" w:cs="宋体"/>
          <w:bCs/>
          <w:color w:val="auto"/>
          <w:szCs w:val="21"/>
          <w:highlight w:val="none"/>
          <w:u w:val="single"/>
          <w:lang w:val="en-US" w:eastAsia="zh-CN"/>
        </w:rPr>
        <w:t>按《通用合同条款》条执行</w:t>
      </w:r>
      <w:r>
        <w:rPr>
          <w:rFonts w:hint="eastAsia" w:hAnsi="宋体" w:cs="宋体"/>
          <w:bCs/>
          <w:color w:val="auto"/>
          <w:szCs w:val="21"/>
          <w:highlight w:val="none"/>
          <w:u w:val="single"/>
        </w:rPr>
        <w:t>。</w:t>
      </w:r>
    </w:p>
    <w:p w14:paraId="79E311D3">
      <w:pPr>
        <w:pStyle w:val="130"/>
        <w:spacing w:line="420" w:lineRule="exact"/>
        <w:rPr>
          <w:rFonts w:ascii="宋体" w:hAnsi="宋体" w:cs="宋体"/>
          <w:color w:val="auto"/>
          <w:sz w:val="24"/>
          <w:szCs w:val="24"/>
          <w:highlight w:val="none"/>
        </w:rPr>
      </w:pPr>
      <w:bookmarkStart w:id="694" w:name="_Toc47088344"/>
      <w:bookmarkStart w:id="695" w:name="_Toc1319"/>
      <w:bookmarkStart w:id="696" w:name="_Toc407135245"/>
      <w:bookmarkStart w:id="697" w:name="_Toc75182745"/>
      <w:bookmarkStart w:id="698" w:name="_Toc497147200"/>
      <w:bookmarkStart w:id="699" w:name="_Toc497901156"/>
      <w:bookmarkStart w:id="700" w:name="_Toc497215757"/>
      <w:r>
        <w:rPr>
          <w:rFonts w:hint="eastAsia" w:ascii="宋体" w:hAnsi="宋体" w:cs="宋体"/>
          <w:color w:val="auto"/>
          <w:sz w:val="24"/>
          <w:szCs w:val="24"/>
          <w:highlight w:val="none"/>
        </w:rPr>
        <w:t>10.4 变更估价</w:t>
      </w:r>
      <w:bookmarkEnd w:id="694"/>
      <w:bookmarkEnd w:id="695"/>
      <w:bookmarkEnd w:id="696"/>
      <w:bookmarkEnd w:id="697"/>
      <w:bookmarkEnd w:id="698"/>
      <w:bookmarkEnd w:id="699"/>
      <w:bookmarkEnd w:id="700"/>
    </w:p>
    <w:p w14:paraId="4E5FFF08">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10.4.1 变更估价原则</w:t>
      </w:r>
    </w:p>
    <w:p w14:paraId="2AB7D523">
      <w:pPr>
        <w:pStyle w:val="63"/>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 xml:space="preserve">关于变更估价的约定: </w:t>
      </w:r>
      <w:r>
        <w:rPr>
          <w:rFonts w:hint="eastAsia" w:ascii="宋体" w:hAnsi="宋体" w:cs="宋体"/>
          <w:bCs/>
          <w:color w:val="auto"/>
          <w:szCs w:val="21"/>
          <w:highlight w:val="none"/>
          <w:u w:val="single"/>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w:t>
      </w:r>
      <w:r>
        <w:rPr>
          <w:rFonts w:hint="eastAsia" w:ascii="宋体" w:hAnsi="宋体" w:cs="宋体"/>
          <w:b/>
          <w:bCs/>
          <w:color w:val="auto"/>
          <w:szCs w:val="21"/>
          <w:highlight w:val="none"/>
          <w:u w:val="single"/>
        </w:rPr>
        <w:t>（下浮系数=中标价÷采购控制价）</w:t>
      </w:r>
      <w:r>
        <w:rPr>
          <w:rFonts w:hint="eastAsia" w:ascii="宋体" w:hAnsi="宋体" w:cs="宋体"/>
          <w:bCs/>
          <w:color w:val="auto"/>
          <w:szCs w:val="21"/>
          <w:highlight w:val="none"/>
          <w:u w:val="single"/>
        </w:rPr>
        <w:t>计算，其中材料价格按《贵港市建设工程造价信息》2025年第05期含税信息价计价，或市场询价取定进行调整；对于国有资产投资的项目，新增项目的单价必须经</w:t>
      </w:r>
      <w:r>
        <w:rPr>
          <w:rFonts w:hint="eastAsia" w:ascii="宋体" w:hAnsi="宋体" w:cs="宋体"/>
          <w:b/>
          <w:bCs/>
          <w:color w:val="auto"/>
          <w:szCs w:val="21"/>
          <w:highlight w:val="none"/>
          <w:u w:val="single"/>
        </w:rPr>
        <w:t>具备工程造价资质的第三方机构</w:t>
      </w:r>
      <w:r>
        <w:rPr>
          <w:rFonts w:hint="eastAsia" w:ascii="宋体" w:hAnsi="宋体" w:cs="宋体"/>
          <w:bCs/>
          <w:color w:val="auto"/>
          <w:szCs w:val="21"/>
          <w:highlight w:val="none"/>
          <w:u w:val="single"/>
        </w:rPr>
        <w:t>审定</w:t>
      </w:r>
      <w:r>
        <w:rPr>
          <w:rFonts w:hint="eastAsia" w:ascii="宋体" w:hAnsi="宋体" w:cs="宋体"/>
          <w:color w:val="auto"/>
          <w:szCs w:val="21"/>
          <w:highlight w:val="none"/>
        </w:rPr>
        <w:t>。</w:t>
      </w:r>
    </w:p>
    <w:p w14:paraId="791727D9">
      <w:pPr>
        <w:pStyle w:val="130"/>
        <w:spacing w:line="420" w:lineRule="exact"/>
        <w:rPr>
          <w:rFonts w:ascii="宋体" w:hAnsi="宋体" w:cs="宋体"/>
          <w:color w:val="auto"/>
          <w:sz w:val="24"/>
          <w:szCs w:val="24"/>
          <w:highlight w:val="none"/>
        </w:rPr>
      </w:pPr>
      <w:bookmarkStart w:id="701" w:name="_Toc5044"/>
      <w:bookmarkStart w:id="702" w:name="_Toc47088345"/>
      <w:bookmarkStart w:id="703" w:name="_Toc497147201"/>
      <w:bookmarkStart w:id="704" w:name="_Toc497215758"/>
      <w:bookmarkStart w:id="705" w:name="_Toc407135246"/>
      <w:bookmarkStart w:id="706" w:name="_Toc75182746"/>
      <w:bookmarkStart w:id="707" w:name="_Toc497901157"/>
      <w:r>
        <w:rPr>
          <w:rFonts w:hint="eastAsia" w:ascii="宋体" w:hAnsi="宋体" w:cs="宋体"/>
          <w:color w:val="auto"/>
          <w:sz w:val="24"/>
          <w:szCs w:val="24"/>
          <w:highlight w:val="none"/>
        </w:rPr>
        <w:t>10.5 承包人的合理化建议</w:t>
      </w:r>
      <w:bookmarkEnd w:id="701"/>
      <w:bookmarkEnd w:id="702"/>
      <w:bookmarkEnd w:id="703"/>
      <w:bookmarkEnd w:id="704"/>
      <w:bookmarkEnd w:id="705"/>
      <w:bookmarkEnd w:id="706"/>
      <w:bookmarkEnd w:id="707"/>
    </w:p>
    <w:p w14:paraId="4607B955">
      <w:pPr>
        <w:pStyle w:val="7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s="宋体"/>
          <w:color w:val="auto"/>
          <w:szCs w:val="21"/>
          <w:highlight w:val="none"/>
          <w:u w:val="single"/>
        </w:rPr>
        <w:t xml:space="preserve">  按通用条款10.5执行  </w:t>
      </w:r>
      <w:r>
        <w:rPr>
          <w:rFonts w:hint="eastAsia" w:ascii="宋体" w:hAnsi="宋体" w:cs="宋体"/>
          <w:color w:val="auto"/>
          <w:szCs w:val="21"/>
          <w:highlight w:val="none"/>
        </w:rPr>
        <w:t>。</w:t>
      </w:r>
    </w:p>
    <w:p w14:paraId="02297FD6">
      <w:pPr>
        <w:pStyle w:val="7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color w:val="auto"/>
          <w:szCs w:val="21"/>
          <w:highlight w:val="none"/>
          <w:u w:val="single"/>
        </w:rPr>
        <w:t xml:space="preserve">   按通用条款10.5执行  </w:t>
      </w:r>
      <w:r>
        <w:rPr>
          <w:rFonts w:hint="eastAsia" w:ascii="宋体" w:hAnsi="宋体" w:cs="宋体"/>
          <w:color w:val="auto"/>
          <w:szCs w:val="21"/>
          <w:highlight w:val="none"/>
        </w:rPr>
        <w:t>。</w:t>
      </w:r>
    </w:p>
    <w:p w14:paraId="4643519B">
      <w:pPr>
        <w:pStyle w:val="63"/>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承包人提出的合理化建议降低了合同价格或者提高了工程经济效益的奖励的方法和金额为：</w:t>
      </w:r>
      <w:r>
        <w:rPr>
          <w:rFonts w:hint="eastAsia" w:ascii="宋体" w:hAnsi="宋体" w:cs="宋体"/>
          <w:color w:val="auto"/>
          <w:szCs w:val="21"/>
          <w:highlight w:val="none"/>
          <w:u w:val="single"/>
        </w:rPr>
        <w:t xml:space="preserve">     按通用条款10.5执行    </w:t>
      </w:r>
      <w:r>
        <w:rPr>
          <w:rFonts w:hint="eastAsia" w:ascii="宋体" w:hAnsi="宋体" w:cs="宋体"/>
          <w:color w:val="auto"/>
          <w:szCs w:val="21"/>
          <w:highlight w:val="none"/>
        </w:rPr>
        <w:t>。</w:t>
      </w:r>
    </w:p>
    <w:p w14:paraId="6E6326CD">
      <w:pPr>
        <w:pStyle w:val="130"/>
        <w:spacing w:line="420" w:lineRule="exact"/>
        <w:rPr>
          <w:rFonts w:ascii="宋体" w:hAnsi="宋体" w:cs="宋体"/>
          <w:color w:val="auto"/>
          <w:sz w:val="24"/>
          <w:szCs w:val="24"/>
          <w:highlight w:val="none"/>
        </w:rPr>
      </w:pPr>
      <w:bookmarkStart w:id="708" w:name="_Toc497215759"/>
      <w:bookmarkStart w:id="709" w:name="_Toc497147202"/>
      <w:bookmarkStart w:id="710" w:name="_Toc497901158"/>
      <w:bookmarkStart w:id="711" w:name="_Toc19406"/>
      <w:bookmarkStart w:id="712" w:name="_Toc75182747"/>
      <w:bookmarkStart w:id="713" w:name="_Toc407135247"/>
      <w:bookmarkStart w:id="714" w:name="_Toc47088346"/>
      <w:r>
        <w:rPr>
          <w:rFonts w:hint="eastAsia" w:ascii="宋体" w:hAnsi="宋体" w:cs="宋体"/>
          <w:color w:val="auto"/>
          <w:sz w:val="24"/>
          <w:szCs w:val="24"/>
          <w:highlight w:val="none"/>
        </w:rPr>
        <w:t>10.7 暂估价</w:t>
      </w:r>
      <w:bookmarkEnd w:id="708"/>
      <w:bookmarkEnd w:id="709"/>
      <w:bookmarkEnd w:id="710"/>
      <w:bookmarkEnd w:id="711"/>
      <w:bookmarkEnd w:id="712"/>
      <w:bookmarkEnd w:id="713"/>
      <w:bookmarkEnd w:id="714"/>
    </w:p>
    <w:p w14:paraId="032EB229">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暂估价材料和工程设备的明细详见已标价工程量清单《</w:t>
      </w:r>
      <w:r>
        <w:rPr>
          <w:rFonts w:hint="eastAsia" w:ascii="宋体" w:hAnsi="宋体" w:cs="宋体"/>
          <w:color w:val="auto"/>
          <w:szCs w:val="21"/>
          <w:highlight w:val="none"/>
        </w:rPr>
        <w:t>材料（工程设备）暂估价格及调整表》</w:t>
      </w:r>
      <w:r>
        <w:rPr>
          <w:rFonts w:hint="eastAsia" w:ascii="宋体" w:hAnsi="宋体" w:cs="宋体"/>
          <w:color w:val="auto"/>
          <w:kern w:val="0"/>
          <w:szCs w:val="21"/>
          <w:highlight w:val="none"/>
        </w:rPr>
        <w:t>（表12-2）和《</w:t>
      </w:r>
      <w:r>
        <w:rPr>
          <w:rFonts w:hint="eastAsia" w:ascii="宋体" w:hAnsi="宋体" w:cs="宋体"/>
          <w:color w:val="auto"/>
          <w:szCs w:val="21"/>
          <w:highlight w:val="none"/>
        </w:rPr>
        <w:t>专业工程暂估价表》（</w:t>
      </w:r>
      <w:r>
        <w:rPr>
          <w:rFonts w:hint="eastAsia" w:ascii="宋体" w:hAnsi="宋体" w:cs="宋体"/>
          <w:color w:val="auto"/>
          <w:kern w:val="0"/>
          <w:szCs w:val="21"/>
          <w:highlight w:val="none"/>
        </w:rPr>
        <w:t>表12-3）。</w:t>
      </w:r>
    </w:p>
    <w:p w14:paraId="3104AE67">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10.7.1 依法必须招标的暂估价项目</w:t>
      </w:r>
    </w:p>
    <w:p w14:paraId="1336708C">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种方式确定。</w:t>
      </w:r>
    </w:p>
    <w:p w14:paraId="5D3D4EC2">
      <w:pPr>
        <w:pStyle w:val="7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第1种方式：对于依法必须进行招标的暂估项目，由承包人招标。</w:t>
      </w:r>
    </w:p>
    <w:p w14:paraId="1A01A004">
      <w:pPr>
        <w:pStyle w:val="7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第2种方式：对于依法必须进行招标的暂估项目，由发包人和承包人共同招标确定暂估价项目供应商或分包商。</w:t>
      </w:r>
    </w:p>
    <w:p w14:paraId="774BCD04">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第3种方式：</w:t>
      </w:r>
      <w:r>
        <w:rPr>
          <w:rFonts w:hint="eastAsia" w:ascii="宋体" w:hAnsi="宋体" w:cs="宋体"/>
          <w:color w:val="auto"/>
          <w:kern w:val="0"/>
          <w:szCs w:val="21"/>
          <w:highlight w:val="none"/>
        </w:rPr>
        <w:t>承包人直接实施的暂估价项目</w:t>
      </w:r>
    </w:p>
    <w:p w14:paraId="55AED7B3">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10.7.2 不属于依法必须招标的暂估价项目</w:t>
      </w:r>
    </w:p>
    <w:p w14:paraId="4CD2DA5E">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 xml:space="preserve"> 种方式确定。</w:t>
      </w:r>
    </w:p>
    <w:p w14:paraId="7FE5FAC3">
      <w:pPr>
        <w:pStyle w:val="63"/>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第3种方式：</w:t>
      </w:r>
      <w:r>
        <w:rPr>
          <w:rFonts w:hint="eastAsia" w:ascii="宋体" w:hAnsi="宋体" w:cs="宋体"/>
          <w:color w:val="auto"/>
          <w:kern w:val="0"/>
          <w:szCs w:val="21"/>
          <w:highlight w:val="none"/>
        </w:rPr>
        <w:t>承包人直接实施的暂估价项目</w:t>
      </w:r>
    </w:p>
    <w:p w14:paraId="2A1BFC7C">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4DF4E9A7">
      <w:pPr>
        <w:pStyle w:val="130"/>
        <w:spacing w:line="420" w:lineRule="exact"/>
        <w:rPr>
          <w:rFonts w:ascii="宋体" w:hAnsi="宋体" w:cs="宋体"/>
          <w:color w:val="auto"/>
          <w:sz w:val="24"/>
          <w:szCs w:val="24"/>
          <w:highlight w:val="none"/>
        </w:rPr>
      </w:pPr>
      <w:bookmarkStart w:id="715" w:name="_Toc497147203"/>
      <w:bookmarkStart w:id="716" w:name="_Toc407135248"/>
      <w:bookmarkStart w:id="717" w:name="_Toc7405"/>
      <w:bookmarkStart w:id="718" w:name="_Toc497215760"/>
      <w:bookmarkStart w:id="719" w:name="_Toc47088347"/>
      <w:bookmarkStart w:id="720" w:name="_Toc75182748"/>
      <w:bookmarkStart w:id="721" w:name="_Toc497901159"/>
      <w:r>
        <w:rPr>
          <w:rFonts w:hint="eastAsia" w:ascii="宋体" w:hAnsi="宋体" w:cs="宋体"/>
          <w:color w:val="auto"/>
          <w:sz w:val="24"/>
          <w:szCs w:val="24"/>
          <w:highlight w:val="none"/>
        </w:rPr>
        <w:t>10.8 暂列金额</w:t>
      </w:r>
      <w:bookmarkEnd w:id="715"/>
      <w:bookmarkEnd w:id="716"/>
      <w:bookmarkEnd w:id="717"/>
      <w:bookmarkEnd w:id="718"/>
      <w:bookmarkEnd w:id="719"/>
      <w:bookmarkEnd w:id="720"/>
      <w:bookmarkEnd w:id="721"/>
    </w:p>
    <w:p w14:paraId="0EF6D7A9">
      <w:pPr>
        <w:pStyle w:val="63"/>
        <w:autoSpaceDE w:val="0"/>
        <w:autoSpaceDN w:val="0"/>
        <w:adjustRightIn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合同当事人关于暂列金额使用的约定：</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14:paraId="65F9D108">
      <w:pPr>
        <w:pStyle w:val="130"/>
        <w:spacing w:line="420" w:lineRule="exact"/>
        <w:rPr>
          <w:rFonts w:ascii="宋体" w:hAnsi="宋体" w:cs="宋体"/>
          <w:color w:val="auto"/>
          <w:sz w:val="24"/>
          <w:szCs w:val="24"/>
          <w:highlight w:val="none"/>
        </w:rPr>
      </w:pPr>
      <w:bookmarkStart w:id="722" w:name="_Toc75182749"/>
      <w:bookmarkStart w:id="723" w:name="_Toc47088348"/>
      <w:bookmarkStart w:id="724" w:name="_Toc3901"/>
      <w:bookmarkStart w:id="725" w:name="_Toc497901160"/>
      <w:bookmarkStart w:id="726" w:name="_Toc497147204"/>
      <w:bookmarkStart w:id="727" w:name="_Toc407135249"/>
      <w:bookmarkStart w:id="728" w:name="_Toc497215761"/>
      <w:r>
        <w:rPr>
          <w:rFonts w:hint="eastAsia" w:ascii="宋体" w:hAnsi="宋体" w:cs="宋体"/>
          <w:color w:val="auto"/>
          <w:sz w:val="24"/>
          <w:szCs w:val="24"/>
          <w:highlight w:val="none"/>
        </w:rPr>
        <w:t>1</w:t>
      </w:r>
      <w:r>
        <w:rPr>
          <w:rFonts w:ascii="宋体" w:hAnsi="宋体" w:cs="宋体"/>
          <w:color w:val="auto"/>
          <w:sz w:val="24"/>
          <w:szCs w:val="24"/>
          <w:highlight w:val="none"/>
        </w:rPr>
        <w:t>1.</w:t>
      </w:r>
      <w:r>
        <w:rPr>
          <w:rFonts w:hint="eastAsia" w:ascii="宋体" w:hAnsi="宋体" w:cs="宋体"/>
          <w:color w:val="auto"/>
          <w:sz w:val="24"/>
          <w:szCs w:val="24"/>
          <w:highlight w:val="none"/>
        </w:rPr>
        <w:t>价格调整</w:t>
      </w:r>
      <w:bookmarkEnd w:id="722"/>
      <w:bookmarkEnd w:id="723"/>
      <w:bookmarkEnd w:id="724"/>
      <w:bookmarkEnd w:id="725"/>
      <w:bookmarkEnd w:id="726"/>
      <w:bookmarkEnd w:id="727"/>
      <w:bookmarkEnd w:id="728"/>
    </w:p>
    <w:p w14:paraId="7FB1D93F">
      <w:pPr>
        <w:pStyle w:val="63"/>
        <w:autoSpaceDE w:val="0"/>
        <w:autoSpaceDN w:val="0"/>
        <w:adjustRightInd w:val="0"/>
        <w:spacing w:line="360" w:lineRule="auto"/>
        <w:ind w:firstLine="420" w:firstLineChars="200"/>
        <w:jc w:val="left"/>
        <w:rPr>
          <w:rFonts w:hint="eastAsia" w:ascii="宋体" w:hAnsi="宋体" w:cs="宋体"/>
          <w:color w:val="auto"/>
          <w:kern w:val="0"/>
          <w:szCs w:val="21"/>
          <w:highlight w:val="none"/>
          <w:lang w:eastAsia="zh-CN"/>
        </w:rPr>
      </w:pPr>
      <w:bookmarkStart w:id="729" w:name="_Toc407135250"/>
      <w:bookmarkStart w:id="730" w:name="_Toc75182750"/>
      <w:bookmarkStart w:id="731" w:name="_Toc497215762"/>
      <w:bookmarkStart w:id="732" w:name="_Toc497901161"/>
      <w:bookmarkStart w:id="733" w:name="_Toc47088349"/>
      <w:bookmarkStart w:id="734" w:name="_Toc497147205"/>
      <w:r>
        <w:rPr>
          <w:rFonts w:hint="eastAsia" w:ascii="宋体" w:hAnsi="宋体" w:cs="宋体"/>
          <w:color w:val="auto"/>
          <w:kern w:val="0"/>
          <w:szCs w:val="21"/>
          <w:highlight w:val="none"/>
          <w:lang w:eastAsia="zh-CN"/>
        </w:rPr>
        <w:t>不允许调整。</w:t>
      </w:r>
    </w:p>
    <w:p w14:paraId="1280A119">
      <w:pPr>
        <w:pStyle w:val="130"/>
        <w:spacing w:line="420" w:lineRule="exact"/>
        <w:rPr>
          <w:rFonts w:ascii="宋体" w:hAnsi="宋体" w:cs="宋体"/>
          <w:color w:val="auto"/>
          <w:sz w:val="24"/>
          <w:szCs w:val="24"/>
          <w:highlight w:val="none"/>
        </w:rPr>
      </w:pPr>
      <w:bookmarkStart w:id="735" w:name="_Toc20855"/>
      <w:r>
        <w:rPr>
          <w:rFonts w:hint="eastAsia" w:ascii="宋体" w:hAnsi="宋体" w:cs="宋体"/>
          <w:color w:val="auto"/>
          <w:sz w:val="24"/>
          <w:szCs w:val="24"/>
          <w:highlight w:val="none"/>
        </w:rPr>
        <w:t>11.1 市场价格波动引起的调整</w:t>
      </w:r>
      <w:bookmarkEnd w:id="729"/>
      <w:bookmarkEnd w:id="730"/>
      <w:bookmarkEnd w:id="731"/>
      <w:bookmarkEnd w:id="732"/>
      <w:bookmarkEnd w:id="733"/>
      <w:bookmarkEnd w:id="734"/>
      <w:bookmarkEnd w:id="735"/>
    </w:p>
    <w:p w14:paraId="1C975381">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Cs w:val="21"/>
          <w:highlight w:val="none"/>
          <w:u w:val="single"/>
        </w:rPr>
      </w:pPr>
      <w:bookmarkStart w:id="736" w:name="_Toc407135251"/>
      <w:bookmarkStart w:id="737" w:name="_Toc75182751"/>
      <w:bookmarkStart w:id="738" w:name="_Toc497901162"/>
      <w:bookmarkStart w:id="739" w:name="_Toc497215763"/>
      <w:bookmarkStart w:id="740" w:name="_Toc497147206"/>
      <w:bookmarkStart w:id="741" w:name="_Toc8378"/>
      <w:bookmarkStart w:id="742" w:name="_Toc47088350"/>
      <w:r>
        <w:rPr>
          <w:rFonts w:hint="eastAsia" w:ascii="宋体" w:hAnsi="宋体" w:cs="宋体"/>
          <w:color w:val="auto"/>
          <w:szCs w:val="21"/>
          <w:highlight w:val="none"/>
          <w:u w:val="single"/>
        </w:rPr>
        <w:t>市场价格波动是否调整合同价格的约定：  不调整  。</w:t>
      </w:r>
    </w:p>
    <w:p w14:paraId="3A27F337">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因市场价格波动调整合同价格，采用以下第</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种方式对合同价格进行调整：</w:t>
      </w:r>
    </w:p>
    <w:p w14:paraId="28B71F13">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第1种方式：采用价格指数进行价格调整。</w:t>
      </w:r>
    </w:p>
    <w:p w14:paraId="68F12AA2">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关于各可调因子、定值和变值权重，以及基本价格指数及其来源的约定：  无  ；  </w:t>
      </w:r>
    </w:p>
    <w:p w14:paraId="5A870311">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第2种方式：采用造价信息进行价格调整。</w:t>
      </w:r>
    </w:p>
    <w:p w14:paraId="31C6B098">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（1）允许调整的主要材料（设备）、基期价格、风险系数、投标报价：风险系数为±5%，具体详见《人工、主要材料、施工机械台班数量汇总表》。 </w:t>
      </w:r>
    </w:p>
    <w:p w14:paraId="6925875F">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（2）主要材料确认价： </w:t>
      </w:r>
    </w:p>
    <w:p w14:paraId="00617CBE">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按施工期间《贵港市建设工程造价信息》加权平均计算，信息价没有的按通用条款规定确定。 </w:t>
      </w:r>
    </w:p>
    <w:p w14:paraId="250A9F68">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（3）价差计算方法： </w:t>
      </w:r>
    </w:p>
    <w:p w14:paraId="4F7FF4E5">
      <w:pPr>
        <w:keepNext w:val="0"/>
        <w:keepLines w:val="0"/>
        <w:pageBreakBefore w:val="0"/>
        <w:widowControl w:val="0"/>
        <w:shd w:val="clear" w:color="auto" w:fill="auto"/>
        <w:kinsoku/>
        <w:wordWrap/>
        <w:overflowPunct/>
        <w:topLinePunct w:val="0"/>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①《人工、主要材料、施工机械台班数量汇总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26BAB673">
      <w:pPr>
        <w:keepNext w:val="0"/>
        <w:keepLines w:val="0"/>
        <w:pageBreakBefore w:val="0"/>
        <w:widowControl w:val="0"/>
        <w:shd w:val="clear" w:color="auto" w:fill="auto"/>
        <w:kinsoku/>
        <w:wordWrap/>
        <w:overflowPunct/>
        <w:topLinePunct w:val="0"/>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②承包人在《人工、主要材料、施工机械台班数量汇总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63CD8AFC">
      <w:pPr>
        <w:keepNext w:val="0"/>
        <w:keepLines w:val="0"/>
        <w:pageBreakBefore w:val="0"/>
        <w:widowControl w:val="0"/>
        <w:shd w:val="clear" w:color="auto" w:fill="auto"/>
        <w:kinsoku/>
        <w:wordWrap/>
        <w:overflowPunct/>
        <w:topLinePunct w:val="0"/>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③承包人在《人工、主要材料、施工机械台班数量汇总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4F4B97C7">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第3种方式：其他价格调整方式：  无  。</w:t>
      </w:r>
    </w:p>
    <w:p w14:paraId="72391C31">
      <w:pPr>
        <w:pStyle w:val="130"/>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12. 合同价格、计量与支付</w:t>
      </w:r>
      <w:bookmarkEnd w:id="736"/>
      <w:bookmarkEnd w:id="737"/>
      <w:bookmarkEnd w:id="738"/>
      <w:bookmarkEnd w:id="739"/>
      <w:bookmarkEnd w:id="740"/>
      <w:bookmarkEnd w:id="741"/>
      <w:bookmarkEnd w:id="742"/>
    </w:p>
    <w:p w14:paraId="47602F3A">
      <w:pPr>
        <w:pStyle w:val="130"/>
        <w:spacing w:line="420" w:lineRule="exact"/>
        <w:rPr>
          <w:rFonts w:ascii="宋体" w:hAnsi="宋体" w:cs="宋体"/>
          <w:color w:val="auto"/>
          <w:sz w:val="24"/>
          <w:szCs w:val="24"/>
          <w:highlight w:val="none"/>
        </w:rPr>
      </w:pPr>
      <w:bookmarkStart w:id="743" w:name="_Toc497901163"/>
      <w:bookmarkStart w:id="744" w:name="_Toc407135252"/>
      <w:bookmarkStart w:id="745" w:name="_Toc75182752"/>
      <w:bookmarkStart w:id="746" w:name="_Toc497215764"/>
      <w:bookmarkStart w:id="747" w:name="_Toc47088351"/>
      <w:bookmarkStart w:id="748" w:name="_Toc3271"/>
      <w:bookmarkStart w:id="749" w:name="_Toc497147207"/>
      <w:r>
        <w:rPr>
          <w:rFonts w:hint="eastAsia" w:ascii="宋体" w:hAnsi="宋体" w:cs="宋体"/>
          <w:color w:val="auto"/>
          <w:sz w:val="24"/>
          <w:szCs w:val="24"/>
          <w:highlight w:val="none"/>
        </w:rPr>
        <w:t>12.1 合同价格形式</w:t>
      </w:r>
      <w:bookmarkEnd w:id="743"/>
      <w:bookmarkEnd w:id="744"/>
      <w:bookmarkEnd w:id="745"/>
      <w:bookmarkEnd w:id="746"/>
      <w:bookmarkEnd w:id="747"/>
      <w:bookmarkEnd w:id="748"/>
      <w:bookmarkEnd w:id="749"/>
    </w:p>
    <w:p w14:paraId="6849AEF7">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本工程采用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固定综合单价合同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合同价格形式。</w:t>
      </w:r>
    </w:p>
    <w:p w14:paraId="25CF2ED7">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（1）单价合同。</w:t>
      </w:r>
    </w:p>
    <w:p w14:paraId="25DC3C12">
      <w:pPr>
        <w:pStyle w:val="63"/>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本合同价款采用固定综合单价方式确定</w:t>
      </w:r>
      <w:r>
        <w:rPr>
          <w:rFonts w:hint="eastAsia" w:ascii="宋体" w:hAnsi="宋体" w:cs="宋体"/>
          <w:color w:val="auto"/>
          <w:szCs w:val="21"/>
          <w:highlight w:val="none"/>
          <w:lang w:val="en-US" w:eastAsia="zh-CN"/>
        </w:rPr>
        <w:t>。</w:t>
      </w:r>
    </w:p>
    <w:p w14:paraId="70E0F5DA">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ascii="宋体" w:hAnsi="宋体" w:cs="宋体"/>
          <w:color w:val="auto"/>
          <w:szCs w:val="21"/>
          <w:highlight w:val="none"/>
          <w:u w:val="single"/>
        </w:rPr>
        <w:t xml:space="preserve"> 除工程变更、项目特征不符、政策性调整、《承包人提供主要材料和设备一览表》约定的材料、设备价格变动风险以外因素</w:t>
      </w:r>
      <w:r>
        <w:rPr>
          <w:rFonts w:hint="eastAsia" w:ascii="宋体" w:hAnsi="宋体" w:cs="宋体"/>
          <w:color w:val="auto"/>
          <w:szCs w:val="21"/>
          <w:highlight w:val="none"/>
          <w:u w:val="none"/>
          <w:lang w:val="en-US" w:eastAsia="zh-CN"/>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14:paraId="0676B7C4">
      <w:pPr>
        <w:pStyle w:val="146"/>
        <w:spacing w:line="360" w:lineRule="auto"/>
        <w:ind w:firstLine="441" w:firstLineChars="210"/>
        <w:rPr>
          <w:rFonts w:hAnsi="宋体" w:cs="宋体"/>
          <w:color w:val="auto"/>
          <w:szCs w:val="21"/>
          <w:highlight w:val="none"/>
        </w:rPr>
      </w:pPr>
      <w:r>
        <w:rPr>
          <w:rFonts w:hint="eastAsia" w:hAnsi="宋体" w:cs="宋体"/>
          <w:color w:val="auto"/>
          <w:szCs w:val="21"/>
          <w:highlight w:val="none"/>
        </w:rPr>
        <w:t>风险范围以外合同价格的调整方法：</w:t>
      </w:r>
    </w:p>
    <w:p w14:paraId="0D90B0C7">
      <w:pPr>
        <w:pStyle w:val="146"/>
        <w:spacing w:line="360" w:lineRule="auto"/>
        <w:ind w:firstLine="441" w:firstLineChars="210"/>
        <w:rPr>
          <w:rFonts w:hAnsi="宋体" w:cs="宋体"/>
          <w:color w:val="auto"/>
          <w:szCs w:val="21"/>
          <w:highlight w:val="none"/>
        </w:rPr>
      </w:pPr>
      <w:r>
        <w:rPr>
          <w:rFonts w:hint="eastAsia" w:hAnsi="宋体" w:cs="宋体"/>
          <w:color w:val="auto"/>
          <w:szCs w:val="21"/>
          <w:highlight w:val="none"/>
        </w:rPr>
        <w:t>①工程变更：按10.4.1变更估价原则的约定调整。</w:t>
      </w:r>
    </w:p>
    <w:p w14:paraId="0A6C176A">
      <w:pPr>
        <w:pStyle w:val="146"/>
        <w:spacing w:line="360" w:lineRule="auto"/>
        <w:ind w:firstLine="441" w:firstLineChars="210"/>
        <w:rPr>
          <w:rFonts w:hAnsi="宋体" w:cs="宋体"/>
          <w:color w:val="auto"/>
          <w:szCs w:val="21"/>
          <w:highlight w:val="none"/>
        </w:rPr>
      </w:pPr>
      <w:r>
        <w:rPr>
          <w:rFonts w:hint="eastAsia" w:hAnsi="宋体" w:cs="宋体"/>
          <w:color w:val="auto"/>
          <w:szCs w:val="21"/>
          <w:highlight w:val="none"/>
        </w:rPr>
        <w:t>②政策性调整：按自治区建设行政主管部门颁布的文件执行。</w:t>
      </w:r>
    </w:p>
    <w:p w14:paraId="6B786D35">
      <w:pPr>
        <w:pStyle w:val="146"/>
        <w:spacing w:line="360" w:lineRule="auto"/>
        <w:ind w:firstLine="441" w:firstLineChars="210"/>
        <w:rPr>
          <w:rFonts w:hAnsi="宋体" w:cs="宋体"/>
          <w:color w:val="auto"/>
          <w:szCs w:val="21"/>
          <w:highlight w:val="none"/>
        </w:rPr>
      </w:pPr>
      <w:r>
        <w:rPr>
          <w:rFonts w:hint="eastAsia" w:hAnsi="宋体" w:cs="宋体"/>
          <w:color w:val="auto"/>
          <w:szCs w:val="21"/>
          <w:highlight w:val="none"/>
        </w:rPr>
        <w:t>③材料价格风险：按11.1的约定调整。</w:t>
      </w:r>
    </w:p>
    <w:p w14:paraId="7203D478">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④其它：</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36565D8">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w:t>
      </w:r>
    </w:p>
    <w:p w14:paraId="3BD5FCB3">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CD1E1D4">
      <w:pPr>
        <w:pStyle w:val="63"/>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风险范围以外合同价格的调整方法：</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9313015">
      <w:pPr>
        <w:pStyle w:val="63"/>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（3）其他价格方式：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3A4E925">
      <w:pPr>
        <w:pStyle w:val="130"/>
        <w:spacing w:line="420" w:lineRule="exact"/>
        <w:rPr>
          <w:rFonts w:ascii="宋体" w:hAnsi="宋体" w:cs="宋体"/>
          <w:color w:val="auto"/>
          <w:sz w:val="24"/>
          <w:szCs w:val="24"/>
          <w:highlight w:val="none"/>
        </w:rPr>
      </w:pPr>
      <w:bookmarkStart w:id="750" w:name="_Toc10253"/>
      <w:bookmarkStart w:id="751" w:name="_Toc497147208"/>
      <w:bookmarkStart w:id="752" w:name="_Toc497901164"/>
      <w:bookmarkStart w:id="753" w:name="_Toc75182753"/>
      <w:bookmarkStart w:id="754" w:name="_Toc47088352"/>
      <w:bookmarkStart w:id="755" w:name="_Toc407135253"/>
      <w:bookmarkStart w:id="756" w:name="_Toc497215765"/>
      <w:r>
        <w:rPr>
          <w:rFonts w:hint="eastAsia" w:ascii="宋体" w:hAnsi="宋体" w:cs="宋体"/>
          <w:color w:val="auto"/>
          <w:sz w:val="24"/>
          <w:szCs w:val="24"/>
          <w:highlight w:val="none"/>
        </w:rPr>
        <w:t>12.2 预付款</w:t>
      </w:r>
      <w:bookmarkEnd w:id="750"/>
      <w:bookmarkEnd w:id="751"/>
      <w:bookmarkEnd w:id="752"/>
      <w:bookmarkEnd w:id="753"/>
      <w:bookmarkEnd w:id="754"/>
      <w:bookmarkEnd w:id="755"/>
      <w:bookmarkEnd w:id="756"/>
    </w:p>
    <w:p w14:paraId="2658D60F">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12.2.1 预付款的支付</w:t>
      </w:r>
    </w:p>
    <w:p w14:paraId="2CF626B6">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s="宋体"/>
          <w:color w:val="auto"/>
          <w:szCs w:val="21"/>
          <w:highlight w:val="none"/>
          <w:u w:val="single"/>
          <w:lang w:val="en-US" w:eastAsia="zh-CN"/>
        </w:rPr>
        <w:t>中标</w:t>
      </w:r>
      <w:r>
        <w:rPr>
          <w:rFonts w:hint="eastAsia" w:ascii="宋体" w:hAnsi="宋体" w:cs="宋体"/>
          <w:color w:val="auto"/>
          <w:szCs w:val="21"/>
          <w:highlight w:val="none"/>
          <w:u w:val="single"/>
        </w:rPr>
        <w:t>合同价款</w:t>
      </w:r>
      <w:r>
        <w:rPr>
          <w:rFonts w:hint="eastAsia" w:ascii="宋体" w:hAnsi="宋体" w:cs="宋体"/>
          <w:color w:val="auto"/>
          <w:szCs w:val="21"/>
          <w:highlight w:val="none"/>
          <w:u w:val="single"/>
          <w:lang w:val="en-US" w:eastAsia="zh-CN"/>
        </w:rPr>
        <w:t>的30</w:t>
      </w:r>
      <w:r>
        <w:rPr>
          <w:color w:val="auto"/>
          <w:highlight w:val="none"/>
          <w:u w:val="single"/>
        </w:rPr>
        <w:t xml:space="preserve"> </w:t>
      </w:r>
      <w:r>
        <w:rPr>
          <w:rFonts w:ascii="宋体" w:hAnsi="宋体" w:cs="宋体"/>
          <w:color w:val="auto"/>
          <w:szCs w:val="21"/>
          <w:highlight w:val="none"/>
          <w:u w:val="single"/>
        </w:rPr>
        <w:t>%</w:t>
      </w:r>
      <w:r>
        <w:rPr>
          <w:rFonts w:hint="eastAsia" w:ascii="宋体" w:hAnsi="宋体" w:cs="宋体"/>
          <w:color w:val="auto"/>
          <w:szCs w:val="21"/>
          <w:highlight w:val="none"/>
        </w:rPr>
        <w:t>。</w:t>
      </w:r>
    </w:p>
    <w:p w14:paraId="153868D6">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预付款支付期限：</w:t>
      </w:r>
      <w:r>
        <w:rPr>
          <w:rFonts w:hint="eastAsia" w:ascii="宋体" w:hAnsi="宋体" w:cs="宋体"/>
          <w:b/>
          <w:bCs/>
          <w:color w:val="auto"/>
          <w:szCs w:val="21"/>
          <w:highlight w:val="none"/>
          <w:u w:val="single"/>
          <w:lang w:val="en-US" w:eastAsia="zh-CN"/>
        </w:rPr>
        <w:t>/</w:t>
      </w:r>
      <w:r>
        <w:rPr>
          <w:rFonts w:hint="eastAsia" w:ascii="宋体" w:hAnsi="宋体" w:cs="宋体"/>
          <w:color w:val="auto"/>
          <w:szCs w:val="21"/>
          <w:highlight w:val="none"/>
        </w:rPr>
        <w:t>。</w:t>
      </w:r>
    </w:p>
    <w:p w14:paraId="0684CB4A">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w:t>
      </w:r>
    </w:p>
    <w:p w14:paraId="1639978A">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12.2.2 预付款担保</w:t>
      </w:r>
    </w:p>
    <w:p w14:paraId="2D14A5DA">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p w14:paraId="3ADA2F46">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40B946D">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12.2.2 预付款担保</w:t>
      </w:r>
    </w:p>
    <w:p w14:paraId="51ABFC3C">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 xml:space="preserve"> 付款时间应在合同协议书签订后，由承包人向发包人提交了发包人认可的等额工程预付款担保，并经监理人出具付款证书报送发包人批准后14天内予以支付</w:t>
      </w:r>
      <w:r>
        <w:rPr>
          <w:rFonts w:hint="eastAsia" w:ascii="宋体" w:hAnsi="宋体" w:cs="宋体"/>
          <w:color w:val="auto"/>
          <w:szCs w:val="21"/>
          <w:highlight w:val="none"/>
        </w:rPr>
        <w:t>。</w:t>
      </w:r>
    </w:p>
    <w:p w14:paraId="14C78664">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预付款担保可采用银行保函、担保公司担保、工程担保保函等形式  </w:t>
      </w:r>
      <w:r>
        <w:rPr>
          <w:rFonts w:hint="eastAsia" w:ascii="宋体" w:hAnsi="宋体" w:cs="宋体"/>
          <w:color w:val="auto"/>
          <w:szCs w:val="21"/>
          <w:highlight w:val="none"/>
        </w:rPr>
        <w:t>。</w:t>
      </w:r>
    </w:p>
    <w:p w14:paraId="35B17BB7">
      <w:pPr>
        <w:pStyle w:val="130"/>
        <w:spacing w:line="420" w:lineRule="exact"/>
        <w:rPr>
          <w:rFonts w:ascii="宋体" w:hAnsi="宋体" w:cs="宋体"/>
          <w:color w:val="auto"/>
          <w:sz w:val="24"/>
          <w:szCs w:val="24"/>
          <w:highlight w:val="none"/>
        </w:rPr>
      </w:pPr>
      <w:bookmarkStart w:id="757" w:name="_Toc12583"/>
      <w:bookmarkStart w:id="758" w:name="_Toc497147209"/>
      <w:bookmarkStart w:id="759" w:name="_Toc47088353"/>
      <w:bookmarkStart w:id="760" w:name="_Toc497901165"/>
      <w:bookmarkStart w:id="761" w:name="_Toc497215766"/>
      <w:bookmarkStart w:id="762" w:name="_Toc75182754"/>
      <w:bookmarkStart w:id="763" w:name="_Toc407135254"/>
      <w:r>
        <w:rPr>
          <w:rFonts w:hint="eastAsia" w:ascii="宋体" w:hAnsi="宋体" w:cs="宋体"/>
          <w:color w:val="auto"/>
          <w:sz w:val="24"/>
          <w:szCs w:val="24"/>
          <w:highlight w:val="none"/>
        </w:rPr>
        <w:t>12.3 计量</w:t>
      </w:r>
      <w:bookmarkEnd w:id="757"/>
      <w:bookmarkEnd w:id="758"/>
      <w:bookmarkEnd w:id="759"/>
      <w:bookmarkEnd w:id="760"/>
      <w:bookmarkEnd w:id="761"/>
      <w:bookmarkEnd w:id="762"/>
      <w:bookmarkEnd w:id="763"/>
    </w:p>
    <w:p w14:paraId="4F31808B">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12.3.1 计量原则</w:t>
      </w:r>
    </w:p>
    <w:p w14:paraId="171C2A7D">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37BE943D">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12.3.2 计量周期</w:t>
      </w:r>
    </w:p>
    <w:p w14:paraId="14067BD2">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color w:val="auto"/>
          <w:szCs w:val="21"/>
          <w:highlight w:val="none"/>
          <w:u w:val="single"/>
        </w:rPr>
        <w:t>每月25日前</w:t>
      </w:r>
      <w:r>
        <w:rPr>
          <w:rFonts w:hint="eastAsia" w:ascii="宋体" w:hAnsi="宋体" w:cs="宋体"/>
          <w:color w:val="auto"/>
          <w:szCs w:val="21"/>
          <w:highlight w:val="none"/>
        </w:rPr>
        <w:t>。</w:t>
      </w:r>
    </w:p>
    <w:p w14:paraId="27004E30">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12.3.3 单价合同的计量</w:t>
      </w:r>
    </w:p>
    <w:p w14:paraId="49F28FE7">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关于单价合同计量的约定：</w:t>
      </w:r>
    </w:p>
    <w:p w14:paraId="1792C914">
      <w:pPr>
        <w:pStyle w:val="63"/>
        <w:spacing w:line="360" w:lineRule="auto"/>
        <w:ind w:firstLine="441" w:firstLineChars="210"/>
        <w:rPr>
          <w:rFonts w:ascii="宋体" w:hAnsi="宋体" w:cs="宋体"/>
          <w:color w:val="auto"/>
          <w:szCs w:val="21"/>
          <w:highlight w:val="none"/>
        </w:rPr>
      </w:pPr>
      <w:r>
        <w:rPr>
          <w:rFonts w:hint="eastAsia" w:ascii="宋体" w:hAnsi="宋体" w:cs="宋体"/>
          <w:color w:val="auto"/>
          <w:szCs w:val="21"/>
          <w:highlight w:val="none"/>
        </w:rPr>
        <w:t>(1) 工程量清单所列的工程量，不能作为承包人按合同履行其责任依据，实际施工中发生的工程量增加或减少并不影响承包人履行合同的责任，工程结算以完成的实际工程量为准。</w:t>
      </w:r>
    </w:p>
    <w:p w14:paraId="4BC08D23">
      <w:pPr>
        <w:pStyle w:val="63"/>
        <w:spacing w:line="360" w:lineRule="auto"/>
        <w:ind w:firstLine="441" w:firstLineChars="210"/>
        <w:rPr>
          <w:rFonts w:ascii="宋体" w:hAnsi="宋体" w:cs="宋体"/>
          <w:color w:val="auto"/>
          <w:szCs w:val="21"/>
          <w:highlight w:val="none"/>
        </w:rPr>
      </w:pPr>
      <w:r>
        <w:rPr>
          <w:rFonts w:hint="eastAsia" w:ascii="宋体" w:hAnsi="宋体" w:cs="宋体"/>
          <w:color w:val="auto"/>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5FF05E8E">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12.3.4 总价合同的计量</w:t>
      </w:r>
    </w:p>
    <w:p w14:paraId="4AFEEFF3">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关于总价合同计量的约定：除工程变更外，原图纸范围内的工程量不得按实计量。进度款按支付分解表支付，按通用条款第</w:t>
      </w:r>
      <w:r>
        <w:rPr>
          <w:rFonts w:hint="eastAsia" w:ascii="宋体" w:hAnsi="宋体" w:cs="宋体"/>
          <w:color w:val="auto"/>
          <w:kern w:val="0"/>
          <w:szCs w:val="21"/>
          <w:highlight w:val="none"/>
        </w:rPr>
        <w:t>12.3.4</w:t>
      </w:r>
      <w:r>
        <w:rPr>
          <w:rFonts w:hint="eastAsia" w:ascii="宋体" w:hAnsi="宋体" w:cs="宋体"/>
          <w:color w:val="auto"/>
          <w:szCs w:val="21"/>
          <w:highlight w:val="none"/>
        </w:rPr>
        <w:t>项</w:t>
      </w:r>
      <w:r>
        <w:rPr>
          <w:rFonts w:hint="eastAsia" w:ascii="宋体" w:hAnsi="宋体" w:cs="宋体"/>
          <w:color w:val="auto"/>
          <w:kern w:val="0"/>
          <w:szCs w:val="21"/>
          <w:highlight w:val="none"/>
        </w:rPr>
        <w:t>〔总价合同的计量〕</w:t>
      </w:r>
      <w:r>
        <w:rPr>
          <w:rFonts w:hint="eastAsia" w:ascii="宋体" w:hAnsi="宋体" w:cs="宋体"/>
          <w:color w:val="auto"/>
          <w:szCs w:val="21"/>
          <w:highlight w:val="none"/>
        </w:rPr>
        <w:t>约定进行计量，但</w:t>
      </w:r>
      <w:r>
        <w:rPr>
          <w:rFonts w:hint="eastAsia" w:ascii="宋体" w:hAnsi="宋体" w:cs="宋体"/>
          <w:color w:val="auto"/>
          <w:kern w:val="0"/>
          <w:szCs w:val="21"/>
          <w:highlight w:val="none"/>
        </w:rPr>
        <w:t>合同价款按照支付分解表进行支付。</w:t>
      </w:r>
    </w:p>
    <w:p w14:paraId="67A62DEF">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12.3.6 其他价格形式合同的计量</w:t>
      </w:r>
    </w:p>
    <w:p w14:paraId="2EE82B31">
      <w:pPr>
        <w:pStyle w:val="63"/>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其他价格形式的计量方式和程序：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3B0EA593">
      <w:pPr>
        <w:pStyle w:val="130"/>
        <w:spacing w:line="420" w:lineRule="exact"/>
        <w:rPr>
          <w:rFonts w:ascii="宋体" w:hAnsi="宋体" w:cs="宋体"/>
          <w:color w:val="auto"/>
          <w:sz w:val="24"/>
          <w:szCs w:val="24"/>
          <w:highlight w:val="none"/>
        </w:rPr>
      </w:pPr>
      <w:bookmarkStart w:id="764" w:name="_Toc497215767"/>
      <w:bookmarkStart w:id="765" w:name="_Toc497147210"/>
      <w:bookmarkStart w:id="766" w:name="_Toc497901166"/>
      <w:bookmarkStart w:id="767" w:name="_Toc75182755"/>
      <w:bookmarkStart w:id="768" w:name="_Toc407135255"/>
      <w:bookmarkStart w:id="769" w:name="_Toc47088354"/>
      <w:bookmarkStart w:id="770" w:name="_Toc22923"/>
      <w:r>
        <w:rPr>
          <w:rFonts w:hint="eastAsia" w:ascii="宋体" w:hAnsi="宋体" w:cs="宋体"/>
          <w:color w:val="auto"/>
          <w:sz w:val="24"/>
          <w:szCs w:val="24"/>
          <w:highlight w:val="none"/>
        </w:rPr>
        <w:t>12.4 工程进度款支付</w:t>
      </w:r>
      <w:bookmarkEnd w:id="764"/>
      <w:bookmarkEnd w:id="765"/>
      <w:bookmarkEnd w:id="766"/>
      <w:bookmarkEnd w:id="767"/>
      <w:bookmarkEnd w:id="768"/>
      <w:bookmarkEnd w:id="769"/>
      <w:bookmarkEnd w:id="770"/>
    </w:p>
    <w:p w14:paraId="0067374A">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12.4.1 付款周期</w:t>
      </w:r>
    </w:p>
    <w:p w14:paraId="4AA62DC3">
      <w:pPr>
        <w:pStyle w:val="63"/>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rPr>
        <w:t>（1）在施工合同签订后，项目建设单位向施工单位支付合同价款的30%预付款。(2)完成项目工程量达到80%，支付至合同价款的60%。（3）完成项目工程量达到100%，支付至合同价款的80%。(4)工程完工验收达到质量要求，结算经财政或审计部门审定后，工程款支付至结算总价的</w:t>
      </w:r>
      <w:r>
        <w:rPr>
          <w:rFonts w:hint="eastAsia" w:ascii="宋体" w:hAnsi="宋体" w:cs="宋体"/>
          <w:color w:val="auto"/>
          <w:szCs w:val="21"/>
          <w:highlight w:val="none"/>
          <w:u w:val="none"/>
          <w:lang w:val="en-US" w:eastAsia="zh-CN"/>
        </w:rPr>
        <w:t>97</w:t>
      </w:r>
      <w:r>
        <w:rPr>
          <w:rFonts w:hint="eastAsia" w:ascii="宋体" w:hAnsi="宋体" w:eastAsia="宋体" w:cs="宋体"/>
          <w:color w:val="auto"/>
          <w:szCs w:val="21"/>
          <w:highlight w:val="none"/>
          <w:u w:val="none"/>
        </w:rPr>
        <w:t>%。(5)；发包人按工程价款结算总额的3%预留工程质量保修金，待工程质量保修期满后无息返还。承包人每次申请款项时，应提供合法有效的增值税专用发票。</w:t>
      </w:r>
    </w:p>
    <w:p w14:paraId="386CC221">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12.4.2 进度付款申请单的编制</w:t>
      </w:r>
    </w:p>
    <w:p w14:paraId="16CCB03E">
      <w:pPr>
        <w:pStyle w:val="63"/>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关于进度付款申请单编制的约定：</w:t>
      </w:r>
      <w:r>
        <w:rPr>
          <w:rFonts w:hint="eastAsia" w:ascii="宋体" w:hAnsi="宋体" w:cs="宋体"/>
          <w:color w:val="auto"/>
          <w:szCs w:val="21"/>
          <w:highlight w:val="none"/>
          <w:u w:val="single"/>
        </w:rPr>
        <w:t>进度付款申请单的份数为4份，内容为工程量计量报表</w:t>
      </w:r>
      <w:r>
        <w:rPr>
          <w:rFonts w:hint="eastAsia" w:ascii="宋体" w:hAnsi="宋体" w:cs="宋体"/>
          <w:color w:val="auto"/>
          <w:szCs w:val="21"/>
          <w:highlight w:val="none"/>
        </w:rPr>
        <w:t>。</w:t>
      </w:r>
    </w:p>
    <w:p w14:paraId="2BA96970">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12.4.3 进度付款申请单的提交</w:t>
      </w:r>
    </w:p>
    <w:p w14:paraId="482E06D2">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（1）单价合同进度付款申请单提交的约定：</w:t>
      </w:r>
      <w:r>
        <w:rPr>
          <w:rFonts w:hint="eastAsia" w:ascii="宋体" w:hAnsi="宋体" w:cs="宋体"/>
          <w:color w:val="auto"/>
          <w:szCs w:val="21"/>
          <w:highlight w:val="none"/>
          <w:u w:val="single"/>
        </w:rPr>
        <w:t xml:space="preserve">每月25日前提交     </w:t>
      </w:r>
      <w:r>
        <w:rPr>
          <w:rFonts w:hint="eastAsia" w:ascii="宋体" w:hAnsi="宋体" w:cs="宋体"/>
          <w:color w:val="auto"/>
          <w:szCs w:val="21"/>
          <w:highlight w:val="none"/>
        </w:rPr>
        <w:t>。</w:t>
      </w:r>
    </w:p>
    <w:p w14:paraId="7E66BF57">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1B355E9B">
      <w:pPr>
        <w:pStyle w:val="63"/>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（3）其他价格形式合同进度付款申请单提交的约定：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4E1633B">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12.4.4 进度款审核和支付</w:t>
      </w:r>
    </w:p>
    <w:p w14:paraId="3CEFF0E2">
      <w:pPr>
        <w:pStyle w:val="63"/>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（1）监理人审查并报送发包人的期限：</w:t>
      </w:r>
      <w:r>
        <w:rPr>
          <w:rFonts w:hint="eastAsia" w:ascii="宋体" w:hAnsi="宋体" w:cs="宋体"/>
          <w:color w:val="auto"/>
          <w:szCs w:val="21"/>
          <w:highlight w:val="none"/>
          <w:u w:val="single"/>
        </w:rPr>
        <w:t xml:space="preserve">   收到申请7天内   </w:t>
      </w:r>
      <w:r>
        <w:rPr>
          <w:rFonts w:hint="eastAsia" w:ascii="宋体" w:hAnsi="宋体" w:cs="宋体"/>
          <w:color w:val="auto"/>
          <w:szCs w:val="21"/>
          <w:highlight w:val="none"/>
        </w:rPr>
        <w:t>。</w:t>
      </w:r>
    </w:p>
    <w:p w14:paraId="6B5DB5F7">
      <w:pPr>
        <w:pStyle w:val="7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发包人完成审批并签发进度款支付证书的期限：</w:t>
      </w:r>
      <w:r>
        <w:rPr>
          <w:rFonts w:hint="eastAsia" w:ascii="宋体" w:hAnsi="宋体" w:cs="宋体"/>
          <w:color w:val="auto"/>
          <w:szCs w:val="21"/>
          <w:highlight w:val="none"/>
          <w:u w:val="single"/>
        </w:rPr>
        <w:t xml:space="preserve">   收到申请7天内   </w:t>
      </w:r>
      <w:r>
        <w:rPr>
          <w:rFonts w:hint="eastAsia" w:ascii="宋体" w:hAnsi="宋体" w:cs="宋体"/>
          <w:color w:val="auto"/>
          <w:szCs w:val="21"/>
          <w:highlight w:val="none"/>
        </w:rPr>
        <w:t>。</w:t>
      </w:r>
    </w:p>
    <w:p w14:paraId="786C8C62">
      <w:pPr>
        <w:pStyle w:val="7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color w:val="auto"/>
          <w:szCs w:val="21"/>
          <w:highlight w:val="none"/>
          <w:u w:val="single"/>
        </w:rPr>
        <w:t xml:space="preserve">  发包人应在收到监理人报送的进度付款申请单及相关资料后7天内完成审批并发进度支付证书  </w:t>
      </w:r>
      <w:r>
        <w:rPr>
          <w:rFonts w:hint="eastAsia" w:ascii="宋体" w:hAnsi="宋体" w:cs="宋体"/>
          <w:color w:val="auto"/>
          <w:szCs w:val="21"/>
          <w:highlight w:val="none"/>
        </w:rPr>
        <w:t>。</w:t>
      </w:r>
    </w:p>
    <w:p w14:paraId="5E474DEE">
      <w:pPr>
        <w:pStyle w:val="7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4B21660E">
      <w:pPr>
        <w:pStyle w:val="63"/>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进度款支付方式：</w:t>
      </w:r>
      <w:r>
        <w:rPr>
          <w:rFonts w:hint="eastAsia" w:ascii="宋体" w:hAnsi="宋体" w:cs="宋体"/>
          <w:color w:val="auto"/>
          <w:szCs w:val="21"/>
          <w:highlight w:val="none"/>
          <w:u w:val="single"/>
        </w:rPr>
        <w:t>银行转账</w:t>
      </w:r>
      <w:r>
        <w:rPr>
          <w:rFonts w:hint="eastAsia" w:ascii="宋体" w:hAnsi="宋体" w:cs="宋体"/>
          <w:color w:val="auto"/>
          <w:szCs w:val="21"/>
          <w:highlight w:val="none"/>
        </w:rPr>
        <w:t>。</w:t>
      </w:r>
    </w:p>
    <w:p w14:paraId="4019CC87">
      <w:pPr>
        <w:pStyle w:val="70"/>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6.1.7</w:t>
      </w:r>
      <w:r>
        <w:rPr>
          <w:rFonts w:hint="eastAsia" w:ascii="宋体" w:hAnsi="宋体" w:eastAsia="宋体" w:cs="宋体"/>
          <w:color w:val="auto"/>
          <w:kern w:val="0"/>
          <w:szCs w:val="21"/>
          <w:highlight w:val="none"/>
          <w:u w:val="single"/>
          <w:lang w:val="en-US" w:eastAsia="zh-CN"/>
        </w:rPr>
        <w:t xml:space="preserve"> 关于农民工工资支付和使用的约定：</w:t>
      </w:r>
      <w:r>
        <w:rPr>
          <w:rFonts w:hint="eastAsia" w:ascii="宋体" w:hAnsi="宋体" w:eastAsia="宋体" w:cs="宋体"/>
          <w:color w:val="auto"/>
          <w:kern w:val="0"/>
          <w:szCs w:val="21"/>
          <w:highlight w:val="none"/>
          <w:lang w:val="en-US" w:eastAsia="zh-CN"/>
        </w:rPr>
        <w:t xml:space="preserve"> </w:t>
      </w:r>
    </w:p>
    <w:p w14:paraId="3F4C5B91">
      <w:pPr>
        <w:pStyle w:val="70"/>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u w:val="single"/>
          <w:lang w:val="en-US" w:eastAsia="zh-CN"/>
        </w:rPr>
        <w:t>农民工工资应与工程进度款同步拨付至农民工工资支付专用账户，不得挪作他用，否则按相关 规定处罚</w:t>
      </w:r>
      <w:r>
        <w:rPr>
          <w:rFonts w:hint="eastAsia" w:ascii="宋体" w:hAnsi="宋体" w:eastAsia="宋体" w:cs="宋体"/>
          <w:color w:val="auto"/>
          <w:kern w:val="0"/>
          <w:szCs w:val="21"/>
          <w:highlight w:val="none"/>
          <w:lang w:val="en-US" w:eastAsia="zh-CN"/>
        </w:rPr>
        <w:t xml:space="preserve">。 </w:t>
      </w:r>
    </w:p>
    <w:p w14:paraId="2C41391C">
      <w:pPr>
        <w:pStyle w:val="70"/>
        <w:autoSpaceDE w:val="0"/>
        <w:autoSpaceDN w:val="0"/>
        <w:adjustRightInd w:val="0"/>
        <w:spacing w:line="360" w:lineRule="auto"/>
        <w:ind w:firstLine="420" w:firstLineChars="200"/>
        <w:jc w:val="left"/>
        <w:rPr>
          <w:rFonts w:hint="eastAsia" w:hAnsi="宋体"/>
          <w:color w:val="auto"/>
          <w:highlight w:val="none"/>
        </w:rPr>
      </w:pPr>
      <w:r>
        <w:rPr>
          <w:rFonts w:hint="eastAsia" w:ascii="宋体" w:hAnsi="宋体" w:eastAsia="宋体" w:cs="宋体"/>
          <w:color w:val="auto"/>
          <w:kern w:val="0"/>
          <w:szCs w:val="21"/>
          <w:highlight w:val="none"/>
          <w:u w:val="single"/>
          <w:lang w:val="en-US" w:eastAsia="zh-CN"/>
        </w:rPr>
        <w:t>（2）农民工工资使用要求：专款专用，除发放工人工资外，不得用于其他用途。具体按《广西壮族自治区 工程建设领域工人工资支付专用账户管理办法》（桂薪联发[2016]1 号）以及《贵港市建设领域农民工工资支付管理实施细则》（贵政办通[2016]72 号）相关规定执行</w:t>
      </w:r>
      <w:r>
        <w:rPr>
          <w:rFonts w:hint="eastAsia" w:ascii="宋体" w:hAnsi="宋体" w:eastAsia="宋体" w:cs="宋体"/>
          <w:color w:val="auto"/>
          <w:kern w:val="0"/>
          <w:szCs w:val="21"/>
          <w:highlight w:val="none"/>
          <w:lang w:val="en-US" w:eastAsia="zh-CN"/>
        </w:rPr>
        <w:t xml:space="preserve">。 </w:t>
      </w:r>
    </w:p>
    <w:p w14:paraId="663ED583">
      <w:pPr>
        <w:spacing w:line="360" w:lineRule="auto"/>
        <w:ind w:firstLine="525" w:firstLineChars="250"/>
        <w:jc w:val="left"/>
        <w:rPr>
          <w:rFonts w:hint="eastAsia" w:hAnsi="宋体"/>
          <w:color w:val="auto"/>
          <w:highlight w:val="none"/>
        </w:rPr>
      </w:pPr>
      <w:r>
        <w:rPr>
          <w:rFonts w:hint="eastAsia" w:hAnsi="宋体"/>
          <w:color w:val="auto"/>
          <w:highlight w:val="none"/>
        </w:rPr>
        <w:t>（3） 农民工工资支付</w:t>
      </w:r>
    </w:p>
    <w:p w14:paraId="36B6522F">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2D90A22B">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77527F20">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3）发包人依据工程进度，审核承包人申报的工程进度款，按照与承包人约定的人工费支付比例</w:t>
      </w:r>
      <w:r>
        <w:rPr>
          <w:rFonts w:hint="eastAsia" w:hAnsi="宋体" w:cs="宋体"/>
          <w:color w:val="auto"/>
          <w:kern w:val="0"/>
          <w:highlight w:val="none"/>
          <w:lang w:val="en-US" w:eastAsia="zh-CN"/>
        </w:rPr>
        <w:t>20</w:t>
      </w:r>
      <w:r>
        <w:rPr>
          <w:rFonts w:hint="eastAsia" w:hAnsi="宋体" w:cs="宋体"/>
          <w:color w:val="auto"/>
          <w:kern w:val="0"/>
          <w:highlight w:val="none"/>
        </w:rPr>
        <w:t xml:space="preserve"> %</w:t>
      </w:r>
      <w:r>
        <w:rPr>
          <w:rFonts w:hint="eastAsia" w:hAnsi="宋体" w:cs="宋体"/>
          <w:color w:val="auto"/>
          <w:kern w:val="0"/>
          <w:highlight w:val="none"/>
          <w:lang w:eastAsia="zh-CN"/>
        </w:rPr>
        <w:t>（房建项目不少于</w:t>
      </w:r>
      <w:r>
        <w:rPr>
          <w:rFonts w:hint="eastAsia" w:hAnsi="宋体" w:cs="宋体"/>
          <w:color w:val="auto"/>
          <w:kern w:val="0"/>
          <w:highlight w:val="none"/>
          <w:lang w:val="en-US" w:eastAsia="zh-CN"/>
        </w:rPr>
        <w:t>20%，市政项目不少于15%）</w:t>
      </w:r>
      <w:r>
        <w:rPr>
          <w:rFonts w:hint="eastAsia" w:hAnsi="宋体" w:cs="宋体"/>
          <w:color w:val="auto"/>
          <w:kern w:val="0"/>
          <w:highlight w:val="none"/>
        </w:rPr>
        <w:t>，将人工费及时足额拨付至承包人的农民工工资专用账户，其余工程进度款项由发包人支付到承包人的单位基本户。</w:t>
      </w:r>
    </w:p>
    <w:p w14:paraId="1EA0BDD8">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 xml:space="preserve">4）工程建设领域总包单位对农民工工资支付负总责，推行分包单位农民工工资委托总包单位代发制度（以下简称总包代发制度）。工程建设项目施行总包代发制度的，总包单位与分包单位签订委托工资支付协议。 </w:t>
      </w:r>
    </w:p>
    <w:p w14:paraId="3233F80B">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5）凡未向付款单位提供农民工工资专用账户的，或者请款单位在申请工程进度款时未将人工费单列的，付款单位有权拒绝支付工程进度款。</w:t>
      </w:r>
    </w:p>
    <w:p w14:paraId="25B4C504">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6）人工费使用要求：专款专用，除发放农民工工资外，不得用于其他用途。</w:t>
      </w:r>
    </w:p>
    <w:p w14:paraId="463185D9">
      <w:pPr>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7）承包人将人工费支付情况定期报告发包人和监理单位，并提供相应的材料接受建设行政主管部门和劳动保障行政主管部门对此事项监管。</w:t>
      </w:r>
    </w:p>
    <w:p w14:paraId="0FBFB087">
      <w:pPr>
        <w:pStyle w:val="63"/>
        <w:spacing w:line="360" w:lineRule="auto"/>
        <w:ind w:firstLine="525" w:firstLineChars="250"/>
        <w:jc w:val="left"/>
        <w:rPr>
          <w:rFonts w:hint="eastAsia" w:hAnsi="宋体" w:cs="宋体"/>
          <w:color w:val="auto"/>
          <w:kern w:val="0"/>
          <w:highlight w:val="none"/>
        </w:rPr>
      </w:pPr>
      <w:r>
        <w:rPr>
          <w:rFonts w:hint="eastAsia" w:hAnsi="宋体" w:cs="宋体"/>
          <w:color w:val="auto"/>
          <w:kern w:val="0"/>
          <w:highlight w:val="none"/>
        </w:rPr>
        <w:t>8）人工费支付专用账户：××××公司农民工工资支付专用账户。</w:t>
      </w:r>
    </w:p>
    <w:p w14:paraId="1FDA335A">
      <w:pPr>
        <w:pStyle w:val="63"/>
        <w:spacing w:line="360" w:lineRule="auto"/>
        <w:ind w:firstLine="525" w:firstLineChars="250"/>
        <w:jc w:val="left"/>
        <w:rPr>
          <w:rFonts w:hint="default" w:hAnsi="宋体" w:eastAsia="宋体" w:cs="宋体"/>
          <w:color w:val="auto"/>
          <w:kern w:val="0"/>
          <w:highlight w:val="none"/>
          <w:lang w:val="en-US" w:eastAsia="zh-CN"/>
        </w:rPr>
      </w:pPr>
      <w:r>
        <w:rPr>
          <w:rFonts w:hint="eastAsia" w:hAnsi="宋体" w:cs="宋体"/>
          <w:color w:val="auto"/>
          <w:kern w:val="0"/>
          <w:highlight w:val="none"/>
          <w:lang w:val="en-US" w:eastAsia="zh-CN"/>
        </w:rPr>
        <w:t>开户银行：</w:t>
      </w:r>
      <w:r>
        <w:rPr>
          <w:rFonts w:hint="eastAsia" w:hAnsi="宋体" w:cs="宋体"/>
          <w:color w:val="auto"/>
          <w:kern w:val="0"/>
          <w:highlight w:val="none"/>
          <w:u w:val="single"/>
        </w:rPr>
        <w:t xml:space="preserve">  </w:t>
      </w:r>
      <w:r>
        <w:rPr>
          <w:rFonts w:hAnsi="宋体" w:cs="宋体"/>
          <w:color w:val="auto"/>
          <w:kern w:val="0"/>
          <w:highlight w:val="none"/>
          <w:u w:val="single"/>
        </w:rPr>
        <w:t xml:space="preserve"> </w:t>
      </w:r>
      <w:r>
        <w:rPr>
          <w:rFonts w:hint="eastAsia" w:hAnsi="宋体" w:cs="宋体"/>
          <w:color w:val="auto"/>
          <w:kern w:val="0"/>
          <w:highlight w:val="none"/>
          <w:u w:val="single"/>
        </w:rPr>
        <w:t xml:space="preserve">  </w:t>
      </w:r>
      <w:r>
        <w:rPr>
          <w:rFonts w:hAnsi="宋体" w:cs="宋体"/>
          <w:color w:val="auto"/>
          <w:kern w:val="0"/>
          <w:highlight w:val="none"/>
          <w:u w:val="single"/>
        </w:rPr>
        <w:t xml:space="preserve"> </w:t>
      </w:r>
      <w:r>
        <w:rPr>
          <w:rFonts w:hint="eastAsia" w:hAnsi="宋体" w:cs="宋体"/>
          <w:color w:val="auto"/>
          <w:kern w:val="0"/>
          <w:highlight w:val="none"/>
          <w:u w:val="single"/>
        </w:rPr>
        <w:t xml:space="preserve"> </w:t>
      </w:r>
      <w:r>
        <w:rPr>
          <w:rFonts w:hAnsi="宋体" w:cs="宋体"/>
          <w:color w:val="auto"/>
          <w:kern w:val="0"/>
          <w:highlight w:val="none"/>
          <w:u w:val="single"/>
        </w:rPr>
        <w:t xml:space="preserve">  </w:t>
      </w:r>
      <w:r>
        <w:rPr>
          <w:rFonts w:hint="eastAsia" w:hAnsi="宋体" w:cs="宋体"/>
          <w:color w:val="auto"/>
          <w:kern w:val="0"/>
          <w:highlight w:val="none"/>
          <w:u w:val="single"/>
        </w:rPr>
        <w:t xml:space="preserve">  </w:t>
      </w:r>
      <w:r>
        <w:rPr>
          <w:rFonts w:hAnsi="宋体" w:cs="宋体"/>
          <w:color w:val="auto"/>
          <w:kern w:val="0"/>
          <w:highlight w:val="none"/>
        </w:rPr>
        <w:t>。</w:t>
      </w:r>
    </w:p>
    <w:p w14:paraId="73320B67">
      <w:pPr>
        <w:pStyle w:val="63"/>
        <w:spacing w:line="360" w:lineRule="auto"/>
        <w:ind w:firstLine="525" w:firstLineChars="250"/>
        <w:jc w:val="left"/>
        <w:rPr>
          <w:rFonts w:hint="eastAsia" w:ascii="宋体" w:hAnsi="宋体" w:cs="宋体"/>
          <w:color w:val="auto"/>
          <w:szCs w:val="21"/>
          <w:highlight w:val="none"/>
        </w:rPr>
      </w:pPr>
      <w:r>
        <w:rPr>
          <w:rFonts w:hint="eastAsia" w:hAnsi="宋体" w:cs="宋体"/>
          <w:color w:val="auto"/>
          <w:kern w:val="0"/>
          <w:highlight w:val="none"/>
        </w:rPr>
        <w:t>账号：</w:t>
      </w:r>
      <w:r>
        <w:rPr>
          <w:rFonts w:hint="eastAsia" w:hAnsi="宋体" w:cs="宋体"/>
          <w:color w:val="auto"/>
          <w:kern w:val="0"/>
          <w:highlight w:val="none"/>
          <w:u w:val="single"/>
        </w:rPr>
        <w:t xml:space="preserve">  </w:t>
      </w:r>
      <w:r>
        <w:rPr>
          <w:rFonts w:hAnsi="宋体" w:cs="宋体"/>
          <w:color w:val="auto"/>
          <w:kern w:val="0"/>
          <w:highlight w:val="none"/>
          <w:u w:val="single"/>
        </w:rPr>
        <w:t xml:space="preserve"> </w:t>
      </w:r>
      <w:r>
        <w:rPr>
          <w:rFonts w:hint="eastAsia" w:hAnsi="宋体" w:cs="宋体"/>
          <w:color w:val="auto"/>
          <w:kern w:val="0"/>
          <w:highlight w:val="none"/>
          <w:u w:val="single"/>
        </w:rPr>
        <w:t xml:space="preserve">  </w:t>
      </w:r>
      <w:r>
        <w:rPr>
          <w:rFonts w:hAnsi="宋体" w:cs="宋体"/>
          <w:color w:val="auto"/>
          <w:kern w:val="0"/>
          <w:highlight w:val="none"/>
          <w:u w:val="single"/>
        </w:rPr>
        <w:t xml:space="preserve"> </w:t>
      </w:r>
      <w:r>
        <w:rPr>
          <w:rFonts w:hint="eastAsia" w:hAnsi="宋体" w:cs="宋体"/>
          <w:color w:val="auto"/>
          <w:kern w:val="0"/>
          <w:highlight w:val="none"/>
          <w:u w:val="single"/>
        </w:rPr>
        <w:t xml:space="preserve"> </w:t>
      </w:r>
      <w:r>
        <w:rPr>
          <w:rFonts w:hAnsi="宋体" w:cs="宋体"/>
          <w:color w:val="auto"/>
          <w:kern w:val="0"/>
          <w:highlight w:val="none"/>
          <w:u w:val="single"/>
        </w:rPr>
        <w:t xml:space="preserve">  </w:t>
      </w:r>
      <w:r>
        <w:rPr>
          <w:rFonts w:hint="eastAsia" w:hAnsi="宋体" w:cs="宋体"/>
          <w:color w:val="auto"/>
          <w:kern w:val="0"/>
          <w:highlight w:val="none"/>
          <w:u w:val="single"/>
        </w:rPr>
        <w:t xml:space="preserve">  </w:t>
      </w:r>
      <w:r>
        <w:rPr>
          <w:rFonts w:hAnsi="宋体" w:cs="宋体"/>
          <w:color w:val="auto"/>
          <w:kern w:val="0"/>
          <w:highlight w:val="none"/>
        </w:rPr>
        <w:t>。</w:t>
      </w:r>
    </w:p>
    <w:p w14:paraId="74DEDAEA">
      <w:pPr>
        <w:pStyle w:val="63"/>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12.4.6 支付分解表的编制</w:t>
      </w:r>
    </w:p>
    <w:p w14:paraId="6277F13D">
      <w:pPr>
        <w:pStyle w:val="63"/>
        <w:spacing w:line="360" w:lineRule="auto"/>
        <w:ind w:firstLine="525" w:firstLineChars="250"/>
        <w:jc w:val="left"/>
        <w:rPr>
          <w:rFonts w:ascii="宋体" w:hAnsi="宋体" w:cs="宋体"/>
          <w:color w:val="auto"/>
          <w:szCs w:val="21"/>
          <w:highlight w:val="none"/>
          <w:u w:val="single"/>
        </w:rPr>
      </w:pPr>
      <w:r>
        <w:rPr>
          <w:rFonts w:hint="eastAsia" w:ascii="宋体" w:hAnsi="宋体" w:cs="宋体"/>
          <w:color w:val="auto"/>
          <w:szCs w:val="21"/>
          <w:highlight w:val="none"/>
        </w:rPr>
        <w:t>2. 总价合同支付分解表的编制与审批：</w:t>
      </w:r>
      <w:r>
        <w:rPr>
          <w:rFonts w:hint="eastAsia" w:ascii="宋体" w:hAnsi="宋体" w:cs="宋体"/>
          <w:color w:val="auto"/>
          <w:szCs w:val="21"/>
          <w:highlight w:val="none"/>
          <w:u w:val="single"/>
        </w:rPr>
        <w:t xml:space="preserve">      按通用合同条款执行             </w:t>
      </w:r>
      <w:r>
        <w:rPr>
          <w:rFonts w:hint="eastAsia" w:ascii="宋体" w:hAnsi="宋体" w:cs="宋体"/>
          <w:color w:val="auto"/>
          <w:szCs w:val="21"/>
          <w:highlight w:val="none"/>
        </w:rPr>
        <w:t>。</w:t>
      </w:r>
    </w:p>
    <w:p w14:paraId="66183AC8">
      <w:pPr>
        <w:pStyle w:val="63"/>
        <w:spacing w:line="360" w:lineRule="auto"/>
        <w:ind w:firstLine="525" w:firstLineChars="250"/>
        <w:jc w:val="left"/>
        <w:rPr>
          <w:rFonts w:ascii="宋体" w:hAnsi="宋体" w:cs="宋体"/>
          <w:color w:val="auto"/>
          <w:szCs w:val="21"/>
          <w:highlight w:val="none"/>
          <w:u w:val="single"/>
        </w:rPr>
      </w:pPr>
      <w:r>
        <w:rPr>
          <w:rFonts w:hint="eastAsia" w:ascii="宋体" w:hAnsi="宋体" w:cs="宋体"/>
          <w:color w:val="auto"/>
          <w:szCs w:val="21"/>
          <w:highlight w:val="none"/>
        </w:rPr>
        <w:t>3. 单价合同的总价项目支付分解表的编制与审批：总价项目不采用支付分解表的方式计算，而按《建设工程工程量清单计价规范（GB50500-2013）广西壮族自治区实施细则》的规定执行。</w:t>
      </w:r>
    </w:p>
    <w:p w14:paraId="2BA2D742">
      <w:pPr>
        <w:pStyle w:val="130"/>
        <w:spacing w:line="420" w:lineRule="exact"/>
        <w:rPr>
          <w:rFonts w:ascii="宋体" w:hAnsi="宋体" w:cs="宋体"/>
          <w:color w:val="auto"/>
          <w:sz w:val="24"/>
          <w:szCs w:val="24"/>
          <w:highlight w:val="none"/>
        </w:rPr>
      </w:pPr>
      <w:bookmarkStart w:id="771" w:name="_Toc497215768"/>
      <w:bookmarkStart w:id="772" w:name="_Toc75182756"/>
      <w:bookmarkStart w:id="773" w:name="_Toc47088355"/>
      <w:bookmarkStart w:id="774" w:name="_Toc497147211"/>
      <w:bookmarkStart w:id="775" w:name="_Toc22523"/>
      <w:bookmarkStart w:id="776" w:name="_Toc497901167"/>
      <w:bookmarkStart w:id="777" w:name="_Toc407135256"/>
      <w:r>
        <w:rPr>
          <w:rFonts w:hint="eastAsia" w:ascii="宋体" w:hAnsi="宋体" w:cs="宋体"/>
          <w:color w:val="auto"/>
          <w:sz w:val="24"/>
          <w:szCs w:val="24"/>
          <w:highlight w:val="none"/>
        </w:rPr>
        <w:t>13. 验收和工程试车</w:t>
      </w:r>
      <w:bookmarkEnd w:id="771"/>
      <w:bookmarkEnd w:id="772"/>
      <w:bookmarkEnd w:id="773"/>
      <w:bookmarkEnd w:id="774"/>
      <w:bookmarkEnd w:id="775"/>
      <w:bookmarkEnd w:id="776"/>
      <w:bookmarkEnd w:id="777"/>
    </w:p>
    <w:p w14:paraId="04569AF1">
      <w:pPr>
        <w:pStyle w:val="130"/>
        <w:spacing w:line="420" w:lineRule="exact"/>
        <w:rPr>
          <w:rFonts w:ascii="宋体" w:hAnsi="宋体" w:cs="宋体"/>
          <w:color w:val="auto"/>
          <w:sz w:val="24"/>
          <w:szCs w:val="24"/>
          <w:highlight w:val="none"/>
        </w:rPr>
      </w:pPr>
      <w:bookmarkStart w:id="778" w:name="_Toc75182757"/>
      <w:bookmarkStart w:id="779" w:name="_Toc497147212"/>
      <w:bookmarkStart w:id="780" w:name="_Toc407135257"/>
      <w:bookmarkStart w:id="781" w:name="_Toc47088356"/>
      <w:bookmarkStart w:id="782" w:name="_Toc497901168"/>
      <w:bookmarkStart w:id="783" w:name="_Toc497215769"/>
      <w:bookmarkStart w:id="784" w:name="_Toc28099"/>
      <w:r>
        <w:rPr>
          <w:rFonts w:hint="eastAsia" w:ascii="宋体" w:hAnsi="宋体" w:cs="宋体"/>
          <w:color w:val="auto"/>
          <w:sz w:val="24"/>
          <w:szCs w:val="24"/>
          <w:highlight w:val="none"/>
        </w:rPr>
        <w:t>13.1 分部分项工程验收</w:t>
      </w:r>
      <w:bookmarkEnd w:id="778"/>
      <w:bookmarkEnd w:id="779"/>
      <w:bookmarkEnd w:id="780"/>
      <w:bookmarkEnd w:id="781"/>
      <w:bookmarkEnd w:id="782"/>
      <w:bookmarkEnd w:id="783"/>
      <w:bookmarkEnd w:id="784"/>
    </w:p>
    <w:p w14:paraId="5CA7FCC2">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小时提交书面延期要求。</w:t>
      </w:r>
    </w:p>
    <w:p w14:paraId="6247CBCB">
      <w:pPr>
        <w:pStyle w:val="63"/>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48  </w:t>
      </w:r>
      <w:r>
        <w:rPr>
          <w:rFonts w:hint="eastAsia" w:ascii="宋体" w:hAnsi="宋体" w:cs="宋体"/>
          <w:color w:val="auto"/>
          <w:szCs w:val="21"/>
          <w:highlight w:val="none"/>
        </w:rPr>
        <w:t>小时。</w:t>
      </w:r>
    </w:p>
    <w:p w14:paraId="066AA71A">
      <w:pPr>
        <w:pStyle w:val="130"/>
        <w:spacing w:line="420" w:lineRule="exact"/>
        <w:rPr>
          <w:rFonts w:ascii="宋体" w:hAnsi="宋体" w:cs="宋体"/>
          <w:color w:val="auto"/>
          <w:sz w:val="24"/>
          <w:szCs w:val="24"/>
          <w:highlight w:val="none"/>
        </w:rPr>
      </w:pPr>
      <w:bookmarkStart w:id="785" w:name="_Toc47088357"/>
      <w:bookmarkStart w:id="786" w:name="_Toc497215770"/>
      <w:bookmarkStart w:id="787" w:name="_Toc75182758"/>
      <w:bookmarkStart w:id="788" w:name="_Toc497901169"/>
      <w:bookmarkStart w:id="789" w:name="_Toc20817"/>
      <w:bookmarkStart w:id="790" w:name="_Toc407135258"/>
      <w:bookmarkStart w:id="791" w:name="_Toc497147213"/>
      <w:r>
        <w:rPr>
          <w:rFonts w:hint="eastAsia" w:ascii="宋体" w:hAnsi="宋体" w:cs="宋体"/>
          <w:color w:val="auto"/>
          <w:sz w:val="24"/>
          <w:szCs w:val="24"/>
          <w:highlight w:val="none"/>
        </w:rPr>
        <w:t>13.2 竣工验收</w:t>
      </w:r>
      <w:bookmarkEnd w:id="785"/>
      <w:bookmarkEnd w:id="786"/>
      <w:bookmarkEnd w:id="787"/>
      <w:bookmarkEnd w:id="788"/>
      <w:bookmarkEnd w:id="789"/>
      <w:bookmarkEnd w:id="790"/>
      <w:bookmarkEnd w:id="791"/>
    </w:p>
    <w:p w14:paraId="5966C31A">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13.2.1竣工验收条件</w:t>
      </w:r>
    </w:p>
    <w:p w14:paraId="032AC877">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（3）承包人负责整理和提交的竣工验收资料应当符合工程所在地建设行政主管部门和(或)城市建设档案管理机构有关施工资料的要求，具体内容包括：</w:t>
      </w:r>
    </w:p>
    <w:p w14:paraId="6D18F42D">
      <w:pPr>
        <w:pStyle w:val="63"/>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（1）工程具备竣工验收条件，承包人按工程竣工验收有关规定，向发包人提交完整竣工资料（含竣工图）及竣工验收报告。提交的时间为竣工预验后5天前。</w:t>
      </w:r>
    </w:p>
    <w:p w14:paraId="5BA95380">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（2）符合国家竣工验收规范有关工程竣工验收资料备案及城建档案馆有关资料存档的要求，并随时接受发包人及上述有关部门提出的补充整改的要求</w:t>
      </w:r>
      <w:r>
        <w:rPr>
          <w:rFonts w:hint="eastAsia" w:ascii="宋体" w:hAnsi="宋体" w:cs="宋体"/>
          <w:color w:val="auto"/>
          <w:szCs w:val="21"/>
          <w:highlight w:val="none"/>
        </w:rPr>
        <w:t>。</w:t>
      </w:r>
    </w:p>
    <w:p w14:paraId="05916AAE">
      <w:pPr>
        <w:pStyle w:val="6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竣工验收资料的份数：</w:t>
      </w:r>
      <w:r>
        <w:rPr>
          <w:rFonts w:hint="eastAsia" w:ascii="宋体" w:hAnsi="宋体" w:cs="宋体"/>
          <w:color w:val="auto"/>
          <w:szCs w:val="21"/>
          <w:highlight w:val="none"/>
          <w:u w:val="single"/>
        </w:rPr>
        <w:t>4份</w:t>
      </w:r>
      <w:r>
        <w:rPr>
          <w:rFonts w:hint="eastAsia" w:ascii="宋体" w:hAnsi="宋体" w:cs="宋体"/>
          <w:color w:val="auto"/>
          <w:szCs w:val="21"/>
          <w:highlight w:val="none"/>
        </w:rPr>
        <w:t>。</w:t>
      </w:r>
    </w:p>
    <w:p w14:paraId="5E6F3B2C">
      <w:pPr>
        <w:pStyle w:val="63"/>
        <w:spacing w:line="36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承包人提供竣工图的约定：</w:t>
      </w:r>
      <w:r>
        <w:rPr>
          <w:rFonts w:hint="eastAsia" w:ascii="宋体" w:hAnsi="宋体" w:cs="宋体"/>
          <w:bCs/>
          <w:color w:val="auto"/>
          <w:szCs w:val="21"/>
          <w:highlight w:val="none"/>
          <w:u w:val="single"/>
        </w:rPr>
        <w:t>竣工验收正式通过后5天（工程造价在500万元以下含500万元）、10天（工程造价在500万元至1000万元之间含1000万元）、15天（工程造价在1000万元以上），提供竣工图的数量分别为2套、4套、6套。</w:t>
      </w:r>
    </w:p>
    <w:p w14:paraId="57DAE579">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13.2.2竣工验收程序</w:t>
      </w:r>
    </w:p>
    <w:p w14:paraId="42B3736F">
      <w:pPr>
        <w:pStyle w:val="7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关于竣工验收程序的约定：</w:t>
      </w:r>
      <w:r>
        <w:rPr>
          <w:rFonts w:hint="eastAsia" w:ascii="宋体" w:hAnsi="宋体" w:cs="宋体"/>
          <w:b/>
          <w:color w:val="auto"/>
          <w:szCs w:val="21"/>
          <w:highlight w:val="none"/>
          <w:u w:val="single"/>
        </w:rPr>
        <w:t>按通用合同条款13.2.2执行</w:t>
      </w:r>
      <w:r>
        <w:rPr>
          <w:rFonts w:hint="eastAsia" w:ascii="宋体" w:hAnsi="宋体" w:cs="宋体"/>
          <w:color w:val="auto"/>
          <w:szCs w:val="21"/>
          <w:highlight w:val="none"/>
        </w:rPr>
        <w:t>。</w:t>
      </w:r>
    </w:p>
    <w:p w14:paraId="072D65A1">
      <w:pPr>
        <w:pStyle w:val="7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发包人不按照本项约定组织竣工验收、颁发工程接收证书的违约金的计算方法：</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6CE49905">
      <w:pPr>
        <w:pStyle w:val="7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13.2.5移交、接收全部与部分工程</w:t>
      </w:r>
    </w:p>
    <w:p w14:paraId="2531A799">
      <w:pPr>
        <w:pStyle w:val="7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b/>
          <w:color w:val="auto"/>
          <w:szCs w:val="21"/>
          <w:highlight w:val="none"/>
          <w:u w:val="single"/>
        </w:rPr>
        <w:t>工程通过竣工验收28天内</w:t>
      </w:r>
      <w:r>
        <w:rPr>
          <w:rFonts w:hint="eastAsia" w:ascii="宋体" w:hAnsi="宋体" w:cs="宋体"/>
          <w:color w:val="auto"/>
          <w:szCs w:val="21"/>
          <w:highlight w:val="none"/>
        </w:rPr>
        <w:t>。</w:t>
      </w:r>
    </w:p>
    <w:p w14:paraId="35129051">
      <w:pPr>
        <w:pStyle w:val="7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2D368C6B">
      <w:pPr>
        <w:pStyle w:val="63"/>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承包人未按时移交工程的，违约金的计算方法为：</w:t>
      </w:r>
      <w:r>
        <w:rPr>
          <w:rFonts w:hint="eastAsia" w:ascii="宋体" w:hAnsi="宋体" w:cs="宋体"/>
          <w:color w:val="auto"/>
          <w:szCs w:val="21"/>
          <w:highlight w:val="none"/>
          <w:u w:val="single"/>
        </w:rPr>
        <w:t>每天赔偿金额为合同价款扣除发包人材料价款、暂估专业工程、暂列金额后的万分之四</w:t>
      </w:r>
      <w:r>
        <w:rPr>
          <w:rFonts w:hint="eastAsia" w:ascii="宋体" w:hAnsi="宋体" w:cs="宋体"/>
          <w:color w:val="auto"/>
          <w:szCs w:val="21"/>
          <w:highlight w:val="none"/>
        </w:rPr>
        <w:t>。</w:t>
      </w:r>
    </w:p>
    <w:p w14:paraId="4C5EC8B3">
      <w:pPr>
        <w:pStyle w:val="130"/>
        <w:spacing w:line="420" w:lineRule="exact"/>
        <w:rPr>
          <w:rFonts w:ascii="宋体" w:hAnsi="宋体" w:cs="宋体"/>
          <w:color w:val="auto"/>
          <w:sz w:val="24"/>
          <w:szCs w:val="24"/>
          <w:highlight w:val="none"/>
        </w:rPr>
      </w:pPr>
      <w:bookmarkStart w:id="792" w:name="_Toc497901170"/>
      <w:bookmarkStart w:id="793" w:name="_Toc497215771"/>
      <w:bookmarkStart w:id="794" w:name="_Toc28515"/>
      <w:bookmarkStart w:id="795" w:name="_Toc75182759"/>
      <w:bookmarkStart w:id="796" w:name="_Toc497147214"/>
      <w:bookmarkStart w:id="797" w:name="_Toc47088358"/>
      <w:bookmarkStart w:id="798" w:name="_Toc407135259"/>
      <w:r>
        <w:rPr>
          <w:rFonts w:hint="eastAsia" w:ascii="宋体" w:hAnsi="宋体" w:cs="宋体"/>
          <w:color w:val="auto"/>
          <w:sz w:val="24"/>
          <w:szCs w:val="24"/>
          <w:highlight w:val="none"/>
        </w:rPr>
        <w:t>13.3 工程试车</w:t>
      </w:r>
      <w:bookmarkEnd w:id="792"/>
      <w:bookmarkEnd w:id="793"/>
      <w:bookmarkEnd w:id="794"/>
      <w:bookmarkEnd w:id="795"/>
      <w:bookmarkEnd w:id="796"/>
      <w:bookmarkEnd w:id="797"/>
      <w:bookmarkEnd w:id="798"/>
    </w:p>
    <w:p w14:paraId="2F37CF64">
      <w:pPr>
        <w:pStyle w:val="63"/>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13.3.1 试车程序</w:t>
      </w:r>
    </w:p>
    <w:p w14:paraId="14C3E686">
      <w:pPr>
        <w:pStyle w:val="7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工程试车内容：</w:t>
      </w:r>
      <w:r>
        <w:rPr>
          <w:rFonts w:hint="eastAsia" w:ascii="宋体" w:hAnsi="宋体" w:cs="宋体"/>
          <w:color w:val="auto"/>
          <w:szCs w:val="21"/>
          <w:highlight w:val="none"/>
          <w:u w:val="single"/>
        </w:rPr>
        <w:t xml:space="preserve">  按通用条款13.3执行  </w:t>
      </w:r>
      <w:r>
        <w:rPr>
          <w:rFonts w:hint="eastAsia" w:ascii="宋体" w:hAnsi="宋体" w:cs="宋体"/>
          <w:color w:val="auto"/>
          <w:szCs w:val="21"/>
          <w:highlight w:val="none"/>
        </w:rPr>
        <w:t>。</w:t>
      </w:r>
    </w:p>
    <w:p w14:paraId="03CF6996">
      <w:pPr>
        <w:pStyle w:val="7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（1）单机无负荷试车费用由</w:t>
      </w:r>
      <w:r>
        <w:rPr>
          <w:rFonts w:hint="eastAsia" w:ascii="宋体" w:hAnsi="宋体" w:cs="宋体"/>
          <w:color w:val="auto"/>
          <w:szCs w:val="21"/>
          <w:highlight w:val="none"/>
          <w:u w:val="single"/>
        </w:rPr>
        <w:t xml:space="preserve">    承包人  </w:t>
      </w:r>
      <w:r>
        <w:rPr>
          <w:rFonts w:hint="eastAsia" w:ascii="宋体" w:hAnsi="宋体" w:cs="宋体"/>
          <w:color w:val="auto"/>
          <w:kern w:val="0"/>
          <w:szCs w:val="21"/>
          <w:highlight w:val="none"/>
        </w:rPr>
        <w:t>承担；</w:t>
      </w:r>
    </w:p>
    <w:p w14:paraId="2CF1CE65">
      <w:pPr>
        <w:pStyle w:val="7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（2）无负荷联动试车费用由</w:t>
      </w:r>
      <w:r>
        <w:rPr>
          <w:rFonts w:hint="eastAsia" w:ascii="宋体" w:hAnsi="宋体" w:cs="宋体"/>
          <w:color w:val="auto"/>
          <w:szCs w:val="21"/>
          <w:highlight w:val="none"/>
          <w:u w:val="single"/>
        </w:rPr>
        <w:t xml:space="preserve">   承包人  </w:t>
      </w:r>
      <w:r>
        <w:rPr>
          <w:rFonts w:hint="eastAsia" w:ascii="宋体" w:hAnsi="宋体" w:cs="宋体"/>
          <w:color w:val="auto"/>
          <w:kern w:val="0"/>
          <w:szCs w:val="21"/>
          <w:highlight w:val="none"/>
        </w:rPr>
        <w:t>承担。</w:t>
      </w:r>
    </w:p>
    <w:p w14:paraId="32CCEBEB">
      <w:pPr>
        <w:pStyle w:val="7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13.3.3 投料试车</w:t>
      </w:r>
    </w:p>
    <w:p w14:paraId="18FAD633">
      <w:pPr>
        <w:pStyle w:val="63"/>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关于投料试车相关事项的约定：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3871F930">
      <w:pPr>
        <w:pStyle w:val="130"/>
        <w:spacing w:line="420" w:lineRule="exact"/>
        <w:rPr>
          <w:rFonts w:ascii="宋体" w:hAnsi="宋体" w:cs="宋体"/>
          <w:color w:val="auto"/>
          <w:sz w:val="24"/>
          <w:szCs w:val="24"/>
          <w:highlight w:val="none"/>
        </w:rPr>
      </w:pPr>
      <w:bookmarkStart w:id="799" w:name="_Toc21678"/>
      <w:bookmarkStart w:id="800" w:name="_Toc47088359"/>
      <w:bookmarkStart w:id="801" w:name="_Toc407135260"/>
      <w:bookmarkStart w:id="802" w:name="_Toc497147215"/>
      <w:bookmarkStart w:id="803" w:name="_Toc497901171"/>
      <w:bookmarkStart w:id="804" w:name="_Toc497215772"/>
      <w:bookmarkStart w:id="805" w:name="_Toc75182760"/>
      <w:r>
        <w:rPr>
          <w:rFonts w:hint="eastAsia" w:ascii="宋体" w:hAnsi="宋体" w:cs="宋体"/>
          <w:color w:val="auto"/>
          <w:sz w:val="24"/>
          <w:szCs w:val="24"/>
          <w:highlight w:val="none"/>
        </w:rPr>
        <w:t>13.6 竣工退场</w:t>
      </w:r>
      <w:bookmarkEnd w:id="799"/>
      <w:bookmarkEnd w:id="800"/>
      <w:bookmarkEnd w:id="801"/>
      <w:bookmarkEnd w:id="802"/>
      <w:bookmarkEnd w:id="803"/>
      <w:bookmarkEnd w:id="804"/>
      <w:bookmarkEnd w:id="805"/>
    </w:p>
    <w:p w14:paraId="05E3D79C">
      <w:pPr>
        <w:pStyle w:val="63"/>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13.6.1 竣工退场</w:t>
      </w:r>
    </w:p>
    <w:p w14:paraId="43B83D5B">
      <w:pPr>
        <w:pStyle w:val="63"/>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b/>
          <w:color w:val="auto"/>
          <w:szCs w:val="21"/>
          <w:highlight w:val="none"/>
          <w:u w:val="single"/>
        </w:rPr>
        <w:t>颁发工程</w:t>
      </w:r>
      <w:r>
        <w:rPr>
          <w:rFonts w:hint="eastAsia" w:ascii="宋体" w:hAnsi="宋体" w:cs="宋体"/>
          <w:b/>
          <w:color w:val="auto"/>
          <w:kern w:val="0"/>
          <w:szCs w:val="21"/>
          <w:highlight w:val="none"/>
          <w:u w:val="single"/>
        </w:rPr>
        <w:t>接收证书后10天内</w:t>
      </w:r>
      <w:r>
        <w:rPr>
          <w:rFonts w:hint="eastAsia" w:ascii="宋体" w:hAnsi="宋体" w:cs="宋体"/>
          <w:color w:val="auto"/>
          <w:kern w:val="0"/>
          <w:szCs w:val="21"/>
          <w:highlight w:val="none"/>
        </w:rPr>
        <w:t>。</w:t>
      </w:r>
    </w:p>
    <w:p w14:paraId="7BF7E92D">
      <w:pPr>
        <w:pStyle w:val="130"/>
        <w:spacing w:line="420" w:lineRule="exact"/>
        <w:rPr>
          <w:rFonts w:ascii="宋体" w:hAnsi="宋体" w:cs="宋体"/>
          <w:color w:val="auto"/>
          <w:sz w:val="24"/>
          <w:szCs w:val="24"/>
          <w:highlight w:val="none"/>
        </w:rPr>
      </w:pPr>
      <w:bookmarkStart w:id="806" w:name="_Toc47088360"/>
      <w:bookmarkStart w:id="807" w:name="_Toc407135261"/>
      <w:bookmarkStart w:id="808" w:name="_Toc497901172"/>
      <w:bookmarkStart w:id="809" w:name="_Toc497147216"/>
      <w:bookmarkStart w:id="810" w:name="_Toc22844"/>
      <w:bookmarkStart w:id="811" w:name="_Toc75182761"/>
      <w:bookmarkStart w:id="812" w:name="_Toc497215773"/>
      <w:r>
        <w:rPr>
          <w:rFonts w:hint="eastAsia" w:ascii="宋体" w:hAnsi="宋体" w:cs="宋体"/>
          <w:color w:val="auto"/>
          <w:sz w:val="24"/>
          <w:szCs w:val="24"/>
          <w:highlight w:val="none"/>
        </w:rPr>
        <w:t>14. 竣工结算</w:t>
      </w:r>
      <w:bookmarkEnd w:id="806"/>
      <w:bookmarkEnd w:id="807"/>
      <w:bookmarkEnd w:id="808"/>
      <w:bookmarkEnd w:id="809"/>
      <w:bookmarkEnd w:id="810"/>
      <w:bookmarkEnd w:id="811"/>
      <w:bookmarkEnd w:id="812"/>
    </w:p>
    <w:p w14:paraId="0C931397">
      <w:pPr>
        <w:pStyle w:val="130"/>
        <w:spacing w:line="420" w:lineRule="exact"/>
        <w:rPr>
          <w:rFonts w:ascii="宋体" w:hAnsi="宋体" w:cs="宋体"/>
          <w:color w:val="auto"/>
          <w:sz w:val="24"/>
          <w:szCs w:val="24"/>
          <w:highlight w:val="none"/>
        </w:rPr>
      </w:pPr>
      <w:bookmarkStart w:id="813" w:name="_Toc5490"/>
      <w:bookmarkStart w:id="814" w:name="_Toc497147217"/>
      <w:bookmarkStart w:id="815" w:name="_Toc497901173"/>
      <w:bookmarkStart w:id="816" w:name="_Toc497215774"/>
      <w:bookmarkStart w:id="817" w:name="_Toc47088361"/>
      <w:bookmarkStart w:id="818" w:name="_Toc407135262"/>
      <w:bookmarkStart w:id="819" w:name="_Toc75182762"/>
      <w:r>
        <w:rPr>
          <w:rFonts w:hint="eastAsia" w:ascii="宋体" w:hAnsi="宋体" w:cs="宋体"/>
          <w:color w:val="auto"/>
          <w:sz w:val="24"/>
          <w:szCs w:val="24"/>
          <w:highlight w:val="none"/>
        </w:rPr>
        <w:t>14.1 竣工付款申请</w:t>
      </w:r>
      <w:bookmarkEnd w:id="813"/>
      <w:bookmarkEnd w:id="814"/>
      <w:bookmarkEnd w:id="815"/>
      <w:bookmarkEnd w:id="816"/>
      <w:bookmarkEnd w:id="817"/>
      <w:bookmarkEnd w:id="818"/>
      <w:bookmarkEnd w:id="819"/>
    </w:p>
    <w:p w14:paraId="1C44A7E8">
      <w:pPr>
        <w:pStyle w:val="7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承包人提交竣工付款申请单的期限：</w:t>
      </w:r>
      <w:r>
        <w:rPr>
          <w:rFonts w:hint="eastAsia" w:ascii="宋体" w:hAnsi="宋体" w:cs="宋体"/>
          <w:b/>
          <w:color w:val="auto"/>
          <w:szCs w:val="21"/>
          <w:highlight w:val="none"/>
          <w:u w:val="single"/>
        </w:rPr>
        <w:t>工程</w:t>
      </w:r>
      <w:r>
        <w:rPr>
          <w:rFonts w:hint="eastAsia" w:ascii="宋体" w:hAnsi="宋体" w:cs="宋体"/>
          <w:b/>
          <w:color w:val="auto"/>
          <w:kern w:val="0"/>
          <w:szCs w:val="21"/>
          <w:highlight w:val="none"/>
          <w:u w:val="single"/>
        </w:rPr>
        <w:t>竣工验收合格后28天内</w:t>
      </w:r>
      <w:r>
        <w:rPr>
          <w:rFonts w:hint="eastAsia" w:ascii="宋体" w:hAnsi="宋体" w:cs="宋体"/>
          <w:color w:val="auto"/>
          <w:szCs w:val="21"/>
          <w:highlight w:val="none"/>
        </w:rPr>
        <w:t>。</w:t>
      </w:r>
    </w:p>
    <w:p w14:paraId="1C14C386">
      <w:pPr>
        <w:pStyle w:val="63"/>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竣工付款申请单应包括的内容：</w:t>
      </w:r>
      <w:r>
        <w:rPr>
          <w:rFonts w:hint="eastAsia" w:ascii="宋体" w:hAnsi="宋体" w:cs="宋体"/>
          <w:b/>
          <w:color w:val="auto"/>
          <w:szCs w:val="21"/>
          <w:highlight w:val="none"/>
          <w:u w:val="single"/>
        </w:rPr>
        <w:t>执行</w:t>
      </w:r>
      <w:r>
        <w:rPr>
          <w:rFonts w:hint="eastAsia" w:ascii="宋体" w:hAnsi="宋体" w:cs="宋体"/>
          <w:b/>
          <w:color w:val="auto"/>
          <w:szCs w:val="21"/>
          <w:highlight w:val="none"/>
          <w:u w:val="single"/>
          <w:lang w:val="en-US" w:eastAsia="zh-CN"/>
        </w:rPr>
        <w:t>《通用合同条款》</w:t>
      </w:r>
      <w:r>
        <w:rPr>
          <w:rFonts w:hint="eastAsia" w:ascii="宋体" w:hAnsi="宋体" w:cs="宋体"/>
          <w:b/>
          <w:color w:val="auto"/>
          <w:szCs w:val="21"/>
          <w:highlight w:val="none"/>
          <w:u w:val="single"/>
        </w:rPr>
        <w:t>条款</w:t>
      </w:r>
      <w:r>
        <w:rPr>
          <w:rFonts w:hint="eastAsia" w:ascii="宋体" w:hAnsi="宋体" w:cs="宋体"/>
          <w:color w:val="auto"/>
          <w:szCs w:val="21"/>
          <w:highlight w:val="none"/>
        </w:rPr>
        <w:t>。</w:t>
      </w:r>
    </w:p>
    <w:p w14:paraId="03A88935">
      <w:pPr>
        <w:pStyle w:val="130"/>
        <w:spacing w:line="420" w:lineRule="exact"/>
        <w:rPr>
          <w:rFonts w:ascii="宋体" w:hAnsi="宋体" w:cs="宋体"/>
          <w:color w:val="auto"/>
          <w:sz w:val="24"/>
          <w:szCs w:val="24"/>
          <w:highlight w:val="none"/>
        </w:rPr>
      </w:pPr>
      <w:bookmarkStart w:id="820" w:name="_Toc497215775"/>
      <w:bookmarkStart w:id="821" w:name="_Toc75182763"/>
      <w:bookmarkStart w:id="822" w:name="_Toc497147218"/>
      <w:bookmarkStart w:id="823" w:name="_Toc3488"/>
      <w:bookmarkStart w:id="824" w:name="_Toc47088362"/>
      <w:bookmarkStart w:id="825" w:name="_Toc407135263"/>
      <w:bookmarkStart w:id="826" w:name="_Toc497901174"/>
      <w:r>
        <w:rPr>
          <w:rFonts w:hint="eastAsia" w:ascii="宋体" w:hAnsi="宋体" w:cs="宋体"/>
          <w:color w:val="auto"/>
          <w:sz w:val="24"/>
          <w:szCs w:val="24"/>
          <w:highlight w:val="none"/>
        </w:rPr>
        <w:t>14.2 竣工结算审核</w:t>
      </w:r>
      <w:bookmarkEnd w:id="820"/>
      <w:bookmarkEnd w:id="821"/>
      <w:bookmarkEnd w:id="822"/>
      <w:bookmarkEnd w:id="823"/>
      <w:bookmarkEnd w:id="824"/>
      <w:bookmarkEnd w:id="825"/>
      <w:bookmarkEnd w:id="826"/>
    </w:p>
    <w:p w14:paraId="3265DB34">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发包人审批竣工付款申请单的期限：</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4384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ign w:val="center"/>
          </w:tcPr>
          <w:p w14:paraId="1AED011D">
            <w:pPr>
              <w:pStyle w:val="63"/>
              <w:spacing w:line="360" w:lineRule="auto"/>
              <w:rPr>
                <w:rFonts w:ascii="宋体" w:hAnsi="宋体" w:cs="宋体"/>
                <w:bCs/>
                <w:color w:val="auto"/>
                <w:szCs w:val="21"/>
                <w:highlight w:val="none"/>
              </w:rPr>
            </w:pPr>
          </w:p>
        </w:tc>
        <w:tc>
          <w:tcPr>
            <w:tcW w:w="2466" w:type="dxa"/>
            <w:noWrap/>
            <w:vAlign w:val="center"/>
          </w:tcPr>
          <w:p w14:paraId="7C8420C7">
            <w:pPr>
              <w:pStyle w:val="63"/>
              <w:spacing w:line="360" w:lineRule="auto"/>
              <w:ind w:firstLine="27" w:firstLineChars="13"/>
              <w:jc w:val="center"/>
              <w:rPr>
                <w:rFonts w:ascii="宋体" w:hAnsi="宋体" w:cs="宋体"/>
                <w:bCs/>
                <w:color w:val="auto"/>
                <w:szCs w:val="21"/>
                <w:highlight w:val="none"/>
              </w:rPr>
            </w:pPr>
            <w:r>
              <w:rPr>
                <w:rFonts w:hint="eastAsia" w:ascii="宋体" w:hAnsi="宋体" w:cs="宋体"/>
                <w:bCs/>
                <w:color w:val="auto"/>
                <w:szCs w:val="21"/>
                <w:highlight w:val="none"/>
              </w:rPr>
              <w:t>工程竣工结算报告金额</w:t>
            </w:r>
          </w:p>
        </w:tc>
        <w:tc>
          <w:tcPr>
            <w:tcW w:w="5967" w:type="dxa"/>
            <w:noWrap/>
            <w:vAlign w:val="center"/>
          </w:tcPr>
          <w:p w14:paraId="0725040B">
            <w:pPr>
              <w:pStyle w:val="63"/>
              <w:spacing w:line="360" w:lineRule="auto"/>
              <w:ind w:firstLine="441" w:firstLineChars="210"/>
              <w:jc w:val="center"/>
              <w:rPr>
                <w:rFonts w:ascii="宋体" w:hAnsi="宋体" w:cs="宋体"/>
                <w:bCs/>
                <w:color w:val="auto"/>
                <w:szCs w:val="21"/>
                <w:highlight w:val="none"/>
              </w:rPr>
            </w:pPr>
            <w:r>
              <w:rPr>
                <w:rFonts w:hint="eastAsia" w:ascii="宋体" w:hAnsi="宋体" w:cs="宋体"/>
                <w:bCs/>
                <w:color w:val="auto"/>
                <w:szCs w:val="21"/>
                <w:highlight w:val="none"/>
              </w:rPr>
              <w:t>发包人审查时间</w:t>
            </w:r>
          </w:p>
        </w:tc>
      </w:tr>
      <w:tr w14:paraId="4A73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ign w:val="center"/>
          </w:tcPr>
          <w:p w14:paraId="08DEE86C">
            <w:pPr>
              <w:pStyle w:val="63"/>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2466" w:type="dxa"/>
            <w:noWrap/>
            <w:vAlign w:val="center"/>
          </w:tcPr>
          <w:p w14:paraId="5930E76F">
            <w:pPr>
              <w:pStyle w:val="63"/>
              <w:spacing w:line="360" w:lineRule="auto"/>
              <w:ind w:firstLine="27" w:firstLineChars="13"/>
              <w:jc w:val="center"/>
              <w:rPr>
                <w:rFonts w:ascii="宋体" w:hAnsi="宋体" w:cs="宋体"/>
                <w:bCs/>
                <w:color w:val="auto"/>
                <w:szCs w:val="21"/>
                <w:highlight w:val="none"/>
              </w:rPr>
            </w:pPr>
            <w:r>
              <w:rPr>
                <w:rFonts w:hint="eastAsia" w:ascii="宋体" w:hAnsi="宋体" w:cs="宋体"/>
                <w:bCs/>
                <w:color w:val="auto"/>
                <w:szCs w:val="21"/>
                <w:highlight w:val="none"/>
              </w:rPr>
              <w:t>500万元以下</w:t>
            </w:r>
          </w:p>
        </w:tc>
        <w:tc>
          <w:tcPr>
            <w:tcW w:w="5967" w:type="dxa"/>
            <w:noWrap/>
            <w:vAlign w:val="center"/>
          </w:tcPr>
          <w:p w14:paraId="727E3D60">
            <w:pPr>
              <w:pStyle w:val="63"/>
              <w:spacing w:line="360" w:lineRule="auto"/>
              <w:ind w:firstLine="441" w:firstLineChars="210"/>
              <w:jc w:val="center"/>
              <w:rPr>
                <w:rFonts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从接到竣工结算报告和完整的竣工结算资料之日起20天</w:t>
            </w:r>
          </w:p>
        </w:tc>
      </w:tr>
      <w:tr w14:paraId="7BBE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ign w:val="center"/>
          </w:tcPr>
          <w:p w14:paraId="63CA9BA6">
            <w:pPr>
              <w:pStyle w:val="63"/>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2466" w:type="dxa"/>
            <w:noWrap/>
            <w:vAlign w:val="center"/>
          </w:tcPr>
          <w:p w14:paraId="465C610E">
            <w:pPr>
              <w:pStyle w:val="63"/>
              <w:spacing w:line="360" w:lineRule="auto"/>
              <w:ind w:firstLine="27" w:firstLineChars="13"/>
              <w:jc w:val="center"/>
              <w:rPr>
                <w:rFonts w:ascii="宋体" w:hAnsi="宋体" w:cs="宋体"/>
                <w:bCs/>
                <w:color w:val="auto"/>
                <w:szCs w:val="21"/>
                <w:highlight w:val="none"/>
              </w:rPr>
            </w:pPr>
            <w:r>
              <w:rPr>
                <w:rFonts w:hint="eastAsia" w:ascii="宋体" w:hAnsi="宋体" w:cs="宋体"/>
                <w:bCs/>
                <w:color w:val="auto"/>
                <w:szCs w:val="21"/>
                <w:highlight w:val="none"/>
              </w:rPr>
              <w:t>500万元-2000万元</w:t>
            </w:r>
          </w:p>
        </w:tc>
        <w:tc>
          <w:tcPr>
            <w:tcW w:w="5967" w:type="dxa"/>
            <w:noWrap/>
            <w:vAlign w:val="center"/>
          </w:tcPr>
          <w:p w14:paraId="7FE3B5F3">
            <w:pPr>
              <w:pStyle w:val="63"/>
              <w:spacing w:line="360" w:lineRule="auto"/>
              <w:ind w:firstLine="441" w:firstLineChars="210"/>
              <w:jc w:val="center"/>
              <w:rPr>
                <w:rFonts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从接到竣工结算报告和完整的竣工结算资料之日起30天</w:t>
            </w:r>
          </w:p>
        </w:tc>
      </w:tr>
      <w:tr w14:paraId="5288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ign w:val="center"/>
          </w:tcPr>
          <w:p w14:paraId="2C82CE26">
            <w:pPr>
              <w:pStyle w:val="63"/>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2466" w:type="dxa"/>
            <w:noWrap/>
            <w:vAlign w:val="center"/>
          </w:tcPr>
          <w:p w14:paraId="48E82850">
            <w:pPr>
              <w:pStyle w:val="63"/>
              <w:spacing w:line="360" w:lineRule="auto"/>
              <w:ind w:firstLine="27" w:firstLineChars="13"/>
              <w:jc w:val="center"/>
              <w:rPr>
                <w:rFonts w:ascii="宋体" w:hAnsi="宋体" w:cs="宋体"/>
                <w:bCs/>
                <w:color w:val="auto"/>
                <w:szCs w:val="21"/>
                <w:highlight w:val="none"/>
              </w:rPr>
            </w:pPr>
            <w:r>
              <w:rPr>
                <w:rFonts w:hint="eastAsia" w:ascii="宋体" w:hAnsi="宋体" w:cs="宋体"/>
                <w:bCs/>
                <w:color w:val="auto"/>
                <w:szCs w:val="21"/>
                <w:highlight w:val="none"/>
              </w:rPr>
              <w:t>2000万元-5000万元</w:t>
            </w:r>
          </w:p>
        </w:tc>
        <w:tc>
          <w:tcPr>
            <w:tcW w:w="5967" w:type="dxa"/>
            <w:noWrap/>
            <w:vAlign w:val="center"/>
          </w:tcPr>
          <w:p w14:paraId="01EFC3D9">
            <w:pPr>
              <w:pStyle w:val="63"/>
              <w:spacing w:line="360" w:lineRule="auto"/>
              <w:ind w:firstLine="441" w:firstLineChars="210"/>
              <w:jc w:val="center"/>
              <w:rPr>
                <w:rFonts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从接到竣工结算报告和完整的竣工结算资料之日起45天</w:t>
            </w:r>
          </w:p>
        </w:tc>
      </w:tr>
      <w:tr w14:paraId="7A8F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ign w:val="center"/>
          </w:tcPr>
          <w:p w14:paraId="59B0447D">
            <w:pPr>
              <w:pStyle w:val="63"/>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2466" w:type="dxa"/>
            <w:noWrap/>
            <w:vAlign w:val="center"/>
          </w:tcPr>
          <w:p w14:paraId="17051BF7">
            <w:pPr>
              <w:pStyle w:val="63"/>
              <w:spacing w:line="360" w:lineRule="auto"/>
              <w:ind w:firstLine="27" w:firstLineChars="13"/>
              <w:jc w:val="center"/>
              <w:rPr>
                <w:rFonts w:ascii="宋体" w:hAnsi="宋体" w:cs="宋体"/>
                <w:bCs/>
                <w:color w:val="auto"/>
                <w:szCs w:val="21"/>
                <w:highlight w:val="none"/>
              </w:rPr>
            </w:pPr>
            <w:r>
              <w:rPr>
                <w:rFonts w:hint="eastAsia" w:ascii="宋体" w:hAnsi="宋体" w:cs="宋体"/>
                <w:bCs/>
                <w:color w:val="auto"/>
                <w:szCs w:val="21"/>
                <w:highlight w:val="none"/>
              </w:rPr>
              <w:t>5000万元以上</w:t>
            </w:r>
          </w:p>
        </w:tc>
        <w:tc>
          <w:tcPr>
            <w:tcW w:w="5967" w:type="dxa"/>
            <w:noWrap/>
            <w:vAlign w:val="center"/>
          </w:tcPr>
          <w:p w14:paraId="72BCDA4A">
            <w:pPr>
              <w:pStyle w:val="63"/>
              <w:spacing w:line="360" w:lineRule="auto"/>
              <w:ind w:firstLine="441" w:firstLineChars="210"/>
              <w:jc w:val="center"/>
              <w:rPr>
                <w:rFonts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从接到竣工结算报告和完整的竣工结算资料之日起60天</w:t>
            </w:r>
          </w:p>
        </w:tc>
      </w:tr>
    </w:tbl>
    <w:p w14:paraId="0E21398D">
      <w:pPr>
        <w:pStyle w:val="70"/>
        <w:spacing w:line="400" w:lineRule="exact"/>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因承包人提供的结算资料不完整而需要补充或承包人不按时对账耽误时间时，审查时间应相应顺延</w:t>
      </w:r>
      <w:r>
        <w:rPr>
          <w:rFonts w:hint="eastAsia" w:ascii="宋体" w:hAnsi="宋体" w:cs="宋体"/>
          <w:color w:val="auto"/>
          <w:szCs w:val="21"/>
          <w:highlight w:val="none"/>
        </w:rPr>
        <w:t>。</w:t>
      </w:r>
    </w:p>
    <w:p w14:paraId="041C315E">
      <w:pPr>
        <w:pStyle w:val="70"/>
        <w:spacing w:line="400" w:lineRule="exact"/>
        <w:ind w:firstLine="411" w:firstLineChars="196"/>
        <w:rPr>
          <w:rFonts w:ascii="宋体" w:hAnsi="宋体" w:cs="宋体"/>
          <w:bCs/>
          <w:color w:val="auto"/>
          <w:szCs w:val="21"/>
          <w:highlight w:val="none"/>
        </w:rPr>
      </w:pPr>
      <w:r>
        <w:rPr>
          <w:rFonts w:hint="eastAsia" w:ascii="宋体" w:hAnsi="宋体" w:cs="宋体"/>
          <w:bCs/>
          <w:color w:val="auto"/>
          <w:szCs w:val="21"/>
          <w:highlight w:val="none"/>
        </w:rPr>
        <w:t>结算审核约定：</w:t>
      </w:r>
    </w:p>
    <w:p w14:paraId="02944942">
      <w:pPr>
        <w:pStyle w:val="70"/>
        <w:spacing w:line="400" w:lineRule="exact"/>
        <w:ind w:firstLine="411" w:firstLineChars="196"/>
        <w:rPr>
          <w:rFonts w:ascii="宋体" w:hAnsi="宋体" w:cs="宋体"/>
          <w:bCs/>
          <w:color w:val="auto"/>
          <w:szCs w:val="21"/>
          <w:highlight w:val="none"/>
          <w:u w:val="single"/>
        </w:rPr>
      </w:pPr>
      <w:r>
        <w:rPr>
          <w:rFonts w:hint="eastAsia" w:ascii="宋体" w:hAnsi="宋体" w:cs="宋体"/>
          <w:bCs/>
          <w:color w:val="auto"/>
          <w:szCs w:val="21"/>
          <w:highlight w:val="none"/>
        </w:rPr>
        <w:t>非国有投资项目：</w:t>
      </w:r>
      <w:r>
        <w:rPr>
          <w:rFonts w:hint="eastAsia" w:ascii="宋体" w:hAnsi="宋体" w:cs="宋体"/>
          <w:color w:val="auto"/>
          <w:szCs w:val="21"/>
          <w:highlight w:val="none"/>
          <w:u w:val="single"/>
        </w:rPr>
        <w:t>1、工程竣工验收报告经发包人认可后 10 天内，承包人向发包人递交竣工验收合格资料及完整的结算资料和报告，双方按照协议书约定的合同价款及专用条款约定的合同价调整内容，进行工程竣工结算。2、发包人收到承包人递交的竣工结算报告及结算资料之日起 15 天内进行审核，给予确认或者提出初审意见。发包人逾期不予审定结算的视为发包人已同意上述竣工结算报告及结算资料，并以此作为最终结算的依据。发包人初审竣工结算完毕之日起30天内，按审定后的结算价款，通知经办银行向承包人支付工程竣工结算价款。承包人应根据发包人的需要随时将竣工工程交付发包人。</w:t>
      </w:r>
    </w:p>
    <w:p w14:paraId="13723441">
      <w:pPr>
        <w:pStyle w:val="70"/>
        <w:spacing w:line="400" w:lineRule="exact"/>
        <w:ind w:firstLine="411" w:firstLineChars="196"/>
        <w:rPr>
          <w:rFonts w:ascii="宋体" w:hAnsi="宋体" w:cs="宋体"/>
          <w:bCs/>
          <w:color w:val="auto"/>
          <w:szCs w:val="21"/>
          <w:highlight w:val="none"/>
          <w:u w:val="single"/>
        </w:rPr>
      </w:pPr>
      <w:r>
        <w:rPr>
          <w:rFonts w:hint="eastAsia" w:ascii="宋体" w:hAnsi="宋体" w:cs="宋体"/>
          <w:bCs/>
          <w:color w:val="auto"/>
          <w:szCs w:val="21"/>
          <w:highlight w:val="none"/>
          <w:u w:val="single"/>
        </w:rPr>
        <w:t xml:space="preserve">国有投资项目：（双方结合各地政府或有关部门出台的管理规定进行约定） </w:t>
      </w:r>
    </w:p>
    <w:p w14:paraId="7AA262B8">
      <w:pPr>
        <w:pStyle w:val="7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发包人完成竣工付款的期限：</w:t>
      </w:r>
      <w:r>
        <w:rPr>
          <w:rFonts w:hint="eastAsia" w:ascii="宋体" w:hAnsi="宋体" w:cs="宋体"/>
          <w:b/>
          <w:bCs/>
          <w:color w:val="auto"/>
          <w:szCs w:val="21"/>
          <w:highlight w:val="none"/>
          <w:u w:val="single"/>
          <w:lang w:val="en-US" w:eastAsia="zh-CN"/>
        </w:rPr>
        <w:t>按《通用合同条款》条执行</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w:t>
      </w:r>
    </w:p>
    <w:p w14:paraId="047FC714">
      <w:pPr>
        <w:pStyle w:val="63"/>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关于竣工付款证书异议部分复核的方式和程序：</w:t>
      </w:r>
      <w:r>
        <w:rPr>
          <w:rFonts w:hint="eastAsia" w:ascii="宋体" w:hAnsi="宋体" w:cs="宋体"/>
          <w:b/>
          <w:color w:val="auto"/>
          <w:szCs w:val="21"/>
          <w:highlight w:val="none"/>
          <w:u w:val="single"/>
        </w:rPr>
        <w:t>按通用合同条款执行</w:t>
      </w:r>
      <w:r>
        <w:rPr>
          <w:rFonts w:hint="eastAsia" w:ascii="宋体" w:hAnsi="宋体" w:cs="宋体"/>
          <w:color w:val="auto"/>
          <w:szCs w:val="21"/>
          <w:highlight w:val="none"/>
        </w:rPr>
        <w:t>。</w:t>
      </w:r>
    </w:p>
    <w:p w14:paraId="60821237">
      <w:pPr>
        <w:pStyle w:val="130"/>
        <w:spacing w:line="420" w:lineRule="exact"/>
        <w:rPr>
          <w:rFonts w:ascii="宋体" w:hAnsi="宋体" w:cs="宋体"/>
          <w:color w:val="auto"/>
          <w:sz w:val="24"/>
          <w:szCs w:val="24"/>
          <w:highlight w:val="none"/>
        </w:rPr>
      </w:pPr>
      <w:bookmarkStart w:id="827" w:name="_Toc497901175"/>
      <w:bookmarkStart w:id="828" w:name="_Toc75182764"/>
      <w:bookmarkStart w:id="829" w:name="_Toc407135264"/>
      <w:bookmarkStart w:id="830" w:name="_Toc16214"/>
      <w:bookmarkStart w:id="831" w:name="_Toc47088363"/>
      <w:bookmarkStart w:id="832" w:name="_Toc497147219"/>
      <w:bookmarkStart w:id="833" w:name="_Toc497215776"/>
      <w:r>
        <w:rPr>
          <w:rFonts w:hint="eastAsia" w:ascii="宋体" w:hAnsi="宋体" w:cs="宋体"/>
          <w:color w:val="auto"/>
          <w:sz w:val="24"/>
          <w:szCs w:val="24"/>
          <w:highlight w:val="none"/>
        </w:rPr>
        <w:t>14.4 最终结清</w:t>
      </w:r>
      <w:bookmarkEnd w:id="827"/>
      <w:bookmarkEnd w:id="828"/>
      <w:bookmarkEnd w:id="829"/>
      <w:bookmarkEnd w:id="830"/>
      <w:bookmarkEnd w:id="831"/>
      <w:bookmarkEnd w:id="832"/>
      <w:bookmarkEnd w:id="833"/>
    </w:p>
    <w:p w14:paraId="367CA971">
      <w:pPr>
        <w:pStyle w:val="7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14.4.1 最终结清申请单</w:t>
      </w:r>
    </w:p>
    <w:p w14:paraId="4EE8F81C">
      <w:pPr>
        <w:pStyle w:val="7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承包人提交最终结清申请单的份数：</w:t>
      </w:r>
      <w:r>
        <w:rPr>
          <w:rFonts w:hint="eastAsia" w:ascii="宋体" w:hAnsi="宋体" w:cs="宋体"/>
          <w:b/>
          <w:color w:val="auto"/>
          <w:szCs w:val="21"/>
          <w:highlight w:val="none"/>
          <w:u w:val="single"/>
        </w:rPr>
        <w:t>4份</w:t>
      </w:r>
      <w:r>
        <w:rPr>
          <w:rFonts w:hint="eastAsia" w:ascii="宋体" w:hAnsi="宋体" w:cs="宋体"/>
          <w:color w:val="auto"/>
          <w:szCs w:val="21"/>
          <w:highlight w:val="none"/>
        </w:rPr>
        <w:t>。</w:t>
      </w:r>
    </w:p>
    <w:p w14:paraId="473750F0">
      <w:pPr>
        <w:pStyle w:val="7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承包人提交最终结算申请单的期限：</w:t>
      </w:r>
      <w:r>
        <w:rPr>
          <w:rFonts w:hint="eastAsia" w:ascii="宋体" w:hAnsi="宋体" w:cs="宋体"/>
          <w:color w:val="auto"/>
          <w:szCs w:val="21"/>
          <w:highlight w:val="none"/>
          <w:u w:val="single"/>
        </w:rPr>
        <w:t xml:space="preserve">双方确认审计总额后28天   </w:t>
      </w:r>
      <w:r>
        <w:rPr>
          <w:rFonts w:hint="eastAsia" w:ascii="宋体" w:hAnsi="宋体" w:cs="宋体"/>
          <w:color w:val="auto"/>
          <w:szCs w:val="21"/>
          <w:highlight w:val="none"/>
        </w:rPr>
        <w:t xml:space="preserve">。 </w:t>
      </w:r>
    </w:p>
    <w:p w14:paraId="4C3BAA6D">
      <w:pPr>
        <w:pStyle w:val="7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14.4.2 最终结清证书和支付</w:t>
      </w:r>
    </w:p>
    <w:p w14:paraId="0DE9C446">
      <w:pPr>
        <w:pStyle w:val="7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color w:val="auto"/>
          <w:szCs w:val="21"/>
          <w:highlight w:val="none"/>
          <w:u w:val="single"/>
        </w:rPr>
        <w:t>双方确认审计总额后28天</w:t>
      </w:r>
      <w:r>
        <w:rPr>
          <w:rFonts w:hint="eastAsia" w:ascii="宋体" w:hAnsi="宋体" w:cs="宋体"/>
          <w:color w:val="auto"/>
          <w:szCs w:val="21"/>
          <w:highlight w:val="none"/>
        </w:rPr>
        <w:t>。</w:t>
      </w:r>
    </w:p>
    <w:p w14:paraId="6E579282">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（2）发包人完成支付的期限：</w:t>
      </w:r>
      <w:r>
        <w:rPr>
          <w:rFonts w:hint="eastAsia" w:ascii="宋体" w:hAnsi="宋体" w:cs="宋体"/>
          <w:color w:val="auto"/>
          <w:szCs w:val="21"/>
          <w:highlight w:val="none"/>
          <w:u w:val="single"/>
          <w:lang w:val="en-US" w:eastAsia="zh-CN"/>
        </w:rPr>
        <w:t>按《通用合同条款》条执行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B9E4D07">
      <w:pPr>
        <w:pStyle w:val="130"/>
        <w:spacing w:line="420" w:lineRule="exact"/>
        <w:rPr>
          <w:rFonts w:ascii="宋体" w:hAnsi="宋体" w:cs="宋体"/>
          <w:color w:val="auto"/>
          <w:sz w:val="24"/>
          <w:szCs w:val="24"/>
          <w:highlight w:val="none"/>
        </w:rPr>
      </w:pPr>
      <w:bookmarkStart w:id="834" w:name="_Toc407135265"/>
      <w:bookmarkStart w:id="835" w:name="_Toc14696"/>
      <w:bookmarkStart w:id="836" w:name="_Toc497215777"/>
      <w:bookmarkStart w:id="837" w:name="_Toc497901176"/>
      <w:bookmarkStart w:id="838" w:name="_Toc75182765"/>
      <w:bookmarkStart w:id="839" w:name="_Toc47088364"/>
      <w:bookmarkStart w:id="840" w:name="_Toc497147220"/>
      <w:r>
        <w:rPr>
          <w:rFonts w:hint="eastAsia" w:ascii="宋体" w:hAnsi="宋体" w:cs="宋体"/>
          <w:color w:val="auto"/>
          <w:sz w:val="24"/>
          <w:szCs w:val="24"/>
          <w:highlight w:val="none"/>
        </w:rPr>
        <w:t>15. 缺陷责任期与保修</w:t>
      </w:r>
      <w:bookmarkEnd w:id="834"/>
      <w:bookmarkEnd w:id="835"/>
      <w:bookmarkEnd w:id="836"/>
      <w:bookmarkEnd w:id="837"/>
      <w:bookmarkEnd w:id="838"/>
      <w:bookmarkEnd w:id="839"/>
      <w:bookmarkEnd w:id="840"/>
    </w:p>
    <w:p w14:paraId="64594E33">
      <w:pPr>
        <w:pStyle w:val="130"/>
        <w:spacing w:line="420" w:lineRule="exact"/>
        <w:rPr>
          <w:rFonts w:ascii="宋体" w:hAnsi="宋体" w:cs="宋体"/>
          <w:color w:val="auto"/>
          <w:sz w:val="24"/>
          <w:szCs w:val="24"/>
          <w:highlight w:val="none"/>
        </w:rPr>
      </w:pPr>
      <w:bookmarkStart w:id="841" w:name="_Toc75182766"/>
      <w:bookmarkStart w:id="842" w:name="_Toc497147221"/>
      <w:bookmarkStart w:id="843" w:name="_Toc497215778"/>
      <w:bookmarkStart w:id="844" w:name="_Toc17349"/>
      <w:bookmarkStart w:id="845" w:name="_Toc497901177"/>
      <w:bookmarkStart w:id="846" w:name="_Toc407135266"/>
      <w:bookmarkStart w:id="847" w:name="_Toc47088365"/>
      <w:r>
        <w:rPr>
          <w:rFonts w:hint="eastAsia" w:ascii="宋体" w:hAnsi="宋体" w:cs="宋体"/>
          <w:color w:val="auto"/>
          <w:sz w:val="24"/>
          <w:szCs w:val="24"/>
          <w:highlight w:val="none"/>
        </w:rPr>
        <w:t>15.2 缺陷责任期</w:t>
      </w:r>
      <w:bookmarkEnd w:id="841"/>
      <w:bookmarkEnd w:id="842"/>
      <w:bookmarkEnd w:id="843"/>
      <w:bookmarkEnd w:id="844"/>
      <w:bookmarkEnd w:id="845"/>
      <w:bookmarkEnd w:id="846"/>
      <w:bookmarkEnd w:id="847"/>
    </w:p>
    <w:p w14:paraId="147E4CED">
      <w:pPr>
        <w:pStyle w:val="63"/>
        <w:spacing w:line="360" w:lineRule="auto"/>
        <w:ind w:firstLine="420" w:firstLineChars="200"/>
        <w:jc w:val="left"/>
        <w:rPr>
          <w:rFonts w:ascii="宋体" w:hAnsi="宋体" w:cs="宋体"/>
          <w:color w:val="auto"/>
          <w:szCs w:val="21"/>
          <w:highlight w:val="none"/>
          <w:u w:val="none"/>
        </w:rPr>
      </w:pPr>
      <w:r>
        <w:rPr>
          <w:rFonts w:hint="eastAsia" w:ascii="宋体" w:hAnsi="宋体" w:cs="宋体"/>
          <w:color w:val="auto"/>
          <w:szCs w:val="21"/>
          <w:highlight w:val="none"/>
        </w:rPr>
        <w:t>缺陷责任期的具体期限：</w:t>
      </w:r>
      <w:r>
        <w:rPr>
          <w:rFonts w:hint="eastAsia" w:ascii="宋体" w:hAnsi="宋体" w:cs="宋体"/>
          <w:b/>
          <w:color w:val="auto"/>
          <w:szCs w:val="21"/>
          <w:highlight w:val="none"/>
          <w:u w:val="single"/>
          <w:lang w:val="en-US" w:eastAsia="zh-CN"/>
        </w:rPr>
        <w:t>一年</w:t>
      </w:r>
      <w:r>
        <w:rPr>
          <w:rFonts w:hint="eastAsia" w:ascii="宋体" w:hAnsi="宋体" w:cs="宋体"/>
          <w:b/>
          <w:color w:val="auto"/>
          <w:szCs w:val="21"/>
          <w:highlight w:val="none"/>
          <w:u w:val="none"/>
          <w:lang w:val="en-US" w:eastAsia="zh-CN"/>
        </w:rPr>
        <w:t>。</w:t>
      </w:r>
    </w:p>
    <w:p w14:paraId="71E835DB">
      <w:pPr>
        <w:pStyle w:val="130"/>
        <w:spacing w:line="420" w:lineRule="exact"/>
        <w:rPr>
          <w:rFonts w:ascii="宋体" w:hAnsi="宋体" w:cs="宋体"/>
          <w:color w:val="auto"/>
          <w:sz w:val="24"/>
          <w:szCs w:val="24"/>
          <w:highlight w:val="none"/>
        </w:rPr>
      </w:pPr>
      <w:bookmarkStart w:id="848" w:name="_Toc47088366"/>
      <w:bookmarkStart w:id="849" w:name="_Toc497215779"/>
      <w:bookmarkStart w:id="850" w:name="_Toc497147222"/>
      <w:bookmarkStart w:id="851" w:name="_Toc75182767"/>
      <w:bookmarkStart w:id="852" w:name="_Toc497901178"/>
      <w:bookmarkStart w:id="853" w:name="_Toc2144"/>
      <w:bookmarkStart w:id="854" w:name="_Toc407135267"/>
      <w:r>
        <w:rPr>
          <w:rFonts w:hint="eastAsia" w:ascii="宋体" w:hAnsi="宋体" w:cs="宋体"/>
          <w:color w:val="auto"/>
          <w:sz w:val="24"/>
          <w:szCs w:val="24"/>
          <w:highlight w:val="none"/>
        </w:rPr>
        <w:t>15.3 质量保证金</w:t>
      </w:r>
      <w:bookmarkEnd w:id="848"/>
      <w:bookmarkEnd w:id="849"/>
      <w:bookmarkEnd w:id="850"/>
      <w:bookmarkEnd w:id="851"/>
      <w:bookmarkEnd w:id="852"/>
      <w:bookmarkEnd w:id="853"/>
      <w:bookmarkEnd w:id="854"/>
    </w:p>
    <w:p w14:paraId="68D06F9B">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 xml:space="preserve"> 是    </w:t>
      </w:r>
      <w:r>
        <w:rPr>
          <w:rFonts w:hint="eastAsia" w:ascii="宋体" w:hAnsi="宋体" w:cs="宋体"/>
          <w:color w:val="auto"/>
          <w:szCs w:val="21"/>
          <w:highlight w:val="none"/>
        </w:rPr>
        <w:t>。</w:t>
      </w:r>
    </w:p>
    <w:p w14:paraId="3E7F879D">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15.3.1 承包人提供质量保证金的方式</w:t>
      </w:r>
    </w:p>
    <w:p w14:paraId="443457AD">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w:t>
      </w:r>
    </w:p>
    <w:p w14:paraId="7B08FBEF">
      <w:pPr>
        <w:pStyle w:val="63"/>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（1）质量保证金保函，保证金额为：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kern w:val="0"/>
          <w:szCs w:val="21"/>
          <w:highlight w:val="none"/>
        </w:rPr>
        <w:t>；</w:t>
      </w:r>
    </w:p>
    <w:p w14:paraId="2FCFA2AF">
      <w:pPr>
        <w:pStyle w:val="63"/>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bCs/>
          <w:color w:val="auto"/>
          <w:szCs w:val="21"/>
          <w:highlight w:val="none"/>
        </w:rPr>
        <w:t>发包人按工程价款结算总额的</w:t>
      </w:r>
      <w:r>
        <w:rPr>
          <w:rFonts w:hint="eastAsia" w:ascii="宋体" w:hAnsi="宋体" w:cs="宋体"/>
          <w:bCs/>
          <w:color w:val="auto"/>
          <w:szCs w:val="21"/>
          <w:highlight w:val="none"/>
          <w:u w:val="single"/>
        </w:rPr>
        <w:t xml:space="preserve">  3 </w:t>
      </w:r>
      <w:r>
        <w:rPr>
          <w:rFonts w:hint="eastAsia" w:ascii="宋体" w:hAnsi="宋体" w:cs="宋体"/>
          <w:bCs/>
          <w:color w:val="auto"/>
          <w:szCs w:val="21"/>
          <w:highlight w:val="none"/>
        </w:rPr>
        <w:t>%预留工程质量保修金，待缺陷责任期满后返还</w:t>
      </w:r>
      <w:r>
        <w:rPr>
          <w:rFonts w:hint="eastAsia" w:ascii="宋体" w:hAnsi="宋体" w:cs="宋体"/>
          <w:color w:val="auto"/>
          <w:kern w:val="0"/>
          <w:szCs w:val="21"/>
          <w:highlight w:val="none"/>
        </w:rPr>
        <w:t>；</w:t>
      </w:r>
    </w:p>
    <w:p w14:paraId="22A3E8BF">
      <w:pPr>
        <w:pStyle w:val="63"/>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（3）其他方式：</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bCs/>
          <w:color w:val="auto"/>
          <w:szCs w:val="21"/>
          <w:highlight w:val="none"/>
        </w:rPr>
        <w:t>。</w:t>
      </w:r>
    </w:p>
    <w:p w14:paraId="594F7D17">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15.3.2 质量保证金的扣留</w:t>
      </w:r>
    </w:p>
    <w:p w14:paraId="5CA1F10D">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w:t>
      </w:r>
    </w:p>
    <w:p w14:paraId="6816BAEE">
      <w:pPr>
        <w:pStyle w:val="63"/>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（1）在支付工程进度款时逐次扣留，在此情形下，质量保证金的计算基数不包括预付款的支付、扣回以及价格调整的金额；</w:t>
      </w:r>
    </w:p>
    <w:p w14:paraId="6275BFCD">
      <w:pPr>
        <w:pStyle w:val="63"/>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（2）工程竣工结算时一次性扣留质量保证金；</w:t>
      </w:r>
    </w:p>
    <w:p w14:paraId="797E3F08">
      <w:pPr>
        <w:pStyle w:val="63"/>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（3）其他扣留方式:</w:t>
      </w:r>
      <w:r>
        <w:rPr>
          <w:rFonts w:hint="eastAsia" w:ascii="宋体" w:hAnsi="宋体" w:cs="宋体"/>
          <w:color w:val="auto"/>
          <w:szCs w:val="21"/>
          <w:highlight w:val="none"/>
          <w:u w:val="single"/>
        </w:rPr>
        <w:t>/</w:t>
      </w:r>
      <w:r>
        <w:rPr>
          <w:rFonts w:hint="eastAsia" w:ascii="宋体" w:hAnsi="宋体" w:cs="宋体"/>
          <w:color w:val="auto"/>
          <w:kern w:val="0"/>
          <w:szCs w:val="21"/>
          <w:highlight w:val="none"/>
        </w:rPr>
        <w:t>。</w:t>
      </w:r>
    </w:p>
    <w:p w14:paraId="2A96C79E">
      <w:pPr>
        <w:pStyle w:val="63"/>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szCs w:val="21"/>
          <w:highlight w:val="none"/>
        </w:rPr>
        <w:t>关于质量保证金的补充约定：</w:t>
      </w:r>
      <w:r>
        <w:rPr>
          <w:rFonts w:hint="eastAsia" w:ascii="宋体" w:hAnsi="宋体" w:cs="宋体"/>
          <w:color w:val="auto"/>
          <w:szCs w:val="21"/>
          <w:highlight w:val="none"/>
          <w:u w:val="single"/>
        </w:rPr>
        <w:t>/</w:t>
      </w:r>
      <w:r>
        <w:rPr>
          <w:rFonts w:hint="eastAsia" w:ascii="宋体" w:hAnsi="宋体" w:cs="宋体"/>
          <w:color w:val="auto"/>
          <w:kern w:val="0"/>
          <w:szCs w:val="21"/>
          <w:highlight w:val="none"/>
        </w:rPr>
        <w:t>。</w:t>
      </w:r>
    </w:p>
    <w:p w14:paraId="31189FFF">
      <w:pPr>
        <w:pStyle w:val="130"/>
        <w:spacing w:line="420" w:lineRule="exact"/>
        <w:rPr>
          <w:rFonts w:ascii="宋体" w:hAnsi="宋体" w:cs="宋体"/>
          <w:color w:val="auto"/>
          <w:sz w:val="24"/>
          <w:szCs w:val="24"/>
          <w:highlight w:val="none"/>
        </w:rPr>
      </w:pPr>
      <w:bookmarkStart w:id="855" w:name="_Toc26409"/>
      <w:bookmarkStart w:id="856" w:name="_Toc75182768"/>
      <w:bookmarkStart w:id="857" w:name="_Toc497901179"/>
      <w:bookmarkStart w:id="858" w:name="_Toc47088367"/>
      <w:bookmarkStart w:id="859" w:name="_Toc497147223"/>
      <w:bookmarkStart w:id="860" w:name="_Toc407135268"/>
      <w:bookmarkStart w:id="861" w:name="_Toc497215780"/>
      <w:r>
        <w:rPr>
          <w:rFonts w:hint="eastAsia" w:ascii="宋体" w:hAnsi="宋体" w:cs="宋体"/>
          <w:color w:val="auto"/>
          <w:sz w:val="24"/>
          <w:szCs w:val="24"/>
          <w:highlight w:val="none"/>
        </w:rPr>
        <w:t>15.4 保修</w:t>
      </w:r>
      <w:bookmarkEnd w:id="855"/>
      <w:bookmarkEnd w:id="856"/>
      <w:bookmarkEnd w:id="857"/>
      <w:bookmarkEnd w:id="858"/>
      <w:bookmarkEnd w:id="859"/>
      <w:bookmarkEnd w:id="860"/>
      <w:bookmarkEnd w:id="861"/>
    </w:p>
    <w:p w14:paraId="68281AB4">
      <w:pPr>
        <w:pStyle w:val="63"/>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15.4.1 保修责任</w:t>
      </w:r>
    </w:p>
    <w:p w14:paraId="494D3C49">
      <w:pPr>
        <w:pStyle w:val="63"/>
        <w:spacing w:line="360" w:lineRule="auto"/>
        <w:ind w:firstLine="409" w:firstLineChars="195"/>
        <w:jc w:val="left"/>
        <w:rPr>
          <w:rFonts w:ascii="宋体" w:hAnsi="宋体" w:cs="宋体"/>
          <w:color w:val="auto"/>
          <w:kern w:val="0"/>
          <w:szCs w:val="21"/>
          <w:highlight w:val="none"/>
        </w:rPr>
      </w:pPr>
      <w:r>
        <w:rPr>
          <w:rFonts w:hint="eastAsia" w:ascii="宋体" w:hAnsi="宋体" w:cs="宋体"/>
          <w:color w:val="auto"/>
          <w:szCs w:val="21"/>
          <w:highlight w:val="none"/>
        </w:rPr>
        <w:t>工程保修期为：</w:t>
      </w:r>
      <w:r>
        <w:rPr>
          <w:rFonts w:hint="eastAsia" w:ascii="宋体" w:hAnsi="宋体" w:cs="宋体"/>
          <w:color w:val="auto"/>
          <w:szCs w:val="21"/>
          <w:highlight w:val="none"/>
          <w:u w:val="single"/>
          <w:lang w:val="en-US" w:eastAsia="zh-CN"/>
        </w:rPr>
        <w:t>一年</w:t>
      </w:r>
      <w:r>
        <w:rPr>
          <w:rFonts w:hint="eastAsia" w:ascii="宋体" w:hAnsi="宋体" w:cs="宋体"/>
          <w:b/>
          <w:color w:val="auto"/>
          <w:szCs w:val="21"/>
          <w:highlight w:val="none"/>
          <w:u w:val="single"/>
          <w:lang w:val="en-US" w:eastAsia="zh-CN"/>
        </w:rPr>
        <w:t>，其他保修</w:t>
      </w:r>
      <w:r>
        <w:rPr>
          <w:rFonts w:hint="eastAsia" w:ascii="宋体" w:hAnsi="宋体" w:cs="宋体"/>
          <w:b/>
          <w:bCs/>
          <w:color w:val="auto"/>
          <w:szCs w:val="21"/>
          <w:highlight w:val="none"/>
          <w:u w:val="single"/>
        </w:rPr>
        <w:t>详见</w:t>
      </w:r>
      <w:r>
        <w:rPr>
          <w:rFonts w:hint="eastAsia" w:ascii="宋体" w:hAnsi="宋体" w:cs="宋体"/>
          <w:color w:val="auto"/>
          <w:szCs w:val="21"/>
          <w:highlight w:val="none"/>
          <w:u w:val="single"/>
        </w:rPr>
        <w:t>《</w:t>
      </w:r>
      <w:r>
        <w:rPr>
          <w:rFonts w:hint="eastAsia" w:ascii="宋体" w:hAnsi="宋体" w:cs="宋体"/>
          <w:b/>
          <w:color w:val="auto"/>
          <w:szCs w:val="21"/>
          <w:highlight w:val="none"/>
          <w:u w:val="single"/>
        </w:rPr>
        <w:t>工程质量保修书</w:t>
      </w:r>
      <w:r>
        <w:rPr>
          <w:rFonts w:hint="eastAsia" w:ascii="宋体" w:hAnsi="宋体" w:cs="宋体"/>
          <w:b/>
          <w:color w:val="auto"/>
          <w:kern w:val="0"/>
          <w:szCs w:val="21"/>
          <w:highlight w:val="none"/>
          <w:u w:val="single"/>
        </w:rPr>
        <w:t xml:space="preserve"> 》</w:t>
      </w:r>
      <w:r>
        <w:rPr>
          <w:rFonts w:hint="eastAsia" w:ascii="宋体" w:hAnsi="宋体" w:cs="宋体"/>
          <w:color w:val="auto"/>
          <w:kern w:val="0"/>
          <w:szCs w:val="21"/>
          <w:highlight w:val="none"/>
        </w:rPr>
        <w:t>。</w:t>
      </w:r>
    </w:p>
    <w:p w14:paraId="5E762E7A">
      <w:pPr>
        <w:pStyle w:val="63"/>
        <w:spacing w:line="360" w:lineRule="auto"/>
        <w:ind w:firstLine="409" w:firstLineChars="195"/>
        <w:jc w:val="left"/>
        <w:rPr>
          <w:rFonts w:ascii="宋体" w:hAnsi="宋体" w:cs="宋体"/>
          <w:color w:val="auto"/>
          <w:kern w:val="0"/>
          <w:szCs w:val="21"/>
          <w:highlight w:val="none"/>
          <w:u w:val="single"/>
        </w:rPr>
      </w:pPr>
      <w:r>
        <w:rPr>
          <w:rFonts w:hint="eastAsia" w:ascii="宋体" w:hAnsi="宋体" w:cs="宋体"/>
          <w:color w:val="auto"/>
          <w:szCs w:val="21"/>
          <w:highlight w:val="none"/>
        </w:rPr>
        <w:t>工程保修书具体内容见合同附件。</w:t>
      </w:r>
    </w:p>
    <w:p w14:paraId="065D3898">
      <w:pPr>
        <w:pStyle w:val="63"/>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15.4.3 修复通知</w:t>
      </w:r>
    </w:p>
    <w:p w14:paraId="59C660B5">
      <w:pPr>
        <w:pStyle w:val="63"/>
        <w:spacing w:line="360" w:lineRule="auto"/>
        <w:ind w:firstLine="409" w:firstLineChars="195"/>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color w:val="auto"/>
          <w:kern w:val="0"/>
          <w:szCs w:val="21"/>
          <w:highlight w:val="none"/>
          <w:u w:val="single"/>
        </w:rPr>
        <w:t xml:space="preserve">  48小时内</w:t>
      </w:r>
      <w:r>
        <w:rPr>
          <w:rFonts w:hint="eastAsia" w:ascii="宋体" w:hAnsi="宋体" w:cs="宋体"/>
          <w:color w:val="auto"/>
          <w:kern w:val="0"/>
          <w:szCs w:val="21"/>
          <w:highlight w:val="none"/>
        </w:rPr>
        <w:t>。</w:t>
      </w:r>
    </w:p>
    <w:p w14:paraId="2FF15C06">
      <w:pPr>
        <w:pStyle w:val="130"/>
        <w:spacing w:line="420" w:lineRule="exact"/>
        <w:rPr>
          <w:rFonts w:ascii="宋体" w:hAnsi="宋体" w:cs="宋体"/>
          <w:color w:val="auto"/>
          <w:sz w:val="24"/>
          <w:szCs w:val="24"/>
          <w:highlight w:val="none"/>
        </w:rPr>
      </w:pPr>
      <w:bookmarkStart w:id="862" w:name="_Toc497215781"/>
      <w:bookmarkStart w:id="863" w:name="_Toc497147224"/>
      <w:bookmarkStart w:id="864" w:name="_Toc75182769"/>
      <w:bookmarkStart w:id="865" w:name="_Toc407135269"/>
      <w:bookmarkStart w:id="866" w:name="_Toc497901180"/>
      <w:bookmarkStart w:id="867" w:name="_Toc32243"/>
      <w:bookmarkStart w:id="868" w:name="_Toc47088368"/>
      <w:r>
        <w:rPr>
          <w:rFonts w:hint="eastAsia" w:ascii="宋体" w:hAnsi="宋体" w:cs="宋体"/>
          <w:color w:val="auto"/>
          <w:sz w:val="24"/>
          <w:szCs w:val="24"/>
          <w:highlight w:val="none"/>
        </w:rPr>
        <w:t>16. 违约</w:t>
      </w:r>
      <w:bookmarkEnd w:id="862"/>
      <w:bookmarkEnd w:id="863"/>
      <w:bookmarkEnd w:id="864"/>
      <w:bookmarkEnd w:id="865"/>
      <w:bookmarkEnd w:id="866"/>
      <w:bookmarkEnd w:id="867"/>
      <w:bookmarkEnd w:id="868"/>
    </w:p>
    <w:p w14:paraId="427C3B56">
      <w:pPr>
        <w:pStyle w:val="130"/>
        <w:spacing w:line="420" w:lineRule="exact"/>
        <w:rPr>
          <w:rFonts w:ascii="宋体" w:hAnsi="宋体" w:cs="宋体"/>
          <w:color w:val="auto"/>
          <w:sz w:val="24"/>
          <w:szCs w:val="24"/>
          <w:highlight w:val="none"/>
        </w:rPr>
      </w:pPr>
      <w:bookmarkStart w:id="869" w:name="_Toc47088369"/>
      <w:bookmarkStart w:id="870" w:name="_Toc497215782"/>
      <w:bookmarkStart w:id="871" w:name="_Toc497901181"/>
      <w:bookmarkStart w:id="872" w:name="_Toc497147225"/>
      <w:bookmarkStart w:id="873" w:name="_Toc407135270"/>
      <w:bookmarkStart w:id="874" w:name="_Toc75182770"/>
      <w:bookmarkStart w:id="875" w:name="_Toc13658"/>
      <w:r>
        <w:rPr>
          <w:rFonts w:hint="eastAsia" w:ascii="宋体" w:hAnsi="宋体" w:cs="宋体"/>
          <w:color w:val="auto"/>
          <w:sz w:val="24"/>
          <w:szCs w:val="24"/>
          <w:highlight w:val="none"/>
        </w:rPr>
        <w:t>16.1 发包人违约</w:t>
      </w:r>
      <w:bookmarkEnd w:id="869"/>
      <w:bookmarkEnd w:id="870"/>
      <w:bookmarkEnd w:id="871"/>
      <w:bookmarkEnd w:id="872"/>
      <w:bookmarkEnd w:id="873"/>
      <w:bookmarkEnd w:id="874"/>
      <w:bookmarkEnd w:id="875"/>
    </w:p>
    <w:p w14:paraId="1CDF0B21">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16.1.1发包人违约的情形</w:t>
      </w:r>
    </w:p>
    <w:p w14:paraId="01191A15">
      <w:pPr>
        <w:pStyle w:val="63"/>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发包人违约的其他情形：</w:t>
      </w:r>
      <w:r>
        <w:rPr>
          <w:rFonts w:hint="eastAsia" w:ascii="宋体" w:hAnsi="宋体" w:cs="宋体"/>
          <w:color w:val="auto"/>
          <w:kern w:val="0"/>
          <w:szCs w:val="21"/>
          <w:highlight w:val="none"/>
          <w:u w:val="single"/>
        </w:rPr>
        <w:t xml:space="preserve">     按通用条款16.1执行       </w:t>
      </w:r>
      <w:r>
        <w:rPr>
          <w:rFonts w:hint="eastAsia" w:ascii="宋体" w:hAnsi="宋体" w:cs="宋体"/>
          <w:color w:val="auto"/>
          <w:kern w:val="0"/>
          <w:szCs w:val="21"/>
          <w:highlight w:val="none"/>
        </w:rPr>
        <w:t>。</w:t>
      </w:r>
    </w:p>
    <w:p w14:paraId="74A9CD46">
      <w:pPr>
        <w:pStyle w:val="63"/>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16.1.2 发包人违约的责任</w:t>
      </w:r>
    </w:p>
    <w:p w14:paraId="4270967D">
      <w:pPr>
        <w:pStyle w:val="7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发包人违约责任的承担方式和计算方法：</w:t>
      </w:r>
    </w:p>
    <w:p w14:paraId="756B2752">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）因发包人原因未能在计划开工日期前</w:t>
      </w:r>
      <w:r>
        <w:rPr>
          <w:color w:val="auto"/>
          <w:kern w:val="0"/>
          <w:highlight w:val="none"/>
        </w:rPr>
        <w:t>7</w:t>
      </w:r>
      <w:r>
        <w:rPr>
          <w:rFonts w:hint="eastAsia" w:hAnsi="宋体" w:cs="宋体"/>
          <w:color w:val="auto"/>
          <w:kern w:val="0"/>
          <w:highlight w:val="none"/>
        </w:rPr>
        <w:t>天内下达开工通知的违约责任：</w:t>
      </w:r>
      <w:r>
        <w:rPr>
          <w:rFonts w:hint="eastAsia"/>
          <w:color w:val="auto"/>
          <w:kern w:val="0"/>
          <w:highlight w:val="none"/>
          <w:u w:val="single"/>
        </w:rPr>
        <w:t>承包人可以要</w:t>
      </w:r>
    </w:p>
    <w:p w14:paraId="2AD0725F">
      <w:pPr>
        <w:spacing w:line="360" w:lineRule="auto"/>
        <w:jc w:val="left"/>
        <w:rPr>
          <w:color w:val="auto"/>
          <w:kern w:val="0"/>
          <w:highlight w:val="none"/>
          <w:u w:val="single"/>
        </w:rPr>
      </w:pPr>
      <w:r>
        <w:rPr>
          <w:rFonts w:hint="eastAsia"/>
          <w:color w:val="auto"/>
          <w:kern w:val="0"/>
          <w:highlight w:val="none"/>
          <w:u w:val="single"/>
        </w:rPr>
        <w:t>求顺延工程日期，发包人赔偿承包人在此期间内造成的停工、窝工、倒运、机械设备调迁、材料和构件积压等损失和实际费用</w:t>
      </w:r>
      <w:r>
        <w:rPr>
          <w:color w:val="auto"/>
          <w:kern w:val="0"/>
          <w:highlight w:val="none"/>
          <w:u w:val="single"/>
        </w:rPr>
        <w:t xml:space="preserve">  </w:t>
      </w:r>
      <w:r>
        <w:rPr>
          <w:rFonts w:hint="eastAsia" w:hAnsi="宋体" w:cs="宋体"/>
          <w:color w:val="auto"/>
          <w:kern w:val="0"/>
          <w:highlight w:val="none"/>
        </w:rPr>
        <w:t>。</w:t>
      </w:r>
    </w:p>
    <w:p w14:paraId="19C06A79">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）因发包人原因未能按合同约定支付合同价款的违约责任：</w:t>
      </w:r>
      <w:r>
        <w:rPr>
          <w:color w:val="auto"/>
          <w:kern w:val="0"/>
          <w:highlight w:val="none"/>
          <w:u w:val="single"/>
        </w:rPr>
        <w:t xml:space="preserve"> </w:t>
      </w:r>
      <w:r>
        <w:rPr>
          <w:rFonts w:hint="eastAsia"/>
          <w:color w:val="auto"/>
          <w:kern w:val="0"/>
          <w:highlight w:val="none"/>
          <w:u w:val="single"/>
        </w:rPr>
        <w:t>承担每日万分之二的迟延支付违约金，因此造成停工的，承包人可以要求顺延工程日期</w:t>
      </w:r>
      <w:r>
        <w:rPr>
          <w:color w:val="auto"/>
          <w:kern w:val="0"/>
          <w:highlight w:val="none"/>
          <w:u w:val="single"/>
        </w:rPr>
        <w:t xml:space="preserve">  </w:t>
      </w:r>
      <w:r>
        <w:rPr>
          <w:rFonts w:hint="eastAsia" w:hAnsi="宋体" w:cs="宋体"/>
          <w:color w:val="auto"/>
          <w:kern w:val="0"/>
          <w:highlight w:val="none"/>
        </w:rPr>
        <w:t>。</w:t>
      </w:r>
    </w:p>
    <w:p w14:paraId="05C17422">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）发包人违反第</w:t>
      </w:r>
      <w:r>
        <w:rPr>
          <w:color w:val="auto"/>
          <w:kern w:val="0"/>
          <w:highlight w:val="none"/>
        </w:rPr>
        <w:t>10.1</w:t>
      </w:r>
      <w:r>
        <w:rPr>
          <w:rFonts w:hint="eastAsia" w:hAnsi="宋体" w:cs="宋体"/>
          <w:color w:val="auto"/>
          <w:kern w:val="0"/>
          <w:highlight w:val="none"/>
        </w:rPr>
        <w:t>款〔变更的范围〕第（</w:t>
      </w:r>
      <w:r>
        <w:rPr>
          <w:color w:val="auto"/>
          <w:kern w:val="0"/>
          <w:highlight w:val="none"/>
        </w:rPr>
        <w:t>2</w:t>
      </w:r>
      <w:r>
        <w:rPr>
          <w:rFonts w:hint="eastAsia" w:hAnsi="宋体" w:cs="宋体"/>
          <w:color w:val="auto"/>
          <w:kern w:val="0"/>
          <w:highlight w:val="none"/>
        </w:rPr>
        <w:t>）项约定，自行实施被取消的工作或转由他人实施的违约责任：</w:t>
      </w:r>
      <w:r>
        <w:rPr>
          <w:color w:val="auto"/>
          <w:kern w:val="0"/>
          <w:highlight w:val="none"/>
          <w:u w:val="single"/>
        </w:rPr>
        <w:t xml:space="preserve">  </w:t>
      </w:r>
      <w:r>
        <w:rPr>
          <w:rFonts w:hint="eastAsia"/>
          <w:color w:val="auto"/>
          <w:kern w:val="0"/>
          <w:highlight w:val="none"/>
          <w:u w:val="single"/>
        </w:rPr>
        <w:t>发包人自行实施的工作或转由他人实施的工作不符合国家合格质量标准的，由发包人承担因此造成的经济损失；发包人向承包人赔偿因准备该部分工作而发生的合理费用，以及根据定额约定计算该部分工作中包含的合理利润</w:t>
      </w:r>
      <w:r>
        <w:rPr>
          <w:rFonts w:hint="eastAsia" w:hAnsi="宋体" w:cs="宋体"/>
          <w:color w:val="auto"/>
          <w:kern w:val="0"/>
          <w:highlight w:val="none"/>
        </w:rPr>
        <w:t>。</w:t>
      </w:r>
    </w:p>
    <w:p w14:paraId="6990FD76">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4</w:t>
      </w:r>
      <w:r>
        <w:rPr>
          <w:rFonts w:hint="eastAsia" w:hAnsi="宋体" w:cs="宋体"/>
          <w:color w:val="auto"/>
          <w:kern w:val="0"/>
          <w:highlight w:val="none"/>
        </w:rPr>
        <w:t>）发包人提供的材料、工程设备的规格、数量或质量不符合合同约定，或因发包人原因导致交货日期延误或交货地点变更等情况的违约责任：</w:t>
      </w:r>
      <w:r>
        <w:rPr>
          <w:color w:val="auto"/>
          <w:kern w:val="0"/>
          <w:highlight w:val="none"/>
          <w:u w:val="single"/>
        </w:rPr>
        <w:t xml:space="preserve">   </w:t>
      </w:r>
      <w:r>
        <w:rPr>
          <w:rFonts w:hint="eastAsia"/>
          <w:color w:val="auto"/>
          <w:kern w:val="0"/>
          <w:highlight w:val="none"/>
          <w:u w:val="single"/>
        </w:rPr>
        <w:t>发包人重新提供规格、质量符合合同约定、或补足数量符合合同约定的材料、工程设备；因此导致工期延误的，工期相应顺延，发包人应赔偿承包人在此期间内造成的停工、窝工、倒运、机械设备调迁、材料和构件积压等损失和实际费用；因发包人原因导致交货地点变更的，发包人赔偿承包人因交货地点变更而增加的费用</w:t>
      </w:r>
      <w:r>
        <w:rPr>
          <w:color w:val="auto"/>
          <w:kern w:val="0"/>
          <w:highlight w:val="none"/>
          <w:u w:val="single"/>
        </w:rPr>
        <w:t xml:space="preserve">  </w:t>
      </w:r>
      <w:r>
        <w:rPr>
          <w:rFonts w:hint="eastAsia" w:hAnsi="宋体" w:cs="宋体"/>
          <w:color w:val="auto"/>
          <w:kern w:val="0"/>
          <w:highlight w:val="none"/>
        </w:rPr>
        <w:t>。</w:t>
      </w:r>
    </w:p>
    <w:p w14:paraId="7A589226">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5</w:t>
      </w:r>
      <w:r>
        <w:rPr>
          <w:rFonts w:hint="eastAsia" w:hAnsi="宋体" w:cs="宋体"/>
          <w:color w:val="auto"/>
          <w:kern w:val="0"/>
          <w:highlight w:val="none"/>
        </w:rPr>
        <w:t>）因发包人违反合同约定造成暂停施工的违约责任：</w:t>
      </w:r>
      <w:r>
        <w:rPr>
          <w:color w:val="auto"/>
          <w:kern w:val="0"/>
          <w:highlight w:val="none"/>
          <w:u w:val="single"/>
        </w:rPr>
        <w:t xml:space="preserve"> </w:t>
      </w:r>
      <w:r>
        <w:rPr>
          <w:rFonts w:hint="eastAsia"/>
          <w:color w:val="auto"/>
          <w:kern w:val="0"/>
          <w:highlight w:val="none"/>
          <w:u w:val="single"/>
        </w:rPr>
        <w:t>工期相应顺延，发包人赔偿承包人在此期间内造成的停工、窝工、倒运、机械设备调迁、材料和构件积压等损失和实际费用</w:t>
      </w:r>
      <w:r>
        <w:rPr>
          <w:color w:val="auto"/>
          <w:kern w:val="0"/>
          <w:highlight w:val="none"/>
          <w:u w:val="single"/>
        </w:rPr>
        <w:t xml:space="preserve"> </w:t>
      </w:r>
      <w:r>
        <w:rPr>
          <w:rFonts w:hint="eastAsia" w:hAnsi="宋体" w:cs="宋体"/>
          <w:color w:val="auto"/>
          <w:kern w:val="0"/>
          <w:highlight w:val="none"/>
        </w:rPr>
        <w:t>。</w:t>
      </w:r>
    </w:p>
    <w:p w14:paraId="32EBA66E">
      <w:pPr>
        <w:numPr>
          <w:ilvl w:val="0"/>
          <w:numId w:val="4"/>
        </w:numPr>
        <w:spacing w:line="360" w:lineRule="auto"/>
        <w:ind w:firstLine="420" w:firstLineChars="200"/>
        <w:jc w:val="left"/>
        <w:rPr>
          <w:color w:val="auto"/>
          <w:kern w:val="0"/>
          <w:highlight w:val="none"/>
          <w:u w:val="single"/>
        </w:rPr>
      </w:pPr>
      <w:r>
        <w:rPr>
          <w:rFonts w:hint="eastAsia" w:hAnsi="宋体" w:cs="宋体"/>
          <w:color w:val="auto"/>
          <w:kern w:val="0"/>
          <w:highlight w:val="none"/>
        </w:rPr>
        <w:t>发包人无正当理由没有在约定期限内发出复工指示，导致承包人无法复工的违约责任：</w:t>
      </w:r>
      <w:r>
        <w:rPr>
          <w:color w:val="auto"/>
          <w:kern w:val="0"/>
          <w:highlight w:val="none"/>
          <w:u w:val="single"/>
        </w:rPr>
        <w:t xml:space="preserve">   </w:t>
      </w:r>
      <w:r>
        <w:rPr>
          <w:rFonts w:hint="eastAsia"/>
          <w:color w:val="auto"/>
          <w:kern w:val="0"/>
          <w:highlight w:val="none"/>
          <w:u w:val="single"/>
        </w:rPr>
        <w:t>承包人可以顺延工程日期，</w:t>
      </w:r>
      <w:r>
        <w:rPr>
          <w:rFonts w:hint="eastAsia" w:hAnsi="宋体" w:cs="宋体"/>
          <w:color w:val="auto"/>
          <w:kern w:val="0"/>
          <w:highlight w:val="none"/>
        </w:rPr>
        <w:t>发包人赔偿承包人在此期间内造成的停工、窝工、倒运、机械设备调迁、材料和构件积压等损失和实际费用</w:t>
      </w:r>
      <w:r>
        <w:rPr>
          <w:rFonts w:hint="eastAsia"/>
          <w:color w:val="auto"/>
          <w:kern w:val="0"/>
          <w:highlight w:val="none"/>
          <w:u w:val="single"/>
        </w:rPr>
        <w:t>。</w:t>
      </w:r>
    </w:p>
    <w:p w14:paraId="294D9581">
      <w:pPr>
        <w:pStyle w:val="63"/>
        <w:spacing w:line="360" w:lineRule="auto"/>
        <w:ind w:firstLine="420" w:firstLineChars="200"/>
        <w:jc w:val="left"/>
        <w:rPr>
          <w:rFonts w:ascii="宋体" w:hAnsi="宋体" w:cs="宋体"/>
          <w:color w:val="auto"/>
          <w:kern w:val="0"/>
          <w:szCs w:val="21"/>
          <w:highlight w:val="none"/>
        </w:rPr>
      </w:pPr>
      <w:r>
        <w:rPr>
          <w:rFonts w:hint="eastAsia" w:hAnsi="宋体" w:cs="宋体"/>
          <w:color w:val="auto"/>
          <w:kern w:val="0"/>
          <w:highlight w:val="none"/>
        </w:rPr>
        <w:t>（</w:t>
      </w:r>
      <w:r>
        <w:rPr>
          <w:color w:val="auto"/>
          <w:kern w:val="0"/>
          <w:highlight w:val="none"/>
        </w:rPr>
        <w:t>7</w:t>
      </w:r>
      <w:r>
        <w:rPr>
          <w:rFonts w:hint="eastAsia" w:hAnsi="宋体" w:cs="宋体"/>
          <w:color w:val="auto"/>
          <w:kern w:val="0"/>
          <w:highlight w:val="none"/>
        </w:rPr>
        <w:t>）其他：</w:t>
      </w:r>
      <w:r>
        <w:rPr>
          <w:color w:val="auto"/>
          <w:kern w:val="0"/>
          <w:highlight w:val="none"/>
          <w:u w:val="single"/>
        </w:rPr>
        <w:t xml:space="preserve"> </w:t>
      </w:r>
      <w:r>
        <w:rPr>
          <w:rFonts w:hint="eastAsia"/>
          <w:color w:val="auto"/>
          <w:kern w:val="0"/>
          <w:highlight w:val="none"/>
          <w:u w:val="single"/>
        </w:rPr>
        <w:t>如发包人违反本合同约定，因本合同产生纠纷导致承包人损失的，发包人应当赔偿，因此产生诉讼或仲裁案件的诉讼费或仲裁费、保全责任保险费、律师费、鉴定费等承包人为维护权益产生的费用由发包人承担。其他按《通用合同条款》条执行</w:t>
      </w:r>
      <w:r>
        <w:rPr>
          <w:rFonts w:hint="eastAsia" w:ascii="宋体" w:hAnsi="宋体" w:cs="宋体"/>
          <w:color w:val="auto"/>
          <w:kern w:val="0"/>
          <w:szCs w:val="21"/>
          <w:highlight w:val="none"/>
        </w:rPr>
        <w:t>。</w:t>
      </w:r>
    </w:p>
    <w:p w14:paraId="21A6A3E4">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16.1.3 因发包人违约解除合同</w:t>
      </w:r>
    </w:p>
    <w:p w14:paraId="777F6578">
      <w:pPr>
        <w:pStyle w:val="63"/>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承包人按16.1.1项〔发包人违约的情形〕约定暂停施工满</w:t>
      </w:r>
      <w:r>
        <w:rPr>
          <w:rFonts w:hint="eastAsia" w:ascii="宋体" w:hAnsi="宋体" w:cs="宋体"/>
          <w:color w:val="auto"/>
          <w:kern w:val="0"/>
          <w:szCs w:val="21"/>
          <w:highlight w:val="none"/>
          <w:u w:val="single"/>
        </w:rPr>
        <w:t xml:space="preserve"> 28 </w:t>
      </w:r>
      <w:r>
        <w:rPr>
          <w:rFonts w:hint="eastAsia" w:ascii="宋体" w:hAnsi="宋体" w:cs="宋体"/>
          <w:color w:val="auto"/>
          <w:kern w:val="0"/>
          <w:szCs w:val="21"/>
          <w:highlight w:val="none"/>
        </w:rPr>
        <w:t>天后发包人仍不纠正其违约行为并致使合同目的不能实现的，承包人有权解除合同。</w:t>
      </w:r>
    </w:p>
    <w:p w14:paraId="13878015">
      <w:pPr>
        <w:pStyle w:val="130"/>
        <w:spacing w:line="420" w:lineRule="exact"/>
        <w:rPr>
          <w:rFonts w:ascii="宋体" w:hAnsi="宋体" w:cs="宋体"/>
          <w:color w:val="auto"/>
          <w:sz w:val="24"/>
          <w:szCs w:val="24"/>
          <w:highlight w:val="none"/>
        </w:rPr>
      </w:pPr>
      <w:bookmarkStart w:id="876" w:name="_Toc407135271"/>
      <w:bookmarkStart w:id="877" w:name="_Toc497901182"/>
      <w:bookmarkStart w:id="878" w:name="_Toc497215783"/>
      <w:bookmarkStart w:id="879" w:name="_Toc75182771"/>
      <w:bookmarkStart w:id="880" w:name="_Toc497147226"/>
      <w:bookmarkStart w:id="881" w:name="_Toc7236"/>
      <w:bookmarkStart w:id="882" w:name="_Toc47088370"/>
      <w:r>
        <w:rPr>
          <w:rFonts w:hint="eastAsia" w:ascii="宋体" w:hAnsi="宋体" w:cs="宋体"/>
          <w:color w:val="auto"/>
          <w:sz w:val="24"/>
          <w:szCs w:val="24"/>
          <w:highlight w:val="none"/>
        </w:rPr>
        <w:t>16.2 承包人违约</w:t>
      </w:r>
      <w:bookmarkEnd w:id="876"/>
      <w:bookmarkEnd w:id="877"/>
      <w:bookmarkEnd w:id="878"/>
      <w:bookmarkEnd w:id="879"/>
      <w:bookmarkEnd w:id="880"/>
      <w:bookmarkEnd w:id="881"/>
      <w:bookmarkEnd w:id="882"/>
    </w:p>
    <w:p w14:paraId="696368E4">
      <w:pPr>
        <w:pStyle w:val="63"/>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16.2.1 承包人违约的情形</w:t>
      </w:r>
    </w:p>
    <w:p w14:paraId="3A1056C7">
      <w:pPr>
        <w:pStyle w:val="63"/>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承包人违约的其他情形：</w:t>
      </w:r>
      <w:r>
        <w:rPr>
          <w:rFonts w:hint="eastAsia" w:ascii="宋体" w:hAnsi="宋体" w:cs="宋体"/>
          <w:color w:val="auto"/>
          <w:kern w:val="0"/>
          <w:szCs w:val="21"/>
          <w:highlight w:val="none"/>
          <w:u w:val="single"/>
        </w:rPr>
        <w:t xml:space="preserve">    按通用条款执行16.2执行      </w:t>
      </w:r>
      <w:r>
        <w:rPr>
          <w:rFonts w:hint="eastAsia" w:ascii="宋体" w:hAnsi="宋体" w:cs="宋体"/>
          <w:color w:val="auto"/>
          <w:kern w:val="0"/>
          <w:szCs w:val="21"/>
          <w:highlight w:val="none"/>
        </w:rPr>
        <w:t>。</w:t>
      </w:r>
    </w:p>
    <w:p w14:paraId="3DB6D545">
      <w:pPr>
        <w:pStyle w:val="63"/>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16.2.2承包人违约的责任</w:t>
      </w:r>
    </w:p>
    <w:p w14:paraId="71BCE6E4">
      <w:pPr>
        <w:pStyle w:val="63"/>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承包人违约责任的承担方式和计算方法：</w:t>
      </w:r>
    </w:p>
    <w:p w14:paraId="1CB52642">
      <w:pPr>
        <w:pStyle w:val="63"/>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0E6C9AD1">
      <w:pPr>
        <w:pStyle w:val="63"/>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（2）承包人有本合同通用条款第16.2.1（6）条情形的，或经监理人检验认为修复质量不合格而承包人拒绝再进行修补的，发包人将扣除承包人全部质量保修金。</w:t>
      </w:r>
    </w:p>
    <w:p w14:paraId="5538AABD">
      <w:pPr>
        <w:pStyle w:val="63"/>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1E079E10">
      <w:pPr>
        <w:pStyle w:val="63"/>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16.2.3 因承包人违约解除合同</w:t>
      </w:r>
    </w:p>
    <w:p w14:paraId="635792F8">
      <w:pPr>
        <w:pStyle w:val="63"/>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关于承包人违约解除合同的特别约定：</w:t>
      </w:r>
      <w:r>
        <w:rPr>
          <w:rFonts w:hint="eastAsia" w:ascii="宋体" w:hAnsi="宋体" w:cs="宋体"/>
          <w:color w:val="auto"/>
          <w:kern w:val="0"/>
          <w:szCs w:val="21"/>
          <w:highlight w:val="none"/>
          <w:u w:val="single"/>
        </w:rPr>
        <w:t>承包人有违反以下情况之一的，发包人有权解除合同，并没收其全部履约保证金</w:t>
      </w:r>
      <w:r>
        <w:rPr>
          <w:rFonts w:hint="eastAsia" w:ascii="宋体" w:hAnsi="宋体" w:cs="宋体"/>
          <w:color w:val="auto"/>
          <w:kern w:val="0"/>
          <w:szCs w:val="21"/>
          <w:highlight w:val="none"/>
        </w:rPr>
        <w:t>。</w:t>
      </w:r>
    </w:p>
    <w:p w14:paraId="3E102A70">
      <w:pPr>
        <w:pStyle w:val="63"/>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(1)承包人无正当理由不按开工通知的要求及时进场组织施工和不按签订协议书时商定的进度计划有效地开展施工准备，造成工期延误的；</w:t>
      </w:r>
    </w:p>
    <w:p w14:paraId="72B1F020">
      <w:pPr>
        <w:pStyle w:val="63"/>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(2)承包人违反本合同通用条款第3.5条规定私自将合同或合同的任何部分或任何权利转让给其他人，或私自将工程或工程的一部分分包出去的；</w:t>
      </w:r>
    </w:p>
    <w:p w14:paraId="6EC4A20C">
      <w:pPr>
        <w:pStyle w:val="63"/>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(3)未经监理人批准，承包人私自将已按竞争性磋商响应文件承诺进入工地的工程设备、施工设备、临时工程或材料撤离工地的；</w:t>
      </w:r>
    </w:p>
    <w:p w14:paraId="1230CB83">
      <w:pPr>
        <w:pStyle w:val="63"/>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(4)由于承包人原因拒绝按合同进度计划及时完成合同规定的工程，而又未采取有效措施赶上进度，造成工期延误的；</w:t>
      </w:r>
    </w:p>
    <w:p w14:paraId="5400968F">
      <w:pPr>
        <w:pStyle w:val="63"/>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(5)承包人否认合同有效或拒绝履行合同规定的承包人义务，或由于法律、财务等原因导致承包人无法继续履行或实质上已停止履行合同的义务的；</w:t>
      </w:r>
    </w:p>
    <w:p w14:paraId="73EF7132">
      <w:pPr>
        <w:pStyle w:val="63"/>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(6)合同签订之日起十五日内，承包人无法按合同规定及竞争性磋商响应文件的承诺进场经监理工程师认可的全部人员和机械的。</w:t>
      </w:r>
    </w:p>
    <w:p w14:paraId="7FFBA8AC">
      <w:pPr>
        <w:pStyle w:val="63"/>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szCs w:val="21"/>
          <w:highlight w:val="none"/>
          <w:u w:val="single"/>
        </w:rPr>
        <w:t xml:space="preserve">     以实际使用按相关规定计价       </w:t>
      </w:r>
      <w:r>
        <w:rPr>
          <w:rFonts w:hint="eastAsia" w:ascii="宋体" w:hAnsi="宋体" w:cs="宋体"/>
          <w:color w:val="auto"/>
          <w:kern w:val="0"/>
          <w:szCs w:val="21"/>
          <w:highlight w:val="none"/>
        </w:rPr>
        <w:t>。</w:t>
      </w:r>
    </w:p>
    <w:p w14:paraId="64816A15">
      <w:pPr>
        <w:pStyle w:val="130"/>
        <w:spacing w:line="420" w:lineRule="exact"/>
        <w:rPr>
          <w:rFonts w:ascii="宋体" w:hAnsi="宋体" w:cs="宋体"/>
          <w:color w:val="auto"/>
          <w:sz w:val="24"/>
          <w:szCs w:val="24"/>
          <w:highlight w:val="none"/>
        </w:rPr>
      </w:pPr>
      <w:bookmarkStart w:id="883" w:name="_Toc407135272"/>
      <w:bookmarkStart w:id="884" w:name="_Toc497215784"/>
      <w:bookmarkStart w:id="885" w:name="_Toc32468"/>
      <w:bookmarkStart w:id="886" w:name="_Toc47088371"/>
      <w:bookmarkStart w:id="887" w:name="_Toc75182772"/>
      <w:bookmarkStart w:id="888" w:name="_Toc497901183"/>
      <w:bookmarkStart w:id="889" w:name="_Toc497147227"/>
      <w:r>
        <w:rPr>
          <w:rFonts w:hint="eastAsia" w:ascii="宋体" w:hAnsi="宋体" w:cs="宋体"/>
          <w:color w:val="auto"/>
          <w:sz w:val="24"/>
          <w:szCs w:val="24"/>
          <w:highlight w:val="none"/>
        </w:rPr>
        <w:t>17. 不可抗力</w:t>
      </w:r>
      <w:bookmarkEnd w:id="883"/>
      <w:bookmarkEnd w:id="884"/>
      <w:bookmarkEnd w:id="885"/>
      <w:bookmarkEnd w:id="886"/>
      <w:bookmarkEnd w:id="887"/>
      <w:bookmarkEnd w:id="888"/>
      <w:bookmarkEnd w:id="889"/>
    </w:p>
    <w:p w14:paraId="4ABE1EF4">
      <w:pPr>
        <w:pStyle w:val="130"/>
        <w:spacing w:line="420" w:lineRule="exact"/>
        <w:rPr>
          <w:rFonts w:ascii="宋体" w:hAnsi="宋体" w:cs="宋体"/>
          <w:color w:val="auto"/>
          <w:sz w:val="24"/>
          <w:szCs w:val="24"/>
          <w:highlight w:val="none"/>
        </w:rPr>
      </w:pPr>
      <w:bookmarkStart w:id="890" w:name="_Toc5412"/>
      <w:bookmarkStart w:id="891" w:name="_Toc497901184"/>
      <w:bookmarkStart w:id="892" w:name="_Toc497215785"/>
      <w:bookmarkStart w:id="893" w:name="_Toc47088372"/>
      <w:bookmarkStart w:id="894" w:name="_Toc407135273"/>
      <w:bookmarkStart w:id="895" w:name="_Toc75182773"/>
      <w:bookmarkStart w:id="896" w:name="_Toc497147228"/>
      <w:r>
        <w:rPr>
          <w:rFonts w:hint="eastAsia" w:ascii="宋体" w:hAnsi="宋体" w:cs="宋体"/>
          <w:color w:val="auto"/>
          <w:sz w:val="24"/>
          <w:szCs w:val="24"/>
          <w:highlight w:val="none"/>
        </w:rPr>
        <w:t>17.1 不可抗力的确认</w:t>
      </w:r>
      <w:bookmarkEnd w:id="890"/>
      <w:bookmarkEnd w:id="891"/>
      <w:bookmarkEnd w:id="892"/>
      <w:bookmarkEnd w:id="893"/>
      <w:bookmarkEnd w:id="894"/>
      <w:bookmarkEnd w:id="895"/>
      <w:bookmarkEnd w:id="896"/>
    </w:p>
    <w:p w14:paraId="6CC219B1">
      <w:pPr>
        <w:pStyle w:val="63"/>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除通用合同条款约定的不可抗力事件之外，视为不可抗力的其他情形：</w:t>
      </w:r>
    </w:p>
    <w:p w14:paraId="33EB600B">
      <w:pPr>
        <w:pStyle w:val="63"/>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(1) 6.5 级以上的地震；</w:t>
      </w:r>
    </w:p>
    <w:p w14:paraId="68F1D7A6">
      <w:pPr>
        <w:pStyle w:val="63"/>
        <w:spacing w:line="44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(2) 12级以上持续一天的大风；</w:t>
      </w:r>
    </w:p>
    <w:p w14:paraId="25B4C8CD">
      <w:pPr>
        <w:pStyle w:val="63"/>
        <w:spacing w:line="44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(3) 日雨量达100mm以上持续三天的大雨；</w:t>
      </w:r>
    </w:p>
    <w:p w14:paraId="7A8682F2">
      <w:pPr>
        <w:pStyle w:val="63"/>
        <w:spacing w:line="44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(4) 40℃以上持续三天的高温天气；</w:t>
      </w:r>
    </w:p>
    <w:p w14:paraId="03C92435">
      <w:pPr>
        <w:pStyle w:val="63"/>
        <w:spacing w:line="44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(5) 0℃以下持续三天的低温天气；</w:t>
      </w:r>
    </w:p>
    <w:p w14:paraId="53EEFD2F">
      <w:pPr>
        <w:pStyle w:val="63"/>
        <w:spacing w:line="440" w:lineRule="exact"/>
        <w:ind w:firstLine="422" w:firstLineChars="200"/>
        <w:jc w:val="left"/>
        <w:rPr>
          <w:rFonts w:ascii="宋体" w:hAnsi="宋体" w:cs="宋体"/>
          <w:color w:val="auto"/>
          <w:kern w:val="0"/>
          <w:szCs w:val="21"/>
          <w:highlight w:val="none"/>
          <w:u w:val="single"/>
        </w:rPr>
      </w:pPr>
      <w:r>
        <w:rPr>
          <w:rFonts w:hint="eastAsia" w:ascii="宋体" w:hAnsi="宋体" w:cs="宋体"/>
          <w:b/>
          <w:color w:val="auto"/>
          <w:kern w:val="0"/>
          <w:szCs w:val="21"/>
          <w:highlight w:val="none"/>
        </w:rPr>
        <w:t>(6) 50年以上未发生过的洪水</w:t>
      </w:r>
      <w:r>
        <w:rPr>
          <w:rFonts w:hint="eastAsia" w:ascii="宋体" w:hAnsi="宋体" w:cs="宋体"/>
          <w:color w:val="auto"/>
          <w:kern w:val="0"/>
          <w:szCs w:val="21"/>
          <w:highlight w:val="none"/>
        </w:rPr>
        <w:t>。</w:t>
      </w:r>
    </w:p>
    <w:p w14:paraId="16E1720B">
      <w:pPr>
        <w:pStyle w:val="130"/>
        <w:spacing w:line="440" w:lineRule="exact"/>
        <w:rPr>
          <w:rFonts w:ascii="宋体" w:hAnsi="宋体" w:cs="宋体"/>
          <w:color w:val="auto"/>
          <w:sz w:val="24"/>
          <w:szCs w:val="24"/>
          <w:highlight w:val="none"/>
        </w:rPr>
      </w:pPr>
      <w:bookmarkStart w:id="897" w:name="_Toc47088373"/>
      <w:bookmarkStart w:id="898" w:name="_Toc497215786"/>
      <w:bookmarkStart w:id="899" w:name="_Toc75182774"/>
      <w:bookmarkStart w:id="900" w:name="_Toc497147229"/>
      <w:bookmarkStart w:id="901" w:name="_Toc497901185"/>
      <w:bookmarkStart w:id="902" w:name="_Toc19560"/>
      <w:bookmarkStart w:id="903" w:name="_Toc407135274"/>
      <w:r>
        <w:rPr>
          <w:rFonts w:hint="eastAsia" w:ascii="宋体" w:hAnsi="宋体" w:cs="宋体"/>
          <w:color w:val="auto"/>
          <w:sz w:val="24"/>
          <w:szCs w:val="24"/>
          <w:highlight w:val="none"/>
        </w:rPr>
        <w:t>17.4 因不可抗力解除合同</w:t>
      </w:r>
      <w:bookmarkEnd w:id="897"/>
      <w:bookmarkEnd w:id="898"/>
      <w:bookmarkEnd w:id="899"/>
      <w:bookmarkEnd w:id="900"/>
      <w:bookmarkEnd w:id="901"/>
      <w:bookmarkEnd w:id="902"/>
      <w:bookmarkEnd w:id="903"/>
    </w:p>
    <w:p w14:paraId="242A8DA0">
      <w:pPr>
        <w:pStyle w:val="63"/>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color w:val="auto"/>
          <w:szCs w:val="21"/>
          <w:highlight w:val="none"/>
          <w:u w:val="single"/>
        </w:rPr>
        <w:t xml:space="preserve"> 28 </w:t>
      </w:r>
      <w:r>
        <w:rPr>
          <w:rFonts w:hint="eastAsia" w:ascii="宋体" w:hAnsi="宋体" w:cs="宋体"/>
          <w:color w:val="auto"/>
          <w:szCs w:val="21"/>
          <w:highlight w:val="none"/>
        </w:rPr>
        <w:t>天内完成款项的支付。</w:t>
      </w:r>
    </w:p>
    <w:p w14:paraId="2864D356">
      <w:pPr>
        <w:pStyle w:val="130"/>
        <w:spacing w:line="440" w:lineRule="exact"/>
        <w:rPr>
          <w:rFonts w:ascii="宋体" w:hAnsi="宋体" w:cs="宋体"/>
          <w:color w:val="auto"/>
          <w:sz w:val="24"/>
          <w:szCs w:val="24"/>
          <w:highlight w:val="none"/>
        </w:rPr>
      </w:pPr>
      <w:bookmarkStart w:id="904" w:name="_Toc497901186"/>
      <w:bookmarkStart w:id="905" w:name="_Toc497215787"/>
      <w:bookmarkStart w:id="906" w:name="_Toc407135275"/>
      <w:bookmarkStart w:id="907" w:name="_Toc47088374"/>
      <w:bookmarkStart w:id="908" w:name="_Toc23413"/>
      <w:bookmarkStart w:id="909" w:name="_Toc497147230"/>
      <w:bookmarkStart w:id="910" w:name="_Toc75182775"/>
      <w:r>
        <w:rPr>
          <w:rFonts w:hint="eastAsia" w:ascii="宋体" w:hAnsi="宋体" w:cs="宋体"/>
          <w:color w:val="auto"/>
          <w:sz w:val="24"/>
          <w:szCs w:val="24"/>
          <w:highlight w:val="none"/>
        </w:rPr>
        <w:t>18. 保险</w:t>
      </w:r>
      <w:bookmarkEnd w:id="904"/>
      <w:bookmarkEnd w:id="905"/>
      <w:bookmarkEnd w:id="906"/>
      <w:bookmarkEnd w:id="907"/>
      <w:bookmarkEnd w:id="908"/>
      <w:bookmarkEnd w:id="909"/>
      <w:bookmarkEnd w:id="910"/>
    </w:p>
    <w:p w14:paraId="3CC7C10A">
      <w:pPr>
        <w:pStyle w:val="130"/>
        <w:spacing w:line="440" w:lineRule="exact"/>
        <w:rPr>
          <w:rFonts w:ascii="宋体" w:hAnsi="宋体" w:cs="宋体"/>
          <w:color w:val="auto"/>
          <w:sz w:val="24"/>
          <w:szCs w:val="24"/>
          <w:highlight w:val="none"/>
        </w:rPr>
      </w:pPr>
      <w:bookmarkStart w:id="911" w:name="_Toc47088375"/>
      <w:bookmarkStart w:id="912" w:name="_Toc497147231"/>
      <w:bookmarkStart w:id="913" w:name="_Toc497901187"/>
      <w:bookmarkStart w:id="914" w:name="_Toc25969"/>
      <w:bookmarkStart w:id="915" w:name="_Toc407135276"/>
      <w:bookmarkStart w:id="916" w:name="_Toc497215788"/>
      <w:bookmarkStart w:id="917" w:name="_Toc75182776"/>
      <w:r>
        <w:rPr>
          <w:rFonts w:hint="eastAsia" w:ascii="宋体" w:hAnsi="宋体" w:cs="宋体"/>
          <w:color w:val="auto"/>
          <w:sz w:val="24"/>
          <w:szCs w:val="24"/>
          <w:highlight w:val="none"/>
        </w:rPr>
        <w:t>18.1 工程保险</w:t>
      </w:r>
      <w:bookmarkEnd w:id="911"/>
      <w:bookmarkEnd w:id="912"/>
      <w:bookmarkEnd w:id="913"/>
      <w:bookmarkEnd w:id="914"/>
      <w:bookmarkEnd w:id="915"/>
      <w:bookmarkEnd w:id="916"/>
      <w:bookmarkEnd w:id="917"/>
    </w:p>
    <w:p w14:paraId="2D06661C">
      <w:pPr>
        <w:pStyle w:val="63"/>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关于工程保险的特别约定：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由承包人投保建筑工程一切险或安装工程一切险并承担相应费用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0CB38144">
      <w:pPr>
        <w:pStyle w:val="130"/>
        <w:spacing w:line="440" w:lineRule="exact"/>
        <w:rPr>
          <w:rFonts w:ascii="宋体" w:hAnsi="宋体" w:cs="宋体"/>
          <w:color w:val="auto"/>
          <w:sz w:val="24"/>
          <w:szCs w:val="24"/>
          <w:highlight w:val="none"/>
        </w:rPr>
      </w:pPr>
      <w:bookmarkStart w:id="918" w:name="_Toc75182777"/>
      <w:bookmarkStart w:id="919" w:name="_Toc24837"/>
      <w:bookmarkStart w:id="920" w:name="_Toc407135277"/>
      <w:bookmarkStart w:id="921" w:name="_Toc497147232"/>
      <w:bookmarkStart w:id="922" w:name="_Toc497215789"/>
      <w:bookmarkStart w:id="923" w:name="_Toc497901188"/>
      <w:bookmarkStart w:id="924" w:name="_Toc47088376"/>
      <w:r>
        <w:rPr>
          <w:rFonts w:hint="eastAsia" w:ascii="宋体" w:hAnsi="宋体" w:cs="宋体"/>
          <w:color w:val="auto"/>
          <w:sz w:val="24"/>
          <w:szCs w:val="24"/>
          <w:highlight w:val="none"/>
        </w:rPr>
        <w:t>18.3 其他保险</w:t>
      </w:r>
      <w:bookmarkEnd w:id="918"/>
      <w:bookmarkEnd w:id="919"/>
      <w:bookmarkEnd w:id="920"/>
      <w:bookmarkEnd w:id="921"/>
      <w:bookmarkEnd w:id="922"/>
      <w:bookmarkEnd w:id="923"/>
      <w:bookmarkEnd w:id="924"/>
    </w:p>
    <w:p w14:paraId="1C70D18B">
      <w:pPr>
        <w:pStyle w:val="63"/>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关于其他保险的约定：</w:t>
      </w:r>
      <w:r>
        <w:rPr>
          <w:rFonts w:hint="eastAsia" w:ascii="宋体" w:hAnsi="宋体" w:cs="宋体"/>
          <w:bCs/>
          <w:color w:val="auto"/>
          <w:szCs w:val="21"/>
          <w:highlight w:val="none"/>
          <w:u w:val="single"/>
        </w:rPr>
        <w:t>承包人必须为施工现场的工作人员办理意外伤害保险，并支付保险费</w:t>
      </w:r>
      <w:r>
        <w:rPr>
          <w:rFonts w:hint="eastAsia" w:ascii="宋体" w:hAnsi="宋体" w:cs="宋体"/>
          <w:bCs/>
          <w:color w:val="auto"/>
          <w:szCs w:val="21"/>
          <w:highlight w:val="none"/>
        </w:rPr>
        <w:t>。</w:t>
      </w:r>
    </w:p>
    <w:p w14:paraId="1CD7FCFF">
      <w:pPr>
        <w:pStyle w:val="63"/>
        <w:spacing w:line="44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承包人是否应为其施工设备等办理财产保险：</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5D18E5FF">
      <w:pPr>
        <w:pStyle w:val="130"/>
        <w:spacing w:line="440" w:lineRule="exact"/>
        <w:rPr>
          <w:rFonts w:ascii="宋体" w:hAnsi="宋体" w:cs="宋体"/>
          <w:color w:val="auto"/>
          <w:sz w:val="24"/>
          <w:szCs w:val="24"/>
          <w:highlight w:val="none"/>
        </w:rPr>
      </w:pPr>
      <w:bookmarkStart w:id="925" w:name="_Toc497147233"/>
      <w:bookmarkStart w:id="926" w:name="_Toc407135278"/>
      <w:bookmarkStart w:id="927" w:name="_Toc75182778"/>
      <w:bookmarkStart w:id="928" w:name="_Toc497215790"/>
      <w:bookmarkStart w:id="929" w:name="_Toc9444"/>
      <w:bookmarkStart w:id="930" w:name="_Toc497901189"/>
      <w:bookmarkStart w:id="931" w:name="_Toc47088377"/>
      <w:r>
        <w:rPr>
          <w:rFonts w:hint="eastAsia" w:ascii="宋体" w:hAnsi="宋体" w:cs="宋体"/>
          <w:color w:val="auto"/>
          <w:sz w:val="24"/>
          <w:szCs w:val="24"/>
          <w:highlight w:val="none"/>
        </w:rPr>
        <w:t>18.7 通知义务</w:t>
      </w:r>
      <w:bookmarkEnd w:id="925"/>
      <w:bookmarkEnd w:id="926"/>
      <w:bookmarkEnd w:id="927"/>
      <w:bookmarkEnd w:id="928"/>
      <w:bookmarkEnd w:id="929"/>
      <w:bookmarkEnd w:id="930"/>
      <w:bookmarkEnd w:id="931"/>
    </w:p>
    <w:p w14:paraId="0D0C199E">
      <w:pPr>
        <w:pStyle w:val="63"/>
        <w:spacing w:line="440" w:lineRule="exact"/>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关于变更保险合同时的通知义务的约定：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8AA3ECB">
      <w:pPr>
        <w:pStyle w:val="130"/>
        <w:spacing w:line="440" w:lineRule="exact"/>
        <w:rPr>
          <w:rFonts w:ascii="宋体" w:hAnsi="宋体" w:cs="宋体"/>
          <w:color w:val="auto"/>
          <w:sz w:val="24"/>
          <w:szCs w:val="24"/>
          <w:highlight w:val="none"/>
        </w:rPr>
      </w:pPr>
      <w:bookmarkStart w:id="932" w:name="_Toc27621"/>
      <w:bookmarkStart w:id="933" w:name="_Toc75182779"/>
      <w:bookmarkStart w:id="934" w:name="_Toc47088378"/>
      <w:bookmarkStart w:id="935" w:name="_Toc497215791"/>
      <w:bookmarkStart w:id="936" w:name="_Toc407135279"/>
      <w:bookmarkStart w:id="937" w:name="_Toc497147234"/>
      <w:bookmarkStart w:id="938" w:name="_Toc497901190"/>
      <w:r>
        <w:rPr>
          <w:rFonts w:hint="eastAsia" w:ascii="宋体" w:hAnsi="宋体" w:cs="宋体"/>
          <w:color w:val="auto"/>
          <w:sz w:val="24"/>
          <w:szCs w:val="24"/>
          <w:highlight w:val="none"/>
        </w:rPr>
        <w:t>20. 争议解决</w:t>
      </w:r>
      <w:bookmarkEnd w:id="932"/>
      <w:bookmarkEnd w:id="933"/>
      <w:bookmarkEnd w:id="934"/>
      <w:bookmarkEnd w:id="935"/>
      <w:bookmarkEnd w:id="936"/>
      <w:bookmarkEnd w:id="937"/>
      <w:bookmarkEnd w:id="938"/>
    </w:p>
    <w:p w14:paraId="15AA5077">
      <w:pPr>
        <w:pStyle w:val="130"/>
        <w:spacing w:line="440" w:lineRule="exact"/>
        <w:rPr>
          <w:rFonts w:ascii="宋体" w:hAnsi="宋体" w:cs="宋体"/>
          <w:color w:val="auto"/>
          <w:sz w:val="24"/>
          <w:szCs w:val="24"/>
          <w:highlight w:val="none"/>
        </w:rPr>
      </w:pPr>
      <w:bookmarkStart w:id="939" w:name="_Toc497147235"/>
      <w:bookmarkStart w:id="940" w:name="_Toc47088379"/>
      <w:bookmarkStart w:id="941" w:name="_Toc407135280"/>
      <w:bookmarkStart w:id="942" w:name="_Toc497215792"/>
      <w:bookmarkStart w:id="943" w:name="_Toc497901191"/>
      <w:bookmarkStart w:id="944" w:name="_Toc75182780"/>
      <w:bookmarkStart w:id="945" w:name="_Toc31667"/>
      <w:r>
        <w:rPr>
          <w:rFonts w:hint="eastAsia" w:ascii="宋体" w:hAnsi="宋体" w:cs="宋体"/>
          <w:color w:val="auto"/>
          <w:sz w:val="24"/>
          <w:szCs w:val="24"/>
          <w:highlight w:val="none"/>
        </w:rPr>
        <w:t>20.3 争议评审</w:t>
      </w:r>
      <w:bookmarkEnd w:id="939"/>
      <w:bookmarkEnd w:id="940"/>
      <w:bookmarkEnd w:id="941"/>
      <w:bookmarkEnd w:id="942"/>
      <w:bookmarkEnd w:id="943"/>
      <w:bookmarkEnd w:id="944"/>
      <w:bookmarkEnd w:id="945"/>
    </w:p>
    <w:p w14:paraId="63CEA53E">
      <w:pPr>
        <w:pStyle w:val="63"/>
        <w:spacing w:line="440" w:lineRule="exact"/>
        <w:ind w:left="149" w:leftChars="71" w:firstLine="315" w:firstLineChars="150"/>
        <w:jc w:val="left"/>
        <w:rPr>
          <w:rFonts w:ascii="宋体" w:hAnsi="宋体" w:cs="宋体"/>
          <w:color w:val="auto"/>
          <w:szCs w:val="21"/>
          <w:highlight w:val="none"/>
          <w:u w:val="singl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39C605F0">
      <w:pPr>
        <w:pStyle w:val="63"/>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20.3.1 争议评审小组的确定</w:t>
      </w:r>
    </w:p>
    <w:p w14:paraId="14E23456">
      <w:pPr>
        <w:pStyle w:val="63"/>
        <w:spacing w:line="44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6CF635B8">
      <w:pPr>
        <w:pStyle w:val="63"/>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5A5B8C8D">
      <w:pPr>
        <w:pStyle w:val="63"/>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29E4AF58">
      <w:pPr>
        <w:pStyle w:val="63"/>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E2CE5FE">
      <w:pPr>
        <w:pStyle w:val="63"/>
        <w:autoSpaceDE w:val="0"/>
        <w:autoSpaceDN w:val="0"/>
        <w:adjustRightIn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20.3.2 争议评审小组的决定</w:t>
      </w:r>
    </w:p>
    <w:p w14:paraId="23E15AAC">
      <w:pPr>
        <w:pStyle w:val="63"/>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合同当事人关于本项的约定：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D9BAE8A">
      <w:pPr>
        <w:pStyle w:val="130"/>
        <w:spacing w:line="440" w:lineRule="exact"/>
        <w:rPr>
          <w:rFonts w:ascii="宋体" w:hAnsi="宋体" w:cs="宋体"/>
          <w:color w:val="auto"/>
          <w:sz w:val="24"/>
          <w:szCs w:val="24"/>
          <w:highlight w:val="none"/>
        </w:rPr>
      </w:pPr>
      <w:bookmarkStart w:id="946" w:name="_Toc497901192"/>
      <w:bookmarkStart w:id="947" w:name="_Toc497215793"/>
      <w:bookmarkStart w:id="948" w:name="_Toc75182781"/>
      <w:bookmarkStart w:id="949" w:name="_Toc407135281"/>
      <w:bookmarkStart w:id="950" w:name="_Toc1988"/>
      <w:bookmarkStart w:id="951" w:name="_Toc497147236"/>
      <w:bookmarkStart w:id="952" w:name="_Toc47088380"/>
      <w:r>
        <w:rPr>
          <w:rFonts w:hint="eastAsia" w:ascii="宋体" w:hAnsi="宋体" w:cs="宋体"/>
          <w:color w:val="auto"/>
          <w:sz w:val="24"/>
          <w:szCs w:val="24"/>
          <w:highlight w:val="none"/>
        </w:rPr>
        <w:t>20.4 仲裁或诉讼</w:t>
      </w:r>
      <w:bookmarkEnd w:id="946"/>
      <w:bookmarkEnd w:id="947"/>
      <w:bookmarkEnd w:id="948"/>
      <w:bookmarkEnd w:id="949"/>
      <w:bookmarkEnd w:id="950"/>
      <w:bookmarkEnd w:id="951"/>
      <w:bookmarkEnd w:id="952"/>
    </w:p>
    <w:p w14:paraId="063880B7">
      <w:pPr>
        <w:pStyle w:val="63"/>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因合同及合同有关事项发生的争议，按下列第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种方式解决：</w:t>
      </w:r>
    </w:p>
    <w:p w14:paraId="688541F9">
      <w:pPr>
        <w:pStyle w:val="63"/>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（1）提请仲裁委员会按照该会仲裁规则进行仲裁，仲裁裁决是终局的，对合同双方均有约束力。</w:t>
      </w:r>
    </w:p>
    <w:p w14:paraId="2CB37178">
      <w:pPr>
        <w:pStyle w:val="63"/>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工程所在地      </w:t>
      </w:r>
      <w:r>
        <w:rPr>
          <w:rFonts w:hint="eastAsia" w:ascii="宋体" w:hAnsi="宋体" w:cs="宋体"/>
          <w:color w:val="auto"/>
          <w:szCs w:val="21"/>
          <w:highlight w:val="none"/>
        </w:rPr>
        <w:t>人民法院起诉。</w:t>
      </w:r>
    </w:p>
    <w:p w14:paraId="65D6AFAA">
      <w:pPr>
        <w:pStyle w:val="130"/>
        <w:spacing w:line="440" w:lineRule="exact"/>
        <w:rPr>
          <w:rFonts w:ascii="宋体" w:hAnsi="宋体" w:cs="宋体"/>
          <w:color w:val="auto"/>
          <w:sz w:val="24"/>
          <w:szCs w:val="24"/>
          <w:highlight w:val="none"/>
        </w:rPr>
      </w:pPr>
      <w:bookmarkStart w:id="953" w:name="_Toc407135282"/>
      <w:bookmarkStart w:id="954" w:name="_Toc497215794"/>
      <w:bookmarkStart w:id="955" w:name="_Toc75182782"/>
      <w:bookmarkStart w:id="956" w:name="_Toc497901193"/>
      <w:bookmarkStart w:id="957" w:name="_Toc497147237"/>
      <w:bookmarkStart w:id="958" w:name="_Toc47088381"/>
      <w:bookmarkStart w:id="959" w:name="_Toc13138"/>
      <w:r>
        <w:rPr>
          <w:rFonts w:hint="eastAsia" w:ascii="宋体" w:hAnsi="宋体" w:cs="宋体"/>
          <w:color w:val="auto"/>
          <w:sz w:val="24"/>
          <w:szCs w:val="24"/>
          <w:highlight w:val="none"/>
        </w:rPr>
        <w:t>21. 补充条款</w:t>
      </w:r>
      <w:bookmarkEnd w:id="953"/>
      <w:bookmarkEnd w:id="954"/>
      <w:bookmarkEnd w:id="955"/>
      <w:bookmarkEnd w:id="956"/>
      <w:bookmarkEnd w:id="957"/>
      <w:bookmarkEnd w:id="958"/>
      <w:bookmarkEnd w:id="959"/>
    </w:p>
    <w:p w14:paraId="2C2DDC6E">
      <w:pPr>
        <w:spacing w:line="460" w:lineRule="exact"/>
        <w:rPr>
          <w:rFonts w:ascii="宋体" w:hAnsi="宋体" w:cs="宋体"/>
          <w:color w:val="auto"/>
          <w:szCs w:val="21"/>
          <w:highlight w:val="none"/>
        </w:rPr>
        <w:sectPr>
          <w:pgSz w:w="11907" w:h="16840"/>
          <w:pgMar w:top="1440" w:right="1310" w:bottom="1440" w:left="1310" w:header="851" w:footer="850" w:gutter="0"/>
          <w:cols w:space="720" w:num="1"/>
          <w:docGrid w:type="lines" w:linePitch="312" w:charSpace="0"/>
        </w:sectPr>
      </w:pPr>
      <w:bookmarkStart w:id="960" w:name="_Toc358569761"/>
      <w:bookmarkStart w:id="961" w:name="_Toc358569762"/>
    </w:p>
    <w:bookmarkEnd w:id="960"/>
    <w:bookmarkEnd w:id="961"/>
    <w:p w14:paraId="712F44C5">
      <w:pPr>
        <w:rPr>
          <w:rFonts w:ascii="宋体" w:hAnsi="宋体" w:cs="宋体"/>
          <w:b/>
          <w:bCs/>
          <w:color w:val="auto"/>
          <w:highlight w:val="none"/>
        </w:rPr>
      </w:pPr>
    </w:p>
    <w:bookmarkEnd w:id="301"/>
    <w:bookmarkEnd w:id="302"/>
    <w:bookmarkEnd w:id="303"/>
    <w:bookmarkEnd w:id="304"/>
    <w:p w14:paraId="5F5B2D10">
      <w:pPr>
        <w:pStyle w:val="61"/>
        <w:spacing w:line="360" w:lineRule="auto"/>
        <w:jc w:val="left"/>
        <w:rPr>
          <w:rFonts w:ascii="宋体" w:hAnsi="宋体"/>
          <w:color w:val="auto"/>
          <w:szCs w:val="21"/>
          <w:highlight w:val="none"/>
        </w:rPr>
      </w:pPr>
      <w:bookmarkStart w:id="962" w:name="_Toc181001705"/>
      <w:bookmarkStart w:id="963" w:name="_Toc196306370"/>
      <w:bookmarkStart w:id="964" w:name="_Toc487965758"/>
      <w:bookmarkStart w:id="965" w:name="_Toc196295903"/>
      <w:bookmarkStart w:id="966" w:name="_Toc12222"/>
      <w:bookmarkStart w:id="967" w:name="_Toc196306371"/>
      <w:bookmarkStart w:id="968" w:name="_Toc75923334"/>
      <w:bookmarkStart w:id="969" w:name="_Toc85085520"/>
      <w:bookmarkStart w:id="970" w:name="_Toc121150091"/>
      <w:r>
        <w:rPr>
          <w:rFonts w:hint="eastAsia" w:ascii="宋体" w:hAnsi="宋体"/>
          <w:b/>
          <w:color w:val="auto"/>
          <w:szCs w:val="21"/>
          <w:highlight w:val="none"/>
        </w:rPr>
        <w:t>附件</w:t>
      </w:r>
    </w:p>
    <w:p w14:paraId="32414F4F">
      <w:pPr>
        <w:pStyle w:val="61"/>
        <w:spacing w:line="360" w:lineRule="auto"/>
        <w:jc w:val="left"/>
        <w:rPr>
          <w:rFonts w:ascii="宋体" w:hAnsi="宋体"/>
          <w:color w:val="auto"/>
          <w:szCs w:val="21"/>
          <w:highlight w:val="none"/>
        </w:rPr>
      </w:pPr>
      <w:r>
        <w:rPr>
          <w:rFonts w:hint="eastAsia" w:ascii="宋体" w:hAnsi="宋体"/>
          <w:color w:val="auto"/>
          <w:szCs w:val="21"/>
          <w:highlight w:val="none"/>
        </w:rPr>
        <w:t>协议书附件：</w:t>
      </w:r>
    </w:p>
    <w:p w14:paraId="468A420A">
      <w:pPr>
        <w:pStyle w:val="61"/>
        <w:spacing w:line="360" w:lineRule="auto"/>
        <w:jc w:val="left"/>
        <w:rPr>
          <w:rFonts w:ascii="宋体" w:hAnsi="宋体"/>
          <w:color w:val="auto"/>
          <w:szCs w:val="21"/>
          <w:highlight w:val="none"/>
        </w:rPr>
      </w:pPr>
      <w:r>
        <w:rPr>
          <w:rFonts w:hint="eastAsia" w:ascii="宋体" w:hAnsi="宋体"/>
          <w:color w:val="auto"/>
          <w:szCs w:val="21"/>
          <w:highlight w:val="none"/>
        </w:rPr>
        <w:t>附件1：承包人承揽工程项目一览表</w:t>
      </w:r>
    </w:p>
    <w:p w14:paraId="05FEB3DE">
      <w:pPr>
        <w:pStyle w:val="61"/>
        <w:spacing w:line="360" w:lineRule="auto"/>
        <w:jc w:val="left"/>
        <w:rPr>
          <w:rFonts w:ascii="宋体" w:hAnsi="宋体"/>
          <w:color w:val="auto"/>
          <w:szCs w:val="21"/>
          <w:highlight w:val="none"/>
        </w:rPr>
      </w:pPr>
      <w:r>
        <w:rPr>
          <w:rFonts w:hint="eastAsia" w:ascii="宋体" w:hAnsi="宋体"/>
          <w:color w:val="auto"/>
          <w:szCs w:val="21"/>
          <w:highlight w:val="none"/>
        </w:rPr>
        <w:t>专用合同条款附件：</w:t>
      </w:r>
    </w:p>
    <w:p w14:paraId="258BADB1">
      <w:pPr>
        <w:pStyle w:val="61"/>
        <w:spacing w:line="360" w:lineRule="auto"/>
        <w:jc w:val="left"/>
        <w:rPr>
          <w:rFonts w:ascii="宋体" w:hAnsi="宋体"/>
          <w:color w:val="auto"/>
          <w:szCs w:val="21"/>
          <w:highlight w:val="none"/>
        </w:rPr>
      </w:pPr>
      <w:r>
        <w:rPr>
          <w:rFonts w:hint="eastAsia" w:ascii="宋体" w:hAnsi="宋体"/>
          <w:color w:val="auto"/>
          <w:szCs w:val="21"/>
          <w:highlight w:val="none"/>
        </w:rPr>
        <w:t>附件2：发包人供应材料设备一览表</w:t>
      </w:r>
    </w:p>
    <w:p w14:paraId="3B416CE6">
      <w:pPr>
        <w:pStyle w:val="61"/>
        <w:spacing w:line="360" w:lineRule="auto"/>
        <w:jc w:val="left"/>
        <w:rPr>
          <w:rFonts w:ascii="宋体" w:hAnsi="宋体"/>
          <w:color w:val="auto"/>
          <w:szCs w:val="21"/>
          <w:highlight w:val="none"/>
        </w:rPr>
      </w:pPr>
      <w:r>
        <w:rPr>
          <w:rFonts w:hint="eastAsia" w:ascii="宋体" w:hAnsi="宋体"/>
          <w:color w:val="auto"/>
          <w:szCs w:val="21"/>
          <w:highlight w:val="none"/>
        </w:rPr>
        <w:t>附件3：工程质量保修书</w:t>
      </w:r>
    </w:p>
    <w:p w14:paraId="63CB046D">
      <w:pPr>
        <w:pStyle w:val="61"/>
        <w:spacing w:line="360" w:lineRule="auto"/>
        <w:jc w:val="left"/>
        <w:rPr>
          <w:rFonts w:ascii="宋体" w:hAnsi="宋体"/>
          <w:color w:val="auto"/>
          <w:szCs w:val="21"/>
          <w:highlight w:val="none"/>
        </w:rPr>
      </w:pPr>
      <w:r>
        <w:rPr>
          <w:rFonts w:hint="eastAsia" w:ascii="宋体" w:hAnsi="宋体"/>
          <w:color w:val="auto"/>
          <w:szCs w:val="21"/>
          <w:highlight w:val="none"/>
        </w:rPr>
        <w:t>附件4：主要建设工程文件目录</w:t>
      </w:r>
    </w:p>
    <w:p w14:paraId="74BE2A8B">
      <w:pPr>
        <w:pStyle w:val="61"/>
        <w:spacing w:line="360" w:lineRule="auto"/>
        <w:jc w:val="left"/>
        <w:rPr>
          <w:rFonts w:ascii="宋体" w:hAnsi="宋体"/>
          <w:color w:val="auto"/>
          <w:szCs w:val="21"/>
          <w:highlight w:val="none"/>
        </w:rPr>
      </w:pPr>
      <w:r>
        <w:rPr>
          <w:rFonts w:hint="eastAsia" w:ascii="宋体" w:hAnsi="宋体"/>
          <w:color w:val="auto"/>
          <w:szCs w:val="21"/>
          <w:highlight w:val="none"/>
        </w:rPr>
        <w:t>附件5：承包人用于本工程施工的机械设备表</w:t>
      </w:r>
    </w:p>
    <w:p w14:paraId="644BBE01">
      <w:pPr>
        <w:pStyle w:val="61"/>
        <w:spacing w:line="360" w:lineRule="auto"/>
        <w:jc w:val="left"/>
        <w:rPr>
          <w:rFonts w:ascii="宋体" w:hAnsi="宋体"/>
          <w:color w:val="auto"/>
          <w:szCs w:val="21"/>
          <w:highlight w:val="none"/>
        </w:rPr>
      </w:pPr>
      <w:r>
        <w:rPr>
          <w:rFonts w:hint="eastAsia" w:ascii="宋体" w:hAnsi="宋体"/>
          <w:color w:val="auto"/>
          <w:szCs w:val="21"/>
          <w:highlight w:val="none"/>
        </w:rPr>
        <w:t>附件6：承包人主要施工管理人员表</w:t>
      </w:r>
    </w:p>
    <w:p w14:paraId="049EDE1B">
      <w:pPr>
        <w:pStyle w:val="61"/>
        <w:spacing w:line="360" w:lineRule="auto"/>
        <w:jc w:val="left"/>
        <w:rPr>
          <w:rFonts w:ascii="宋体" w:hAnsi="宋体"/>
          <w:color w:val="auto"/>
          <w:szCs w:val="21"/>
          <w:highlight w:val="none"/>
        </w:rPr>
      </w:pPr>
      <w:r>
        <w:rPr>
          <w:rFonts w:hint="eastAsia" w:ascii="宋体" w:hAnsi="宋体"/>
          <w:color w:val="auto"/>
          <w:szCs w:val="21"/>
          <w:highlight w:val="none"/>
        </w:rPr>
        <w:t>附件7：分包人主要施工管理人员表</w:t>
      </w:r>
    </w:p>
    <w:p w14:paraId="37C46198">
      <w:pPr>
        <w:pStyle w:val="61"/>
        <w:spacing w:line="360" w:lineRule="auto"/>
        <w:jc w:val="left"/>
        <w:rPr>
          <w:rFonts w:ascii="宋体" w:hAnsi="宋体"/>
          <w:color w:val="auto"/>
          <w:szCs w:val="21"/>
          <w:highlight w:val="none"/>
        </w:rPr>
      </w:pPr>
      <w:r>
        <w:rPr>
          <w:rFonts w:hint="eastAsia" w:ascii="宋体" w:hAnsi="宋体"/>
          <w:color w:val="auto"/>
          <w:szCs w:val="21"/>
          <w:highlight w:val="none"/>
        </w:rPr>
        <w:t>附件8：履约担保格式</w:t>
      </w:r>
    </w:p>
    <w:p w14:paraId="6ECC2DAD">
      <w:pPr>
        <w:pStyle w:val="61"/>
        <w:spacing w:line="360" w:lineRule="auto"/>
        <w:jc w:val="left"/>
        <w:rPr>
          <w:rFonts w:ascii="宋体" w:hAnsi="宋体"/>
          <w:color w:val="auto"/>
          <w:szCs w:val="21"/>
          <w:highlight w:val="none"/>
        </w:rPr>
      </w:pPr>
      <w:r>
        <w:rPr>
          <w:rFonts w:hint="eastAsia" w:ascii="宋体" w:hAnsi="宋体"/>
          <w:color w:val="auto"/>
          <w:szCs w:val="21"/>
          <w:highlight w:val="none"/>
        </w:rPr>
        <w:t>附件9：预付款担保格式</w:t>
      </w:r>
    </w:p>
    <w:p w14:paraId="66673C72">
      <w:pPr>
        <w:pStyle w:val="61"/>
        <w:spacing w:line="360" w:lineRule="auto"/>
        <w:jc w:val="left"/>
        <w:rPr>
          <w:rFonts w:ascii="宋体" w:hAnsi="宋体"/>
          <w:color w:val="auto"/>
          <w:szCs w:val="21"/>
          <w:highlight w:val="none"/>
        </w:rPr>
      </w:pPr>
      <w:r>
        <w:rPr>
          <w:rFonts w:hint="eastAsia" w:ascii="宋体" w:hAnsi="宋体"/>
          <w:color w:val="auto"/>
          <w:szCs w:val="21"/>
          <w:highlight w:val="none"/>
        </w:rPr>
        <w:t>附件10：支付担保格式</w:t>
      </w:r>
    </w:p>
    <w:p w14:paraId="3D6F0C23">
      <w:pPr>
        <w:pStyle w:val="61"/>
        <w:spacing w:line="360" w:lineRule="auto"/>
        <w:jc w:val="left"/>
        <w:rPr>
          <w:rFonts w:ascii="宋体" w:hAnsi="宋体"/>
          <w:color w:val="auto"/>
          <w:szCs w:val="21"/>
          <w:highlight w:val="none"/>
        </w:rPr>
      </w:pPr>
    </w:p>
    <w:p w14:paraId="29ABC4CB">
      <w:pPr>
        <w:pStyle w:val="61"/>
        <w:spacing w:line="360" w:lineRule="auto"/>
        <w:jc w:val="left"/>
        <w:rPr>
          <w:rFonts w:ascii="宋体" w:hAnsi="宋体"/>
          <w:color w:val="auto"/>
          <w:szCs w:val="21"/>
          <w:highlight w:val="none"/>
        </w:rPr>
      </w:pPr>
    </w:p>
    <w:p w14:paraId="581E9525">
      <w:pPr>
        <w:pStyle w:val="61"/>
        <w:spacing w:line="360" w:lineRule="auto"/>
        <w:jc w:val="left"/>
        <w:rPr>
          <w:rFonts w:ascii="宋体" w:hAnsi="宋体"/>
          <w:color w:val="auto"/>
          <w:szCs w:val="21"/>
          <w:highlight w:val="none"/>
        </w:rPr>
      </w:pPr>
    </w:p>
    <w:p w14:paraId="5C2DC93F">
      <w:pPr>
        <w:pStyle w:val="61"/>
        <w:spacing w:line="360" w:lineRule="auto"/>
        <w:jc w:val="left"/>
        <w:rPr>
          <w:rFonts w:ascii="宋体" w:hAnsi="宋体"/>
          <w:color w:val="auto"/>
          <w:szCs w:val="21"/>
          <w:highlight w:val="none"/>
        </w:rPr>
      </w:pPr>
    </w:p>
    <w:p w14:paraId="4EE423F7">
      <w:pPr>
        <w:pStyle w:val="61"/>
        <w:spacing w:line="360" w:lineRule="auto"/>
        <w:jc w:val="left"/>
        <w:rPr>
          <w:rFonts w:ascii="宋体" w:hAnsi="宋体"/>
          <w:color w:val="auto"/>
          <w:szCs w:val="21"/>
          <w:highlight w:val="none"/>
        </w:rPr>
      </w:pPr>
    </w:p>
    <w:p w14:paraId="145A8064">
      <w:pPr>
        <w:pStyle w:val="61"/>
        <w:spacing w:line="360" w:lineRule="auto"/>
        <w:jc w:val="left"/>
        <w:rPr>
          <w:rFonts w:ascii="宋体" w:hAnsi="宋体"/>
          <w:color w:val="auto"/>
          <w:szCs w:val="21"/>
          <w:highlight w:val="none"/>
        </w:rPr>
      </w:pPr>
    </w:p>
    <w:p w14:paraId="6F7C4BA8">
      <w:pPr>
        <w:pStyle w:val="61"/>
        <w:spacing w:line="360" w:lineRule="auto"/>
        <w:jc w:val="left"/>
        <w:rPr>
          <w:rFonts w:ascii="宋体" w:hAnsi="宋体"/>
          <w:color w:val="auto"/>
          <w:szCs w:val="21"/>
          <w:highlight w:val="none"/>
        </w:rPr>
      </w:pPr>
    </w:p>
    <w:p w14:paraId="642E9353">
      <w:pPr>
        <w:pStyle w:val="61"/>
        <w:spacing w:line="360" w:lineRule="auto"/>
        <w:jc w:val="left"/>
        <w:rPr>
          <w:rFonts w:ascii="宋体" w:hAnsi="宋体"/>
          <w:color w:val="auto"/>
          <w:szCs w:val="21"/>
          <w:highlight w:val="none"/>
        </w:rPr>
      </w:pPr>
    </w:p>
    <w:p w14:paraId="5946EBE3">
      <w:pPr>
        <w:pStyle w:val="61"/>
        <w:spacing w:line="360" w:lineRule="auto"/>
        <w:jc w:val="left"/>
        <w:rPr>
          <w:rFonts w:ascii="宋体" w:hAnsi="宋体"/>
          <w:color w:val="auto"/>
          <w:szCs w:val="21"/>
          <w:highlight w:val="none"/>
        </w:rPr>
      </w:pPr>
    </w:p>
    <w:p w14:paraId="6548DABE">
      <w:pPr>
        <w:pStyle w:val="61"/>
        <w:spacing w:line="360" w:lineRule="auto"/>
        <w:jc w:val="left"/>
        <w:rPr>
          <w:rFonts w:ascii="宋体" w:hAnsi="宋体"/>
          <w:color w:val="auto"/>
          <w:szCs w:val="21"/>
          <w:highlight w:val="none"/>
        </w:rPr>
      </w:pPr>
    </w:p>
    <w:p w14:paraId="43ABC668">
      <w:pPr>
        <w:pStyle w:val="61"/>
        <w:spacing w:line="360" w:lineRule="auto"/>
        <w:jc w:val="left"/>
        <w:rPr>
          <w:rFonts w:ascii="宋体" w:hAnsi="宋体"/>
          <w:color w:val="auto"/>
          <w:szCs w:val="21"/>
          <w:highlight w:val="none"/>
        </w:rPr>
      </w:pPr>
    </w:p>
    <w:p w14:paraId="080D73D2">
      <w:pPr>
        <w:pStyle w:val="61"/>
        <w:spacing w:line="360" w:lineRule="auto"/>
        <w:jc w:val="left"/>
        <w:rPr>
          <w:rFonts w:ascii="宋体" w:hAnsi="宋体"/>
          <w:color w:val="auto"/>
          <w:szCs w:val="21"/>
          <w:highlight w:val="none"/>
        </w:rPr>
      </w:pPr>
    </w:p>
    <w:p w14:paraId="59B8B5DC">
      <w:pPr>
        <w:pStyle w:val="61"/>
        <w:spacing w:line="360" w:lineRule="auto"/>
        <w:jc w:val="left"/>
        <w:rPr>
          <w:rFonts w:ascii="宋体" w:hAnsi="宋体"/>
          <w:color w:val="auto"/>
          <w:szCs w:val="21"/>
          <w:highlight w:val="none"/>
        </w:rPr>
      </w:pPr>
    </w:p>
    <w:p w14:paraId="21C20959">
      <w:pPr>
        <w:pStyle w:val="61"/>
        <w:spacing w:line="360" w:lineRule="auto"/>
        <w:jc w:val="left"/>
        <w:rPr>
          <w:rFonts w:ascii="宋体" w:hAnsi="宋体"/>
          <w:color w:val="auto"/>
          <w:szCs w:val="21"/>
          <w:highlight w:val="none"/>
        </w:rPr>
      </w:pPr>
    </w:p>
    <w:p w14:paraId="2DB6199B">
      <w:pPr>
        <w:pStyle w:val="61"/>
        <w:spacing w:line="360" w:lineRule="auto"/>
        <w:jc w:val="left"/>
        <w:rPr>
          <w:rFonts w:ascii="宋体" w:hAnsi="宋体"/>
          <w:color w:val="auto"/>
          <w:szCs w:val="21"/>
          <w:highlight w:val="none"/>
        </w:rPr>
      </w:pPr>
    </w:p>
    <w:p w14:paraId="4F6CBF96">
      <w:pPr>
        <w:pStyle w:val="61"/>
        <w:spacing w:before="165" w:after="165" w:line="44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附件1：承包人承揽工程项目一览表</w:t>
      </w:r>
    </w:p>
    <w:tbl>
      <w:tblPr>
        <w:tblStyle w:val="41"/>
        <w:tblpPr w:leftFromText="180" w:rightFromText="180" w:vertAnchor="text" w:horzAnchor="page" w:tblpX="1108" w:tblpY="558"/>
        <w:tblOverlap w:val="never"/>
        <w:tblW w:w="0" w:type="auto"/>
        <w:tblInd w:w="-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49"/>
        <w:gridCol w:w="870"/>
        <w:gridCol w:w="1300"/>
        <w:gridCol w:w="1223"/>
        <w:gridCol w:w="946"/>
        <w:gridCol w:w="1037"/>
        <w:gridCol w:w="1117"/>
        <w:gridCol w:w="944"/>
        <w:gridCol w:w="719"/>
        <w:gridCol w:w="709"/>
      </w:tblGrid>
      <w:tr w14:paraId="6D5BB7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926" w:hRule="atLeast"/>
        </w:trPr>
        <w:tc>
          <w:tcPr>
            <w:tcW w:w="849" w:type="dxa"/>
            <w:vAlign w:val="center"/>
          </w:tcPr>
          <w:p w14:paraId="32C5AE7A">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单位工程名称</w:t>
            </w:r>
          </w:p>
        </w:tc>
        <w:tc>
          <w:tcPr>
            <w:tcW w:w="870" w:type="dxa"/>
            <w:vAlign w:val="center"/>
          </w:tcPr>
          <w:p w14:paraId="3380A5FB">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建设规模</w:t>
            </w:r>
          </w:p>
        </w:tc>
        <w:tc>
          <w:tcPr>
            <w:tcW w:w="1300" w:type="dxa"/>
            <w:vAlign w:val="center"/>
          </w:tcPr>
          <w:p w14:paraId="0F55EE8B">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建筑面积(平方米)</w:t>
            </w:r>
          </w:p>
        </w:tc>
        <w:tc>
          <w:tcPr>
            <w:tcW w:w="1223" w:type="dxa"/>
            <w:vAlign w:val="center"/>
          </w:tcPr>
          <w:p w14:paraId="005B8B15">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结构形式</w:t>
            </w:r>
          </w:p>
        </w:tc>
        <w:tc>
          <w:tcPr>
            <w:tcW w:w="946" w:type="dxa"/>
            <w:vAlign w:val="center"/>
          </w:tcPr>
          <w:p w14:paraId="1066B675">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层数</w:t>
            </w:r>
          </w:p>
        </w:tc>
        <w:tc>
          <w:tcPr>
            <w:tcW w:w="1037" w:type="dxa"/>
            <w:vAlign w:val="center"/>
          </w:tcPr>
          <w:p w14:paraId="538A3F00">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生产能力</w:t>
            </w:r>
          </w:p>
        </w:tc>
        <w:tc>
          <w:tcPr>
            <w:tcW w:w="1117" w:type="dxa"/>
            <w:vAlign w:val="center"/>
          </w:tcPr>
          <w:p w14:paraId="53327C76">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设备安装内容</w:t>
            </w:r>
          </w:p>
        </w:tc>
        <w:tc>
          <w:tcPr>
            <w:tcW w:w="944" w:type="dxa"/>
            <w:vAlign w:val="center"/>
          </w:tcPr>
          <w:p w14:paraId="19568366">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合同价格（元）</w:t>
            </w:r>
          </w:p>
        </w:tc>
        <w:tc>
          <w:tcPr>
            <w:tcW w:w="719" w:type="dxa"/>
            <w:vAlign w:val="center"/>
          </w:tcPr>
          <w:p w14:paraId="35FC49CE">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开工日期</w:t>
            </w:r>
          </w:p>
        </w:tc>
        <w:tc>
          <w:tcPr>
            <w:tcW w:w="709" w:type="dxa"/>
            <w:vAlign w:val="center"/>
          </w:tcPr>
          <w:p w14:paraId="182D6F8A">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竣工日期</w:t>
            </w:r>
          </w:p>
        </w:tc>
      </w:tr>
      <w:tr w14:paraId="25F4C1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18" w:hRule="atLeast"/>
        </w:trPr>
        <w:tc>
          <w:tcPr>
            <w:tcW w:w="849" w:type="dxa"/>
            <w:vAlign w:val="center"/>
          </w:tcPr>
          <w:p w14:paraId="2E103D51">
            <w:pPr>
              <w:pStyle w:val="138"/>
              <w:spacing w:line="440" w:lineRule="exact"/>
              <w:ind w:left="63" w:right="63"/>
              <w:rPr>
                <w:rFonts w:ascii="宋体" w:hAnsi="宋体"/>
                <w:color w:val="auto"/>
                <w:szCs w:val="21"/>
                <w:highlight w:val="none"/>
              </w:rPr>
            </w:pPr>
          </w:p>
        </w:tc>
        <w:tc>
          <w:tcPr>
            <w:tcW w:w="870" w:type="dxa"/>
            <w:vAlign w:val="center"/>
          </w:tcPr>
          <w:p w14:paraId="4DD595DF">
            <w:pPr>
              <w:pStyle w:val="138"/>
              <w:spacing w:line="440" w:lineRule="exact"/>
              <w:ind w:left="63" w:right="63"/>
              <w:rPr>
                <w:rFonts w:ascii="宋体" w:hAnsi="宋体"/>
                <w:color w:val="auto"/>
                <w:szCs w:val="21"/>
                <w:highlight w:val="none"/>
              </w:rPr>
            </w:pPr>
          </w:p>
        </w:tc>
        <w:tc>
          <w:tcPr>
            <w:tcW w:w="1300" w:type="dxa"/>
            <w:vAlign w:val="center"/>
          </w:tcPr>
          <w:p w14:paraId="336E4643">
            <w:pPr>
              <w:pStyle w:val="138"/>
              <w:spacing w:line="440" w:lineRule="exact"/>
              <w:ind w:left="63" w:right="63"/>
              <w:rPr>
                <w:rFonts w:ascii="宋体" w:hAnsi="宋体"/>
                <w:color w:val="auto"/>
                <w:szCs w:val="21"/>
                <w:highlight w:val="none"/>
              </w:rPr>
            </w:pPr>
          </w:p>
        </w:tc>
        <w:tc>
          <w:tcPr>
            <w:tcW w:w="1223" w:type="dxa"/>
            <w:vAlign w:val="center"/>
          </w:tcPr>
          <w:p w14:paraId="52C086F0">
            <w:pPr>
              <w:pStyle w:val="138"/>
              <w:spacing w:line="440" w:lineRule="exact"/>
              <w:ind w:left="63" w:right="63"/>
              <w:rPr>
                <w:rFonts w:ascii="宋体" w:hAnsi="宋体"/>
                <w:color w:val="auto"/>
                <w:szCs w:val="21"/>
                <w:highlight w:val="none"/>
              </w:rPr>
            </w:pPr>
          </w:p>
        </w:tc>
        <w:tc>
          <w:tcPr>
            <w:tcW w:w="946" w:type="dxa"/>
            <w:vAlign w:val="center"/>
          </w:tcPr>
          <w:p w14:paraId="4AE4BA1D">
            <w:pPr>
              <w:pStyle w:val="138"/>
              <w:spacing w:line="440" w:lineRule="exact"/>
              <w:ind w:left="63" w:right="63"/>
              <w:rPr>
                <w:rFonts w:ascii="宋体" w:hAnsi="宋体"/>
                <w:color w:val="auto"/>
                <w:szCs w:val="21"/>
                <w:highlight w:val="none"/>
              </w:rPr>
            </w:pPr>
          </w:p>
        </w:tc>
        <w:tc>
          <w:tcPr>
            <w:tcW w:w="1037" w:type="dxa"/>
            <w:vAlign w:val="center"/>
          </w:tcPr>
          <w:p w14:paraId="038F3884">
            <w:pPr>
              <w:pStyle w:val="138"/>
              <w:spacing w:line="440" w:lineRule="exact"/>
              <w:ind w:left="63" w:right="63"/>
              <w:rPr>
                <w:rFonts w:ascii="宋体" w:hAnsi="宋体"/>
                <w:color w:val="auto"/>
                <w:szCs w:val="21"/>
                <w:highlight w:val="none"/>
              </w:rPr>
            </w:pPr>
          </w:p>
        </w:tc>
        <w:tc>
          <w:tcPr>
            <w:tcW w:w="1117" w:type="dxa"/>
            <w:vAlign w:val="center"/>
          </w:tcPr>
          <w:p w14:paraId="5BF35128">
            <w:pPr>
              <w:pStyle w:val="138"/>
              <w:spacing w:line="440" w:lineRule="exact"/>
              <w:ind w:left="63" w:right="63"/>
              <w:rPr>
                <w:rFonts w:ascii="宋体" w:hAnsi="宋体"/>
                <w:color w:val="auto"/>
                <w:szCs w:val="21"/>
                <w:highlight w:val="none"/>
              </w:rPr>
            </w:pPr>
          </w:p>
        </w:tc>
        <w:tc>
          <w:tcPr>
            <w:tcW w:w="944" w:type="dxa"/>
            <w:vAlign w:val="center"/>
          </w:tcPr>
          <w:p w14:paraId="19279175">
            <w:pPr>
              <w:pStyle w:val="138"/>
              <w:spacing w:line="440" w:lineRule="exact"/>
              <w:ind w:left="63" w:right="63"/>
              <w:rPr>
                <w:rFonts w:ascii="宋体" w:hAnsi="宋体"/>
                <w:color w:val="auto"/>
                <w:szCs w:val="21"/>
                <w:highlight w:val="none"/>
              </w:rPr>
            </w:pPr>
          </w:p>
        </w:tc>
        <w:tc>
          <w:tcPr>
            <w:tcW w:w="719" w:type="dxa"/>
            <w:vAlign w:val="center"/>
          </w:tcPr>
          <w:p w14:paraId="194A9D2C">
            <w:pPr>
              <w:pStyle w:val="138"/>
              <w:spacing w:line="440" w:lineRule="exact"/>
              <w:ind w:left="63" w:right="63"/>
              <w:rPr>
                <w:rFonts w:ascii="宋体" w:hAnsi="宋体"/>
                <w:color w:val="auto"/>
                <w:szCs w:val="21"/>
                <w:highlight w:val="none"/>
              </w:rPr>
            </w:pPr>
          </w:p>
        </w:tc>
        <w:tc>
          <w:tcPr>
            <w:tcW w:w="709" w:type="dxa"/>
            <w:vAlign w:val="center"/>
          </w:tcPr>
          <w:p w14:paraId="7F05828C">
            <w:pPr>
              <w:pStyle w:val="138"/>
              <w:spacing w:line="440" w:lineRule="exact"/>
              <w:ind w:left="63" w:right="63"/>
              <w:rPr>
                <w:rFonts w:ascii="宋体" w:hAnsi="宋体"/>
                <w:color w:val="auto"/>
                <w:szCs w:val="21"/>
                <w:highlight w:val="none"/>
              </w:rPr>
            </w:pPr>
          </w:p>
        </w:tc>
      </w:tr>
      <w:tr w14:paraId="7E3E41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88" w:hRule="atLeast"/>
        </w:trPr>
        <w:tc>
          <w:tcPr>
            <w:tcW w:w="849" w:type="dxa"/>
            <w:vAlign w:val="center"/>
          </w:tcPr>
          <w:p w14:paraId="0E7C8EF5">
            <w:pPr>
              <w:pStyle w:val="138"/>
              <w:spacing w:line="440" w:lineRule="exact"/>
              <w:ind w:left="63" w:right="63"/>
              <w:rPr>
                <w:rFonts w:ascii="宋体" w:hAnsi="宋体"/>
                <w:color w:val="auto"/>
                <w:szCs w:val="21"/>
                <w:highlight w:val="none"/>
              </w:rPr>
            </w:pPr>
          </w:p>
        </w:tc>
        <w:tc>
          <w:tcPr>
            <w:tcW w:w="870" w:type="dxa"/>
            <w:vAlign w:val="center"/>
          </w:tcPr>
          <w:p w14:paraId="761BED5C">
            <w:pPr>
              <w:pStyle w:val="138"/>
              <w:spacing w:line="440" w:lineRule="exact"/>
              <w:ind w:left="63" w:right="63"/>
              <w:rPr>
                <w:rFonts w:ascii="宋体" w:hAnsi="宋体"/>
                <w:color w:val="auto"/>
                <w:szCs w:val="21"/>
                <w:highlight w:val="none"/>
              </w:rPr>
            </w:pPr>
          </w:p>
        </w:tc>
        <w:tc>
          <w:tcPr>
            <w:tcW w:w="1300" w:type="dxa"/>
            <w:vAlign w:val="center"/>
          </w:tcPr>
          <w:p w14:paraId="7E01A7F3">
            <w:pPr>
              <w:pStyle w:val="138"/>
              <w:spacing w:line="440" w:lineRule="exact"/>
              <w:ind w:left="63" w:right="63"/>
              <w:rPr>
                <w:rFonts w:ascii="宋体" w:hAnsi="宋体"/>
                <w:color w:val="auto"/>
                <w:szCs w:val="21"/>
                <w:highlight w:val="none"/>
              </w:rPr>
            </w:pPr>
          </w:p>
        </w:tc>
        <w:tc>
          <w:tcPr>
            <w:tcW w:w="1223" w:type="dxa"/>
            <w:vAlign w:val="center"/>
          </w:tcPr>
          <w:p w14:paraId="22003B31">
            <w:pPr>
              <w:pStyle w:val="138"/>
              <w:spacing w:line="440" w:lineRule="exact"/>
              <w:ind w:left="63" w:right="63"/>
              <w:rPr>
                <w:rFonts w:ascii="宋体" w:hAnsi="宋体"/>
                <w:color w:val="auto"/>
                <w:szCs w:val="21"/>
                <w:highlight w:val="none"/>
              </w:rPr>
            </w:pPr>
          </w:p>
        </w:tc>
        <w:tc>
          <w:tcPr>
            <w:tcW w:w="946" w:type="dxa"/>
            <w:vAlign w:val="center"/>
          </w:tcPr>
          <w:p w14:paraId="0A60CC7A">
            <w:pPr>
              <w:pStyle w:val="138"/>
              <w:spacing w:line="440" w:lineRule="exact"/>
              <w:ind w:left="63" w:right="63"/>
              <w:rPr>
                <w:rFonts w:ascii="宋体" w:hAnsi="宋体"/>
                <w:color w:val="auto"/>
                <w:szCs w:val="21"/>
                <w:highlight w:val="none"/>
              </w:rPr>
            </w:pPr>
          </w:p>
        </w:tc>
        <w:tc>
          <w:tcPr>
            <w:tcW w:w="1037" w:type="dxa"/>
            <w:vAlign w:val="center"/>
          </w:tcPr>
          <w:p w14:paraId="4D31E660">
            <w:pPr>
              <w:pStyle w:val="138"/>
              <w:spacing w:line="440" w:lineRule="exact"/>
              <w:ind w:left="63" w:right="63"/>
              <w:rPr>
                <w:rFonts w:ascii="宋体" w:hAnsi="宋体"/>
                <w:color w:val="auto"/>
                <w:szCs w:val="21"/>
                <w:highlight w:val="none"/>
              </w:rPr>
            </w:pPr>
          </w:p>
        </w:tc>
        <w:tc>
          <w:tcPr>
            <w:tcW w:w="1117" w:type="dxa"/>
            <w:vAlign w:val="center"/>
          </w:tcPr>
          <w:p w14:paraId="7B59DEC5">
            <w:pPr>
              <w:pStyle w:val="138"/>
              <w:spacing w:line="440" w:lineRule="exact"/>
              <w:ind w:left="63" w:right="63"/>
              <w:rPr>
                <w:rFonts w:ascii="宋体" w:hAnsi="宋体"/>
                <w:color w:val="auto"/>
                <w:szCs w:val="21"/>
                <w:highlight w:val="none"/>
              </w:rPr>
            </w:pPr>
          </w:p>
        </w:tc>
        <w:tc>
          <w:tcPr>
            <w:tcW w:w="944" w:type="dxa"/>
            <w:vAlign w:val="center"/>
          </w:tcPr>
          <w:p w14:paraId="2A21191B">
            <w:pPr>
              <w:pStyle w:val="138"/>
              <w:spacing w:line="440" w:lineRule="exact"/>
              <w:ind w:left="63" w:right="63"/>
              <w:rPr>
                <w:rFonts w:ascii="宋体" w:hAnsi="宋体"/>
                <w:color w:val="auto"/>
                <w:szCs w:val="21"/>
                <w:highlight w:val="none"/>
              </w:rPr>
            </w:pPr>
          </w:p>
        </w:tc>
        <w:tc>
          <w:tcPr>
            <w:tcW w:w="719" w:type="dxa"/>
            <w:vAlign w:val="center"/>
          </w:tcPr>
          <w:p w14:paraId="263A999F">
            <w:pPr>
              <w:pStyle w:val="138"/>
              <w:spacing w:line="440" w:lineRule="exact"/>
              <w:ind w:left="63" w:right="63"/>
              <w:rPr>
                <w:rFonts w:ascii="宋体" w:hAnsi="宋体"/>
                <w:color w:val="auto"/>
                <w:szCs w:val="21"/>
                <w:highlight w:val="none"/>
              </w:rPr>
            </w:pPr>
          </w:p>
        </w:tc>
        <w:tc>
          <w:tcPr>
            <w:tcW w:w="709" w:type="dxa"/>
            <w:vAlign w:val="center"/>
          </w:tcPr>
          <w:p w14:paraId="40E9A921">
            <w:pPr>
              <w:pStyle w:val="138"/>
              <w:spacing w:line="440" w:lineRule="exact"/>
              <w:ind w:left="63" w:right="63"/>
              <w:rPr>
                <w:rFonts w:ascii="宋体" w:hAnsi="宋体"/>
                <w:color w:val="auto"/>
                <w:szCs w:val="21"/>
                <w:highlight w:val="none"/>
              </w:rPr>
            </w:pPr>
          </w:p>
        </w:tc>
      </w:tr>
      <w:tr w14:paraId="418ADC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88" w:hRule="atLeast"/>
        </w:trPr>
        <w:tc>
          <w:tcPr>
            <w:tcW w:w="849" w:type="dxa"/>
            <w:vAlign w:val="center"/>
          </w:tcPr>
          <w:p w14:paraId="4F8A2893">
            <w:pPr>
              <w:pStyle w:val="138"/>
              <w:spacing w:line="440" w:lineRule="exact"/>
              <w:ind w:left="63" w:right="63"/>
              <w:rPr>
                <w:rFonts w:ascii="宋体" w:hAnsi="宋体"/>
                <w:color w:val="auto"/>
                <w:szCs w:val="21"/>
                <w:highlight w:val="none"/>
              </w:rPr>
            </w:pPr>
          </w:p>
        </w:tc>
        <w:tc>
          <w:tcPr>
            <w:tcW w:w="870" w:type="dxa"/>
            <w:vAlign w:val="center"/>
          </w:tcPr>
          <w:p w14:paraId="7D904C4F">
            <w:pPr>
              <w:pStyle w:val="138"/>
              <w:spacing w:line="440" w:lineRule="exact"/>
              <w:ind w:left="63" w:right="63"/>
              <w:rPr>
                <w:rFonts w:ascii="宋体" w:hAnsi="宋体"/>
                <w:color w:val="auto"/>
                <w:szCs w:val="21"/>
                <w:highlight w:val="none"/>
              </w:rPr>
            </w:pPr>
          </w:p>
        </w:tc>
        <w:tc>
          <w:tcPr>
            <w:tcW w:w="1300" w:type="dxa"/>
            <w:vAlign w:val="center"/>
          </w:tcPr>
          <w:p w14:paraId="3B0E2107">
            <w:pPr>
              <w:pStyle w:val="138"/>
              <w:spacing w:line="440" w:lineRule="exact"/>
              <w:ind w:left="63" w:right="63"/>
              <w:rPr>
                <w:rFonts w:ascii="宋体" w:hAnsi="宋体"/>
                <w:color w:val="auto"/>
                <w:szCs w:val="21"/>
                <w:highlight w:val="none"/>
              </w:rPr>
            </w:pPr>
          </w:p>
        </w:tc>
        <w:tc>
          <w:tcPr>
            <w:tcW w:w="1223" w:type="dxa"/>
            <w:vAlign w:val="center"/>
          </w:tcPr>
          <w:p w14:paraId="6A794841">
            <w:pPr>
              <w:pStyle w:val="138"/>
              <w:spacing w:line="440" w:lineRule="exact"/>
              <w:ind w:left="63" w:right="63"/>
              <w:rPr>
                <w:rFonts w:ascii="宋体" w:hAnsi="宋体"/>
                <w:color w:val="auto"/>
                <w:szCs w:val="21"/>
                <w:highlight w:val="none"/>
              </w:rPr>
            </w:pPr>
          </w:p>
        </w:tc>
        <w:tc>
          <w:tcPr>
            <w:tcW w:w="946" w:type="dxa"/>
            <w:vAlign w:val="center"/>
          </w:tcPr>
          <w:p w14:paraId="712890CD">
            <w:pPr>
              <w:pStyle w:val="138"/>
              <w:spacing w:line="440" w:lineRule="exact"/>
              <w:ind w:left="63" w:right="63"/>
              <w:rPr>
                <w:rFonts w:ascii="宋体" w:hAnsi="宋体"/>
                <w:color w:val="auto"/>
                <w:szCs w:val="21"/>
                <w:highlight w:val="none"/>
              </w:rPr>
            </w:pPr>
          </w:p>
        </w:tc>
        <w:tc>
          <w:tcPr>
            <w:tcW w:w="1037" w:type="dxa"/>
            <w:vAlign w:val="center"/>
          </w:tcPr>
          <w:p w14:paraId="77E482DB">
            <w:pPr>
              <w:pStyle w:val="138"/>
              <w:spacing w:line="440" w:lineRule="exact"/>
              <w:ind w:left="63" w:right="63"/>
              <w:rPr>
                <w:rFonts w:ascii="宋体" w:hAnsi="宋体"/>
                <w:color w:val="auto"/>
                <w:szCs w:val="21"/>
                <w:highlight w:val="none"/>
              </w:rPr>
            </w:pPr>
          </w:p>
        </w:tc>
        <w:tc>
          <w:tcPr>
            <w:tcW w:w="1117" w:type="dxa"/>
            <w:vAlign w:val="center"/>
          </w:tcPr>
          <w:p w14:paraId="79107FB3">
            <w:pPr>
              <w:pStyle w:val="138"/>
              <w:spacing w:line="440" w:lineRule="exact"/>
              <w:ind w:left="63" w:right="63"/>
              <w:rPr>
                <w:rFonts w:ascii="宋体" w:hAnsi="宋体"/>
                <w:color w:val="auto"/>
                <w:szCs w:val="21"/>
                <w:highlight w:val="none"/>
              </w:rPr>
            </w:pPr>
          </w:p>
        </w:tc>
        <w:tc>
          <w:tcPr>
            <w:tcW w:w="944" w:type="dxa"/>
            <w:vAlign w:val="center"/>
          </w:tcPr>
          <w:p w14:paraId="1316C165">
            <w:pPr>
              <w:pStyle w:val="138"/>
              <w:spacing w:line="440" w:lineRule="exact"/>
              <w:ind w:left="63" w:right="63"/>
              <w:rPr>
                <w:rFonts w:ascii="宋体" w:hAnsi="宋体"/>
                <w:color w:val="auto"/>
                <w:szCs w:val="21"/>
                <w:highlight w:val="none"/>
              </w:rPr>
            </w:pPr>
          </w:p>
        </w:tc>
        <w:tc>
          <w:tcPr>
            <w:tcW w:w="719" w:type="dxa"/>
            <w:vAlign w:val="center"/>
          </w:tcPr>
          <w:p w14:paraId="0A5AB5AC">
            <w:pPr>
              <w:pStyle w:val="138"/>
              <w:spacing w:line="440" w:lineRule="exact"/>
              <w:ind w:left="63" w:right="63"/>
              <w:rPr>
                <w:rFonts w:ascii="宋体" w:hAnsi="宋体"/>
                <w:color w:val="auto"/>
                <w:szCs w:val="21"/>
                <w:highlight w:val="none"/>
              </w:rPr>
            </w:pPr>
          </w:p>
        </w:tc>
        <w:tc>
          <w:tcPr>
            <w:tcW w:w="709" w:type="dxa"/>
            <w:vAlign w:val="center"/>
          </w:tcPr>
          <w:p w14:paraId="2D54C642">
            <w:pPr>
              <w:pStyle w:val="138"/>
              <w:spacing w:line="440" w:lineRule="exact"/>
              <w:ind w:left="63" w:right="63"/>
              <w:rPr>
                <w:rFonts w:ascii="宋体" w:hAnsi="宋体"/>
                <w:color w:val="auto"/>
                <w:szCs w:val="21"/>
                <w:highlight w:val="none"/>
              </w:rPr>
            </w:pPr>
          </w:p>
        </w:tc>
      </w:tr>
      <w:tr w14:paraId="097BF9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88" w:hRule="atLeast"/>
        </w:trPr>
        <w:tc>
          <w:tcPr>
            <w:tcW w:w="849" w:type="dxa"/>
            <w:vAlign w:val="center"/>
          </w:tcPr>
          <w:p w14:paraId="08DA7814">
            <w:pPr>
              <w:pStyle w:val="138"/>
              <w:spacing w:line="440" w:lineRule="exact"/>
              <w:ind w:left="63" w:right="63"/>
              <w:rPr>
                <w:rFonts w:ascii="宋体" w:hAnsi="宋体"/>
                <w:color w:val="auto"/>
                <w:szCs w:val="21"/>
                <w:highlight w:val="none"/>
              </w:rPr>
            </w:pPr>
          </w:p>
        </w:tc>
        <w:tc>
          <w:tcPr>
            <w:tcW w:w="870" w:type="dxa"/>
            <w:vAlign w:val="center"/>
          </w:tcPr>
          <w:p w14:paraId="6E87759E">
            <w:pPr>
              <w:pStyle w:val="138"/>
              <w:spacing w:line="440" w:lineRule="exact"/>
              <w:ind w:left="63" w:right="63"/>
              <w:rPr>
                <w:rFonts w:ascii="宋体" w:hAnsi="宋体"/>
                <w:color w:val="auto"/>
                <w:szCs w:val="21"/>
                <w:highlight w:val="none"/>
              </w:rPr>
            </w:pPr>
          </w:p>
        </w:tc>
        <w:tc>
          <w:tcPr>
            <w:tcW w:w="1300" w:type="dxa"/>
            <w:vAlign w:val="center"/>
          </w:tcPr>
          <w:p w14:paraId="1FE43FA0">
            <w:pPr>
              <w:pStyle w:val="138"/>
              <w:spacing w:line="440" w:lineRule="exact"/>
              <w:ind w:left="63" w:right="63"/>
              <w:rPr>
                <w:rFonts w:ascii="宋体" w:hAnsi="宋体"/>
                <w:color w:val="auto"/>
                <w:szCs w:val="21"/>
                <w:highlight w:val="none"/>
              </w:rPr>
            </w:pPr>
          </w:p>
        </w:tc>
        <w:tc>
          <w:tcPr>
            <w:tcW w:w="1223" w:type="dxa"/>
            <w:vAlign w:val="center"/>
          </w:tcPr>
          <w:p w14:paraId="5B98FF89">
            <w:pPr>
              <w:pStyle w:val="138"/>
              <w:spacing w:line="440" w:lineRule="exact"/>
              <w:ind w:left="63" w:right="63"/>
              <w:rPr>
                <w:rFonts w:ascii="宋体" w:hAnsi="宋体"/>
                <w:color w:val="auto"/>
                <w:szCs w:val="21"/>
                <w:highlight w:val="none"/>
              </w:rPr>
            </w:pPr>
          </w:p>
        </w:tc>
        <w:tc>
          <w:tcPr>
            <w:tcW w:w="946" w:type="dxa"/>
            <w:vAlign w:val="center"/>
          </w:tcPr>
          <w:p w14:paraId="71C443FC">
            <w:pPr>
              <w:pStyle w:val="138"/>
              <w:spacing w:line="440" w:lineRule="exact"/>
              <w:ind w:left="63" w:right="63"/>
              <w:rPr>
                <w:rFonts w:ascii="宋体" w:hAnsi="宋体"/>
                <w:color w:val="auto"/>
                <w:szCs w:val="21"/>
                <w:highlight w:val="none"/>
              </w:rPr>
            </w:pPr>
          </w:p>
        </w:tc>
        <w:tc>
          <w:tcPr>
            <w:tcW w:w="1037" w:type="dxa"/>
            <w:vAlign w:val="center"/>
          </w:tcPr>
          <w:p w14:paraId="19029E26">
            <w:pPr>
              <w:pStyle w:val="138"/>
              <w:spacing w:line="440" w:lineRule="exact"/>
              <w:ind w:left="63" w:right="63"/>
              <w:rPr>
                <w:rFonts w:ascii="宋体" w:hAnsi="宋体"/>
                <w:color w:val="auto"/>
                <w:szCs w:val="21"/>
                <w:highlight w:val="none"/>
              </w:rPr>
            </w:pPr>
          </w:p>
        </w:tc>
        <w:tc>
          <w:tcPr>
            <w:tcW w:w="1117" w:type="dxa"/>
            <w:vAlign w:val="center"/>
          </w:tcPr>
          <w:p w14:paraId="73381722">
            <w:pPr>
              <w:pStyle w:val="138"/>
              <w:spacing w:line="440" w:lineRule="exact"/>
              <w:ind w:left="63" w:right="63"/>
              <w:rPr>
                <w:rFonts w:ascii="宋体" w:hAnsi="宋体"/>
                <w:color w:val="auto"/>
                <w:szCs w:val="21"/>
                <w:highlight w:val="none"/>
              </w:rPr>
            </w:pPr>
          </w:p>
        </w:tc>
        <w:tc>
          <w:tcPr>
            <w:tcW w:w="944" w:type="dxa"/>
            <w:vAlign w:val="center"/>
          </w:tcPr>
          <w:p w14:paraId="4A83FFE3">
            <w:pPr>
              <w:pStyle w:val="138"/>
              <w:spacing w:line="440" w:lineRule="exact"/>
              <w:ind w:left="63" w:right="63"/>
              <w:rPr>
                <w:rFonts w:ascii="宋体" w:hAnsi="宋体"/>
                <w:color w:val="auto"/>
                <w:szCs w:val="21"/>
                <w:highlight w:val="none"/>
              </w:rPr>
            </w:pPr>
          </w:p>
        </w:tc>
        <w:tc>
          <w:tcPr>
            <w:tcW w:w="719" w:type="dxa"/>
            <w:vAlign w:val="center"/>
          </w:tcPr>
          <w:p w14:paraId="26AB3626">
            <w:pPr>
              <w:pStyle w:val="138"/>
              <w:spacing w:line="440" w:lineRule="exact"/>
              <w:ind w:left="63" w:right="63"/>
              <w:rPr>
                <w:rFonts w:ascii="宋体" w:hAnsi="宋体"/>
                <w:color w:val="auto"/>
                <w:szCs w:val="21"/>
                <w:highlight w:val="none"/>
              </w:rPr>
            </w:pPr>
          </w:p>
        </w:tc>
        <w:tc>
          <w:tcPr>
            <w:tcW w:w="709" w:type="dxa"/>
            <w:vAlign w:val="center"/>
          </w:tcPr>
          <w:p w14:paraId="32D66799">
            <w:pPr>
              <w:pStyle w:val="138"/>
              <w:spacing w:line="440" w:lineRule="exact"/>
              <w:ind w:left="63" w:right="63"/>
              <w:rPr>
                <w:rFonts w:ascii="宋体" w:hAnsi="宋体"/>
                <w:color w:val="auto"/>
                <w:szCs w:val="21"/>
                <w:highlight w:val="none"/>
              </w:rPr>
            </w:pPr>
          </w:p>
        </w:tc>
      </w:tr>
      <w:tr w14:paraId="43B78D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88" w:hRule="atLeast"/>
        </w:trPr>
        <w:tc>
          <w:tcPr>
            <w:tcW w:w="849" w:type="dxa"/>
            <w:vAlign w:val="center"/>
          </w:tcPr>
          <w:p w14:paraId="24EE25CF">
            <w:pPr>
              <w:pStyle w:val="138"/>
              <w:spacing w:line="440" w:lineRule="exact"/>
              <w:ind w:left="63" w:right="63"/>
              <w:rPr>
                <w:rFonts w:ascii="宋体" w:hAnsi="宋体"/>
                <w:color w:val="auto"/>
                <w:szCs w:val="21"/>
                <w:highlight w:val="none"/>
              </w:rPr>
            </w:pPr>
          </w:p>
        </w:tc>
        <w:tc>
          <w:tcPr>
            <w:tcW w:w="870" w:type="dxa"/>
            <w:vAlign w:val="center"/>
          </w:tcPr>
          <w:p w14:paraId="694EBCE4">
            <w:pPr>
              <w:pStyle w:val="138"/>
              <w:spacing w:line="440" w:lineRule="exact"/>
              <w:ind w:left="63" w:right="63"/>
              <w:rPr>
                <w:rFonts w:ascii="宋体" w:hAnsi="宋体"/>
                <w:color w:val="auto"/>
                <w:szCs w:val="21"/>
                <w:highlight w:val="none"/>
              </w:rPr>
            </w:pPr>
          </w:p>
        </w:tc>
        <w:tc>
          <w:tcPr>
            <w:tcW w:w="1300" w:type="dxa"/>
            <w:vAlign w:val="center"/>
          </w:tcPr>
          <w:p w14:paraId="355F58E3">
            <w:pPr>
              <w:pStyle w:val="138"/>
              <w:spacing w:line="440" w:lineRule="exact"/>
              <w:ind w:left="63" w:right="63"/>
              <w:rPr>
                <w:rFonts w:ascii="宋体" w:hAnsi="宋体"/>
                <w:color w:val="auto"/>
                <w:szCs w:val="21"/>
                <w:highlight w:val="none"/>
              </w:rPr>
            </w:pPr>
          </w:p>
        </w:tc>
        <w:tc>
          <w:tcPr>
            <w:tcW w:w="1223" w:type="dxa"/>
            <w:vAlign w:val="center"/>
          </w:tcPr>
          <w:p w14:paraId="157DAD58">
            <w:pPr>
              <w:pStyle w:val="138"/>
              <w:spacing w:line="440" w:lineRule="exact"/>
              <w:ind w:left="63" w:right="63"/>
              <w:rPr>
                <w:rFonts w:ascii="宋体" w:hAnsi="宋体"/>
                <w:color w:val="auto"/>
                <w:szCs w:val="21"/>
                <w:highlight w:val="none"/>
              </w:rPr>
            </w:pPr>
          </w:p>
        </w:tc>
        <w:tc>
          <w:tcPr>
            <w:tcW w:w="946" w:type="dxa"/>
            <w:vAlign w:val="center"/>
          </w:tcPr>
          <w:p w14:paraId="73997A4A">
            <w:pPr>
              <w:pStyle w:val="138"/>
              <w:spacing w:line="440" w:lineRule="exact"/>
              <w:ind w:left="63" w:right="63"/>
              <w:rPr>
                <w:rFonts w:ascii="宋体" w:hAnsi="宋体"/>
                <w:color w:val="auto"/>
                <w:szCs w:val="21"/>
                <w:highlight w:val="none"/>
              </w:rPr>
            </w:pPr>
          </w:p>
        </w:tc>
        <w:tc>
          <w:tcPr>
            <w:tcW w:w="1037" w:type="dxa"/>
            <w:vAlign w:val="center"/>
          </w:tcPr>
          <w:p w14:paraId="4F3574E6">
            <w:pPr>
              <w:pStyle w:val="138"/>
              <w:spacing w:line="440" w:lineRule="exact"/>
              <w:ind w:left="63" w:right="63"/>
              <w:rPr>
                <w:rFonts w:ascii="宋体" w:hAnsi="宋体"/>
                <w:color w:val="auto"/>
                <w:szCs w:val="21"/>
                <w:highlight w:val="none"/>
              </w:rPr>
            </w:pPr>
          </w:p>
        </w:tc>
        <w:tc>
          <w:tcPr>
            <w:tcW w:w="1117" w:type="dxa"/>
            <w:vAlign w:val="center"/>
          </w:tcPr>
          <w:p w14:paraId="14D04C52">
            <w:pPr>
              <w:pStyle w:val="138"/>
              <w:spacing w:line="440" w:lineRule="exact"/>
              <w:ind w:left="63" w:right="63"/>
              <w:rPr>
                <w:rFonts w:ascii="宋体" w:hAnsi="宋体"/>
                <w:color w:val="auto"/>
                <w:szCs w:val="21"/>
                <w:highlight w:val="none"/>
              </w:rPr>
            </w:pPr>
          </w:p>
        </w:tc>
        <w:tc>
          <w:tcPr>
            <w:tcW w:w="944" w:type="dxa"/>
            <w:vAlign w:val="center"/>
          </w:tcPr>
          <w:p w14:paraId="32A9FB57">
            <w:pPr>
              <w:pStyle w:val="138"/>
              <w:spacing w:line="440" w:lineRule="exact"/>
              <w:ind w:left="63" w:right="63"/>
              <w:rPr>
                <w:rFonts w:ascii="宋体" w:hAnsi="宋体"/>
                <w:color w:val="auto"/>
                <w:szCs w:val="21"/>
                <w:highlight w:val="none"/>
              </w:rPr>
            </w:pPr>
          </w:p>
        </w:tc>
        <w:tc>
          <w:tcPr>
            <w:tcW w:w="719" w:type="dxa"/>
            <w:vAlign w:val="center"/>
          </w:tcPr>
          <w:p w14:paraId="35183C57">
            <w:pPr>
              <w:pStyle w:val="138"/>
              <w:spacing w:line="440" w:lineRule="exact"/>
              <w:ind w:left="63" w:right="63"/>
              <w:rPr>
                <w:rFonts w:ascii="宋体" w:hAnsi="宋体"/>
                <w:color w:val="auto"/>
                <w:szCs w:val="21"/>
                <w:highlight w:val="none"/>
              </w:rPr>
            </w:pPr>
          </w:p>
        </w:tc>
        <w:tc>
          <w:tcPr>
            <w:tcW w:w="709" w:type="dxa"/>
            <w:vAlign w:val="center"/>
          </w:tcPr>
          <w:p w14:paraId="13ED89C4">
            <w:pPr>
              <w:pStyle w:val="138"/>
              <w:spacing w:line="440" w:lineRule="exact"/>
              <w:ind w:left="63" w:right="63"/>
              <w:rPr>
                <w:rFonts w:ascii="宋体" w:hAnsi="宋体"/>
                <w:color w:val="auto"/>
                <w:szCs w:val="21"/>
                <w:highlight w:val="none"/>
              </w:rPr>
            </w:pPr>
          </w:p>
        </w:tc>
      </w:tr>
      <w:tr w14:paraId="4352224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88" w:hRule="atLeast"/>
        </w:trPr>
        <w:tc>
          <w:tcPr>
            <w:tcW w:w="849" w:type="dxa"/>
            <w:vAlign w:val="center"/>
          </w:tcPr>
          <w:p w14:paraId="64255CA3">
            <w:pPr>
              <w:pStyle w:val="138"/>
              <w:spacing w:line="440" w:lineRule="exact"/>
              <w:ind w:left="63" w:right="63"/>
              <w:rPr>
                <w:rFonts w:ascii="宋体" w:hAnsi="宋体"/>
                <w:color w:val="auto"/>
                <w:szCs w:val="21"/>
                <w:highlight w:val="none"/>
              </w:rPr>
            </w:pPr>
          </w:p>
        </w:tc>
        <w:tc>
          <w:tcPr>
            <w:tcW w:w="870" w:type="dxa"/>
            <w:vAlign w:val="center"/>
          </w:tcPr>
          <w:p w14:paraId="37BBFF89">
            <w:pPr>
              <w:pStyle w:val="138"/>
              <w:spacing w:line="440" w:lineRule="exact"/>
              <w:ind w:left="63" w:right="63"/>
              <w:rPr>
                <w:rFonts w:ascii="宋体" w:hAnsi="宋体"/>
                <w:color w:val="auto"/>
                <w:szCs w:val="21"/>
                <w:highlight w:val="none"/>
              </w:rPr>
            </w:pPr>
          </w:p>
        </w:tc>
        <w:tc>
          <w:tcPr>
            <w:tcW w:w="1300" w:type="dxa"/>
            <w:vAlign w:val="center"/>
          </w:tcPr>
          <w:p w14:paraId="7A221951">
            <w:pPr>
              <w:pStyle w:val="138"/>
              <w:spacing w:line="440" w:lineRule="exact"/>
              <w:ind w:left="63" w:right="63"/>
              <w:rPr>
                <w:rFonts w:ascii="宋体" w:hAnsi="宋体"/>
                <w:color w:val="auto"/>
                <w:szCs w:val="21"/>
                <w:highlight w:val="none"/>
              </w:rPr>
            </w:pPr>
          </w:p>
        </w:tc>
        <w:tc>
          <w:tcPr>
            <w:tcW w:w="1223" w:type="dxa"/>
            <w:vAlign w:val="center"/>
          </w:tcPr>
          <w:p w14:paraId="59B94929">
            <w:pPr>
              <w:pStyle w:val="138"/>
              <w:spacing w:line="440" w:lineRule="exact"/>
              <w:ind w:left="63" w:right="63"/>
              <w:rPr>
                <w:rFonts w:ascii="宋体" w:hAnsi="宋体"/>
                <w:color w:val="auto"/>
                <w:szCs w:val="21"/>
                <w:highlight w:val="none"/>
              </w:rPr>
            </w:pPr>
          </w:p>
        </w:tc>
        <w:tc>
          <w:tcPr>
            <w:tcW w:w="946" w:type="dxa"/>
            <w:vAlign w:val="center"/>
          </w:tcPr>
          <w:p w14:paraId="4F398349">
            <w:pPr>
              <w:pStyle w:val="138"/>
              <w:spacing w:line="440" w:lineRule="exact"/>
              <w:ind w:left="63" w:right="63"/>
              <w:rPr>
                <w:rFonts w:ascii="宋体" w:hAnsi="宋体"/>
                <w:color w:val="auto"/>
                <w:szCs w:val="21"/>
                <w:highlight w:val="none"/>
              </w:rPr>
            </w:pPr>
          </w:p>
        </w:tc>
        <w:tc>
          <w:tcPr>
            <w:tcW w:w="1037" w:type="dxa"/>
            <w:vAlign w:val="center"/>
          </w:tcPr>
          <w:p w14:paraId="1A5244A5">
            <w:pPr>
              <w:pStyle w:val="138"/>
              <w:spacing w:line="440" w:lineRule="exact"/>
              <w:ind w:left="63" w:right="63"/>
              <w:rPr>
                <w:rFonts w:ascii="宋体" w:hAnsi="宋体"/>
                <w:color w:val="auto"/>
                <w:szCs w:val="21"/>
                <w:highlight w:val="none"/>
              </w:rPr>
            </w:pPr>
          </w:p>
        </w:tc>
        <w:tc>
          <w:tcPr>
            <w:tcW w:w="1117" w:type="dxa"/>
            <w:vAlign w:val="center"/>
          </w:tcPr>
          <w:p w14:paraId="15DB5289">
            <w:pPr>
              <w:pStyle w:val="138"/>
              <w:spacing w:line="440" w:lineRule="exact"/>
              <w:ind w:left="63" w:right="63"/>
              <w:rPr>
                <w:rFonts w:ascii="宋体" w:hAnsi="宋体"/>
                <w:color w:val="auto"/>
                <w:szCs w:val="21"/>
                <w:highlight w:val="none"/>
              </w:rPr>
            </w:pPr>
          </w:p>
        </w:tc>
        <w:tc>
          <w:tcPr>
            <w:tcW w:w="944" w:type="dxa"/>
            <w:vAlign w:val="center"/>
          </w:tcPr>
          <w:p w14:paraId="09D81C07">
            <w:pPr>
              <w:pStyle w:val="138"/>
              <w:spacing w:line="440" w:lineRule="exact"/>
              <w:ind w:left="63" w:right="63"/>
              <w:rPr>
                <w:rFonts w:ascii="宋体" w:hAnsi="宋体"/>
                <w:color w:val="auto"/>
                <w:szCs w:val="21"/>
                <w:highlight w:val="none"/>
              </w:rPr>
            </w:pPr>
          </w:p>
        </w:tc>
        <w:tc>
          <w:tcPr>
            <w:tcW w:w="719" w:type="dxa"/>
            <w:vAlign w:val="center"/>
          </w:tcPr>
          <w:p w14:paraId="1D3464CE">
            <w:pPr>
              <w:pStyle w:val="138"/>
              <w:spacing w:line="440" w:lineRule="exact"/>
              <w:ind w:left="63" w:right="63"/>
              <w:rPr>
                <w:rFonts w:ascii="宋体" w:hAnsi="宋体"/>
                <w:color w:val="auto"/>
                <w:szCs w:val="21"/>
                <w:highlight w:val="none"/>
              </w:rPr>
            </w:pPr>
          </w:p>
        </w:tc>
        <w:tc>
          <w:tcPr>
            <w:tcW w:w="709" w:type="dxa"/>
            <w:vAlign w:val="center"/>
          </w:tcPr>
          <w:p w14:paraId="4E3D0058">
            <w:pPr>
              <w:pStyle w:val="138"/>
              <w:spacing w:line="440" w:lineRule="exact"/>
              <w:ind w:left="63" w:right="63"/>
              <w:rPr>
                <w:rFonts w:ascii="宋体" w:hAnsi="宋体"/>
                <w:color w:val="auto"/>
                <w:szCs w:val="21"/>
                <w:highlight w:val="none"/>
              </w:rPr>
            </w:pPr>
          </w:p>
        </w:tc>
      </w:tr>
      <w:tr w14:paraId="5C321D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88" w:hRule="atLeast"/>
        </w:trPr>
        <w:tc>
          <w:tcPr>
            <w:tcW w:w="849" w:type="dxa"/>
            <w:vAlign w:val="center"/>
          </w:tcPr>
          <w:p w14:paraId="7D47EAE1">
            <w:pPr>
              <w:pStyle w:val="138"/>
              <w:spacing w:line="440" w:lineRule="exact"/>
              <w:ind w:left="63" w:right="63"/>
              <w:rPr>
                <w:rFonts w:ascii="宋体" w:hAnsi="宋体"/>
                <w:color w:val="auto"/>
                <w:szCs w:val="21"/>
                <w:highlight w:val="none"/>
              </w:rPr>
            </w:pPr>
          </w:p>
        </w:tc>
        <w:tc>
          <w:tcPr>
            <w:tcW w:w="870" w:type="dxa"/>
            <w:vAlign w:val="center"/>
          </w:tcPr>
          <w:p w14:paraId="0012158E">
            <w:pPr>
              <w:pStyle w:val="138"/>
              <w:spacing w:line="440" w:lineRule="exact"/>
              <w:ind w:left="63" w:right="63"/>
              <w:rPr>
                <w:rFonts w:ascii="宋体" w:hAnsi="宋体"/>
                <w:color w:val="auto"/>
                <w:szCs w:val="21"/>
                <w:highlight w:val="none"/>
              </w:rPr>
            </w:pPr>
          </w:p>
        </w:tc>
        <w:tc>
          <w:tcPr>
            <w:tcW w:w="1300" w:type="dxa"/>
            <w:vAlign w:val="center"/>
          </w:tcPr>
          <w:p w14:paraId="7967DC4E">
            <w:pPr>
              <w:pStyle w:val="138"/>
              <w:spacing w:line="440" w:lineRule="exact"/>
              <w:ind w:left="63" w:right="63"/>
              <w:rPr>
                <w:rFonts w:ascii="宋体" w:hAnsi="宋体"/>
                <w:color w:val="auto"/>
                <w:szCs w:val="21"/>
                <w:highlight w:val="none"/>
              </w:rPr>
            </w:pPr>
          </w:p>
        </w:tc>
        <w:tc>
          <w:tcPr>
            <w:tcW w:w="1223" w:type="dxa"/>
            <w:vAlign w:val="center"/>
          </w:tcPr>
          <w:p w14:paraId="6FC83888">
            <w:pPr>
              <w:pStyle w:val="138"/>
              <w:spacing w:line="440" w:lineRule="exact"/>
              <w:ind w:left="63" w:right="63"/>
              <w:rPr>
                <w:rFonts w:ascii="宋体" w:hAnsi="宋体"/>
                <w:color w:val="auto"/>
                <w:szCs w:val="21"/>
                <w:highlight w:val="none"/>
              </w:rPr>
            </w:pPr>
          </w:p>
        </w:tc>
        <w:tc>
          <w:tcPr>
            <w:tcW w:w="946" w:type="dxa"/>
            <w:vAlign w:val="center"/>
          </w:tcPr>
          <w:p w14:paraId="557E3CB9">
            <w:pPr>
              <w:pStyle w:val="138"/>
              <w:spacing w:line="440" w:lineRule="exact"/>
              <w:ind w:left="63" w:right="63"/>
              <w:rPr>
                <w:rFonts w:ascii="宋体" w:hAnsi="宋体"/>
                <w:color w:val="auto"/>
                <w:szCs w:val="21"/>
                <w:highlight w:val="none"/>
              </w:rPr>
            </w:pPr>
          </w:p>
        </w:tc>
        <w:tc>
          <w:tcPr>
            <w:tcW w:w="1037" w:type="dxa"/>
            <w:vAlign w:val="center"/>
          </w:tcPr>
          <w:p w14:paraId="7724BCFE">
            <w:pPr>
              <w:pStyle w:val="138"/>
              <w:spacing w:line="440" w:lineRule="exact"/>
              <w:ind w:left="63" w:right="63"/>
              <w:rPr>
                <w:rFonts w:ascii="宋体" w:hAnsi="宋体"/>
                <w:color w:val="auto"/>
                <w:szCs w:val="21"/>
                <w:highlight w:val="none"/>
              </w:rPr>
            </w:pPr>
          </w:p>
        </w:tc>
        <w:tc>
          <w:tcPr>
            <w:tcW w:w="1117" w:type="dxa"/>
            <w:vAlign w:val="center"/>
          </w:tcPr>
          <w:p w14:paraId="3B24E680">
            <w:pPr>
              <w:pStyle w:val="138"/>
              <w:spacing w:line="440" w:lineRule="exact"/>
              <w:ind w:left="63" w:right="63"/>
              <w:rPr>
                <w:rFonts w:ascii="宋体" w:hAnsi="宋体"/>
                <w:color w:val="auto"/>
                <w:szCs w:val="21"/>
                <w:highlight w:val="none"/>
              </w:rPr>
            </w:pPr>
          </w:p>
        </w:tc>
        <w:tc>
          <w:tcPr>
            <w:tcW w:w="944" w:type="dxa"/>
            <w:vAlign w:val="center"/>
          </w:tcPr>
          <w:p w14:paraId="208E872D">
            <w:pPr>
              <w:pStyle w:val="138"/>
              <w:spacing w:line="440" w:lineRule="exact"/>
              <w:ind w:left="63" w:right="63"/>
              <w:rPr>
                <w:rFonts w:ascii="宋体" w:hAnsi="宋体"/>
                <w:color w:val="auto"/>
                <w:szCs w:val="21"/>
                <w:highlight w:val="none"/>
              </w:rPr>
            </w:pPr>
          </w:p>
        </w:tc>
        <w:tc>
          <w:tcPr>
            <w:tcW w:w="719" w:type="dxa"/>
            <w:vAlign w:val="center"/>
          </w:tcPr>
          <w:p w14:paraId="489964EF">
            <w:pPr>
              <w:pStyle w:val="138"/>
              <w:spacing w:line="440" w:lineRule="exact"/>
              <w:ind w:left="63" w:right="63"/>
              <w:rPr>
                <w:rFonts w:ascii="宋体" w:hAnsi="宋体"/>
                <w:color w:val="auto"/>
                <w:szCs w:val="21"/>
                <w:highlight w:val="none"/>
              </w:rPr>
            </w:pPr>
          </w:p>
        </w:tc>
        <w:tc>
          <w:tcPr>
            <w:tcW w:w="709" w:type="dxa"/>
            <w:vAlign w:val="center"/>
          </w:tcPr>
          <w:p w14:paraId="21C23FD1">
            <w:pPr>
              <w:pStyle w:val="138"/>
              <w:spacing w:line="440" w:lineRule="exact"/>
              <w:ind w:left="63" w:right="63"/>
              <w:rPr>
                <w:rFonts w:ascii="宋体" w:hAnsi="宋体"/>
                <w:color w:val="auto"/>
                <w:szCs w:val="21"/>
                <w:highlight w:val="none"/>
              </w:rPr>
            </w:pPr>
          </w:p>
        </w:tc>
      </w:tr>
      <w:tr w14:paraId="6710CA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88" w:hRule="atLeast"/>
        </w:trPr>
        <w:tc>
          <w:tcPr>
            <w:tcW w:w="849" w:type="dxa"/>
            <w:vAlign w:val="center"/>
          </w:tcPr>
          <w:p w14:paraId="76A75CEE">
            <w:pPr>
              <w:pStyle w:val="138"/>
              <w:spacing w:line="440" w:lineRule="exact"/>
              <w:ind w:left="63" w:right="63"/>
              <w:rPr>
                <w:rFonts w:ascii="宋体" w:hAnsi="宋体"/>
                <w:color w:val="auto"/>
                <w:szCs w:val="21"/>
                <w:highlight w:val="none"/>
              </w:rPr>
            </w:pPr>
          </w:p>
        </w:tc>
        <w:tc>
          <w:tcPr>
            <w:tcW w:w="870" w:type="dxa"/>
            <w:vAlign w:val="center"/>
          </w:tcPr>
          <w:p w14:paraId="660D4D25">
            <w:pPr>
              <w:pStyle w:val="138"/>
              <w:spacing w:line="440" w:lineRule="exact"/>
              <w:ind w:left="63" w:right="63"/>
              <w:rPr>
                <w:rFonts w:ascii="宋体" w:hAnsi="宋体"/>
                <w:color w:val="auto"/>
                <w:szCs w:val="21"/>
                <w:highlight w:val="none"/>
              </w:rPr>
            </w:pPr>
          </w:p>
        </w:tc>
        <w:tc>
          <w:tcPr>
            <w:tcW w:w="1300" w:type="dxa"/>
            <w:vAlign w:val="center"/>
          </w:tcPr>
          <w:p w14:paraId="4A74D454">
            <w:pPr>
              <w:pStyle w:val="138"/>
              <w:spacing w:line="440" w:lineRule="exact"/>
              <w:ind w:left="63" w:right="63"/>
              <w:rPr>
                <w:rFonts w:ascii="宋体" w:hAnsi="宋体"/>
                <w:color w:val="auto"/>
                <w:szCs w:val="21"/>
                <w:highlight w:val="none"/>
              </w:rPr>
            </w:pPr>
          </w:p>
        </w:tc>
        <w:tc>
          <w:tcPr>
            <w:tcW w:w="1223" w:type="dxa"/>
            <w:vAlign w:val="center"/>
          </w:tcPr>
          <w:p w14:paraId="5BECA07E">
            <w:pPr>
              <w:pStyle w:val="138"/>
              <w:spacing w:line="440" w:lineRule="exact"/>
              <w:ind w:left="63" w:right="63"/>
              <w:rPr>
                <w:rFonts w:ascii="宋体" w:hAnsi="宋体"/>
                <w:color w:val="auto"/>
                <w:szCs w:val="21"/>
                <w:highlight w:val="none"/>
              </w:rPr>
            </w:pPr>
          </w:p>
        </w:tc>
        <w:tc>
          <w:tcPr>
            <w:tcW w:w="946" w:type="dxa"/>
            <w:vAlign w:val="center"/>
          </w:tcPr>
          <w:p w14:paraId="0207B299">
            <w:pPr>
              <w:pStyle w:val="138"/>
              <w:spacing w:line="440" w:lineRule="exact"/>
              <w:ind w:left="63" w:right="63"/>
              <w:rPr>
                <w:rFonts w:ascii="宋体" w:hAnsi="宋体"/>
                <w:color w:val="auto"/>
                <w:szCs w:val="21"/>
                <w:highlight w:val="none"/>
              </w:rPr>
            </w:pPr>
          </w:p>
        </w:tc>
        <w:tc>
          <w:tcPr>
            <w:tcW w:w="1037" w:type="dxa"/>
            <w:vAlign w:val="center"/>
          </w:tcPr>
          <w:p w14:paraId="4E765444">
            <w:pPr>
              <w:pStyle w:val="138"/>
              <w:spacing w:line="440" w:lineRule="exact"/>
              <w:ind w:left="63" w:right="63"/>
              <w:rPr>
                <w:rFonts w:ascii="宋体" w:hAnsi="宋体"/>
                <w:color w:val="auto"/>
                <w:szCs w:val="21"/>
                <w:highlight w:val="none"/>
              </w:rPr>
            </w:pPr>
          </w:p>
        </w:tc>
        <w:tc>
          <w:tcPr>
            <w:tcW w:w="1117" w:type="dxa"/>
            <w:vAlign w:val="center"/>
          </w:tcPr>
          <w:p w14:paraId="7A994590">
            <w:pPr>
              <w:pStyle w:val="138"/>
              <w:spacing w:line="440" w:lineRule="exact"/>
              <w:ind w:left="63" w:right="63"/>
              <w:rPr>
                <w:rFonts w:ascii="宋体" w:hAnsi="宋体"/>
                <w:color w:val="auto"/>
                <w:szCs w:val="21"/>
                <w:highlight w:val="none"/>
              </w:rPr>
            </w:pPr>
          </w:p>
        </w:tc>
        <w:tc>
          <w:tcPr>
            <w:tcW w:w="944" w:type="dxa"/>
            <w:vAlign w:val="center"/>
          </w:tcPr>
          <w:p w14:paraId="28212618">
            <w:pPr>
              <w:pStyle w:val="138"/>
              <w:spacing w:line="440" w:lineRule="exact"/>
              <w:ind w:left="63" w:right="63"/>
              <w:rPr>
                <w:rFonts w:ascii="宋体" w:hAnsi="宋体"/>
                <w:color w:val="auto"/>
                <w:szCs w:val="21"/>
                <w:highlight w:val="none"/>
              </w:rPr>
            </w:pPr>
          </w:p>
        </w:tc>
        <w:tc>
          <w:tcPr>
            <w:tcW w:w="719" w:type="dxa"/>
            <w:vAlign w:val="center"/>
          </w:tcPr>
          <w:p w14:paraId="0E160CB4">
            <w:pPr>
              <w:pStyle w:val="138"/>
              <w:spacing w:line="440" w:lineRule="exact"/>
              <w:ind w:left="63" w:right="63"/>
              <w:rPr>
                <w:rFonts w:ascii="宋体" w:hAnsi="宋体"/>
                <w:color w:val="auto"/>
                <w:szCs w:val="21"/>
                <w:highlight w:val="none"/>
              </w:rPr>
            </w:pPr>
          </w:p>
        </w:tc>
        <w:tc>
          <w:tcPr>
            <w:tcW w:w="709" w:type="dxa"/>
            <w:vAlign w:val="center"/>
          </w:tcPr>
          <w:p w14:paraId="05B6D482">
            <w:pPr>
              <w:pStyle w:val="138"/>
              <w:spacing w:line="440" w:lineRule="exact"/>
              <w:ind w:left="63" w:right="63"/>
              <w:rPr>
                <w:rFonts w:ascii="宋体" w:hAnsi="宋体"/>
                <w:color w:val="auto"/>
                <w:szCs w:val="21"/>
                <w:highlight w:val="none"/>
              </w:rPr>
            </w:pPr>
          </w:p>
        </w:tc>
      </w:tr>
      <w:tr w14:paraId="799DDF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88" w:hRule="atLeast"/>
        </w:trPr>
        <w:tc>
          <w:tcPr>
            <w:tcW w:w="849" w:type="dxa"/>
            <w:vAlign w:val="center"/>
          </w:tcPr>
          <w:p w14:paraId="11FE4048">
            <w:pPr>
              <w:pStyle w:val="138"/>
              <w:spacing w:line="440" w:lineRule="exact"/>
              <w:ind w:left="63" w:right="63"/>
              <w:rPr>
                <w:rFonts w:ascii="宋体" w:hAnsi="宋体"/>
                <w:color w:val="auto"/>
                <w:szCs w:val="21"/>
                <w:highlight w:val="none"/>
              </w:rPr>
            </w:pPr>
          </w:p>
        </w:tc>
        <w:tc>
          <w:tcPr>
            <w:tcW w:w="870" w:type="dxa"/>
            <w:vAlign w:val="center"/>
          </w:tcPr>
          <w:p w14:paraId="1E6E9F76">
            <w:pPr>
              <w:pStyle w:val="138"/>
              <w:spacing w:line="440" w:lineRule="exact"/>
              <w:ind w:left="63" w:right="63"/>
              <w:rPr>
                <w:rFonts w:ascii="宋体" w:hAnsi="宋体"/>
                <w:color w:val="auto"/>
                <w:szCs w:val="21"/>
                <w:highlight w:val="none"/>
              </w:rPr>
            </w:pPr>
          </w:p>
        </w:tc>
        <w:tc>
          <w:tcPr>
            <w:tcW w:w="1300" w:type="dxa"/>
            <w:vAlign w:val="center"/>
          </w:tcPr>
          <w:p w14:paraId="505A6460">
            <w:pPr>
              <w:pStyle w:val="138"/>
              <w:spacing w:line="440" w:lineRule="exact"/>
              <w:ind w:left="63" w:right="63"/>
              <w:rPr>
                <w:rFonts w:ascii="宋体" w:hAnsi="宋体"/>
                <w:color w:val="auto"/>
                <w:szCs w:val="21"/>
                <w:highlight w:val="none"/>
              </w:rPr>
            </w:pPr>
          </w:p>
        </w:tc>
        <w:tc>
          <w:tcPr>
            <w:tcW w:w="1223" w:type="dxa"/>
            <w:vAlign w:val="center"/>
          </w:tcPr>
          <w:p w14:paraId="78B72D35">
            <w:pPr>
              <w:pStyle w:val="138"/>
              <w:spacing w:line="440" w:lineRule="exact"/>
              <w:ind w:left="63" w:right="63"/>
              <w:rPr>
                <w:rFonts w:ascii="宋体" w:hAnsi="宋体"/>
                <w:color w:val="auto"/>
                <w:szCs w:val="21"/>
                <w:highlight w:val="none"/>
              </w:rPr>
            </w:pPr>
          </w:p>
        </w:tc>
        <w:tc>
          <w:tcPr>
            <w:tcW w:w="946" w:type="dxa"/>
            <w:vAlign w:val="center"/>
          </w:tcPr>
          <w:p w14:paraId="2B8A1BD5">
            <w:pPr>
              <w:pStyle w:val="138"/>
              <w:spacing w:line="440" w:lineRule="exact"/>
              <w:ind w:left="63" w:right="63"/>
              <w:rPr>
                <w:rFonts w:ascii="宋体" w:hAnsi="宋体"/>
                <w:color w:val="auto"/>
                <w:szCs w:val="21"/>
                <w:highlight w:val="none"/>
              </w:rPr>
            </w:pPr>
          </w:p>
        </w:tc>
        <w:tc>
          <w:tcPr>
            <w:tcW w:w="1037" w:type="dxa"/>
            <w:vAlign w:val="center"/>
          </w:tcPr>
          <w:p w14:paraId="3B098A63">
            <w:pPr>
              <w:pStyle w:val="138"/>
              <w:spacing w:line="440" w:lineRule="exact"/>
              <w:ind w:left="63" w:right="63"/>
              <w:rPr>
                <w:rFonts w:ascii="宋体" w:hAnsi="宋体"/>
                <w:color w:val="auto"/>
                <w:szCs w:val="21"/>
                <w:highlight w:val="none"/>
              </w:rPr>
            </w:pPr>
          </w:p>
        </w:tc>
        <w:tc>
          <w:tcPr>
            <w:tcW w:w="1117" w:type="dxa"/>
            <w:vAlign w:val="center"/>
          </w:tcPr>
          <w:p w14:paraId="456355A6">
            <w:pPr>
              <w:pStyle w:val="138"/>
              <w:spacing w:line="440" w:lineRule="exact"/>
              <w:ind w:left="63" w:right="63"/>
              <w:rPr>
                <w:rFonts w:ascii="宋体" w:hAnsi="宋体"/>
                <w:color w:val="auto"/>
                <w:szCs w:val="21"/>
                <w:highlight w:val="none"/>
              </w:rPr>
            </w:pPr>
          </w:p>
        </w:tc>
        <w:tc>
          <w:tcPr>
            <w:tcW w:w="944" w:type="dxa"/>
            <w:vAlign w:val="center"/>
          </w:tcPr>
          <w:p w14:paraId="323193C5">
            <w:pPr>
              <w:pStyle w:val="138"/>
              <w:spacing w:line="440" w:lineRule="exact"/>
              <w:ind w:left="63" w:right="63"/>
              <w:rPr>
                <w:rFonts w:ascii="宋体" w:hAnsi="宋体"/>
                <w:color w:val="auto"/>
                <w:szCs w:val="21"/>
                <w:highlight w:val="none"/>
              </w:rPr>
            </w:pPr>
          </w:p>
        </w:tc>
        <w:tc>
          <w:tcPr>
            <w:tcW w:w="719" w:type="dxa"/>
            <w:vAlign w:val="center"/>
          </w:tcPr>
          <w:p w14:paraId="57F81C12">
            <w:pPr>
              <w:pStyle w:val="138"/>
              <w:spacing w:line="440" w:lineRule="exact"/>
              <w:ind w:left="63" w:right="63"/>
              <w:rPr>
                <w:rFonts w:ascii="宋体" w:hAnsi="宋体"/>
                <w:color w:val="auto"/>
                <w:szCs w:val="21"/>
                <w:highlight w:val="none"/>
              </w:rPr>
            </w:pPr>
          </w:p>
        </w:tc>
        <w:tc>
          <w:tcPr>
            <w:tcW w:w="709" w:type="dxa"/>
            <w:vAlign w:val="center"/>
          </w:tcPr>
          <w:p w14:paraId="771CEB07">
            <w:pPr>
              <w:pStyle w:val="138"/>
              <w:spacing w:line="440" w:lineRule="exact"/>
              <w:ind w:left="63" w:right="63"/>
              <w:rPr>
                <w:rFonts w:ascii="宋体" w:hAnsi="宋体"/>
                <w:color w:val="auto"/>
                <w:szCs w:val="21"/>
                <w:highlight w:val="none"/>
              </w:rPr>
            </w:pPr>
          </w:p>
        </w:tc>
      </w:tr>
      <w:tr w14:paraId="023620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88" w:hRule="atLeast"/>
        </w:trPr>
        <w:tc>
          <w:tcPr>
            <w:tcW w:w="849" w:type="dxa"/>
            <w:vAlign w:val="center"/>
          </w:tcPr>
          <w:p w14:paraId="670E9E8F">
            <w:pPr>
              <w:pStyle w:val="138"/>
              <w:spacing w:line="440" w:lineRule="exact"/>
              <w:ind w:left="63" w:right="63"/>
              <w:rPr>
                <w:rFonts w:ascii="宋体" w:hAnsi="宋体"/>
                <w:color w:val="auto"/>
                <w:szCs w:val="21"/>
                <w:highlight w:val="none"/>
              </w:rPr>
            </w:pPr>
          </w:p>
        </w:tc>
        <w:tc>
          <w:tcPr>
            <w:tcW w:w="870" w:type="dxa"/>
            <w:vAlign w:val="center"/>
          </w:tcPr>
          <w:p w14:paraId="0ABC6307">
            <w:pPr>
              <w:pStyle w:val="138"/>
              <w:spacing w:line="440" w:lineRule="exact"/>
              <w:ind w:left="63" w:right="63"/>
              <w:rPr>
                <w:rFonts w:ascii="宋体" w:hAnsi="宋体"/>
                <w:color w:val="auto"/>
                <w:szCs w:val="21"/>
                <w:highlight w:val="none"/>
              </w:rPr>
            </w:pPr>
          </w:p>
        </w:tc>
        <w:tc>
          <w:tcPr>
            <w:tcW w:w="1300" w:type="dxa"/>
            <w:vAlign w:val="center"/>
          </w:tcPr>
          <w:p w14:paraId="387311B0">
            <w:pPr>
              <w:pStyle w:val="138"/>
              <w:spacing w:line="440" w:lineRule="exact"/>
              <w:ind w:left="63" w:right="63"/>
              <w:rPr>
                <w:rFonts w:ascii="宋体" w:hAnsi="宋体"/>
                <w:color w:val="auto"/>
                <w:szCs w:val="21"/>
                <w:highlight w:val="none"/>
              </w:rPr>
            </w:pPr>
          </w:p>
        </w:tc>
        <w:tc>
          <w:tcPr>
            <w:tcW w:w="1223" w:type="dxa"/>
            <w:vAlign w:val="center"/>
          </w:tcPr>
          <w:p w14:paraId="18F13311">
            <w:pPr>
              <w:pStyle w:val="138"/>
              <w:spacing w:line="440" w:lineRule="exact"/>
              <w:ind w:left="63" w:right="63"/>
              <w:rPr>
                <w:rFonts w:ascii="宋体" w:hAnsi="宋体"/>
                <w:color w:val="auto"/>
                <w:szCs w:val="21"/>
                <w:highlight w:val="none"/>
              </w:rPr>
            </w:pPr>
          </w:p>
        </w:tc>
        <w:tc>
          <w:tcPr>
            <w:tcW w:w="946" w:type="dxa"/>
            <w:vAlign w:val="center"/>
          </w:tcPr>
          <w:p w14:paraId="172B1C79">
            <w:pPr>
              <w:pStyle w:val="138"/>
              <w:spacing w:line="440" w:lineRule="exact"/>
              <w:ind w:left="63" w:right="63"/>
              <w:rPr>
                <w:rFonts w:ascii="宋体" w:hAnsi="宋体"/>
                <w:color w:val="auto"/>
                <w:szCs w:val="21"/>
                <w:highlight w:val="none"/>
              </w:rPr>
            </w:pPr>
          </w:p>
        </w:tc>
        <w:tc>
          <w:tcPr>
            <w:tcW w:w="1037" w:type="dxa"/>
            <w:vAlign w:val="center"/>
          </w:tcPr>
          <w:p w14:paraId="7EDE0783">
            <w:pPr>
              <w:pStyle w:val="138"/>
              <w:spacing w:line="440" w:lineRule="exact"/>
              <w:ind w:left="63" w:right="63"/>
              <w:rPr>
                <w:rFonts w:ascii="宋体" w:hAnsi="宋体"/>
                <w:color w:val="auto"/>
                <w:szCs w:val="21"/>
                <w:highlight w:val="none"/>
              </w:rPr>
            </w:pPr>
          </w:p>
        </w:tc>
        <w:tc>
          <w:tcPr>
            <w:tcW w:w="1117" w:type="dxa"/>
            <w:vAlign w:val="center"/>
          </w:tcPr>
          <w:p w14:paraId="2E011475">
            <w:pPr>
              <w:pStyle w:val="138"/>
              <w:spacing w:line="440" w:lineRule="exact"/>
              <w:ind w:left="63" w:right="63"/>
              <w:rPr>
                <w:rFonts w:ascii="宋体" w:hAnsi="宋体"/>
                <w:color w:val="auto"/>
                <w:szCs w:val="21"/>
                <w:highlight w:val="none"/>
              </w:rPr>
            </w:pPr>
          </w:p>
        </w:tc>
        <w:tc>
          <w:tcPr>
            <w:tcW w:w="944" w:type="dxa"/>
            <w:vAlign w:val="center"/>
          </w:tcPr>
          <w:p w14:paraId="30022D15">
            <w:pPr>
              <w:pStyle w:val="138"/>
              <w:spacing w:line="440" w:lineRule="exact"/>
              <w:ind w:left="63" w:right="63"/>
              <w:rPr>
                <w:rFonts w:ascii="宋体" w:hAnsi="宋体"/>
                <w:color w:val="auto"/>
                <w:szCs w:val="21"/>
                <w:highlight w:val="none"/>
              </w:rPr>
            </w:pPr>
          </w:p>
        </w:tc>
        <w:tc>
          <w:tcPr>
            <w:tcW w:w="719" w:type="dxa"/>
            <w:vAlign w:val="center"/>
          </w:tcPr>
          <w:p w14:paraId="78F7F58D">
            <w:pPr>
              <w:pStyle w:val="138"/>
              <w:spacing w:line="440" w:lineRule="exact"/>
              <w:ind w:left="63" w:right="63"/>
              <w:rPr>
                <w:rFonts w:ascii="宋体" w:hAnsi="宋体"/>
                <w:color w:val="auto"/>
                <w:szCs w:val="21"/>
                <w:highlight w:val="none"/>
              </w:rPr>
            </w:pPr>
          </w:p>
        </w:tc>
        <w:tc>
          <w:tcPr>
            <w:tcW w:w="709" w:type="dxa"/>
            <w:vAlign w:val="center"/>
          </w:tcPr>
          <w:p w14:paraId="10D008E0">
            <w:pPr>
              <w:pStyle w:val="138"/>
              <w:spacing w:line="440" w:lineRule="exact"/>
              <w:ind w:left="63" w:right="63"/>
              <w:rPr>
                <w:rFonts w:ascii="宋体" w:hAnsi="宋体"/>
                <w:color w:val="auto"/>
                <w:szCs w:val="21"/>
                <w:highlight w:val="none"/>
              </w:rPr>
            </w:pPr>
          </w:p>
        </w:tc>
      </w:tr>
      <w:tr w14:paraId="77E05F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48" w:hRule="atLeast"/>
        </w:trPr>
        <w:tc>
          <w:tcPr>
            <w:tcW w:w="849" w:type="dxa"/>
            <w:vAlign w:val="center"/>
          </w:tcPr>
          <w:p w14:paraId="171BF287">
            <w:pPr>
              <w:pStyle w:val="138"/>
              <w:spacing w:line="440" w:lineRule="exact"/>
              <w:ind w:left="63" w:right="63"/>
              <w:rPr>
                <w:rFonts w:ascii="宋体" w:hAnsi="宋体"/>
                <w:color w:val="auto"/>
                <w:szCs w:val="21"/>
                <w:highlight w:val="none"/>
              </w:rPr>
            </w:pPr>
          </w:p>
        </w:tc>
        <w:tc>
          <w:tcPr>
            <w:tcW w:w="870" w:type="dxa"/>
            <w:vAlign w:val="center"/>
          </w:tcPr>
          <w:p w14:paraId="6A7D214D">
            <w:pPr>
              <w:pStyle w:val="138"/>
              <w:spacing w:line="440" w:lineRule="exact"/>
              <w:ind w:left="63" w:right="63"/>
              <w:rPr>
                <w:rFonts w:ascii="宋体" w:hAnsi="宋体"/>
                <w:color w:val="auto"/>
                <w:szCs w:val="21"/>
                <w:highlight w:val="none"/>
              </w:rPr>
            </w:pPr>
          </w:p>
        </w:tc>
        <w:tc>
          <w:tcPr>
            <w:tcW w:w="1300" w:type="dxa"/>
            <w:vAlign w:val="center"/>
          </w:tcPr>
          <w:p w14:paraId="21A0E24A">
            <w:pPr>
              <w:pStyle w:val="138"/>
              <w:spacing w:line="440" w:lineRule="exact"/>
              <w:ind w:left="63" w:right="63"/>
              <w:rPr>
                <w:rFonts w:ascii="宋体" w:hAnsi="宋体"/>
                <w:color w:val="auto"/>
                <w:szCs w:val="21"/>
                <w:highlight w:val="none"/>
              </w:rPr>
            </w:pPr>
          </w:p>
        </w:tc>
        <w:tc>
          <w:tcPr>
            <w:tcW w:w="1223" w:type="dxa"/>
            <w:vAlign w:val="center"/>
          </w:tcPr>
          <w:p w14:paraId="1C7FBE87">
            <w:pPr>
              <w:pStyle w:val="138"/>
              <w:spacing w:line="440" w:lineRule="exact"/>
              <w:ind w:left="63" w:right="63"/>
              <w:rPr>
                <w:rFonts w:ascii="宋体" w:hAnsi="宋体"/>
                <w:color w:val="auto"/>
                <w:szCs w:val="21"/>
                <w:highlight w:val="none"/>
              </w:rPr>
            </w:pPr>
          </w:p>
        </w:tc>
        <w:tc>
          <w:tcPr>
            <w:tcW w:w="946" w:type="dxa"/>
            <w:vAlign w:val="center"/>
          </w:tcPr>
          <w:p w14:paraId="38F3C10A">
            <w:pPr>
              <w:pStyle w:val="138"/>
              <w:spacing w:line="440" w:lineRule="exact"/>
              <w:ind w:left="63" w:right="63"/>
              <w:rPr>
                <w:rFonts w:ascii="宋体" w:hAnsi="宋体"/>
                <w:color w:val="auto"/>
                <w:szCs w:val="21"/>
                <w:highlight w:val="none"/>
              </w:rPr>
            </w:pPr>
          </w:p>
        </w:tc>
        <w:tc>
          <w:tcPr>
            <w:tcW w:w="1037" w:type="dxa"/>
            <w:vAlign w:val="center"/>
          </w:tcPr>
          <w:p w14:paraId="56CC59C5">
            <w:pPr>
              <w:pStyle w:val="138"/>
              <w:spacing w:line="440" w:lineRule="exact"/>
              <w:ind w:left="63" w:right="63"/>
              <w:rPr>
                <w:rFonts w:ascii="宋体" w:hAnsi="宋体"/>
                <w:color w:val="auto"/>
                <w:szCs w:val="21"/>
                <w:highlight w:val="none"/>
              </w:rPr>
            </w:pPr>
          </w:p>
        </w:tc>
        <w:tc>
          <w:tcPr>
            <w:tcW w:w="1117" w:type="dxa"/>
            <w:vAlign w:val="center"/>
          </w:tcPr>
          <w:p w14:paraId="59400EAA">
            <w:pPr>
              <w:pStyle w:val="138"/>
              <w:spacing w:line="440" w:lineRule="exact"/>
              <w:ind w:left="63" w:right="63"/>
              <w:rPr>
                <w:rFonts w:ascii="宋体" w:hAnsi="宋体"/>
                <w:color w:val="auto"/>
                <w:szCs w:val="21"/>
                <w:highlight w:val="none"/>
              </w:rPr>
            </w:pPr>
          </w:p>
        </w:tc>
        <w:tc>
          <w:tcPr>
            <w:tcW w:w="944" w:type="dxa"/>
            <w:vAlign w:val="center"/>
          </w:tcPr>
          <w:p w14:paraId="780569D8">
            <w:pPr>
              <w:pStyle w:val="138"/>
              <w:spacing w:line="440" w:lineRule="exact"/>
              <w:ind w:left="63" w:right="63"/>
              <w:rPr>
                <w:rFonts w:ascii="宋体" w:hAnsi="宋体"/>
                <w:color w:val="auto"/>
                <w:szCs w:val="21"/>
                <w:highlight w:val="none"/>
              </w:rPr>
            </w:pPr>
          </w:p>
        </w:tc>
        <w:tc>
          <w:tcPr>
            <w:tcW w:w="719" w:type="dxa"/>
            <w:vAlign w:val="center"/>
          </w:tcPr>
          <w:p w14:paraId="1AFC2E38">
            <w:pPr>
              <w:pStyle w:val="138"/>
              <w:spacing w:line="440" w:lineRule="exact"/>
              <w:ind w:left="63" w:right="63"/>
              <w:rPr>
                <w:rFonts w:ascii="宋体" w:hAnsi="宋体"/>
                <w:color w:val="auto"/>
                <w:szCs w:val="21"/>
                <w:highlight w:val="none"/>
              </w:rPr>
            </w:pPr>
          </w:p>
        </w:tc>
        <w:tc>
          <w:tcPr>
            <w:tcW w:w="709" w:type="dxa"/>
            <w:vAlign w:val="center"/>
          </w:tcPr>
          <w:p w14:paraId="2DBB3FEE">
            <w:pPr>
              <w:pStyle w:val="138"/>
              <w:spacing w:line="440" w:lineRule="exact"/>
              <w:ind w:left="63" w:right="63"/>
              <w:rPr>
                <w:rFonts w:ascii="宋体" w:hAnsi="宋体"/>
                <w:color w:val="auto"/>
                <w:szCs w:val="21"/>
                <w:highlight w:val="none"/>
              </w:rPr>
            </w:pPr>
          </w:p>
        </w:tc>
      </w:tr>
    </w:tbl>
    <w:p w14:paraId="3EB88244">
      <w:pPr>
        <w:pStyle w:val="61"/>
        <w:spacing w:before="165" w:after="165" w:line="440" w:lineRule="exact"/>
        <w:jc w:val="center"/>
        <w:rPr>
          <w:rFonts w:ascii="宋体" w:hAnsi="宋体"/>
          <w:color w:val="auto"/>
          <w:szCs w:val="21"/>
          <w:highlight w:val="none"/>
        </w:rPr>
      </w:pPr>
    </w:p>
    <w:p w14:paraId="7D888654">
      <w:pPr>
        <w:pStyle w:val="61"/>
        <w:spacing w:before="165" w:after="165" w:line="440" w:lineRule="exact"/>
        <w:jc w:val="center"/>
        <w:rPr>
          <w:rFonts w:ascii="宋体" w:hAnsi="宋体"/>
          <w:color w:val="auto"/>
          <w:szCs w:val="21"/>
          <w:highlight w:val="none"/>
        </w:rPr>
      </w:pPr>
    </w:p>
    <w:p w14:paraId="67874BF6">
      <w:pPr>
        <w:pStyle w:val="61"/>
        <w:spacing w:before="165" w:after="165" w:line="440" w:lineRule="exact"/>
        <w:jc w:val="center"/>
        <w:rPr>
          <w:rFonts w:ascii="宋体" w:hAnsi="宋体"/>
          <w:color w:val="auto"/>
          <w:szCs w:val="21"/>
          <w:highlight w:val="none"/>
        </w:rPr>
      </w:pPr>
    </w:p>
    <w:p w14:paraId="409FA8D0">
      <w:pPr>
        <w:pStyle w:val="61"/>
        <w:spacing w:before="165" w:after="165" w:line="440" w:lineRule="exact"/>
        <w:jc w:val="center"/>
        <w:rPr>
          <w:rFonts w:ascii="宋体" w:hAnsi="宋体"/>
          <w:color w:val="auto"/>
          <w:szCs w:val="21"/>
          <w:highlight w:val="none"/>
        </w:rPr>
      </w:pPr>
    </w:p>
    <w:p w14:paraId="389BFDF1">
      <w:pPr>
        <w:pStyle w:val="61"/>
        <w:spacing w:before="165" w:after="165" w:line="440" w:lineRule="exact"/>
        <w:jc w:val="center"/>
        <w:rPr>
          <w:rFonts w:ascii="宋体" w:hAnsi="宋体"/>
          <w:color w:val="auto"/>
          <w:szCs w:val="21"/>
          <w:highlight w:val="none"/>
        </w:rPr>
      </w:pPr>
    </w:p>
    <w:p w14:paraId="17562A23">
      <w:pPr>
        <w:pStyle w:val="61"/>
        <w:spacing w:before="165" w:after="165" w:line="440" w:lineRule="exact"/>
        <w:jc w:val="center"/>
        <w:rPr>
          <w:rFonts w:ascii="宋体" w:hAnsi="宋体"/>
          <w:color w:val="auto"/>
          <w:szCs w:val="21"/>
          <w:highlight w:val="none"/>
        </w:rPr>
      </w:pPr>
    </w:p>
    <w:p w14:paraId="6DF895A4">
      <w:pPr>
        <w:pStyle w:val="61"/>
        <w:spacing w:line="440" w:lineRule="exact"/>
        <w:rPr>
          <w:rFonts w:ascii="宋体" w:hAnsi="宋体"/>
          <w:color w:val="auto"/>
          <w:szCs w:val="21"/>
          <w:highlight w:val="none"/>
        </w:rPr>
      </w:pPr>
    </w:p>
    <w:p w14:paraId="5B017ABC">
      <w:pPr>
        <w:pStyle w:val="61"/>
        <w:spacing w:line="440" w:lineRule="exact"/>
        <w:rPr>
          <w:rFonts w:ascii="宋体" w:hAnsi="宋体"/>
          <w:color w:val="auto"/>
          <w:szCs w:val="21"/>
          <w:highlight w:val="none"/>
        </w:rPr>
      </w:pPr>
    </w:p>
    <w:p w14:paraId="17B4A327">
      <w:pPr>
        <w:pStyle w:val="61"/>
        <w:spacing w:line="440" w:lineRule="exact"/>
        <w:rPr>
          <w:rFonts w:ascii="宋体" w:hAnsi="宋体"/>
          <w:color w:val="auto"/>
          <w:szCs w:val="21"/>
          <w:highlight w:val="none"/>
        </w:rPr>
      </w:pPr>
    </w:p>
    <w:p w14:paraId="22F5B690">
      <w:pPr>
        <w:pStyle w:val="61"/>
        <w:spacing w:line="440" w:lineRule="exact"/>
        <w:rPr>
          <w:rFonts w:ascii="宋体" w:hAnsi="宋体"/>
          <w:color w:val="auto"/>
          <w:szCs w:val="21"/>
          <w:highlight w:val="none"/>
        </w:rPr>
      </w:pPr>
    </w:p>
    <w:p w14:paraId="2786963A">
      <w:pPr>
        <w:pStyle w:val="61"/>
        <w:spacing w:line="440" w:lineRule="exact"/>
        <w:rPr>
          <w:rFonts w:ascii="宋体" w:hAnsi="宋体"/>
          <w:b/>
          <w:bCs/>
          <w:color w:val="auto"/>
          <w:sz w:val="24"/>
          <w:szCs w:val="24"/>
          <w:highlight w:val="none"/>
        </w:rPr>
      </w:pPr>
      <w:bookmarkStart w:id="971" w:name="_Toc296346726"/>
      <w:bookmarkStart w:id="972" w:name="_Toc296944564"/>
      <w:bookmarkStart w:id="973" w:name="_Toc296891265"/>
      <w:bookmarkStart w:id="974" w:name="_Toc267261692"/>
      <w:bookmarkStart w:id="975" w:name="_Toc296347224"/>
      <w:bookmarkStart w:id="976" w:name="_Toc296503225"/>
      <w:bookmarkStart w:id="977" w:name="_Toc296891053"/>
      <w:r>
        <w:rPr>
          <w:rFonts w:hint="eastAsia" w:ascii="宋体" w:hAnsi="宋体"/>
          <w:b/>
          <w:bCs/>
          <w:color w:val="auto"/>
          <w:sz w:val="24"/>
          <w:szCs w:val="24"/>
          <w:highlight w:val="none"/>
        </w:rPr>
        <w:t>附件2：</w:t>
      </w:r>
    </w:p>
    <w:bookmarkEnd w:id="971"/>
    <w:bookmarkEnd w:id="972"/>
    <w:bookmarkEnd w:id="973"/>
    <w:bookmarkEnd w:id="974"/>
    <w:bookmarkEnd w:id="975"/>
    <w:bookmarkEnd w:id="976"/>
    <w:bookmarkEnd w:id="977"/>
    <w:p w14:paraId="682FC5E6">
      <w:pPr>
        <w:pStyle w:val="61"/>
        <w:spacing w:before="165" w:after="165" w:line="44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发包人供应材料设备一览表</w:t>
      </w:r>
    </w:p>
    <w:tbl>
      <w:tblPr>
        <w:tblStyle w:val="41"/>
        <w:tblW w:w="1041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28"/>
        <w:gridCol w:w="1242"/>
        <w:gridCol w:w="1380"/>
        <w:gridCol w:w="915"/>
        <w:gridCol w:w="828"/>
        <w:gridCol w:w="1016"/>
        <w:gridCol w:w="965"/>
        <w:gridCol w:w="828"/>
        <w:gridCol w:w="1447"/>
        <w:gridCol w:w="965"/>
      </w:tblGrid>
      <w:tr w14:paraId="5D00DC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911" w:hRule="atLeast"/>
          <w:jc w:val="center"/>
        </w:trPr>
        <w:tc>
          <w:tcPr>
            <w:tcW w:w="828" w:type="dxa"/>
            <w:vAlign w:val="center"/>
          </w:tcPr>
          <w:p w14:paraId="4DFC14F8">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序号</w:t>
            </w:r>
          </w:p>
        </w:tc>
        <w:tc>
          <w:tcPr>
            <w:tcW w:w="1242" w:type="dxa"/>
            <w:vAlign w:val="center"/>
          </w:tcPr>
          <w:p w14:paraId="0CDB09E6">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 xml:space="preserve">  材料、</w:t>
            </w:r>
          </w:p>
          <w:p w14:paraId="35A30732">
            <w:pPr>
              <w:pStyle w:val="138"/>
              <w:spacing w:line="440" w:lineRule="exact"/>
              <w:ind w:left="0" w:leftChars="0" w:right="63"/>
              <w:jc w:val="both"/>
              <w:rPr>
                <w:rFonts w:ascii="宋体" w:hAnsi="宋体"/>
                <w:color w:val="auto"/>
                <w:szCs w:val="21"/>
                <w:highlight w:val="none"/>
              </w:rPr>
            </w:pPr>
            <w:r>
              <w:rPr>
                <w:rFonts w:hint="eastAsia" w:ascii="宋体" w:hAnsi="宋体"/>
                <w:color w:val="auto"/>
                <w:szCs w:val="21"/>
                <w:highlight w:val="none"/>
              </w:rPr>
              <w:t>设备品种</w:t>
            </w:r>
          </w:p>
        </w:tc>
        <w:tc>
          <w:tcPr>
            <w:tcW w:w="1380" w:type="dxa"/>
            <w:vAlign w:val="center"/>
          </w:tcPr>
          <w:p w14:paraId="57173CF8">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规格型号</w:t>
            </w:r>
          </w:p>
        </w:tc>
        <w:tc>
          <w:tcPr>
            <w:tcW w:w="915" w:type="dxa"/>
            <w:vAlign w:val="center"/>
          </w:tcPr>
          <w:p w14:paraId="2CD64AC0">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单位</w:t>
            </w:r>
          </w:p>
        </w:tc>
        <w:tc>
          <w:tcPr>
            <w:tcW w:w="828" w:type="dxa"/>
            <w:vAlign w:val="center"/>
          </w:tcPr>
          <w:p w14:paraId="4CB431BA">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数量</w:t>
            </w:r>
          </w:p>
        </w:tc>
        <w:tc>
          <w:tcPr>
            <w:tcW w:w="1016" w:type="dxa"/>
            <w:vAlign w:val="center"/>
          </w:tcPr>
          <w:p w14:paraId="3645764B">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单价（元）</w:t>
            </w:r>
          </w:p>
        </w:tc>
        <w:tc>
          <w:tcPr>
            <w:tcW w:w="965" w:type="dxa"/>
            <w:vAlign w:val="center"/>
          </w:tcPr>
          <w:p w14:paraId="2C3848FF">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质量等级</w:t>
            </w:r>
          </w:p>
        </w:tc>
        <w:tc>
          <w:tcPr>
            <w:tcW w:w="828" w:type="dxa"/>
            <w:vAlign w:val="center"/>
          </w:tcPr>
          <w:p w14:paraId="118ED05B">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供应时间</w:t>
            </w:r>
          </w:p>
        </w:tc>
        <w:tc>
          <w:tcPr>
            <w:tcW w:w="1447" w:type="dxa"/>
            <w:vAlign w:val="center"/>
          </w:tcPr>
          <w:p w14:paraId="273AE42C">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送达地点</w:t>
            </w:r>
          </w:p>
        </w:tc>
        <w:tc>
          <w:tcPr>
            <w:tcW w:w="965" w:type="dxa"/>
            <w:vAlign w:val="center"/>
          </w:tcPr>
          <w:p w14:paraId="43D6028F">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备注</w:t>
            </w:r>
          </w:p>
        </w:tc>
      </w:tr>
      <w:tr w14:paraId="459449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83" w:hRule="atLeast"/>
          <w:jc w:val="center"/>
        </w:trPr>
        <w:tc>
          <w:tcPr>
            <w:tcW w:w="828" w:type="dxa"/>
            <w:vAlign w:val="center"/>
          </w:tcPr>
          <w:p w14:paraId="1C21B293">
            <w:pPr>
              <w:pStyle w:val="138"/>
              <w:spacing w:line="440" w:lineRule="exact"/>
              <w:ind w:left="63" w:right="63"/>
              <w:rPr>
                <w:rFonts w:ascii="宋体" w:hAnsi="宋体"/>
                <w:color w:val="auto"/>
                <w:szCs w:val="21"/>
                <w:highlight w:val="none"/>
              </w:rPr>
            </w:pPr>
          </w:p>
        </w:tc>
        <w:tc>
          <w:tcPr>
            <w:tcW w:w="1242" w:type="dxa"/>
            <w:vAlign w:val="center"/>
          </w:tcPr>
          <w:p w14:paraId="09C44AC8">
            <w:pPr>
              <w:pStyle w:val="138"/>
              <w:spacing w:line="440" w:lineRule="exact"/>
              <w:ind w:left="63" w:right="63"/>
              <w:rPr>
                <w:rFonts w:ascii="宋体" w:hAnsi="宋体"/>
                <w:color w:val="auto"/>
                <w:szCs w:val="21"/>
                <w:highlight w:val="none"/>
              </w:rPr>
            </w:pPr>
          </w:p>
        </w:tc>
        <w:tc>
          <w:tcPr>
            <w:tcW w:w="1380" w:type="dxa"/>
            <w:vAlign w:val="center"/>
          </w:tcPr>
          <w:p w14:paraId="1C8B8DF4">
            <w:pPr>
              <w:pStyle w:val="138"/>
              <w:spacing w:line="440" w:lineRule="exact"/>
              <w:ind w:left="63" w:right="63"/>
              <w:rPr>
                <w:rFonts w:ascii="宋体" w:hAnsi="宋体"/>
                <w:color w:val="auto"/>
                <w:szCs w:val="21"/>
                <w:highlight w:val="none"/>
              </w:rPr>
            </w:pPr>
          </w:p>
        </w:tc>
        <w:tc>
          <w:tcPr>
            <w:tcW w:w="915" w:type="dxa"/>
            <w:vAlign w:val="center"/>
          </w:tcPr>
          <w:p w14:paraId="30F649FC">
            <w:pPr>
              <w:pStyle w:val="138"/>
              <w:spacing w:line="440" w:lineRule="exact"/>
              <w:ind w:left="63" w:right="63"/>
              <w:rPr>
                <w:rFonts w:ascii="宋体" w:hAnsi="宋体"/>
                <w:color w:val="auto"/>
                <w:szCs w:val="21"/>
                <w:highlight w:val="none"/>
              </w:rPr>
            </w:pPr>
          </w:p>
        </w:tc>
        <w:tc>
          <w:tcPr>
            <w:tcW w:w="828" w:type="dxa"/>
            <w:vAlign w:val="center"/>
          </w:tcPr>
          <w:p w14:paraId="6158692F">
            <w:pPr>
              <w:pStyle w:val="138"/>
              <w:spacing w:line="440" w:lineRule="exact"/>
              <w:ind w:left="63" w:right="63"/>
              <w:rPr>
                <w:rFonts w:ascii="宋体" w:hAnsi="宋体"/>
                <w:color w:val="auto"/>
                <w:szCs w:val="21"/>
                <w:highlight w:val="none"/>
              </w:rPr>
            </w:pPr>
          </w:p>
        </w:tc>
        <w:tc>
          <w:tcPr>
            <w:tcW w:w="1016" w:type="dxa"/>
            <w:vAlign w:val="center"/>
          </w:tcPr>
          <w:p w14:paraId="7877545E">
            <w:pPr>
              <w:pStyle w:val="138"/>
              <w:spacing w:line="440" w:lineRule="exact"/>
              <w:ind w:left="63" w:right="63"/>
              <w:rPr>
                <w:rFonts w:ascii="宋体" w:hAnsi="宋体"/>
                <w:color w:val="auto"/>
                <w:szCs w:val="21"/>
                <w:highlight w:val="none"/>
              </w:rPr>
            </w:pPr>
          </w:p>
        </w:tc>
        <w:tc>
          <w:tcPr>
            <w:tcW w:w="965" w:type="dxa"/>
            <w:vAlign w:val="center"/>
          </w:tcPr>
          <w:p w14:paraId="1EE9A1EE">
            <w:pPr>
              <w:pStyle w:val="138"/>
              <w:spacing w:line="440" w:lineRule="exact"/>
              <w:ind w:left="63" w:right="63"/>
              <w:rPr>
                <w:rFonts w:ascii="宋体" w:hAnsi="宋体"/>
                <w:color w:val="auto"/>
                <w:szCs w:val="21"/>
                <w:highlight w:val="none"/>
              </w:rPr>
            </w:pPr>
          </w:p>
        </w:tc>
        <w:tc>
          <w:tcPr>
            <w:tcW w:w="828" w:type="dxa"/>
            <w:vAlign w:val="center"/>
          </w:tcPr>
          <w:p w14:paraId="7757AD13">
            <w:pPr>
              <w:pStyle w:val="138"/>
              <w:spacing w:line="440" w:lineRule="exact"/>
              <w:ind w:left="63" w:right="63"/>
              <w:rPr>
                <w:rFonts w:ascii="宋体" w:hAnsi="宋体"/>
                <w:color w:val="auto"/>
                <w:szCs w:val="21"/>
                <w:highlight w:val="none"/>
              </w:rPr>
            </w:pPr>
          </w:p>
        </w:tc>
        <w:tc>
          <w:tcPr>
            <w:tcW w:w="1447" w:type="dxa"/>
            <w:vAlign w:val="center"/>
          </w:tcPr>
          <w:p w14:paraId="35DF0CBF">
            <w:pPr>
              <w:pStyle w:val="138"/>
              <w:spacing w:line="440" w:lineRule="exact"/>
              <w:ind w:left="63" w:right="63"/>
              <w:rPr>
                <w:rFonts w:ascii="宋体" w:hAnsi="宋体"/>
                <w:color w:val="auto"/>
                <w:szCs w:val="21"/>
                <w:highlight w:val="none"/>
              </w:rPr>
            </w:pPr>
          </w:p>
        </w:tc>
        <w:tc>
          <w:tcPr>
            <w:tcW w:w="965" w:type="dxa"/>
            <w:vAlign w:val="center"/>
          </w:tcPr>
          <w:p w14:paraId="014BC283">
            <w:pPr>
              <w:pStyle w:val="138"/>
              <w:spacing w:line="440" w:lineRule="exact"/>
              <w:ind w:left="63" w:right="63"/>
              <w:rPr>
                <w:rFonts w:ascii="宋体" w:hAnsi="宋体"/>
                <w:color w:val="auto"/>
                <w:szCs w:val="21"/>
                <w:highlight w:val="none"/>
              </w:rPr>
            </w:pPr>
          </w:p>
        </w:tc>
      </w:tr>
      <w:tr w14:paraId="1A915D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83" w:hRule="atLeast"/>
          <w:jc w:val="center"/>
        </w:trPr>
        <w:tc>
          <w:tcPr>
            <w:tcW w:w="828" w:type="dxa"/>
            <w:vAlign w:val="center"/>
          </w:tcPr>
          <w:p w14:paraId="48275201">
            <w:pPr>
              <w:pStyle w:val="138"/>
              <w:spacing w:line="440" w:lineRule="exact"/>
              <w:ind w:left="63" w:right="63"/>
              <w:rPr>
                <w:rFonts w:ascii="宋体" w:hAnsi="宋体"/>
                <w:color w:val="auto"/>
                <w:szCs w:val="21"/>
                <w:highlight w:val="none"/>
              </w:rPr>
            </w:pPr>
          </w:p>
        </w:tc>
        <w:tc>
          <w:tcPr>
            <w:tcW w:w="1242" w:type="dxa"/>
            <w:vAlign w:val="center"/>
          </w:tcPr>
          <w:p w14:paraId="5A05E8A0">
            <w:pPr>
              <w:pStyle w:val="138"/>
              <w:spacing w:line="440" w:lineRule="exact"/>
              <w:ind w:left="63" w:right="63"/>
              <w:rPr>
                <w:rFonts w:ascii="宋体" w:hAnsi="宋体"/>
                <w:color w:val="auto"/>
                <w:szCs w:val="21"/>
                <w:highlight w:val="none"/>
              </w:rPr>
            </w:pPr>
          </w:p>
        </w:tc>
        <w:tc>
          <w:tcPr>
            <w:tcW w:w="1380" w:type="dxa"/>
            <w:vAlign w:val="center"/>
          </w:tcPr>
          <w:p w14:paraId="2BE8A6D5">
            <w:pPr>
              <w:pStyle w:val="138"/>
              <w:spacing w:line="440" w:lineRule="exact"/>
              <w:ind w:left="63" w:right="63"/>
              <w:rPr>
                <w:rFonts w:ascii="宋体" w:hAnsi="宋体"/>
                <w:color w:val="auto"/>
                <w:szCs w:val="21"/>
                <w:highlight w:val="none"/>
              </w:rPr>
            </w:pPr>
          </w:p>
        </w:tc>
        <w:tc>
          <w:tcPr>
            <w:tcW w:w="915" w:type="dxa"/>
            <w:vAlign w:val="center"/>
          </w:tcPr>
          <w:p w14:paraId="0C197365">
            <w:pPr>
              <w:pStyle w:val="138"/>
              <w:spacing w:line="440" w:lineRule="exact"/>
              <w:ind w:left="63" w:right="63"/>
              <w:rPr>
                <w:rFonts w:ascii="宋体" w:hAnsi="宋体"/>
                <w:color w:val="auto"/>
                <w:szCs w:val="21"/>
                <w:highlight w:val="none"/>
              </w:rPr>
            </w:pPr>
          </w:p>
        </w:tc>
        <w:tc>
          <w:tcPr>
            <w:tcW w:w="828" w:type="dxa"/>
            <w:vAlign w:val="center"/>
          </w:tcPr>
          <w:p w14:paraId="0C60A96D">
            <w:pPr>
              <w:pStyle w:val="138"/>
              <w:spacing w:line="440" w:lineRule="exact"/>
              <w:ind w:left="63" w:right="63"/>
              <w:rPr>
                <w:rFonts w:ascii="宋体" w:hAnsi="宋体"/>
                <w:color w:val="auto"/>
                <w:szCs w:val="21"/>
                <w:highlight w:val="none"/>
              </w:rPr>
            </w:pPr>
          </w:p>
        </w:tc>
        <w:tc>
          <w:tcPr>
            <w:tcW w:w="1016" w:type="dxa"/>
            <w:vAlign w:val="center"/>
          </w:tcPr>
          <w:p w14:paraId="5B9E1F98">
            <w:pPr>
              <w:pStyle w:val="138"/>
              <w:spacing w:line="440" w:lineRule="exact"/>
              <w:ind w:left="63" w:right="63"/>
              <w:rPr>
                <w:rFonts w:ascii="宋体" w:hAnsi="宋体"/>
                <w:color w:val="auto"/>
                <w:szCs w:val="21"/>
                <w:highlight w:val="none"/>
              </w:rPr>
            </w:pPr>
          </w:p>
        </w:tc>
        <w:tc>
          <w:tcPr>
            <w:tcW w:w="965" w:type="dxa"/>
            <w:vAlign w:val="center"/>
          </w:tcPr>
          <w:p w14:paraId="186BEB74">
            <w:pPr>
              <w:pStyle w:val="138"/>
              <w:spacing w:line="440" w:lineRule="exact"/>
              <w:ind w:left="63" w:right="63"/>
              <w:rPr>
                <w:rFonts w:ascii="宋体" w:hAnsi="宋体"/>
                <w:color w:val="auto"/>
                <w:szCs w:val="21"/>
                <w:highlight w:val="none"/>
              </w:rPr>
            </w:pPr>
          </w:p>
        </w:tc>
        <w:tc>
          <w:tcPr>
            <w:tcW w:w="828" w:type="dxa"/>
            <w:vAlign w:val="center"/>
          </w:tcPr>
          <w:p w14:paraId="4F39246E">
            <w:pPr>
              <w:pStyle w:val="138"/>
              <w:spacing w:line="440" w:lineRule="exact"/>
              <w:ind w:left="63" w:right="63"/>
              <w:rPr>
                <w:rFonts w:ascii="宋体" w:hAnsi="宋体"/>
                <w:color w:val="auto"/>
                <w:szCs w:val="21"/>
                <w:highlight w:val="none"/>
              </w:rPr>
            </w:pPr>
          </w:p>
        </w:tc>
        <w:tc>
          <w:tcPr>
            <w:tcW w:w="1447" w:type="dxa"/>
            <w:vAlign w:val="center"/>
          </w:tcPr>
          <w:p w14:paraId="56AC2889">
            <w:pPr>
              <w:pStyle w:val="138"/>
              <w:spacing w:line="440" w:lineRule="exact"/>
              <w:ind w:left="63" w:right="63"/>
              <w:rPr>
                <w:rFonts w:ascii="宋体" w:hAnsi="宋体"/>
                <w:color w:val="auto"/>
                <w:szCs w:val="21"/>
                <w:highlight w:val="none"/>
              </w:rPr>
            </w:pPr>
          </w:p>
        </w:tc>
        <w:tc>
          <w:tcPr>
            <w:tcW w:w="965" w:type="dxa"/>
            <w:vAlign w:val="center"/>
          </w:tcPr>
          <w:p w14:paraId="723A3179">
            <w:pPr>
              <w:pStyle w:val="138"/>
              <w:spacing w:line="440" w:lineRule="exact"/>
              <w:ind w:left="63" w:right="63"/>
              <w:rPr>
                <w:rFonts w:ascii="宋体" w:hAnsi="宋体"/>
                <w:color w:val="auto"/>
                <w:szCs w:val="21"/>
                <w:highlight w:val="none"/>
              </w:rPr>
            </w:pPr>
          </w:p>
        </w:tc>
      </w:tr>
      <w:tr w14:paraId="0244136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83" w:hRule="atLeast"/>
          <w:jc w:val="center"/>
        </w:trPr>
        <w:tc>
          <w:tcPr>
            <w:tcW w:w="828" w:type="dxa"/>
            <w:vAlign w:val="center"/>
          </w:tcPr>
          <w:p w14:paraId="205BD4E6">
            <w:pPr>
              <w:pStyle w:val="138"/>
              <w:spacing w:line="440" w:lineRule="exact"/>
              <w:ind w:left="63" w:right="63"/>
              <w:rPr>
                <w:rFonts w:ascii="宋体" w:hAnsi="宋体"/>
                <w:color w:val="auto"/>
                <w:szCs w:val="21"/>
                <w:highlight w:val="none"/>
              </w:rPr>
            </w:pPr>
          </w:p>
        </w:tc>
        <w:tc>
          <w:tcPr>
            <w:tcW w:w="1242" w:type="dxa"/>
            <w:vAlign w:val="center"/>
          </w:tcPr>
          <w:p w14:paraId="46A371DE">
            <w:pPr>
              <w:pStyle w:val="138"/>
              <w:spacing w:line="440" w:lineRule="exact"/>
              <w:ind w:left="63" w:right="63"/>
              <w:rPr>
                <w:rFonts w:ascii="宋体" w:hAnsi="宋体"/>
                <w:color w:val="auto"/>
                <w:szCs w:val="21"/>
                <w:highlight w:val="none"/>
              </w:rPr>
            </w:pPr>
          </w:p>
        </w:tc>
        <w:tc>
          <w:tcPr>
            <w:tcW w:w="1380" w:type="dxa"/>
            <w:vAlign w:val="center"/>
          </w:tcPr>
          <w:p w14:paraId="62303EBC">
            <w:pPr>
              <w:pStyle w:val="138"/>
              <w:spacing w:line="440" w:lineRule="exact"/>
              <w:ind w:left="63" w:right="63"/>
              <w:rPr>
                <w:rFonts w:ascii="宋体" w:hAnsi="宋体"/>
                <w:color w:val="auto"/>
                <w:szCs w:val="21"/>
                <w:highlight w:val="none"/>
              </w:rPr>
            </w:pPr>
          </w:p>
        </w:tc>
        <w:tc>
          <w:tcPr>
            <w:tcW w:w="915" w:type="dxa"/>
            <w:vAlign w:val="center"/>
          </w:tcPr>
          <w:p w14:paraId="188485D1">
            <w:pPr>
              <w:pStyle w:val="138"/>
              <w:spacing w:line="440" w:lineRule="exact"/>
              <w:ind w:left="63" w:right="63"/>
              <w:rPr>
                <w:rFonts w:ascii="宋体" w:hAnsi="宋体"/>
                <w:color w:val="auto"/>
                <w:szCs w:val="21"/>
                <w:highlight w:val="none"/>
              </w:rPr>
            </w:pPr>
          </w:p>
        </w:tc>
        <w:tc>
          <w:tcPr>
            <w:tcW w:w="828" w:type="dxa"/>
            <w:vAlign w:val="center"/>
          </w:tcPr>
          <w:p w14:paraId="77E7B8B9">
            <w:pPr>
              <w:pStyle w:val="138"/>
              <w:spacing w:line="440" w:lineRule="exact"/>
              <w:ind w:left="63" w:right="63"/>
              <w:rPr>
                <w:rFonts w:ascii="宋体" w:hAnsi="宋体"/>
                <w:color w:val="auto"/>
                <w:szCs w:val="21"/>
                <w:highlight w:val="none"/>
              </w:rPr>
            </w:pPr>
          </w:p>
        </w:tc>
        <w:tc>
          <w:tcPr>
            <w:tcW w:w="1016" w:type="dxa"/>
            <w:vAlign w:val="center"/>
          </w:tcPr>
          <w:p w14:paraId="66E9C4BD">
            <w:pPr>
              <w:pStyle w:val="138"/>
              <w:spacing w:line="440" w:lineRule="exact"/>
              <w:ind w:left="63" w:right="63"/>
              <w:rPr>
                <w:rFonts w:ascii="宋体" w:hAnsi="宋体"/>
                <w:color w:val="auto"/>
                <w:szCs w:val="21"/>
                <w:highlight w:val="none"/>
              </w:rPr>
            </w:pPr>
          </w:p>
        </w:tc>
        <w:tc>
          <w:tcPr>
            <w:tcW w:w="965" w:type="dxa"/>
            <w:vAlign w:val="center"/>
          </w:tcPr>
          <w:p w14:paraId="05F12431">
            <w:pPr>
              <w:pStyle w:val="138"/>
              <w:spacing w:line="440" w:lineRule="exact"/>
              <w:ind w:left="63" w:right="63"/>
              <w:rPr>
                <w:rFonts w:ascii="宋体" w:hAnsi="宋体"/>
                <w:color w:val="auto"/>
                <w:szCs w:val="21"/>
                <w:highlight w:val="none"/>
              </w:rPr>
            </w:pPr>
          </w:p>
        </w:tc>
        <w:tc>
          <w:tcPr>
            <w:tcW w:w="828" w:type="dxa"/>
            <w:vAlign w:val="center"/>
          </w:tcPr>
          <w:p w14:paraId="26B0AE13">
            <w:pPr>
              <w:pStyle w:val="138"/>
              <w:spacing w:line="440" w:lineRule="exact"/>
              <w:ind w:left="63" w:right="63"/>
              <w:rPr>
                <w:rFonts w:ascii="宋体" w:hAnsi="宋体"/>
                <w:color w:val="auto"/>
                <w:szCs w:val="21"/>
                <w:highlight w:val="none"/>
              </w:rPr>
            </w:pPr>
          </w:p>
        </w:tc>
        <w:tc>
          <w:tcPr>
            <w:tcW w:w="1447" w:type="dxa"/>
            <w:vAlign w:val="center"/>
          </w:tcPr>
          <w:p w14:paraId="1682998F">
            <w:pPr>
              <w:pStyle w:val="138"/>
              <w:spacing w:line="440" w:lineRule="exact"/>
              <w:ind w:left="63" w:right="63"/>
              <w:rPr>
                <w:rFonts w:ascii="宋体" w:hAnsi="宋体"/>
                <w:color w:val="auto"/>
                <w:szCs w:val="21"/>
                <w:highlight w:val="none"/>
              </w:rPr>
            </w:pPr>
          </w:p>
        </w:tc>
        <w:tc>
          <w:tcPr>
            <w:tcW w:w="965" w:type="dxa"/>
            <w:vAlign w:val="center"/>
          </w:tcPr>
          <w:p w14:paraId="61A93320">
            <w:pPr>
              <w:pStyle w:val="138"/>
              <w:spacing w:line="440" w:lineRule="exact"/>
              <w:ind w:left="63" w:right="63"/>
              <w:rPr>
                <w:rFonts w:ascii="宋体" w:hAnsi="宋体"/>
                <w:color w:val="auto"/>
                <w:szCs w:val="21"/>
                <w:highlight w:val="none"/>
              </w:rPr>
            </w:pPr>
          </w:p>
        </w:tc>
      </w:tr>
      <w:tr w14:paraId="32D2D9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83" w:hRule="atLeast"/>
          <w:jc w:val="center"/>
        </w:trPr>
        <w:tc>
          <w:tcPr>
            <w:tcW w:w="828" w:type="dxa"/>
            <w:vAlign w:val="center"/>
          </w:tcPr>
          <w:p w14:paraId="0355F926">
            <w:pPr>
              <w:pStyle w:val="138"/>
              <w:spacing w:line="440" w:lineRule="exact"/>
              <w:ind w:left="63" w:right="63"/>
              <w:rPr>
                <w:rFonts w:ascii="宋体" w:hAnsi="宋体"/>
                <w:color w:val="auto"/>
                <w:szCs w:val="21"/>
                <w:highlight w:val="none"/>
              </w:rPr>
            </w:pPr>
          </w:p>
        </w:tc>
        <w:tc>
          <w:tcPr>
            <w:tcW w:w="1242" w:type="dxa"/>
            <w:vAlign w:val="center"/>
          </w:tcPr>
          <w:p w14:paraId="27C27D41">
            <w:pPr>
              <w:pStyle w:val="138"/>
              <w:spacing w:line="440" w:lineRule="exact"/>
              <w:ind w:left="63" w:right="63"/>
              <w:rPr>
                <w:rFonts w:ascii="宋体" w:hAnsi="宋体"/>
                <w:color w:val="auto"/>
                <w:szCs w:val="21"/>
                <w:highlight w:val="none"/>
              </w:rPr>
            </w:pPr>
          </w:p>
        </w:tc>
        <w:tc>
          <w:tcPr>
            <w:tcW w:w="1380" w:type="dxa"/>
            <w:vAlign w:val="center"/>
          </w:tcPr>
          <w:p w14:paraId="211CAB06">
            <w:pPr>
              <w:pStyle w:val="138"/>
              <w:spacing w:line="440" w:lineRule="exact"/>
              <w:ind w:left="63" w:right="63"/>
              <w:rPr>
                <w:rFonts w:ascii="宋体" w:hAnsi="宋体"/>
                <w:color w:val="auto"/>
                <w:szCs w:val="21"/>
                <w:highlight w:val="none"/>
              </w:rPr>
            </w:pPr>
          </w:p>
        </w:tc>
        <w:tc>
          <w:tcPr>
            <w:tcW w:w="915" w:type="dxa"/>
            <w:vAlign w:val="center"/>
          </w:tcPr>
          <w:p w14:paraId="34A0F3C3">
            <w:pPr>
              <w:pStyle w:val="138"/>
              <w:spacing w:line="440" w:lineRule="exact"/>
              <w:ind w:left="63" w:right="63"/>
              <w:rPr>
                <w:rFonts w:ascii="宋体" w:hAnsi="宋体"/>
                <w:color w:val="auto"/>
                <w:szCs w:val="21"/>
                <w:highlight w:val="none"/>
              </w:rPr>
            </w:pPr>
          </w:p>
        </w:tc>
        <w:tc>
          <w:tcPr>
            <w:tcW w:w="828" w:type="dxa"/>
            <w:vAlign w:val="center"/>
          </w:tcPr>
          <w:p w14:paraId="34CA84D1">
            <w:pPr>
              <w:pStyle w:val="138"/>
              <w:spacing w:line="440" w:lineRule="exact"/>
              <w:ind w:left="63" w:right="63"/>
              <w:rPr>
                <w:rFonts w:ascii="宋体" w:hAnsi="宋体"/>
                <w:color w:val="auto"/>
                <w:szCs w:val="21"/>
                <w:highlight w:val="none"/>
              </w:rPr>
            </w:pPr>
          </w:p>
        </w:tc>
        <w:tc>
          <w:tcPr>
            <w:tcW w:w="1016" w:type="dxa"/>
            <w:vAlign w:val="center"/>
          </w:tcPr>
          <w:p w14:paraId="10D1A437">
            <w:pPr>
              <w:pStyle w:val="138"/>
              <w:spacing w:line="440" w:lineRule="exact"/>
              <w:ind w:left="63" w:right="63"/>
              <w:rPr>
                <w:rFonts w:ascii="宋体" w:hAnsi="宋体"/>
                <w:color w:val="auto"/>
                <w:szCs w:val="21"/>
                <w:highlight w:val="none"/>
              </w:rPr>
            </w:pPr>
          </w:p>
        </w:tc>
        <w:tc>
          <w:tcPr>
            <w:tcW w:w="965" w:type="dxa"/>
            <w:vAlign w:val="center"/>
          </w:tcPr>
          <w:p w14:paraId="4FE8A6F9">
            <w:pPr>
              <w:pStyle w:val="138"/>
              <w:spacing w:line="440" w:lineRule="exact"/>
              <w:ind w:left="63" w:right="63"/>
              <w:rPr>
                <w:rFonts w:ascii="宋体" w:hAnsi="宋体"/>
                <w:color w:val="auto"/>
                <w:szCs w:val="21"/>
                <w:highlight w:val="none"/>
              </w:rPr>
            </w:pPr>
          </w:p>
        </w:tc>
        <w:tc>
          <w:tcPr>
            <w:tcW w:w="828" w:type="dxa"/>
            <w:vAlign w:val="center"/>
          </w:tcPr>
          <w:p w14:paraId="3CC41767">
            <w:pPr>
              <w:pStyle w:val="138"/>
              <w:spacing w:line="440" w:lineRule="exact"/>
              <w:ind w:left="63" w:right="63"/>
              <w:rPr>
                <w:rFonts w:ascii="宋体" w:hAnsi="宋体"/>
                <w:color w:val="auto"/>
                <w:szCs w:val="21"/>
                <w:highlight w:val="none"/>
              </w:rPr>
            </w:pPr>
          </w:p>
        </w:tc>
        <w:tc>
          <w:tcPr>
            <w:tcW w:w="1447" w:type="dxa"/>
            <w:vAlign w:val="center"/>
          </w:tcPr>
          <w:p w14:paraId="6B7367E7">
            <w:pPr>
              <w:pStyle w:val="138"/>
              <w:spacing w:line="440" w:lineRule="exact"/>
              <w:ind w:left="63" w:right="63"/>
              <w:rPr>
                <w:rFonts w:ascii="宋体" w:hAnsi="宋体"/>
                <w:color w:val="auto"/>
                <w:szCs w:val="21"/>
                <w:highlight w:val="none"/>
              </w:rPr>
            </w:pPr>
          </w:p>
        </w:tc>
        <w:tc>
          <w:tcPr>
            <w:tcW w:w="965" w:type="dxa"/>
            <w:vAlign w:val="center"/>
          </w:tcPr>
          <w:p w14:paraId="7FA0FDAA">
            <w:pPr>
              <w:pStyle w:val="138"/>
              <w:spacing w:line="440" w:lineRule="exact"/>
              <w:ind w:left="63" w:right="63"/>
              <w:rPr>
                <w:rFonts w:ascii="宋体" w:hAnsi="宋体"/>
                <w:color w:val="auto"/>
                <w:szCs w:val="21"/>
                <w:highlight w:val="none"/>
              </w:rPr>
            </w:pPr>
          </w:p>
        </w:tc>
      </w:tr>
      <w:tr w14:paraId="1F82CF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83" w:hRule="atLeast"/>
          <w:jc w:val="center"/>
        </w:trPr>
        <w:tc>
          <w:tcPr>
            <w:tcW w:w="828" w:type="dxa"/>
            <w:vAlign w:val="center"/>
          </w:tcPr>
          <w:p w14:paraId="654A355D">
            <w:pPr>
              <w:pStyle w:val="138"/>
              <w:spacing w:line="440" w:lineRule="exact"/>
              <w:ind w:left="63" w:right="63"/>
              <w:rPr>
                <w:rFonts w:ascii="宋体" w:hAnsi="宋体"/>
                <w:color w:val="auto"/>
                <w:szCs w:val="21"/>
                <w:highlight w:val="none"/>
              </w:rPr>
            </w:pPr>
          </w:p>
        </w:tc>
        <w:tc>
          <w:tcPr>
            <w:tcW w:w="1242" w:type="dxa"/>
            <w:vAlign w:val="center"/>
          </w:tcPr>
          <w:p w14:paraId="5F1DBA7A">
            <w:pPr>
              <w:pStyle w:val="138"/>
              <w:spacing w:line="440" w:lineRule="exact"/>
              <w:ind w:left="63" w:right="63"/>
              <w:rPr>
                <w:rFonts w:ascii="宋体" w:hAnsi="宋体"/>
                <w:color w:val="auto"/>
                <w:szCs w:val="21"/>
                <w:highlight w:val="none"/>
              </w:rPr>
            </w:pPr>
          </w:p>
        </w:tc>
        <w:tc>
          <w:tcPr>
            <w:tcW w:w="1380" w:type="dxa"/>
            <w:vAlign w:val="center"/>
          </w:tcPr>
          <w:p w14:paraId="7046EF61">
            <w:pPr>
              <w:pStyle w:val="138"/>
              <w:spacing w:line="440" w:lineRule="exact"/>
              <w:ind w:left="63" w:right="63"/>
              <w:rPr>
                <w:rFonts w:ascii="宋体" w:hAnsi="宋体"/>
                <w:color w:val="auto"/>
                <w:szCs w:val="21"/>
                <w:highlight w:val="none"/>
              </w:rPr>
            </w:pPr>
          </w:p>
        </w:tc>
        <w:tc>
          <w:tcPr>
            <w:tcW w:w="915" w:type="dxa"/>
            <w:vAlign w:val="center"/>
          </w:tcPr>
          <w:p w14:paraId="193A3856">
            <w:pPr>
              <w:pStyle w:val="138"/>
              <w:spacing w:line="440" w:lineRule="exact"/>
              <w:ind w:left="63" w:right="63"/>
              <w:rPr>
                <w:rFonts w:ascii="宋体" w:hAnsi="宋体"/>
                <w:color w:val="auto"/>
                <w:szCs w:val="21"/>
                <w:highlight w:val="none"/>
              </w:rPr>
            </w:pPr>
          </w:p>
        </w:tc>
        <w:tc>
          <w:tcPr>
            <w:tcW w:w="828" w:type="dxa"/>
            <w:vAlign w:val="center"/>
          </w:tcPr>
          <w:p w14:paraId="69F422F9">
            <w:pPr>
              <w:pStyle w:val="138"/>
              <w:spacing w:line="440" w:lineRule="exact"/>
              <w:ind w:left="63" w:right="63"/>
              <w:rPr>
                <w:rFonts w:ascii="宋体" w:hAnsi="宋体"/>
                <w:color w:val="auto"/>
                <w:szCs w:val="21"/>
                <w:highlight w:val="none"/>
              </w:rPr>
            </w:pPr>
          </w:p>
        </w:tc>
        <w:tc>
          <w:tcPr>
            <w:tcW w:w="1016" w:type="dxa"/>
            <w:vAlign w:val="center"/>
          </w:tcPr>
          <w:p w14:paraId="61CDE379">
            <w:pPr>
              <w:pStyle w:val="138"/>
              <w:spacing w:line="440" w:lineRule="exact"/>
              <w:ind w:left="63" w:right="63"/>
              <w:rPr>
                <w:rFonts w:ascii="宋体" w:hAnsi="宋体"/>
                <w:color w:val="auto"/>
                <w:szCs w:val="21"/>
                <w:highlight w:val="none"/>
              </w:rPr>
            </w:pPr>
          </w:p>
        </w:tc>
        <w:tc>
          <w:tcPr>
            <w:tcW w:w="965" w:type="dxa"/>
            <w:vAlign w:val="center"/>
          </w:tcPr>
          <w:p w14:paraId="006D6E66">
            <w:pPr>
              <w:pStyle w:val="138"/>
              <w:spacing w:line="440" w:lineRule="exact"/>
              <w:ind w:left="63" w:right="63"/>
              <w:rPr>
                <w:rFonts w:ascii="宋体" w:hAnsi="宋体"/>
                <w:color w:val="auto"/>
                <w:szCs w:val="21"/>
                <w:highlight w:val="none"/>
              </w:rPr>
            </w:pPr>
          </w:p>
        </w:tc>
        <w:tc>
          <w:tcPr>
            <w:tcW w:w="828" w:type="dxa"/>
            <w:vAlign w:val="center"/>
          </w:tcPr>
          <w:p w14:paraId="71B9B1C7">
            <w:pPr>
              <w:pStyle w:val="138"/>
              <w:spacing w:line="440" w:lineRule="exact"/>
              <w:ind w:left="63" w:right="63"/>
              <w:rPr>
                <w:rFonts w:ascii="宋体" w:hAnsi="宋体"/>
                <w:color w:val="auto"/>
                <w:szCs w:val="21"/>
                <w:highlight w:val="none"/>
              </w:rPr>
            </w:pPr>
          </w:p>
        </w:tc>
        <w:tc>
          <w:tcPr>
            <w:tcW w:w="1447" w:type="dxa"/>
            <w:vAlign w:val="center"/>
          </w:tcPr>
          <w:p w14:paraId="0C47F329">
            <w:pPr>
              <w:pStyle w:val="138"/>
              <w:spacing w:line="440" w:lineRule="exact"/>
              <w:ind w:left="63" w:right="63"/>
              <w:rPr>
                <w:rFonts w:ascii="宋体" w:hAnsi="宋体"/>
                <w:color w:val="auto"/>
                <w:szCs w:val="21"/>
                <w:highlight w:val="none"/>
              </w:rPr>
            </w:pPr>
          </w:p>
        </w:tc>
        <w:tc>
          <w:tcPr>
            <w:tcW w:w="965" w:type="dxa"/>
            <w:vAlign w:val="center"/>
          </w:tcPr>
          <w:p w14:paraId="49F5DCEC">
            <w:pPr>
              <w:pStyle w:val="138"/>
              <w:spacing w:line="440" w:lineRule="exact"/>
              <w:ind w:left="63" w:right="63"/>
              <w:rPr>
                <w:rFonts w:ascii="宋体" w:hAnsi="宋体"/>
                <w:color w:val="auto"/>
                <w:szCs w:val="21"/>
                <w:highlight w:val="none"/>
              </w:rPr>
            </w:pPr>
          </w:p>
        </w:tc>
      </w:tr>
      <w:tr w14:paraId="02189C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83" w:hRule="atLeast"/>
          <w:jc w:val="center"/>
        </w:trPr>
        <w:tc>
          <w:tcPr>
            <w:tcW w:w="828" w:type="dxa"/>
            <w:vAlign w:val="center"/>
          </w:tcPr>
          <w:p w14:paraId="62A59938">
            <w:pPr>
              <w:pStyle w:val="138"/>
              <w:spacing w:line="440" w:lineRule="exact"/>
              <w:ind w:left="63" w:right="63"/>
              <w:rPr>
                <w:rFonts w:ascii="宋体" w:hAnsi="宋体"/>
                <w:color w:val="auto"/>
                <w:szCs w:val="21"/>
                <w:highlight w:val="none"/>
              </w:rPr>
            </w:pPr>
          </w:p>
        </w:tc>
        <w:tc>
          <w:tcPr>
            <w:tcW w:w="1242" w:type="dxa"/>
            <w:vAlign w:val="center"/>
          </w:tcPr>
          <w:p w14:paraId="0B2DBE3A">
            <w:pPr>
              <w:pStyle w:val="138"/>
              <w:spacing w:line="440" w:lineRule="exact"/>
              <w:ind w:left="63" w:right="63"/>
              <w:rPr>
                <w:rFonts w:ascii="宋体" w:hAnsi="宋体"/>
                <w:color w:val="auto"/>
                <w:szCs w:val="21"/>
                <w:highlight w:val="none"/>
              </w:rPr>
            </w:pPr>
          </w:p>
        </w:tc>
        <w:tc>
          <w:tcPr>
            <w:tcW w:w="1380" w:type="dxa"/>
            <w:vAlign w:val="center"/>
          </w:tcPr>
          <w:p w14:paraId="724A8196">
            <w:pPr>
              <w:pStyle w:val="138"/>
              <w:spacing w:line="440" w:lineRule="exact"/>
              <w:ind w:left="63" w:right="63"/>
              <w:rPr>
                <w:rFonts w:ascii="宋体" w:hAnsi="宋体"/>
                <w:color w:val="auto"/>
                <w:szCs w:val="21"/>
                <w:highlight w:val="none"/>
              </w:rPr>
            </w:pPr>
          </w:p>
        </w:tc>
        <w:tc>
          <w:tcPr>
            <w:tcW w:w="915" w:type="dxa"/>
            <w:vAlign w:val="center"/>
          </w:tcPr>
          <w:p w14:paraId="339DD67B">
            <w:pPr>
              <w:pStyle w:val="138"/>
              <w:spacing w:line="440" w:lineRule="exact"/>
              <w:ind w:left="63" w:right="63"/>
              <w:rPr>
                <w:rFonts w:ascii="宋体" w:hAnsi="宋体"/>
                <w:color w:val="auto"/>
                <w:szCs w:val="21"/>
                <w:highlight w:val="none"/>
              </w:rPr>
            </w:pPr>
          </w:p>
        </w:tc>
        <w:tc>
          <w:tcPr>
            <w:tcW w:w="828" w:type="dxa"/>
            <w:vAlign w:val="center"/>
          </w:tcPr>
          <w:p w14:paraId="326896DD">
            <w:pPr>
              <w:pStyle w:val="138"/>
              <w:spacing w:line="440" w:lineRule="exact"/>
              <w:ind w:left="63" w:right="63"/>
              <w:rPr>
                <w:rFonts w:ascii="宋体" w:hAnsi="宋体"/>
                <w:color w:val="auto"/>
                <w:szCs w:val="21"/>
                <w:highlight w:val="none"/>
              </w:rPr>
            </w:pPr>
          </w:p>
        </w:tc>
        <w:tc>
          <w:tcPr>
            <w:tcW w:w="1016" w:type="dxa"/>
            <w:vAlign w:val="center"/>
          </w:tcPr>
          <w:p w14:paraId="3E9C5A71">
            <w:pPr>
              <w:pStyle w:val="138"/>
              <w:spacing w:line="440" w:lineRule="exact"/>
              <w:ind w:left="63" w:right="63"/>
              <w:rPr>
                <w:rFonts w:ascii="宋体" w:hAnsi="宋体"/>
                <w:color w:val="auto"/>
                <w:szCs w:val="21"/>
                <w:highlight w:val="none"/>
              </w:rPr>
            </w:pPr>
          </w:p>
        </w:tc>
        <w:tc>
          <w:tcPr>
            <w:tcW w:w="965" w:type="dxa"/>
            <w:vAlign w:val="center"/>
          </w:tcPr>
          <w:p w14:paraId="08245741">
            <w:pPr>
              <w:pStyle w:val="138"/>
              <w:spacing w:line="440" w:lineRule="exact"/>
              <w:ind w:left="63" w:right="63"/>
              <w:rPr>
                <w:rFonts w:ascii="宋体" w:hAnsi="宋体"/>
                <w:color w:val="auto"/>
                <w:szCs w:val="21"/>
                <w:highlight w:val="none"/>
              </w:rPr>
            </w:pPr>
          </w:p>
        </w:tc>
        <w:tc>
          <w:tcPr>
            <w:tcW w:w="828" w:type="dxa"/>
            <w:vAlign w:val="center"/>
          </w:tcPr>
          <w:p w14:paraId="3FDDDB65">
            <w:pPr>
              <w:pStyle w:val="138"/>
              <w:spacing w:line="440" w:lineRule="exact"/>
              <w:ind w:left="63" w:right="63"/>
              <w:rPr>
                <w:rFonts w:ascii="宋体" w:hAnsi="宋体"/>
                <w:color w:val="auto"/>
                <w:szCs w:val="21"/>
                <w:highlight w:val="none"/>
              </w:rPr>
            </w:pPr>
          </w:p>
        </w:tc>
        <w:tc>
          <w:tcPr>
            <w:tcW w:w="1447" w:type="dxa"/>
            <w:vAlign w:val="center"/>
          </w:tcPr>
          <w:p w14:paraId="16AA5917">
            <w:pPr>
              <w:pStyle w:val="138"/>
              <w:spacing w:line="440" w:lineRule="exact"/>
              <w:ind w:left="63" w:right="63"/>
              <w:rPr>
                <w:rFonts w:ascii="宋体" w:hAnsi="宋体"/>
                <w:color w:val="auto"/>
                <w:szCs w:val="21"/>
                <w:highlight w:val="none"/>
              </w:rPr>
            </w:pPr>
          </w:p>
        </w:tc>
        <w:tc>
          <w:tcPr>
            <w:tcW w:w="965" w:type="dxa"/>
            <w:vAlign w:val="center"/>
          </w:tcPr>
          <w:p w14:paraId="722C661C">
            <w:pPr>
              <w:pStyle w:val="138"/>
              <w:spacing w:line="440" w:lineRule="exact"/>
              <w:ind w:left="63" w:right="63"/>
              <w:rPr>
                <w:rFonts w:ascii="宋体" w:hAnsi="宋体"/>
                <w:color w:val="auto"/>
                <w:szCs w:val="21"/>
                <w:highlight w:val="none"/>
              </w:rPr>
            </w:pPr>
          </w:p>
        </w:tc>
      </w:tr>
      <w:tr w14:paraId="4BA3E3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83" w:hRule="atLeast"/>
          <w:jc w:val="center"/>
        </w:trPr>
        <w:tc>
          <w:tcPr>
            <w:tcW w:w="828" w:type="dxa"/>
            <w:vAlign w:val="center"/>
          </w:tcPr>
          <w:p w14:paraId="720D1DB6">
            <w:pPr>
              <w:pStyle w:val="138"/>
              <w:spacing w:line="440" w:lineRule="exact"/>
              <w:ind w:left="63" w:right="63"/>
              <w:rPr>
                <w:rFonts w:ascii="宋体" w:hAnsi="宋体"/>
                <w:color w:val="auto"/>
                <w:szCs w:val="21"/>
                <w:highlight w:val="none"/>
              </w:rPr>
            </w:pPr>
          </w:p>
        </w:tc>
        <w:tc>
          <w:tcPr>
            <w:tcW w:w="1242" w:type="dxa"/>
            <w:vAlign w:val="center"/>
          </w:tcPr>
          <w:p w14:paraId="0D7BD6C1">
            <w:pPr>
              <w:pStyle w:val="138"/>
              <w:spacing w:line="440" w:lineRule="exact"/>
              <w:ind w:left="63" w:right="63"/>
              <w:rPr>
                <w:rFonts w:ascii="宋体" w:hAnsi="宋体"/>
                <w:color w:val="auto"/>
                <w:szCs w:val="21"/>
                <w:highlight w:val="none"/>
              </w:rPr>
            </w:pPr>
          </w:p>
        </w:tc>
        <w:tc>
          <w:tcPr>
            <w:tcW w:w="1380" w:type="dxa"/>
            <w:vAlign w:val="center"/>
          </w:tcPr>
          <w:p w14:paraId="506C64E4">
            <w:pPr>
              <w:pStyle w:val="138"/>
              <w:spacing w:line="440" w:lineRule="exact"/>
              <w:ind w:left="63" w:right="63"/>
              <w:rPr>
                <w:rFonts w:ascii="宋体" w:hAnsi="宋体"/>
                <w:color w:val="auto"/>
                <w:szCs w:val="21"/>
                <w:highlight w:val="none"/>
              </w:rPr>
            </w:pPr>
          </w:p>
        </w:tc>
        <w:tc>
          <w:tcPr>
            <w:tcW w:w="915" w:type="dxa"/>
            <w:vAlign w:val="center"/>
          </w:tcPr>
          <w:p w14:paraId="220E7A12">
            <w:pPr>
              <w:pStyle w:val="138"/>
              <w:spacing w:line="440" w:lineRule="exact"/>
              <w:ind w:left="63" w:right="63"/>
              <w:rPr>
                <w:rFonts w:ascii="宋体" w:hAnsi="宋体"/>
                <w:color w:val="auto"/>
                <w:szCs w:val="21"/>
                <w:highlight w:val="none"/>
              </w:rPr>
            </w:pPr>
          </w:p>
        </w:tc>
        <w:tc>
          <w:tcPr>
            <w:tcW w:w="828" w:type="dxa"/>
            <w:vAlign w:val="center"/>
          </w:tcPr>
          <w:p w14:paraId="4B2E4FA2">
            <w:pPr>
              <w:pStyle w:val="138"/>
              <w:spacing w:line="440" w:lineRule="exact"/>
              <w:ind w:left="63" w:right="63"/>
              <w:rPr>
                <w:rFonts w:ascii="宋体" w:hAnsi="宋体"/>
                <w:color w:val="auto"/>
                <w:szCs w:val="21"/>
                <w:highlight w:val="none"/>
              </w:rPr>
            </w:pPr>
          </w:p>
        </w:tc>
        <w:tc>
          <w:tcPr>
            <w:tcW w:w="1016" w:type="dxa"/>
            <w:vAlign w:val="center"/>
          </w:tcPr>
          <w:p w14:paraId="7AC4D845">
            <w:pPr>
              <w:pStyle w:val="138"/>
              <w:spacing w:line="440" w:lineRule="exact"/>
              <w:ind w:left="63" w:right="63"/>
              <w:rPr>
                <w:rFonts w:ascii="宋体" w:hAnsi="宋体"/>
                <w:color w:val="auto"/>
                <w:szCs w:val="21"/>
                <w:highlight w:val="none"/>
              </w:rPr>
            </w:pPr>
          </w:p>
        </w:tc>
        <w:tc>
          <w:tcPr>
            <w:tcW w:w="965" w:type="dxa"/>
            <w:vAlign w:val="center"/>
          </w:tcPr>
          <w:p w14:paraId="6B6E039A">
            <w:pPr>
              <w:pStyle w:val="138"/>
              <w:spacing w:line="440" w:lineRule="exact"/>
              <w:ind w:left="63" w:right="63"/>
              <w:rPr>
                <w:rFonts w:ascii="宋体" w:hAnsi="宋体"/>
                <w:color w:val="auto"/>
                <w:szCs w:val="21"/>
                <w:highlight w:val="none"/>
              </w:rPr>
            </w:pPr>
          </w:p>
        </w:tc>
        <w:tc>
          <w:tcPr>
            <w:tcW w:w="828" w:type="dxa"/>
            <w:vAlign w:val="center"/>
          </w:tcPr>
          <w:p w14:paraId="52F0C049">
            <w:pPr>
              <w:pStyle w:val="138"/>
              <w:spacing w:line="440" w:lineRule="exact"/>
              <w:ind w:left="63" w:right="63"/>
              <w:rPr>
                <w:rFonts w:ascii="宋体" w:hAnsi="宋体"/>
                <w:color w:val="auto"/>
                <w:szCs w:val="21"/>
                <w:highlight w:val="none"/>
              </w:rPr>
            </w:pPr>
          </w:p>
        </w:tc>
        <w:tc>
          <w:tcPr>
            <w:tcW w:w="1447" w:type="dxa"/>
            <w:vAlign w:val="center"/>
          </w:tcPr>
          <w:p w14:paraId="2F705405">
            <w:pPr>
              <w:pStyle w:val="138"/>
              <w:spacing w:line="440" w:lineRule="exact"/>
              <w:ind w:left="63" w:right="63"/>
              <w:rPr>
                <w:rFonts w:ascii="宋体" w:hAnsi="宋体"/>
                <w:color w:val="auto"/>
                <w:szCs w:val="21"/>
                <w:highlight w:val="none"/>
              </w:rPr>
            </w:pPr>
          </w:p>
        </w:tc>
        <w:tc>
          <w:tcPr>
            <w:tcW w:w="965" w:type="dxa"/>
            <w:vAlign w:val="center"/>
          </w:tcPr>
          <w:p w14:paraId="07AB8655">
            <w:pPr>
              <w:pStyle w:val="138"/>
              <w:spacing w:line="440" w:lineRule="exact"/>
              <w:ind w:left="63" w:right="63"/>
              <w:rPr>
                <w:rFonts w:ascii="宋体" w:hAnsi="宋体"/>
                <w:color w:val="auto"/>
                <w:szCs w:val="21"/>
                <w:highlight w:val="none"/>
              </w:rPr>
            </w:pPr>
          </w:p>
        </w:tc>
      </w:tr>
      <w:tr w14:paraId="05355B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83" w:hRule="atLeast"/>
          <w:jc w:val="center"/>
        </w:trPr>
        <w:tc>
          <w:tcPr>
            <w:tcW w:w="828" w:type="dxa"/>
            <w:vAlign w:val="center"/>
          </w:tcPr>
          <w:p w14:paraId="3734A075">
            <w:pPr>
              <w:pStyle w:val="138"/>
              <w:spacing w:line="440" w:lineRule="exact"/>
              <w:ind w:left="63" w:right="63"/>
              <w:rPr>
                <w:rFonts w:ascii="宋体" w:hAnsi="宋体"/>
                <w:color w:val="auto"/>
                <w:szCs w:val="21"/>
                <w:highlight w:val="none"/>
              </w:rPr>
            </w:pPr>
          </w:p>
        </w:tc>
        <w:tc>
          <w:tcPr>
            <w:tcW w:w="1242" w:type="dxa"/>
            <w:vAlign w:val="center"/>
          </w:tcPr>
          <w:p w14:paraId="3F46290C">
            <w:pPr>
              <w:pStyle w:val="138"/>
              <w:spacing w:line="440" w:lineRule="exact"/>
              <w:ind w:left="63" w:right="63"/>
              <w:rPr>
                <w:rFonts w:ascii="宋体" w:hAnsi="宋体"/>
                <w:color w:val="auto"/>
                <w:szCs w:val="21"/>
                <w:highlight w:val="none"/>
              </w:rPr>
            </w:pPr>
          </w:p>
        </w:tc>
        <w:tc>
          <w:tcPr>
            <w:tcW w:w="1380" w:type="dxa"/>
            <w:vAlign w:val="center"/>
          </w:tcPr>
          <w:p w14:paraId="59B17323">
            <w:pPr>
              <w:pStyle w:val="138"/>
              <w:spacing w:line="440" w:lineRule="exact"/>
              <w:ind w:left="63" w:right="63"/>
              <w:rPr>
                <w:rFonts w:ascii="宋体" w:hAnsi="宋体"/>
                <w:color w:val="auto"/>
                <w:szCs w:val="21"/>
                <w:highlight w:val="none"/>
              </w:rPr>
            </w:pPr>
          </w:p>
        </w:tc>
        <w:tc>
          <w:tcPr>
            <w:tcW w:w="915" w:type="dxa"/>
            <w:vAlign w:val="center"/>
          </w:tcPr>
          <w:p w14:paraId="1488F182">
            <w:pPr>
              <w:pStyle w:val="138"/>
              <w:spacing w:line="440" w:lineRule="exact"/>
              <w:ind w:left="63" w:right="63"/>
              <w:rPr>
                <w:rFonts w:ascii="宋体" w:hAnsi="宋体"/>
                <w:color w:val="auto"/>
                <w:szCs w:val="21"/>
                <w:highlight w:val="none"/>
              </w:rPr>
            </w:pPr>
          </w:p>
        </w:tc>
        <w:tc>
          <w:tcPr>
            <w:tcW w:w="828" w:type="dxa"/>
            <w:vAlign w:val="center"/>
          </w:tcPr>
          <w:p w14:paraId="120BC865">
            <w:pPr>
              <w:pStyle w:val="138"/>
              <w:spacing w:line="440" w:lineRule="exact"/>
              <w:ind w:left="63" w:right="63"/>
              <w:rPr>
                <w:rFonts w:ascii="宋体" w:hAnsi="宋体"/>
                <w:color w:val="auto"/>
                <w:szCs w:val="21"/>
                <w:highlight w:val="none"/>
              </w:rPr>
            </w:pPr>
          </w:p>
        </w:tc>
        <w:tc>
          <w:tcPr>
            <w:tcW w:w="1016" w:type="dxa"/>
            <w:vAlign w:val="center"/>
          </w:tcPr>
          <w:p w14:paraId="3A3B1177">
            <w:pPr>
              <w:pStyle w:val="138"/>
              <w:spacing w:line="440" w:lineRule="exact"/>
              <w:ind w:left="63" w:right="63"/>
              <w:rPr>
                <w:rFonts w:ascii="宋体" w:hAnsi="宋体"/>
                <w:color w:val="auto"/>
                <w:szCs w:val="21"/>
                <w:highlight w:val="none"/>
              </w:rPr>
            </w:pPr>
          </w:p>
        </w:tc>
        <w:tc>
          <w:tcPr>
            <w:tcW w:w="965" w:type="dxa"/>
            <w:vAlign w:val="center"/>
          </w:tcPr>
          <w:p w14:paraId="537121CB">
            <w:pPr>
              <w:pStyle w:val="138"/>
              <w:spacing w:line="440" w:lineRule="exact"/>
              <w:ind w:left="63" w:right="63"/>
              <w:rPr>
                <w:rFonts w:ascii="宋体" w:hAnsi="宋体"/>
                <w:color w:val="auto"/>
                <w:szCs w:val="21"/>
                <w:highlight w:val="none"/>
              </w:rPr>
            </w:pPr>
          </w:p>
        </w:tc>
        <w:tc>
          <w:tcPr>
            <w:tcW w:w="828" w:type="dxa"/>
            <w:vAlign w:val="center"/>
          </w:tcPr>
          <w:p w14:paraId="5B59727E">
            <w:pPr>
              <w:pStyle w:val="138"/>
              <w:spacing w:line="440" w:lineRule="exact"/>
              <w:ind w:left="63" w:right="63"/>
              <w:rPr>
                <w:rFonts w:ascii="宋体" w:hAnsi="宋体"/>
                <w:color w:val="auto"/>
                <w:szCs w:val="21"/>
                <w:highlight w:val="none"/>
              </w:rPr>
            </w:pPr>
          </w:p>
        </w:tc>
        <w:tc>
          <w:tcPr>
            <w:tcW w:w="1447" w:type="dxa"/>
            <w:vAlign w:val="center"/>
          </w:tcPr>
          <w:p w14:paraId="55D39F06">
            <w:pPr>
              <w:pStyle w:val="138"/>
              <w:spacing w:line="440" w:lineRule="exact"/>
              <w:ind w:left="63" w:right="63"/>
              <w:rPr>
                <w:rFonts w:ascii="宋体" w:hAnsi="宋体"/>
                <w:color w:val="auto"/>
                <w:szCs w:val="21"/>
                <w:highlight w:val="none"/>
              </w:rPr>
            </w:pPr>
          </w:p>
        </w:tc>
        <w:tc>
          <w:tcPr>
            <w:tcW w:w="965" w:type="dxa"/>
            <w:vAlign w:val="center"/>
          </w:tcPr>
          <w:p w14:paraId="7049ADF2">
            <w:pPr>
              <w:pStyle w:val="138"/>
              <w:spacing w:line="440" w:lineRule="exact"/>
              <w:ind w:left="63" w:right="63"/>
              <w:rPr>
                <w:rFonts w:ascii="宋体" w:hAnsi="宋体"/>
                <w:color w:val="auto"/>
                <w:szCs w:val="21"/>
                <w:highlight w:val="none"/>
              </w:rPr>
            </w:pPr>
          </w:p>
        </w:tc>
      </w:tr>
      <w:tr w14:paraId="3A952F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83" w:hRule="atLeast"/>
          <w:jc w:val="center"/>
        </w:trPr>
        <w:tc>
          <w:tcPr>
            <w:tcW w:w="828" w:type="dxa"/>
            <w:vAlign w:val="center"/>
          </w:tcPr>
          <w:p w14:paraId="0BA4F19F">
            <w:pPr>
              <w:pStyle w:val="61"/>
              <w:jc w:val="center"/>
              <w:rPr>
                <w:rFonts w:ascii="宋体" w:hAnsi="宋体"/>
                <w:color w:val="auto"/>
                <w:szCs w:val="21"/>
                <w:highlight w:val="none"/>
              </w:rPr>
            </w:pPr>
          </w:p>
        </w:tc>
        <w:tc>
          <w:tcPr>
            <w:tcW w:w="1242" w:type="dxa"/>
            <w:vAlign w:val="center"/>
          </w:tcPr>
          <w:p w14:paraId="723D124E">
            <w:pPr>
              <w:pStyle w:val="61"/>
              <w:jc w:val="center"/>
              <w:rPr>
                <w:rFonts w:ascii="宋体" w:hAnsi="宋体"/>
                <w:color w:val="auto"/>
                <w:szCs w:val="21"/>
                <w:highlight w:val="none"/>
              </w:rPr>
            </w:pPr>
          </w:p>
        </w:tc>
        <w:tc>
          <w:tcPr>
            <w:tcW w:w="1380" w:type="dxa"/>
            <w:vAlign w:val="center"/>
          </w:tcPr>
          <w:p w14:paraId="0B4EA4D0">
            <w:pPr>
              <w:pStyle w:val="61"/>
              <w:jc w:val="center"/>
              <w:rPr>
                <w:rFonts w:ascii="宋体" w:hAnsi="宋体"/>
                <w:color w:val="auto"/>
                <w:szCs w:val="21"/>
                <w:highlight w:val="none"/>
              </w:rPr>
            </w:pPr>
          </w:p>
        </w:tc>
        <w:tc>
          <w:tcPr>
            <w:tcW w:w="915" w:type="dxa"/>
            <w:vAlign w:val="center"/>
          </w:tcPr>
          <w:p w14:paraId="3DB48AE0">
            <w:pPr>
              <w:pStyle w:val="61"/>
              <w:jc w:val="center"/>
              <w:rPr>
                <w:rFonts w:ascii="宋体" w:hAnsi="宋体"/>
                <w:color w:val="auto"/>
                <w:szCs w:val="21"/>
                <w:highlight w:val="none"/>
              </w:rPr>
            </w:pPr>
          </w:p>
        </w:tc>
        <w:tc>
          <w:tcPr>
            <w:tcW w:w="828" w:type="dxa"/>
            <w:vAlign w:val="center"/>
          </w:tcPr>
          <w:p w14:paraId="139A1757">
            <w:pPr>
              <w:pStyle w:val="61"/>
              <w:jc w:val="center"/>
              <w:rPr>
                <w:rFonts w:ascii="宋体" w:hAnsi="宋体"/>
                <w:color w:val="auto"/>
                <w:szCs w:val="21"/>
                <w:highlight w:val="none"/>
              </w:rPr>
            </w:pPr>
          </w:p>
        </w:tc>
        <w:tc>
          <w:tcPr>
            <w:tcW w:w="1016" w:type="dxa"/>
            <w:vAlign w:val="center"/>
          </w:tcPr>
          <w:p w14:paraId="1235FAF3">
            <w:pPr>
              <w:pStyle w:val="61"/>
              <w:jc w:val="center"/>
              <w:rPr>
                <w:rFonts w:ascii="宋体" w:hAnsi="宋体"/>
                <w:color w:val="auto"/>
                <w:szCs w:val="21"/>
                <w:highlight w:val="none"/>
              </w:rPr>
            </w:pPr>
          </w:p>
        </w:tc>
        <w:tc>
          <w:tcPr>
            <w:tcW w:w="965" w:type="dxa"/>
            <w:vAlign w:val="center"/>
          </w:tcPr>
          <w:p w14:paraId="00CDF78B">
            <w:pPr>
              <w:pStyle w:val="61"/>
              <w:jc w:val="center"/>
              <w:rPr>
                <w:rFonts w:ascii="宋体" w:hAnsi="宋体"/>
                <w:color w:val="auto"/>
                <w:szCs w:val="21"/>
                <w:highlight w:val="none"/>
              </w:rPr>
            </w:pPr>
          </w:p>
        </w:tc>
        <w:tc>
          <w:tcPr>
            <w:tcW w:w="828" w:type="dxa"/>
            <w:vAlign w:val="center"/>
          </w:tcPr>
          <w:p w14:paraId="42D30FC8">
            <w:pPr>
              <w:pStyle w:val="61"/>
              <w:jc w:val="center"/>
              <w:rPr>
                <w:rFonts w:ascii="宋体" w:hAnsi="宋体"/>
                <w:color w:val="auto"/>
                <w:szCs w:val="21"/>
                <w:highlight w:val="none"/>
              </w:rPr>
            </w:pPr>
          </w:p>
        </w:tc>
        <w:tc>
          <w:tcPr>
            <w:tcW w:w="1447" w:type="dxa"/>
            <w:vAlign w:val="center"/>
          </w:tcPr>
          <w:p w14:paraId="62C218A3">
            <w:pPr>
              <w:pStyle w:val="61"/>
              <w:jc w:val="center"/>
              <w:rPr>
                <w:rFonts w:ascii="宋体" w:hAnsi="宋体"/>
                <w:color w:val="auto"/>
                <w:szCs w:val="21"/>
                <w:highlight w:val="none"/>
              </w:rPr>
            </w:pPr>
          </w:p>
        </w:tc>
        <w:tc>
          <w:tcPr>
            <w:tcW w:w="965" w:type="dxa"/>
            <w:vAlign w:val="center"/>
          </w:tcPr>
          <w:p w14:paraId="21DBE502">
            <w:pPr>
              <w:pStyle w:val="61"/>
              <w:jc w:val="center"/>
              <w:rPr>
                <w:rFonts w:ascii="宋体" w:hAnsi="宋体"/>
                <w:color w:val="auto"/>
                <w:szCs w:val="21"/>
                <w:highlight w:val="none"/>
              </w:rPr>
            </w:pPr>
          </w:p>
        </w:tc>
      </w:tr>
      <w:tr w14:paraId="4B81A2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83" w:hRule="atLeast"/>
          <w:jc w:val="center"/>
        </w:trPr>
        <w:tc>
          <w:tcPr>
            <w:tcW w:w="828" w:type="dxa"/>
            <w:vAlign w:val="center"/>
          </w:tcPr>
          <w:p w14:paraId="46E8A74B">
            <w:pPr>
              <w:pStyle w:val="138"/>
              <w:spacing w:line="440" w:lineRule="exact"/>
              <w:ind w:left="63" w:right="63"/>
              <w:rPr>
                <w:rFonts w:ascii="宋体" w:hAnsi="宋体"/>
                <w:color w:val="auto"/>
                <w:szCs w:val="21"/>
                <w:highlight w:val="none"/>
              </w:rPr>
            </w:pPr>
          </w:p>
        </w:tc>
        <w:tc>
          <w:tcPr>
            <w:tcW w:w="1242" w:type="dxa"/>
            <w:vAlign w:val="center"/>
          </w:tcPr>
          <w:p w14:paraId="72463D10">
            <w:pPr>
              <w:pStyle w:val="138"/>
              <w:spacing w:line="440" w:lineRule="exact"/>
              <w:ind w:left="63" w:right="63"/>
              <w:rPr>
                <w:rFonts w:ascii="宋体" w:hAnsi="宋体"/>
                <w:color w:val="auto"/>
                <w:szCs w:val="21"/>
                <w:highlight w:val="none"/>
              </w:rPr>
            </w:pPr>
          </w:p>
        </w:tc>
        <w:tc>
          <w:tcPr>
            <w:tcW w:w="1380" w:type="dxa"/>
            <w:vAlign w:val="center"/>
          </w:tcPr>
          <w:p w14:paraId="29301456">
            <w:pPr>
              <w:pStyle w:val="138"/>
              <w:spacing w:line="440" w:lineRule="exact"/>
              <w:ind w:left="63" w:right="63"/>
              <w:rPr>
                <w:rFonts w:ascii="宋体" w:hAnsi="宋体"/>
                <w:color w:val="auto"/>
                <w:szCs w:val="21"/>
                <w:highlight w:val="none"/>
              </w:rPr>
            </w:pPr>
          </w:p>
        </w:tc>
        <w:tc>
          <w:tcPr>
            <w:tcW w:w="915" w:type="dxa"/>
            <w:vAlign w:val="center"/>
          </w:tcPr>
          <w:p w14:paraId="2D04D8A7">
            <w:pPr>
              <w:pStyle w:val="138"/>
              <w:spacing w:line="440" w:lineRule="exact"/>
              <w:ind w:left="63" w:right="63"/>
              <w:rPr>
                <w:rFonts w:ascii="宋体" w:hAnsi="宋体"/>
                <w:color w:val="auto"/>
                <w:szCs w:val="21"/>
                <w:highlight w:val="none"/>
              </w:rPr>
            </w:pPr>
          </w:p>
        </w:tc>
        <w:tc>
          <w:tcPr>
            <w:tcW w:w="828" w:type="dxa"/>
            <w:vAlign w:val="center"/>
          </w:tcPr>
          <w:p w14:paraId="6CCDFDE2">
            <w:pPr>
              <w:pStyle w:val="138"/>
              <w:spacing w:line="440" w:lineRule="exact"/>
              <w:ind w:left="63" w:right="63"/>
              <w:rPr>
                <w:rFonts w:ascii="宋体" w:hAnsi="宋体"/>
                <w:color w:val="auto"/>
                <w:szCs w:val="21"/>
                <w:highlight w:val="none"/>
              </w:rPr>
            </w:pPr>
          </w:p>
        </w:tc>
        <w:tc>
          <w:tcPr>
            <w:tcW w:w="1016" w:type="dxa"/>
            <w:vAlign w:val="center"/>
          </w:tcPr>
          <w:p w14:paraId="1F5F92EA">
            <w:pPr>
              <w:pStyle w:val="138"/>
              <w:spacing w:line="440" w:lineRule="exact"/>
              <w:ind w:left="63" w:right="63"/>
              <w:rPr>
                <w:rFonts w:ascii="宋体" w:hAnsi="宋体"/>
                <w:color w:val="auto"/>
                <w:szCs w:val="21"/>
                <w:highlight w:val="none"/>
              </w:rPr>
            </w:pPr>
          </w:p>
        </w:tc>
        <w:tc>
          <w:tcPr>
            <w:tcW w:w="965" w:type="dxa"/>
            <w:vAlign w:val="center"/>
          </w:tcPr>
          <w:p w14:paraId="06FB113E">
            <w:pPr>
              <w:pStyle w:val="138"/>
              <w:spacing w:line="440" w:lineRule="exact"/>
              <w:ind w:left="63" w:right="63"/>
              <w:rPr>
                <w:rFonts w:ascii="宋体" w:hAnsi="宋体"/>
                <w:color w:val="auto"/>
                <w:szCs w:val="21"/>
                <w:highlight w:val="none"/>
              </w:rPr>
            </w:pPr>
          </w:p>
        </w:tc>
        <w:tc>
          <w:tcPr>
            <w:tcW w:w="828" w:type="dxa"/>
            <w:vAlign w:val="center"/>
          </w:tcPr>
          <w:p w14:paraId="084718B1">
            <w:pPr>
              <w:pStyle w:val="138"/>
              <w:spacing w:line="440" w:lineRule="exact"/>
              <w:ind w:left="63" w:right="63"/>
              <w:rPr>
                <w:rFonts w:ascii="宋体" w:hAnsi="宋体"/>
                <w:color w:val="auto"/>
                <w:szCs w:val="21"/>
                <w:highlight w:val="none"/>
              </w:rPr>
            </w:pPr>
          </w:p>
        </w:tc>
        <w:tc>
          <w:tcPr>
            <w:tcW w:w="1447" w:type="dxa"/>
            <w:vAlign w:val="center"/>
          </w:tcPr>
          <w:p w14:paraId="55B7089F">
            <w:pPr>
              <w:pStyle w:val="138"/>
              <w:spacing w:line="440" w:lineRule="exact"/>
              <w:ind w:left="63" w:right="63"/>
              <w:rPr>
                <w:rFonts w:ascii="宋体" w:hAnsi="宋体"/>
                <w:color w:val="auto"/>
                <w:szCs w:val="21"/>
                <w:highlight w:val="none"/>
              </w:rPr>
            </w:pPr>
          </w:p>
        </w:tc>
        <w:tc>
          <w:tcPr>
            <w:tcW w:w="965" w:type="dxa"/>
            <w:vAlign w:val="center"/>
          </w:tcPr>
          <w:p w14:paraId="6D75C983">
            <w:pPr>
              <w:pStyle w:val="138"/>
              <w:spacing w:line="440" w:lineRule="exact"/>
              <w:ind w:left="63" w:right="63"/>
              <w:rPr>
                <w:rFonts w:ascii="宋体" w:hAnsi="宋体"/>
                <w:color w:val="auto"/>
                <w:szCs w:val="21"/>
                <w:highlight w:val="none"/>
              </w:rPr>
            </w:pPr>
          </w:p>
        </w:tc>
      </w:tr>
      <w:tr w14:paraId="623844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83" w:hRule="atLeast"/>
          <w:jc w:val="center"/>
        </w:trPr>
        <w:tc>
          <w:tcPr>
            <w:tcW w:w="828" w:type="dxa"/>
            <w:vAlign w:val="center"/>
          </w:tcPr>
          <w:p w14:paraId="06416DFC">
            <w:pPr>
              <w:pStyle w:val="61"/>
              <w:jc w:val="center"/>
              <w:rPr>
                <w:rFonts w:ascii="宋体" w:hAnsi="宋体"/>
                <w:color w:val="auto"/>
                <w:szCs w:val="21"/>
                <w:highlight w:val="none"/>
              </w:rPr>
            </w:pPr>
          </w:p>
        </w:tc>
        <w:tc>
          <w:tcPr>
            <w:tcW w:w="1242" w:type="dxa"/>
            <w:vAlign w:val="center"/>
          </w:tcPr>
          <w:p w14:paraId="78A90AAB">
            <w:pPr>
              <w:pStyle w:val="61"/>
              <w:jc w:val="center"/>
              <w:rPr>
                <w:rFonts w:ascii="宋体" w:hAnsi="宋体"/>
                <w:color w:val="auto"/>
                <w:szCs w:val="21"/>
                <w:highlight w:val="none"/>
              </w:rPr>
            </w:pPr>
          </w:p>
        </w:tc>
        <w:tc>
          <w:tcPr>
            <w:tcW w:w="1380" w:type="dxa"/>
            <w:vAlign w:val="center"/>
          </w:tcPr>
          <w:p w14:paraId="3853D5A4">
            <w:pPr>
              <w:pStyle w:val="61"/>
              <w:jc w:val="center"/>
              <w:rPr>
                <w:rFonts w:ascii="宋体" w:hAnsi="宋体"/>
                <w:color w:val="auto"/>
                <w:szCs w:val="21"/>
                <w:highlight w:val="none"/>
              </w:rPr>
            </w:pPr>
          </w:p>
        </w:tc>
        <w:tc>
          <w:tcPr>
            <w:tcW w:w="915" w:type="dxa"/>
            <w:vAlign w:val="center"/>
          </w:tcPr>
          <w:p w14:paraId="42BEE450">
            <w:pPr>
              <w:pStyle w:val="61"/>
              <w:jc w:val="center"/>
              <w:rPr>
                <w:rFonts w:ascii="宋体" w:hAnsi="宋体"/>
                <w:color w:val="auto"/>
                <w:szCs w:val="21"/>
                <w:highlight w:val="none"/>
              </w:rPr>
            </w:pPr>
          </w:p>
        </w:tc>
        <w:tc>
          <w:tcPr>
            <w:tcW w:w="828" w:type="dxa"/>
            <w:vAlign w:val="center"/>
          </w:tcPr>
          <w:p w14:paraId="5CEEDBC7">
            <w:pPr>
              <w:pStyle w:val="61"/>
              <w:jc w:val="center"/>
              <w:rPr>
                <w:rFonts w:ascii="宋体" w:hAnsi="宋体"/>
                <w:color w:val="auto"/>
                <w:szCs w:val="21"/>
                <w:highlight w:val="none"/>
              </w:rPr>
            </w:pPr>
          </w:p>
        </w:tc>
        <w:tc>
          <w:tcPr>
            <w:tcW w:w="1016" w:type="dxa"/>
            <w:vAlign w:val="center"/>
          </w:tcPr>
          <w:p w14:paraId="111C26DD">
            <w:pPr>
              <w:pStyle w:val="61"/>
              <w:jc w:val="center"/>
              <w:rPr>
                <w:rFonts w:ascii="宋体" w:hAnsi="宋体"/>
                <w:color w:val="auto"/>
                <w:szCs w:val="21"/>
                <w:highlight w:val="none"/>
              </w:rPr>
            </w:pPr>
          </w:p>
        </w:tc>
        <w:tc>
          <w:tcPr>
            <w:tcW w:w="965" w:type="dxa"/>
            <w:vAlign w:val="center"/>
          </w:tcPr>
          <w:p w14:paraId="17EC4B75">
            <w:pPr>
              <w:pStyle w:val="61"/>
              <w:jc w:val="center"/>
              <w:rPr>
                <w:rFonts w:ascii="宋体" w:hAnsi="宋体"/>
                <w:color w:val="auto"/>
                <w:szCs w:val="21"/>
                <w:highlight w:val="none"/>
              </w:rPr>
            </w:pPr>
          </w:p>
        </w:tc>
        <w:tc>
          <w:tcPr>
            <w:tcW w:w="828" w:type="dxa"/>
            <w:vAlign w:val="center"/>
          </w:tcPr>
          <w:p w14:paraId="3BE67C2C">
            <w:pPr>
              <w:pStyle w:val="61"/>
              <w:jc w:val="center"/>
              <w:rPr>
                <w:rFonts w:ascii="宋体" w:hAnsi="宋体"/>
                <w:color w:val="auto"/>
                <w:szCs w:val="21"/>
                <w:highlight w:val="none"/>
              </w:rPr>
            </w:pPr>
          </w:p>
        </w:tc>
        <w:tc>
          <w:tcPr>
            <w:tcW w:w="1447" w:type="dxa"/>
            <w:vAlign w:val="center"/>
          </w:tcPr>
          <w:p w14:paraId="4FB0F188">
            <w:pPr>
              <w:pStyle w:val="61"/>
              <w:jc w:val="center"/>
              <w:rPr>
                <w:rFonts w:ascii="宋体" w:hAnsi="宋体"/>
                <w:color w:val="auto"/>
                <w:szCs w:val="21"/>
                <w:highlight w:val="none"/>
              </w:rPr>
            </w:pPr>
          </w:p>
        </w:tc>
        <w:tc>
          <w:tcPr>
            <w:tcW w:w="965" w:type="dxa"/>
            <w:vAlign w:val="center"/>
          </w:tcPr>
          <w:p w14:paraId="32B2C592">
            <w:pPr>
              <w:pStyle w:val="61"/>
              <w:jc w:val="center"/>
              <w:rPr>
                <w:rFonts w:ascii="宋体" w:hAnsi="宋体"/>
                <w:color w:val="auto"/>
                <w:szCs w:val="21"/>
                <w:highlight w:val="none"/>
              </w:rPr>
            </w:pPr>
          </w:p>
        </w:tc>
      </w:tr>
      <w:tr w14:paraId="635039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83" w:hRule="atLeast"/>
          <w:jc w:val="center"/>
        </w:trPr>
        <w:tc>
          <w:tcPr>
            <w:tcW w:w="828" w:type="dxa"/>
            <w:vAlign w:val="center"/>
          </w:tcPr>
          <w:p w14:paraId="54840BE7">
            <w:pPr>
              <w:pStyle w:val="61"/>
              <w:jc w:val="center"/>
              <w:rPr>
                <w:rFonts w:ascii="宋体" w:hAnsi="宋体"/>
                <w:color w:val="auto"/>
                <w:szCs w:val="21"/>
                <w:highlight w:val="none"/>
              </w:rPr>
            </w:pPr>
          </w:p>
        </w:tc>
        <w:tc>
          <w:tcPr>
            <w:tcW w:w="1242" w:type="dxa"/>
            <w:vAlign w:val="center"/>
          </w:tcPr>
          <w:p w14:paraId="14C01EC1">
            <w:pPr>
              <w:pStyle w:val="61"/>
              <w:jc w:val="center"/>
              <w:rPr>
                <w:rFonts w:ascii="宋体" w:hAnsi="宋体"/>
                <w:color w:val="auto"/>
                <w:szCs w:val="21"/>
                <w:highlight w:val="none"/>
              </w:rPr>
            </w:pPr>
          </w:p>
        </w:tc>
        <w:tc>
          <w:tcPr>
            <w:tcW w:w="1380" w:type="dxa"/>
            <w:vAlign w:val="center"/>
          </w:tcPr>
          <w:p w14:paraId="602A0311">
            <w:pPr>
              <w:pStyle w:val="61"/>
              <w:jc w:val="center"/>
              <w:rPr>
                <w:rFonts w:ascii="宋体" w:hAnsi="宋体"/>
                <w:color w:val="auto"/>
                <w:szCs w:val="21"/>
                <w:highlight w:val="none"/>
              </w:rPr>
            </w:pPr>
          </w:p>
        </w:tc>
        <w:tc>
          <w:tcPr>
            <w:tcW w:w="915" w:type="dxa"/>
            <w:vAlign w:val="center"/>
          </w:tcPr>
          <w:p w14:paraId="09DF24BD">
            <w:pPr>
              <w:pStyle w:val="61"/>
              <w:jc w:val="center"/>
              <w:rPr>
                <w:rFonts w:ascii="宋体" w:hAnsi="宋体"/>
                <w:color w:val="auto"/>
                <w:szCs w:val="21"/>
                <w:highlight w:val="none"/>
              </w:rPr>
            </w:pPr>
          </w:p>
        </w:tc>
        <w:tc>
          <w:tcPr>
            <w:tcW w:w="828" w:type="dxa"/>
            <w:vAlign w:val="center"/>
          </w:tcPr>
          <w:p w14:paraId="54292CAB">
            <w:pPr>
              <w:pStyle w:val="61"/>
              <w:jc w:val="center"/>
              <w:rPr>
                <w:rFonts w:ascii="宋体" w:hAnsi="宋体"/>
                <w:color w:val="auto"/>
                <w:szCs w:val="21"/>
                <w:highlight w:val="none"/>
              </w:rPr>
            </w:pPr>
          </w:p>
        </w:tc>
        <w:tc>
          <w:tcPr>
            <w:tcW w:w="1016" w:type="dxa"/>
            <w:vAlign w:val="center"/>
          </w:tcPr>
          <w:p w14:paraId="152B4169">
            <w:pPr>
              <w:pStyle w:val="61"/>
              <w:jc w:val="center"/>
              <w:rPr>
                <w:rFonts w:ascii="宋体" w:hAnsi="宋体"/>
                <w:color w:val="auto"/>
                <w:szCs w:val="21"/>
                <w:highlight w:val="none"/>
              </w:rPr>
            </w:pPr>
          </w:p>
        </w:tc>
        <w:tc>
          <w:tcPr>
            <w:tcW w:w="965" w:type="dxa"/>
            <w:vAlign w:val="center"/>
          </w:tcPr>
          <w:p w14:paraId="15B0B654">
            <w:pPr>
              <w:pStyle w:val="61"/>
              <w:jc w:val="center"/>
              <w:rPr>
                <w:rFonts w:ascii="宋体" w:hAnsi="宋体"/>
                <w:color w:val="auto"/>
                <w:szCs w:val="21"/>
                <w:highlight w:val="none"/>
              </w:rPr>
            </w:pPr>
          </w:p>
        </w:tc>
        <w:tc>
          <w:tcPr>
            <w:tcW w:w="828" w:type="dxa"/>
            <w:vAlign w:val="center"/>
          </w:tcPr>
          <w:p w14:paraId="18223985">
            <w:pPr>
              <w:pStyle w:val="61"/>
              <w:jc w:val="center"/>
              <w:rPr>
                <w:rFonts w:ascii="宋体" w:hAnsi="宋体"/>
                <w:color w:val="auto"/>
                <w:szCs w:val="21"/>
                <w:highlight w:val="none"/>
              </w:rPr>
            </w:pPr>
          </w:p>
        </w:tc>
        <w:tc>
          <w:tcPr>
            <w:tcW w:w="1447" w:type="dxa"/>
            <w:vAlign w:val="center"/>
          </w:tcPr>
          <w:p w14:paraId="0A82145F">
            <w:pPr>
              <w:pStyle w:val="61"/>
              <w:jc w:val="center"/>
              <w:rPr>
                <w:rFonts w:ascii="宋体" w:hAnsi="宋体"/>
                <w:color w:val="auto"/>
                <w:szCs w:val="21"/>
                <w:highlight w:val="none"/>
              </w:rPr>
            </w:pPr>
          </w:p>
        </w:tc>
        <w:tc>
          <w:tcPr>
            <w:tcW w:w="965" w:type="dxa"/>
            <w:vAlign w:val="center"/>
          </w:tcPr>
          <w:p w14:paraId="7941F0A9">
            <w:pPr>
              <w:pStyle w:val="61"/>
              <w:jc w:val="center"/>
              <w:rPr>
                <w:rFonts w:ascii="宋体" w:hAnsi="宋体"/>
                <w:color w:val="auto"/>
                <w:szCs w:val="21"/>
                <w:highlight w:val="none"/>
              </w:rPr>
            </w:pPr>
          </w:p>
        </w:tc>
      </w:tr>
      <w:tr w14:paraId="59EEEE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83" w:hRule="atLeast"/>
          <w:jc w:val="center"/>
        </w:trPr>
        <w:tc>
          <w:tcPr>
            <w:tcW w:w="828" w:type="dxa"/>
            <w:vAlign w:val="center"/>
          </w:tcPr>
          <w:p w14:paraId="6CFC57E4">
            <w:pPr>
              <w:pStyle w:val="61"/>
              <w:jc w:val="center"/>
              <w:rPr>
                <w:rFonts w:ascii="宋体" w:hAnsi="宋体"/>
                <w:color w:val="auto"/>
                <w:szCs w:val="21"/>
                <w:highlight w:val="none"/>
              </w:rPr>
            </w:pPr>
          </w:p>
        </w:tc>
        <w:tc>
          <w:tcPr>
            <w:tcW w:w="1242" w:type="dxa"/>
            <w:vAlign w:val="center"/>
          </w:tcPr>
          <w:p w14:paraId="235B6040">
            <w:pPr>
              <w:pStyle w:val="61"/>
              <w:jc w:val="center"/>
              <w:rPr>
                <w:rFonts w:ascii="宋体" w:hAnsi="宋体"/>
                <w:color w:val="auto"/>
                <w:szCs w:val="21"/>
                <w:highlight w:val="none"/>
              </w:rPr>
            </w:pPr>
          </w:p>
        </w:tc>
        <w:tc>
          <w:tcPr>
            <w:tcW w:w="1380" w:type="dxa"/>
            <w:vAlign w:val="center"/>
          </w:tcPr>
          <w:p w14:paraId="267FB832">
            <w:pPr>
              <w:pStyle w:val="61"/>
              <w:jc w:val="center"/>
              <w:rPr>
                <w:rFonts w:ascii="宋体" w:hAnsi="宋体"/>
                <w:color w:val="auto"/>
                <w:szCs w:val="21"/>
                <w:highlight w:val="none"/>
              </w:rPr>
            </w:pPr>
          </w:p>
        </w:tc>
        <w:tc>
          <w:tcPr>
            <w:tcW w:w="915" w:type="dxa"/>
            <w:vAlign w:val="center"/>
          </w:tcPr>
          <w:p w14:paraId="56A6EE73">
            <w:pPr>
              <w:pStyle w:val="61"/>
              <w:jc w:val="center"/>
              <w:rPr>
                <w:rFonts w:ascii="宋体" w:hAnsi="宋体"/>
                <w:color w:val="auto"/>
                <w:szCs w:val="21"/>
                <w:highlight w:val="none"/>
              </w:rPr>
            </w:pPr>
          </w:p>
        </w:tc>
        <w:tc>
          <w:tcPr>
            <w:tcW w:w="828" w:type="dxa"/>
            <w:vAlign w:val="center"/>
          </w:tcPr>
          <w:p w14:paraId="2DF1FE1B">
            <w:pPr>
              <w:pStyle w:val="61"/>
              <w:jc w:val="center"/>
              <w:rPr>
                <w:rFonts w:ascii="宋体" w:hAnsi="宋体"/>
                <w:color w:val="auto"/>
                <w:szCs w:val="21"/>
                <w:highlight w:val="none"/>
              </w:rPr>
            </w:pPr>
          </w:p>
        </w:tc>
        <w:tc>
          <w:tcPr>
            <w:tcW w:w="1016" w:type="dxa"/>
            <w:vAlign w:val="center"/>
          </w:tcPr>
          <w:p w14:paraId="2A9478C2">
            <w:pPr>
              <w:pStyle w:val="61"/>
              <w:jc w:val="center"/>
              <w:rPr>
                <w:rFonts w:ascii="宋体" w:hAnsi="宋体"/>
                <w:color w:val="auto"/>
                <w:szCs w:val="21"/>
                <w:highlight w:val="none"/>
              </w:rPr>
            </w:pPr>
          </w:p>
        </w:tc>
        <w:tc>
          <w:tcPr>
            <w:tcW w:w="965" w:type="dxa"/>
            <w:vAlign w:val="center"/>
          </w:tcPr>
          <w:p w14:paraId="56219B9A">
            <w:pPr>
              <w:pStyle w:val="61"/>
              <w:jc w:val="center"/>
              <w:rPr>
                <w:rFonts w:ascii="宋体" w:hAnsi="宋体"/>
                <w:color w:val="auto"/>
                <w:szCs w:val="21"/>
                <w:highlight w:val="none"/>
              </w:rPr>
            </w:pPr>
          </w:p>
        </w:tc>
        <w:tc>
          <w:tcPr>
            <w:tcW w:w="828" w:type="dxa"/>
            <w:vAlign w:val="center"/>
          </w:tcPr>
          <w:p w14:paraId="09EF0C14">
            <w:pPr>
              <w:pStyle w:val="61"/>
              <w:jc w:val="center"/>
              <w:rPr>
                <w:rFonts w:ascii="宋体" w:hAnsi="宋体"/>
                <w:color w:val="auto"/>
                <w:szCs w:val="21"/>
                <w:highlight w:val="none"/>
              </w:rPr>
            </w:pPr>
          </w:p>
        </w:tc>
        <w:tc>
          <w:tcPr>
            <w:tcW w:w="1447" w:type="dxa"/>
            <w:vAlign w:val="center"/>
          </w:tcPr>
          <w:p w14:paraId="261471C4">
            <w:pPr>
              <w:pStyle w:val="61"/>
              <w:jc w:val="center"/>
              <w:rPr>
                <w:rFonts w:ascii="宋体" w:hAnsi="宋体"/>
                <w:color w:val="auto"/>
                <w:szCs w:val="21"/>
                <w:highlight w:val="none"/>
              </w:rPr>
            </w:pPr>
          </w:p>
        </w:tc>
        <w:tc>
          <w:tcPr>
            <w:tcW w:w="965" w:type="dxa"/>
            <w:vAlign w:val="center"/>
          </w:tcPr>
          <w:p w14:paraId="13257FED">
            <w:pPr>
              <w:pStyle w:val="61"/>
              <w:jc w:val="center"/>
              <w:rPr>
                <w:rFonts w:ascii="宋体" w:hAnsi="宋体"/>
                <w:color w:val="auto"/>
                <w:szCs w:val="21"/>
                <w:highlight w:val="none"/>
              </w:rPr>
            </w:pPr>
          </w:p>
        </w:tc>
      </w:tr>
      <w:tr w14:paraId="25591C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83" w:hRule="atLeast"/>
          <w:jc w:val="center"/>
        </w:trPr>
        <w:tc>
          <w:tcPr>
            <w:tcW w:w="828" w:type="dxa"/>
            <w:vAlign w:val="center"/>
          </w:tcPr>
          <w:p w14:paraId="4D8FB182">
            <w:pPr>
              <w:pStyle w:val="61"/>
              <w:jc w:val="center"/>
              <w:rPr>
                <w:rFonts w:ascii="宋体" w:hAnsi="宋体"/>
                <w:color w:val="auto"/>
                <w:szCs w:val="21"/>
                <w:highlight w:val="none"/>
              </w:rPr>
            </w:pPr>
          </w:p>
        </w:tc>
        <w:tc>
          <w:tcPr>
            <w:tcW w:w="1242" w:type="dxa"/>
            <w:vAlign w:val="center"/>
          </w:tcPr>
          <w:p w14:paraId="44D11116">
            <w:pPr>
              <w:pStyle w:val="61"/>
              <w:jc w:val="center"/>
              <w:rPr>
                <w:rFonts w:ascii="宋体" w:hAnsi="宋体"/>
                <w:color w:val="auto"/>
                <w:szCs w:val="21"/>
                <w:highlight w:val="none"/>
              </w:rPr>
            </w:pPr>
          </w:p>
        </w:tc>
        <w:tc>
          <w:tcPr>
            <w:tcW w:w="1380" w:type="dxa"/>
            <w:vAlign w:val="center"/>
          </w:tcPr>
          <w:p w14:paraId="632763D9">
            <w:pPr>
              <w:pStyle w:val="61"/>
              <w:jc w:val="center"/>
              <w:rPr>
                <w:rFonts w:ascii="宋体" w:hAnsi="宋体"/>
                <w:color w:val="auto"/>
                <w:szCs w:val="21"/>
                <w:highlight w:val="none"/>
              </w:rPr>
            </w:pPr>
          </w:p>
        </w:tc>
        <w:tc>
          <w:tcPr>
            <w:tcW w:w="915" w:type="dxa"/>
            <w:vAlign w:val="center"/>
          </w:tcPr>
          <w:p w14:paraId="50835748">
            <w:pPr>
              <w:pStyle w:val="61"/>
              <w:jc w:val="center"/>
              <w:rPr>
                <w:rFonts w:ascii="宋体" w:hAnsi="宋体"/>
                <w:color w:val="auto"/>
                <w:szCs w:val="21"/>
                <w:highlight w:val="none"/>
              </w:rPr>
            </w:pPr>
          </w:p>
        </w:tc>
        <w:tc>
          <w:tcPr>
            <w:tcW w:w="828" w:type="dxa"/>
            <w:vAlign w:val="center"/>
          </w:tcPr>
          <w:p w14:paraId="26788B3E">
            <w:pPr>
              <w:pStyle w:val="61"/>
              <w:jc w:val="center"/>
              <w:rPr>
                <w:rFonts w:ascii="宋体" w:hAnsi="宋体"/>
                <w:color w:val="auto"/>
                <w:szCs w:val="21"/>
                <w:highlight w:val="none"/>
              </w:rPr>
            </w:pPr>
          </w:p>
        </w:tc>
        <w:tc>
          <w:tcPr>
            <w:tcW w:w="1016" w:type="dxa"/>
            <w:vAlign w:val="center"/>
          </w:tcPr>
          <w:p w14:paraId="20D75C6D">
            <w:pPr>
              <w:pStyle w:val="61"/>
              <w:jc w:val="center"/>
              <w:rPr>
                <w:rFonts w:ascii="宋体" w:hAnsi="宋体"/>
                <w:color w:val="auto"/>
                <w:szCs w:val="21"/>
                <w:highlight w:val="none"/>
              </w:rPr>
            </w:pPr>
          </w:p>
        </w:tc>
        <w:tc>
          <w:tcPr>
            <w:tcW w:w="965" w:type="dxa"/>
            <w:vAlign w:val="center"/>
          </w:tcPr>
          <w:p w14:paraId="7CAC95A7">
            <w:pPr>
              <w:pStyle w:val="61"/>
              <w:jc w:val="center"/>
              <w:rPr>
                <w:rFonts w:ascii="宋体" w:hAnsi="宋体"/>
                <w:color w:val="auto"/>
                <w:szCs w:val="21"/>
                <w:highlight w:val="none"/>
              </w:rPr>
            </w:pPr>
          </w:p>
        </w:tc>
        <w:tc>
          <w:tcPr>
            <w:tcW w:w="828" w:type="dxa"/>
            <w:vAlign w:val="center"/>
          </w:tcPr>
          <w:p w14:paraId="44F6FB0A">
            <w:pPr>
              <w:pStyle w:val="61"/>
              <w:jc w:val="center"/>
              <w:rPr>
                <w:rFonts w:ascii="宋体" w:hAnsi="宋体"/>
                <w:color w:val="auto"/>
                <w:szCs w:val="21"/>
                <w:highlight w:val="none"/>
              </w:rPr>
            </w:pPr>
          </w:p>
        </w:tc>
        <w:tc>
          <w:tcPr>
            <w:tcW w:w="1447" w:type="dxa"/>
            <w:vAlign w:val="center"/>
          </w:tcPr>
          <w:p w14:paraId="7FAC40E2">
            <w:pPr>
              <w:pStyle w:val="61"/>
              <w:jc w:val="center"/>
              <w:rPr>
                <w:rFonts w:ascii="宋体" w:hAnsi="宋体"/>
                <w:color w:val="auto"/>
                <w:szCs w:val="21"/>
                <w:highlight w:val="none"/>
              </w:rPr>
            </w:pPr>
          </w:p>
        </w:tc>
        <w:tc>
          <w:tcPr>
            <w:tcW w:w="965" w:type="dxa"/>
            <w:vAlign w:val="center"/>
          </w:tcPr>
          <w:p w14:paraId="33F17D8D">
            <w:pPr>
              <w:pStyle w:val="61"/>
              <w:jc w:val="center"/>
              <w:rPr>
                <w:rFonts w:ascii="宋体" w:hAnsi="宋体"/>
                <w:color w:val="auto"/>
                <w:szCs w:val="21"/>
                <w:highlight w:val="none"/>
              </w:rPr>
            </w:pPr>
          </w:p>
        </w:tc>
      </w:tr>
      <w:tr w14:paraId="72D664D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83" w:hRule="atLeast"/>
          <w:jc w:val="center"/>
        </w:trPr>
        <w:tc>
          <w:tcPr>
            <w:tcW w:w="828" w:type="dxa"/>
            <w:vAlign w:val="center"/>
          </w:tcPr>
          <w:p w14:paraId="295FD23A">
            <w:pPr>
              <w:pStyle w:val="61"/>
              <w:jc w:val="center"/>
              <w:rPr>
                <w:rFonts w:ascii="宋体" w:hAnsi="宋体"/>
                <w:color w:val="auto"/>
                <w:szCs w:val="21"/>
                <w:highlight w:val="none"/>
              </w:rPr>
            </w:pPr>
          </w:p>
        </w:tc>
        <w:tc>
          <w:tcPr>
            <w:tcW w:w="1242" w:type="dxa"/>
            <w:vAlign w:val="center"/>
          </w:tcPr>
          <w:p w14:paraId="680ACB83">
            <w:pPr>
              <w:pStyle w:val="61"/>
              <w:jc w:val="center"/>
              <w:rPr>
                <w:rFonts w:ascii="宋体" w:hAnsi="宋体"/>
                <w:color w:val="auto"/>
                <w:szCs w:val="21"/>
                <w:highlight w:val="none"/>
              </w:rPr>
            </w:pPr>
          </w:p>
        </w:tc>
        <w:tc>
          <w:tcPr>
            <w:tcW w:w="1380" w:type="dxa"/>
            <w:vAlign w:val="center"/>
          </w:tcPr>
          <w:p w14:paraId="2BA8297B">
            <w:pPr>
              <w:pStyle w:val="61"/>
              <w:jc w:val="center"/>
              <w:rPr>
                <w:rFonts w:ascii="宋体" w:hAnsi="宋体"/>
                <w:color w:val="auto"/>
                <w:szCs w:val="21"/>
                <w:highlight w:val="none"/>
              </w:rPr>
            </w:pPr>
          </w:p>
        </w:tc>
        <w:tc>
          <w:tcPr>
            <w:tcW w:w="915" w:type="dxa"/>
            <w:vAlign w:val="center"/>
          </w:tcPr>
          <w:p w14:paraId="06B81FA0">
            <w:pPr>
              <w:pStyle w:val="61"/>
              <w:jc w:val="center"/>
              <w:rPr>
                <w:rFonts w:ascii="宋体" w:hAnsi="宋体"/>
                <w:color w:val="auto"/>
                <w:szCs w:val="21"/>
                <w:highlight w:val="none"/>
              </w:rPr>
            </w:pPr>
          </w:p>
        </w:tc>
        <w:tc>
          <w:tcPr>
            <w:tcW w:w="828" w:type="dxa"/>
            <w:vAlign w:val="center"/>
          </w:tcPr>
          <w:p w14:paraId="35932E3F">
            <w:pPr>
              <w:pStyle w:val="61"/>
              <w:jc w:val="center"/>
              <w:rPr>
                <w:rFonts w:ascii="宋体" w:hAnsi="宋体"/>
                <w:color w:val="auto"/>
                <w:szCs w:val="21"/>
                <w:highlight w:val="none"/>
              </w:rPr>
            </w:pPr>
          </w:p>
        </w:tc>
        <w:tc>
          <w:tcPr>
            <w:tcW w:w="1016" w:type="dxa"/>
            <w:vAlign w:val="center"/>
          </w:tcPr>
          <w:p w14:paraId="794E3772">
            <w:pPr>
              <w:pStyle w:val="61"/>
              <w:jc w:val="center"/>
              <w:rPr>
                <w:rFonts w:ascii="宋体" w:hAnsi="宋体"/>
                <w:color w:val="auto"/>
                <w:szCs w:val="21"/>
                <w:highlight w:val="none"/>
              </w:rPr>
            </w:pPr>
          </w:p>
        </w:tc>
        <w:tc>
          <w:tcPr>
            <w:tcW w:w="965" w:type="dxa"/>
            <w:vAlign w:val="center"/>
          </w:tcPr>
          <w:p w14:paraId="33BF2DA1">
            <w:pPr>
              <w:pStyle w:val="61"/>
              <w:jc w:val="center"/>
              <w:rPr>
                <w:rFonts w:ascii="宋体" w:hAnsi="宋体"/>
                <w:color w:val="auto"/>
                <w:szCs w:val="21"/>
                <w:highlight w:val="none"/>
              </w:rPr>
            </w:pPr>
          </w:p>
        </w:tc>
        <w:tc>
          <w:tcPr>
            <w:tcW w:w="828" w:type="dxa"/>
            <w:vAlign w:val="center"/>
          </w:tcPr>
          <w:p w14:paraId="50FA6D6F">
            <w:pPr>
              <w:pStyle w:val="61"/>
              <w:jc w:val="center"/>
              <w:rPr>
                <w:rFonts w:ascii="宋体" w:hAnsi="宋体"/>
                <w:color w:val="auto"/>
                <w:szCs w:val="21"/>
                <w:highlight w:val="none"/>
              </w:rPr>
            </w:pPr>
          </w:p>
        </w:tc>
        <w:tc>
          <w:tcPr>
            <w:tcW w:w="1447" w:type="dxa"/>
            <w:vAlign w:val="center"/>
          </w:tcPr>
          <w:p w14:paraId="6B5EA76A">
            <w:pPr>
              <w:pStyle w:val="61"/>
              <w:jc w:val="center"/>
              <w:rPr>
                <w:rFonts w:ascii="宋体" w:hAnsi="宋体"/>
                <w:color w:val="auto"/>
                <w:szCs w:val="21"/>
                <w:highlight w:val="none"/>
              </w:rPr>
            </w:pPr>
          </w:p>
        </w:tc>
        <w:tc>
          <w:tcPr>
            <w:tcW w:w="965" w:type="dxa"/>
            <w:vAlign w:val="center"/>
          </w:tcPr>
          <w:p w14:paraId="20D93A49">
            <w:pPr>
              <w:pStyle w:val="61"/>
              <w:jc w:val="center"/>
              <w:rPr>
                <w:rFonts w:ascii="宋体" w:hAnsi="宋体"/>
                <w:color w:val="auto"/>
                <w:szCs w:val="21"/>
                <w:highlight w:val="none"/>
              </w:rPr>
            </w:pPr>
          </w:p>
        </w:tc>
      </w:tr>
      <w:tr w14:paraId="30F392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83" w:hRule="atLeast"/>
          <w:jc w:val="center"/>
        </w:trPr>
        <w:tc>
          <w:tcPr>
            <w:tcW w:w="828" w:type="dxa"/>
            <w:vAlign w:val="center"/>
          </w:tcPr>
          <w:p w14:paraId="09E8F5EF">
            <w:pPr>
              <w:pStyle w:val="61"/>
              <w:jc w:val="center"/>
              <w:rPr>
                <w:rFonts w:ascii="宋体" w:hAnsi="宋体"/>
                <w:color w:val="auto"/>
                <w:szCs w:val="21"/>
                <w:highlight w:val="none"/>
              </w:rPr>
            </w:pPr>
          </w:p>
        </w:tc>
        <w:tc>
          <w:tcPr>
            <w:tcW w:w="1242" w:type="dxa"/>
            <w:vAlign w:val="center"/>
          </w:tcPr>
          <w:p w14:paraId="08BED01B">
            <w:pPr>
              <w:pStyle w:val="61"/>
              <w:jc w:val="center"/>
              <w:rPr>
                <w:rFonts w:ascii="宋体" w:hAnsi="宋体"/>
                <w:color w:val="auto"/>
                <w:szCs w:val="21"/>
                <w:highlight w:val="none"/>
              </w:rPr>
            </w:pPr>
          </w:p>
        </w:tc>
        <w:tc>
          <w:tcPr>
            <w:tcW w:w="1380" w:type="dxa"/>
            <w:vAlign w:val="center"/>
          </w:tcPr>
          <w:p w14:paraId="7DD7AB77">
            <w:pPr>
              <w:pStyle w:val="61"/>
              <w:jc w:val="center"/>
              <w:rPr>
                <w:rFonts w:ascii="宋体" w:hAnsi="宋体"/>
                <w:color w:val="auto"/>
                <w:szCs w:val="21"/>
                <w:highlight w:val="none"/>
              </w:rPr>
            </w:pPr>
          </w:p>
        </w:tc>
        <w:tc>
          <w:tcPr>
            <w:tcW w:w="915" w:type="dxa"/>
            <w:vAlign w:val="center"/>
          </w:tcPr>
          <w:p w14:paraId="7F6C5F30">
            <w:pPr>
              <w:pStyle w:val="61"/>
              <w:jc w:val="center"/>
              <w:rPr>
                <w:rFonts w:ascii="宋体" w:hAnsi="宋体"/>
                <w:color w:val="auto"/>
                <w:szCs w:val="21"/>
                <w:highlight w:val="none"/>
              </w:rPr>
            </w:pPr>
          </w:p>
        </w:tc>
        <w:tc>
          <w:tcPr>
            <w:tcW w:w="828" w:type="dxa"/>
            <w:vAlign w:val="center"/>
          </w:tcPr>
          <w:p w14:paraId="60FC54F7">
            <w:pPr>
              <w:pStyle w:val="61"/>
              <w:jc w:val="center"/>
              <w:rPr>
                <w:rFonts w:ascii="宋体" w:hAnsi="宋体"/>
                <w:color w:val="auto"/>
                <w:szCs w:val="21"/>
                <w:highlight w:val="none"/>
              </w:rPr>
            </w:pPr>
          </w:p>
        </w:tc>
        <w:tc>
          <w:tcPr>
            <w:tcW w:w="1016" w:type="dxa"/>
            <w:vAlign w:val="center"/>
          </w:tcPr>
          <w:p w14:paraId="6363B883">
            <w:pPr>
              <w:pStyle w:val="61"/>
              <w:jc w:val="center"/>
              <w:rPr>
                <w:rFonts w:ascii="宋体" w:hAnsi="宋体"/>
                <w:color w:val="auto"/>
                <w:szCs w:val="21"/>
                <w:highlight w:val="none"/>
              </w:rPr>
            </w:pPr>
          </w:p>
        </w:tc>
        <w:tc>
          <w:tcPr>
            <w:tcW w:w="965" w:type="dxa"/>
            <w:vAlign w:val="center"/>
          </w:tcPr>
          <w:p w14:paraId="4C1003DD">
            <w:pPr>
              <w:pStyle w:val="61"/>
              <w:jc w:val="center"/>
              <w:rPr>
                <w:rFonts w:ascii="宋体" w:hAnsi="宋体"/>
                <w:color w:val="auto"/>
                <w:szCs w:val="21"/>
                <w:highlight w:val="none"/>
              </w:rPr>
            </w:pPr>
          </w:p>
        </w:tc>
        <w:tc>
          <w:tcPr>
            <w:tcW w:w="828" w:type="dxa"/>
            <w:vAlign w:val="center"/>
          </w:tcPr>
          <w:p w14:paraId="45AEE807">
            <w:pPr>
              <w:pStyle w:val="61"/>
              <w:jc w:val="center"/>
              <w:rPr>
                <w:rFonts w:ascii="宋体" w:hAnsi="宋体"/>
                <w:color w:val="auto"/>
                <w:szCs w:val="21"/>
                <w:highlight w:val="none"/>
              </w:rPr>
            </w:pPr>
          </w:p>
        </w:tc>
        <w:tc>
          <w:tcPr>
            <w:tcW w:w="1447" w:type="dxa"/>
            <w:vAlign w:val="center"/>
          </w:tcPr>
          <w:p w14:paraId="7F4C8694">
            <w:pPr>
              <w:pStyle w:val="61"/>
              <w:jc w:val="center"/>
              <w:rPr>
                <w:rFonts w:ascii="宋体" w:hAnsi="宋体"/>
                <w:color w:val="auto"/>
                <w:szCs w:val="21"/>
                <w:highlight w:val="none"/>
              </w:rPr>
            </w:pPr>
          </w:p>
        </w:tc>
        <w:tc>
          <w:tcPr>
            <w:tcW w:w="965" w:type="dxa"/>
            <w:vAlign w:val="center"/>
          </w:tcPr>
          <w:p w14:paraId="57F9CF6D">
            <w:pPr>
              <w:pStyle w:val="61"/>
              <w:jc w:val="center"/>
              <w:rPr>
                <w:rFonts w:ascii="宋体" w:hAnsi="宋体"/>
                <w:color w:val="auto"/>
                <w:szCs w:val="21"/>
                <w:highlight w:val="none"/>
              </w:rPr>
            </w:pPr>
          </w:p>
        </w:tc>
      </w:tr>
      <w:tr w14:paraId="26567B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83" w:hRule="atLeast"/>
          <w:jc w:val="center"/>
        </w:trPr>
        <w:tc>
          <w:tcPr>
            <w:tcW w:w="828" w:type="dxa"/>
            <w:vAlign w:val="center"/>
          </w:tcPr>
          <w:p w14:paraId="088E2836">
            <w:pPr>
              <w:pStyle w:val="61"/>
              <w:jc w:val="center"/>
              <w:rPr>
                <w:rFonts w:ascii="宋体" w:hAnsi="宋体"/>
                <w:color w:val="auto"/>
                <w:szCs w:val="21"/>
                <w:highlight w:val="none"/>
              </w:rPr>
            </w:pPr>
          </w:p>
        </w:tc>
        <w:tc>
          <w:tcPr>
            <w:tcW w:w="1242" w:type="dxa"/>
            <w:vAlign w:val="center"/>
          </w:tcPr>
          <w:p w14:paraId="1059A8AF">
            <w:pPr>
              <w:pStyle w:val="61"/>
              <w:jc w:val="center"/>
              <w:rPr>
                <w:rFonts w:ascii="宋体" w:hAnsi="宋体"/>
                <w:color w:val="auto"/>
                <w:szCs w:val="21"/>
                <w:highlight w:val="none"/>
              </w:rPr>
            </w:pPr>
          </w:p>
        </w:tc>
        <w:tc>
          <w:tcPr>
            <w:tcW w:w="1380" w:type="dxa"/>
            <w:vAlign w:val="center"/>
          </w:tcPr>
          <w:p w14:paraId="69F084CC">
            <w:pPr>
              <w:pStyle w:val="61"/>
              <w:jc w:val="center"/>
              <w:rPr>
                <w:rFonts w:ascii="宋体" w:hAnsi="宋体"/>
                <w:color w:val="auto"/>
                <w:szCs w:val="21"/>
                <w:highlight w:val="none"/>
              </w:rPr>
            </w:pPr>
          </w:p>
        </w:tc>
        <w:tc>
          <w:tcPr>
            <w:tcW w:w="915" w:type="dxa"/>
            <w:vAlign w:val="center"/>
          </w:tcPr>
          <w:p w14:paraId="46C11576">
            <w:pPr>
              <w:pStyle w:val="61"/>
              <w:jc w:val="center"/>
              <w:rPr>
                <w:rFonts w:ascii="宋体" w:hAnsi="宋体"/>
                <w:color w:val="auto"/>
                <w:szCs w:val="21"/>
                <w:highlight w:val="none"/>
              </w:rPr>
            </w:pPr>
          </w:p>
        </w:tc>
        <w:tc>
          <w:tcPr>
            <w:tcW w:w="828" w:type="dxa"/>
            <w:vAlign w:val="center"/>
          </w:tcPr>
          <w:p w14:paraId="2129F658">
            <w:pPr>
              <w:pStyle w:val="61"/>
              <w:jc w:val="center"/>
              <w:rPr>
                <w:rFonts w:ascii="宋体" w:hAnsi="宋体"/>
                <w:color w:val="auto"/>
                <w:szCs w:val="21"/>
                <w:highlight w:val="none"/>
              </w:rPr>
            </w:pPr>
          </w:p>
        </w:tc>
        <w:tc>
          <w:tcPr>
            <w:tcW w:w="1016" w:type="dxa"/>
            <w:vAlign w:val="center"/>
          </w:tcPr>
          <w:p w14:paraId="2BDFBA66">
            <w:pPr>
              <w:pStyle w:val="61"/>
              <w:jc w:val="center"/>
              <w:rPr>
                <w:rFonts w:ascii="宋体" w:hAnsi="宋体"/>
                <w:color w:val="auto"/>
                <w:szCs w:val="21"/>
                <w:highlight w:val="none"/>
              </w:rPr>
            </w:pPr>
          </w:p>
        </w:tc>
        <w:tc>
          <w:tcPr>
            <w:tcW w:w="965" w:type="dxa"/>
            <w:vAlign w:val="center"/>
          </w:tcPr>
          <w:p w14:paraId="1B98F0A8">
            <w:pPr>
              <w:pStyle w:val="61"/>
              <w:jc w:val="center"/>
              <w:rPr>
                <w:rFonts w:ascii="宋体" w:hAnsi="宋体"/>
                <w:color w:val="auto"/>
                <w:szCs w:val="21"/>
                <w:highlight w:val="none"/>
              </w:rPr>
            </w:pPr>
          </w:p>
        </w:tc>
        <w:tc>
          <w:tcPr>
            <w:tcW w:w="828" w:type="dxa"/>
            <w:vAlign w:val="center"/>
          </w:tcPr>
          <w:p w14:paraId="06FC5474">
            <w:pPr>
              <w:pStyle w:val="61"/>
              <w:jc w:val="center"/>
              <w:rPr>
                <w:rFonts w:ascii="宋体" w:hAnsi="宋体"/>
                <w:color w:val="auto"/>
                <w:szCs w:val="21"/>
                <w:highlight w:val="none"/>
              </w:rPr>
            </w:pPr>
          </w:p>
        </w:tc>
        <w:tc>
          <w:tcPr>
            <w:tcW w:w="1447" w:type="dxa"/>
            <w:vAlign w:val="center"/>
          </w:tcPr>
          <w:p w14:paraId="788846CF">
            <w:pPr>
              <w:pStyle w:val="61"/>
              <w:jc w:val="center"/>
              <w:rPr>
                <w:rFonts w:ascii="宋体" w:hAnsi="宋体"/>
                <w:color w:val="auto"/>
                <w:szCs w:val="21"/>
                <w:highlight w:val="none"/>
              </w:rPr>
            </w:pPr>
          </w:p>
        </w:tc>
        <w:tc>
          <w:tcPr>
            <w:tcW w:w="965" w:type="dxa"/>
            <w:vAlign w:val="center"/>
          </w:tcPr>
          <w:p w14:paraId="09F8F28E">
            <w:pPr>
              <w:pStyle w:val="61"/>
              <w:jc w:val="center"/>
              <w:rPr>
                <w:rFonts w:ascii="宋体" w:hAnsi="宋体"/>
                <w:color w:val="auto"/>
                <w:szCs w:val="21"/>
                <w:highlight w:val="none"/>
              </w:rPr>
            </w:pPr>
          </w:p>
        </w:tc>
      </w:tr>
      <w:tr w14:paraId="45EDDDD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13" w:hRule="atLeast"/>
          <w:jc w:val="center"/>
        </w:trPr>
        <w:tc>
          <w:tcPr>
            <w:tcW w:w="828" w:type="dxa"/>
            <w:vAlign w:val="center"/>
          </w:tcPr>
          <w:p w14:paraId="63363014">
            <w:pPr>
              <w:pStyle w:val="61"/>
              <w:jc w:val="center"/>
              <w:rPr>
                <w:rFonts w:ascii="宋体" w:hAnsi="宋体"/>
                <w:color w:val="auto"/>
                <w:szCs w:val="21"/>
                <w:highlight w:val="none"/>
              </w:rPr>
            </w:pPr>
          </w:p>
        </w:tc>
        <w:tc>
          <w:tcPr>
            <w:tcW w:w="1242" w:type="dxa"/>
            <w:vAlign w:val="center"/>
          </w:tcPr>
          <w:p w14:paraId="01544B1C">
            <w:pPr>
              <w:pStyle w:val="61"/>
              <w:jc w:val="center"/>
              <w:rPr>
                <w:rFonts w:ascii="宋体" w:hAnsi="宋体"/>
                <w:color w:val="auto"/>
                <w:szCs w:val="21"/>
                <w:highlight w:val="none"/>
              </w:rPr>
            </w:pPr>
          </w:p>
        </w:tc>
        <w:tc>
          <w:tcPr>
            <w:tcW w:w="1380" w:type="dxa"/>
            <w:vAlign w:val="center"/>
          </w:tcPr>
          <w:p w14:paraId="3C7B9FFF">
            <w:pPr>
              <w:pStyle w:val="61"/>
              <w:jc w:val="center"/>
              <w:rPr>
                <w:rFonts w:ascii="宋体" w:hAnsi="宋体"/>
                <w:color w:val="auto"/>
                <w:szCs w:val="21"/>
                <w:highlight w:val="none"/>
              </w:rPr>
            </w:pPr>
          </w:p>
        </w:tc>
        <w:tc>
          <w:tcPr>
            <w:tcW w:w="915" w:type="dxa"/>
            <w:vAlign w:val="center"/>
          </w:tcPr>
          <w:p w14:paraId="162124AB">
            <w:pPr>
              <w:pStyle w:val="61"/>
              <w:jc w:val="center"/>
              <w:rPr>
                <w:rFonts w:ascii="宋体" w:hAnsi="宋体"/>
                <w:color w:val="auto"/>
                <w:szCs w:val="21"/>
                <w:highlight w:val="none"/>
              </w:rPr>
            </w:pPr>
          </w:p>
        </w:tc>
        <w:tc>
          <w:tcPr>
            <w:tcW w:w="828" w:type="dxa"/>
            <w:vAlign w:val="center"/>
          </w:tcPr>
          <w:p w14:paraId="0035CF9B">
            <w:pPr>
              <w:pStyle w:val="61"/>
              <w:jc w:val="center"/>
              <w:rPr>
                <w:rFonts w:ascii="宋体" w:hAnsi="宋体"/>
                <w:color w:val="auto"/>
                <w:szCs w:val="21"/>
                <w:highlight w:val="none"/>
              </w:rPr>
            </w:pPr>
          </w:p>
        </w:tc>
        <w:tc>
          <w:tcPr>
            <w:tcW w:w="1016" w:type="dxa"/>
            <w:vAlign w:val="center"/>
          </w:tcPr>
          <w:p w14:paraId="02A1AF19">
            <w:pPr>
              <w:pStyle w:val="61"/>
              <w:jc w:val="center"/>
              <w:rPr>
                <w:rFonts w:ascii="宋体" w:hAnsi="宋体"/>
                <w:color w:val="auto"/>
                <w:szCs w:val="21"/>
                <w:highlight w:val="none"/>
              </w:rPr>
            </w:pPr>
          </w:p>
        </w:tc>
        <w:tc>
          <w:tcPr>
            <w:tcW w:w="965" w:type="dxa"/>
            <w:vAlign w:val="center"/>
          </w:tcPr>
          <w:p w14:paraId="5143D2C4">
            <w:pPr>
              <w:pStyle w:val="61"/>
              <w:jc w:val="center"/>
              <w:rPr>
                <w:rFonts w:ascii="宋体" w:hAnsi="宋体"/>
                <w:color w:val="auto"/>
                <w:szCs w:val="21"/>
                <w:highlight w:val="none"/>
              </w:rPr>
            </w:pPr>
          </w:p>
        </w:tc>
        <w:tc>
          <w:tcPr>
            <w:tcW w:w="828" w:type="dxa"/>
            <w:vAlign w:val="center"/>
          </w:tcPr>
          <w:p w14:paraId="3B117BF7">
            <w:pPr>
              <w:pStyle w:val="61"/>
              <w:jc w:val="center"/>
              <w:rPr>
                <w:rFonts w:ascii="宋体" w:hAnsi="宋体"/>
                <w:color w:val="auto"/>
                <w:szCs w:val="21"/>
                <w:highlight w:val="none"/>
              </w:rPr>
            </w:pPr>
          </w:p>
        </w:tc>
        <w:tc>
          <w:tcPr>
            <w:tcW w:w="1447" w:type="dxa"/>
            <w:vAlign w:val="center"/>
          </w:tcPr>
          <w:p w14:paraId="5F5ACD32">
            <w:pPr>
              <w:pStyle w:val="61"/>
              <w:jc w:val="center"/>
              <w:rPr>
                <w:rFonts w:ascii="宋体" w:hAnsi="宋体"/>
                <w:color w:val="auto"/>
                <w:szCs w:val="21"/>
                <w:highlight w:val="none"/>
              </w:rPr>
            </w:pPr>
          </w:p>
        </w:tc>
        <w:tc>
          <w:tcPr>
            <w:tcW w:w="965" w:type="dxa"/>
            <w:vAlign w:val="center"/>
          </w:tcPr>
          <w:p w14:paraId="717139BC">
            <w:pPr>
              <w:pStyle w:val="61"/>
              <w:jc w:val="center"/>
              <w:rPr>
                <w:rFonts w:ascii="宋体" w:hAnsi="宋体"/>
                <w:color w:val="auto"/>
                <w:szCs w:val="21"/>
                <w:highlight w:val="none"/>
              </w:rPr>
            </w:pPr>
          </w:p>
        </w:tc>
      </w:tr>
    </w:tbl>
    <w:p w14:paraId="2733E13A">
      <w:pPr>
        <w:pStyle w:val="61"/>
        <w:spacing w:line="440" w:lineRule="exact"/>
        <w:rPr>
          <w:rFonts w:ascii="宋体" w:hAnsi="宋体"/>
          <w:color w:val="auto"/>
          <w:szCs w:val="21"/>
          <w:highlight w:val="none"/>
        </w:rPr>
      </w:pPr>
    </w:p>
    <w:p w14:paraId="314747AD">
      <w:pPr>
        <w:pStyle w:val="61"/>
        <w:spacing w:line="440" w:lineRule="exact"/>
        <w:rPr>
          <w:rFonts w:ascii="宋体" w:hAnsi="宋体"/>
          <w:color w:val="auto"/>
          <w:szCs w:val="21"/>
          <w:highlight w:val="none"/>
        </w:rPr>
      </w:pPr>
    </w:p>
    <w:p w14:paraId="19822789">
      <w:pPr>
        <w:pStyle w:val="61"/>
        <w:spacing w:line="440" w:lineRule="exact"/>
        <w:rPr>
          <w:rFonts w:hint="eastAsia" w:ascii="宋体" w:hAnsi="宋体"/>
          <w:b/>
          <w:bCs/>
          <w:color w:val="auto"/>
          <w:sz w:val="24"/>
          <w:szCs w:val="24"/>
          <w:highlight w:val="none"/>
        </w:rPr>
      </w:pPr>
      <w:bookmarkStart w:id="978" w:name="_Toc296944565"/>
      <w:bookmarkEnd w:id="978"/>
      <w:bookmarkStart w:id="979" w:name="_Toc296347225"/>
      <w:bookmarkEnd w:id="979"/>
      <w:bookmarkStart w:id="980" w:name="_Toc267261693"/>
      <w:bookmarkEnd w:id="980"/>
      <w:bookmarkStart w:id="981" w:name="_Toc296891266"/>
      <w:bookmarkEnd w:id="981"/>
      <w:bookmarkStart w:id="982" w:name="_Toc296503226"/>
      <w:bookmarkEnd w:id="982"/>
      <w:bookmarkStart w:id="983" w:name="_Toc296346727"/>
      <w:bookmarkEnd w:id="983"/>
      <w:bookmarkStart w:id="984" w:name="_Toc296891054"/>
      <w:bookmarkEnd w:id="984"/>
    </w:p>
    <w:p w14:paraId="12DC2DF7">
      <w:pPr>
        <w:pStyle w:val="61"/>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 xml:space="preserve">附件3：    </w:t>
      </w:r>
    </w:p>
    <w:p w14:paraId="758C6677">
      <w:pPr>
        <w:spacing w:beforeLines="50" w:afterLines="50" w:line="440" w:lineRule="exact"/>
        <w:jc w:val="center"/>
        <w:rPr>
          <w:rFonts w:hint="eastAsia" w:ascii="宋体" w:hAnsi="宋体" w:cs="宋体"/>
          <w:color w:val="auto"/>
          <w:szCs w:val="21"/>
          <w:highlight w:val="none"/>
        </w:rPr>
      </w:pPr>
      <w:r>
        <w:rPr>
          <w:rFonts w:hint="eastAsia" w:ascii="宋体" w:hAnsi="宋体" w:cs="宋体"/>
          <w:b/>
          <w:bCs/>
          <w:color w:val="auto"/>
          <w:sz w:val="24"/>
          <w:szCs w:val="24"/>
          <w:highlight w:val="none"/>
        </w:rPr>
        <w:t>工程质量保修书（</w:t>
      </w:r>
      <w:r>
        <w:rPr>
          <w:rFonts w:hint="eastAsia" w:ascii="宋体" w:hAnsi="宋体" w:cs="宋体"/>
          <w:b/>
          <w:bCs/>
          <w:color w:val="auto"/>
          <w:sz w:val="24"/>
          <w:szCs w:val="24"/>
          <w:highlight w:val="none"/>
          <w:lang w:eastAsia="zh-CN"/>
        </w:rPr>
        <w:t>建筑工程</w:t>
      </w:r>
      <w:r>
        <w:rPr>
          <w:rFonts w:hint="eastAsia" w:ascii="宋体" w:hAnsi="宋体" w:cs="宋体"/>
          <w:b/>
          <w:bCs/>
          <w:color w:val="auto"/>
          <w:sz w:val="24"/>
          <w:szCs w:val="24"/>
          <w:highlight w:val="none"/>
        </w:rPr>
        <w:t>）</w:t>
      </w:r>
    </w:p>
    <w:p w14:paraId="70535006">
      <w:pPr>
        <w:pStyle w:val="199"/>
        <w:spacing w:beforeAutospacing="0" w:afterAutospacing="0" w:line="440" w:lineRule="exact"/>
        <w:ind w:firstLine="420" w:firstLineChars="200"/>
        <w:rPr>
          <w:rFonts w:hint="eastAsia" w:ascii="宋体" w:hAnsi="宋体"/>
          <w:color w:val="auto"/>
          <w:highlight w:val="none"/>
        </w:rPr>
      </w:pPr>
      <w:r>
        <w:rPr>
          <w:rFonts w:hint="eastAsia" w:ascii="宋体" w:hAnsi="宋体"/>
          <w:color w:val="auto"/>
          <w:highlight w:val="none"/>
        </w:rPr>
        <w:t>发包人（全称）：</w:t>
      </w:r>
      <w:r>
        <w:rPr>
          <w:color w:val="auto"/>
          <w:highlight w:val="none"/>
          <w:u w:val="single"/>
        </w:rPr>
        <w:t xml:space="preserve">                                </w:t>
      </w:r>
      <w:r>
        <w:rPr>
          <w:color w:val="auto"/>
          <w:highlight w:val="none"/>
        </w:rPr>
        <w:t xml:space="preserve"> </w:t>
      </w:r>
    </w:p>
    <w:p w14:paraId="1F9DDD72">
      <w:pPr>
        <w:pStyle w:val="199"/>
        <w:spacing w:beforeAutospacing="0" w:afterAutospacing="0" w:line="440" w:lineRule="exact"/>
        <w:ind w:firstLine="420" w:firstLineChars="200"/>
        <w:rPr>
          <w:color w:val="auto"/>
          <w:highlight w:val="none"/>
        </w:rPr>
      </w:pPr>
      <w:r>
        <w:rPr>
          <w:rFonts w:hint="eastAsia" w:ascii="宋体" w:hAnsi="宋体"/>
          <w:color w:val="auto"/>
          <w:highlight w:val="none"/>
        </w:rPr>
        <w:t>承包人（全称）：</w:t>
      </w:r>
      <w:r>
        <w:rPr>
          <w:color w:val="auto"/>
          <w:highlight w:val="none"/>
          <w:u w:val="single"/>
        </w:rPr>
        <w:t xml:space="preserve">                                </w:t>
      </w:r>
      <w:r>
        <w:rPr>
          <w:color w:val="auto"/>
          <w:highlight w:val="none"/>
        </w:rPr>
        <w:t xml:space="preserve"> </w:t>
      </w:r>
    </w:p>
    <w:p w14:paraId="6DB86909">
      <w:pPr>
        <w:pStyle w:val="199"/>
        <w:spacing w:beforeAutospacing="0" w:afterAutospacing="0" w:line="360" w:lineRule="auto"/>
        <w:ind w:firstLine="420" w:firstLineChars="200"/>
        <w:rPr>
          <w:rFonts w:hint="eastAsia" w:ascii="宋体" w:hAnsi="宋体"/>
          <w:color w:val="auto"/>
          <w:highlight w:val="none"/>
        </w:rPr>
      </w:pPr>
      <w:r>
        <w:rPr>
          <w:rFonts w:hint="eastAsia" w:ascii="宋体" w:hAnsi="宋体"/>
          <w:color w:val="auto"/>
          <w:highlight w:val="none"/>
        </w:rPr>
        <w:t>发包人和承包人根据《中华人民共和国建筑法》和《建设工程质量管理条例》，经协商一致就</w:t>
      </w:r>
      <w:r>
        <w:rPr>
          <w:rFonts w:hint="eastAsia" w:ascii="宋体" w:hAnsi="宋体"/>
          <w:color w:val="auto"/>
          <w:highlight w:val="none"/>
          <w:u w:val="single"/>
        </w:rPr>
        <w:t xml:space="preserve">                                   （工程全称）</w:t>
      </w:r>
      <w:r>
        <w:rPr>
          <w:rFonts w:hint="eastAsia" w:ascii="宋体" w:hAnsi="宋体"/>
          <w:color w:val="auto"/>
          <w:highlight w:val="none"/>
          <w:u w:val="single"/>
          <w:lang w:val="en-US" w:eastAsia="zh-CN"/>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签订工程质量保修书。</w:t>
      </w:r>
    </w:p>
    <w:p w14:paraId="090C2BD0">
      <w:pPr>
        <w:pStyle w:val="199"/>
        <w:spacing w:beforeAutospacing="0" w:afterAutospacing="0" w:line="360" w:lineRule="auto"/>
        <w:ind w:firstLine="420" w:firstLineChars="200"/>
        <w:outlineLvl w:val="0"/>
        <w:rPr>
          <w:rFonts w:hint="eastAsia" w:ascii="宋体" w:hAnsi="宋体"/>
          <w:color w:val="auto"/>
          <w:highlight w:val="none"/>
        </w:rPr>
      </w:pPr>
      <w:bookmarkStart w:id="985" w:name="_Toc16207"/>
      <w:bookmarkEnd w:id="985"/>
      <w:r>
        <w:rPr>
          <w:rFonts w:hint="eastAsia" w:ascii="宋体" w:hAnsi="宋体"/>
          <w:color w:val="auto"/>
          <w:highlight w:val="none"/>
        </w:rPr>
        <w:t>一、工程质量保修范围和内容</w:t>
      </w:r>
    </w:p>
    <w:p w14:paraId="59D7F653">
      <w:pPr>
        <w:pStyle w:val="199"/>
        <w:spacing w:beforeAutospacing="0" w:afterAutospacing="0" w:line="360" w:lineRule="auto"/>
        <w:ind w:firstLine="420" w:firstLineChars="200"/>
        <w:rPr>
          <w:rFonts w:hint="eastAsia" w:ascii="宋体" w:hAnsi="宋体"/>
          <w:color w:val="auto"/>
          <w:highlight w:val="none"/>
        </w:rPr>
      </w:pPr>
      <w:r>
        <w:rPr>
          <w:rFonts w:hint="eastAsia" w:ascii="宋体" w:hAnsi="宋体"/>
          <w:color w:val="auto"/>
          <w:highlight w:val="none"/>
        </w:rPr>
        <w:t>承包人在质量保修期内，按照有关法律规定和合同约定，承担工程质量保修责任。</w:t>
      </w:r>
    </w:p>
    <w:p w14:paraId="78B2510A">
      <w:pPr>
        <w:pStyle w:val="199"/>
        <w:spacing w:beforeAutospacing="0" w:afterAutospacing="0" w:line="360" w:lineRule="auto"/>
        <w:ind w:firstLine="420"/>
        <w:rPr>
          <w:rFonts w:hint="eastAsia" w:ascii="宋体" w:hAnsi="宋体"/>
          <w:color w:val="auto"/>
          <w:highlight w:val="none"/>
        </w:rPr>
      </w:pPr>
      <w:r>
        <w:rPr>
          <w:rFonts w:hint="eastAsia" w:ascii="宋体" w:hAnsi="宋体"/>
          <w:color w:val="auto"/>
          <w:highlight w:val="none"/>
        </w:rPr>
        <w:t>质量保修范围包括</w:t>
      </w:r>
      <w:r>
        <w:rPr>
          <w:rFonts w:hint="eastAsia" w:ascii="宋体" w:hAnsi="宋体"/>
          <w:color w:val="auto"/>
          <w:highlight w:val="none"/>
          <w:u w:val="single"/>
          <w:lang w:val="en-US" w:eastAsia="zh-CN"/>
        </w:rPr>
        <w:t xml:space="preserve">                            </w:t>
      </w:r>
      <w:r>
        <w:rPr>
          <w:rFonts w:hint="eastAsia" w:ascii="宋体" w:hAnsi="宋体"/>
          <w:color w:val="auto"/>
          <w:highlight w:val="none"/>
        </w:rPr>
        <w:t>，以及施工图范围内包含的施工内容，以及双方约定的其他项目。具体保修的内容，双方约定如下：</w:t>
      </w:r>
    </w:p>
    <w:p w14:paraId="254D38A2">
      <w:pPr>
        <w:pStyle w:val="199"/>
        <w:spacing w:beforeAutospacing="0" w:afterAutospacing="0" w:line="360" w:lineRule="auto"/>
        <w:ind w:firstLine="420"/>
        <w:rPr>
          <w:rFonts w:hint="eastAsia" w:ascii="宋体" w:hAnsi="宋体"/>
          <w:color w:val="auto"/>
          <w:highlight w:val="none"/>
          <w:u w:val="single"/>
        </w:rPr>
      </w:pPr>
      <w:r>
        <w:rPr>
          <w:rFonts w:hint="eastAsia" w:ascii="宋体" w:hAnsi="宋体"/>
          <w:color w:val="auto"/>
          <w:highlight w:val="none"/>
          <w:u w:val="single"/>
        </w:rPr>
        <w:t>在承包人承包范围内，属承包人责任造成的工程质量问题，由承包人承担保修责任</w:t>
      </w:r>
      <w:r>
        <w:rPr>
          <w:rFonts w:hint="eastAsia" w:ascii="宋体" w:hAnsi="宋体"/>
          <w:color w:val="auto"/>
          <w:highlight w:val="none"/>
        </w:rPr>
        <w:t>。</w:t>
      </w:r>
    </w:p>
    <w:p w14:paraId="53AE80AF">
      <w:pPr>
        <w:pStyle w:val="199"/>
        <w:spacing w:beforeAutospacing="0" w:afterAutospacing="0" w:line="360" w:lineRule="auto"/>
        <w:ind w:firstLine="420"/>
        <w:outlineLvl w:val="0"/>
        <w:rPr>
          <w:rFonts w:hint="eastAsia" w:ascii="宋体" w:hAnsi="宋体"/>
          <w:color w:val="auto"/>
          <w:highlight w:val="none"/>
        </w:rPr>
      </w:pPr>
      <w:bookmarkStart w:id="986" w:name="_Toc27618"/>
      <w:bookmarkEnd w:id="986"/>
      <w:r>
        <w:rPr>
          <w:rFonts w:hint="eastAsia" w:ascii="宋体" w:hAnsi="宋体"/>
          <w:color w:val="auto"/>
          <w:highlight w:val="none"/>
        </w:rPr>
        <w:t>二、质量保修期</w:t>
      </w:r>
    </w:p>
    <w:p w14:paraId="1CCE9262">
      <w:pPr>
        <w:pStyle w:val="199"/>
        <w:spacing w:beforeAutospacing="0" w:afterAutospacing="0" w:line="360" w:lineRule="auto"/>
        <w:ind w:firstLine="420"/>
        <w:rPr>
          <w:rFonts w:hint="eastAsia" w:ascii="宋体" w:hAnsi="宋体"/>
          <w:color w:val="auto"/>
          <w:highlight w:val="none"/>
        </w:rPr>
      </w:pPr>
      <w:r>
        <w:rPr>
          <w:rFonts w:hint="eastAsia" w:ascii="宋体" w:hAnsi="宋体"/>
          <w:color w:val="auto"/>
          <w:highlight w:val="none"/>
        </w:rPr>
        <w:t>根据《建设工程质量管理条例》及有关规定，工程的质量保修期如下：</w:t>
      </w:r>
    </w:p>
    <w:p w14:paraId="30368499">
      <w:pPr>
        <w:pStyle w:val="199"/>
        <w:spacing w:beforeAutospacing="0" w:afterAutospacing="0" w:line="360" w:lineRule="auto"/>
        <w:ind w:firstLine="420"/>
        <w:rPr>
          <w:color w:val="auto"/>
          <w:highlight w:val="none"/>
        </w:rPr>
      </w:pPr>
      <w:r>
        <w:rPr>
          <w:color w:val="auto"/>
          <w:highlight w:val="none"/>
        </w:rPr>
        <w:t>1</w:t>
      </w:r>
      <w:r>
        <w:rPr>
          <w:rFonts w:hint="eastAsia" w:ascii="宋体" w:hAnsi="宋体"/>
          <w:color w:val="auto"/>
          <w:highlight w:val="none"/>
        </w:rPr>
        <w:t>．地基基础工程和主体结构工程为设计文件规定的工程合理使用年限；</w:t>
      </w:r>
    </w:p>
    <w:p w14:paraId="67B7177E">
      <w:pPr>
        <w:pStyle w:val="199"/>
        <w:spacing w:beforeAutospacing="0" w:afterAutospacing="0" w:line="360" w:lineRule="auto"/>
        <w:ind w:firstLine="420"/>
        <w:rPr>
          <w:color w:val="auto"/>
          <w:highlight w:val="none"/>
        </w:rPr>
      </w:pPr>
      <w:r>
        <w:rPr>
          <w:color w:val="auto"/>
          <w:highlight w:val="none"/>
        </w:rPr>
        <w:t>2</w:t>
      </w:r>
      <w:r>
        <w:rPr>
          <w:rFonts w:hint="eastAsia" w:ascii="宋体" w:hAnsi="宋体"/>
          <w:color w:val="auto"/>
          <w:highlight w:val="none"/>
        </w:rPr>
        <w:t>．屋面防水工程、有防水要求的卫生间、房间和外墙面的防渗为</w:t>
      </w:r>
      <w:r>
        <w:rPr>
          <w:color w:val="auto"/>
          <w:highlight w:val="none"/>
          <w:u w:val="single"/>
        </w:rPr>
        <w:t xml:space="preserve"> </w:t>
      </w:r>
      <w:r>
        <w:rPr>
          <w:rFonts w:hint="eastAsia" w:ascii="宋体" w:hAnsi="宋体"/>
          <w:color w:val="auto"/>
          <w:highlight w:val="none"/>
          <w:u w:val="single"/>
        </w:rPr>
        <w:t>5</w:t>
      </w:r>
      <w:r>
        <w:rPr>
          <w:color w:val="auto"/>
          <w:highlight w:val="none"/>
          <w:u w:val="single"/>
        </w:rPr>
        <w:t xml:space="preserve"> </w:t>
      </w:r>
      <w:r>
        <w:rPr>
          <w:rFonts w:hint="eastAsia" w:ascii="宋体" w:hAnsi="宋体"/>
          <w:color w:val="auto"/>
          <w:highlight w:val="none"/>
        </w:rPr>
        <w:t>年；</w:t>
      </w:r>
    </w:p>
    <w:p w14:paraId="39F10AFB">
      <w:pPr>
        <w:pStyle w:val="199"/>
        <w:spacing w:beforeAutospacing="0" w:afterAutospacing="0" w:line="360" w:lineRule="auto"/>
        <w:ind w:firstLine="420"/>
        <w:rPr>
          <w:color w:val="auto"/>
          <w:highlight w:val="none"/>
        </w:rPr>
      </w:pPr>
      <w:r>
        <w:rPr>
          <w:color w:val="auto"/>
          <w:highlight w:val="none"/>
        </w:rPr>
        <w:t>3</w:t>
      </w:r>
      <w:r>
        <w:rPr>
          <w:rFonts w:hint="eastAsia" w:ascii="宋体" w:hAnsi="宋体"/>
          <w:color w:val="auto"/>
          <w:highlight w:val="none"/>
        </w:rPr>
        <w:t>．装修工程为</w:t>
      </w:r>
      <w:r>
        <w:rPr>
          <w:color w:val="auto"/>
          <w:highlight w:val="none"/>
          <w:u w:val="single"/>
        </w:rPr>
        <w:t xml:space="preserve">  </w:t>
      </w:r>
      <w:r>
        <w:rPr>
          <w:rFonts w:hint="eastAsia" w:ascii="宋体" w:hAnsi="宋体"/>
          <w:color w:val="auto"/>
          <w:highlight w:val="none"/>
          <w:u w:val="single"/>
        </w:rPr>
        <w:t>2</w:t>
      </w:r>
      <w:r>
        <w:rPr>
          <w:color w:val="auto"/>
          <w:highlight w:val="none"/>
          <w:u w:val="single"/>
        </w:rPr>
        <w:t xml:space="preserve">  </w:t>
      </w:r>
      <w:r>
        <w:rPr>
          <w:rFonts w:hint="eastAsia" w:ascii="宋体" w:hAnsi="宋体"/>
          <w:color w:val="auto"/>
          <w:highlight w:val="none"/>
        </w:rPr>
        <w:t>年；</w:t>
      </w:r>
    </w:p>
    <w:p w14:paraId="6B8EA75F">
      <w:pPr>
        <w:pStyle w:val="199"/>
        <w:spacing w:beforeAutospacing="0" w:afterAutospacing="0" w:line="360" w:lineRule="auto"/>
        <w:ind w:firstLine="420"/>
        <w:rPr>
          <w:color w:val="auto"/>
          <w:highlight w:val="none"/>
        </w:rPr>
      </w:pPr>
      <w:r>
        <w:rPr>
          <w:color w:val="auto"/>
          <w:highlight w:val="none"/>
        </w:rPr>
        <w:t>4</w:t>
      </w:r>
      <w:r>
        <w:rPr>
          <w:rFonts w:hint="eastAsia" w:ascii="宋体" w:hAnsi="宋体"/>
          <w:color w:val="auto"/>
          <w:highlight w:val="none"/>
        </w:rPr>
        <w:t>．电气管线、给排水管道、设备安装工程为</w:t>
      </w:r>
      <w:r>
        <w:rPr>
          <w:color w:val="auto"/>
          <w:highlight w:val="none"/>
          <w:u w:val="single"/>
        </w:rPr>
        <w:t xml:space="preserve">  </w:t>
      </w:r>
      <w:r>
        <w:rPr>
          <w:rFonts w:hint="eastAsia" w:ascii="宋体" w:hAnsi="宋体"/>
          <w:color w:val="auto"/>
          <w:highlight w:val="none"/>
          <w:u w:val="single"/>
        </w:rPr>
        <w:t>2</w:t>
      </w:r>
      <w:r>
        <w:rPr>
          <w:color w:val="auto"/>
          <w:highlight w:val="none"/>
          <w:u w:val="single"/>
        </w:rPr>
        <w:t xml:space="preserve">  </w:t>
      </w:r>
      <w:r>
        <w:rPr>
          <w:rFonts w:hint="eastAsia" w:ascii="宋体" w:hAnsi="宋体"/>
          <w:color w:val="auto"/>
          <w:highlight w:val="none"/>
        </w:rPr>
        <w:t>年；</w:t>
      </w:r>
    </w:p>
    <w:p w14:paraId="5012ABFE">
      <w:pPr>
        <w:pStyle w:val="199"/>
        <w:spacing w:beforeAutospacing="0" w:afterAutospacing="0" w:line="360" w:lineRule="auto"/>
        <w:ind w:firstLine="420"/>
        <w:rPr>
          <w:color w:val="auto"/>
          <w:highlight w:val="none"/>
        </w:rPr>
      </w:pPr>
      <w:r>
        <w:rPr>
          <w:color w:val="auto"/>
          <w:highlight w:val="none"/>
        </w:rPr>
        <w:t>5</w:t>
      </w:r>
      <w:r>
        <w:rPr>
          <w:rFonts w:hint="eastAsia" w:ascii="宋体" w:hAnsi="宋体"/>
          <w:color w:val="auto"/>
          <w:highlight w:val="none"/>
        </w:rPr>
        <w:t>．供热与供冷系统为</w:t>
      </w:r>
      <w:r>
        <w:rPr>
          <w:color w:val="auto"/>
          <w:highlight w:val="none"/>
          <w:u w:val="single"/>
        </w:rPr>
        <w:t xml:space="preserve">  </w:t>
      </w:r>
      <w:r>
        <w:rPr>
          <w:rFonts w:hint="eastAsia" w:ascii="宋体" w:hAnsi="宋体"/>
          <w:color w:val="auto"/>
          <w:highlight w:val="none"/>
          <w:u w:val="single"/>
        </w:rPr>
        <w:t>2</w:t>
      </w:r>
      <w:r>
        <w:rPr>
          <w:color w:val="auto"/>
          <w:highlight w:val="none"/>
          <w:u w:val="single"/>
        </w:rPr>
        <w:t xml:space="preserve">  </w:t>
      </w:r>
      <w:r>
        <w:rPr>
          <w:rFonts w:hint="eastAsia" w:ascii="宋体" w:hAnsi="宋体"/>
          <w:color w:val="auto"/>
          <w:highlight w:val="none"/>
        </w:rPr>
        <w:t>个采暖期、供冷期；</w:t>
      </w:r>
    </w:p>
    <w:p w14:paraId="02CD5F69">
      <w:pPr>
        <w:pStyle w:val="199"/>
        <w:spacing w:beforeAutospacing="0" w:afterAutospacing="0" w:line="360" w:lineRule="auto"/>
        <w:ind w:firstLine="420"/>
        <w:rPr>
          <w:color w:val="auto"/>
          <w:highlight w:val="none"/>
        </w:rPr>
      </w:pPr>
      <w:r>
        <w:rPr>
          <w:color w:val="auto"/>
          <w:highlight w:val="none"/>
        </w:rPr>
        <w:t>6</w:t>
      </w:r>
      <w:r>
        <w:rPr>
          <w:rFonts w:hint="eastAsia" w:ascii="宋体" w:hAnsi="宋体"/>
          <w:color w:val="auto"/>
          <w:highlight w:val="none"/>
        </w:rPr>
        <w:t>．住宅小区内的给排水设施、道路等配套工程为</w:t>
      </w:r>
      <w:r>
        <w:rPr>
          <w:color w:val="auto"/>
          <w:highlight w:val="none"/>
          <w:u w:val="single"/>
        </w:rPr>
        <w:t xml:space="preserve"> </w:t>
      </w:r>
      <w:r>
        <w:rPr>
          <w:rFonts w:hint="eastAsia" w:ascii="宋体" w:hAnsi="宋体"/>
          <w:color w:val="auto"/>
          <w:highlight w:val="none"/>
          <w:u w:val="single"/>
        </w:rPr>
        <w:t>2</w:t>
      </w:r>
      <w:r>
        <w:rPr>
          <w:color w:val="auto"/>
          <w:highlight w:val="none"/>
          <w:u w:val="single"/>
        </w:rPr>
        <w:t xml:space="preserve">  </w:t>
      </w:r>
      <w:r>
        <w:rPr>
          <w:rFonts w:hint="eastAsia" w:ascii="宋体" w:hAnsi="宋体"/>
          <w:color w:val="auto"/>
          <w:highlight w:val="none"/>
        </w:rPr>
        <w:t>年；</w:t>
      </w:r>
    </w:p>
    <w:p w14:paraId="24DD305D">
      <w:pPr>
        <w:pStyle w:val="199"/>
        <w:spacing w:beforeAutospacing="0" w:afterAutospacing="0" w:line="360" w:lineRule="auto"/>
        <w:ind w:firstLine="420"/>
        <w:rPr>
          <w:color w:val="auto"/>
          <w:highlight w:val="none"/>
        </w:rPr>
      </w:pPr>
      <w:r>
        <w:rPr>
          <w:color w:val="auto"/>
          <w:highlight w:val="none"/>
        </w:rPr>
        <w:t>7</w:t>
      </w:r>
      <w:r>
        <w:rPr>
          <w:rFonts w:hint="eastAsia" w:ascii="宋体" w:hAnsi="宋体"/>
          <w:color w:val="auto"/>
          <w:highlight w:val="none"/>
        </w:rPr>
        <w:t>．其他项目保修期限约定如下：</w:t>
      </w:r>
      <w:r>
        <w:rPr>
          <w:color w:val="auto"/>
          <w:highlight w:val="none"/>
          <w:u w:val="single"/>
        </w:rPr>
        <w:t xml:space="preserve">             </w:t>
      </w:r>
      <w:r>
        <w:rPr>
          <w:rFonts w:hint="eastAsia" w:ascii="宋体" w:hAnsi="宋体"/>
          <w:color w:val="auto"/>
          <w:highlight w:val="none"/>
          <w:u w:val="single"/>
        </w:rPr>
        <w:t xml:space="preserve">                   </w:t>
      </w:r>
      <w:r>
        <w:rPr>
          <w:color w:val="auto"/>
          <w:highlight w:val="none"/>
          <w:u w:val="single"/>
        </w:rPr>
        <w:t xml:space="preserve">        </w:t>
      </w:r>
      <w:r>
        <w:rPr>
          <w:rFonts w:hint="eastAsia" w:ascii="宋体" w:hAnsi="宋体"/>
          <w:color w:val="auto"/>
          <w:highlight w:val="none"/>
        </w:rPr>
        <w:t>。</w:t>
      </w:r>
    </w:p>
    <w:p w14:paraId="12CC5841">
      <w:pPr>
        <w:pStyle w:val="199"/>
        <w:spacing w:beforeAutospacing="0" w:afterAutospacing="0" w:line="360" w:lineRule="auto"/>
        <w:ind w:firstLine="420"/>
        <w:rPr>
          <w:rFonts w:hint="eastAsia" w:ascii="宋体" w:hAnsi="宋体"/>
          <w:color w:val="auto"/>
          <w:highlight w:val="none"/>
        </w:rPr>
      </w:pPr>
      <w:r>
        <w:rPr>
          <w:rFonts w:hint="eastAsia" w:ascii="宋体" w:hAnsi="宋体"/>
          <w:color w:val="auto"/>
          <w:highlight w:val="none"/>
        </w:rPr>
        <w:t xml:space="preserve">   质量保修期自工程竣工验收合格之日起计算。</w:t>
      </w:r>
    </w:p>
    <w:p w14:paraId="00126AB3">
      <w:pPr>
        <w:pStyle w:val="199"/>
        <w:spacing w:beforeAutospacing="0" w:afterAutospacing="0" w:line="360" w:lineRule="auto"/>
        <w:ind w:firstLine="420"/>
        <w:outlineLvl w:val="0"/>
        <w:rPr>
          <w:rFonts w:hint="eastAsia" w:ascii="宋体" w:hAnsi="宋体"/>
          <w:color w:val="auto"/>
          <w:highlight w:val="none"/>
        </w:rPr>
      </w:pPr>
      <w:bookmarkStart w:id="987" w:name="_Toc23616"/>
      <w:bookmarkEnd w:id="987"/>
      <w:r>
        <w:rPr>
          <w:rFonts w:hint="eastAsia" w:ascii="宋体" w:hAnsi="宋体"/>
          <w:color w:val="auto"/>
          <w:highlight w:val="none"/>
        </w:rPr>
        <w:t>三、缺陷责任期</w:t>
      </w:r>
    </w:p>
    <w:p w14:paraId="40074C5F">
      <w:pPr>
        <w:pStyle w:val="199"/>
        <w:spacing w:beforeAutospacing="0" w:afterAutospacing="0" w:line="360" w:lineRule="auto"/>
        <w:ind w:firstLine="420"/>
        <w:rPr>
          <w:rFonts w:hint="eastAsia" w:ascii="宋体" w:hAnsi="宋体"/>
          <w:color w:val="auto"/>
          <w:highlight w:val="none"/>
        </w:rPr>
      </w:pPr>
      <w:r>
        <w:rPr>
          <w:rFonts w:hint="eastAsia" w:ascii="宋体" w:hAnsi="宋体"/>
          <w:color w:val="auto"/>
          <w:highlight w:val="none"/>
        </w:rPr>
        <w:t>工程缺陷责任期为</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12</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rPr>
        <w:t>个月（最长不超过24个月），缺陷责任期自工程竣工验收合格之日起计算。单位工程先于全部工程进行验收，单位工程缺陷责任期自单位工程验收合格之日起算。</w:t>
      </w:r>
    </w:p>
    <w:p w14:paraId="17ED7267">
      <w:pPr>
        <w:pStyle w:val="199"/>
        <w:spacing w:beforeAutospacing="0" w:afterAutospacing="0" w:line="360" w:lineRule="auto"/>
        <w:ind w:firstLine="420"/>
        <w:rPr>
          <w:rFonts w:hint="eastAsia" w:ascii="宋体" w:hAnsi="宋体"/>
          <w:color w:val="auto"/>
          <w:highlight w:val="none"/>
        </w:rPr>
      </w:pPr>
      <w:r>
        <w:rPr>
          <w:rFonts w:hint="eastAsia" w:ascii="宋体" w:hAnsi="宋体"/>
          <w:color w:val="auto"/>
          <w:highlight w:val="none"/>
        </w:rPr>
        <w:t>缺陷责任期终止后，发包人应退还剩余的质量保证金。</w:t>
      </w:r>
    </w:p>
    <w:p w14:paraId="1ACDC347">
      <w:pPr>
        <w:pStyle w:val="199"/>
        <w:spacing w:beforeAutospacing="0" w:afterAutospacing="0" w:line="360" w:lineRule="auto"/>
        <w:ind w:firstLine="420"/>
        <w:outlineLvl w:val="0"/>
        <w:rPr>
          <w:rFonts w:hint="eastAsia" w:ascii="宋体" w:hAnsi="宋体"/>
          <w:color w:val="auto"/>
          <w:highlight w:val="none"/>
        </w:rPr>
      </w:pPr>
      <w:bookmarkStart w:id="988" w:name="_Toc22993"/>
      <w:bookmarkEnd w:id="988"/>
      <w:r>
        <w:rPr>
          <w:rFonts w:hint="eastAsia" w:ascii="宋体" w:hAnsi="宋体"/>
          <w:color w:val="auto"/>
          <w:highlight w:val="none"/>
        </w:rPr>
        <w:t>四、质量保修责任</w:t>
      </w:r>
    </w:p>
    <w:p w14:paraId="71CA1704">
      <w:pPr>
        <w:pStyle w:val="199"/>
        <w:spacing w:beforeAutospacing="0" w:afterAutospacing="0" w:line="360" w:lineRule="auto"/>
        <w:ind w:left="105" w:leftChars="50" w:firstLine="430" w:firstLineChars="205"/>
        <w:rPr>
          <w:rFonts w:hint="eastAsia" w:ascii="宋体" w:hAnsi="宋体"/>
          <w:color w:val="auto"/>
          <w:highlight w:val="none"/>
        </w:rPr>
      </w:pPr>
      <w:r>
        <w:rPr>
          <w:rFonts w:hint="eastAsia" w:ascii="宋体" w:hAnsi="宋体"/>
          <w:color w:val="auto"/>
          <w:highlight w:val="none"/>
        </w:rPr>
        <w:t>1．属于保修范围、内容的项目，承包人应当在接到保修通知之日起</w:t>
      </w:r>
      <w:r>
        <w:rPr>
          <w:rFonts w:hint="eastAsia" w:ascii="宋体" w:hAnsi="宋体"/>
          <w:color w:val="auto"/>
          <w:highlight w:val="none"/>
          <w:u w:val="single"/>
        </w:rPr>
        <w:t xml:space="preserve"> 24 </w:t>
      </w:r>
      <w:r>
        <w:rPr>
          <w:rFonts w:hint="eastAsia" w:ascii="宋体" w:hAnsi="宋体"/>
          <w:color w:val="auto"/>
          <w:highlight w:val="none"/>
        </w:rPr>
        <w:t>小时内派人保修。承包人不在约定期限内派人保修的，发包人可以委托他人修理，修理费用从质量保证金内扣除。</w:t>
      </w:r>
    </w:p>
    <w:p w14:paraId="7CF61DE0">
      <w:pPr>
        <w:pStyle w:val="199"/>
        <w:spacing w:beforeAutospacing="0" w:afterAutospacing="0" w:line="360" w:lineRule="auto"/>
        <w:ind w:firstLine="420"/>
        <w:rPr>
          <w:rFonts w:hint="eastAsia" w:ascii="宋体" w:hAnsi="宋体"/>
          <w:color w:val="auto"/>
          <w:highlight w:val="none"/>
        </w:rPr>
      </w:pPr>
      <w:r>
        <w:rPr>
          <w:rFonts w:hint="eastAsia" w:ascii="宋体" w:hAnsi="宋体"/>
          <w:color w:val="auto"/>
          <w:highlight w:val="none"/>
        </w:rPr>
        <w:t>2．发生紧急事故需抢修的，承包人在接到事故通知后，应当立即到达事故现场抢修。</w:t>
      </w:r>
    </w:p>
    <w:p w14:paraId="32C3D00E">
      <w:pPr>
        <w:pStyle w:val="199"/>
        <w:spacing w:beforeAutospacing="0" w:afterAutospacing="0" w:line="360" w:lineRule="auto"/>
        <w:ind w:firstLine="420"/>
        <w:rPr>
          <w:rFonts w:hint="eastAsia" w:ascii="宋体" w:hAnsi="宋体"/>
          <w:color w:val="auto"/>
          <w:highlight w:val="none"/>
        </w:rPr>
      </w:pPr>
      <w:r>
        <w:rPr>
          <w:rFonts w:hint="eastAsia" w:ascii="宋体" w:hAnsi="宋体"/>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9743B68">
      <w:pPr>
        <w:pStyle w:val="199"/>
        <w:spacing w:beforeAutospacing="0" w:afterAutospacing="0" w:line="360" w:lineRule="auto"/>
        <w:ind w:firstLine="420"/>
        <w:rPr>
          <w:rFonts w:hint="eastAsia" w:ascii="宋体" w:hAnsi="宋体"/>
          <w:color w:val="auto"/>
          <w:highlight w:val="none"/>
        </w:rPr>
      </w:pPr>
      <w:r>
        <w:rPr>
          <w:rFonts w:hint="eastAsia" w:ascii="宋体" w:hAnsi="宋体"/>
          <w:color w:val="auto"/>
          <w:highlight w:val="none"/>
        </w:rPr>
        <w:t>4.在国家规定的工程合理使用期限内，承包人确保地基基础工程和主体结构的施工质量。因承包人原因致使地基基础工程和主体结构工程在合理使用期限内发生质量缺陷问题造成人身和财产损害的，承包人应承担损害赔偿责任。</w:t>
      </w:r>
    </w:p>
    <w:p w14:paraId="4D628F61">
      <w:pPr>
        <w:pStyle w:val="199"/>
        <w:spacing w:beforeAutospacing="0" w:afterAutospacing="0" w:line="360" w:lineRule="auto"/>
        <w:ind w:firstLine="420"/>
        <w:rPr>
          <w:rFonts w:hint="eastAsia" w:ascii="宋体" w:hAnsi="宋体"/>
          <w:color w:val="auto"/>
          <w:highlight w:val="none"/>
        </w:rPr>
      </w:pPr>
      <w:r>
        <w:rPr>
          <w:rFonts w:hint="eastAsia" w:ascii="宋体" w:hAnsi="宋体"/>
          <w:color w:val="auto"/>
          <w:highlight w:val="none"/>
        </w:rPr>
        <w:t>5．质量保修完成后，由发包人组织验收。</w:t>
      </w:r>
    </w:p>
    <w:p w14:paraId="416DFC03">
      <w:pPr>
        <w:pStyle w:val="199"/>
        <w:spacing w:beforeAutospacing="0" w:afterAutospacing="0" w:line="360" w:lineRule="auto"/>
        <w:ind w:firstLine="420"/>
        <w:outlineLvl w:val="0"/>
        <w:rPr>
          <w:rFonts w:hint="eastAsia" w:ascii="宋体" w:hAnsi="宋体"/>
          <w:color w:val="auto"/>
          <w:highlight w:val="none"/>
        </w:rPr>
      </w:pPr>
      <w:bookmarkStart w:id="989" w:name="_Toc8786"/>
      <w:bookmarkEnd w:id="989"/>
      <w:r>
        <w:rPr>
          <w:rFonts w:hint="eastAsia" w:ascii="宋体" w:hAnsi="宋体"/>
          <w:color w:val="auto"/>
          <w:highlight w:val="none"/>
        </w:rPr>
        <w:t>五、保修费用</w:t>
      </w:r>
    </w:p>
    <w:p w14:paraId="107BE67E">
      <w:pPr>
        <w:pStyle w:val="199"/>
        <w:spacing w:beforeAutospacing="0" w:afterAutospacing="0" w:line="360" w:lineRule="auto"/>
        <w:ind w:firstLine="420"/>
        <w:rPr>
          <w:rFonts w:hint="eastAsia" w:ascii="宋体" w:hAnsi="宋体"/>
          <w:color w:val="auto"/>
          <w:highlight w:val="none"/>
        </w:rPr>
      </w:pPr>
      <w:r>
        <w:rPr>
          <w:rFonts w:hint="eastAsia" w:ascii="宋体" w:hAnsi="宋体"/>
          <w:color w:val="auto"/>
          <w:highlight w:val="none"/>
        </w:rPr>
        <w:t>保修费用由造成质量缺陷的责任方承担。</w:t>
      </w:r>
    </w:p>
    <w:p w14:paraId="7ADFEC47">
      <w:pPr>
        <w:pStyle w:val="199"/>
        <w:spacing w:beforeAutospacing="0" w:afterAutospacing="0" w:line="360" w:lineRule="auto"/>
        <w:ind w:firstLine="420"/>
        <w:outlineLvl w:val="0"/>
        <w:rPr>
          <w:rFonts w:hint="eastAsia" w:ascii="宋体" w:hAnsi="宋体"/>
          <w:color w:val="auto"/>
          <w:highlight w:val="none"/>
          <w:u w:val="single"/>
        </w:rPr>
      </w:pPr>
      <w:bookmarkStart w:id="990" w:name="_Toc15780"/>
      <w:bookmarkEnd w:id="990"/>
      <w:r>
        <w:rPr>
          <w:rFonts w:hint="eastAsia" w:ascii="宋体" w:hAnsi="宋体"/>
          <w:color w:val="auto"/>
          <w:highlight w:val="none"/>
        </w:rPr>
        <w:t>六、双方约定的其他工程质量保修事项：</w:t>
      </w:r>
      <w:r>
        <w:rPr>
          <w:rFonts w:hint="eastAsia" w:ascii="宋体" w:hAnsi="宋体"/>
          <w:color w:val="auto"/>
          <w:highlight w:val="none"/>
          <w:u w:val="single"/>
        </w:rPr>
        <w:t>竣工结算价款的3％作为工程质量保证金, 待缺陷责任期期满后返还（无息）。</w:t>
      </w:r>
    </w:p>
    <w:p w14:paraId="6ED24B30">
      <w:pPr>
        <w:pStyle w:val="199"/>
        <w:spacing w:beforeAutospacing="0" w:afterAutospacing="0" w:line="360" w:lineRule="auto"/>
        <w:ind w:firstLine="399" w:firstLineChars="190"/>
        <w:rPr>
          <w:rFonts w:hint="eastAsia" w:ascii="宋体" w:hAnsi="宋体"/>
          <w:color w:val="auto"/>
          <w:highlight w:val="none"/>
        </w:rPr>
      </w:pPr>
      <w:r>
        <w:rPr>
          <w:rFonts w:hint="eastAsia" w:ascii="宋体" w:hAnsi="宋体"/>
          <w:color w:val="auto"/>
          <w:highlight w:val="none"/>
        </w:rPr>
        <w:t>工程质量保修书由发包人、承包人在工程竣工验收前共同签署，作为施工合同附件，其有效期限至保修期满。</w:t>
      </w:r>
    </w:p>
    <w:p w14:paraId="286BC8EC">
      <w:pPr>
        <w:pStyle w:val="199"/>
        <w:spacing w:beforeAutospacing="0" w:afterAutospacing="0" w:line="360" w:lineRule="auto"/>
        <w:ind w:firstLine="420"/>
        <w:rPr>
          <w:rFonts w:hint="eastAsia" w:ascii="宋体" w:hAnsi="宋体"/>
          <w:color w:val="auto"/>
          <w:highlight w:val="none"/>
        </w:rPr>
      </w:pPr>
      <w:r>
        <w:rPr>
          <w:rFonts w:hint="eastAsia" w:ascii="宋体" w:hAnsi="宋体"/>
          <w:color w:val="auto"/>
          <w:highlight w:val="none"/>
        </w:rPr>
        <w:t xml:space="preserve"> </w:t>
      </w:r>
    </w:p>
    <w:p w14:paraId="40B42C45">
      <w:pPr>
        <w:pStyle w:val="199"/>
        <w:spacing w:beforeAutospacing="0" w:afterAutospacing="0" w:line="360" w:lineRule="auto"/>
        <w:rPr>
          <w:rFonts w:hint="eastAsia" w:ascii="宋体" w:hAnsi="宋体"/>
          <w:color w:val="auto"/>
          <w:highlight w:val="none"/>
        </w:rPr>
      </w:pPr>
      <w:r>
        <w:rPr>
          <w:rFonts w:hint="eastAsia" w:ascii="宋体" w:hAnsi="宋体"/>
          <w:color w:val="auto"/>
          <w:highlight w:val="none"/>
        </w:rPr>
        <w:t>发包人（公章）：</w:t>
      </w:r>
      <w:r>
        <w:rPr>
          <w:rFonts w:hint="eastAsia" w:ascii="宋体" w:hAnsi="宋体"/>
          <w:color w:val="auto"/>
          <w:highlight w:val="none"/>
          <w:u w:val="single"/>
        </w:rPr>
        <w:t xml:space="preserve"> </w:t>
      </w:r>
      <w:r>
        <w:rPr>
          <w:rFonts w:hint="eastAsia" w:ascii="MingLiU_HKSCS" w:hAnsi="MingLiU_HKSCS" w:eastAsia="MingLiU_HKSCS"/>
          <w:color w:val="auto"/>
          <w:highlight w:val="none"/>
          <w:u w:val="single"/>
        </w:rPr>
        <w:t xml:space="preserve">  </w:t>
      </w:r>
      <w:r>
        <w:rPr>
          <w:rFonts w:hint="eastAsia" w:ascii="宋体" w:hAnsi="宋体"/>
          <w:color w:val="auto"/>
          <w:highlight w:val="none"/>
          <w:u w:val="single"/>
        </w:rPr>
        <w:t xml:space="preserve"> </w:t>
      </w:r>
      <w:r>
        <w:rPr>
          <w:rFonts w:hint="eastAsia" w:ascii="MingLiU_HKSCS" w:hAnsi="MingLiU_HKSCS" w:eastAsia="MingLiU_HKSCS"/>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 xml:space="preserve">             承包人（公章）：</w:t>
      </w:r>
      <w:r>
        <w:rPr>
          <w:rFonts w:hint="eastAsia" w:ascii="MingLiU_HKSCS" w:hAnsi="MingLiU_HKSCS" w:eastAsia="MingLiU_HKSCS"/>
          <w:color w:val="auto"/>
          <w:highlight w:val="none"/>
          <w:u w:val="single"/>
        </w:rPr>
        <w:t xml:space="preserve">  </w:t>
      </w:r>
      <w:r>
        <w:rPr>
          <w:rFonts w:hint="eastAsia" w:ascii="宋体" w:hAnsi="宋体"/>
          <w:color w:val="auto"/>
          <w:highlight w:val="none"/>
          <w:u w:val="single"/>
        </w:rPr>
        <w:t xml:space="preserve">          </w:t>
      </w:r>
      <w:r>
        <w:rPr>
          <w:rFonts w:hint="eastAsia" w:ascii="MingLiU_HKSCS" w:hAnsi="MingLiU_HKSCS" w:eastAsia="MingLiU_HKSCS"/>
          <w:color w:val="auto"/>
          <w:highlight w:val="none"/>
          <w:u w:val="single"/>
        </w:rPr>
        <w:t xml:space="preserve">  </w:t>
      </w:r>
    </w:p>
    <w:p w14:paraId="54FF7E99">
      <w:pPr>
        <w:pStyle w:val="199"/>
        <w:spacing w:beforeAutospacing="0" w:afterAutospacing="0" w:line="360" w:lineRule="auto"/>
        <w:rPr>
          <w:rFonts w:hint="eastAsia"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 xml:space="preserve"> </w:t>
      </w:r>
      <w:r>
        <w:rPr>
          <w:rFonts w:hint="eastAsia" w:ascii="MingLiU_HKSCS" w:hAnsi="MingLiU_HKSCS" w:eastAsia="MingLiU_HKSCS"/>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 xml:space="preserve">              地  址：</w:t>
      </w:r>
      <w:r>
        <w:rPr>
          <w:rFonts w:hint="eastAsia" w:ascii="MingLiU_HKSCS" w:hAnsi="MingLiU_HKSCS" w:eastAsia="MingLiU_HKSCS"/>
          <w:color w:val="auto"/>
          <w:highlight w:val="none"/>
          <w:u w:val="single"/>
        </w:rPr>
        <w:t xml:space="preserve">            </w:t>
      </w:r>
      <w:r>
        <w:rPr>
          <w:rFonts w:hint="eastAsia" w:ascii="宋体" w:hAnsi="宋体"/>
          <w:color w:val="auto"/>
          <w:highlight w:val="none"/>
          <w:u w:val="single"/>
        </w:rPr>
        <w:t xml:space="preserve">      </w:t>
      </w:r>
      <w:r>
        <w:rPr>
          <w:rFonts w:hint="eastAsia" w:ascii="MingLiU_HKSCS" w:hAnsi="MingLiU_HKSCS" w:eastAsia="MingLiU_HKSCS"/>
          <w:color w:val="auto"/>
          <w:highlight w:val="none"/>
          <w:u w:val="single"/>
        </w:rPr>
        <w:t xml:space="preserve">  </w:t>
      </w:r>
    </w:p>
    <w:p w14:paraId="2769B0FD">
      <w:pPr>
        <w:pStyle w:val="199"/>
        <w:spacing w:beforeAutospacing="0" w:afterAutospacing="0" w:line="360" w:lineRule="auto"/>
        <w:rPr>
          <w:rFonts w:hint="eastAsia" w:ascii="宋体" w:hAnsi="宋体"/>
          <w:color w:val="auto"/>
          <w:highlight w:val="none"/>
        </w:rPr>
      </w:pPr>
      <w:r>
        <w:rPr>
          <w:rFonts w:hint="eastAsia" w:ascii="宋体" w:hAnsi="宋体"/>
          <w:color w:val="auto"/>
          <w:highlight w:val="none"/>
        </w:rPr>
        <w:t>法定代表人（签字）：</w:t>
      </w:r>
      <w:r>
        <w:rPr>
          <w:rFonts w:hint="eastAsia" w:ascii="MingLiU_HKSCS" w:hAnsi="MingLiU_HKSCS" w:eastAsia="MingLiU_HKSCS"/>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 xml:space="preserve">              法定代表人（签字）：</w:t>
      </w:r>
      <w:r>
        <w:rPr>
          <w:rFonts w:hint="eastAsia" w:ascii="MingLiU_HKSCS" w:hAnsi="MingLiU_HKSCS" w:eastAsia="MingLiU_HKSCS"/>
          <w:color w:val="auto"/>
          <w:highlight w:val="none"/>
          <w:u w:val="single"/>
        </w:rPr>
        <w:t xml:space="preserve">  </w:t>
      </w:r>
      <w:r>
        <w:rPr>
          <w:rFonts w:hint="eastAsia" w:ascii="宋体" w:hAnsi="宋体"/>
          <w:color w:val="auto"/>
          <w:highlight w:val="none"/>
          <w:u w:val="single"/>
        </w:rPr>
        <w:t xml:space="preserve">     </w:t>
      </w:r>
      <w:r>
        <w:rPr>
          <w:rFonts w:hint="eastAsia" w:ascii="MingLiU_HKSCS" w:hAnsi="MingLiU_HKSCS" w:eastAsia="MingLiU_HKSCS"/>
          <w:color w:val="auto"/>
          <w:highlight w:val="none"/>
          <w:u w:val="single"/>
        </w:rPr>
        <w:t xml:space="preserve">  </w:t>
      </w:r>
    </w:p>
    <w:p w14:paraId="49861D0D">
      <w:pPr>
        <w:pStyle w:val="199"/>
        <w:spacing w:beforeAutospacing="0" w:afterAutospacing="0" w:line="360" w:lineRule="auto"/>
        <w:rPr>
          <w:rFonts w:hint="eastAsia" w:ascii="宋体" w:hAnsi="宋体"/>
          <w:color w:val="auto"/>
          <w:highlight w:val="none"/>
        </w:rPr>
      </w:pPr>
      <w:r>
        <w:rPr>
          <w:rFonts w:hint="eastAsia" w:ascii="宋体" w:hAnsi="宋体"/>
          <w:color w:val="auto"/>
          <w:highlight w:val="none"/>
        </w:rPr>
        <w:t>委托代理人（签字）：</w:t>
      </w:r>
      <w:r>
        <w:rPr>
          <w:rFonts w:hint="eastAsia" w:ascii="MingLiU_HKSCS" w:hAnsi="MingLiU_HKSCS" w:eastAsia="MingLiU_HKSCS"/>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 xml:space="preserve">              委托代理人（签字）：</w:t>
      </w:r>
      <w:r>
        <w:rPr>
          <w:rFonts w:hint="eastAsia" w:ascii="MingLiU_HKSCS" w:hAnsi="MingLiU_HKSCS" w:eastAsia="MingLiU_HKSCS"/>
          <w:color w:val="auto"/>
          <w:highlight w:val="none"/>
          <w:u w:val="single"/>
        </w:rPr>
        <w:t xml:space="preserve">  </w:t>
      </w:r>
      <w:r>
        <w:rPr>
          <w:rFonts w:hint="eastAsia" w:ascii="宋体" w:hAnsi="宋体"/>
          <w:color w:val="auto"/>
          <w:highlight w:val="none"/>
          <w:u w:val="single"/>
        </w:rPr>
        <w:t xml:space="preserve">     </w:t>
      </w:r>
      <w:r>
        <w:rPr>
          <w:rFonts w:hint="eastAsia" w:ascii="MingLiU_HKSCS" w:hAnsi="MingLiU_HKSCS" w:eastAsia="MingLiU_HKSCS"/>
          <w:color w:val="auto"/>
          <w:highlight w:val="none"/>
          <w:u w:val="single"/>
        </w:rPr>
        <w:t xml:space="preserve">  </w:t>
      </w:r>
    </w:p>
    <w:p w14:paraId="6C58F4AB">
      <w:pPr>
        <w:pStyle w:val="199"/>
        <w:spacing w:beforeAutospacing="0" w:afterAutospacing="0" w:line="360" w:lineRule="auto"/>
        <w:rPr>
          <w:rFonts w:hint="eastAsia" w:ascii="宋体" w:hAnsi="宋体"/>
          <w:color w:val="auto"/>
          <w:highlight w:val="none"/>
        </w:rPr>
      </w:pPr>
      <w:r>
        <w:rPr>
          <w:rFonts w:hint="eastAsia" w:ascii="宋体" w:hAnsi="宋体"/>
          <w:color w:val="auto"/>
          <w:highlight w:val="none"/>
        </w:rPr>
        <w:t>电  话：</w:t>
      </w:r>
      <w:r>
        <w:rPr>
          <w:rFonts w:hint="eastAsia" w:ascii="MingLiU_HKSCS" w:hAnsi="MingLiU_HKSCS" w:eastAsia="MingLiU_HKSCS"/>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 xml:space="preserve">              电  话：</w:t>
      </w:r>
      <w:r>
        <w:rPr>
          <w:rFonts w:hint="eastAsia" w:ascii="MingLiU_HKSCS" w:hAnsi="MingLiU_HKSCS" w:eastAsia="MingLiU_HKSCS"/>
          <w:color w:val="auto"/>
          <w:highlight w:val="none"/>
          <w:u w:val="single"/>
        </w:rPr>
        <w:t xml:space="preserve">            </w:t>
      </w:r>
      <w:r>
        <w:rPr>
          <w:rFonts w:hint="eastAsia" w:ascii="宋体" w:hAnsi="宋体"/>
          <w:color w:val="auto"/>
          <w:highlight w:val="none"/>
          <w:u w:val="single"/>
        </w:rPr>
        <w:t xml:space="preserve">      </w:t>
      </w:r>
      <w:r>
        <w:rPr>
          <w:rFonts w:hint="eastAsia" w:ascii="MingLiU_HKSCS" w:hAnsi="MingLiU_HKSCS" w:eastAsia="MingLiU_HKSCS"/>
          <w:color w:val="auto"/>
          <w:highlight w:val="none"/>
          <w:u w:val="single"/>
        </w:rPr>
        <w:t xml:space="preserve">  </w:t>
      </w:r>
    </w:p>
    <w:p w14:paraId="2FC3FEE0">
      <w:pPr>
        <w:pStyle w:val="199"/>
        <w:spacing w:beforeAutospacing="0" w:afterAutospacing="0" w:line="360" w:lineRule="auto"/>
        <w:rPr>
          <w:rFonts w:hint="eastAsia" w:ascii="宋体" w:hAnsi="宋体"/>
          <w:color w:val="auto"/>
          <w:highlight w:val="none"/>
        </w:rPr>
      </w:pPr>
      <w:r>
        <w:rPr>
          <w:rFonts w:hint="eastAsia" w:ascii="宋体" w:hAnsi="宋体"/>
          <w:color w:val="auto"/>
          <w:highlight w:val="none"/>
        </w:rPr>
        <w:t>传  真：</w:t>
      </w:r>
      <w:r>
        <w:rPr>
          <w:rFonts w:hint="eastAsia" w:ascii="MingLiU_HKSCS" w:hAnsi="MingLiU_HKSCS" w:eastAsia="MingLiU_HKSCS"/>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 xml:space="preserve">              传  真：</w:t>
      </w:r>
      <w:r>
        <w:rPr>
          <w:rFonts w:hint="eastAsia" w:ascii="MingLiU_HKSCS" w:hAnsi="MingLiU_HKSCS" w:eastAsia="MingLiU_HKSCS"/>
          <w:color w:val="auto"/>
          <w:highlight w:val="none"/>
          <w:u w:val="single"/>
        </w:rPr>
        <w:t xml:space="preserve">              </w:t>
      </w:r>
      <w:r>
        <w:rPr>
          <w:rFonts w:hint="eastAsia" w:ascii="宋体" w:hAnsi="宋体"/>
          <w:color w:val="auto"/>
          <w:highlight w:val="none"/>
          <w:u w:val="single"/>
        </w:rPr>
        <w:t xml:space="preserve">    </w:t>
      </w:r>
      <w:r>
        <w:rPr>
          <w:rFonts w:hint="eastAsia" w:ascii="MingLiU_HKSCS" w:hAnsi="MingLiU_HKSCS" w:eastAsia="MingLiU_HKSCS"/>
          <w:color w:val="auto"/>
          <w:highlight w:val="none"/>
          <w:u w:val="single"/>
        </w:rPr>
        <w:t xml:space="preserve">  </w:t>
      </w:r>
    </w:p>
    <w:p w14:paraId="63081958">
      <w:pPr>
        <w:pStyle w:val="199"/>
        <w:spacing w:beforeAutospacing="0" w:afterAutospacing="0" w:line="360" w:lineRule="auto"/>
        <w:rPr>
          <w:rFonts w:hint="eastAsia" w:ascii="宋体" w:hAnsi="宋体"/>
          <w:color w:val="auto"/>
          <w:highlight w:val="none"/>
        </w:rPr>
      </w:pPr>
      <w:r>
        <w:rPr>
          <w:rFonts w:hint="eastAsia" w:ascii="宋体" w:hAnsi="宋体"/>
          <w:color w:val="auto"/>
          <w:highlight w:val="none"/>
        </w:rPr>
        <w:t>开户银行：</w:t>
      </w:r>
      <w:r>
        <w:rPr>
          <w:rFonts w:hint="eastAsia" w:ascii="MingLiU_HKSCS" w:hAnsi="MingLiU_HKSCS" w:eastAsia="MingLiU_HKSCS"/>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 xml:space="preserve">              开户银行：</w:t>
      </w:r>
      <w:r>
        <w:rPr>
          <w:rFonts w:hint="eastAsia" w:ascii="MingLiU_HKSCS" w:hAnsi="MingLiU_HKSCS" w:eastAsia="MingLiU_HKSCS"/>
          <w:color w:val="auto"/>
          <w:highlight w:val="none"/>
          <w:u w:val="single"/>
        </w:rPr>
        <w:t xml:space="preserve">            </w:t>
      </w:r>
      <w:r>
        <w:rPr>
          <w:rFonts w:hint="eastAsia" w:ascii="宋体" w:hAnsi="宋体"/>
          <w:color w:val="auto"/>
          <w:highlight w:val="none"/>
          <w:u w:val="single"/>
        </w:rPr>
        <w:t xml:space="preserve">  </w:t>
      </w:r>
      <w:r>
        <w:rPr>
          <w:rFonts w:hint="eastAsia" w:ascii="MingLiU_HKSCS" w:hAnsi="MingLiU_HKSCS" w:eastAsia="MingLiU_HKSCS"/>
          <w:color w:val="auto"/>
          <w:highlight w:val="none"/>
          <w:u w:val="single"/>
        </w:rPr>
        <w:t xml:space="preserve">    </w:t>
      </w:r>
    </w:p>
    <w:p w14:paraId="5AFC3600">
      <w:pPr>
        <w:pStyle w:val="199"/>
        <w:spacing w:beforeAutospacing="0" w:afterAutospacing="0" w:line="360" w:lineRule="auto"/>
        <w:rPr>
          <w:rFonts w:hint="eastAsia" w:ascii="宋体" w:hAnsi="宋体"/>
          <w:color w:val="auto"/>
          <w:highlight w:val="none"/>
        </w:rPr>
      </w:pPr>
      <w:r>
        <w:rPr>
          <w:rFonts w:hint="eastAsia" w:ascii="宋体" w:hAnsi="宋体"/>
          <w:color w:val="auto"/>
          <w:highlight w:val="none"/>
        </w:rPr>
        <w:t>账  号：</w:t>
      </w:r>
      <w:r>
        <w:rPr>
          <w:rFonts w:hint="eastAsia" w:ascii="MingLiU_HKSCS" w:hAnsi="MingLiU_HKSCS" w:eastAsia="MingLiU_HKSCS"/>
          <w:color w:val="auto"/>
          <w:highlight w:val="none"/>
          <w:u w:val="single"/>
        </w:rPr>
        <w:t xml:space="preserve">          </w:t>
      </w:r>
      <w:r>
        <w:rPr>
          <w:rFonts w:hint="eastAsia" w:ascii="宋体" w:hAnsi="宋体"/>
          <w:color w:val="auto"/>
          <w:highlight w:val="none"/>
          <w:u w:val="single"/>
        </w:rPr>
        <w:t xml:space="preserve"> </w:t>
      </w:r>
      <w:r>
        <w:rPr>
          <w:rFonts w:hint="eastAsia" w:ascii="MingLiU_HKSCS" w:hAnsi="MingLiU_HKSCS" w:eastAsia="MingLiU_HKSCS"/>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 xml:space="preserve">             账  号：</w:t>
      </w:r>
      <w:r>
        <w:rPr>
          <w:rFonts w:hint="eastAsia" w:ascii="MingLiU_HKSCS" w:hAnsi="MingLiU_HKSCS" w:eastAsia="MingLiU_HKSCS"/>
          <w:color w:val="auto"/>
          <w:highlight w:val="none"/>
          <w:u w:val="single"/>
        </w:rPr>
        <w:t xml:space="preserve">              </w:t>
      </w:r>
      <w:r>
        <w:rPr>
          <w:rFonts w:hint="eastAsia" w:ascii="宋体" w:hAnsi="宋体"/>
          <w:color w:val="auto"/>
          <w:highlight w:val="none"/>
          <w:u w:val="single"/>
        </w:rPr>
        <w:t xml:space="preserve">    </w:t>
      </w:r>
      <w:r>
        <w:rPr>
          <w:rFonts w:hint="eastAsia" w:ascii="MingLiU_HKSCS" w:hAnsi="MingLiU_HKSCS" w:eastAsia="MingLiU_HKSCS"/>
          <w:color w:val="auto"/>
          <w:highlight w:val="none"/>
          <w:u w:val="single"/>
        </w:rPr>
        <w:t xml:space="preserve">  </w:t>
      </w:r>
    </w:p>
    <w:p w14:paraId="7C080B9A">
      <w:pPr>
        <w:pStyle w:val="61"/>
        <w:spacing w:line="360" w:lineRule="auto"/>
        <w:rPr>
          <w:rFonts w:ascii="宋体" w:hAnsi="宋体" w:cs="宋体"/>
          <w:color w:val="auto"/>
          <w:szCs w:val="21"/>
          <w:highlight w:val="none"/>
          <w:u w:val="single"/>
        </w:rPr>
      </w:pPr>
      <w:r>
        <w:rPr>
          <w:rFonts w:hint="eastAsia" w:ascii="宋体" w:hAnsi="宋体"/>
          <w:color w:val="auto"/>
          <w:highlight w:val="none"/>
        </w:rPr>
        <w:t>邮政编码：</w:t>
      </w:r>
      <w:r>
        <w:rPr>
          <w:rFonts w:hint="eastAsia" w:ascii="宋体" w:hAnsi="宋体"/>
          <w:color w:val="auto"/>
          <w:highlight w:val="none"/>
          <w:u w:val="single"/>
        </w:rPr>
        <w:t xml:space="preserve"> </w:t>
      </w:r>
      <w:r>
        <w:rPr>
          <w:rFonts w:hint="eastAsia" w:ascii="MingLiU_HKSCS" w:hAnsi="MingLiU_HKSCS" w:eastAsia="MingLiU_HKSCS"/>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 xml:space="preserve">              邮政编码：</w:t>
      </w:r>
      <w:r>
        <w:rPr>
          <w:rFonts w:hint="eastAsia" w:ascii="MingLiU_HKSCS" w:hAnsi="MingLiU_HKSCS" w:eastAsia="MingLiU_HKSCS"/>
          <w:color w:val="auto"/>
          <w:highlight w:val="none"/>
          <w:u w:val="single"/>
        </w:rPr>
        <w:t xml:space="preserve">           </w:t>
      </w:r>
    </w:p>
    <w:p w14:paraId="6AA7BBB5">
      <w:pPr>
        <w:pStyle w:val="61"/>
        <w:spacing w:line="360" w:lineRule="auto"/>
        <w:rPr>
          <w:rFonts w:ascii="宋体" w:hAnsi="宋体" w:cs="宋体"/>
          <w:color w:val="auto"/>
          <w:sz w:val="24"/>
          <w:szCs w:val="24"/>
          <w:highlight w:val="none"/>
        </w:rPr>
      </w:pPr>
    </w:p>
    <w:p w14:paraId="74A91728">
      <w:pPr>
        <w:spacing w:beforeLines="50" w:afterLines="50" w:line="440" w:lineRule="exact"/>
        <w:jc w:val="center"/>
        <w:rPr>
          <w:rFonts w:hint="eastAsia" w:ascii="宋体" w:hAnsi="宋体" w:cs="宋体"/>
          <w:b/>
          <w:bCs/>
          <w:color w:val="auto"/>
          <w:sz w:val="24"/>
          <w:szCs w:val="24"/>
          <w:highlight w:val="none"/>
        </w:rPr>
      </w:pPr>
    </w:p>
    <w:p w14:paraId="4778ACE5">
      <w:pPr>
        <w:spacing w:beforeLines="50" w:afterLines="50" w:line="440" w:lineRule="exact"/>
        <w:jc w:val="center"/>
        <w:rPr>
          <w:rFonts w:hint="eastAsia" w:ascii="宋体" w:hAnsi="宋体" w:cs="宋体"/>
          <w:b/>
          <w:bCs/>
          <w:color w:val="auto"/>
          <w:sz w:val="24"/>
          <w:szCs w:val="24"/>
          <w:highlight w:val="none"/>
        </w:rPr>
      </w:pPr>
    </w:p>
    <w:p w14:paraId="3B990E63">
      <w:pPr>
        <w:spacing w:beforeLines="50" w:afterLines="50" w:line="440" w:lineRule="exact"/>
        <w:jc w:val="center"/>
        <w:rPr>
          <w:rFonts w:hint="eastAsia" w:ascii="宋体" w:hAnsi="宋体" w:cs="宋体"/>
          <w:b/>
          <w:bCs/>
          <w:color w:val="auto"/>
          <w:sz w:val="24"/>
          <w:szCs w:val="24"/>
          <w:highlight w:val="none"/>
        </w:rPr>
      </w:pPr>
    </w:p>
    <w:p w14:paraId="4A459AC4">
      <w:pPr>
        <w:spacing w:beforeLines="50" w:afterLines="50" w:line="440" w:lineRule="exact"/>
        <w:jc w:val="center"/>
        <w:rPr>
          <w:rFonts w:hint="eastAsia" w:ascii="宋体" w:hAnsi="宋体" w:cs="宋体"/>
          <w:b/>
          <w:bCs/>
          <w:color w:val="auto"/>
          <w:sz w:val="24"/>
          <w:szCs w:val="24"/>
          <w:highlight w:val="none"/>
        </w:rPr>
      </w:pPr>
    </w:p>
    <w:p w14:paraId="77615229">
      <w:pPr>
        <w:pStyle w:val="61"/>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附件4：</w:t>
      </w:r>
    </w:p>
    <w:p w14:paraId="5D1F6F8F">
      <w:pPr>
        <w:pStyle w:val="61"/>
        <w:spacing w:before="165" w:after="165" w:line="44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主要建设工程文件目录</w:t>
      </w:r>
    </w:p>
    <w:tbl>
      <w:tblPr>
        <w:tblStyle w:val="41"/>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8FBDF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953" w:type="dxa"/>
            <w:vAlign w:val="center"/>
          </w:tcPr>
          <w:p w14:paraId="0ED68BF1">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文件名称</w:t>
            </w:r>
          </w:p>
        </w:tc>
        <w:tc>
          <w:tcPr>
            <w:tcW w:w="1276" w:type="dxa"/>
            <w:vAlign w:val="center"/>
          </w:tcPr>
          <w:p w14:paraId="4D99346B">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套数</w:t>
            </w:r>
          </w:p>
        </w:tc>
        <w:tc>
          <w:tcPr>
            <w:tcW w:w="1450" w:type="dxa"/>
            <w:vAlign w:val="center"/>
          </w:tcPr>
          <w:p w14:paraId="51E2A7A5">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费用（元）</w:t>
            </w:r>
          </w:p>
        </w:tc>
        <w:tc>
          <w:tcPr>
            <w:tcW w:w="1243" w:type="dxa"/>
            <w:vAlign w:val="center"/>
          </w:tcPr>
          <w:p w14:paraId="74401591">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质量</w:t>
            </w:r>
          </w:p>
        </w:tc>
        <w:tc>
          <w:tcPr>
            <w:tcW w:w="1450" w:type="dxa"/>
          </w:tcPr>
          <w:p w14:paraId="2AC19B71">
            <w:pPr>
              <w:pStyle w:val="61"/>
              <w:spacing w:line="440" w:lineRule="exact"/>
              <w:jc w:val="center"/>
              <w:rPr>
                <w:rFonts w:ascii="宋体" w:hAnsi="宋体"/>
                <w:color w:val="auto"/>
                <w:szCs w:val="21"/>
                <w:highlight w:val="none"/>
              </w:rPr>
            </w:pPr>
            <w:r>
              <w:rPr>
                <w:rFonts w:hint="eastAsia" w:ascii="宋体" w:hAnsi="宋体"/>
                <w:color w:val="auto"/>
                <w:szCs w:val="21"/>
                <w:highlight w:val="none"/>
              </w:rPr>
              <w:t>移交时间</w:t>
            </w:r>
          </w:p>
        </w:tc>
        <w:tc>
          <w:tcPr>
            <w:tcW w:w="1667" w:type="dxa"/>
          </w:tcPr>
          <w:p w14:paraId="0B1BB680">
            <w:pPr>
              <w:pStyle w:val="61"/>
              <w:spacing w:line="440" w:lineRule="exact"/>
              <w:jc w:val="center"/>
              <w:rPr>
                <w:rFonts w:ascii="宋体" w:hAnsi="宋体"/>
                <w:color w:val="auto"/>
                <w:szCs w:val="21"/>
                <w:highlight w:val="none"/>
              </w:rPr>
            </w:pPr>
            <w:r>
              <w:rPr>
                <w:rFonts w:hint="eastAsia" w:ascii="宋体" w:hAnsi="宋体"/>
                <w:color w:val="auto"/>
                <w:szCs w:val="21"/>
                <w:highlight w:val="none"/>
              </w:rPr>
              <w:t>责任人</w:t>
            </w:r>
          </w:p>
        </w:tc>
      </w:tr>
      <w:tr w14:paraId="12A53F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153A9156">
            <w:pPr>
              <w:pStyle w:val="138"/>
              <w:spacing w:line="440" w:lineRule="exact"/>
              <w:ind w:left="63" w:right="63"/>
              <w:rPr>
                <w:rFonts w:ascii="宋体" w:hAnsi="宋体"/>
                <w:color w:val="auto"/>
                <w:szCs w:val="21"/>
                <w:highlight w:val="none"/>
              </w:rPr>
            </w:pPr>
          </w:p>
        </w:tc>
        <w:tc>
          <w:tcPr>
            <w:tcW w:w="1276" w:type="dxa"/>
            <w:vAlign w:val="center"/>
          </w:tcPr>
          <w:p w14:paraId="7D143774">
            <w:pPr>
              <w:pStyle w:val="138"/>
              <w:spacing w:line="440" w:lineRule="exact"/>
              <w:ind w:left="63" w:right="63"/>
              <w:rPr>
                <w:rFonts w:ascii="宋体" w:hAnsi="宋体"/>
                <w:color w:val="auto"/>
                <w:szCs w:val="21"/>
                <w:highlight w:val="none"/>
              </w:rPr>
            </w:pPr>
          </w:p>
        </w:tc>
        <w:tc>
          <w:tcPr>
            <w:tcW w:w="1450" w:type="dxa"/>
            <w:vAlign w:val="center"/>
          </w:tcPr>
          <w:p w14:paraId="24875FBF">
            <w:pPr>
              <w:pStyle w:val="138"/>
              <w:spacing w:line="440" w:lineRule="exact"/>
              <w:ind w:left="63" w:right="63"/>
              <w:rPr>
                <w:rFonts w:ascii="宋体" w:hAnsi="宋体"/>
                <w:color w:val="auto"/>
                <w:szCs w:val="21"/>
                <w:highlight w:val="none"/>
              </w:rPr>
            </w:pPr>
          </w:p>
        </w:tc>
        <w:tc>
          <w:tcPr>
            <w:tcW w:w="1243" w:type="dxa"/>
            <w:vAlign w:val="center"/>
          </w:tcPr>
          <w:p w14:paraId="1EB0A667">
            <w:pPr>
              <w:pStyle w:val="138"/>
              <w:spacing w:line="440" w:lineRule="exact"/>
              <w:ind w:left="63" w:right="63"/>
              <w:rPr>
                <w:rFonts w:ascii="宋体" w:hAnsi="宋体"/>
                <w:color w:val="auto"/>
                <w:szCs w:val="21"/>
                <w:highlight w:val="none"/>
              </w:rPr>
            </w:pPr>
          </w:p>
        </w:tc>
        <w:tc>
          <w:tcPr>
            <w:tcW w:w="1450" w:type="dxa"/>
            <w:vAlign w:val="center"/>
          </w:tcPr>
          <w:p w14:paraId="5DD4BE63">
            <w:pPr>
              <w:pStyle w:val="138"/>
              <w:spacing w:line="440" w:lineRule="exact"/>
              <w:ind w:left="63" w:right="63"/>
              <w:rPr>
                <w:rFonts w:ascii="宋体" w:hAnsi="宋体"/>
                <w:color w:val="auto"/>
                <w:szCs w:val="21"/>
                <w:highlight w:val="none"/>
              </w:rPr>
            </w:pPr>
          </w:p>
        </w:tc>
        <w:tc>
          <w:tcPr>
            <w:tcW w:w="1667" w:type="dxa"/>
            <w:vAlign w:val="center"/>
          </w:tcPr>
          <w:p w14:paraId="62F993E1">
            <w:pPr>
              <w:pStyle w:val="138"/>
              <w:spacing w:line="440" w:lineRule="exact"/>
              <w:ind w:left="63" w:right="63"/>
              <w:rPr>
                <w:rFonts w:ascii="宋体" w:hAnsi="宋体"/>
                <w:color w:val="auto"/>
                <w:szCs w:val="21"/>
                <w:highlight w:val="none"/>
              </w:rPr>
            </w:pPr>
          </w:p>
        </w:tc>
      </w:tr>
      <w:tr w14:paraId="492BD3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6CC95138">
            <w:pPr>
              <w:pStyle w:val="138"/>
              <w:spacing w:line="440" w:lineRule="exact"/>
              <w:ind w:left="63" w:right="63"/>
              <w:rPr>
                <w:rFonts w:ascii="宋体" w:hAnsi="宋体"/>
                <w:color w:val="auto"/>
                <w:szCs w:val="21"/>
                <w:highlight w:val="none"/>
              </w:rPr>
            </w:pPr>
          </w:p>
        </w:tc>
        <w:tc>
          <w:tcPr>
            <w:tcW w:w="1276" w:type="dxa"/>
            <w:vAlign w:val="center"/>
          </w:tcPr>
          <w:p w14:paraId="06F9961C">
            <w:pPr>
              <w:pStyle w:val="138"/>
              <w:spacing w:line="440" w:lineRule="exact"/>
              <w:ind w:left="63" w:right="63"/>
              <w:rPr>
                <w:rFonts w:ascii="宋体" w:hAnsi="宋体"/>
                <w:color w:val="auto"/>
                <w:szCs w:val="21"/>
                <w:highlight w:val="none"/>
              </w:rPr>
            </w:pPr>
          </w:p>
        </w:tc>
        <w:tc>
          <w:tcPr>
            <w:tcW w:w="1450" w:type="dxa"/>
            <w:vAlign w:val="center"/>
          </w:tcPr>
          <w:p w14:paraId="6FF4E2B6">
            <w:pPr>
              <w:pStyle w:val="138"/>
              <w:spacing w:line="440" w:lineRule="exact"/>
              <w:ind w:left="63" w:right="63"/>
              <w:rPr>
                <w:rFonts w:ascii="宋体" w:hAnsi="宋体"/>
                <w:color w:val="auto"/>
                <w:szCs w:val="21"/>
                <w:highlight w:val="none"/>
              </w:rPr>
            </w:pPr>
          </w:p>
        </w:tc>
        <w:tc>
          <w:tcPr>
            <w:tcW w:w="1243" w:type="dxa"/>
            <w:vAlign w:val="center"/>
          </w:tcPr>
          <w:p w14:paraId="0EB14074">
            <w:pPr>
              <w:pStyle w:val="138"/>
              <w:spacing w:line="440" w:lineRule="exact"/>
              <w:ind w:left="63" w:right="63"/>
              <w:rPr>
                <w:rFonts w:ascii="宋体" w:hAnsi="宋体"/>
                <w:color w:val="auto"/>
                <w:szCs w:val="21"/>
                <w:highlight w:val="none"/>
              </w:rPr>
            </w:pPr>
          </w:p>
        </w:tc>
        <w:tc>
          <w:tcPr>
            <w:tcW w:w="1450" w:type="dxa"/>
            <w:vAlign w:val="center"/>
          </w:tcPr>
          <w:p w14:paraId="5297E68A">
            <w:pPr>
              <w:pStyle w:val="138"/>
              <w:spacing w:line="440" w:lineRule="exact"/>
              <w:ind w:left="63" w:right="63"/>
              <w:rPr>
                <w:rFonts w:ascii="宋体" w:hAnsi="宋体"/>
                <w:color w:val="auto"/>
                <w:szCs w:val="21"/>
                <w:highlight w:val="none"/>
              </w:rPr>
            </w:pPr>
          </w:p>
        </w:tc>
        <w:tc>
          <w:tcPr>
            <w:tcW w:w="1667" w:type="dxa"/>
            <w:vAlign w:val="center"/>
          </w:tcPr>
          <w:p w14:paraId="5BD18E11">
            <w:pPr>
              <w:pStyle w:val="138"/>
              <w:spacing w:line="440" w:lineRule="exact"/>
              <w:ind w:left="63" w:right="63"/>
              <w:rPr>
                <w:rFonts w:ascii="宋体" w:hAnsi="宋体"/>
                <w:color w:val="auto"/>
                <w:szCs w:val="21"/>
                <w:highlight w:val="none"/>
              </w:rPr>
            </w:pPr>
          </w:p>
        </w:tc>
      </w:tr>
      <w:tr w14:paraId="17EA1A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7514E2BD">
            <w:pPr>
              <w:pStyle w:val="138"/>
              <w:spacing w:line="440" w:lineRule="exact"/>
              <w:ind w:left="63" w:right="63"/>
              <w:rPr>
                <w:rFonts w:ascii="宋体" w:hAnsi="宋体"/>
                <w:color w:val="auto"/>
                <w:szCs w:val="21"/>
                <w:highlight w:val="none"/>
              </w:rPr>
            </w:pPr>
          </w:p>
        </w:tc>
        <w:tc>
          <w:tcPr>
            <w:tcW w:w="1276" w:type="dxa"/>
            <w:vAlign w:val="center"/>
          </w:tcPr>
          <w:p w14:paraId="0F864812">
            <w:pPr>
              <w:pStyle w:val="138"/>
              <w:spacing w:line="440" w:lineRule="exact"/>
              <w:ind w:left="63" w:right="63"/>
              <w:rPr>
                <w:rFonts w:ascii="宋体" w:hAnsi="宋体"/>
                <w:color w:val="auto"/>
                <w:szCs w:val="21"/>
                <w:highlight w:val="none"/>
              </w:rPr>
            </w:pPr>
          </w:p>
        </w:tc>
        <w:tc>
          <w:tcPr>
            <w:tcW w:w="1450" w:type="dxa"/>
            <w:vAlign w:val="center"/>
          </w:tcPr>
          <w:p w14:paraId="6C5FBA63">
            <w:pPr>
              <w:pStyle w:val="138"/>
              <w:spacing w:line="440" w:lineRule="exact"/>
              <w:ind w:left="63" w:right="63"/>
              <w:rPr>
                <w:rFonts w:ascii="宋体" w:hAnsi="宋体"/>
                <w:color w:val="auto"/>
                <w:szCs w:val="21"/>
                <w:highlight w:val="none"/>
              </w:rPr>
            </w:pPr>
          </w:p>
        </w:tc>
        <w:tc>
          <w:tcPr>
            <w:tcW w:w="1243" w:type="dxa"/>
            <w:vAlign w:val="center"/>
          </w:tcPr>
          <w:p w14:paraId="3E7AF189">
            <w:pPr>
              <w:pStyle w:val="138"/>
              <w:spacing w:line="440" w:lineRule="exact"/>
              <w:ind w:left="63" w:right="63"/>
              <w:rPr>
                <w:rFonts w:ascii="宋体" w:hAnsi="宋体"/>
                <w:color w:val="auto"/>
                <w:szCs w:val="21"/>
                <w:highlight w:val="none"/>
              </w:rPr>
            </w:pPr>
          </w:p>
        </w:tc>
        <w:tc>
          <w:tcPr>
            <w:tcW w:w="1450" w:type="dxa"/>
            <w:vAlign w:val="center"/>
          </w:tcPr>
          <w:p w14:paraId="0AC17F8B">
            <w:pPr>
              <w:pStyle w:val="138"/>
              <w:spacing w:line="440" w:lineRule="exact"/>
              <w:ind w:left="63" w:right="63"/>
              <w:rPr>
                <w:rFonts w:ascii="宋体" w:hAnsi="宋体"/>
                <w:color w:val="auto"/>
                <w:szCs w:val="21"/>
                <w:highlight w:val="none"/>
              </w:rPr>
            </w:pPr>
          </w:p>
        </w:tc>
        <w:tc>
          <w:tcPr>
            <w:tcW w:w="1667" w:type="dxa"/>
            <w:vAlign w:val="center"/>
          </w:tcPr>
          <w:p w14:paraId="0FA6E910">
            <w:pPr>
              <w:pStyle w:val="138"/>
              <w:spacing w:line="440" w:lineRule="exact"/>
              <w:ind w:left="63" w:right="63"/>
              <w:rPr>
                <w:rFonts w:ascii="宋体" w:hAnsi="宋体"/>
                <w:color w:val="auto"/>
                <w:szCs w:val="21"/>
                <w:highlight w:val="none"/>
              </w:rPr>
            </w:pPr>
          </w:p>
        </w:tc>
      </w:tr>
      <w:tr w14:paraId="2728E9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26201215">
            <w:pPr>
              <w:pStyle w:val="138"/>
              <w:spacing w:line="440" w:lineRule="exact"/>
              <w:ind w:left="63" w:right="63"/>
              <w:rPr>
                <w:rFonts w:ascii="宋体" w:hAnsi="宋体"/>
                <w:color w:val="auto"/>
                <w:szCs w:val="21"/>
                <w:highlight w:val="none"/>
              </w:rPr>
            </w:pPr>
          </w:p>
        </w:tc>
        <w:tc>
          <w:tcPr>
            <w:tcW w:w="1276" w:type="dxa"/>
            <w:vAlign w:val="center"/>
          </w:tcPr>
          <w:p w14:paraId="7B4464AA">
            <w:pPr>
              <w:pStyle w:val="138"/>
              <w:spacing w:line="440" w:lineRule="exact"/>
              <w:ind w:left="63" w:right="63"/>
              <w:rPr>
                <w:rFonts w:ascii="宋体" w:hAnsi="宋体"/>
                <w:color w:val="auto"/>
                <w:szCs w:val="21"/>
                <w:highlight w:val="none"/>
              </w:rPr>
            </w:pPr>
          </w:p>
        </w:tc>
        <w:tc>
          <w:tcPr>
            <w:tcW w:w="1450" w:type="dxa"/>
            <w:vAlign w:val="center"/>
          </w:tcPr>
          <w:p w14:paraId="4471AF75">
            <w:pPr>
              <w:pStyle w:val="138"/>
              <w:spacing w:line="440" w:lineRule="exact"/>
              <w:ind w:left="63" w:right="63"/>
              <w:rPr>
                <w:rFonts w:ascii="宋体" w:hAnsi="宋体"/>
                <w:color w:val="auto"/>
                <w:szCs w:val="21"/>
                <w:highlight w:val="none"/>
              </w:rPr>
            </w:pPr>
          </w:p>
        </w:tc>
        <w:tc>
          <w:tcPr>
            <w:tcW w:w="1243" w:type="dxa"/>
            <w:vAlign w:val="center"/>
          </w:tcPr>
          <w:p w14:paraId="63FCE01C">
            <w:pPr>
              <w:pStyle w:val="138"/>
              <w:spacing w:line="440" w:lineRule="exact"/>
              <w:ind w:left="63" w:right="63"/>
              <w:rPr>
                <w:rFonts w:ascii="宋体" w:hAnsi="宋体"/>
                <w:color w:val="auto"/>
                <w:szCs w:val="21"/>
                <w:highlight w:val="none"/>
              </w:rPr>
            </w:pPr>
          </w:p>
        </w:tc>
        <w:tc>
          <w:tcPr>
            <w:tcW w:w="1450" w:type="dxa"/>
            <w:vAlign w:val="center"/>
          </w:tcPr>
          <w:p w14:paraId="55B2F6F8">
            <w:pPr>
              <w:pStyle w:val="138"/>
              <w:spacing w:line="440" w:lineRule="exact"/>
              <w:ind w:left="63" w:right="63"/>
              <w:rPr>
                <w:rFonts w:ascii="宋体" w:hAnsi="宋体"/>
                <w:color w:val="auto"/>
                <w:szCs w:val="21"/>
                <w:highlight w:val="none"/>
              </w:rPr>
            </w:pPr>
          </w:p>
        </w:tc>
        <w:tc>
          <w:tcPr>
            <w:tcW w:w="1667" w:type="dxa"/>
            <w:vAlign w:val="center"/>
          </w:tcPr>
          <w:p w14:paraId="268E743A">
            <w:pPr>
              <w:pStyle w:val="138"/>
              <w:spacing w:line="440" w:lineRule="exact"/>
              <w:ind w:left="63" w:right="63"/>
              <w:rPr>
                <w:rFonts w:ascii="宋体" w:hAnsi="宋体"/>
                <w:color w:val="auto"/>
                <w:szCs w:val="21"/>
                <w:highlight w:val="none"/>
              </w:rPr>
            </w:pPr>
          </w:p>
        </w:tc>
      </w:tr>
      <w:tr w14:paraId="29D06B6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19111D6E">
            <w:pPr>
              <w:pStyle w:val="138"/>
              <w:spacing w:line="440" w:lineRule="exact"/>
              <w:ind w:left="63" w:right="63"/>
              <w:rPr>
                <w:rFonts w:ascii="宋体" w:hAnsi="宋体"/>
                <w:color w:val="auto"/>
                <w:szCs w:val="21"/>
                <w:highlight w:val="none"/>
              </w:rPr>
            </w:pPr>
          </w:p>
        </w:tc>
        <w:tc>
          <w:tcPr>
            <w:tcW w:w="1276" w:type="dxa"/>
            <w:vAlign w:val="center"/>
          </w:tcPr>
          <w:p w14:paraId="6CD6176E">
            <w:pPr>
              <w:pStyle w:val="138"/>
              <w:spacing w:line="440" w:lineRule="exact"/>
              <w:ind w:left="63" w:right="63"/>
              <w:rPr>
                <w:rFonts w:ascii="宋体" w:hAnsi="宋体"/>
                <w:color w:val="auto"/>
                <w:szCs w:val="21"/>
                <w:highlight w:val="none"/>
              </w:rPr>
            </w:pPr>
          </w:p>
        </w:tc>
        <w:tc>
          <w:tcPr>
            <w:tcW w:w="1450" w:type="dxa"/>
            <w:vAlign w:val="center"/>
          </w:tcPr>
          <w:p w14:paraId="32FB207F">
            <w:pPr>
              <w:pStyle w:val="138"/>
              <w:spacing w:line="440" w:lineRule="exact"/>
              <w:ind w:left="63" w:right="63"/>
              <w:rPr>
                <w:rFonts w:ascii="宋体" w:hAnsi="宋体"/>
                <w:color w:val="auto"/>
                <w:szCs w:val="21"/>
                <w:highlight w:val="none"/>
              </w:rPr>
            </w:pPr>
          </w:p>
        </w:tc>
        <w:tc>
          <w:tcPr>
            <w:tcW w:w="1243" w:type="dxa"/>
            <w:vAlign w:val="center"/>
          </w:tcPr>
          <w:p w14:paraId="646891FD">
            <w:pPr>
              <w:pStyle w:val="138"/>
              <w:spacing w:line="440" w:lineRule="exact"/>
              <w:ind w:left="63" w:right="63"/>
              <w:rPr>
                <w:rFonts w:ascii="宋体" w:hAnsi="宋体"/>
                <w:color w:val="auto"/>
                <w:szCs w:val="21"/>
                <w:highlight w:val="none"/>
              </w:rPr>
            </w:pPr>
          </w:p>
        </w:tc>
        <w:tc>
          <w:tcPr>
            <w:tcW w:w="1450" w:type="dxa"/>
            <w:vAlign w:val="center"/>
          </w:tcPr>
          <w:p w14:paraId="00B8B9C9">
            <w:pPr>
              <w:pStyle w:val="138"/>
              <w:spacing w:line="440" w:lineRule="exact"/>
              <w:ind w:left="63" w:right="63"/>
              <w:rPr>
                <w:rFonts w:ascii="宋体" w:hAnsi="宋体"/>
                <w:color w:val="auto"/>
                <w:szCs w:val="21"/>
                <w:highlight w:val="none"/>
              </w:rPr>
            </w:pPr>
          </w:p>
        </w:tc>
        <w:tc>
          <w:tcPr>
            <w:tcW w:w="1667" w:type="dxa"/>
            <w:vAlign w:val="center"/>
          </w:tcPr>
          <w:p w14:paraId="56E78C9C">
            <w:pPr>
              <w:pStyle w:val="138"/>
              <w:spacing w:line="440" w:lineRule="exact"/>
              <w:ind w:left="63" w:right="63"/>
              <w:rPr>
                <w:rFonts w:ascii="宋体" w:hAnsi="宋体"/>
                <w:color w:val="auto"/>
                <w:szCs w:val="21"/>
                <w:highlight w:val="none"/>
              </w:rPr>
            </w:pPr>
          </w:p>
        </w:tc>
      </w:tr>
      <w:tr w14:paraId="404DFA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31DF697A">
            <w:pPr>
              <w:pStyle w:val="138"/>
              <w:spacing w:line="440" w:lineRule="exact"/>
              <w:ind w:left="63" w:right="63"/>
              <w:rPr>
                <w:rFonts w:ascii="宋体" w:hAnsi="宋体"/>
                <w:color w:val="auto"/>
                <w:szCs w:val="21"/>
                <w:highlight w:val="none"/>
              </w:rPr>
            </w:pPr>
          </w:p>
        </w:tc>
        <w:tc>
          <w:tcPr>
            <w:tcW w:w="1276" w:type="dxa"/>
            <w:vAlign w:val="center"/>
          </w:tcPr>
          <w:p w14:paraId="1785EC30">
            <w:pPr>
              <w:pStyle w:val="138"/>
              <w:spacing w:line="440" w:lineRule="exact"/>
              <w:ind w:left="63" w:right="63"/>
              <w:rPr>
                <w:rFonts w:ascii="宋体" w:hAnsi="宋体"/>
                <w:color w:val="auto"/>
                <w:szCs w:val="21"/>
                <w:highlight w:val="none"/>
              </w:rPr>
            </w:pPr>
          </w:p>
        </w:tc>
        <w:tc>
          <w:tcPr>
            <w:tcW w:w="1450" w:type="dxa"/>
            <w:vAlign w:val="center"/>
          </w:tcPr>
          <w:p w14:paraId="44B6B327">
            <w:pPr>
              <w:pStyle w:val="138"/>
              <w:spacing w:line="440" w:lineRule="exact"/>
              <w:ind w:left="63" w:right="63"/>
              <w:rPr>
                <w:rFonts w:ascii="宋体" w:hAnsi="宋体"/>
                <w:color w:val="auto"/>
                <w:szCs w:val="21"/>
                <w:highlight w:val="none"/>
              </w:rPr>
            </w:pPr>
          </w:p>
        </w:tc>
        <w:tc>
          <w:tcPr>
            <w:tcW w:w="1243" w:type="dxa"/>
            <w:vAlign w:val="center"/>
          </w:tcPr>
          <w:p w14:paraId="7B6625A5">
            <w:pPr>
              <w:pStyle w:val="138"/>
              <w:spacing w:line="440" w:lineRule="exact"/>
              <w:ind w:left="63" w:right="63"/>
              <w:rPr>
                <w:rFonts w:ascii="宋体" w:hAnsi="宋体"/>
                <w:color w:val="auto"/>
                <w:szCs w:val="21"/>
                <w:highlight w:val="none"/>
              </w:rPr>
            </w:pPr>
          </w:p>
        </w:tc>
        <w:tc>
          <w:tcPr>
            <w:tcW w:w="1450" w:type="dxa"/>
            <w:vAlign w:val="center"/>
          </w:tcPr>
          <w:p w14:paraId="2D29DD34">
            <w:pPr>
              <w:pStyle w:val="138"/>
              <w:spacing w:line="440" w:lineRule="exact"/>
              <w:ind w:left="63" w:right="63"/>
              <w:rPr>
                <w:rFonts w:ascii="宋体" w:hAnsi="宋体"/>
                <w:color w:val="auto"/>
                <w:szCs w:val="21"/>
                <w:highlight w:val="none"/>
              </w:rPr>
            </w:pPr>
          </w:p>
        </w:tc>
        <w:tc>
          <w:tcPr>
            <w:tcW w:w="1667" w:type="dxa"/>
            <w:vAlign w:val="center"/>
          </w:tcPr>
          <w:p w14:paraId="46F24E0F">
            <w:pPr>
              <w:pStyle w:val="138"/>
              <w:spacing w:line="440" w:lineRule="exact"/>
              <w:ind w:left="63" w:right="63"/>
              <w:rPr>
                <w:rFonts w:ascii="宋体" w:hAnsi="宋体"/>
                <w:color w:val="auto"/>
                <w:szCs w:val="21"/>
                <w:highlight w:val="none"/>
              </w:rPr>
            </w:pPr>
          </w:p>
        </w:tc>
      </w:tr>
      <w:tr w14:paraId="50E944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7709D94C">
            <w:pPr>
              <w:pStyle w:val="138"/>
              <w:spacing w:line="440" w:lineRule="exact"/>
              <w:ind w:left="63" w:right="63"/>
              <w:rPr>
                <w:rFonts w:ascii="宋体" w:hAnsi="宋体"/>
                <w:color w:val="auto"/>
                <w:szCs w:val="21"/>
                <w:highlight w:val="none"/>
              </w:rPr>
            </w:pPr>
          </w:p>
        </w:tc>
        <w:tc>
          <w:tcPr>
            <w:tcW w:w="1276" w:type="dxa"/>
            <w:vAlign w:val="center"/>
          </w:tcPr>
          <w:p w14:paraId="3E8C3F14">
            <w:pPr>
              <w:pStyle w:val="138"/>
              <w:spacing w:line="440" w:lineRule="exact"/>
              <w:ind w:left="63" w:right="63"/>
              <w:rPr>
                <w:rFonts w:ascii="宋体" w:hAnsi="宋体"/>
                <w:color w:val="auto"/>
                <w:szCs w:val="21"/>
                <w:highlight w:val="none"/>
              </w:rPr>
            </w:pPr>
          </w:p>
        </w:tc>
        <w:tc>
          <w:tcPr>
            <w:tcW w:w="1450" w:type="dxa"/>
            <w:vAlign w:val="center"/>
          </w:tcPr>
          <w:p w14:paraId="0CB268CC">
            <w:pPr>
              <w:pStyle w:val="138"/>
              <w:spacing w:line="440" w:lineRule="exact"/>
              <w:ind w:left="63" w:right="63"/>
              <w:rPr>
                <w:rFonts w:ascii="宋体" w:hAnsi="宋体"/>
                <w:color w:val="auto"/>
                <w:szCs w:val="21"/>
                <w:highlight w:val="none"/>
              </w:rPr>
            </w:pPr>
          </w:p>
        </w:tc>
        <w:tc>
          <w:tcPr>
            <w:tcW w:w="1243" w:type="dxa"/>
            <w:vAlign w:val="center"/>
          </w:tcPr>
          <w:p w14:paraId="246FC2FC">
            <w:pPr>
              <w:pStyle w:val="138"/>
              <w:spacing w:line="440" w:lineRule="exact"/>
              <w:ind w:left="63" w:right="63"/>
              <w:rPr>
                <w:rFonts w:ascii="宋体" w:hAnsi="宋体"/>
                <w:color w:val="auto"/>
                <w:szCs w:val="21"/>
                <w:highlight w:val="none"/>
              </w:rPr>
            </w:pPr>
          </w:p>
        </w:tc>
        <w:tc>
          <w:tcPr>
            <w:tcW w:w="1450" w:type="dxa"/>
            <w:vAlign w:val="center"/>
          </w:tcPr>
          <w:p w14:paraId="5471A046">
            <w:pPr>
              <w:pStyle w:val="138"/>
              <w:spacing w:line="440" w:lineRule="exact"/>
              <w:ind w:left="63" w:right="63"/>
              <w:rPr>
                <w:rFonts w:ascii="宋体" w:hAnsi="宋体"/>
                <w:color w:val="auto"/>
                <w:szCs w:val="21"/>
                <w:highlight w:val="none"/>
              </w:rPr>
            </w:pPr>
          </w:p>
        </w:tc>
        <w:tc>
          <w:tcPr>
            <w:tcW w:w="1667" w:type="dxa"/>
            <w:vAlign w:val="center"/>
          </w:tcPr>
          <w:p w14:paraId="53B0253C">
            <w:pPr>
              <w:pStyle w:val="138"/>
              <w:spacing w:line="440" w:lineRule="exact"/>
              <w:ind w:left="63" w:right="63"/>
              <w:rPr>
                <w:rFonts w:ascii="宋体" w:hAnsi="宋体"/>
                <w:color w:val="auto"/>
                <w:szCs w:val="21"/>
                <w:highlight w:val="none"/>
              </w:rPr>
            </w:pPr>
          </w:p>
        </w:tc>
      </w:tr>
      <w:tr w14:paraId="4EBCF1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4ECD84C9">
            <w:pPr>
              <w:pStyle w:val="138"/>
              <w:spacing w:line="440" w:lineRule="exact"/>
              <w:ind w:left="63" w:right="63"/>
              <w:rPr>
                <w:rFonts w:ascii="宋体" w:hAnsi="宋体"/>
                <w:color w:val="auto"/>
                <w:szCs w:val="21"/>
                <w:highlight w:val="none"/>
              </w:rPr>
            </w:pPr>
          </w:p>
        </w:tc>
        <w:tc>
          <w:tcPr>
            <w:tcW w:w="1276" w:type="dxa"/>
            <w:vAlign w:val="center"/>
          </w:tcPr>
          <w:p w14:paraId="41893D21">
            <w:pPr>
              <w:pStyle w:val="138"/>
              <w:spacing w:line="440" w:lineRule="exact"/>
              <w:ind w:left="63" w:right="63"/>
              <w:rPr>
                <w:rFonts w:ascii="宋体" w:hAnsi="宋体"/>
                <w:color w:val="auto"/>
                <w:szCs w:val="21"/>
                <w:highlight w:val="none"/>
              </w:rPr>
            </w:pPr>
          </w:p>
        </w:tc>
        <w:tc>
          <w:tcPr>
            <w:tcW w:w="1450" w:type="dxa"/>
            <w:vAlign w:val="center"/>
          </w:tcPr>
          <w:p w14:paraId="61031347">
            <w:pPr>
              <w:pStyle w:val="138"/>
              <w:spacing w:line="440" w:lineRule="exact"/>
              <w:ind w:left="63" w:right="63"/>
              <w:rPr>
                <w:rFonts w:ascii="宋体" w:hAnsi="宋体"/>
                <w:color w:val="auto"/>
                <w:szCs w:val="21"/>
                <w:highlight w:val="none"/>
              </w:rPr>
            </w:pPr>
          </w:p>
        </w:tc>
        <w:tc>
          <w:tcPr>
            <w:tcW w:w="1243" w:type="dxa"/>
            <w:vAlign w:val="center"/>
          </w:tcPr>
          <w:p w14:paraId="5E87DE12">
            <w:pPr>
              <w:pStyle w:val="138"/>
              <w:spacing w:line="440" w:lineRule="exact"/>
              <w:ind w:left="63" w:right="63"/>
              <w:rPr>
                <w:rFonts w:ascii="宋体" w:hAnsi="宋体"/>
                <w:color w:val="auto"/>
                <w:szCs w:val="21"/>
                <w:highlight w:val="none"/>
              </w:rPr>
            </w:pPr>
          </w:p>
        </w:tc>
        <w:tc>
          <w:tcPr>
            <w:tcW w:w="1450" w:type="dxa"/>
            <w:vAlign w:val="center"/>
          </w:tcPr>
          <w:p w14:paraId="2F66AB33">
            <w:pPr>
              <w:pStyle w:val="138"/>
              <w:spacing w:line="440" w:lineRule="exact"/>
              <w:ind w:left="63" w:right="63"/>
              <w:rPr>
                <w:rFonts w:ascii="宋体" w:hAnsi="宋体"/>
                <w:color w:val="auto"/>
                <w:szCs w:val="21"/>
                <w:highlight w:val="none"/>
              </w:rPr>
            </w:pPr>
          </w:p>
        </w:tc>
        <w:tc>
          <w:tcPr>
            <w:tcW w:w="1667" w:type="dxa"/>
            <w:vAlign w:val="center"/>
          </w:tcPr>
          <w:p w14:paraId="3CDC2617">
            <w:pPr>
              <w:pStyle w:val="138"/>
              <w:spacing w:line="440" w:lineRule="exact"/>
              <w:ind w:left="63" w:right="63"/>
              <w:rPr>
                <w:rFonts w:ascii="宋体" w:hAnsi="宋体"/>
                <w:color w:val="auto"/>
                <w:szCs w:val="21"/>
                <w:highlight w:val="none"/>
              </w:rPr>
            </w:pPr>
          </w:p>
        </w:tc>
      </w:tr>
      <w:tr w14:paraId="7C1365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tcPr>
          <w:p w14:paraId="13E795DD">
            <w:pPr>
              <w:pStyle w:val="61"/>
              <w:rPr>
                <w:rFonts w:ascii="宋体" w:hAnsi="宋体"/>
                <w:color w:val="auto"/>
                <w:szCs w:val="21"/>
                <w:highlight w:val="none"/>
              </w:rPr>
            </w:pPr>
          </w:p>
        </w:tc>
        <w:tc>
          <w:tcPr>
            <w:tcW w:w="1276" w:type="dxa"/>
          </w:tcPr>
          <w:p w14:paraId="046EEDAB">
            <w:pPr>
              <w:pStyle w:val="61"/>
              <w:rPr>
                <w:rFonts w:ascii="宋体" w:hAnsi="宋体"/>
                <w:color w:val="auto"/>
                <w:szCs w:val="21"/>
                <w:highlight w:val="none"/>
              </w:rPr>
            </w:pPr>
          </w:p>
        </w:tc>
        <w:tc>
          <w:tcPr>
            <w:tcW w:w="1450" w:type="dxa"/>
          </w:tcPr>
          <w:p w14:paraId="2F9CB229">
            <w:pPr>
              <w:pStyle w:val="61"/>
              <w:rPr>
                <w:rFonts w:ascii="宋体" w:hAnsi="宋体"/>
                <w:color w:val="auto"/>
                <w:szCs w:val="21"/>
                <w:highlight w:val="none"/>
              </w:rPr>
            </w:pPr>
          </w:p>
        </w:tc>
        <w:tc>
          <w:tcPr>
            <w:tcW w:w="1243" w:type="dxa"/>
          </w:tcPr>
          <w:p w14:paraId="05758B2F">
            <w:pPr>
              <w:pStyle w:val="61"/>
              <w:rPr>
                <w:rFonts w:ascii="宋体" w:hAnsi="宋体"/>
                <w:color w:val="auto"/>
                <w:szCs w:val="21"/>
                <w:highlight w:val="none"/>
              </w:rPr>
            </w:pPr>
          </w:p>
        </w:tc>
        <w:tc>
          <w:tcPr>
            <w:tcW w:w="1450" w:type="dxa"/>
          </w:tcPr>
          <w:p w14:paraId="7BA002E7">
            <w:pPr>
              <w:pStyle w:val="61"/>
              <w:rPr>
                <w:rFonts w:ascii="宋体" w:hAnsi="宋体"/>
                <w:color w:val="auto"/>
                <w:szCs w:val="21"/>
                <w:highlight w:val="none"/>
              </w:rPr>
            </w:pPr>
          </w:p>
        </w:tc>
        <w:tc>
          <w:tcPr>
            <w:tcW w:w="1667" w:type="dxa"/>
          </w:tcPr>
          <w:p w14:paraId="4453A5E2">
            <w:pPr>
              <w:pStyle w:val="61"/>
              <w:rPr>
                <w:rFonts w:ascii="宋体" w:hAnsi="宋体"/>
                <w:color w:val="auto"/>
                <w:szCs w:val="21"/>
                <w:highlight w:val="none"/>
              </w:rPr>
            </w:pPr>
          </w:p>
        </w:tc>
      </w:tr>
      <w:tr w14:paraId="5F1867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67D8B635">
            <w:pPr>
              <w:pStyle w:val="138"/>
              <w:spacing w:line="440" w:lineRule="exact"/>
              <w:ind w:left="63" w:right="63"/>
              <w:rPr>
                <w:rFonts w:ascii="宋体" w:hAnsi="宋体"/>
                <w:color w:val="auto"/>
                <w:szCs w:val="21"/>
                <w:highlight w:val="none"/>
              </w:rPr>
            </w:pPr>
          </w:p>
        </w:tc>
        <w:tc>
          <w:tcPr>
            <w:tcW w:w="1276" w:type="dxa"/>
            <w:vAlign w:val="center"/>
          </w:tcPr>
          <w:p w14:paraId="25EB4779">
            <w:pPr>
              <w:pStyle w:val="138"/>
              <w:spacing w:line="440" w:lineRule="exact"/>
              <w:ind w:left="63" w:right="63"/>
              <w:rPr>
                <w:rFonts w:ascii="宋体" w:hAnsi="宋体"/>
                <w:color w:val="auto"/>
                <w:szCs w:val="21"/>
                <w:highlight w:val="none"/>
              </w:rPr>
            </w:pPr>
          </w:p>
        </w:tc>
        <w:tc>
          <w:tcPr>
            <w:tcW w:w="1450" w:type="dxa"/>
            <w:vAlign w:val="center"/>
          </w:tcPr>
          <w:p w14:paraId="3FD50AA9">
            <w:pPr>
              <w:pStyle w:val="138"/>
              <w:spacing w:line="440" w:lineRule="exact"/>
              <w:ind w:left="63" w:right="63"/>
              <w:rPr>
                <w:rFonts w:ascii="宋体" w:hAnsi="宋体"/>
                <w:color w:val="auto"/>
                <w:szCs w:val="21"/>
                <w:highlight w:val="none"/>
              </w:rPr>
            </w:pPr>
          </w:p>
        </w:tc>
        <w:tc>
          <w:tcPr>
            <w:tcW w:w="1243" w:type="dxa"/>
            <w:vAlign w:val="center"/>
          </w:tcPr>
          <w:p w14:paraId="11F3086E">
            <w:pPr>
              <w:pStyle w:val="138"/>
              <w:spacing w:line="440" w:lineRule="exact"/>
              <w:ind w:left="63" w:right="63"/>
              <w:rPr>
                <w:rFonts w:ascii="宋体" w:hAnsi="宋体"/>
                <w:color w:val="auto"/>
                <w:szCs w:val="21"/>
                <w:highlight w:val="none"/>
              </w:rPr>
            </w:pPr>
          </w:p>
        </w:tc>
        <w:tc>
          <w:tcPr>
            <w:tcW w:w="1450" w:type="dxa"/>
            <w:vAlign w:val="center"/>
          </w:tcPr>
          <w:p w14:paraId="4817EAD3">
            <w:pPr>
              <w:pStyle w:val="138"/>
              <w:spacing w:line="440" w:lineRule="exact"/>
              <w:ind w:left="63" w:right="63"/>
              <w:rPr>
                <w:rFonts w:ascii="宋体" w:hAnsi="宋体"/>
                <w:color w:val="auto"/>
                <w:szCs w:val="21"/>
                <w:highlight w:val="none"/>
              </w:rPr>
            </w:pPr>
          </w:p>
        </w:tc>
        <w:tc>
          <w:tcPr>
            <w:tcW w:w="1667" w:type="dxa"/>
            <w:vAlign w:val="center"/>
          </w:tcPr>
          <w:p w14:paraId="2C379784">
            <w:pPr>
              <w:pStyle w:val="138"/>
              <w:spacing w:line="440" w:lineRule="exact"/>
              <w:ind w:left="63" w:right="63"/>
              <w:rPr>
                <w:rFonts w:ascii="宋体" w:hAnsi="宋体"/>
                <w:color w:val="auto"/>
                <w:szCs w:val="21"/>
                <w:highlight w:val="none"/>
              </w:rPr>
            </w:pPr>
          </w:p>
        </w:tc>
      </w:tr>
      <w:tr w14:paraId="1D929C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tcPr>
          <w:p w14:paraId="3F83C2D4">
            <w:pPr>
              <w:pStyle w:val="61"/>
              <w:rPr>
                <w:rFonts w:ascii="宋体" w:hAnsi="宋体"/>
                <w:color w:val="auto"/>
                <w:szCs w:val="21"/>
                <w:highlight w:val="none"/>
              </w:rPr>
            </w:pPr>
          </w:p>
        </w:tc>
        <w:tc>
          <w:tcPr>
            <w:tcW w:w="1276" w:type="dxa"/>
          </w:tcPr>
          <w:p w14:paraId="3CFC46EB">
            <w:pPr>
              <w:pStyle w:val="61"/>
              <w:rPr>
                <w:rFonts w:ascii="宋体" w:hAnsi="宋体"/>
                <w:color w:val="auto"/>
                <w:szCs w:val="21"/>
                <w:highlight w:val="none"/>
              </w:rPr>
            </w:pPr>
          </w:p>
        </w:tc>
        <w:tc>
          <w:tcPr>
            <w:tcW w:w="1450" w:type="dxa"/>
          </w:tcPr>
          <w:p w14:paraId="069A6C8B">
            <w:pPr>
              <w:pStyle w:val="61"/>
              <w:rPr>
                <w:rFonts w:ascii="宋体" w:hAnsi="宋体"/>
                <w:color w:val="auto"/>
                <w:szCs w:val="21"/>
                <w:highlight w:val="none"/>
              </w:rPr>
            </w:pPr>
          </w:p>
        </w:tc>
        <w:tc>
          <w:tcPr>
            <w:tcW w:w="1243" w:type="dxa"/>
          </w:tcPr>
          <w:p w14:paraId="78421846">
            <w:pPr>
              <w:pStyle w:val="61"/>
              <w:rPr>
                <w:rFonts w:ascii="宋体" w:hAnsi="宋体"/>
                <w:color w:val="auto"/>
                <w:szCs w:val="21"/>
                <w:highlight w:val="none"/>
              </w:rPr>
            </w:pPr>
          </w:p>
        </w:tc>
        <w:tc>
          <w:tcPr>
            <w:tcW w:w="1450" w:type="dxa"/>
          </w:tcPr>
          <w:p w14:paraId="1BCF324E">
            <w:pPr>
              <w:pStyle w:val="61"/>
              <w:rPr>
                <w:rFonts w:ascii="宋体" w:hAnsi="宋体"/>
                <w:color w:val="auto"/>
                <w:szCs w:val="21"/>
                <w:highlight w:val="none"/>
              </w:rPr>
            </w:pPr>
          </w:p>
        </w:tc>
        <w:tc>
          <w:tcPr>
            <w:tcW w:w="1667" w:type="dxa"/>
          </w:tcPr>
          <w:p w14:paraId="284DAFA9">
            <w:pPr>
              <w:pStyle w:val="61"/>
              <w:rPr>
                <w:rFonts w:ascii="宋体" w:hAnsi="宋体"/>
                <w:color w:val="auto"/>
                <w:szCs w:val="21"/>
                <w:highlight w:val="none"/>
              </w:rPr>
            </w:pPr>
          </w:p>
        </w:tc>
      </w:tr>
      <w:tr w14:paraId="083E9C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tcPr>
          <w:p w14:paraId="0554AAB3">
            <w:pPr>
              <w:pStyle w:val="61"/>
              <w:rPr>
                <w:rFonts w:ascii="宋体" w:hAnsi="宋体"/>
                <w:color w:val="auto"/>
                <w:szCs w:val="21"/>
                <w:highlight w:val="none"/>
              </w:rPr>
            </w:pPr>
          </w:p>
        </w:tc>
        <w:tc>
          <w:tcPr>
            <w:tcW w:w="1276" w:type="dxa"/>
          </w:tcPr>
          <w:p w14:paraId="035A6B81">
            <w:pPr>
              <w:pStyle w:val="61"/>
              <w:rPr>
                <w:rFonts w:ascii="宋体" w:hAnsi="宋体"/>
                <w:color w:val="auto"/>
                <w:szCs w:val="21"/>
                <w:highlight w:val="none"/>
              </w:rPr>
            </w:pPr>
          </w:p>
        </w:tc>
        <w:tc>
          <w:tcPr>
            <w:tcW w:w="1450" w:type="dxa"/>
          </w:tcPr>
          <w:p w14:paraId="240D0808">
            <w:pPr>
              <w:pStyle w:val="61"/>
              <w:rPr>
                <w:rFonts w:ascii="宋体" w:hAnsi="宋体"/>
                <w:color w:val="auto"/>
                <w:szCs w:val="21"/>
                <w:highlight w:val="none"/>
              </w:rPr>
            </w:pPr>
          </w:p>
        </w:tc>
        <w:tc>
          <w:tcPr>
            <w:tcW w:w="1243" w:type="dxa"/>
          </w:tcPr>
          <w:p w14:paraId="3A199AAD">
            <w:pPr>
              <w:pStyle w:val="61"/>
              <w:rPr>
                <w:rFonts w:ascii="宋体" w:hAnsi="宋体"/>
                <w:color w:val="auto"/>
                <w:szCs w:val="21"/>
                <w:highlight w:val="none"/>
              </w:rPr>
            </w:pPr>
          </w:p>
        </w:tc>
        <w:tc>
          <w:tcPr>
            <w:tcW w:w="1450" w:type="dxa"/>
          </w:tcPr>
          <w:p w14:paraId="5E21F683">
            <w:pPr>
              <w:pStyle w:val="61"/>
              <w:rPr>
                <w:rFonts w:ascii="宋体" w:hAnsi="宋体"/>
                <w:color w:val="auto"/>
                <w:szCs w:val="21"/>
                <w:highlight w:val="none"/>
              </w:rPr>
            </w:pPr>
          </w:p>
        </w:tc>
        <w:tc>
          <w:tcPr>
            <w:tcW w:w="1667" w:type="dxa"/>
          </w:tcPr>
          <w:p w14:paraId="1E53F66D">
            <w:pPr>
              <w:pStyle w:val="61"/>
              <w:rPr>
                <w:rFonts w:ascii="宋体" w:hAnsi="宋体"/>
                <w:color w:val="auto"/>
                <w:szCs w:val="21"/>
                <w:highlight w:val="none"/>
              </w:rPr>
            </w:pPr>
          </w:p>
        </w:tc>
      </w:tr>
      <w:tr w14:paraId="248C0D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tcPr>
          <w:p w14:paraId="3D8BFC68">
            <w:pPr>
              <w:pStyle w:val="61"/>
              <w:rPr>
                <w:rFonts w:ascii="宋体" w:hAnsi="宋体"/>
                <w:color w:val="auto"/>
                <w:szCs w:val="21"/>
                <w:highlight w:val="none"/>
              </w:rPr>
            </w:pPr>
          </w:p>
        </w:tc>
        <w:tc>
          <w:tcPr>
            <w:tcW w:w="1276" w:type="dxa"/>
          </w:tcPr>
          <w:p w14:paraId="28B343E4">
            <w:pPr>
              <w:pStyle w:val="61"/>
              <w:rPr>
                <w:rFonts w:ascii="宋体" w:hAnsi="宋体"/>
                <w:color w:val="auto"/>
                <w:szCs w:val="21"/>
                <w:highlight w:val="none"/>
              </w:rPr>
            </w:pPr>
          </w:p>
        </w:tc>
        <w:tc>
          <w:tcPr>
            <w:tcW w:w="1450" w:type="dxa"/>
          </w:tcPr>
          <w:p w14:paraId="0B3494A8">
            <w:pPr>
              <w:pStyle w:val="61"/>
              <w:rPr>
                <w:rFonts w:ascii="宋体" w:hAnsi="宋体"/>
                <w:color w:val="auto"/>
                <w:szCs w:val="21"/>
                <w:highlight w:val="none"/>
              </w:rPr>
            </w:pPr>
          </w:p>
        </w:tc>
        <w:tc>
          <w:tcPr>
            <w:tcW w:w="1243" w:type="dxa"/>
          </w:tcPr>
          <w:p w14:paraId="68FB1EEA">
            <w:pPr>
              <w:pStyle w:val="61"/>
              <w:rPr>
                <w:rFonts w:ascii="宋体" w:hAnsi="宋体"/>
                <w:color w:val="auto"/>
                <w:szCs w:val="21"/>
                <w:highlight w:val="none"/>
              </w:rPr>
            </w:pPr>
          </w:p>
        </w:tc>
        <w:tc>
          <w:tcPr>
            <w:tcW w:w="1450" w:type="dxa"/>
          </w:tcPr>
          <w:p w14:paraId="6CE97879">
            <w:pPr>
              <w:pStyle w:val="61"/>
              <w:rPr>
                <w:rFonts w:ascii="宋体" w:hAnsi="宋体"/>
                <w:color w:val="auto"/>
                <w:szCs w:val="21"/>
                <w:highlight w:val="none"/>
              </w:rPr>
            </w:pPr>
          </w:p>
        </w:tc>
        <w:tc>
          <w:tcPr>
            <w:tcW w:w="1667" w:type="dxa"/>
          </w:tcPr>
          <w:p w14:paraId="44373955">
            <w:pPr>
              <w:pStyle w:val="61"/>
              <w:rPr>
                <w:rFonts w:ascii="宋体" w:hAnsi="宋体"/>
                <w:color w:val="auto"/>
                <w:szCs w:val="21"/>
                <w:highlight w:val="none"/>
              </w:rPr>
            </w:pPr>
          </w:p>
        </w:tc>
      </w:tr>
      <w:tr w14:paraId="7D9135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tcPr>
          <w:p w14:paraId="16A8A89F">
            <w:pPr>
              <w:pStyle w:val="61"/>
              <w:rPr>
                <w:rFonts w:ascii="宋体" w:hAnsi="宋体"/>
                <w:color w:val="auto"/>
                <w:szCs w:val="21"/>
                <w:highlight w:val="none"/>
              </w:rPr>
            </w:pPr>
          </w:p>
        </w:tc>
        <w:tc>
          <w:tcPr>
            <w:tcW w:w="1276" w:type="dxa"/>
          </w:tcPr>
          <w:p w14:paraId="7BD1F2F3">
            <w:pPr>
              <w:pStyle w:val="61"/>
              <w:rPr>
                <w:rFonts w:ascii="宋体" w:hAnsi="宋体"/>
                <w:color w:val="auto"/>
                <w:szCs w:val="21"/>
                <w:highlight w:val="none"/>
              </w:rPr>
            </w:pPr>
          </w:p>
        </w:tc>
        <w:tc>
          <w:tcPr>
            <w:tcW w:w="1450" w:type="dxa"/>
          </w:tcPr>
          <w:p w14:paraId="46615F3C">
            <w:pPr>
              <w:pStyle w:val="61"/>
              <w:rPr>
                <w:rFonts w:ascii="宋体" w:hAnsi="宋体"/>
                <w:color w:val="auto"/>
                <w:szCs w:val="21"/>
                <w:highlight w:val="none"/>
              </w:rPr>
            </w:pPr>
          </w:p>
        </w:tc>
        <w:tc>
          <w:tcPr>
            <w:tcW w:w="1243" w:type="dxa"/>
          </w:tcPr>
          <w:p w14:paraId="1FBD8008">
            <w:pPr>
              <w:pStyle w:val="61"/>
              <w:rPr>
                <w:rFonts w:ascii="宋体" w:hAnsi="宋体"/>
                <w:color w:val="auto"/>
                <w:szCs w:val="21"/>
                <w:highlight w:val="none"/>
              </w:rPr>
            </w:pPr>
          </w:p>
        </w:tc>
        <w:tc>
          <w:tcPr>
            <w:tcW w:w="1450" w:type="dxa"/>
          </w:tcPr>
          <w:p w14:paraId="622116D7">
            <w:pPr>
              <w:pStyle w:val="61"/>
              <w:rPr>
                <w:rFonts w:ascii="宋体" w:hAnsi="宋体"/>
                <w:color w:val="auto"/>
                <w:szCs w:val="21"/>
                <w:highlight w:val="none"/>
              </w:rPr>
            </w:pPr>
          </w:p>
        </w:tc>
        <w:tc>
          <w:tcPr>
            <w:tcW w:w="1667" w:type="dxa"/>
          </w:tcPr>
          <w:p w14:paraId="5E3F197B">
            <w:pPr>
              <w:pStyle w:val="61"/>
              <w:rPr>
                <w:rFonts w:ascii="宋体" w:hAnsi="宋体"/>
                <w:color w:val="auto"/>
                <w:szCs w:val="21"/>
                <w:highlight w:val="none"/>
              </w:rPr>
            </w:pPr>
          </w:p>
        </w:tc>
      </w:tr>
      <w:tr w14:paraId="4E7CD5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tcPr>
          <w:p w14:paraId="41BE9194">
            <w:pPr>
              <w:pStyle w:val="61"/>
              <w:rPr>
                <w:rFonts w:ascii="宋体" w:hAnsi="宋体"/>
                <w:color w:val="auto"/>
                <w:szCs w:val="21"/>
                <w:highlight w:val="none"/>
              </w:rPr>
            </w:pPr>
          </w:p>
        </w:tc>
        <w:tc>
          <w:tcPr>
            <w:tcW w:w="1276" w:type="dxa"/>
          </w:tcPr>
          <w:p w14:paraId="05CF290E">
            <w:pPr>
              <w:pStyle w:val="61"/>
              <w:rPr>
                <w:rFonts w:ascii="宋体" w:hAnsi="宋体"/>
                <w:color w:val="auto"/>
                <w:szCs w:val="21"/>
                <w:highlight w:val="none"/>
              </w:rPr>
            </w:pPr>
          </w:p>
        </w:tc>
        <w:tc>
          <w:tcPr>
            <w:tcW w:w="1450" w:type="dxa"/>
          </w:tcPr>
          <w:p w14:paraId="162EB1C8">
            <w:pPr>
              <w:pStyle w:val="61"/>
              <w:rPr>
                <w:rFonts w:ascii="宋体" w:hAnsi="宋体"/>
                <w:color w:val="auto"/>
                <w:szCs w:val="21"/>
                <w:highlight w:val="none"/>
              </w:rPr>
            </w:pPr>
          </w:p>
        </w:tc>
        <w:tc>
          <w:tcPr>
            <w:tcW w:w="1243" w:type="dxa"/>
          </w:tcPr>
          <w:p w14:paraId="6007FA0A">
            <w:pPr>
              <w:pStyle w:val="61"/>
              <w:rPr>
                <w:rFonts w:ascii="宋体" w:hAnsi="宋体"/>
                <w:color w:val="auto"/>
                <w:szCs w:val="21"/>
                <w:highlight w:val="none"/>
              </w:rPr>
            </w:pPr>
          </w:p>
        </w:tc>
        <w:tc>
          <w:tcPr>
            <w:tcW w:w="1450" w:type="dxa"/>
          </w:tcPr>
          <w:p w14:paraId="5B2A6BDF">
            <w:pPr>
              <w:pStyle w:val="61"/>
              <w:rPr>
                <w:rFonts w:ascii="宋体" w:hAnsi="宋体"/>
                <w:color w:val="auto"/>
                <w:szCs w:val="21"/>
                <w:highlight w:val="none"/>
              </w:rPr>
            </w:pPr>
          </w:p>
        </w:tc>
        <w:tc>
          <w:tcPr>
            <w:tcW w:w="1667" w:type="dxa"/>
          </w:tcPr>
          <w:p w14:paraId="1F32220C">
            <w:pPr>
              <w:pStyle w:val="61"/>
              <w:rPr>
                <w:rFonts w:ascii="宋体" w:hAnsi="宋体"/>
                <w:color w:val="auto"/>
                <w:szCs w:val="21"/>
                <w:highlight w:val="none"/>
              </w:rPr>
            </w:pPr>
          </w:p>
        </w:tc>
      </w:tr>
      <w:tr w14:paraId="560AF8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tcPr>
          <w:p w14:paraId="04F51A72">
            <w:pPr>
              <w:pStyle w:val="61"/>
              <w:rPr>
                <w:rFonts w:ascii="宋体" w:hAnsi="宋体"/>
                <w:color w:val="auto"/>
                <w:szCs w:val="21"/>
                <w:highlight w:val="none"/>
              </w:rPr>
            </w:pPr>
          </w:p>
        </w:tc>
        <w:tc>
          <w:tcPr>
            <w:tcW w:w="1276" w:type="dxa"/>
          </w:tcPr>
          <w:p w14:paraId="2D4C2EC1">
            <w:pPr>
              <w:pStyle w:val="61"/>
              <w:rPr>
                <w:rFonts w:ascii="宋体" w:hAnsi="宋体"/>
                <w:color w:val="auto"/>
                <w:szCs w:val="21"/>
                <w:highlight w:val="none"/>
              </w:rPr>
            </w:pPr>
          </w:p>
        </w:tc>
        <w:tc>
          <w:tcPr>
            <w:tcW w:w="1450" w:type="dxa"/>
          </w:tcPr>
          <w:p w14:paraId="2B809304">
            <w:pPr>
              <w:pStyle w:val="61"/>
              <w:rPr>
                <w:rFonts w:ascii="宋体" w:hAnsi="宋体"/>
                <w:color w:val="auto"/>
                <w:szCs w:val="21"/>
                <w:highlight w:val="none"/>
              </w:rPr>
            </w:pPr>
          </w:p>
        </w:tc>
        <w:tc>
          <w:tcPr>
            <w:tcW w:w="1243" w:type="dxa"/>
          </w:tcPr>
          <w:p w14:paraId="76A95F3C">
            <w:pPr>
              <w:pStyle w:val="61"/>
              <w:rPr>
                <w:rFonts w:ascii="宋体" w:hAnsi="宋体"/>
                <w:color w:val="auto"/>
                <w:szCs w:val="21"/>
                <w:highlight w:val="none"/>
              </w:rPr>
            </w:pPr>
          </w:p>
        </w:tc>
        <w:tc>
          <w:tcPr>
            <w:tcW w:w="1450" w:type="dxa"/>
          </w:tcPr>
          <w:p w14:paraId="7FC6F98C">
            <w:pPr>
              <w:pStyle w:val="61"/>
              <w:rPr>
                <w:rFonts w:ascii="宋体" w:hAnsi="宋体"/>
                <w:color w:val="auto"/>
                <w:szCs w:val="21"/>
                <w:highlight w:val="none"/>
              </w:rPr>
            </w:pPr>
          </w:p>
        </w:tc>
        <w:tc>
          <w:tcPr>
            <w:tcW w:w="1667" w:type="dxa"/>
          </w:tcPr>
          <w:p w14:paraId="0C225DAC">
            <w:pPr>
              <w:pStyle w:val="61"/>
              <w:rPr>
                <w:rFonts w:ascii="宋体" w:hAnsi="宋体"/>
                <w:color w:val="auto"/>
                <w:szCs w:val="21"/>
                <w:highlight w:val="none"/>
              </w:rPr>
            </w:pPr>
          </w:p>
        </w:tc>
      </w:tr>
      <w:tr w14:paraId="52C224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tcPr>
          <w:p w14:paraId="6B12ACD8">
            <w:pPr>
              <w:pStyle w:val="61"/>
              <w:rPr>
                <w:rFonts w:ascii="宋体" w:hAnsi="宋体"/>
                <w:color w:val="auto"/>
                <w:szCs w:val="21"/>
                <w:highlight w:val="none"/>
              </w:rPr>
            </w:pPr>
          </w:p>
        </w:tc>
        <w:tc>
          <w:tcPr>
            <w:tcW w:w="1276" w:type="dxa"/>
          </w:tcPr>
          <w:p w14:paraId="11997AE1">
            <w:pPr>
              <w:pStyle w:val="61"/>
              <w:rPr>
                <w:rFonts w:ascii="宋体" w:hAnsi="宋体"/>
                <w:color w:val="auto"/>
                <w:szCs w:val="21"/>
                <w:highlight w:val="none"/>
              </w:rPr>
            </w:pPr>
          </w:p>
        </w:tc>
        <w:tc>
          <w:tcPr>
            <w:tcW w:w="1450" w:type="dxa"/>
          </w:tcPr>
          <w:p w14:paraId="58BA9686">
            <w:pPr>
              <w:pStyle w:val="61"/>
              <w:rPr>
                <w:rFonts w:ascii="宋体" w:hAnsi="宋体"/>
                <w:color w:val="auto"/>
                <w:szCs w:val="21"/>
                <w:highlight w:val="none"/>
              </w:rPr>
            </w:pPr>
          </w:p>
        </w:tc>
        <w:tc>
          <w:tcPr>
            <w:tcW w:w="1243" w:type="dxa"/>
          </w:tcPr>
          <w:p w14:paraId="4D9F15F1">
            <w:pPr>
              <w:pStyle w:val="61"/>
              <w:rPr>
                <w:rFonts w:ascii="宋体" w:hAnsi="宋体"/>
                <w:color w:val="auto"/>
                <w:szCs w:val="21"/>
                <w:highlight w:val="none"/>
              </w:rPr>
            </w:pPr>
          </w:p>
        </w:tc>
        <w:tc>
          <w:tcPr>
            <w:tcW w:w="1450" w:type="dxa"/>
          </w:tcPr>
          <w:p w14:paraId="24317290">
            <w:pPr>
              <w:pStyle w:val="61"/>
              <w:rPr>
                <w:rFonts w:ascii="宋体" w:hAnsi="宋体"/>
                <w:color w:val="auto"/>
                <w:szCs w:val="21"/>
                <w:highlight w:val="none"/>
              </w:rPr>
            </w:pPr>
          </w:p>
        </w:tc>
        <w:tc>
          <w:tcPr>
            <w:tcW w:w="1667" w:type="dxa"/>
          </w:tcPr>
          <w:p w14:paraId="46EEC935">
            <w:pPr>
              <w:pStyle w:val="61"/>
              <w:rPr>
                <w:rFonts w:ascii="宋体" w:hAnsi="宋体"/>
                <w:color w:val="auto"/>
                <w:szCs w:val="21"/>
                <w:highlight w:val="none"/>
              </w:rPr>
            </w:pPr>
          </w:p>
        </w:tc>
      </w:tr>
      <w:tr w14:paraId="649E13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tcPr>
          <w:p w14:paraId="66F9C5C5">
            <w:pPr>
              <w:pStyle w:val="61"/>
              <w:rPr>
                <w:rFonts w:ascii="宋体" w:hAnsi="宋体"/>
                <w:color w:val="auto"/>
                <w:szCs w:val="21"/>
                <w:highlight w:val="none"/>
              </w:rPr>
            </w:pPr>
          </w:p>
        </w:tc>
        <w:tc>
          <w:tcPr>
            <w:tcW w:w="1276" w:type="dxa"/>
          </w:tcPr>
          <w:p w14:paraId="32C8E018">
            <w:pPr>
              <w:pStyle w:val="61"/>
              <w:rPr>
                <w:rFonts w:ascii="宋体" w:hAnsi="宋体"/>
                <w:color w:val="auto"/>
                <w:szCs w:val="21"/>
                <w:highlight w:val="none"/>
              </w:rPr>
            </w:pPr>
          </w:p>
        </w:tc>
        <w:tc>
          <w:tcPr>
            <w:tcW w:w="1450" w:type="dxa"/>
          </w:tcPr>
          <w:p w14:paraId="74BADD73">
            <w:pPr>
              <w:pStyle w:val="61"/>
              <w:rPr>
                <w:rFonts w:ascii="宋体" w:hAnsi="宋体"/>
                <w:color w:val="auto"/>
                <w:szCs w:val="21"/>
                <w:highlight w:val="none"/>
              </w:rPr>
            </w:pPr>
          </w:p>
        </w:tc>
        <w:tc>
          <w:tcPr>
            <w:tcW w:w="1243" w:type="dxa"/>
          </w:tcPr>
          <w:p w14:paraId="365B2EEE">
            <w:pPr>
              <w:pStyle w:val="61"/>
              <w:rPr>
                <w:rFonts w:ascii="宋体" w:hAnsi="宋体"/>
                <w:color w:val="auto"/>
                <w:szCs w:val="21"/>
                <w:highlight w:val="none"/>
              </w:rPr>
            </w:pPr>
          </w:p>
        </w:tc>
        <w:tc>
          <w:tcPr>
            <w:tcW w:w="1450" w:type="dxa"/>
          </w:tcPr>
          <w:p w14:paraId="609206A2">
            <w:pPr>
              <w:pStyle w:val="61"/>
              <w:rPr>
                <w:rFonts w:ascii="宋体" w:hAnsi="宋体"/>
                <w:color w:val="auto"/>
                <w:szCs w:val="21"/>
                <w:highlight w:val="none"/>
              </w:rPr>
            </w:pPr>
          </w:p>
        </w:tc>
        <w:tc>
          <w:tcPr>
            <w:tcW w:w="1667" w:type="dxa"/>
          </w:tcPr>
          <w:p w14:paraId="4456057B">
            <w:pPr>
              <w:pStyle w:val="61"/>
              <w:rPr>
                <w:rFonts w:ascii="宋体" w:hAnsi="宋体"/>
                <w:color w:val="auto"/>
                <w:szCs w:val="21"/>
                <w:highlight w:val="none"/>
              </w:rPr>
            </w:pPr>
          </w:p>
        </w:tc>
      </w:tr>
      <w:tr w14:paraId="0C0DC6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tcPr>
          <w:p w14:paraId="62B7B46C">
            <w:pPr>
              <w:pStyle w:val="61"/>
              <w:rPr>
                <w:rFonts w:ascii="宋体" w:hAnsi="宋体"/>
                <w:color w:val="auto"/>
                <w:szCs w:val="21"/>
                <w:highlight w:val="none"/>
              </w:rPr>
            </w:pPr>
          </w:p>
        </w:tc>
        <w:tc>
          <w:tcPr>
            <w:tcW w:w="1276" w:type="dxa"/>
          </w:tcPr>
          <w:p w14:paraId="07D1A99F">
            <w:pPr>
              <w:pStyle w:val="61"/>
              <w:rPr>
                <w:rFonts w:ascii="宋体" w:hAnsi="宋体"/>
                <w:color w:val="auto"/>
                <w:szCs w:val="21"/>
                <w:highlight w:val="none"/>
              </w:rPr>
            </w:pPr>
          </w:p>
        </w:tc>
        <w:tc>
          <w:tcPr>
            <w:tcW w:w="1450" w:type="dxa"/>
          </w:tcPr>
          <w:p w14:paraId="207F3BFC">
            <w:pPr>
              <w:pStyle w:val="61"/>
              <w:rPr>
                <w:rFonts w:ascii="宋体" w:hAnsi="宋体"/>
                <w:color w:val="auto"/>
                <w:szCs w:val="21"/>
                <w:highlight w:val="none"/>
              </w:rPr>
            </w:pPr>
          </w:p>
        </w:tc>
        <w:tc>
          <w:tcPr>
            <w:tcW w:w="1243" w:type="dxa"/>
          </w:tcPr>
          <w:p w14:paraId="35C43EB5">
            <w:pPr>
              <w:pStyle w:val="61"/>
              <w:rPr>
                <w:rFonts w:ascii="宋体" w:hAnsi="宋体"/>
                <w:color w:val="auto"/>
                <w:szCs w:val="21"/>
                <w:highlight w:val="none"/>
              </w:rPr>
            </w:pPr>
          </w:p>
        </w:tc>
        <w:tc>
          <w:tcPr>
            <w:tcW w:w="1450" w:type="dxa"/>
          </w:tcPr>
          <w:p w14:paraId="63CEC5E0">
            <w:pPr>
              <w:pStyle w:val="61"/>
              <w:rPr>
                <w:rFonts w:ascii="宋体" w:hAnsi="宋体"/>
                <w:color w:val="auto"/>
                <w:szCs w:val="21"/>
                <w:highlight w:val="none"/>
              </w:rPr>
            </w:pPr>
          </w:p>
        </w:tc>
        <w:tc>
          <w:tcPr>
            <w:tcW w:w="1667" w:type="dxa"/>
          </w:tcPr>
          <w:p w14:paraId="5F774C2C">
            <w:pPr>
              <w:pStyle w:val="61"/>
              <w:rPr>
                <w:rFonts w:ascii="宋体" w:hAnsi="宋体"/>
                <w:color w:val="auto"/>
                <w:szCs w:val="21"/>
                <w:highlight w:val="none"/>
              </w:rPr>
            </w:pPr>
          </w:p>
        </w:tc>
      </w:tr>
    </w:tbl>
    <w:p w14:paraId="060200CE">
      <w:pPr>
        <w:pStyle w:val="61"/>
        <w:spacing w:line="440" w:lineRule="exact"/>
        <w:rPr>
          <w:rFonts w:ascii="宋体" w:hAnsi="宋体"/>
          <w:color w:val="auto"/>
          <w:szCs w:val="21"/>
          <w:highlight w:val="none"/>
        </w:rPr>
      </w:pPr>
    </w:p>
    <w:p w14:paraId="0939CDF7">
      <w:pPr>
        <w:pStyle w:val="61"/>
        <w:spacing w:line="440" w:lineRule="exact"/>
        <w:rPr>
          <w:rFonts w:ascii="宋体" w:hAnsi="宋体"/>
          <w:color w:val="auto"/>
          <w:szCs w:val="21"/>
          <w:highlight w:val="none"/>
        </w:rPr>
      </w:pPr>
      <w:r>
        <w:rPr>
          <w:rFonts w:hint="eastAsia" w:ascii="宋体" w:hAnsi="宋体"/>
          <w:color w:val="auto"/>
          <w:szCs w:val="21"/>
          <w:highlight w:val="none"/>
        </w:rPr>
        <w:br w:type="page"/>
      </w:r>
    </w:p>
    <w:p w14:paraId="62D34CCE">
      <w:pPr>
        <w:pStyle w:val="61"/>
        <w:spacing w:line="440" w:lineRule="exact"/>
        <w:rPr>
          <w:rFonts w:ascii="宋体" w:hAnsi="宋体"/>
          <w:b/>
          <w:bCs/>
          <w:color w:val="auto"/>
          <w:sz w:val="24"/>
          <w:szCs w:val="24"/>
          <w:highlight w:val="none"/>
        </w:rPr>
      </w:pPr>
      <w:bookmarkStart w:id="991" w:name="_Toc267261698"/>
      <w:bookmarkStart w:id="992" w:name="_Toc296891055"/>
      <w:bookmarkStart w:id="993" w:name="_Toc296346728"/>
      <w:bookmarkStart w:id="994" w:name="_Toc296347226"/>
      <w:bookmarkStart w:id="995" w:name="_Toc296503227"/>
      <w:bookmarkStart w:id="996" w:name="_Toc296944566"/>
      <w:bookmarkStart w:id="997" w:name="_Toc296891267"/>
      <w:r>
        <w:rPr>
          <w:rFonts w:hint="eastAsia" w:ascii="宋体" w:hAnsi="宋体"/>
          <w:b/>
          <w:bCs/>
          <w:color w:val="auto"/>
          <w:sz w:val="24"/>
          <w:szCs w:val="24"/>
          <w:highlight w:val="none"/>
        </w:rPr>
        <w:t>附件5：</w:t>
      </w:r>
    </w:p>
    <w:bookmarkEnd w:id="991"/>
    <w:bookmarkEnd w:id="992"/>
    <w:bookmarkEnd w:id="993"/>
    <w:bookmarkEnd w:id="994"/>
    <w:bookmarkEnd w:id="995"/>
    <w:bookmarkEnd w:id="996"/>
    <w:bookmarkEnd w:id="997"/>
    <w:p w14:paraId="1EE42328">
      <w:pPr>
        <w:pStyle w:val="61"/>
        <w:spacing w:before="165" w:after="165" w:line="44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承包人用于本工程施工的机械设备表</w:t>
      </w:r>
    </w:p>
    <w:p w14:paraId="13393A30">
      <w:pPr>
        <w:pStyle w:val="61"/>
        <w:spacing w:before="165" w:after="165" w:line="440" w:lineRule="exact"/>
        <w:jc w:val="center"/>
        <w:rPr>
          <w:rFonts w:ascii="宋体" w:hAnsi="宋体"/>
          <w:b/>
          <w:bCs/>
          <w:color w:val="auto"/>
          <w:sz w:val="24"/>
          <w:szCs w:val="24"/>
          <w:highlight w:val="none"/>
        </w:rPr>
      </w:pPr>
    </w:p>
    <w:tbl>
      <w:tblPr>
        <w:tblStyle w:val="41"/>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BF519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162" w:type="dxa"/>
            <w:vAlign w:val="center"/>
          </w:tcPr>
          <w:p w14:paraId="6FB5C6C5">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序号</w:t>
            </w:r>
          </w:p>
        </w:tc>
        <w:tc>
          <w:tcPr>
            <w:tcW w:w="1418" w:type="dxa"/>
            <w:vAlign w:val="center"/>
          </w:tcPr>
          <w:p w14:paraId="1AB0028C">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机械或设备名称</w:t>
            </w:r>
          </w:p>
        </w:tc>
        <w:tc>
          <w:tcPr>
            <w:tcW w:w="850" w:type="dxa"/>
            <w:vAlign w:val="center"/>
          </w:tcPr>
          <w:p w14:paraId="31DFDB84">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规格型号</w:t>
            </w:r>
          </w:p>
        </w:tc>
        <w:tc>
          <w:tcPr>
            <w:tcW w:w="1058" w:type="dxa"/>
            <w:vAlign w:val="center"/>
          </w:tcPr>
          <w:p w14:paraId="31A98013">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数量</w:t>
            </w:r>
          </w:p>
        </w:tc>
        <w:tc>
          <w:tcPr>
            <w:tcW w:w="880" w:type="dxa"/>
            <w:vAlign w:val="center"/>
          </w:tcPr>
          <w:p w14:paraId="473C0CBE">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产地</w:t>
            </w:r>
          </w:p>
        </w:tc>
        <w:tc>
          <w:tcPr>
            <w:tcW w:w="1020" w:type="dxa"/>
            <w:vAlign w:val="center"/>
          </w:tcPr>
          <w:p w14:paraId="1CE24C97">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制造年份</w:t>
            </w:r>
          </w:p>
        </w:tc>
        <w:tc>
          <w:tcPr>
            <w:tcW w:w="1480" w:type="dxa"/>
            <w:vAlign w:val="center"/>
          </w:tcPr>
          <w:p w14:paraId="7E4B30C5">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额定功率(kW)</w:t>
            </w:r>
          </w:p>
        </w:tc>
        <w:tc>
          <w:tcPr>
            <w:tcW w:w="1020" w:type="dxa"/>
            <w:vAlign w:val="center"/>
          </w:tcPr>
          <w:p w14:paraId="3E8034C7">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生产能力</w:t>
            </w:r>
          </w:p>
        </w:tc>
        <w:tc>
          <w:tcPr>
            <w:tcW w:w="921" w:type="dxa"/>
            <w:vAlign w:val="center"/>
          </w:tcPr>
          <w:p w14:paraId="43E6B305">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备注</w:t>
            </w:r>
          </w:p>
        </w:tc>
      </w:tr>
      <w:tr w14:paraId="4BDEF4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5C941BF6">
            <w:pPr>
              <w:pStyle w:val="138"/>
              <w:spacing w:line="440" w:lineRule="exact"/>
              <w:ind w:left="63" w:right="63"/>
              <w:rPr>
                <w:rFonts w:ascii="宋体" w:hAnsi="宋体"/>
                <w:color w:val="auto"/>
                <w:szCs w:val="21"/>
                <w:highlight w:val="none"/>
              </w:rPr>
            </w:pPr>
          </w:p>
        </w:tc>
        <w:tc>
          <w:tcPr>
            <w:tcW w:w="1418" w:type="dxa"/>
            <w:vAlign w:val="center"/>
          </w:tcPr>
          <w:p w14:paraId="77565512">
            <w:pPr>
              <w:pStyle w:val="138"/>
              <w:spacing w:line="440" w:lineRule="exact"/>
              <w:ind w:left="63" w:right="63"/>
              <w:rPr>
                <w:rFonts w:ascii="宋体" w:hAnsi="宋体"/>
                <w:color w:val="auto"/>
                <w:szCs w:val="21"/>
                <w:highlight w:val="none"/>
              </w:rPr>
            </w:pPr>
          </w:p>
        </w:tc>
        <w:tc>
          <w:tcPr>
            <w:tcW w:w="850" w:type="dxa"/>
            <w:vAlign w:val="center"/>
          </w:tcPr>
          <w:p w14:paraId="29CAD499">
            <w:pPr>
              <w:pStyle w:val="138"/>
              <w:spacing w:line="440" w:lineRule="exact"/>
              <w:ind w:left="63" w:right="63"/>
              <w:rPr>
                <w:rFonts w:ascii="宋体" w:hAnsi="宋体"/>
                <w:color w:val="auto"/>
                <w:szCs w:val="21"/>
                <w:highlight w:val="none"/>
              </w:rPr>
            </w:pPr>
          </w:p>
        </w:tc>
        <w:tc>
          <w:tcPr>
            <w:tcW w:w="1058" w:type="dxa"/>
            <w:vAlign w:val="center"/>
          </w:tcPr>
          <w:p w14:paraId="23B679A2">
            <w:pPr>
              <w:pStyle w:val="138"/>
              <w:spacing w:line="440" w:lineRule="exact"/>
              <w:ind w:left="63" w:right="63"/>
              <w:rPr>
                <w:rFonts w:ascii="宋体" w:hAnsi="宋体"/>
                <w:color w:val="auto"/>
                <w:szCs w:val="21"/>
                <w:highlight w:val="none"/>
              </w:rPr>
            </w:pPr>
          </w:p>
        </w:tc>
        <w:tc>
          <w:tcPr>
            <w:tcW w:w="880" w:type="dxa"/>
            <w:vAlign w:val="center"/>
          </w:tcPr>
          <w:p w14:paraId="2B4B4475">
            <w:pPr>
              <w:pStyle w:val="138"/>
              <w:spacing w:line="440" w:lineRule="exact"/>
              <w:ind w:left="63" w:right="63"/>
              <w:rPr>
                <w:rFonts w:ascii="宋体" w:hAnsi="宋体"/>
                <w:color w:val="auto"/>
                <w:szCs w:val="21"/>
                <w:highlight w:val="none"/>
              </w:rPr>
            </w:pPr>
          </w:p>
        </w:tc>
        <w:tc>
          <w:tcPr>
            <w:tcW w:w="1020" w:type="dxa"/>
            <w:vAlign w:val="center"/>
          </w:tcPr>
          <w:p w14:paraId="67B0085C">
            <w:pPr>
              <w:pStyle w:val="138"/>
              <w:spacing w:line="440" w:lineRule="exact"/>
              <w:ind w:left="63" w:right="63"/>
              <w:rPr>
                <w:rFonts w:ascii="宋体" w:hAnsi="宋体"/>
                <w:color w:val="auto"/>
                <w:szCs w:val="21"/>
                <w:highlight w:val="none"/>
              </w:rPr>
            </w:pPr>
          </w:p>
        </w:tc>
        <w:tc>
          <w:tcPr>
            <w:tcW w:w="1480" w:type="dxa"/>
            <w:vAlign w:val="center"/>
          </w:tcPr>
          <w:p w14:paraId="6614525C">
            <w:pPr>
              <w:pStyle w:val="138"/>
              <w:spacing w:line="440" w:lineRule="exact"/>
              <w:ind w:left="63" w:right="63"/>
              <w:rPr>
                <w:rFonts w:ascii="宋体" w:hAnsi="宋体"/>
                <w:color w:val="auto"/>
                <w:szCs w:val="21"/>
                <w:highlight w:val="none"/>
              </w:rPr>
            </w:pPr>
          </w:p>
        </w:tc>
        <w:tc>
          <w:tcPr>
            <w:tcW w:w="1020" w:type="dxa"/>
            <w:vAlign w:val="center"/>
          </w:tcPr>
          <w:p w14:paraId="2718DB92">
            <w:pPr>
              <w:pStyle w:val="138"/>
              <w:spacing w:line="440" w:lineRule="exact"/>
              <w:ind w:left="63" w:right="63"/>
              <w:rPr>
                <w:rFonts w:ascii="宋体" w:hAnsi="宋体"/>
                <w:color w:val="auto"/>
                <w:szCs w:val="21"/>
                <w:highlight w:val="none"/>
              </w:rPr>
            </w:pPr>
          </w:p>
        </w:tc>
        <w:tc>
          <w:tcPr>
            <w:tcW w:w="921" w:type="dxa"/>
            <w:vAlign w:val="center"/>
          </w:tcPr>
          <w:p w14:paraId="0DB86AF4">
            <w:pPr>
              <w:pStyle w:val="138"/>
              <w:spacing w:line="440" w:lineRule="exact"/>
              <w:ind w:left="63" w:right="63"/>
              <w:rPr>
                <w:rFonts w:ascii="宋体" w:hAnsi="宋体"/>
                <w:color w:val="auto"/>
                <w:szCs w:val="21"/>
                <w:highlight w:val="none"/>
              </w:rPr>
            </w:pPr>
          </w:p>
        </w:tc>
      </w:tr>
      <w:tr w14:paraId="332519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5C8639AC">
            <w:pPr>
              <w:pStyle w:val="138"/>
              <w:spacing w:line="440" w:lineRule="exact"/>
              <w:ind w:left="63" w:right="63"/>
              <w:rPr>
                <w:rFonts w:ascii="宋体" w:hAnsi="宋体"/>
                <w:color w:val="auto"/>
                <w:szCs w:val="21"/>
                <w:highlight w:val="none"/>
              </w:rPr>
            </w:pPr>
          </w:p>
        </w:tc>
        <w:tc>
          <w:tcPr>
            <w:tcW w:w="1418" w:type="dxa"/>
            <w:vAlign w:val="center"/>
          </w:tcPr>
          <w:p w14:paraId="3C5CF54B">
            <w:pPr>
              <w:pStyle w:val="138"/>
              <w:spacing w:line="440" w:lineRule="exact"/>
              <w:ind w:left="63" w:right="63"/>
              <w:rPr>
                <w:rFonts w:ascii="宋体" w:hAnsi="宋体"/>
                <w:color w:val="auto"/>
                <w:szCs w:val="21"/>
                <w:highlight w:val="none"/>
              </w:rPr>
            </w:pPr>
          </w:p>
        </w:tc>
        <w:tc>
          <w:tcPr>
            <w:tcW w:w="850" w:type="dxa"/>
            <w:vAlign w:val="center"/>
          </w:tcPr>
          <w:p w14:paraId="11BC57B5">
            <w:pPr>
              <w:pStyle w:val="138"/>
              <w:spacing w:line="440" w:lineRule="exact"/>
              <w:ind w:left="63" w:right="63"/>
              <w:rPr>
                <w:rFonts w:ascii="宋体" w:hAnsi="宋体"/>
                <w:color w:val="auto"/>
                <w:szCs w:val="21"/>
                <w:highlight w:val="none"/>
              </w:rPr>
            </w:pPr>
          </w:p>
        </w:tc>
        <w:tc>
          <w:tcPr>
            <w:tcW w:w="1058" w:type="dxa"/>
            <w:vAlign w:val="center"/>
          </w:tcPr>
          <w:p w14:paraId="2459C320">
            <w:pPr>
              <w:pStyle w:val="138"/>
              <w:spacing w:line="440" w:lineRule="exact"/>
              <w:ind w:left="63" w:right="63"/>
              <w:rPr>
                <w:rFonts w:ascii="宋体" w:hAnsi="宋体"/>
                <w:color w:val="auto"/>
                <w:szCs w:val="21"/>
                <w:highlight w:val="none"/>
              </w:rPr>
            </w:pPr>
          </w:p>
        </w:tc>
        <w:tc>
          <w:tcPr>
            <w:tcW w:w="880" w:type="dxa"/>
            <w:vAlign w:val="center"/>
          </w:tcPr>
          <w:p w14:paraId="7C5741EA">
            <w:pPr>
              <w:pStyle w:val="138"/>
              <w:spacing w:line="440" w:lineRule="exact"/>
              <w:ind w:left="63" w:right="63"/>
              <w:rPr>
                <w:rFonts w:ascii="宋体" w:hAnsi="宋体"/>
                <w:color w:val="auto"/>
                <w:szCs w:val="21"/>
                <w:highlight w:val="none"/>
              </w:rPr>
            </w:pPr>
          </w:p>
        </w:tc>
        <w:tc>
          <w:tcPr>
            <w:tcW w:w="1020" w:type="dxa"/>
            <w:vAlign w:val="center"/>
          </w:tcPr>
          <w:p w14:paraId="65BFD187">
            <w:pPr>
              <w:pStyle w:val="138"/>
              <w:spacing w:line="440" w:lineRule="exact"/>
              <w:ind w:left="63" w:right="63"/>
              <w:rPr>
                <w:rFonts w:ascii="宋体" w:hAnsi="宋体"/>
                <w:color w:val="auto"/>
                <w:szCs w:val="21"/>
                <w:highlight w:val="none"/>
              </w:rPr>
            </w:pPr>
          </w:p>
        </w:tc>
        <w:tc>
          <w:tcPr>
            <w:tcW w:w="1480" w:type="dxa"/>
            <w:vAlign w:val="center"/>
          </w:tcPr>
          <w:p w14:paraId="6E7D98D4">
            <w:pPr>
              <w:pStyle w:val="138"/>
              <w:spacing w:line="440" w:lineRule="exact"/>
              <w:ind w:left="63" w:right="63"/>
              <w:rPr>
                <w:rFonts w:ascii="宋体" w:hAnsi="宋体"/>
                <w:color w:val="auto"/>
                <w:szCs w:val="21"/>
                <w:highlight w:val="none"/>
              </w:rPr>
            </w:pPr>
          </w:p>
        </w:tc>
        <w:tc>
          <w:tcPr>
            <w:tcW w:w="1020" w:type="dxa"/>
            <w:vAlign w:val="center"/>
          </w:tcPr>
          <w:p w14:paraId="6EEE778F">
            <w:pPr>
              <w:pStyle w:val="138"/>
              <w:spacing w:line="440" w:lineRule="exact"/>
              <w:ind w:left="63" w:right="63"/>
              <w:rPr>
                <w:rFonts w:ascii="宋体" w:hAnsi="宋体"/>
                <w:color w:val="auto"/>
                <w:szCs w:val="21"/>
                <w:highlight w:val="none"/>
              </w:rPr>
            </w:pPr>
          </w:p>
        </w:tc>
        <w:tc>
          <w:tcPr>
            <w:tcW w:w="921" w:type="dxa"/>
            <w:vAlign w:val="center"/>
          </w:tcPr>
          <w:p w14:paraId="34056BEB">
            <w:pPr>
              <w:pStyle w:val="138"/>
              <w:spacing w:line="440" w:lineRule="exact"/>
              <w:ind w:left="63" w:right="63"/>
              <w:rPr>
                <w:rFonts w:ascii="宋体" w:hAnsi="宋体"/>
                <w:color w:val="auto"/>
                <w:szCs w:val="21"/>
                <w:highlight w:val="none"/>
              </w:rPr>
            </w:pPr>
          </w:p>
        </w:tc>
      </w:tr>
      <w:tr w14:paraId="278BF2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678D57D4">
            <w:pPr>
              <w:pStyle w:val="138"/>
              <w:spacing w:line="440" w:lineRule="exact"/>
              <w:ind w:left="63" w:right="63"/>
              <w:rPr>
                <w:rFonts w:ascii="宋体" w:hAnsi="宋体"/>
                <w:color w:val="auto"/>
                <w:szCs w:val="21"/>
                <w:highlight w:val="none"/>
              </w:rPr>
            </w:pPr>
          </w:p>
        </w:tc>
        <w:tc>
          <w:tcPr>
            <w:tcW w:w="1418" w:type="dxa"/>
            <w:vAlign w:val="center"/>
          </w:tcPr>
          <w:p w14:paraId="228EC166">
            <w:pPr>
              <w:pStyle w:val="138"/>
              <w:spacing w:line="440" w:lineRule="exact"/>
              <w:ind w:left="63" w:right="63"/>
              <w:rPr>
                <w:rFonts w:ascii="宋体" w:hAnsi="宋体"/>
                <w:color w:val="auto"/>
                <w:szCs w:val="21"/>
                <w:highlight w:val="none"/>
              </w:rPr>
            </w:pPr>
          </w:p>
        </w:tc>
        <w:tc>
          <w:tcPr>
            <w:tcW w:w="850" w:type="dxa"/>
            <w:vAlign w:val="center"/>
          </w:tcPr>
          <w:p w14:paraId="30C60154">
            <w:pPr>
              <w:pStyle w:val="138"/>
              <w:spacing w:line="440" w:lineRule="exact"/>
              <w:ind w:left="63" w:right="63"/>
              <w:rPr>
                <w:rFonts w:ascii="宋体" w:hAnsi="宋体"/>
                <w:color w:val="auto"/>
                <w:szCs w:val="21"/>
                <w:highlight w:val="none"/>
              </w:rPr>
            </w:pPr>
          </w:p>
        </w:tc>
        <w:tc>
          <w:tcPr>
            <w:tcW w:w="1058" w:type="dxa"/>
            <w:vAlign w:val="center"/>
          </w:tcPr>
          <w:p w14:paraId="799EFA29">
            <w:pPr>
              <w:pStyle w:val="138"/>
              <w:spacing w:line="440" w:lineRule="exact"/>
              <w:ind w:left="63" w:right="63"/>
              <w:rPr>
                <w:rFonts w:ascii="宋体" w:hAnsi="宋体"/>
                <w:color w:val="auto"/>
                <w:szCs w:val="21"/>
                <w:highlight w:val="none"/>
              </w:rPr>
            </w:pPr>
          </w:p>
        </w:tc>
        <w:tc>
          <w:tcPr>
            <w:tcW w:w="880" w:type="dxa"/>
            <w:vAlign w:val="center"/>
          </w:tcPr>
          <w:p w14:paraId="1CC18DB2">
            <w:pPr>
              <w:pStyle w:val="138"/>
              <w:spacing w:line="440" w:lineRule="exact"/>
              <w:ind w:left="63" w:right="63"/>
              <w:rPr>
                <w:rFonts w:ascii="宋体" w:hAnsi="宋体"/>
                <w:color w:val="auto"/>
                <w:szCs w:val="21"/>
                <w:highlight w:val="none"/>
              </w:rPr>
            </w:pPr>
          </w:p>
        </w:tc>
        <w:tc>
          <w:tcPr>
            <w:tcW w:w="1020" w:type="dxa"/>
            <w:vAlign w:val="center"/>
          </w:tcPr>
          <w:p w14:paraId="3DC974A8">
            <w:pPr>
              <w:pStyle w:val="138"/>
              <w:spacing w:line="440" w:lineRule="exact"/>
              <w:ind w:left="63" w:right="63"/>
              <w:rPr>
                <w:rFonts w:ascii="宋体" w:hAnsi="宋体"/>
                <w:color w:val="auto"/>
                <w:szCs w:val="21"/>
                <w:highlight w:val="none"/>
              </w:rPr>
            </w:pPr>
          </w:p>
        </w:tc>
        <w:tc>
          <w:tcPr>
            <w:tcW w:w="1480" w:type="dxa"/>
            <w:vAlign w:val="center"/>
          </w:tcPr>
          <w:p w14:paraId="12F6DA4D">
            <w:pPr>
              <w:pStyle w:val="138"/>
              <w:spacing w:line="440" w:lineRule="exact"/>
              <w:ind w:left="63" w:right="63"/>
              <w:rPr>
                <w:rFonts w:ascii="宋体" w:hAnsi="宋体"/>
                <w:color w:val="auto"/>
                <w:szCs w:val="21"/>
                <w:highlight w:val="none"/>
              </w:rPr>
            </w:pPr>
          </w:p>
        </w:tc>
        <w:tc>
          <w:tcPr>
            <w:tcW w:w="1020" w:type="dxa"/>
            <w:vAlign w:val="center"/>
          </w:tcPr>
          <w:p w14:paraId="6962F520">
            <w:pPr>
              <w:pStyle w:val="138"/>
              <w:spacing w:line="440" w:lineRule="exact"/>
              <w:ind w:left="63" w:right="63"/>
              <w:rPr>
                <w:rFonts w:ascii="宋体" w:hAnsi="宋体"/>
                <w:color w:val="auto"/>
                <w:szCs w:val="21"/>
                <w:highlight w:val="none"/>
              </w:rPr>
            </w:pPr>
          </w:p>
        </w:tc>
        <w:tc>
          <w:tcPr>
            <w:tcW w:w="921" w:type="dxa"/>
            <w:vAlign w:val="center"/>
          </w:tcPr>
          <w:p w14:paraId="6CBC567C">
            <w:pPr>
              <w:pStyle w:val="138"/>
              <w:spacing w:line="440" w:lineRule="exact"/>
              <w:ind w:left="63" w:right="63"/>
              <w:rPr>
                <w:rFonts w:ascii="宋体" w:hAnsi="宋体"/>
                <w:color w:val="auto"/>
                <w:szCs w:val="21"/>
                <w:highlight w:val="none"/>
              </w:rPr>
            </w:pPr>
          </w:p>
        </w:tc>
      </w:tr>
      <w:tr w14:paraId="396D90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4F76A9A5">
            <w:pPr>
              <w:pStyle w:val="138"/>
              <w:spacing w:line="440" w:lineRule="exact"/>
              <w:ind w:left="63" w:right="63"/>
              <w:rPr>
                <w:rFonts w:ascii="宋体" w:hAnsi="宋体"/>
                <w:color w:val="auto"/>
                <w:szCs w:val="21"/>
                <w:highlight w:val="none"/>
              </w:rPr>
            </w:pPr>
          </w:p>
        </w:tc>
        <w:tc>
          <w:tcPr>
            <w:tcW w:w="1418" w:type="dxa"/>
            <w:vAlign w:val="center"/>
          </w:tcPr>
          <w:p w14:paraId="742760FE">
            <w:pPr>
              <w:pStyle w:val="138"/>
              <w:spacing w:line="440" w:lineRule="exact"/>
              <w:ind w:left="63" w:right="63"/>
              <w:rPr>
                <w:rFonts w:ascii="宋体" w:hAnsi="宋体"/>
                <w:color w:val="auto"/>
                <w:szCs w:val="21"/>
                <w:highlight w:val="none"/>
              </w:rPr>
            </w:pPr>
          </w:p>
        </w:tc>
        <w:tc>
          <w:tcPr>
            <w:tcW w:w="850" w:type="dxa"/>
            <w:vAlign w:val="center"/>
          </w:tcPr>
          <w:p w14:paraId="0C7ECE45">
            <w:pPr>
              <w:pStyle w:val="138"/>
              <w:spacing w:line="440" w:lineRule="exact"/>
              <w:ind w:left="63" w:right="63"/>
              <w:rPr>
                <w:rFonts w:ascii="宋体" w:hAnsi="宋体"/>
                <w:color w:val="auto"/>
                <w:szCs w:val="21"/>
                <w:highlight w:val="none"/>
              </w:rPr>
            </w:pPr>
          </w:p>
        </w:tc>
        <w:tc>
          <w:tcPr>
            <w:tcW w:w="1058" w:type="dxa"/>
            <w:vAlign w:val="center"/>
          </w:tcPr>
          <w:p w14:paraId="1F06D5D1">
            <w:pPr>
              <w:pStyle w:val="138"/>
              <w:spacing w:line="440" w:lineRule="exact"/>
              <w:ind w:left="63" w:right="63"/>
              <w:rPr>
                <w:rFonts w:ascii="宋体" w:hAnsi="宋体"/>
                <w:color w:val="auto"/>
                <w:szCs w:val="21"/>
                <w:highlight w:val="none"/>
              </w:rPr>
            </w:pPr>
          </w:p>
        </w:tc>
        <w:tc>
          <w:tcPr>
            <w:tcW w:w="880" w:type="dxa"/>
            <w:vAlign w:val="center"/>
          </w:tcPr>
          <w:p w14:paraId="6F1D9658">
            <w:pPr>
              <w:pStyle w:val="138"/>
              <w:spacing w:line="440" w:lineRule="exact"/>
              <w:ind w:left="63" w:right="63"/>
              <w:rPr>
                <w:rFonts w:ascii="宋体" w:hAnsi="宋体"/>
                <w:color w:val="auto"/>
                <w:szCs w:val="21"/>
                <w:highlight w:val="none"/>
              </w:rPr>
            </w:pPr>
          </w:p>
        </w:tc>
        <w:tc>
          <w:tcPr>
            <w:tcW w:w="1020" w:type="dxa"/>
            <w:vAlign w:val="center"/>
          </w:tcPr>
          <w:p w14:paraId="153C55D7">
            <w:pPr>
              <w:pStyle w:val="138"/>
              <w:spacing w:line="440" w:lineRule="exact"/>
              <w:ind w:left="63" w:right="63"/>
              <w:rPr>
                <w:rFonts w:ascii="宋体" w:hAnsi="宋体"/>
                <w:color w:val="auto"/>
                <w:szCs w:val="21"/>
                <w:highlight w:val="none"/>
              </w:rPr>
            </w:pPr>
          </w:p>
        </w:tc>
        <w:tc>
          <w:tcPr>
            <w:tcW w:w="1480" w:type="dxa"/>
            <w:vAlign w:val="center"/>
          </w:tcPr>
          <w:p w14:paraId="66EAF3D4">
            <w:pPr>
              <w:pStyle w:val="138"/>
              <w:spacing w:line="440" w:lineRule="exact"/>
              <w:ind w:left="63" w:right="63"/>
              <w:rPr>
                <w:rFonts w:ascii="宋体" w:hAnsi="宋体"/>
                <w:color w:val="auto"/>
                <w:szCs w:val="21"/>
                <w:highlight w:val="none"/>
              </w:rPr>
            </w:pPr>
          </w:p>
        </w:tc>
        <w:tc>
          <w:tcPr>
            <w:tcW w:w="1020" w:type="dxa"/>
            <w:vAlign w:val="center"/>
          </w:tcPr>
          <w:p w14:paraId="7C8C9130">
            <w:pPr>
              <w:pStyle w:val="138"/>
              <w:spacing w:line="440" w:lineRule="exact"/>
              <w:ind w:left="63" w:right="63"/>
              <w:rPr>
                <w:rFonts w:ascii="宋体" w:hAnsi="宋体"/>
                <w:color w:val="auto"/>
                <w:szCs w:val="21"/>
                <w:highlight w:val="none"/>
              </w:rPr>
            </w:pPr>
          </w:p>
        </w:tc>
        <w:tc>
          <w:tcPr>
            <w:tcW w:w="921" w:type="dxa"/>
            <w:vAlign w:val="center"/>
          </w:tcPr>
          <w:p w14:paraId="04F906FB">
            <w:pPr>
              <w:pStyle w:val="138"/>
              <w:spacing w:line="440" w:lineRule="exact"/>
              <w:ind w:left="63" w:right="63"/>
              <w:rPr>
                <w:rFonts w:ascii="宋体" w:hAnsi="宋体"/>
                <w:color w:val="auto"/>
                <w:szCs w:val="21"/>
                <w:highlight w:val="none"/>
              </w:rPr>
            </w:pPr>
          </w:p>
        </w:tc>
      </w:tr>
      <w:tr w14:paraId="47D087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17DE8DE2">
            <w:pPr>
              <w:pStyle w:val="138"/>
              <w:spacing w:line="440" w:lineRule="exact"/>
              <w:ind w:left="63" w:right="63"/>
              <w:rPr>
                <w:rFonts w:ascii="宋体" w:hAnsi="宋体"/>
                <w:color w:val="auto"/>
                <w:szCs w:val="21"/>
                <w:highlight w:val="none"/>
              </w:rPr>
            </w:pPr>
          </w:p>
        </w:tc>
        <w:tc>
          <w:tcPr>
            <w:tcW w:w="1418" w:type="dxa"/>
            <w:vAlign w:val="center"/>
          </w:tcPr>
          <w:p w14:paraId="1A99E3F8">
            <w:pPr>
              <w:pStyle w:val="138"/>
              <w:spacing w:line="440" w:lineRule="exact"/>
              <w:ind w:left="63" w:right="63"/>
              <w:rPr>
                <w:rFonts w:ascii="宋体" w:hAnsi="宋体"/>
                <w:color w:val="auto"/>
                <w:szCs w:val="21"/>
                <w:highlight w:val="none"/>
              </w:rPr>
            </w:pPr>
          </w:p>
        </w:tc>
        <w:tc>
          <w:tcPr>
            <w:tcW w:w="850" w:type="dxa"/>
            <w:vAlign w:val="center"/>
          </w:tcPr>
          <w:p w14:paraId="1FD74543">
            <w:pPr>
              <w:pStyle w:val="138"/>
              <w:spacing w:line="440" w:lineRule="exact"/>
              <w:ind w:left="63" w:right="63"/>
              <w:rPr>
                <w:rFonts w:ascii="宋体" w:hAnsi="宋体"/>
                <w:color w:val="auto"/>
                <w:szCs w:val="21"/>
                <w:highlight w:val="none"/>
              </w:rPr>
            </w:pPr>
          </w:p>
        </w:tc>
        <w:tc>
          <w:tcPr>
            <w:tcW w:w="1058" w:type="dxa"/>
            <w:vAlign w:val="center"/>
          </w:tcPr>
          <w:p w14:paraId="663B41F4">
            <w:pPr>
              <w:pStyle w:val="138"/>
              <w:spacing w:line="440" w:lineRule="exact"/>
              <w:ind w:left="63" w:right="63"/>
              <w:rPr>
                <w:rFonts w:ascii="宋体" w:hAnsi="宋体"/>
                <w:color w:val="auto"/>
                <w:szCs w:val="21"/>
                <w:highlight w:val="none"/>
              </w:rPr>
            </w:pPr>
          </w:p>
        </w:tc>
        <w:tc>
          <w:tcPr>
            <w:tcW w:w="880" w:type="dxa"/>
            <w:vAlign w:val="center"/>
          </w:tcPr>
          <w:p w14:paraId="152D7E3D">
            <w:pPr>
              <w:pStyle w:val="138"/>
              <w:spacing w:line="440" w:lineRule="exact"/>
              <w:ind w:left="63" w:right="63"/>
              <w:rPr>
                <w:rFonts w:ascii="宋体" w:hAnsi="宋体"/>
                <w:color w:val="auto"/>
                <w:szCs w:val="21"/>
                <w:highlight w:val="none"/>
              </w:rPr>
            </w:pPr>
          </w:p>
        </w:tc>
        <w:tc>
          <w:tcPr>
            <w:tcW w:w="1020" w:type="dxa"/>
            <w:vAlign w:val="center"/>
          </w:tcPr>
          <w:p w14:paraId="215947CA">
            <w:pPr>
              <w:pStyle w:val="138"/>
              <w:spacing w:line="440" w:lineRule="exact"/>
              <w:ind w:left="63" w:right="63"/>
              <w:rPr>
                <w:rFonts w:ascii="宋体" w:hAnsi="宋体"/>
                <w:color w:val="auto"/>
                <w:szCs w:val="21"/>
                <w:highlight w:val="none"/>
              </w:rPr>
            </w:pPr>
          </w:p>
        </w:tc>
        <w:tc>
          <w:tcPr>
            <w:tcW w:w="1480" w:type="dxa"/>
            <w:vAlign w:val="center"/>
          </w:tcPr>
          <w:p w14:paraId="212A95A1">
            <w:pPr>
              <w:pStyle w:val="138"/>
              <w:spacing w:line="440" w:lineRule="exact"/>
              <w:ind w:left="63" w:right="63"/>
              <w:rPr>
                <w:rFonts w:ascii="宋体" w:hAnsi="宋体"/>
                <w:color w:val="auto"/>
                <w:szCs w:val="21"/>
                <w:highlight w:val="none"/>
              </w:rPr>
            </w:pPr>
          </w:p>
        </w:tc>
        <w:tc>
          <w:tcPr>
            <w:tcW w:w="1020" w:type="dxa"/>
            <w:vAlign w:val="center"/>
          </w:tcPr>
          <w:p w14:paraId="266EC40E">
            <w:pPr>
              <w:pStyle w:val="138"/>
              <w:spacing w:line="440" w:lineRule="exact"/>
              <w:ind w:left="63" w:right="63"/>
              <w:rPr>
                <w:rFonts w:ascii="宋体" w:hAnsi="宋体"/>
                <w:color w:val="auto"/>
                <w:szCs w:val="21"/>
                <w:highlight w:val="none"/>
              </w:rPr>
            </w:pPr>
          </w:p>
        </w:tc>
        <w:tc>
          <w:tcPr>
            <w:tcW w:w="921" w:type="dxa"/>
            <w:vAlign w:val="center"/>
          </w:tcPr>
          <w:p w14:paraId="382A341B">
            <w:pPr>
              <w:pStyle w:val="138"/>
              <w:spacing w:line="440" w:lineRule="exact"/>
              <w:ind w:left="63" w:right="63"/>
              <w:rPr>
                <w:rFonts w:ascii="宋体" w:hAnsi="宋体"/>
                <w:color w:val="auto"/>
                <w:szCs w:val="21"/>
                <w:highlight w:val="none"/>
              </w:rPr>
            </w:pPr>
          </w:p>
        </w:tc>
      </w:tr>
      <w:tr w14:paraId="1DFE16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5B26A22C">
            <w:pPr>
              <w:pStyle w:val="138"/>
              <w:spacing w:line="440" w:lineRule="exact"/>
              <w:ind w:left="63" w:right="63"/>
              <w:rPr>
                <w:rFonts w:ascii="宋体" w:hAnsi="宋体"/>
                <w:color w:val="auto"/>
                <w:szCs w:val="21"/>
                <w:highlight w:val="none"/>
              </w:rPr>
            </w:pPr>
          </w:p>
        </w:tc>
        <w:tc>
          <w:tcPr>
            <w:tcW w:w="1418" w:type="dxa"/>
            <w:vAlign w:val="center"/>
          </w:tcPr>
          <w:p w14:paraId="61F02A48">
            <w:pPr>
              <w:pStyle w:val="138"/>
              <w:spacing w:line="440" w:lineRule="exact"/>
              <w:ind w:left="63" w:right="63"/>
              <w:rPr>
                <w:rFonts w:ascii="宋体" w:hAnsi="宋体"/>
                <w:color w:val="auto"/>
                <w:szCs w:val="21"/>
                <w:highlight w:val="none"/>
              </w:rPr>
            </w:pPr>
          </w:p>
        </w:tc>
        <w:tc>
          <w:tcPr>
            <w:tcW w:w="850" w:type="dxa"/>
            <w:vAlign w:val="center"/>
          </w:tcPr>
          <w:p w14:paraId="741E1E32">
            <w:pPr>
              <w:pStyle w:val="138"/>
              <w:spacing w:line="440" w:lineRule="exact"/>
              <w:ind w:left="63" w:right="63"/>
              <w:rPr>
                <w:rFonts w:ascii="宋体" w:hAnsi="宋体"/>
                <w:color w:val="auto"/>
                <w:szCs w:val="21"/>
                <w:highlight w:val="none"/>
              </w:rPr>
            </w:pPr>
          </w:p>
        </w:tc>
        <w:tc>
          <w:tcPr>
            <w:tcW w:w="1058" w:type="dxa"/>
            <w:vAlign w:val="center"/>
          </w:tcPr>
          <w:p w14:paraId="6097A5C0">
            <w:pPr>
              <w:pStyle w:val="138"/>
              <w:spacing w:line="440" w:lineRule="exact"/>
              <w:ind w:left="63" w:right="63"/>
              <w:rPr>
                <w:rFonts w:ascii="宋体" w:hAnsi="宋体"/>
                <w:color w:val="auto"/>
                <w:szCs w:val="21"/>
                <w:highlight w:val="none"/>
              </w:rPr>
            </w:pPr>
          </w:p>
        </w:tc>
        <w:tc>
          <w:tcPr>
            <w:tcW w:w="880" w:type="dxa"/>
            <w:vAlign w:val="center"/>
          </w:tcPr>
          <w:p w14:paraId="6ED85C7C">
            <w:pPr>
              <w:pStyle w:val="138"/>
              <w:spacing w:line="440" w:lineRule="exact"/>
              <w:ind w:left="63" w:right="63"/>
              <w:rPr>
                <w:rFonts w:ascii="宋体" w:hAnsi="宋体"/>
                <w:color w:val="auto"/>
                <w:szCs w:val="21"/>
                <w:highlight w:val="none"/>
              </w:rPr>
            </w:pPr>
          </w:p>
        </w:tc>
        <w:tc>
          <w:tcPr>
            <w:tcW w:w="1020" w:type="dxa"/>
            <w:vAlign w:val="center"/>
          </w:tcPr>
          <w:p w14:paraId="4349B1D2">
            <w:pPr>
              <w:pStyle w:val="138"/>
              <w:spacing w:line="440" w:lineRule="exact"/>
              <w:ind w:left="63" w:right="63"/>
              <w:rPr>
                <w:rFonts w:ascii="宋体" w:hAnsi="宋体"/>
                <w:color w:val="auto"/>
                <w:szCs w:val="21"/>
                <w:highlight w:val="none"/>
              </w:rPr>
            </w:pPr>
          </w:p>
        </w:tc>
        <w:tc>
          <w:tcPr>
            <w:tcW w:w="1480" w:type="dxa"/>
            <w:vAlign w:val="center"/>
          </w:tcPr>
          <w:p w14:paraId="09AB2399">
            <w:pPr>
              <w:pStyle w:val="138"/>
              <w:spacing w:line="440" w:lineRule="exact"/>
              <w:ind w:left="63" w:right="63"/>
              <w:rPr>
                <w:rFonts w:ascii="宋体" w:hAnsi="宋体"/>
                <w:color w:val="auto"/>
                <w:szCs w:val="21"/>
                <w:highlight w:val="none"/>
              </w:rPr>
            </w:pPr>
          </w:p>
        </w:tc>
        <w:tc>
          <w:tcPr>
            <w:tcW w:w="1020" w:type="dxa"/>
            <w:vAlign w:val="center"/>
          </w:tcPr>
          <w:p w14:paraId="4A7255DC">
            <w:pPr>
              <w:pStyle w:val="138"/>
              <w:spacing w:line="440" w:lineRule="exact"/>
              <w:ind w:left="63" w:right="63"/>
              <w:rPr>
                <w:rFonts w:ascii="宋体" w:hAnsi="宋体"/>
                <w:color w:val="auto"/>
                <w:szCs w:val="21"/>
                <w:highlight w:val="none"/>
              </w:rPr>
            </w:pPr>
          </w:p>
        </w:tc>
        <w:tc>
          <w:tcPr>
            <w:tcW w:w="921" w:type="dxa"/>
            <w:vAlign w:val="center"/>
          </w:tcPr>
          <w:p w14:paraId="525BE45D">
            <w:pPr>
              <w:pStyle w:val="138"/>
              <w:spacing w:line="440" w:lineRule="exact"/>
              <w:ind w:left="63" w:right="63"/>
              <w:rPr>
                <w:rFonts w:ascii="宋体" w:hAnsi="宋体"/>
                <w:color w:val="auto"/>
                <w:szCs w:val="21"/>
                <w:highlight w:val="none"/>
              </w:rPr>
            </w:pPr>
          </w:p>
        </w:tc>
      </w:tr>
      <w:tr w14:paraId="7E789B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753ECF45">
            <w:pPr>
              <w:pStyle w:val="138"/>
              <w:spacing w:line="440" w:lineRule="exact"/>
              <w:ind w:left="63" w:right="63"/>
              <w:rPr>
                <w:rFonts w:ascii="宋体" w:hAnsi="宋体"/>
                <w:color w:val="auto"/>
                <w:szCs w:val="21"/>
                <w:highlight w:val="none"/>
              </w:rPr>
            </w:pPr>
          </w:p>
        </w:tc>
        <w:tc>
          <w:tcPr>
            <w:tcW w:w="1418" w:type="dxa"/>
            <w:vAlign w:val="center"/>
          </w:tcPr>
          <w:p w14:paraId="6015FB7A">
            <w:pPr>
              <w:pStyle w:val="138"/>
              <w:spacing w:line="440" w:lineRule="exact"/>
              <w:ind w:left="63" w:right="63"/>
              <w:rPr>
                <w:rFonts w:ascii="宋体" w:hAnsi="宋体"/>
                <w:color w:val="auto"/>
                <w:szCs w:val="21"/>
                <w:highlight w:val="none"/>
              </w:rPr>
            </w:pPr>
          </w:p>
        </w:tc>
        <w:tc>
          <w:tcPr>
            <w:tcW w:w="850" w:type="dxa"/>
            <w:vAlign w:val="center"/>
          </w:tcPr>
          <w:p w14:paraId="6A847771">
            <w:pPr>
              <w:pStyle w:val="138"/>
              <w:spacing w:line="440" w:lineRule="exact"/>
              <w:ind w:left="63" w:right="63"/>
              <w:rPr>
                <w:rFonts w:ascii="宋体" w:hAnsi="宋体"/>
                <w:color w:val="auto"/>
                <w:szCs w:val="21"/>
                <w:highlight w:val="none"/>
              </w:rPr>
            </w:pPr>
          </w:p>
        </w:tc>
        <w:tc>
          <w:tcPr>
            <w:tcW w:w="1058" w:type="dxa"/>
            <w:vAlign w:val="center"/>
          </w:tcPr>
          <w:p w14:paraId="2AC09EE5">
            <w:pPr>
              <w:pStyle w:val="138"/>
              <w:spacing w:line="440" w:lineRule="exact"/>
              <w:ind w:left="63" w:right="63"/>
              <w:rPr>
                <w:rFonts w:ascii="宋体" w:hAnsi="宋体"/>
                <w:color w:val="auto"/>
                <w:szCs w:val="21"/>
                <w:highlight w:val="none"/>
              </w:rPr>
            </w:pPr>
          </w:p>
        </w:tc>
        <w:tc>
          <w:tcPr>
            <w:tcW w:w="880" w:type="dxa"/>
            <w:vAlign w:val="center"/>
          </w:tcPr>
          <w:p w14:paraId="1F950A47">
            <w:pPr>
              <w:pStyle w:val="138"/>
              <w:spacing w:line="440" w:lineRule="exact"/>
              <w:ind w:left="63" w:right="63"/>
              <w:rPr>
                <w:rFonts w:ascii="宋体" w:hAnsi="宋体"/>
                <w:color w:val="auto"/>
                <w:szCs w:val="21"/>
                <w:highlight w:val="none"/>
              </w:rPr>
            </w:pPr>
          </w:p>
        </w:tc>
        <w:tc>
          <w:tcPr>
            <w:tcW w:w="1020" w:type="dxa"/>
            <w:vAlign w:val="center"/>
          </w:tcPr>
          <w:p w14:paraId="75CE94F6">
            <w:pPr>
              <w:pStyle w:val="138"/>
              <w:spacing w:line="440" w:lineRule="exact"/>
              <w:ind w:left="63" w:right="63"/>
              <w:rPr>
                <w:rFonts w:ascii="宋体" w:hAnsi="宋体"/>
                <w:color w:val="auto"/>
                <w:szCs w:val="21"/>
                <w:highlight w:val="none"/>
              </w:rPr>
            </w:pPr>
          </w:p>
        </w:tc>
        <w:tc>
          <w:tcPr>
            <w:tcW w:w="1480" w:type="dxa"/>
            <w:vAlign w:val="center"/>
          </w:tcPr>
          <w:p w14:paraId="72CB8A2A">
            <w:pPr>
              <w:pStyle w:val="138"/>
              <w:spacing w:line="440" w:lineRule="exact"/>
              <w:ind w:left="63" w:right="63"/>
              <w:rPr>
                <w:rFonts w:ascii="宋体" w:hAnsi="宋体"/>
                <w:color w:val="auto"/>
                <w:szCs w:val="21"/>
                <w:highlight w:val="none"/>
              </w:rPr>
            </w:pPr>
          </w:p>
        </w:tc>
        <w:tc>
          <w:tcPr>
            <w:tcW w:w="1020" w:type="dxa"/>
            <w:vAlign w:val="center"/>
          </w:tcPr>
          <w:p w14:paraId="0355BD7C">
            <w:pPr>
              <w:pStyle w:val="138"/>
              <w:spacing w:line="440" w:lineRule="exact"/>
              <w:ind w:left="63" w:right="63"/>
              <w:rPr>
                <w:rFonts w:ascii="宋体" w:hAnsi="宋体"/>
                <w:color w:val="auto"/>
                <w:szCs w:val="21"/>
                <w:highlight w:val="none"/>
              </w:rPr>
            </w:pPr>
          </w:p>
        </w:tc>
        <w:tc>
          <w:tcPr>
            <w:tcW w:w="921" w:type="dxa"/>
            <w:vAlign w:val="center"/>
          </w:tcPr>
          <w:p w14:paraId="6582EBD2">
            <w:pPr>
              <w:pStyle w:val="138"/>
              <w:spacing w:line="440" w:lineRule="exact"/>
              <w:ind w:left="63" w:right="63"/>
              <w:rPr>
                <w:rFonts w:ascii="宋体" w:hAnsi="宋体"/>
                <w:color w:val="auto"/>
                <w:szCs w:val="21"/>
                <w:highlight w:val="none"/>
              </w:rPr>
            </w:pPr>
          </w:p>
        </w:tc>
      </w:tr>
      <w:tr w14:paraId="7E5DD7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47E9A25D">
            <w:pPr>
              <w:pStyle w:val="138"/>
              <w:spacing w:line="440" w:lineRule="exact"/>
              <w:ind w:left="63" w:right="63"/>
              <w:rPr>
                <w:rFonts w:ascii="宋体" w:hAnsi="宋体"/>
                <w:color w:val="auto"/>
                <w:szCs w:val="21"/>
                <w:highlight w:val="none"/>
              </w:rPr>
            </w:pPr>
          </w:p>
        </w:tc>
        <w:tc>
          <w:tcPr>
            <w:tcW w:w="1418" w:type="dxa"/>
            <w:vAlign w:val="center"/>
          </w:tcPr>
          <w:p w14:paraId="497D8215">
            <w:pPr>
              <w:pStyle w:val="138"/>
              <w:spacing w:line="440" w:lineRule="exact"/>
              <w:ind w:left="63" w:right="63"/>
              <w:rPr>
                <w:rFonts w:ascii="宋体" w:hAnsi="宋体"/>
                <w:color w:val="auto"/>
                <w:szCs w:val="21"/>
                <w:highlight w:val="none"/>
              </w:rPr>
            </w:pPr>
          </w:p>
        </w:tc>
        <w:tc>
          <w:tcPr>
            <w:tcW w:w="850" w:type="dxa"/>
            <w:vAlign w:val="center"/>
          </w:tcPr>
          <w:p w14:paraId="0A21E03E">
            <w:pPr>
              <w:pStyle w:val="138"/>
              <w:spacing w:line="440" w:lineRule="exact"/>
              <w:ind w:left="63" w:right="63"/>
              <w:rPr>
                <w:rFonts w:ascii="宋体" w:hAnsi="宋体"/>
                <w:color w:val="auto"/>
                <w:szCs w:val="21"/>
                <w:highlight w:val="none"/>
              </w:rPr>
            </w:pPr>
          </w:p>
        </w:tc>
        <w:tc>
          <w:tcPr>
            <w:tcW w:w="1058" w:type="dxa"/>
            <w:vAlign w:val="center"/>
          </w:tcPr>
          <w:p w14:paraId="1A909515">
            <w:pPr>
              <w:pStyle w:val="138"/>
              <w:spacing w:line="440" w:lineRule="exact"/>
              <w:ind w:left="63" w:right="63"/>
              <w:rPr>
                <w:rFonts w:ascii="宋体" w:hAnsi="宋体"/>
                <w:color w:val="auto"/>
                <w:szCs w:val="21"/>
                <w:highlight w:val="none"/>
              </w:rPr>
            </w:pPr>
          </w:p>
        </w:tc>
        <w:tc>
          <w:tcPr>
            <w:tcW w:w="880" w:type="dxa"/>
            <w:vAlign w:val="center"/>
          </w:tcPr>
          <w:p w14:paraId="5F085A5C">
            <w:pPr>
              <w:pStyle w:val="138"/>
              <w:spacing w:line="440" w:lineRule="exact"/>
              <w:ind w:left="63" w:right="63"/>
              <w:rPr>
                <w:rFonts w:ascii="宋体" w:hAnsi="宋体"/>
                <w:color w:val="auto"/>
                <w:szCs w:val="21"/>
                <w:highlight w:val="none"/>
              </w:rPr>
            </w:pPr>
          </w:p>
        </w:tc>
        <w:tc>
          <w:tcPr>
            <w:tcW w:w="1020" w:type="dxa"/>
            <w:vAlign w:val="center"/>
          </w:tcPr>
          <w:p w14:paraId="73939547">
            <w:pPr>
              <w:pStyle w:val="138"/>
              <w:spacing w:line="440" w:lineRule="exact"/>
              <w:ind w:left="63" w:right="63"/>
              <w:rPr>
                <w:rFonts w:ascii="宋体" w:hAnsi="宋体"/>
                <w:color w:val="auto"/>
                <w:szCs w:val="21"/>
                <w:highlight w:val="none"/>
              </w:rPr>
            </w:pPr>
          </w:p>
        </w:tc>
        <w:tc>
          <w:tcPr>
            <w:tcW w:w="1480" w:type="dxa"/>
            <w:vAlign w:val="center"/>
          </w:tcPr>
          <w:p w14:paraId="0569BB13">
            <w:pPr>
              <w:pStyle w:val="138"/>
              <w:spacing w:line="440" w:lineRule="exact"/>
              <w:ind w:left="63" w:right="63"/>
              <w:rPr>
                <w:rFonts w:ascii="宋体" w:hAnsi="宋体"/>
                <w:color w:val="auto"/>
                <w:szCs w:val="21"/>
                <w:highlight w:val="none"/>
              </w:rPr>
            </w:pPr>
          </w:p>
        </w:tc>
        <w:tc>
          <w:tcPr>
            <w:tcW w:w="1020" w:type="dxa"/>
            <w:vAlign w:val="center"/>
          </w:tcPr>
          <w:p w14:paraId="1EC9C27E">
            <w:pPr>
              <w:pStyle w:val="138"/>
              <w:spacing w:line="440" w:lineRule="exact"/>
              <w:ind w:left="63" w:right="63"/>
              <w:rPr>
                <w:rFonts w:ascii="宋体" w:hAnsi="宋体"/>
                <w:color w:val="auto"/>
                <w:szCs w:val="21"/>
                <w:highlight w:val="none"/>
              </w:rPr>
            </w:pPr>
          </w:p>
        </w:tc>
        <w:tc>
          <w:tcPr>
            <w:tcW w:w="921" w:type="dxa"/>
            <w:vAlign w:val="center"/>
          </w:tcPr>
          <w:p w14:paraId="61C136D9">
            <w:pPr>
              <w:pStyle w:val="138"/>
              <w:spacing w:line="440" w:lineRule="exact"/>
              <w:ind w:left="63" w:right="63"/>
              <w:rPr>
                <w:rFonts w:ascii="宋体" w:hAnsi="宋体"/>
                <w:color w:val="auto"/>
                <w:szCs w:val="21"/>
                <w:highlight w:val="none"/>
              </w:rPr>
            </w:pPr>
          </w:p>
        </w:tc>
      </w:tr>
      <w:tr w14:paraId="62669A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tcPr>
          <w:p w14:paraId="47D16706">
            <w:pPr>
              <w:pStyle w:val="61"/>
              <w:rPr>
                <w:rFonts w:ascii="宋体" w:hAnsi="宋体"/>
                <w:color w:val="auto"/>
                <w:szCs w:val="21"/>
                <w:highlight w:val="none"/>
              </w:rPr>
            </w:pPr>
          </w:p>
        </w:tc>
        <w:tc>
          <w:tcPr>
            <w:tcW w:w="1418" w:type="dxa"/>
          </w:tcPr>
          <w:p w14:paraId="74705B86">
            <w:pPr>
              <w:pStyle w:val="61"/>
              <w:rPr>
                <w:rFonts w:ascii="宋体" w:hAnsi="宋体"/>
                <w:color w:val="auto"/>
                <w:szCs w:val="21"/>
                <w:highlight w:val="none"/>
              </w:rPr>
            </w:pPr>
          </w:p>
        </w:tc>
        <w:tc>
          <w:tcPr>
            <w:tcW w:w="850" w:type="dxa"/>
          </w:tcPr>
          <w:p w14:paraId="2CF5B117">
            <w:pPr>
              <w:pStyle w:val="61"/>
              <w:rPr>
                <w:rFonts w:ascii="宋体" w:hAnsi="宋体"/>
                <w:color w:val="auto"/>
                <w:szCs w:val="21"/>
                <w:highlight w:val="none"/>
              </w:rPr>
            </w:pPr>
          </w:p>
        </w:tc>
        <w:tc>
          <w:tcPr>
            <w:tcW w:w="1058" w:type="dxa"/>
          </w:tcPr>
          <w:p w14:paraId="5DB7CBCD">
            <w:pPr>
              <w:pStyle w:val="61"/>
              <w:rPr>
                <w:rFonts w:ascii="宋体" w:hAnsi="宋体"/>
                <w:color w:val="auto"/>
                <w:szCs w:val="21"/>
                <w:highlight w:val="none"/>
              </w:rPr>
            </w:pPr>
          </w:p>
        </w:tc>
        <w:tc>
          <w:tcPr>
            <w:tcW w:w="880" w:type="dxa"/>
          </w:tcPr>
          <w:p w14:paraId="0859927A">
            <w:pPr>
              <w:pStyle w:val="61"/>
              <w:rPr>
                <w:rFonts w:ascii="宋体" w:hAnsi="宋体"/>
                <w:color w:val="auto"/>
                <w:szCs w:val="21"/>
                <w:highlight w:val="none"/>
              </w:rPr>
            </w:pPr>
          </w:p>
        </w:tc>
        <w:tc>
          <w:tcPr>
            <w:tcW w:w="1020" w:type="dxa"/>
          </w:tcPr>
          <w:p w14:paraId="1CA311F6">
            <w:pPr>
              <w:pStyle w:val="61"/>
              <w:rPr>
                <w:rFonts w:ascii="宋体" w:hAnsi="宋体"/>
                <w:color w:val="auto"/>
                <w:szCs w:val="21"/>
                <w:highlight w:val="none"/>
              </w:rPr>
            </w:pPr>
          </w:p>
        </w:tc>
        <w:tc>
          <w:tcPr>
            <w:tcW w:w="1480" w:type="dxa"/>
          </w:tcPr>
          <w:p w14:paraId="2291C1FF">
            <w:pPr>
              <w:pStyle w:val="61"/>
              <w:rPr>
                <w:rFonts w:ascii="宋体" w:hAnsi="宋体"/>
                <w:color w:val="auto"/>
                <w:szCs w:val="21"/>
                <w:highlight w:val="none"/>
              </w:rPr>
            </w:pPr>
          </w:p>
        </w:tc>
        <w:tc>
          <w:tcPr>
            <w:tcW w:w="1020" w:type="dxa"/>
          </w:tcPr>
          <w:p w14:paraId="43702C28">
            <w:pPr>
              <w:pStyle w:val="61"/>
              <w:rPr>
                <w:rFonts w:ascii="宋体" w:hAnsi="宋体"/>
                <w:color w:val="auto"/>
                <w:szCs w:val="21"/>
                <w:highlight w:val="none"/>
              </w:rPr>
            </w:pPr>
          </w:p>
        </w:tc>
        <w:tc>
          <w:tcPr>
            <w:tcW w:w="921" w:type="dxa"/>
          </w:tcPr>
          <w:p w14:paraId="095F2728">
            <w:pPr>
              <w:pStyle w:val="61"/>
              <w:rPr>
                <w:rFonts w:ascii="宋体" w:hAnsi="宋体"/>
                <w:color w:val="auto"/>
                <w:szCs w:val="21"/>
                <w:highlight w:val="none"/>
              </w:rPr>
            </w:pPr>
          </w:p>
        </w:tc>
      </w:tr>
      <w:tr w14:paraId="6848B8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0711A867">
            <w:pPr>
              <w:pStyle w:val="138"/>
              <w:spacing w:line="440" w:lineRule="exact"/>
              <w:ind w:left="63" w:right="63"/>
              <w:rPr>
                <w:rFonts w:ascii="宋体" w:hAnsi="宋体"/>
                <w:color w:val="auto"/>
                <w:szCs w:val="21"/>
                <w:highlight w:val="none"/>
              </w:rPr>
            </w:pPr>
          </w:p>
        </w:tc>
        <w:tc>
          <w:tcPr>
            <w:tcW w:w="1418" w:type="dxa"/>
            <w:vAlign w:val="center"/>
          </w:tcPr>
          <w:p w14:paraId="3D0F7ADE">
            <w:pPr>
              <w:pStyle w:val="138"/>
              <w:spacing w:line="440" w:lineRule="exact"/>
              <w:ind w:left="63" w:right="63"/>
              <w:rPr>
                <w:rFonts w:ascii="宋体" w:hAnsi="宋体"/>
                <w:color w:val="auto"/>
                <w:szCs w:val="21"/>
                <w:highlight w:val="none"/>
              </w:rPr>
            </w:pPr>
          </w:p>
        </w:tc>
        <w:tc>
          <w:tcPr>
            <w:tcW w:w="850" w:type="dxa"/>
            <w:vAlign w:val="center"/>
          </w:tcPr>
          <w:p w14:paraId="4712A8D5">
            <w:pPr>
              <w:pStyle w:val="138"/>
              <w:spacing w:line="440" w:lineRule="exact"/>
              <w:ind w:left="63" w:right="63"/>
              <w:rPr>
                <w:rFonts w:ascii="宋体" w:hAnsi="宋体"/>
                <w:color w:val="auto"/>
                <w:szCs w:val="21"/>
                <w:highlight w:val="none"/>
              </w:rPr>
            </w:pPr>
          </w:p>
        </w:tc>
        <w:tc>
          <w:tcPr>
            <w:tcW w:w="1058" w:type="dxa"/>
            <w:vAlign w:val="center"/>
          </w:tcPr>
          <w:p w14:paraId="1B8AC212">
            <w:pPr>
              <w:pStyle w:val="138"/>
              <w:spacing w:line="440" w:lineRule="exact"/>
              <w:ind w:left="63" w:right="63"/>
              <w:rPr>
                <w:rFonts w:ascii="宋体" w:hAnsi="宋体"/>
                <w:color w:val="auto"/>
                <w:szCs w:val="21"/>
                <w:highlight w:val="none"/>
              </w:rPr>
            </w:pPr>
          </w:p>
        </w:tc>
        <w:tc>
          <w:tcPr>
            <w:tcW w:w="880" w:type="dxa"/>
            <w:vAlign w:val="center"/>
          </w:tcPr>
          <w:p w14:paraId="3464F540">
            <w:pPr>
              <w:pStyle w:val="138"/>
              <w:spacing w:line="440" w:lineRule="exact"/>
              <w:ind w:left="63" w:right="63"/>
              <w:rPr>
                <w:rFonts w:ascii="宋体" w:hAnsi="宋体"/>
                <w:color w:val="auto"/>
                <w:szCs w:val="21"/>
                <w:highlight w:val="none"/>
              </w:rPr>
            </w:pPr>
          </w:p>
        </w:tc>
        <w:tc>
          <w:tcPr>
            <w:tcW w:w="1020" w:type="dxa"/>
            <w:vAlign w:val="center"/>
          </w:tcPr>
          <w:p w14:paraId="202DCB2B">
            <w:pPr>
              <w:pStyle w:val="138"/>
              <w:spacing w:line="440" w:lineRule="exact"/>
              <w:ind w:left="63" w:right="63"/>
              <w:rPr>
                <w:rFonts w:ascii="宋体" w:hAnsi="宋体"/>
                <w:color w:val="auto"/>
                <w:szCs w:val="21"/>
                <w:highlight w:val="none"/>
              </w:rPr>
            </w:pPr>
          </w:p>
        </w:tc>
        <w:tc>
          <w:tcPr>
            <w:tcW w:w="1480" w:type="dxa"/>
            <w:vAlign w:val="center"/>
          </w:tcPr>
          <w:p w14:paraId="24FACA55">
            <w:pPr>
              <w:pStyle w:val="138"/>
              <w:spacing w:line="440" w:lineRule="exact"/>
              <w:ind w:left="63" w:right="63"/>
              <w:rPr>
                <w:rFonts w:ascii="宋体" w:hAnsi="宋体"/>
                <w:color w:val="auto"/>
                <w:szCs w:val="21"/>
                <w:highlight w:val="none"/>
              </w:rPr>
            </w:pPr>
          </w:p>
        </w:tc>
        <w:tc>
          <w:tcPr>
            <w:tcW w:w="1020" w:type="dxa"/>
            <w:vAlign w:val="center"/>
          </w:tcPr>
          <w:p w14:paraId="7D6A7F78">
            <w:pPr>
              <w:pStyle w:val="138"/>
              <w:spacing w:line="440" w:lineRule="exact"/>
              <w:ind w:left="63" w:right="63"/>
              <w:rPr>
                <w:rFonts w:ascii="宋体" w:hAnsi="宋体"/>
                <w:color w:val="auto"/>
                <w:szCs w:val="21"/>
                <w:highlight w:val="none"/>
              </w:rPr>
            </w:pPr>
          </w:p>
        </w:tc>
        <w:tc>
          <w:tcPr>
            <w:tcW w:w="921" w:type="dxa"/>
            <w:vAlign w:val="center"/>
          </w:tcPr>
          <w:p w14:paraId="7D4F89E9">
            <w:pPr>
              <w:pStyle w:val="138"/>
              <w:spacing w:line="440" w:lineRule="exact"/>
              <w:ind w:left="63" w:right="63"/>
              <w:rPr>
                <w:rFonts w:ascii="宋体" w:hAnsi="宋体"/>
                <w:color w:val="auto"/>
                <w:szCs w:val="21"/>
                <w:highlight w:val="none"/>
              </w:rPr>
            </w:pPr>
          </w:p>
        </w:tc>
      </w:tr>
      <w:tr w14:paraId="3D4FBE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tcPr>
          <w:p w14:paraId="31DCDB5A">
            <w:pPr>
              <w:pStyle w:val="61"/>
              <w:rPr>
                <w:rFonts w:ascii="宋体" w:hAnsi="宋体"/>
                <w:color w:val="auto"/>
                <w:szCs w:val="21"/>
                <w:highlight w:val="none"/>
              </w:rPr>
            </w:pPr>
          </w:p>
        </w:tc>
        <w:tc>
          <w:tcPr>
            <w:tcW w:w="1418" w:type="dxa"/>
          </w:tcPr>
          <w:p w14:paraId="09B4730B">
            <w:pPr>
              <w:pStyle w:val="61"/>
              <w:rPr>
                <w:rFonts w:ascii="宋体" w:hAnsi="宋体"/>
                <w:color w:val="auto"/>
                <w:szCs w:val="21"/>
                <w:highlight w:val="none"/>
              </w:rPr>
            </w:pPr>
          </w:p>
        </w:tc>
        <w:tc>
          <w:tcPr>
            <w:tcW w:w="850" w:type="dxa"/>
          </w:tcPr>
          <w:p w14:paraId="580C6E0A">
            <w:pPr>
              <w:pStyle w:val="61"/>
              <w:rPr>
                <w:rFonts w:ascii="宋体" w:hAnsi="宋体"/>
                <w:color w:val="auto"/>
                <w:szCs w:val="21"/>
                <w:highlight w:val="none"/>
              </w:rPr>
            </w:pPr>
          </w:p>
        </w:tc>
        <w:tc>
          <w:tcPr>
            <w:tcW w:w="1058" w:type="dxa"/>
          </w:tcPr>
          <w:p w14:paraId="49B6A40C">
            <w:pPr>
              <w:pStyle w:val="61"/>
              <w:rPr>
                <w:rFonts w:ascii="宋体" w:hAnsi="宋体"/>
                <w:color w:val="auto"/>
                <w:szCs w:val="21"/>
                <w:highlight w:val="none"/>
              </w:rPr>
            </w:pPr>
          </w:p>
        </w:tc>
        <w:tc>
          <w:tcPr>
            <w:tcW w:w="880" w:type="dxa"/>
          </w:tcPr>
          <w:p w14:paraId="0E89693B">
            <w:pPr>
              <w:pStyle w:val="61"/>
              <w:rPr>
                <w:rFonts w:ascii="宋体" w:hAnsi="宋体"/>
                <w:color w:val="auto"/>
                <w:szCs w:val="21"/>
                <w:highlight w:val="none"/>
              </w:rPr>
            </w:pPr>
          </w:p>
        </w:tc>
        <w:tc>
          <w:tcPr>
            <w:tcW w:w="1020" w:type="dxa"/>
          </w:tcPr>
          <w:p w14:paraId="5B99C8A5">
            <w:pPr>
              <w:pStyle w:val="61"/>
              <w:rPr>
                <w:rFonts w:ascii="宋体" w:hAnsi="宋体"/>
                <w:color w:val="auto"/>
                <w:szCs w:val="21"/>
                <w:highlight w:val="none"/>
              </w:rPr>
            </w:pPr>
          </w:p>
        </w:tc>
        <w:tc>
          <w:tcPr>
            <w:tcW w:w="1480" w:type="dxa"/>
          </w:tcPr>
          <w:p w14:paraId="1C7B6EF4">
            <w:pPr>
              <w:pStyle w:val="61"/>
              <w:rPr>
                <w:rFonts w:ascii="宋体" w:hAnsi="宋体"/>
                <w:color w:val="auto"/>
                <w:szCs w:val="21"/>
                <w:highlight w:val="none"/>
              </w:rPr>
            </w:pPr>
          </w:p>
        </w:tc>
        <w:tc>
          <w:tcPr>
            <w:tcW w:w="1020" w:type="dxa"/>
          </w:tcPr>
          <w:p w14:paraId="06517A78">
            <w:pPr>
              <w:pStyle w:val="61"/>
              <w:rPr>
                <w:rFonts w:ascii="宋体" w:hAnsi="宋体"/>
                <w:color w:val="auto"/>
                <w:szCs w:val="21"/>
                <w:highlight w:val="none"/>
              </w:rPr>
            </w:pPr>
          </w:p>
        </w:tc>
        <w:tc>
          <w:tcPr>
            <w:tcW w:w="921" w:type="dxa"/>
          </w:tcPr>
          <w:p w14:paraId="42F30819">
            <w:pPr>
              <w:pStyle w:val="61"/>
              <w:rPr>
                <w:rFonts w:ascii="宋体" w:hAnsi="宋体"/>
                <w:color w:val="auto"/>
                <w:szCs w:val="21"/>
                <w:highlight w:val="none"/>
              </w:rPr>
            </w:pPr>
          </w:p>
        </w:tc>
      </w:tr>
      <w:tr w14:paraId="725787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tcPr>
          <w:p w14:paraId="5236603E">
            <w:pPr>
              <w:pStyle w:val="61"/>
              <w:rPr>
                <w:rFonts w:ascii="宋体" w:hAnsi="宋体"/>
                <w:color w:val="auto"/>
                <w:szCs w:val="21"/>
                <w:highlight w:val="none"/>
              </w:rPr>
            </w:pPr>
          </w:p>
        </w:tc>
        <w:tc>
          <w:tcPr>
            <w:tcW w:w="1418" w:type="dxa"/>
          </w:tcPr>
          <w:p w14:paraId="10FF84F3">
            <w:pPr>
              <w:pStyle w:val="61"/>
              <w:rPr>
                <w:rFonts w:ascii="宋体" w:hAnsi="宋体"/>
                <w:color w:val="auto"/>
                <w:szCs w:val="21"/>
                <w:highlight w:val="none"/>
              </w:rPr>
            </w:pPr>
          </w:p>
        </w:tc>
        <w:tc>
          <w:tcPr>
            <w:tcW w:w="850" w:type="dxa"/>
          </w:tcPr>
          <w:p w14:paraId="08810F65">
            <w:pPr>
              <w:pStyle w:val="61"/>
              <w:rPr>
                <w:rFonts w:ascii="宋体" w:hAnsi="宋体"/>
                <w:color w:val="auto"/>
                <w:szCs w:val="21"/>
                <w:highlight w:val="none"/>
              </w:rPr>
            </w:pPr>
          </w:p>
        </w:tc>
        <w:tc>
          <w:tcPr>
            <w:tcW w:w="1058" w:type="dxa"/>
          </w:tcPr>
          <w:p w14:paraId="2EC48718">
            <w:pPr>
              <w:pStyle w:val="61"/>
              <w:rPr>
                <w:rFonts w:ascii="宋体" w:hAnsi="宋体"/>
                <w:color w:val="auto"/>
                <w:szCs w:val="21"/>
                <w:highlight w:val="none"/>
              </w:rPr>
            </w:pPr>
          </w:p>
        </w:tc>
        <w:tc>
          <w:tcPr>
            <w:tcW w:w="880" w:type="dxa"/>
          </w:tcPr>
          <w:p w14:paraId="3E3CB19C">
            <w:pPr>
              <w:pStyle w:val="61"/>
              <w:rPr>
                <w:rFonts w:ascii="宋体" w:hAnsi="宋体"/>
                <w:color w:val="auto"/>
                <w:szCs w:val="21"/>
                <w:highlight w:val="none"/>
              </w:rPr>
            </w:pPr>
          </w:p>
        </w:tc>
        <w:tc>
          <w:tcPr>
            <w:tcW w:w="1020" w:type="dxa"/>
          </w:tcPr>
          <w:p w14:paraId="5B4B6768">
            <w:pPr>
              <w:pStyle w:val="61"/>
              <w:rPr>
                <w:rFonts w:ascii="宋体" w:hAnsi="宋体"/>
                <w:color w:val="auto"/>
                <w:szCs w:val="21"/>
                <w:highlight w:val="none"/>
              </w:rPr>
            </w:pPr>
          </w:p>
        </w:tc>
        <w:tc>
          <w:tcPr>
            <w:tcW w:w="1480" w:type="dxa"/>
          </w:tcPr>
          <w:p w14:paraId="2530E5AD">
            <w:pPr>
              <w:pStyle w:val="61"/>
              <w:rPr>
                <w:rFonts w:ascii="宋体" w:hAnsi="宋体"/>
                <w:color w:val="auto"/>
                <w:szCs w:val="21"/>
                <w:highlight w:val="none"/>
              </w:rPr>
            </w:pPr>
          </w:p>
        </w:tc>
        <w:tc>
          <w:tcPr>
            <w:tcW w:w="1020" w:type="dxa"/>
          </w:tcPr>
          <w:p w14:paraId="3BA165E5">
            <w:pPr>
              <w:pStyle w:val="61"/>
              <w:rPr>
                <w:rFonts w:ascii="宋体" w:hAnsi="宋体"/>
                <w:color w:val="auto"/>
                <w:szCs w:val="21"/>
                <w:highlight w:val="none"/>
              </w:rPr>
            </w:pPr>
          </w:p>
        </w:tc>
        <w:tc>
          <w:tcPr>
            <w:tcW w:w="921" w:type="dxa"/>
          </w:tcPr>
          <w:p w14:paraId="4920EF0E">
            <w:pPr>
              <w:pStyle w:val="61"/>
              <w:rPr>
                <w:rFonts w:ascii="宋体" w:hAnsi="宋体"/>
                <w:color w:val="auto"/>
                <w:szCs w:val="21"/>
                <w:highlight w:val="none"/>
              </w:rPr>
            </w:pPr>
          </w:p>
        </w:tc>
      </w:tr>
      <w:tr w14:paraId="1A2171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tcPr>
          <w:p w14:paraId="047FCBC9">
            <w:pPr>
              <w:pStyle w:val="61"/>
              <w:rPr>
                <w:rFonts w:ascii="宋体" w:hAnsi="宋体"/>
                <w:color w:val="auto"/>
                <w:szCs w:val="21"/>
                <w:highlight w:val="none"/>
              </w:rPr>
            </w:pPr>
          </w:p>
        </w:tc>
        <w:tc>
          <w:tcPr>
            <w:tcW w:w="1418" w:type="dxa"/>
          </w:tcPr>
          <w:p w14:paraId="578AAA43">
            <w:pPr>
              <w:pStyle w:val="61"/>
              <w:rPr>
                <w:rFonts w:ascii="宋体" w:hAnsi="宋体"/>
                <w:color w:val="auto"/>
                <w:szCs w:val="21"/>
                <w:highlight w:val="none"/>
              </w:rPr>
            </w:pPr>
          </w:p>
        </w:tc>
        <w:tc>
          <w:tcPr>
            <w:tcW w:w="850" w:type="dxa"/>
          </w:tcPr>
          <w:p w14:paraId="6107691B">
            <w:pPr>
              <w:pStyle w:val="61"/>
              <w:rPr>
                <w:rFonts w:ascii="宋体" w:hAnsi="宋体"/>
                <w:color w:val="auto"/>
                <w:szCs w:val="21"/>
                <w:highlight w:val="none"/>
              </w:rPr>
            </w:pPr>
          </w:p>
        </w:tc>
        <w:tc>
          <w:tcPr>
            <w:tcW w:w="1058" w:type="dxa"/>
          </w:tcPr>
          <w:p w14:paraId="4B168256">
            <w:pPr>
              <w:pStyle w:val="61"/>
              <w:rPr>
                <w:rFonts w:ascii="宋体" w:hAnsi="宋体"/>
                <w:color w:val="auto"/>
                <w:szCs w:val="21"/>
                <w:highlight w:val="none"/>
              </w:rPr>
            </w:pPr>
          </w:p>
        </w:tc>
        <w:tc>
          <w:tcPr>
            <w:tcW w:w="880" w:type="dxa"/>
          </w:tcPr>
          <w:p w14:paraId="721D900A">
            <w:pPr>
              <w:pStyle w:val="61"/>
              <w:rPr>
                <w:rFonts w:ascii="宋体" w:hAnsi="宋体"/>
                <w:color w:val="auto"/>
                <w:szCs w:val="21"/>
                <w:highlight w:val="none"/>
              </w:rPr>
            </w:pPr>
          </w:p>
        </w:tc>
        <w:tc>
          <w:tcPr>
            <w:tcW w:w="1020" w:type="dxa"/>
          </w:tcPr>
          <w:p w14:paraId="62F4C14E">
            <w:pPr>
              <w:pStyle w:val="61"/>
              <w:rPr>
                <w:rFonts w:ascii="宋体" w:hAnsi="宋体"/>
                <w:color w:val="auto"/>
                <w:szCs w:val="21"/>
                <w:highlight w:val="none"/>
              </w:rPr>
            </w:pPr>
          </w:p>
        </w:tc>
        <w:tc>
          <w:tcPr>
            <w:tcW w:w="1480" w:type="dxa"/>
          </w:tcPr>
          <w:p w14:paraId="0E63911C">
            <w:pPr>
              <w:pStyle w:val="61"/>
              <w:rPr>
                <w:rFonts w:ascii="宋体" w:hAnsi="宋体"/>
                <w:color w:val="auto"/>
                <w:szCs w:val="21"/>
                <w:highlight w:val="none"/>
              </w:rPr>
            </w:pPr>
          </w:p>
        </w:tc>
        <w:tc>
          <w:tcPr>
            <w:tcW w:w="1020" w:type="dxa"/>
          </w:tcPr>
          <w:p w14:paraId="7DBBB478">
            <w:pPr>
              <w:pStyle w:val="61"/>
              <w:rPr>
                <w:rFonts w:ascii="宋体" w:hAnsi="宋体"/>
                <w:color w:val="auto"/>
                <w:szCs w:val="21"/>
                <w:highlight w:val="none"/>
              </w:rPr>
            </w:pPr>
          </w:p>
        </w:tc>
        <w:tc>
          <w:tcPr>
            <w:tcW w:w="921" w:type="dxa"/>
          </w:tcPr>
          <w:p w14:paraId="654EA77D">
            <w:pPr>
              <w:pStyle w:val="61"/>
              <w:rPr>
                <w:rFonts w:ascii="宋体" w:hAnsi="宋体"/>
                <w:color w:val="auto"/>
                <w:szCs w:val="21"/>
                <w:highlight w:val="none"/>
              </w:rPr>
            </w:pPr>
          </w:p>
        </w:tc>
      </w:tr>
      <w:tr w14:paraId="02325C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tcPr>
          <w:p w14:paraId="11B9B396">
            <w:pPr>
              <w:pStyle w:val="61"/>
              <w:rPr>
                <w:rFonts w:ascii="宋体" w:hAnsi="宋体"/>
                <w:color w:val="auto"/>
                <w:szCs w:val="21"/>
                <w:highlight w:val="none"/>
              </w:rPr>
            </w:pPr>
          </w:p>
        </w:tc>
        <w:tc>
          <w:tcPr>
            <w:tcW w:w="1418" w:type="dxa"/>
          </w:tcPr>
          <w:p w14:paraId="71B09F56">
            <w:pPr>
              <w:pStyle w:val="61"/>
              <w:rPr>
                <w:rFonts w:ascii="宋体" w:hAnsi="宋体"/>
                <w:color w:val="auto"/>
                <w:szCs w:val="21"/>
                <w:highlight w:val="none"/>
              </w:rPr>
            </w:pPr>
          </w:p>
        </w:tc>
        <w:tc>
          <w:tcPr>
            <w:tcW w:w="850" w:type="dxa"/>
          </w:tcPr>
          <w:p w14:paraId="7D1CBA3E">
            <w:pPr>
              <w:pStyle w:val="61"/>
              <w:rPr>
                <w:rFonts w:ascii="宋体" w:hAnsi="宋体"/>
                <w:color w:val="auto"/>
                <w:szCs w:val="21"/>
                <w:highlight w:val="none"/>
              </w:rPr>
            </w:pPr>
          </w:p>
        </w:tc>
        <w:tc>
          <w:tcPr>
            <w:tcW w:w="1058" w:type="dxa"/>
          </w:tcPr>
          <w:p w14:paraId="161140BF">
            <w:pPr>
              <w:pStyle w:val="61"/>
              <w:rPr>
                <w:rFonts w:ascii="宋体" w:hAnsi="宋体"/>
                <w:color w:val="auto"/>
                <w:szCs w:val="21"/>
                <w:highlight w:val="none"/>
              </w:rPr>
            </w:pPr>
          </w:p>
        </w:tc>
        <w:tc>
          <w:tcPr>
            <w:tcW w:w="880" w:type="dxa"/>
          </w:tcPr>
          <w:p w14:paraId="3862E0BF">
            <w:pPr>
              <w:pStyle w:val="61"/>
              <w:rPr>
                <w:rFonts w:ascii="宋体" w:hAnsi="宋体"/>
                <w:color w:val="auto"/>
                <w:szCs w:val="21"/>
                <w:highlight w:val="none"/>
              </w:rPr>
            </w:pPr>
          </w:p>
        </w:tc>
        <w:tc>
          <w:tcPr>
            <w:tcW w:w="1020" w:type="dxa"/>
          </w:tcPr>
          <w:p w14:paraId="376A278D">
            <w:pPr>
              <w:pStyle w:val="61"/>
              <w:rPr>
                <w:rFonts w:ascii="宋体" w:hAnsi="宋体"/>
                <w:color w:val="auto"/>
                <w:szCs w:val="21"/>
                <w:highlight w:val="none"/>
              </w:rPr>
            </w:pPr>
          </w:p>
        </w:tc>
        <w:tc>
          <w:tcPr>
            <w:tcW w:w="1480" w:type="dxa"/>
          </w:tcPr>
          <w:p w14:paraId="52EC9613">
            <w:pPr>
              <w:pStyle w:val="61"/>
              <w:rPr>
                <w:rFonts w:ascii="宋体" w:hAnsi="宋体"/>
                <w:color w:val="auto"/>
                <w:szCs w:val="21"/>
                <w:highlight w:val="none"/>
              </w:rPr>
            </w:pPr>
          </w:p>
        </w:tc>
        <w:tc>
          <w:tcPr>
            <w:tcW w:w="1020" w:type="dxa"/>
          </w:tcPr>
          <w:p w14:paraId="7379C0DE">
            <w:pPr>
              <w:pStyle w:val="61"/>
              <w:rPr>
                <w:rFonts w:ascii="宋体" w:hAnsi="宋体"/>
                <w:color w:val="auto"/>
                <w:szCs w:val="21"/>
                <w:highlight w:val="none"/>
              </w:rPr>
            </w:pPr>
          </w:p>
        </w:tc>
        <w:tc>
          <w:tcPr>
            <w:tcW w:w="921" w:type="dxa"/>
          </w:tcPr>
          <w:p w14:paraId="531AAA95">
            <w:pPr>
              <w:pStyle w:val="61"/>
              <w:rPr>
                <w:rFonts w:ascii="宋体" w:hAnsi="宋体"/>
                <w:color w:val="auto"/>
                <w:szCs w:val="21"/>
                <w:highlight w:val="none"/>
              </w:rPr>
            </w:pPr>
          </w:p>
        </w:tc>
      </w:tr>
      <w:tr w14:paraId="6F9601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tcPr>
          <w:p w14:paraId="6B581621">
            <w:pPr>
              <w:pStyle w:val="61"/>
              <w:rPr>
                <w:rFonts w:ascii="宋体" w:hAnsi="宋体"/>
                <w:color w:val="auto"/>
                <w:szCs w:val="21"/>
                <w:highlight w:val="none"/>
              </w:rPr>
            </w:pPr>
          </w:p>
        </w:tc>
        <w:tc>
          <w:tcPr>
            <w:tcW w:w="1418" w:type="dxa"/>
          </w:tcPr>
          <w:p w14:paraId="2684777C">
            <w:pPr>
              <w:pStyle w:val="61"/>
              <w:rPr>
                <w:rFonts w:ascii="宋体" w:hAnsi="宋体"/>
                <w:color w:val="auto"/>
                <w:szCs w:val="21"/>
                <w:highlight w:val="none"/>
              </w:rPr>
            </w:pPr>
          </w:p>
        </w:tc>
        <w:tc>
          <w:tcPr>
            <w:tcW w:w="850" w:type="dxa"/>
          </w:tcPr>
          <w:p w14:paraId="75E7CD25">
            <w:pPr>
              <w:pStyle w:val="61"/>
              <w:rPr>
                <w:rFonts w:ascii="宋体" w:hAnsi="宋体"/>
                <w:color w:val="auto"/>
                <w:szCs w:val="21"/>
                <w:highlight w:val="none"/>
              </w:rPr>
            </w:pPr>
          </w:p>
        </w:tc>
        <w:tc>
          <w:tcPr>
            <w:tcW w:w="1058" w:type="dxa"/>
          </w:tcPr>
          <w:p w14:paraId="720FFFD5">
            <w:pPr>
              <w:pStyle w:val="61"/>
              <w:rPr>
                <w:rFonts w:ascii="宋体" w:hAnsi="宋体"/>
                <w:color w:val="auto"/>
                <w:szCs w:val="21"/>
                <w:highlight w:val="none"/>
              </w:rPr>
            </w:pPr>
          </w:p>
        </w:tc>
        <w:tc>
          <w:tcPr>
            <w:tcW w:w="880" w:type="dxa"/>
          </w:tcPr>
          <w:p w14:paraId="08504EFD">
            <w:pPr>
              <w:pStyle w:val="61"/>
              <w:rPr>
                <w:rFonts w:ascii="宋体" w:hAnsi="宋体"/>
                <w:color w:val="auto"/>
                <w:szCs w:val="21"/>
                <w:highlight w:val="none"/>
              </w:rPr>
            </w:pPr>
          </w:p>
        </w:tc>
        <w:tc>
          <w:tcPr>
            <w:tcW w:w="1020" w:type="dxa"/>
          </w:tcPr>
          <w:p w14:paraId="0E395E08">
            <w:pPr>
              <w:pStyle w:val="61"/>
              <w:rPr>
                <w:rFonts w:ascii="宋体" w:hAnsi="宋体"/>
                <w:color w:val="auto"/>
                <w:szCs w:val="21"/>
                <w:highlight w:val="none"/>
              </w:rPr>
            </w:pPr>
          </w:p>
        </w:tc>
        <w:tc>
          <w:tcPr>
            <w:tcW w:w="1480" w:type="dxa"/>
          </w:tcPr>
          <w:p w14:paraId="711BC7DC">
            <w:pPr>
              <w:pStyle w:val="61"/>
              <w:rPr>
                <w:rFonts w:ascii="宋体" w:hAnsi="宋体"/>
                <w:color w:val="auto"/>
                <w:szCs w:val="21"/>
                <w:highlight w:val="none"/>
              </w:rPr>
            </w:pPr>
          </w:p>
        </w:tc>
        <w:tc>
          <w:tcPr>
            <w:tcW w:w="1020" w:type="dxa"/>
          </w:tcPr>
          <w:p w14:paraId="380084AB">
            <w:pPr>
              <w:pStyle w:val="61"/>
              <w:rPr>
                <w:rFonts w:ascii="宋体" w:hAnsi="宋体"/>
                <w:color w:val="auto"/>
                <w:szCs w:val="21"/>
                <w:highlight w:val="none"/>
              </w:rPr>
            </w:pPr>
          </w:p>
        </w:tc>
        <w:tc>
          <w:tcPr>
            <w:tcW w:w="921" w:type="dxa"/>
          </w:tcPr>
          <w:p w14:paraId="22E18D0F">
            <w:pPr>
              <w:pStyle w:val="61"/>
              <w:rPr>
                <w:rFonts w:ascii="宋体" w:hAnsi="宋体"/>
                <w:color w:val="auto"/>
                <w:szCs w:val="21"/>
                <w:highlight w:val="none"/>
              </w:rPr>
            </w:pPr>
          </w:p>
        </w:tc>
      </w:tr>
      <w:tr w14:paraId="7E554C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tcPr>
          <w:p w14:paraId="54BFCC4A">
            <w:pPr>
              <w:pStyle w:val="61"/>
              <w:rPr>
                <w:rFonts w:ascii="宋体" w:hAnsi="宋体"/>
                <w:color w:val="auto"/>
                <w:szCs w:val="21"/>
                <w:highlight w:val="none"/>
              </w:rPr>
            </w:pPr>
          </w:p>
        </w:tc>
        <w:tc>
          <w:tcPr>
            <w:tcW w:w="1418" w:type="dxa"/>
          </w:tcPr>
          <w:p w14:paraId="0BB2501F">
            <w:pPr>
              <w:pStyle w:val="61"/>
              <w:rPr>
                <w:rFonts w:ascii="宋体" w:hAnsi="宋体"/>
                <w:color w:val="auto"/>
                <w:szCs w:val="21"/>
                <w:highlight w:val="none"/>
              </w:rPr>
            </w:pPr>
          </w:p>
        </w:tc>
        <w:tc>
          <w:tcPr>
            <w:tcW w:w="850" w:type="dxa"/>
          </w:tcPr>
          <w:p w14:paraId="6113252E">
            <w:pPr>
              <w:pStyle w:val="61"/>
              <w:rPr>
                <w:rFonts w:ascii="宋体" w:hAnsi="宋体"/>
                <w:color w:val="auto"/>
                <w:szCs w:val="21"/>
                <w:highlight w:val="none"/>
              </w:rPr>
            </w:pPr>
          </w:p>
        </w:tc>
        <w:tc>
          <w:tcPr>
            <w:tcW w:w="1058" w:type="dxa"/>
          </w:tcPr>
          <w:p w14:paraId="1B268F94">
            <w:pPr>
              <w:pStyle w:val="61"/>
              <w:rPr>
                <w:rFonts w:ascii="宋体" w:hAnsi="宋体"/>
                <w:color w:val="auto"/>
                <w:szCs w:val="21"/>
                <w:highlight w:val="none"/>
              </w:rPr>
            </w:pPr>
          </w:p>
        </w:tc>
        <w:tc>
          <w:tcPr>
            <w:tcW w:w="880" w:type="dxa"/>
          </w:tcPr>
          <w:p w14:paraId="34250C20">
            <w:pPr>
              <w:pStyle w:val="61"/>
              <w:rPr>
                <w:rFonts w:ascii="宋体" w:hAnsi="宋体"/>
                <w:color w:val="auto"/>
                <w:szCs w:val="21"/>
                <w:highlight w:val="none"/>
              </w:rPr>
            </w:pPr>
          </w:p>
        </w:tc>
        <w:tc>
          <w:tcPr>
            <w:tcW w:w="1020" w:type="dxa"/>
          </w:tcPr>
          <w:p w14:paraId="35AB5BDC">
            <w:pPr>
              <w:pStyle w:val="61"/>
              <w:rPr>
                <w:rFonts w:ascii="宋体" w:hAnsi="宋体"/>
                <w:color w:val="auto"/>
                <w:szCs w:val="21"/>
                <w:highlight w:val="none"/>
              </w:rPr>
            </w:pPr>
          </w:p>
        </w:tc>
        <w:tc>
          <w:tcPr>
            <w:tcW w:w="1480" w:type="dxa"/>
          </w:tcPr>
          <w:p w14:paraId="68C69E53">
            <w:pPr>
              <w:pStyle w:val="61"/>
              <w:rPr>
                <w:rFonts w:ascii="宋体" w:hAnsi="宋体"/>
                <w:color w:val="auto"/>
                <w:szCs w:val="21"/>
                <w:highlight w:val="none"/>
              </w:rPr>
            </w:pPr>
          </w:p>
        </w:tc>
        <w:tc>
          <w:tcPr>
            <w:tcW w:w="1020" w:type="dxa"/>
          </w:tcPr>
          <w:p w14:paraId="494551BB">
            <w:pPr>
              <w:pStyle w:val="61"/>
              <w:rPr>
                <w:rFonts w:ascii="宋体" w:hAnsi="宋体"/>
                <w:color w:val="auto"/>
                <w:szCs w:val="21"/>
                <w:highlight w:val="none"/>
              </w:rPr>
            </w:pPr>
          </w:p>
        </w:tc>
        <w:tc>
          <w:tcPr>
            <w:tcW w:w="921" w:type="dxa"/>
          </w:tcPr>
          <w:p w14:paraId="4104EDE5">
            <w:pPr>
              <w:pStyle w:val="61"/>
              <w:rPr>
                <w:rFonts w:ascii="宋体" w:hAnsi="宋体"/>
                <w:color w:val="auto"/>
                <w:szCs w:val="21"/>
                <w:highlight w:val="none"/>
              </w:rPr>
            </w:pPr>
          </w:p>
        </w:tc>
      </w:tr>
      <w:tr w14:paraId="7E7B36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tcPr>
          <w:p w14:paraId="132CD303">
            <w:pPr>
              <w:pStyle w:val="61"/>
              <w:rPr>
                <w:rFonts w:ascii="宋体" w:hAnsi="宋体"/>
                <w:color w:val="auto"/>
                <w:szCs w:val="21"/>
                <w:highlight w:val="none"/>
              </w:rPr>
            </w:pPr>
          </w:p>
        </w:tc>
        <w:tc>
          <w:tcPr>
            <w:tcW w:w="1418" w:type="dxa"/>
          </w:tcPr>
          <w:p w14:paraId="7BAE43C6">
            <w:pPr>
              <w:pStyle w:val="61"/>
              <w:rPr>
                <w:rFonts w:ascii="宋体" w:hAnsi="宋体"/>
                <w:color w:val="auto"/>
                <w:szCs w:val="21"/>
                <w:highlight w:val="none"/>
              </w:rPr>
            </w:pPr>
          </w:p>
        </w:tc>
        <w:tc>
          <w:tcPr>
            <w:tcW w:w="850" w:type="dxa"/>
          </w:tcPr>
          <w:p w14:paraId="4D273A32">
            <w:pPr>
              <w:pStyle w:val="61"/>
              <w:rPr>
                <w:rFonts w:ascii="宋体" w:hAnsi="宋体"/>
                <w:color w:val="auto"/>
                <w:szCs w:val="21"/>
                <w:highlight w:val="none"/>
              </w:rPr>
            </w:pPr>
          </w:p>
        </w:tc>
        <w:tc>
          <w:tcPr>
            <w:tcW w:w="1058" w:type="dxa"/>
          </w:tcPr>
          <w:p w14:paraId="542BC83B">
            <w:pPr>
              <w:pStyle w:val="61"/>
              <w:rPr>
                <w:rFonts w:ascii="宋体" w:hAnsi="宋体"/>
                <w:color w:val="auto"/>
                <w:szCs w:val="21"/>
                <w:highlight w:val="none"/>
              </w:rPr>
            </w:pPr>
          </w:p>
        </w:tc>
        <w:tc>
          <w:tcPr>
            <w:tcW w:w="880" w:type="dxa"/>
          </w:tcPr>
          <w:p w14:paraId="1C82270A">
            <w:pPr>
              <w:pStyle w:val="61"/>
              <w:rPr>
                <w:rFonts w:ascii="宋体" w:hAnsi="宋体"/>
                <w:color w:val="auto"/>
                <w:szCs w:val="21"/>
                <w:highlight w:val="none"/>
              </w:rPr>
            </w:pPr>
          </w:p>
        </w:tc>
        <w:tc>
          <w:tcPr>
            <w:tcW w:w="1020" w:type="dxa"/>
          </w:tcPr>
          <w:p w14:paraId="362081C2">
            <w:pPr>
              <w:pStyle w:val="61"/>
              <w:rPr>
                <w:rFonts w:ascii="宋体" w:hAnsi="宋体"/>
                <w:color w:val="auto"/>
                <w:szCs w:val="21"/>
                <w:highlight w:val="none"/>
              </w:rPr>
            </w:pPr>
          </w:p>
        </w:tc>
        <w:tc>
          <w:tcPr>
            <w:tcW w:w="1480" w:type="dxa"/>
          </w:tcPr>
          <w:p w14:paraId="1F576F8E">
            <w:pPr>
              <w:pStyle w:val="61"/>
              <w:rPr>
                <w:rFonts w:ascii="宋体" w:hAnsi="宋体"/>
                <w:color w:val="auto"/>
                <w:szCs w:val="21"/>
                <w:highlight w:val="none"/>
              </w:rPr>
            </w:pPr>
          </w:p>
        </w:tc>
        <w:tc>
          <w:tcPr>
            <w:tcW w:w="1020" w:type="dxa"/>
          </w:tcPr>
          <w:p w14:paraId="1DC4717F">
            <w:pPr>
              <w:pStyle w:val="61"/>
              <w:rPr>
                <w:rFonts w:ascii="宋体" w:hAnsi="宋体"/>
                <w:color w:val="auto"/>
                <w:szCs w:val="21"/>
                <w:highlight w:val="none"/>
              </w:rPr>
            </w:pPr>
          </w:p>
        </w:tc>
        <w:tc>
          <w:tcPr>
            <w:tcW w:w="921" w:type="dxa"/>
          </w:tcPr>
          <w:p w14:paraId="032894E6">
            <w:pPr>
              <w:pStyle w:val="61"/>
              <w:rPr>
                <w:rFonts w:ascii="宋体" w:hAnsi="宋体"/>
                <w:color w:val="auto"/>
                <w:szCs w:val="21"/>
                <w:highlight w:val="none"/>
              </w:rPr>
            </w:pPr>
          </w:p>
        </w:tc>
      </w:tr>
      <w:tr w14:paraId="0FB781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tcPr>
          <w:p w14:paraId="657B88F8">
            <w:pPr>
              <w:pStyle w:val="61"/>
              <w:rPr>
                <w:rFonts w:ascii="宋体" w:hAnsi="宋体"/>
                <w:color w:val="auto"/>
                <w:szCs w:val="21"/>
                <w:highlight w:val="none"/>
              </w:rPr>
            </w:pPr>
          </w:p>
        </w:tc>
        <w:tc>
          <w:tcPr>
            <w:tcW w:w="1418" w:type="dxa"/>
          </w:tcPr>
          <w:p w14:paraId="59AD441A">
            <w:pPr>
              <w:pStyle w:val="61"/>
              <w:rPr>
                <w:rFonts w:ascii="宋体" w:hAnsi="宋体"/>
                <w:color w:val="auto"/>
                <w:szCs w:val="21"/>
                <w:highlight w:val="none"/>
              </w:rPr>
            </w:pPr>
          </w:p>
        </w:tc>
        <w:tc>
          <w:tcPr>
            <w:tcW w:w="850" w:type="dxa"/>
          </w:tcPr>
          <w:p w14:paraId="4A4B4704">
            <w:pPr>
              <w:pStyle w:val="61"/>
              <w:rPr>
                <w:rFonts w:ascii="宋体" w:hAnsi="宋体"/>
                <w:color w:val="auto"/>
                <w:szCs w:val="21"/>
                <w:highlight w:val="none"/>
              </w:rPr>
            </w:pPr>
          </w:p>
        </w:tc>
        <w:tc>
          <w:tcPr>
            <w:tcW w:w="1058" w:type="dxa"/>
          </w:tcPr>
          <w:p w14:paraId="649CDB03">
            <w:pPr>
              <w:pStyle w:val="61"/>
              <w:rPr>
                <w:rFonts w:ascii="宋体" w:hAnsi="宋体"/>
                <w:color w:val="auto"/>
                <w:szCs w:val="21"/>
                <w:highlight w:val="none"/>
              </w:rPr>
            </w:pPr>
          </w:p>
        </w:tc>
        <w:tc>
          <w:tcPr>
            <w:tcW w:w="880" w:type="dxa"/>
          </w:tcPr>
          <w:p w14:paraId="535A4537">
            <w:pPr>
              <w:pStyle w:val="61"/>
              <w:rPr>
                <w:rFonts w:ascii="宋体" w:hAnsi="宋体"/>
                <w:color w:val="auto"/>
                <w:szCs w:val="21"/>
                <w:highlight w:val="none"/>
              </w:rPr>
            </w:pPr>
          </w:p>
        </w:tc>
        <w:tc>
          <w:tcPr>
            <w:tcW w:w="1020" w:type="dxa"/>
          </w:tcPr>
          <w:p w14:paraId="392C766E">
            <w:pPr>
              <w:pStyle w:val="61"/>
              <w:rPr>
                <w:rFonts w:ascii="宋体" w:hAnsi="宋体"/>
                <w:color w:val="auto"/>
                <w:szCs w:val="21"/>
                <w:highlight w:val="none"/>
              </w:rPr>
            </w:pPr>
          </w:p>
        </w:tc>
        <w:tc>
          <w:tcPr>
            <w:tcW w:w="1480" w:type="dxa"/>
          </w:tcPr>
          <w:p w14:paraId="7EE70130">
            <w:pPr>
              <w:pStyle w:val="61"/>
              <w:rPr>
                <w:rFonts w:ascii="宋体" w:hAnsi="宋体"/>
                <w:color w:val="auto"/>
                <w:szCs w:val="21"/>
                <w:highlight w:val="none"/>
              </w:rPr>
            </w:pPr>
          </w:p>
        </w:tc>
        <w:tc>
          <w:tcPr>
            <w:tcW w:w="1020" w:type="dxa"/>
          </w:tcPr>
          <w:p w14:paraId="2438E8A8">
            <w:pPr>
              <w:pStyle w:val="61"/>
              <w:rPr>
                <w:rFonts w:ascii="宋体" w:hAnsi="宋体"/>
                <w:color w:val="auto"/>
                <w:szCs w:val="21"/>
                <w:highlight w:val="none"/>
              </w:rPr>
            </w:pPr>
          </w:p>
        </w:tc>
        <w:tc>
          <w:tcPr>
            <w:tcW w:w="921" w:type="dxa"/>
          </w:tcPr>
          <w:p w14:paraId="344D89FD">
            <w:pPr>
              <w:pStyle w:val="61"/>
              <w:rPr>
                <w:rFonts w:ascii="宋体" w:hAnsi="宋体"/>
                <w:color w:val="auto"/>
                <w:szCs w:val="21"/>
                <w:highlight w:val="none"/>
              </w:rPr>
            </w:pPr>
          </w:p>
        </w:tc>
      </w:tr>
      <w:tr w14:paraId="43CF5E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tcPr>
          <w:p w14:paraId="5F44AC32">
            <w:pPr>
              <w:pStyle w:val="61"/>
              <w:rPr>
                <w:rFonts w:ascii="宋体" w:hAnsi="宋体"/>
                <w:color w:val="auto"/>
                <w:szCs w:val="21"/>
                <w:highlight w:val="none"/>
              </w:rPr>
            </w:pPr>
          </w:p>
        </w:tc>
        <w:tc>
          <w:tcPr>
            <w:tcW w:w="1418" w:type="dxa"/>
          </w:tcPr>
          <w:p w14:paraId="7000F467">
            <w:pPr>
              <w:pStyle w:val="61"/>
              <w:rPr>
                <w:rFonts w:ascii="宋体" w:hAnsi="宋体"/>
                <w:color w:val="auto"/>
                <w:szCs w:val="21"/>
                <w:highlight w:val="none"/>
              </w:rPr>
            </w:pPr>
          </w:p>
        </w:tc>
        <w:tc>
          <w:tcPr>
            <w:tcW w:w="850" w:type="dxa"/>
          </w:tcPr>
          <w:p w14:paraId="1AF9713C">
            <w:pPr>
              <w:pStyle w:val="61"/>
              <w:rPr>
                <w:rFonts w:ascii="宋体" w:hAnsi="宋体"/>
                <w:color w:val="auto"/>
                <w:szCs w:val="21"/>
                <w:highlight w:val="none"/>
              </w:rPr>
            </w:pPr>
          </w:p>
        </w:tc>
        <w:tc>
          <w:tcPr>
            <w:tcW w:w="1058" w:type="dxa"/>
          </w:tcPr>
          <w:p w14:paraId="17190A66">
            <w:pPr>
              <w:pStyle w:val="61"/>
              <w:rPr>
                <w:rFonts w:ascii="宋体" w:hAnsi="宋体"/>
                <w:color w:val="auto"/>
                <w:szCs w:val="21"/>
                <w:highlight w:val="none"/>
              </w:rPr>
            </w:pPr>
          </w:p>
        </w:tc>
        <w:tc>
          <w:tcPr>
            <w:tcW w:w="880" w:type="dxa"/>
          </w:tcPr>
          <w:p w14:paraId="4DB9BDB1">
            <w:pPr>
              <w:pStyle w:val="61"/>
              <w:rPr>
                <w:rFonts w:ascii="宋体" w:hAnsi="宋体"/>
                <w:color w:val="auto"/>
                <w:szCs w:val="21"/>
                <w:highlight w:val="none"/>
              </w:rPr>
            </w:pPr>
          </w:p>
        </w:tc>
        <w:tc>
          <w:tcPr>
            <w:tcW w:w="1020" w:type="dxa"/>
          </w:tcPr>
          <w:p w14:paraId="233D30E9">
            <w:pPr>
              <w:pStyle w:val="61"/>
              <w:rPr>
                <w:rFonts w:ascii="宋体" w:hAnsi="宋体"/>
                <w:color w:val="auto"/>
                <w:szCs w:val="21"/>
                <w:highlight w:val="none"/>
              </w:rPr>
            </w:pPr>
          </w:p>
        </w:tc>
        <w:tc>
          <w:tcPr>
            <w:tcW w:w="1480" w:type="dxa"/>
          </w:tcPr>
          <w:p w14:paraId="1DC5AE93">
            <w:pPr>
              <w:pStyle w:val="61"/>
              <w:rPr>
                <w:rFonts w:ascii="宋体" w:hAnsi="宋体"/>
                <w:color w:val="auto"/>
                <w:szCs w:val="21"/>
                <w:highlight w:val="none"/>
              </w:rPr>
            </w:pPr>
          </w:p>
        </w:tc>
        <w:tc>
          <w:tcPr>
            <w:tcW w:w="1020" w:type="dxa"/>
          </w:tcPr>
          <w:p w14:paraId="14AE0F0D">
            <w:pPr>
              <w:pStyle w:val="61"/>
              <w:rPr>
                <w:rFonts w:ascii="宋体" w:hAnsi="宋体"/>
                <w:color w:val="auto"/>
                <w:szCs w:val="21"/>
                <w:highlight w:val="none"/>
              </w:rPr>
            </w:pPr>
          </w:p>
        </w:tc>
        <w:tc>
          <w:tcPr>
            <w:tcW w:w="921" w:type="dxa"/>
          </w:tcPr>
          <w:p w14:paraId="3E240C4D">
            <w:pPr>
              <w:pStyle w:val="61"/>
              <w:rPr>
                <w:rFonts w:ascii="宋体" w:hAnsi="宋体"/>
                <w:color w:val="auto"/>
                <w:szCs w:val="21"/>
                <w:highlight w:val="none"/>
              </w:rPr>
            </w:pPr>
          </w:p>
        </w:tc>
      </w:tr>
    </w:tbl>
    <w:p w14:paraId="1C36E928">
      <w:pPr>
        <w:pStyle w:val="61"/>
        <w:spacing w:line="440" w:lineRule="exact"/>
        <w:rPr>
          <w:rFonts w:ascii="宋体" w:hAnsi="宋体"/>
          <w:b/>
          <w:bCs/>
          <w:color w:val="auto"/>
          <w:sz w:val="24"/>
          <w:szCs w:val="24"/>
          <w:highlight w:val="none"/>
        </w:rPr>
      </w:pPr>
      <w:bookmarkStart w:id="998" w:name="_Toc267261699"/>
      <w:bookmarkStart w:id="999" w:name="_Toc296347227"/>
      <w:bookmarkStart w:id="1000" w:name="_Toc296891268"/>
      <w:bookmarkStart w:id="1001" w:name="_Toc296346729"/>
      <w:bookmarkStart w:id="1002" w:name="_Toc296891056"/>
      <w:bookmarkStart w:id="1003" w:name="_Toc296503228"/>
      <w:bookmarkStart w:id="1004" w:name="_Toc296944567"/>
    </w:p>
    <w:p w14:paraId="65A7B3D2">
      <w:pPr>
        <w:pStyle w:val="61"/>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附件6：</w:t>
      </w:r>
    </w:p>
    <w:bookmarkEnd w:id="998"/>
    <w:bookmarkEnd w:id="999"/>
    <w:bookmarkEnd w:id="1000"/>
    <w:bookmarkEnd w:id="1001"/>
    <w:bookmarkEnd w:id="1002"/>
    <w:bookmarkEnd w:id="1003"/>
    <w:bookmarkEnd w:id="1004"/>
    <w:p w14:paraId="207ACC19">
      <w:pPr>
        <w:pStyle w:val="61"/>
        <w:spacing w:before="165" w:after="165" w:line="44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承包人主要施工管理人员表</w:t>
      </w:r>
    </w:p>
    <w:tbl>
      <w:tblPr>
        <w:tblStyle w:val="41"/>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871"/>
        <w:gridCol w:w="1418"/>
        <w:gridCol w:w="1134"/>
        <w:gridCol w:w="1134"/>
        <w:gridCol w:w="4252"/>
      </w:tblGrid>
      <w:tr w14:paraId="47A92D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5CC6C228">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名    称</w:t>
            </w:r>
          </w:p>
        </w:tc>
        <w:tc>
          <w:tcPr>
            <w:tcW w:w="1418" w:type="dxa"/>
            <w:vAlign w:val="center"/>
          </w:tcPr>
          <w:p w14:paraId="64D639C9">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姓名</w:t>
            </w:r>
          </w:p>
        </w:tc>
        <w:tc>
          <w:tcPr>
            <w:tcW w:w="1134" w:type="dxa"/>
            <w:vAlign w:val="center"/>
          </w:tcPr>
          <w:p w14:paraId="7B76A932">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职务</w:t>
            </w:r>
          </w:p>
        </w:tc>
        <w:tc>
          <w:tcPr>
            <w:tcW w:w="1134" w:type="dxa"/>
            <w:vAlign w:val="center"/>
          </w:tcPr>
          <w:p w14:paraId="3DE26FE8">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职称</w:t>
            </w:r>
          </w:p>
        </w:tc>
        <w:tc>
          <w:tcPr>
            <w:tcW w:w="4252" w:type="dxa"/>
            <w:vAlign w:val="center"/>
          </w:tcPr>
          <w:p w14:paraId="18A26F3D">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主要资历、经验及承担过的项目</w:t>
            </w:r>
          </w:p>
        </w:tc>
      </w:tr>
      <w:tr w14:paraId="6C9623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809" w:type="dxa"/>
            <w:gridSpan w:val="5"/>
            <w:vAlign w:val="center"/>
          </w:tcPr>
          <w:p w14:paraId="56A5DAEB">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一、总部人员</w:t>
            </w:r>
          </w:p>
        </w:tc>
      </w:tr>
      <w:tr w14:paraId="1DB687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2BBE970E">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项目主管</w:t>
            </w:r>
          </w:p>
        </w:tc>
        <w:tc>
          <w:tcPr>
            <w:tcW w:w="1418" w:type="dxa"/>
            <w:vAlign w:val="center"/>
          </w:tcPr>
          <w:p w14:paraId="766F96AE">
            <w:pPr>
              <w:pStyle w:val="138"/>
              <w:spacing w:line="440" w:lineRule="exact"/>
              <w:ind w:left="63" w:right="63"/>
              <w:rPr>
                <w:rFonts w:ascii="宋体" w:hAnsi="宋体"/>
                <w:color w:val="auto"/>
                <w:szCs w:val="21"/>
                <w:highlight w:val="none"/>
              </w:rPr>
            </w:pPr>
          </w:p>
        </w:tc>
        <w:tc>
          <w:tcPr>
            <w:tcW w:w="1134" w:type="dxa"/>
            <w:vAlign w:val="center"/>
          </w:tcPr>
          <w:p w14:paraId="77230A04">
            <w:pPr>
              <w:pStyle w:val="138"/>
              <w:spacing w:line="440" w:lineRule="exact"/>
              <w:ind w:left="63" w:right="63"/>
              <w:rPr>
                <w:rFonts w:ascii="宋体" w:hAnsi="宋体"/>
                <w:color w:val="auto"/>
                <w:szCs w:val="21"/>
                <w:highlight w:val="none"/>
              </w:rPr>
            </w:pPr>
          </w:p>
        </w:tc>
        <w:tc>
          <w:tcPr>
            <w:tcW w:w="1134" w:type="dxa"/>
            <w:vAlign w:val="center"/>
          </w:tcPr>
          <w:p w14:paraId="65E8DD0F">
            <w:pPr>
              <w:pStyle w:val="138"/>
              <w:spacing w:line="440" w:lineRule="exact"/>
              <w:ind w:left="63" w:right="63"/>
              <w:rPr>
                <w:rFonts w:ascii="宋体" w:hAnsi="宋体"/>
                <w:color w:val="auto"/>
                <w:szCs w:val="21"/>
                <w:highlight w:val="none"/>
              </w:rPr>
            </w:pPr>
          </w:p>
        </w:tc>
        <w:tc>
          <w:tcPr>
            <w:tcW w:w="4252" w:type="dxa"/>
            <w:vAlign w:val="center"/>
          </w:tcPr>
          <w:p w14:paraId="699725C7">
            <w:pPr>
              <w:pStyle w:val="138"/>
              <w:spacing w:line="440" w:lineRule="exact"/>
              <w:ind w:left="63" w:right="63"/>
              <w:rPr>
                <w:rFonts w:ascii="宋体" w:hAnsi="宋体"/>
                <w:color w:val="auto"/>
                <w:szCs w:val="21"/>
                <w:highlight w:val="none"/>
              </w:rPr>
            </w:pPr>
          </w:p>
        </w:tc>
      </w:tr>
      <w:tr w14:paraId="3535613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47F96D24">
            <w:pPr>
              <w:pStyle w:val="138"/>
              <w:spacing w:line="440" w:lineRule="exact"/>
              <w:ind w:left="63" w:right="63"/>
              <w:rPr>
                <w:rFonts w:ascii="宋体" w:hAnsi="宋体"/>
                <w:color w:val="auto"/>
                <w:szCs w:val="21"/>
                <w:highlight w:val="none"/>
              </w:rPr>
            </w:pPr>
          </w:p>
        </w:tc>
        <w:tc>
          <w:tcPr>
            <w:tcW w:w="1418" w:type="dxa"/>
            <w:vAlign w:val="center"/>
          </w:tcPr>
          <w:p w14:paraId="43EED737">
            <w:pPr>
              <w:pStyle w:val="138"/>
              <w:spacing w:line="440" w:lineRule="exact"/>
              <w:ind w:left="63" w:right="63"/>
              <w:rPr>
                <w:rFonts w:ascii="宋体" w:hAnsi="宋体"/>
                <w:color w:val="auto"/>
                <w:szCs w:val="21"/>
                <w:highlight w:val="none"/>
              </w:rPr>
            </w:pPr>
          </w:p>
        </w:tc>
        <w:tc>
          <w:tcPr>
            <w:tcW w:w="1134" w:type="dxa"/>
            <w:vAlign w:val="center"/>
          </w:tcPr>
          <w:p w14:paraId="22241D44">
            <w:pPr>
              <w:pStyle w:val="138"/>
              <w:spacing w:line="440" w:lineRule="exact"/>
              <w:ind w:left="63" w:right="63"/>
              <w:rPr>
                <w:rFonts w:ascii="宋体" w:hAnsi="宋体"/>
                <w:color w:val="auto"/>
                <w:szCs w:val="21"/>
                <w:highlight w:val="none"/>
              </w:rPr>
            </w:pPr>
          </w:p>
        </w:tc>
        <w:tc>
          <w:tcPr>
            <w:tcW w:w="1134" w:type="dxa"/>
            <w:vAlign w:val="center"/>
          </w:tcPr>
          <w:p w14:paraId="606D9D18">
            <w:pPr>
              <w:pStyle w:val="138"/>
              <w:spacing w:line="440" w:lineRule="exact"/>
              <w:ind w:left="63" w:right="63"/>
              <w:rPr>
                <w:rFonts w:ascii="宋体" w:hAnsi="宋体"/>
                <w:color w:val="auto"/>
                <w:szCs w:val="21"/>
                <w:highlight w:val="none"/>
              </w:rPr>
            </w:pPr>
          </w:p>
        </w:tc>
        <w:tc>
          <w:tcPr>
            <w:tcW w:w="4252" w:type="dxa"/>
            <w:vAlign w:val="center"/>
          </w:tcPr>
          <w:p w14:paraId="677545F5">
            <w:pPr>
              <w:pStyle w:val="138"/>
              <w:spacing w:line="440" w:lineRule="exact"/>
              <w:ind w:left="63" w:right="63"/>
              <w:rPr>
                <w:rFonts w:ascii="宋体" w:hAnsi="宋体"/>
                <w:color w:val="auto"/>
                <w:szCs w:val="21"/>
                <w:highlight w:val="none"/>
              </w:rPr>
            </w:pPr>
          </w:p>
        </w:tc>
      </w:tr>
      <w:tr w14:paraId="77EEFD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5E2B0ED1">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其他人员</w:t>
            </w:r>
          </w:p>
        </w:tc>
        <w:tc>
          <w:tcPr>
            <w:tcW w:w="1418" w:type="dxa"/>
            <w:vAlign w:val="center"/>
          </w:tcPr>
          <w:p w14:paraId="4EDCA9BF">
            <w:pPr>
              <w:pStyle w:val="138"/>
              <w:spacing w:line="440" w:lineRule="exact"/>
              <w:ind w:left="63" w:right="63"/>
              <w:rPr>
                <w:rFonts w:ascii="宋体" w:hAnsi="宋体"/>
                <w:color w:val="auto"/>
                <w:szCs w:val="21"/>
                <w:highlight w:val="none"/>
              </w:rPr>
            </w:pPr>
          </w:p>
        </w:tc>
        <w:tc>
          <w:tcPr>
            <w:tcW w:w="1134" w:type="dxa"/>
            <w:vAlign w:val="center"/>
          </w:tcPr>
          <w:p w14:paraId="00ACA973">
            <w:pPr>
              <w:pStyle w:val="138"/>
              <w:spacing w:line="440" w:lineRule="exact"/>
              <w:ind w:left="63" w:right="63"/>
              <w:rPr>
                <w:rFonts w:ascii="宋体" w:hAnsi="宋体"/>
                <w:color w:val="auto"/>
                <w:szCs w:val="21"/>
                <w:highlight w:val="none"/>
              </w:rPr>
            </w:pPr>
          </w:p>
        </w:tc>
        <w:tc>
          <w:tcPr>
            <w:tcW w:w="1134" w:type="dxa"/>
            <w:vAlign w:val="center"/>
          </w:tcPr>
          <w:p w14:paraId="4A609E49">
            <w:pPr>
              <w:pStyle w:val="138"/>
              <w:spacing w:line="440" w:lineRule="exact"/>
              <w:ind w:left="63" w:right="63"/>
              <w:rPr>
                <w:rFonts w:ascii="宋体" w:hAnsi="宋体"/>
                <w:color w:val="auto"/>
                <w:szCs w:val="21"/>
                <w:highlight w:val="none"/>
              </w:rPr>
            </w:pPr>
          </w:p>
        </w:tc>
        <w:tc>
          <w:tcPr>
            <w:tcW w:w="4252" w:type="dxa"/>
            <w:vAlign w:val="center"/>
          </w:tcPr>
          <w:p w14:paraId="02C19BE9">
            <w:pPr>
              <w:pStyle w:val="138"/>
              <w:spacing w:line="440" w:lineRule="exact"/>
              <w:ind w:left="63" w:right="63"/>
              <w:rPr>
                <w:rFonts w:ascii="宋体" w:hAnsi="宋体"/>
                <w:color w:val="auto"/>
                <w:szCs w:val="21"/>
                <w:highlight w:val="none"/>
              </w:rPr>
            </w:pPr>
          </w:p>
        </w:tc>
      </w:tr>
      <w:tr w14:paraId="3C0360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5CD8783A">
            <w:pPr>
              <w:pStyle w:val="138"/>
              <w:spacing w:line="440" w:lineRule="exact"/>
              <w:ind w:left="63" w:right="63"/>
              <w:rPr>
                <w:rFonts w:ascii="宋体" w:hAnsi="宋体"/>
                <w:color w:val="auto"/>
                <w:szCs w:val="21"/>
                <w:highlight w:val="none"/>
              </w:rPr>
            </w:pPr>
          </w:p>
        </w:tc>
        <w:tc>
          <w:tcPr>
            <w:tcW w:w="1418" w:type="dxa"/>
            <w:vAlign w:val="center"/>
          </w:tcPr>
          <w:p w14:paraId="460D40DE">
            <w:pPr>
              <w:pStyle w:val="138"/>
              <w:spacing w:line="440" w:lineRule="exact"/>
              <w:ind w:left="63" w:right="63"/>
              <w:rPr>
                <w:rFonts w:ascii="宋体" w:hAnsi="宋体"/>
                <w:color w:val="auto"/>
                <w:szCs w:val="21"/>
                <w:highlight w:val="none"/>
              </w:rPr>
            </w:pPr>
          </w:p>
        </w:tc>
        <w:tc>
          <w:tcPr>
            <w:tcW w:w="1134" w:type="dxa"/>
            <w:vAlign w:val="center"/>
          </w:tcPr>
          <w:p w14:paraId="48275BDD">
            <w:pPr>
              <w:pStyle w:val="138"/>
              <w:spacing w:line="440" w:lineRule="exact"/>
              <w:ind w:left="63" w:right="63"/>
              <w:rPr>
                <w:rFonts w:ascii="宋体" w:hAnsi="宋体"/>
                <w:color w:val="auto"/>
                <w:szCs w:val="21"/>
                <w:highlight w:val="none"/>
              </w:rPr>
            </w:pPr>
          </w:p>
        </w:tc>
        <w:tc>
          <w:tcPr>
            <w:tcW w:w="1134" w:type="dxa"/>
            <w:vAlign w:val="center"/>
          </w:tcPr>
          <w:p w14:paraId="7127F8C9">
            <w:pPr>
              <w:pStyle w:val="138"/>
              <w:spacing w:line="440" w:lineRule="exact"/>
              <w:ind w:left="63" w:right="63"/>
              <w:rPr>
                <w:rFonts w:ascii="宋体" w:hAnsi="宋体"/>
                <w:color w:val="auto"/>
                <w:szCs w:val="21"/>
                <w:highlight w:val="none"/>
              </w:rPr>
            </w:pPr>
          </w:p>
        </w:tc>
        <w:tc>
          <w:tcPr>
            <w:tcW w:w="4252" w:type="dxa"/>
            <w:vAlign w:val="center"/>
          </w:tcPr>
          <w:p w14:paraId="4EB12C86">
            <w:pPr>
              <w:pStyle w:val="138"/>
              <w:spacing w:line="440" w:lineRule="exact"/>
              <w:ind w:left="63" w:right="63"/>
              <w:rPr>
                <w:rFonts w:ascii="宋体" w:hAnsi="宋体"/>
                <w:color w:val="auto"/>
                <w:szCs w:val="21"/>
                <w:highlight w:val="none"/>
              </w:rPr>
            </w:pPr>
          </w:p>
        </w:tc>
      </w:tr>
      <w:tr w14:paraId="4A3D0DE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809" w:type="dxa"/>
            <w:gridSpan w:val="5"/>
            <w:vAlign w:val="center"/>
          </w:tcPr>
          <w:p w14:paraId="31E7A7B1">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二、现场人员</w:t>
            </w:r>
          </w:p>
        </w:tc>
      </w:tr>
      <w:tr w14:paraId="201F8F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2365BFC8">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项目经理</w:t>
            </w:r>
          </w:p>
        </w:tc>
        <w:tc>
          <w:tcPr>
            <w:tcW w:w="1418" w:type="dxa"/>
            <w:vAlign w:val="center"/>
          </w:tcPr>
          <w:p w14:paraId="05A8D8E3">
            <w:pPr>
              <w:pStyle w:val="138"/>
              <w:spacing w:line="440" w:lineRule="exact"/>
              <w:ind w:left="63" w:right="63"/>
              <w:rPr>
                <w:rFonts w:ascii="宋体" w:hAnsi="宋体"/>
                <w:color w:val="auto"/>
                <w:szCs w:val="21"/>
                <w:highlight w:val="none"/>
              </w:rPr>
            </w:pPr>
          </w:p>
        </w:tc>
        <w:tc>
          <w:tcPr>
            <w:tcW w:w="1134" w:type="dxa"/>
            <w:vAlign w:val="center"/>
          </w:tcPr>
          <w:p w14:paraId="7BD9D617">
            <w:pPr>
              <w:pStyle w:val="138"/>
              <w:spacing w:line="440" w:lineRule="exact"/>
              <w:ind w:left="63" w:right="63"/>
              <w:rPr>
                <w:rFonts w:ascii="宋体" w:hAnsi="宋体"/>
                <w:color w:val="auto"/>
                <w:szCs w:val="21"/>
                <w:highlight w:val="none"/>
              </w:rPr>
            </w:pPr>
          </w:p>
        </w:tc>
        <w:tc>
          <w:tcPr>
            <w:tcW w:w="1134" w:type="dxa"/>
            <w:vAlign w:val="center"/>
          </w:tcPr>
          <w:p w14:paraId="7E705559">
            <w:pPr>
              <w:pStyle w:val="138"/>
              <w:spacing w:line="440" w:lineRule="exact"/>
              <w:ind w:left="63" w:right="63"/>
              <w:rPr>
                <w:rFonts w:ascii="宋体" w:hAnsi="宋体"/>
                <w:color w:val="auto"/>
                <w:szCs w:val="21"/>
                <w:highlight w:val="none"/>
              </w:rPr>
            </w:pPr>
          </w:p>
        </w:tc>
        <w:tc>
          <w:tcPr>
            <w:tcW w:w="4252" w:type="dxa"/>
            <w:vAlign w:val="center"/>
          </w:tcPr>
          <w:p w14:paraId="65C211AD">
            <w:pPr>
              <w:pStyle w:val="138"/>
              <w:spacing w:line="440" w:lineRule="exact"/>
              <w:ind w:left="63" w:right="63"/>
              <w:rPr>
                <w:rFonts w:ascii="宋体" w:hAnsi="宋体"/>
                <w:color w:val="auto"/>
                <w:szCs w:val="21"/>
                <w:highlight w:val="none"/>
              </w:rPr>
            </w:pPr>
          </w:p>
        </w:tc>
      </w:tr>
      <w:tr w14:paraId="32F5CC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60F906D6">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项目副经理</w:t>
            </w:r>
          </w:p>
        </w:tc>
        <w:tc>
          <w:tcPr>
            <w:tcW w:w="1418" w:type="dxa"/>
            <w:vAlign w:val="center"/>
          </w:tcPr>
          <w:p w14:paraId="6386B149">
            <w:pPr>
              <w:pStyle w:val="138"/>
              <w:spacing w:line="440" w:lineRule="exact"/>
              <w:ind w:left="63" w:right="63"/>
              <w:rPr>
                <w:rFonts w:ascii="宋体" w:hAnsi="宋体"/>
                <w:color w:val="auto"/>
                <w:szCs w:val="21"/>
                <w:highlight w:val="none"/>
              </w:rPr>
            </w:pPr>
          </w:p>
        </w:tc>
        <w:tc>
          <w:tcPr>
            <w:tcW w:w="1134" w:type="dxa"/>
            <w:vAlign w:val="center"/>
          </w:tcPr>
          <w:p w14:paraId="47F03F98">
            <w:pPr>
              <w:pStyle w:val="138"/>
              <w:spacing w:line="440" w:lineRule="exact"/>
              <w:ind w:left="63" w:right="63"/>
              <w:rPr>
                <w:rFonts w:ascii="宋体" w:hAnsi="宋体"/>
                <w:color w:val="auto"/>
                <w:szCs w:val="21"/>
                <w:highlight w:val="none"/>
              </w:rPr>
            </w:pPr>
          </w:p>
        </w:tc>
        <w:tc>
          <w:tcPr>
            <w:tcW w:w="1134" w:type="dxa"/>
            <w:vAlign w:val="center"/>
          </w:tcPr>
          <w:p w14:paraId="5A73C8F2">
            <w:pPr>
              <w:pStyle w:val="138"/>
              <w:spacing w:line="440" w:lineRule="exact"/>
              <w:ind w:left="63" w:right="63"/>
              <w:rPr>
                <w:rFonts w:ascii="宋体" w:hAnsi="宋体"/>
                <w:color w:val="auto"/>
                <w:szCs w:val="21"/>
                <w:highlight w:val="none"/>
              </w:rPr>
            </w:pPr>
          </w:p>
        </w:tc>
        <w:tc>
          <w:tcPr>
            <w:tcW w:w="4252" w:type="dxa"/>
            <w:vAlign w:val="center"/>
          </w:tcPr>
          <w:p w14:paraId="31BF6583">
            <w:pPr>
              <w:pStyle w:val="138"/>
              <w:spacing w:line="440" w:lineRule="exact"/>
              <w:ind w:left="63" w:right="63"/>
              <w:rPr>
                <w:rFonts w:ascii="宋体" w:hAnsi="宋体"/>
                <w:color w:val="auto"/>
                <w:szCs w:val="21"/>
                <w:highlight w:val="none"/>
              </w:rPr>
            </w:pPr>
          </w:p>
        </w:tc>
      </w:tr>
      <w:tr w14:paraId="04E130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1114A543">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技术负责人</w:t>
            </w:r>
          </w:p>
        </w:tc>
        <w:tc>
          <w:tcPr>
            <w:tcW w:w="1418" w:type="dxa"/>
            <w:vAlign w:val="center"/>
          </w:tcPr>
          <w:p w14:paraId="073C8D5F">
            <w:pPr>
              <w:pStyle w:val="138"/>
              <w:spacing w:line="440" w:lineRule="exact"/>
              <w:ind w:left="63" w:right="63"/>
              <w:rPr>
                <w:rFonts w:ascii="宋体" w:hAnsi="宋体"/>
                <w:color w:val="auto"/>
                <w:szCs w:val="21"/>
                <w:highlight w:val="none"/>
              </w:rPr>
            </w:pPr>
          </w:p>
        </w:tc>
        <w:tc>
          <w:tcPr>
            <w:tcW w:w="1134" w:type="dxa"/>
            <w:vAlign w:val="center"/>
          </w:tcPr>
          <w:p w14:paraId="5AF14EB0">
            <w:pPr>
              <w:pStyle w:val="138"/>
              <w:spacing w:line="440" w:lineRule="exact"/>
              <w:ind w:left="63" w:right="63"/>
              <w:rPr>
                <w:rFonts w:ascii="宋体" w:hAnsi="宋体"/>
                <w:color w:val="auto"/>
                <w:szCs w:val="21"/>
                <w:highlight w:val="none"/>
              </w:rPr>
            </w:pPr>
          </w:p>
        </w:tc>
        <w:tc>
          <w:tcPr>
            <w:tcW w:w="1134" w:type="dxa"/>
            <w:vAlign w:val="center"/>
          </w:tcPr>
          <w:p w14:paraId="16128ADA">
            <w:pPr>
              <w:pStyle w:val="138"/>
              <w:spacing w:line="440" w:lineRule="exact"/>
              <w:ind w:left="63" w:right="63"/>
              <w:rPr>
                <w:rFonts w:ascii="宋体" w:hAnsi="宋体"/>
                <w:color w:val="auto"/>
                <w:szCs w:val="21"/>
                <w:highlight w:val="none"/>
              </w:rPr>
            </w:pPr>
          </w:p>
        </w:tc>
        <w:tc>
          <w:tcPr>
            <w:tcW w:w="4252" w:type="dxa"/>
            <w:vAlign w:val="center"/>
          </w:tcPr>
          <w:p w14:paraId="3A4D35EA">
            <w:pPr>
              <w:pStyle w:val="138"/>
              <w:spacing w:line="440" w:lineRule="exact"/>
              <w:ind w:left="63" w:right="63"/>
              <w:rPr>
                <w:rFonts w:ascii="宋体" w:hAnsi="宋体"/>
                <w:color w:val="auto"/>
                <w:szCs w:val="21"/>
                <w:highlight w:val="none"/>
              </w:rPr>
            </w:pPr>
          </w:p>
        </w:tc>
      </w:tr>
      <w:tr w14:paraId="6BE865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5363F8CE">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造价管理</w:t>
            </w:r>
          </w:p>
        </w:tc>
        <w:tc>
          <w:tcPr>
            <w:tcW w:w="1418" w:type="dxa"/>
            <w:vAlign w:val="center"/>
          </w:tcPr>
          <w:p w14:paraId="25A75B36">
            <w:pPr>
              <w:pStyle w:val="138"/>
              <w:spacing w:line="440" w:lineRule="exact"/>
              <w:ind w:left="63" w:right="63"/>
              <w:rPr>
                <w:rFonts w:ascii="宋体" w:hAnsi="宋体"/>
                <w:color w:val="auto"/>
                <w:szCs w:val="21"/>
                <w:highlight w:val="none"/>
              </w:rPr>
            </w:pPr>
          </w:p>
        </w:tc>
        <w:tc>
          <w:tcPr>
            <w:tcW w:w="1134" w:type="dxa"/>
            <w:vAlign w:val="center"/>
          </w:tcPr>
          <w:p w14:paraId="52B02C89">
            <w:pPr>
              <w:pStyle w:val="138"/>
              <w:spacing w:line="440" w:lineRule="exact"/>
              <w:ind w:left="63" w:right="63"/>
              <w:rPr>
                <w:rFonts w:ascii="宋体" w:hAnsi="宋体"/>
                <w:color w:val="auto"/>
                <w:szCs w:val="21"/>
                <w:highlight w:val="none"/>
              </w:rPr>
            </w:pPr>
          </w:p>
        </w:tc>
        <w:tc>
          <w:tcPr>
            <w:tcW w:w="1134" w:type="dxa"/>
            <w:vAlign w:val="center"/>
          </w:tcPr>
          <w:p w14:paraId="57BEE9C1">
            <w:pPr>
              <w:pStyle w:val="138"/>
              <w:spacing w:line="440" w:lineRule="exact"/>
              <w:ind w:left="63" w:right="63"/>
              <w:rPr>
                <w:rFonts w:ascii="宋体" w:hAnsi="宋体"/>
                <w:color w:val="auto"/>
                <w:szCs w:val="21"/>
                <w:highlight w:val="none"/>
              </w:rPr>
            </w:pPr>
          </w:p>
        </w:tc>
        <w:tc>
          <w:tcPr>
            <w:tcW w:w="4252" w:type="dxa"/>
            <w:vAlign w:val="center"/>
          </w:tcPr>
          <w:p w14:paraId="0614D0CF">
            <w:pPr>
              <w:pStyle w:val="138"/>
              <w:spacing w:line="440" w:lineRule="exact"/>
              <w:ind w:left="63" w:right="63"/>
              <w:rPr>
                <w:rFonts w:ascii="宋体" w:hAnsi="宋体"/>
                <w:color w:val="auto"/>
                <w:szCs w:val="21"/>
                <w:highlight w:val="none"/>
              </w:rPr>
            </w:pPr>
          </w:p>
        </w:tc>
      </w:tr>
      <w:tr w14:paraId="2032EE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4FF13ECB">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质量管理</w:t>
            </w:r>
          </w:p>
        </w:tc>
        <w:tc>
          <w:tcPr>
            <w:tcW w:w="1418" w:type="dxa"/>
            <w:vAlign w:val="center"/>
          </w:tcPr>
          <w:p w14:paraId="79A1A99F">
            <w:pPr>
              <w:pStyle w:val="138"/>
              <w:spacing w:line="440" w:lineRule="exact"/>
              <w:ind w:left="63" w:right="63"/>
              <w:rPr>
                <w:rFonts w:ascii="宋体" w:hAnsi="宋体"/>
                <w:color w:val="auto"/>
                <w:szCs w:val="21"/>
                <w:highlight w:val="none"/>
              </w:rPr>
            </w:pPr>
          </w:p>
        </w:tc>
        <w:tc>
          <w:tcPr>
            <w:tcW w:w="1134" w:type="dxa"/>
            <w:vAlign w:val="center"/>
          </w:tcPr>
          <w:p w14:paraId="27BAED0A">
            <w:pPr>
              <w:pStyle w:val="138"/>
              <w:spacing w:line="440" w:lineRule="exact"/>
              <w:ind w:left="63" w:right="63"/>
              <w:rPr>
                <w:rFonts w:ascii="宋体" w:hAnsi="宋体"/>
                <w:color w:val="auto"/>
                <w:szCs w:val="21"/>
                <w:highlight w:val="none"/>
              </w:rPr>
            </w:pPr>
          </w:p>
        </w:tc>
        <w:tc>
          <w:tcPr>
            <w:tcW w:w="1134" w:type="dxa"/>
            <w:vAlign w:val="center"/>
          </w:tcPr>
          <w:p w14:paraId="754F3F93">
            <w:pPr>
              <w:pStyle w:val="138"/>
              <w:spacing w:line="440" w:lineRule="exact"/>
              <w:ind w:left="63" w:right="63"/>
              <w:rPr>
                <w:rFonts w:ascii="宋体" w:hAnsi="宋体"/>
                <w:color w:val="auto"/>
                <w:szCs w:val="21"/>
                <w:highlight w:val="none"/>
              </w:rPr>
            </w:pPr>
          </w:p>
        </w:tc>
        <w:tc>
          <w:tcPr>
            <w:tcW w:w="4252" w:type="dxa"/>
            <w:vAlign w:val="center"/>
          </w:tcPr>
          <w:p w14:paraId="64F74E17">
            <w:pPr>
              <w:pStyle w:val="138"/>
              <w:spacing w:line="440" w:lineRule="exact"/>
              <w:ind w:left="63" w:right="63"/>
              <w:rPr>
                <w:rFonts w:ascii="宋体" w:hAnsi="宋体"/>
                <w:color w:val="auto"/>
                <w:szCs w:val="21"/>
                <w:highlight w:val="none"/>
              </w:rPr>
            </w:pPr>
          </w:p>
        </w:tc>
      </w:tr>
      <w:tr w14:paraId="04096A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744E1141">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材料管理</w:t>
            </w:r>
          </w:p>
        </w:tc>
        <w:tc>
          <w:tcPr>
            <w:tcW w:w="1418" w:type="dxa"/>
            <w:vAlign w:val="center"/>
          </w:tcPr>
          <w:p w14:paraId="66963F2E">
            <w:pPr>
              <w:pStyle w:val="138"/>
              <w:spacing w:line="440" w:lineRule="exact"/>
              <w:ind w:left="63" w:right="63"/>
              <w:rPr>
                <w:rFonts w:ascii="宋体" w:hAnsi="宋体"/>
                <w:color w:val="auto"/>
                <w:szCs w:val="21"/>
                <w:highlight w:val="none"/>
              </w:rPr>
            </w:pPr>
          </w:p>
        </w:tc>
        <w:tc>
          <w:tcPr>
            <w:tcW w:w="1134" w:type="dxa"/>
            <w:vAlign w:val="center"/>
          </w:tcPr>
          <w:p w14:paraId="54340C7B">
            <w:pPr>
              <w:pStyle w:val="138"/>
              <w:spacing w:line="440" w:lineRule="exact"/>
              <w:ind w:left="63" w:right="63"/>
              <w:rPr>
                <w:rFonts w:ascii="宋体" w:hAnsi="宋体"/>
                <w:color w:val="auto"/>
                <w:szCs w:val="21"/>
                <w:highlight w:val="none"/>
              </w:rPr>
            </w:pPr>
          </w:p>
        </w:tc>
        <w:tc>
          <w:tcPr>
            <w:tcW w:w="1134" w:type="dxa"/>
            <w:vAlign w:val="center"/>
          </w:tcPr>
          <w:p w14:paraId="42788584">
            <w:pPr>
              <w:pStyle w:val="138"/>
              <w:spacing w:line="440" w:lineRule="exact"/>
              <w:ind w:left="63" w:right="63"/>
              <w:rPr>
                <w:rFonts w:ascii="宋体" w:hAnsi="宋体"/>
                <w:color w:val="auto"/>
                <w:szCs w:val="21"/>
                <w:highlight w:val="none"/>
              </w:rPr>
            </w:pPr>
          </w:p>
        </w:tc>
        <w:tc>
          <w:tcPr>
            <w:tcW w:w="4252" w:type="dxa"/>
            <w:vAlign w:val="center"/>
          </w:tcPr>
          <w:p w14:paraId="6727282C">
            <w:pPr>
              <w:pStyle w:val="138"/>
              <w:spacing w:line="440" w:lineRule="exact"/>
              <w:ind w:left="63" w:right="63"/>
              <w:rPr>
                <w:rFonts w:ascii="宋体" w:hAnsi="宋体"/>
                <w:color w:val="auto"/>
                <w:szCs w:val="21"/>
                <w:highlight w:val="none"/>
              </w:rPr>
            </w:pPr>
          </w:p>
        </w:tc>
      </w:tr>
      <w:tr w14:paraId="4733E0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11119CF7">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计划管理</w:t>
            </w:r>
          </w:p>
        </w:tc>
        <w:tc>
          <w:tcPr>
            <w:tcW w:w="1418" w:type="dxa"/>
            <w:vAlign w:val="center"/>
          </w:tcPr>
          <w:p w14:paraId="4DF10C06">
            <w:pPr>
              <w:pStyle w:val="138"/>
              <w:spacing w:line="440" w:lineRule="exact"/>
              <w:ind w:left="63" w:right="63"/>
              <w:rPr>
                <w:rFonts w:ascii="宋体" w:hAnsi="宋体"/>
                <w:color w:val="auto"/>
                <w:szCs w:val="21"/>
                <w:highlight w:val="none"/>
              </w:rPr>
            </w:pPr>
          </w:p>
        </w:tc>
        <w:tc>
          <w:tcPr>
            <w:tcW w:w="1134" w:type="dxa"/>
            <w:vAlign w:val="center"/>
          </w:tcPr>
          <w:p w14:paraId="056902DE">
            <w:pPr>
              <w:pStyle w:val="138"/>
              <w:spacing w:line="440" w:lineRule="exact"/>
              <w:ind w:left="63" w:right="63"/>
              <w:rPr>
                <w:rFonts w:ascii="宋体" w:hAnsi="宋体"/>
                <w:color w:val="auto"/>
                <w:szCs w:val="21"/>
                <w:highlight w:val="none"/>
              </w:rPr>
            </w:pPr>
          </w:p>
        </w:tc>
        <w:tc>
          <w:tcPr>
            <w:tcW w:w="1134" w:type="dxa"/>
            <w:vAlign w:val="center"/>
          </w:tcPr>
          <w:p w14:paraId="52756424">
            <w:pPr>
              <w:pStyle w:val="138"/>
              <w:spacing w:line="440" w:lineRule="exact"/>
              <w:ind w:left="63" w:right="63"/>
              <w:rPr>
                <w:rFonts w:ascii="宋体" w:hAnsi="宋体"/>
                <w:color w:val="auto"/>
                <w:szCs w:val="21"/>
                <w:highlight w:val="none"/>
              </w:rPr>
            </w:pPr>
          </w:p>
        </w:tc>
        <w:tc>
          <w:tcPr>
            <w:tcW w:w="4252" w:type="dxa"/>
            <w:vAlign w:val="center"/>
          </w:tcPr>
          <w:p w14:paraId="700830AA">
            <w:pPr>
              <w:pStyle w:val="138"/>
              <w:spacing w:line="440" w:lineRule="exact"/>
              <w:ind w:left="63" w:right="63"/>
              <w:rPr>
                <w:rFonts w:ascii="宋体" w:hAnsi="宋体"/>
                <w:color w:val="auto"/>
                <w:szCs w:val="21"/>
                <w:highlight w:val="none"/>
              </w:rPr>
            </w:pPr>
          </w:p>
        </w:tc>
      </w:tr>
      <w:tr w14:paraId="011920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0BE2456B">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安全管理</w:t>
            </w:r>
          </w:p>
        </w:tc>
        <w:tc>
          <w:tcPr>
            <w:tcW w:w="1418" w:type="dxa"/>
            <w:vAlign w:val="center"/>
          </w:tcPr>
          <w:p w14:paraId="3CBCCD36">
            <w:pPr>
              <w:pStyle w:val="138"/>
              <w:spacing w:line="440" w:lineRule="exact"/>
              <w:ind w:left="63" w:right="63"/>
              <w:rPr>
                <w:rFonts w:ascii="宋体" w:hAnsi="宋体"/>
                <w:color w:val="auto"/>
                <w:szCs w:val="21"/>
                <w:highlight w:val="none"/>
              </w:rPr>
            </w:pPr>
          </w:p>
        </w:tc>
        <w:tc>
          <w:tcPr>
            <w:tcW w:w="1134" w:type="dxa"/>
            <w:vAlign w:val="center"/>
          </w:tcPr>
          <w:p w14:paraId="6A05373B">
            <w:pPr>
              <w:pStyle w:val="138"/>
              <w:spacing w:line="440" w:lineRule="exact"/>
              <w:ind w:left="63" w:right="63"/>
              <w:rPr>
                <w:rFonts w:ascii="宋体" w:hAnsi="宋体"/>
                <w:color w:val="auto"/>
                <w:szCs w:val="21"/>
                <w:highlight w:val="none"/>
              </w:rPr>
            </w:pPr>
          </w:p>
        </w:tc>
        <w:tc>
          <w:tcPr>
            <w:tcW w:w="1134" w:type="dxa"/>
            <w:vAlign w:val="center"/>
          </w:tcPr>
          <w:p w14:paraId="54DBF9CF">
            <w:pPr>
              <w:pStyle w:val="138"/>
              <w:spacing w:line="440" w:lineRule="exact"/>
              <w:ind w:left="63" w:right="63"/>
              <w:rPr>
                <w:rFonts w:ascii="宋体" w:hAnsi="宋体"/>
                <w:color w:val="auto"/>
                <w:szCs w:val="21"/>
                <w:highlight w:val="none"/>
              </w:rPr>
            </w:pPr>
          </w:p>
        </w:tc>
        <w:tc>
          <w:tcPr>
            <w:tcW w:w="4252" w:type="dxa"/>
            <w:vAlign w:val="center"/>
          </w:tcPr>
          <w:p w14:paraId="107E9922">
            <w:pPr>
              <w:pStyle w:val="138"/>
              <w:spacing w:line="440" w:lineRule="exact"/>
              <w:ind w:left="63" w:right="63"/>
              <w:rPr>
                <w:rFonts w:ascii="宋体" w:hAnsi="宋体"/>
                <w:color w:val="auto"/>
                <w:szCs w:val="21"/>
                <w:highlight w:val="none"/>
              </w:rPr>
            </w:pPr>
          </w:p>
        </w:tc>
      </w:tr>
      <w:tr w14:paraId="16F02D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restart"/>
            <w:vAlign w:val="center"/>
          </w:tcPr>
          <w:p w14:paraId="1E042F47">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其他人员</w:t>
            </w:r>
          </w:p>
        </w:tc>
        <w:tc>
          <w:tcPr>
            <w:tcW w:w="1418" w:type="dxa"/>
            <w:vAlign w:val="center"/>
          </w:tcPr>
          <w:p w14:paraId="149E6E0C">
            <w:pPr>
              <w:pStyle w:val="138"/>
              <w:spacing w:line="440" w:lineRule="exact"/>
              <w:ind w:left="63" w:right="63"/>
              <w:rPr>
                <w:rFonts w:ascii="宋体" w:hAnsi="宋体"/>
                <w:color w:val="auto"/>
                <w:szCs w:val="21"/>
                <w:highlight w:val="none"/>
              </w:rPr>
            </w:pPr>
          </w:p>
        </w:tc>
        <w:tc>
          <w:tcPr>
            <w:tcW w:w="1134" w:type="dxa"/>
            <w:vAlign w:val="center"/>
          </w:tcPr>
          <w:p w14:paraId="4DC11302">
            <w:pPr>
              <w:pStyle w:val="138"/>
              <w:spacing w:line="440" w:lineRule="exact"/>
              <w:ind w:left="63" w:right="63"/>
              <w:rPr>
                <w:rFonts w:ascii="宋体" w:hAnsi="宋体"/>
                <w:color w:val="auto"/>
                <w:szCs w:val="21"/>
                <w:highlight w:val="none"/>
              </w:rPr>
            </w:pPr>
          </w:p>
        </w:tc>
        <w:tc>
          <w:tcPr>
            <w:tcW w:w="1134" w:type="dxa"/>
            <w:vAlign w:val="center"/>
          </w:tcPr>
          <w:p w14:paraId="7F68451E">
            <w:pPr>
              <w:pStyle w:val="138"/>
              <w:spacing w:line="440" w:lineRule="exact"/>
              <w:ind w:left="63" w:right="63"/>
              <w:rPr>
                <w:rFonts w:ascii="宋体" w:hAnsi="宋体"/>
                <w:color w:val="auto"/>
                <w:szCs w:val="21"/>
                <w:highlight w:val="none"/>
              </w:rPr>
            </w:pPr>
          </w:p>
        </w:tc>
        <w:tc>
          <w:tcPr>
            <w:tcW w:w="4252" w:type="dxa"/>
            <w:vAlign w:val="center"/>
          </w:tcPr>
          <w:p w14:paraId="766E6870">
            <w:pPr>
              <w:pStyle w:val="138"/>
              <w:spacing w:line="440" w:lineRule="exact"/>
              <w:ind w:left="63" w:right="63"/>
              <w:rPr>
                <w:rFonts w:ascii="宋体" w:hAnsi="宋体"/>
                <w:color w:val="auto"/>
                <w:szCs w:val="21"/>
                <w:highlight w:val="none"/>
              </w:rPr>
            </w:pPr>
          </w:p>
        </w:tc>
      </w:tr>
      <w:tr w14:paraId="70C478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5C212CF5">
            <w:pPr>
              <w:pStyle w:val="138"/>
              <w:spacing w:line="440" w:lineRule="exact"/>
              <w:ind w:left="63" w:right="63"/>
              <w:rPr>
                <w:rFonts w:ascii="宋体" w:hAnsi="宋体"/>
                <w:color w:val="auto"/>
                <w:szCs w:val="21"/>
                <w:highlight w:val="none"/>
              </w:rPr>
            </w:pPr>
          </w:p>
        </w:tc>
        <w:tc>
          <w:tcPr>
            <w:tcW w:w="1418" w:type="dxa"/>
            <w:vAlign w:val="center"/>
          </w:tcPr>
          <w:p w14:paraId="786F16A2">
            <w:pPr>
              <w:pStyle w:val="138"/>
              <w:spacing w:line="440" w:lineRule="exact"/>
              <w:ind w:left="63" w:right="63"/>
              <w:rPr>
                <w:rFonts w:ascii="宋体" w:hAnsi="宋体"/>
                <w:color w:val="auto"/>
                <w:szCs w:val="21"/>
                <w:highlight w:val="none"/>
              </w:rPr>
            </w:pPr>
          </w:p>
        </w:tc>
        <w:tc>
          <w:tcPr>
            <w:tcW w:w="1134" w:type="dxa"/>
            <w:vAlign w:val="center"/>
          </w:tcPr>
          <w:p w14:paraId="40BBC3FB">
            <w:pPr>
              <w:pStyle w:val="138"/>
              <w:spacing w:line="440" w:lineRule="exact"/>
              <w:ind w:left="63" w:right="63"/>
              <w:rPr>
                <w:rFonts w:ascii="宋体" w:hAnsi="宋体"/>
                <w:color w:val="auto"/>
                <w:szCs w:val="21"/>
                <w:highlight w:val="none"/>
              </w:rPr>
            </w:pPr>
          </w:p>
        </w:tc>
        <w:tc>
          <w:tcPr>
            <w:tcW w:w="1134" w:type="dxa"/>
            <w:vAlign w:val="center"/>
          </w:tcPr>
          <w:p w14:paraId="469C1244">
            <w:pPr>
              <w:pStyle w:val="138"/>
              <w:spacing w:line="440" w:lineRule="exact"/>
              <w:ind w:left="63" w:right="63"/>
              <w:rPr>
                <w:rFonts w:ascii="宋体" w:hAnsi="宋体"/>
                <w:color w:val="auto"/>
                <w:szCs w:val="21"/>
                <w:highlight w:val="none"/>
              </w:rPr>
            </w:pPr>
          </w:p>
        </w:tc>
        <w:tc>
          <w:tcPr>
            <w:tcW w:w="4252" w:type="dxa"/>
            <w:vAlign w:val="center"/>
          </w:tcPr>
          <w:p w14:paraId="4338BB44">
            <w:pPr>
              <w:pStyle w:val="138"/>
              <w:spacing w:line="440" w:lineRule="exact"/>
              <w:ind w:left="63" w:right="63"/>
              <w:rPr>
                <w:rFonts w:ascii="宋体" w:hAnsi="宋体"/>
                <w:color w:val="auto"/>
                <w:szCs w:val="21"/>
                <w:highlight w:val="none"/>
              </w:rPr>
            </w:pPr>
          </w:p>
        </w:tc>
      </w:tr>
      <w:tr w14:paraId="30E73B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7EB6E8A1">
            <w:pPr>
              <w:pStyle w:val="138"/>
              <w:spacing w:line="440" w:lineRule="exact"/>
              <w:ind w:left="63" w:right="63"/>
              <w:rPr>
                <w:rFonts w:ascii="宋体" w:hAnsi="宋体"/>
                <w:color w:val="auto"/>
                <w:szCs w:val="21"/>
                <w:highlight w:val="none"/>
              </w:rPr>
            </w:pPr>
          </w:p>
        </w:tc>
        <w:tc>
          <w:tcPr>
            <w:tcW w:w="1418" w:type="dxa"/>
            <w:vAlign w:val="center"/>
          </w:tcPr>
          <w:p w14:paraId="320809DE">
            <w:pPr>
              <w:pStyle w:val="138"/>
              <w:spacing w:line="440" w:lineRule="exact"/>
              <w:ind w:left="63" w:right="63"/>
              <w:rPr>
                <w:rFonts w:ascii="宋体" w:hAnsi="宋体"/>
                <w:color w:val="auto"/>
                <w:szCs w:val="21"/>
                <w:highlight w:val="none"/>
              </w:rPr>
            </w:pPr>
          </w:p>
        </w:tc>
        <w:tc>
          <w:tcPr>
            <w:tcW w:w="1134" w:type="dxa"/>
            <w:vAlign w:val="center"/>
          </w:tcPr>
          <w:p w14:paraId="59314252">
            <w:pPr>
              <w:pStyle w:val="138"/>
              <w:spacing w:line="440" w:lineRule="exact"/>
              <w:ind w:left="63" w:right="63"/>
              <w:rPr>
                <w:rFonts w:ascii="宋体" w:hAnsi="宋体"/>
                <w:color w:val="auto"/>
                <w:szCs w:val="21"/>
                <w:highlight w:val="none"/>
              </w:rPr>
            </w:pPr>
          </w:p>
        </w:tc>
        <w:tc>
          <w:tcPr>
            <w:tcW w:w="1134" w:type="dxa"/>
            <w:vAlign w:val="center"/>
          </w:tcPr>
          <w:p w14:paraId="7A93DA1E">
            <w:pPr>
              <w:pStyle w:val="138"/>
              <w:spacing w:line="440" w:lineRule="exact"/>
              <w:ind w:left="63" w:right="63"/>
              <w:rPr>
                <w:rFonts w:ascii="宋体" w:hAnsi="宋体"/>
                <w:color w:val="auto"/>
                <w:szCs w:val="21"/>
                <w:highlight w:val="none"/>
              </w:rPr>
            </w:pPr>
          </w:p>
        </w:tc>
        <w:tc>
          <w:tcPr>
            <w:tcW w:w="4252" w:type="dxa"/>
            <w:vAlign w:val="center"/>
          </w:tcPr>
          <w:p w14:paraId="507F7DA7">
            <w:pPr>
              <w:pStyle w:val="138"/>
              <w:spacing w:line="440" w:lineRule="exact"/>
              <w:ind w:left="63" w:right="63"/>
              <w:rPr>
                <w:rFonts w:ascii="宋体" w:hAnsi="宋体"/>
                <w:color w:val="auto"/>
                <w:szCs w:val="21"/>
                <w:highlight w:val="none"/>
              </w:rPr>
            </w:pPr>
          </w:p>
        </w:tc>
      </w:tr>
      <w:tr w14:paraId="5231A2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4FCE9BEB">
            <w:pPr>
              <w:pStyle w:val="138"/>
              <w:spacing w:line="440" w:lineRule="exact"/>
              <w:ind w:left="63" w:right="63"/>
              <w:rPr>
                <w:rFonts w:ascii="宋体" w:hAnsi="宋体"/>
                <w:color w:val="auto"/>
                <w:szCs w:val="21"/>
                <w:highlight w:val="none"/>
              </w:rPr>
            </w:pPr>
          </w:p>
        </w:tc>
        <w:tc>
          <w:tcPr>
            <w:tcW w:w="1418" w:type="dxa"/>
            <w:vAlign w:val="center"/>
          </w:tcPr>
          <w:p w14:paraId="31379CE4">
            <w:pPr>
              <w:pStyle w:val="138"/>
              <w:spacing w:line="440" w:lineRule="exact"/>
              <w:ind w:left="63" w:right="63"/>
              <w:rPr>
                <w:rFonts w:ascii="宋体" w:hAnsi="宋体"/>
                <w:color w:val="auto"/>
                <w:szCs w:val="21"/>
                <w:highlight w:val="none"/>
              </w:rPr>
            </w:pPr>
          </w:p>
        </w:tc>
        <w:tc>
          <w:tcPr>
            <w:tcW w:w="1134" w:type="dxa"/>
            <w:vAlign w:val="center"/>
          </w:tcPr>
          <w:p w14:paraId="1053A5BE">
            <w:pPr>
              <w:pStyle w:val="138"/>
              <w:spacing w:line="440" w:lineRule="exact"/>
              <w:ind w:left="63" w:right="63"/>
              <w:rPr>
                <w:rFonts w:ascii="宋体" w:hAnsi="宋体"/>
                <w:color w:val="auto"/>
                <w:szCs w:val="21"/>
                <w:highlight w:val="none"/>
              </w:rPr>
            </w:pPr>
          </w:p>
        </w:tc>
        <w:tc>
          <w:tcPr>
            <w:tcW w:w="1134" w:type="dxa"/>
            <w:vAlign w:val="center"/>
          </w:tcPr>
          <w:p w14:paraId="4412CE8A">
            <w:pPr>
              <w:pStyle w:val="138"/>
              <w:spacing w:line="440" w:lineRule="exact"/>
              <w:ind w:left="63" w:right="63"/>
              <w:rPr>
                <w:rFonts w:ascii="宋体" w:hAnsi="宋体"/>
                <w:color w:val="auto"/>
                <w:szCs w:val="21"/>
                <w:highlight w:val="none"/>
              </w:rPr>
            </w:pPr>
          </w:p>
        </w:tc>
        <w:tc>
          <w:tcPr>
            <w:tcW w:w="4252" w:type="dxa"/>
            <w:vAlign w:val="center"/>
          </w:tcPr>
          <w:p w14:paraId="612D83F5">
            <w:pPr>
              <w:pStyle w:val="138"/>
              <w:spacing w:line="440" w:lineRule="exact"/>
              <w:ind w:left="63" w:right="63"/>
              <w:rPr>
                <w:rFonts w:ascii="宋体" w:hAnsi="宋体"/>
                <w:color w:val="auto"/>
                <w:szCs w:val="21"/>
                <w:highlight w:val="none"/>
              </w:rPr>
            </w:pPr>
          </w:p>
        </w:tc>
      </w:tr>
      <w:tr w14:paraId="6B96A3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37123582">
            <w:pPr>
              <w:pStyle w:val="138"/>
              <w:spacing w:line="440" w:lineRule="exact"/>
              <w:ind w:left="63" w:right="63"/>
              <w:rPr>
                <w:rFonts w:ascii="宋体" w:hAnsi="宋体"/>
                <w:color w:val="auto"/>
                <w:szCs w:val="21"/>
                <w:highlight w:val="none"/>
              </w:rPr>
            </w:pPr>
          </w:p>
        </w:tc>
        <w:tc>
          <w:tcPr>
            <w:tcW w:w="1418" w:type="dxa"/>
            <w:vAlign w:val="center"/>
          </w:tcPr>
          <w:p w14:paraId="4492C07C">
            <w:pPr>
              <w:pStyle w:val="138"/>
              <w:spacing w:line="440" w:lineRule="exact"/>
              <w:ind w:left="63" w:right="63"/>
              <w:rPr>
                <w:rFonts w:ascii="宋体" w:hAnsi="宋体"/>
                <w:color w:val="auto"/>
                <w:szCs w:val="21"/>
                <w:highlight w:val="none"/>
              </w:rPr>
            </w:pPr>
          </w:p>
        </w:tc>
        <w:tc>
          <w:tcPr>
            <w:tcW w:w="1134" w:type="dxa"/>
            <w:vAlign w:val="center"/>
          </w:tcPr>
          <w:p w14:paraId="41FBE7EC">
            <w:pPr>
              <w:pStyle w:val="138"/>
              <w:spacing w:line="440" w:lineRule="exact"/>
              <w:ind w:left="63" w:right="63"/>
              <w:rPr>
                <w:rFonts w:ascii="宋体" w:hAnsi="宋体"/>
                <w:color w:val="auto"/>
                <w:szCs w:val="21"/>
                <w:highlight w:val="none"/>
              </w:rPr>
            </w:pPr>
          </w:p>
        </w:tc>
        <w:tc>
          <w:tcPr>
            <w:tcW w:w="1134" w:type="dxa"/>
            <w:vAlign w:val="center"/>
          </w:tcPr>
          <w:p w14:paraId="09B1DF7C">
            <w:pPr>
              <w:pStyle w:val="138"/>
              <w:spacing w:line="440" w:lineRule="exact"/>
              <w:ind w:left="63" w:right="63"/>
              <w:rPr>
                <w:rFonts w:ascii="宋体" w:hAnsi="宋体"/>
                <w:color w:val="auto"/>
                <w:szCs w:val="21"/>
                <w:highlight w:val="none"/>
              </w:rPr>
            </w:pPr>
          </w:p>
        </w:tc>
        <w:tc>
          <w:tcPr>
            <w:tcW w:w="4252" w:type="dxa"/>
            <w:vAlign w:val="center"/>
          </w:tcPr>
          <w:p w14:paraId="4D00D02A">
            <w:pPr>
              <w:pStyle w:val="138"/>
              <w:spacing w:line="440" w:lineRule="exact"/>
              <w:ind w:left="63" w:right="63"/>
              <w:rPr>
                <w:rFonts w:ascii="宋体" w:hAnsi="宋体"/>
                <w:color w:val="auto"/>
                <w:szCs w:val="21"/>
                <w:highlight w:val="none"/>
              </w:rPr>
            </w:pPr>
          </w:p>
        </w:tc>
      </w:tr>
      <w:tr w14:paraId="5F8D70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5E0C2789">
            <w:pPr>
              <w:pStyle w:val="138"/>
              <w:spacing w:line="440" w:lineRule="exact"/>
              <w:ind w:left="63" w:right="63"/>
              <w:rPr>
                <w:rFonts w:ascii="宋体" w:hAnsi="宋体"/>
                <w:color w:val="auto"/>
                <w:szCs w:val="21"/>
                <w:highlight w:val="none"/>
              </w:rPr>
            </w:pPr>
          </w:p>
        </w:tc>
        <w:tc>
          <w:tcPr>
            <w:tcW w:w="1418" w:type="dxa"/>
            <w:vAlign w:val="center"/>
          </w:tcPr>
          <w:p w14:paraId="3AD295F3">
            <w:pPr>
              <w:pStyle w:val="138"/>
              <w:spacing w:line="440" w:lineRule="exact"/>
              <w:ind w:left="63" w:right="63"/>
              <w:rPr>
                <w:rFonts w:ascii="宋体" w:hAnsi="宋体"/>
                <w:color w:val="auto"/>
                <w:szCs w:val="21"/>
                <w:highlight w:val="none"/>
              </w:rPr>
            </w:pPr>
          </w:p>
        </w:tc>
        <w:tc>
          <w:tcPr>
            <w:tcW w:w="1134" w:type="dxa"/>
            <w:vAlign w:val="center"/>
          </w:tcPr>
          <w:p w14:paraId="776428E8">
            <w:pPr>
              <w:pStyle w:val="138"/>
              <w:spacing w:line="440" w:lineRule="exact"/>
              <w:ind w:left="63" w:right="63"/>
              <w:rPr>
                <w:rFonts w:ascii="宋体" w:hAnsi="宋体"/>
                <w:color w:val="auto"/>
                <w:szCs w:val="21"/>
                <w:highlight w:val="none"/>
              </w:rPr>
            </w:pPr>
          </w:p>
        </w:tc>
        <w:tc>
          <w:tcPr>
            <w:tcW w:w="1134" w:type="dxa"/>
            <w:vAlign w:val="center"/>
          </w:tcPr>
          <w:p w14:paraId="5B4BC45B">
            <w:pPr>
              <w:pStyle w:val="138"/>
              <w:spacing w:line="440" w:lineRule="exact"/>
              <w:ind w:left="63" w:right="63"/>
              <w:rPr>
                <w:rFonts w:ascii="宋体" w:hAnsi="宋体"/>
                <w:color w:val="auto"/>
                <w:szCs w:val="21"/>
                <w:highlight w:val="none"/>
              </w:rPr>
            </w:pPr>
          </w:p>
        </w:tc>
        <w:tc>
          <w:tcPr>
            <w:tcW w:w="4252" w:type="dxa"/>
            <w:vAlign w:val="center"/>
          </w:tcPr>
          <w:p w14:paraId="51F50C6F">
            <w:pPr>
              <w:pStyle w:val="138"/>
              <w:spacing w:line="440" w:lineRule="exact"/>
              <w:ind w:left="63" w:right="63"/>
              <w:rPr>
                <w:rFonts w:ascii="宋体" w:hAnsi="宋体"/>
                <w:color w:val="auto"/>
                <w:szCs w:val="21"/>
                <w:highlight w:val="none"/>
              </w:rPr>
            </w:pPr>
          </w:p>
        </w:tc>
      </w:tr>
    </w:tbl>
    <w:p w14:paraId="07AD2532">
      <w:pPr>
        <w:pStyle w:val="61"/>
        <w:spacing w:line="440" w:lineRule="exact"/>
        <w:rPr>
          <w:rFonts w:ascii="宋体" w:hAnsi="宋体"/>
          <w:color w:val="auto"/>
          <w:szCs w:val="21"/>
          <w:highlight w:val="none"/>
        </w:rPr>
      </w:pPr>
      <w:bookmarkStart w:id="1005" w:name="_Toc296944568"/>
      <w:bookmarkStart w:id="1006" w:name="_Toc296891269"/>
      <w:bookmarkStart w:id="1007" w:name="_Toc296346730"/>
      <w:bookmarkStart w:id="1008" w:name="_Toc296891057"/>
      <w:bookmarkStart w:id="1009" w:name="_Toc296503229"/>
      <w:bookmarkStart w:id="1010" w:name="_Toc296347228"/>
      <w:r>
        <w:rPr>
          <w:rFonts w:hint="eastAsia" w:ascii="宋体" w:hAnsi="宋体"/>
          <w:color w:val="auto"/>
          <w:szCs w:val="21"/>
          <w:highlight w:val="none"/>
        </w:rPr>
        <w:br w:type="page"/>
      </w:r>
      <w:r>
        <w:rPr>
          <w:rFonts w:hint="eastAsia" w:ascii="宋体" w:hAnsi="宋体"/>
          <w:b/>
          <w:bCs/>
          <w:color w:val="auto"/>
          <w:sz w:val="24"/>
          <w:szCs w:val="24"/>
          <w:highlight w:val="none"/>
        </w:rPr>
        <w:t>附件7：</w:t>
      </w:r>
    </w:p>
    <w:bookmarkEnd w:id="1005"/>
    <w:bookmarkEnd w:id="1006"/>
    <w:bookmarkEnd w:id="1007"/>
    <w:bookmarkEnd w:id="1008"/>
    <w:bookmarkEnd w:id="1009"/>
    <w:bookmarkEnd w:id="1010"/>
    <w:p w14:paraId="7362626B">
      <w:pPr>
        <w:pStyle w:val="61"/>
        <w:spacing w:before="165" w:after="165" w:line="44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分包人主要施工管理人员表</w:t>
      </w:r>
    </w:p>
    <w:tbl>
      <w:tblPr>
        <w:tblStyle w:val="41"/>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871"/>
        <w:gridCol w:w="1418"/>
        <w:gridCol w:w="1134"/>
        <w:gridCol w:w="1134"/>
        <w:gridCol w:w="4252"/>
      </w:tblGrid>
      <w:tr w14:paraId="62D293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5DBC93EE">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名    称</w:t>
            </w:r>
          </w:p>
        </w:tc>
        <w:tc>
          <w:tcPr>
            <w:tcW w:w="1418" w:type="dxa"/>
            <w:vAlign w:val="center"/>
          </w:tcPr>
          <w:p w14:paraId="18F4AEBF">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姓名</w:t>
            </w:r>
          </w:p>
        </w:tc>
        <w:tc>
          <w:tcPr>
            <w:tcW w:w="1134" w:type="dxa"/>
            <w:vAlign w:val="center"/>
          </w:tcPr>
          <w:p w14:paraId="75A48005">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职务</w:t>
            </w:r>
          </w:p>
        </w:tc>
        <w:tc>
          <w:tcPr>
            <w:tcW w:w="1134" w:type="dxa"/>
            <w:vAlign w:val="center"/>
          </w:tcPr>
          <w:p w14:paraId="45037EF0">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职称</w:t>
            </w:r>
          </w:p>
        </w:tc>
        <w:tc>
          <w:tcPr>
            <w:tcW w:w="4252" w:type="dxa"/>
            <w:vAlign w:val="center"/>
          </w:tcPr>
          <w:p w14:paraId="743508AB">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主要资历、经验及承担过的项目</w:t>
            </w:r>
          </w:p>
        </w:tc>
      </w:tr>
      <w:tr w14:paraId="3FE3DA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809" w:type="dxa"/>
            <w:gridSpan w:val="5"/>
            <w:vAlign w:val="center"/>
          </w:tcPr>
          <w:p w14:paraId="6A0AC92F">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一、总部人员</w:t>
            </w:r>
          </w:p>
        </w:tc>
      </w:tr>
      <w:tr w14:paraId="4F095F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76F41FDC">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项目主管</w:t>
            </w:r>
          </w:p>
        </w:tc>
        <w:tc>
          <w:tcPr>
            <w:tcW w:w="1418" w:type="dxa"/>
            <w:vAlign w:val="center"/>
          </w:tcPr>
          <w:p w14:paraId="17DDF0C0">
            <w:pPr>
              <w:pStyle w:val="138"/>
              <w:spacing w:line="440" w:lineRule="exact"/>
              <w:ind w:left="63" w:right="63"/>
              <w:rPr>
                <w:rFonts w:ascii="宋体" w:hAnsi="宋体"/>
                <w:color w:val="auto"/>
                <w:szCs w:val="21"/>
                <w:highlight w:val="none"/>
              </w:rPr>
            </w:pPr>
          </w:p>
        </w:tc>
        <w:tc>
          <w:tcPr>
            <w:tcW w:w="1134" w:type="dxa"/>
            <w:vAlign w:val="center"/>
          </w:tcPr>
          <w:p w14:paraId="2C03CB94">
            <w:pPr>
              <w:pStyle w:val="138"/>
              <w:spacing w:line="440" w:lineRule="exact"/>
              <w:ind w:left="63" w:right="63"/>
              <w:rPr>
                <w:rFonts w:ascii="宋体" w:hAnsi="宋体"/>
                <w:color w:val="auto"/>
                <w:szCs w:val="21"/>
                <w:highlight w:val="none"/>
              </w:rPr>
            </w:pPr>
          </w:p>
        </w:tc>
        <w:tc>
          <w:tcPr>
            <w:tcW w:w="1134" w:type="dxa"/>
            <w:vAlign w:val="center"/>
          </w:tcPr>
          <w:p w14:paraId="7F64CBED">
            <w:pPr>
              <w:pStyle w:val="138"/>
              <w:spacing w:line="440" w:lineRule="exact"/>
              <w:ind w:left="63" w:right="63"/>
              <w:rPr>
                <w:rFonts w:ascii="宋体" w:hAnsi="宋体"/>
                <w:color w:val="auto"/>
                <w:szCs w:val="21"/>
                <w:highlight w:val="none"/>
              </w:rPr>
            </w:pPr>
          </w:p>
        </w:tc>
        <w:tc>
          <w:tcPr>
            <w:tcW w:w="4252" w:type="dxa"/>
            <w:vAlign w:val="center"/>
          </w:tcPr>
          <w:p w14:paraId="339F5785">
            <w:pPr>
              <w:pStyle w:val="138"/>
              <w:spacing w:line="440" w:lineRule="exact"/>
              <w:ind w:left="63" w:right="63"/>
              <w:rPr>
                <w:rFonts w:ascii="宋体" w:hAnsi="宋体"/>
                <w:color w:val="auto"/>
                <w:szCs w:val="21"/>
                <w:highlight w:val="none"/>
              </w:rPr>
            </w:pPr>
          </w:p>
        </w:tc>
      </w:tr>
      <w:tr w14:paraId="3219AD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49B11FE6">
            <w:pPr>
              <w:pStyle w:val="138"/>
              <w:spacing w:line="440" w:lineRule="exact"/>
              <w:ind w:left="63" w:right="63"/>
              <w:rPr>
                <w:rFonts w:ascii="宋体" w:hAnsi="宋体"/>
                <w:color w:val="auto"/>
                <w:szCs w:val="21"/>
                <w:highlight w:val="none"/>
              </w:rPr>
            </w:pPr>
          </w:p>
        </w:tc>
        <w:tc>
          <w:tcPr>
            <w:tcW w:w="1418" w:type="dxa"/>
            <w:vAlign w:val="center"/>
          </w:tcPr>
          <w:p w14:paraId="30EB48C3">
            <w:pPr>
              <w:pStyle w:val="138"/>
              <w:spacing w:line="440" w:lineRule="exact"/>
              <w:ind w:left="63" w:right="63"/>
              <w:rPr>
                <w:rFonts w:ascii="宋体" w:hAnsi="宋体"/>
                <w:color w:val="auto"/>
                <w:szCs w:val="21"/>
                <w:highlight w:val="none"/>
              </w:rPr>
            </w:pPr>
          </w:p>
        </w:tc>
        <w:tc>
          <w:tcPr>
            <w:tcW w:w="1134" w:type="dxa"/>
            <w:vAlign w:val="center"/>
          </w:tcPr>
          <w:p w14:paraId="11627FA0">
            <w:pPr>
              <w:pStyle w:val="138"/>
              <w:spacing w:line="440" w:lineRule="exact"/>
              <w:ind w:left="63" w:right="63"/>
              <w:rPr>
                <w:rFonts w:ascii="宋体" w:hAnsi="宋体"/>
                <w:color w:val="auto"/>
                <w:szCs w:val="21"/>
                <w:highlight w:val="none"/>
              </w:rPr>
            </w:pPr>
          </w:p>
        </w:tc>
        <w:tc>
          <w:tcPr>
            <w:tcW w:w="1134" w:type="dxa"/>
            <w:vAlign w:val="center"/>
          </w:tcPr>
          <w:p w14:paraId="76291B20">
            <w:pPr>
              <w:pStyle w:val="138"/>
              <w:spacing w:line="440" w:lineRule="exact"/>
              <w:ind w:left="63" w:right="63"/>
              <w:rPr>
                <w:rFonts w:ascii="宋体" w:hAnsi="宋体"/>
                <w:color w:val="auto"/>
                <w:szCs w:val="21"/>
                <w:highlight w:val="none"/>
              </w:rPr>
            </w:pPr>
          </w:p>
        </w:tc>
        <w:tc>
          <w:tcPr>
            <w:tcW w:w="4252" w:type="dxa"/>
            <w:vAlign w:val="center"/>
          </w:tcPr>
          <w:p w14:paraId="1B192B62">
            <w:pPr>
              <w:pStyle w:val="138"/>
              <w:spacing w:line="440" w:lineRule="exact"/>
              <w:ind w:left="63" w:right="63"/>
              <w:rPr>
                <w:rFonts w:ascii="宋体" w:hAnsi="宋体"/>
                <w:color w:val="auto"/>
                <w:szCs w:val="21"/>
                <w:highlight w:val="none"/>
              </w:rPr>
            </w:pPr>
          </w:p>
        </w:tc>
      </w:tr>
      <w:tr w14:paraId="716FBD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5A0CF6C6">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其他人员</w:t>
            </w:r>
          </w:p>
        </w:tc>
        <w:tc>
          <w:tcPr>
            <w:tcW w:w="1418" w:type="dxa"/>
            <w:vAlign w:val="center"/>
          </w:tcPr>
          <w:p w14:paraId="0719CFDD">
            <w:pPr>
              <w:pStyle w:val="138"/>
              <w:spacing w:line="440" w:lineRule="exact"/>
              <w:ind w:left="63" w:right="63"/>
              <w:rPr>
                <w:rFonts w:ascii="宋体" w:hAnsi="宋体"/>
                <w:color w:val="auto"/>
                <w:szCs w:val="21"/>
                <w:highlight w:val="none"/>
              </w:rPr>
            </w:pPr>
          </w:p>
        </w:tc>
        <w:tc>
          <w:tcPr>
            <w:tcW w:w="1134" w:type="dxa"/>
            <w:vAlign w:val="center"/>
          </w:tcPr>
          <w:p w14:paraId="06B8F4F6">
            <w:pPr>
              <w:pStyle w:val="138"/>
              <w:spacing w:line="440" w:lineRule="exact"/>
              <w:ind w:left="63" w:right="63"/>
              <w:rPr>
                <w:rFonts w:ascii="宋体" w:hAnsi="宋体"/>
                <w:color w:val="auto"/>
                <w:szCs w:val="21"/>
                <w:highlight w:val="none"/>
              </w:rPr>
            </w:pPr>
          </w:p>
        </w:tc>
        <w:tc>
          <w:tcPr>
            <w:tcW w:w="1134" w:type="dxa"/>
            <w:vAlign w:val="center"/>
          </w:tcPr>
          <w:p w14:paraId="08F5973F">
            <w:pPr>
              <w:pStyle w:val="138"/>
              <w:spacing w:line="440" w:lineRule="exact"/>
              <w:ind w:left="63" w:right="63"/>
              <w:rPr>
                <w:rFonts w:ascii="宋体" w:hAnsi="宋体"/>
                <w:color w:val="auto"/>
                <w:szCs w:val="21"/>
                <w:highlight w:val="none"/>
              </w:rPr>
            </w:pPr>
          </w:p>
        </w:tc>
        <w:tc>
          <w:tcPr>
            <w:tcW w:w="4252" w:type="dxa"/>
            <w:vAlign w:val="center"/>
          </w:tcPr>
          <w:p w14:paraId="528903F8">
            <w:pPr>
              <w:pStyle w:val="138"/>
              <w:spacing w:line="440" w:lineRule="exact"/>
              <w:ind w:left="63" w:right="63"/>
              <w:rPr>
                <w:rFonts w:ascii="宋体" w:hAnsi="宋体"/>
                <w:color w:val="auto"/>
                <w:szCs w:val="21"/>
                <w:highlight w:val="none"/>
              </w:rPr>
            </w:pPr>
          </w:p>
        </w:tc>
      </w:tr>
      <w:tr w14:paraId="033DB6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1096194A">
            <w:pPr>
              <w:pStyle w:val="138"/>
              <w:spacing w:line="440" w:lineRule="exact"/>
              <w:ind w:left="63" w:right="63"/>
              <w:rPr>
                <w:rFonts w:ascii="宋体" w:hAnsi="宋体"/>
                <w:color w:val="auto"/>
                <w:szCs w:val="21"/>
                <w:highlight w:val="none"/>
              </w:rPr>
            </w:pPr>
          </w:p>
        </w:tc>
        <w:tc>
          <w:tcPr>
            <w:tcW w:w="1418" w:type="dxa"/>
            <w:vAlign w:val="center"/>
          </w:tcPr>
          <w:p w14:paraId="47C6BDAA">
            <w:pPr>
              <w:pStyle w:val="138"/>
              <w:spacing w:line="440" w:lineRule="exact"/>
              <w:ind w:left="63" w:right="63"/>
              <w:rPr>
                <w:rFonts w:ascii="宋体" w:hAnsi="宋体"/>
                <w:color w:val="auto"/>
                <w:szCs w:val="21"/>
                <w:highlight w:val="none"/>
              </w:rPr>
            </w:pPr>
          </w:p>
        </w:tc>
        <w:tc>
          <w:tcPr>
            <w:tcW w:w="1134" w:type="dxa"/>
            <w:vAlign w:val="center"/>
          </w:tcPr>
          <w:p w14:paraId="1717B4A2">
            <w:pPr>
              <w:pStyle w:val="138"/>
              <w:spacing w:line="440" w:lineRule="exact"/>
              <w:ind w:left="63" w:right="63"/>
              <w:rPr>
                <w:rFonts w:ascii="宋体" w:hAnsi="宋体"/>
                <w:color w:val="auto"/>
                <w:szCs w:val="21"/>
                <w:highlight w:val="none"/>
              </w:rPr>
            </w:pPr>
          </w:p>
        </w:tc>
        <w:tc>
          <w:tcPr>
            <w:tcW w:w="1134" w:type="dxa"/>
            <w:vAlign w:val="center"/>
          </w:tcPr>
          <w:p w14:paraId="35924169">
            <w:pPr>
              <w:pStyle w:val="138"/>
              <w:spacing w:line="440" w:lineRule="exact"/>
              <w:ind w:left="63" w:right="63"/>
              <w:rPr>
                <w:rFonts w:ascii="宋体" w:hAnsi="宋体"/>
                <w:color w:val="auto"/>
                <w:szCs w:val="21"/>
                <w:highlight w:val="none"/>
              </w:rPr>
            </w:pPr>
          </w:p>
        </w:tc>
        <w:tc>
          <w:tcPr>
            <w:tcW w:w="4252" w:type="dxa"/>
            <w:vAlign w:val="center"/>
          </w:tcPr>
          <w:p w14:paraId="3564A0AB">
            <w:pPr>
              <w:pStyle w:val="138"/>
              <w:spacing w:line="440" w:lineRule="exact"/>
              <w:ind w:left="63" w:right="63"/>
              <w:rPr>
                <w:rFonts w:ascii="宋体" w:hAnsi="宋体"/>
                <w:color w:val="auto"/>
                <w:szCs w:val="21"/>
                <w:highlight w:val="none"/>
              </w:rPr>
            </w:pPr>
          </w:p>
        </w:tc>
      </w:tr>
      <w:tr w14:paraId="6A3DFD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809" w:type="dxa"/>
            <w:gridSpan w:val="5"/>
            <w:vAlign w:val="center"/>
          </w:tcPr>
          <w:p w14:paraId="0DEF4B45">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二、现场人员</w:t>
            </w:r>
          </w:p>
        </w:tc>
      </w:tr>
      <w:tr w14:paraId="0152FE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0B687CE7">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项目经理</w:t>
            </w:r>
          </w:p>
        </w:tc>
        <w:tc>
          <w:tcPr>
            <w:tcW w:w="1418" w:type="dxa"/>
            <w:vAlign w:val="center"/>
          </w:tcPr>
          <w:p w14:paraId="3D254BAA">
            <w:pPr>
              <w:pStyle w:val="138"/>
              <w:spacing w:line="440" w:lineRule="exact"/>
              <w:ind w:left="63" w:right="63"/>
              <w:rPr>
                <w:rFonts w:ascii="宋体" w:hAnsi="宋体"/>
                <w:color w:val="auto"/>
                <w:szCs w:val="21"/>
                <w:highlight w:val="none"/>
              </w:rPr>
            </w:pPr>
          </w:p>
        </w:tc>
        <w:tc>
          <w:tcPr>
            <w:tcW w:w="1134" w:type="dxa"/>
            <w:vAlign w:val="center"/>
          </w:tcPr>
          <w:p w14:paraId="7FD958E5">
            <w:pPr>
              <w:pStyle w:val="138"/>
              <w:spacing w:line="440" w:lineRule="exact"/>
              <w:ind w:left="63" w:right="63"/>
              <w:rPr>
                <w:rFonts w:ascii="宋体" w:hAnsi="宋体"/>
                <w:color w:val="auto"/>
                <w:szCs w:val="21"/>
                <w:highlight w:val="none"/>
              </w:rPr>
            </w:pPr>
          </w:p>
        </w:tc>
        <w:tc>
          <w:tcPr>
            <w:tcW w:w="1134" w:type="dxa"/>
            <w:vAlign w:val="center"/>
          </w:tcPr>
          <w:p w14:paraId="3FE90369">
            <w:pPr>
              <w:pStyle w:val="138"/>
              <w:spacing w:line="440" w:lineRule="exact"/>
              <w:ind w:left="63" w:right="63"/>
              <w:rPr>
                <w:rFonts w:ascii="宋体" w:hAnsi="宋体"/>
                <w:color w:val="auto"/>
                <w:szCs w:val="21"/>
                <w:highlight w:val="none"/>
              </w:rPr>
            </w:pPr>
          </w:p>
        </w:tc>
        <w:tc>
          <w:tcPr>
            <w:tcW w:w="4252" w:type="dxa"/>
            <w:vAlign w:val="center"/>
          </w:tcPr>
          <w:p w14:paraId="6664638A">
            <w:pPr>
              <w:pStyle w:val="138"/>
              <w:spacing w:line="440" w:lineRule="exact"/>
              <w:ind w:left="63" w:right="63"/>
              <w:rPr>
                <w:rFonts w:ascii="宋体" w:hAnsi="宋体"/>
                <w:color w:val="auto"/>
                <w:szCs w:val="21"/>
                <w:highlight w:val="none"/>
              </w:rPr>
            </w:pPr>
          </w:p>
        </w:tc>
      </w:tr>
      <w:tr w14:paraId="0569A2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27BE0D01">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项目副经理</w:t>
            </w:r>
          </w:p>
        </w:tc>
        <w:tc>
          <w:tcPr>
            <w:tcW w:w="1418" w:type="dxa"/>
            <w:vAlign w:val="center"/>
          </w:tcPr>
          <w:p w14:paraId="14626610">
            <w:pPr>
              <w:pStyle w:val="138"/>
              <w:spacing w:line="440" w:lineRule="exact"/>
              <w:ind w:left="63" w:right="63"/>
              <w:rPr>
                <w:rFonts w:ascii="宋体" w:hAnsi="宋体"/>
                <w:color w:val="auto"/>
                <w:szCs w:val="21"/>
                <w:highlight w:val="none"/>
              </w:rPr>
            </w:pPr>
          </w:p>
        </w:tc>
        <w:tc>
          <w:tcPr>
            <w:tcW w:w="1134" w:type="dxa"/>
            <w:vAlign w:val="center"/>
          </w:tcPr>
          <w:p w14:paraId="57A6C9E2">
            <w:pPr>
              <w:pStyle w:val="138"/>
              <w:spacing w:line="440" w:lineRule="exact"/>
              <w:ind w:left="63" w:right="63"/>
              <w:rPr>
                <w:rFonts w:ascii="宋体" w:hAnsi="宋体"/>
                <w:color w:val="auto"/>
                <w:szCs w:val="21"/>
                <w:highlight w:val="none"/>
              </w:rPr>
            </w:pPr>
          </w:p>
        </w:tc>
        <w:tc>
          <w:tcPr>
            <w:tcW w:w="1134" w:type="dxa"/>
            <w:vAlign w:val="center"/>
          </w:tcPr>
          <w:p w14:paraId="53E3C2D2">
            <w:pPr>
              <w:pStyle w:val="138"/>
              <w:spacing w:line="440" w:lineRule="exact"/>
              <w:ind w:left="63" w:right="63"/>
              <w:rPr>
                <w:rFonts w:ascii="宋体" w:hAnsi="宋体"/>
                <w:color w:val="auto"/>
                <w:szCs w:val="21"/>
                <w:highlight w:val="none"/>
              </w:rPr>
            </w:pPr>
          </w:p>
        </w:tc>
        <w:tc>
          <w:tcPr>
            <w:tcW w:w="4252" w:type="dxa"/>
            <w:vAlign w:val="center"/>
          </w:tcPr>
          <w:p w14:paraId="11C00E74">
            <w:pPr>
              <w:pStyle w:val="138"/>
              <w:spacing w:line="440" w:lineRule="exact"/>
              <w:ind w:left="63" w:right="63"/>
              <w:rPr>
                <w:rFonts w:ascii="宋体" w:hAnsi="宋体"/>
                <w:color w:val="auto"/>
                <w:szCs w:val="21"/>
                <w:highlight w:val="none"/>
              </w:rPr>
            </w:pPr>
          </w:p>
        </w:tc>
      </w:tr>
      <w:tr w14:paraId="58A9BC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27E60F88">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技术负责人</w:t>
            </w:r>
          </w:p>
        </w:tc>
        <w:tc>
          <w:tcPr>
            <w:tcW w:w="1418" w:type="dxa"/>
            <w:vAlign w:val="center"/>
          </w:tcPr>
          <w:p w14:paraId="3F124C7B">
            <w:pPr>
              <w:pStyle w:val="138"/>
              <w:spacing w:line="440" w:lineRule="exact"/>
              <w:ind w:left="63" w:right="63"/>
              <w:rPr>
                <w:rFonts w:ascii="宋体" w:hAnsi="宋体"/>
                <w:color w:val="auto"/>
                <w:szCs w:val="21"/>
                <w:highlight w:val="none"/>
              </w:rPr>
            </w:pPr>
          </w:p>
        </w:tc>
        <w:tc>
          <w:tcPr>
            <w:tcW w:w="1134" w:type="dxa"/>
            <w:vAlign w:val="center"/>
          </w:tcPr>
          <w:p w14:paraId="719E2A69">
            <w:pPr>
              <w:pStyle w:val="138"/>
              <w:spacing w:line="440" w:lineRule="exact"/>
              <w:ind w:left="63" w:right="63"/>
              <w:rPr>
                <w:rFonts w:ascii="宋体" w:hAnsi="宋体"/>
                <w:color w:val="auto"/>
                <w:szCs w:val="21"/>
                <w:highlight w:val="none"/>
              </w:rPr>
            </w:pPr>
          </w:p>
        </w:tc>
        <w:tc>
          <w:tcPr>
            <w:tcW w:w="1134" w:type="dxa"/>
            <w:vAlign w:val="center"/>
          </w:tcPr>
          <w:p w14:paraId="6B216DE8">
            <w:pPr>
              <w:pStyle w:val="138"/>
              <w:spacing w:line="440" w:lineRule="exact"/>
              <w:ind w:left="63" w:right="63"/>
              <w:rPr>
                <w:rFonts w:ascii="宋体" w:hAnsi="宋体"/>
                <w:color w:val="auto"/>
                <w:szCs w:val="21"/>
                <w:highlight w:val="none"/>
              </w:rPr>
            </w:pPr>
          </w:p>
        </w:tc>
        <w:tc>
          <w:tcPr>
            <w:tcW w:w="4252" w:type="dxa"/>
            <w:vAlign w:val="center"/>
          </w:tcPr>
          <w:p w14:paraId="2E3B4A85">
            <w:pPr>
              <w:pStyle w:val="138"/>
              <w:spacing w:line="440" w:lineRule="exact"/>
              <w:ind w:left="63" w:right="63"/>
              <w:rPr>
                <w:rFonts w:ascii="宋体" w:hAnsi="宋体"/>
                <w:color w:val="auto"/>
                <w:szCs w:val="21"/>
                <w:highlight w:val="none"/>
              </w:rPr>
            </w:pPr>
          </w:p>
        </w:tc>
      </w:tr>
      <w:tr w14:paraId="347AEA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5E449BFC">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造价管理</w:t>
            </w:r>
          </w:p>
        </w:tc>
        <w:tc>
          <w:tcPr>
            <w:tcW w:w="1418" w:type="dxa"/>
            <w:vAlign w:val="center"/>
          </w:tcPr>
          <w:p w14:paraId="731BE777">
            <w:pPr>
              <w:pStyle w:val="138"/>
              <w:spacing w:line="440" w:lineRule="exact"/>
              <w:ind w:left="63" w:right="63"/>
              <w:rPr>
                <w:rFonts w:ascii="宋体" w:hAnsi="宋体"/>
                <w:color w:val="auto"/>
                <w:szCs w:val="21"/>
                <w:highlight w:val="none"/>
              </w:rPr>
            </w:pPr>
          </w:p>
        </w:tc>
        <w:tc>
          <w:tcPr>
            <w:tcW w:w="1134" w:type="dxa"/>
            <w:vAlign w:val="center"/>
          </w:tcPr>
          <w:p w14:paraId="6711894B">
            <w:pPr>
              <w:pStyle w:val="138"/>
              <w:spacing w:line="440" w:lineRule="exact"/>
              <w:ind w:left="63" w:right="63"/>
              <w:rPr>
                <w:rFonts w:ascii="宋体" w:hAnsi="宋体"/>
                <w:color w:val="auto"/>
                <w:szCs w:val="21"/>
                <w:highlight w:val="none"/>
              </w:rPr>
            </w:pPr>
          </w:p>
        </w:tc>
        <w:tc>
          <w:tcPr>
            <w:tcW w:w="1134" w:type="dxa"/>
            <w:vAlign w:val="center"/>
          </w:tcPr>
          <w:p w14:paraId="331D80AD">
            <w:pPr>
              <w:pStyle w:val="138"/>
              <w:spacing w:line="440" w:lineRule="exact"/>
              <w:ind w:left="63" w:right="63"/>
              <w:rPr>
                <w:rFonts w:ascii="宋体" w:hAnsi="宋体"/>
                <w:color w:val="auto"/>
                <w:szCs w:val="21"/>
                <w:highlight w:val="none"/>
              </w:rPr>
            </w:pPr>
          </w:p>
        </w:tc>
        <w:tc>
          <w:tcPr>
            <w:tcW w:w="4252" w:type="dxa"/>
            <w:vAlign w:val="center"/>
          </w:tcPr>
          <w:p w14:paraId="14707323">
            <w:pPr>
              <w:pStyle w:val="138"/>
              <w:spacing w:line="440" w:lineRule="exact"/>
              <w:ind w:left="63" w:right="63"/>
              <w:rPr>
                <w:rFonts w:ascii="宋体" w:hAnsi="宋体"/>
                <w:color w:val="auto"/>
                <w:szCs w:val="21"/>
                <w:highlight w:val="none"/>
              </w:rPr>
            </w:pPr>
          </w:p>
        </w:tc>
      </w:tr>
      <w:tr w14:paraId="29A494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375D9619">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质量管理</w:t>
            </w:r>
          </w:p>
        </w:tc>
        <w:tc>
          <w:tcPr>
            <w:tcW w:w="1418" w:type="dxa"/>
            <w:vAlign w:val="center"/>
          </w:tcPr>
          <w:p w14:paraId="7BAD8788">
            <w:pPr>
              <w:pStyle w:val="138"/>
              <w:spacing w:line="440" w:lineRule="exact"/>
              <w:ind w:left="63" w:right="63"/>
              <w:rPr>
                <w:rFonts w:ascii="宋体" w:hAnsi="宋体"/>
                <w:color w:val="auto"/>
                <w:szCs w:val="21"/>
                <w:highlight w:val="none"/>
              </w:rPr>
            </w:pPr>
          </w:p>
        </w:tc>
        <w:tc>
          <w:tcPr>
            <w:tcW w:w="1134" w:type="dxa"/>
            <w:vAlign w:val="center"/>
          </w:tcPr>
          <w:p w14:paraId="6D2C3401">
            <w:pPr>
              <w:pStyle w:val="138"/>
              <w:spacing w:line="440" w:lineRule="exact"/>
              <w:ind w:left="63" w:right="63"/>
              <w:rPr>
                <w:rFonts w:ascii="宋体" w:hAnsi="宋体"/>
                <w:color w:val="auto"/>
                <w:szCs w:val="21"/>
                <w:highlight w:val="none"/>
              </w:rPr>
            </w:pPr>
          </w:p>
        </w:tc>
        <w:tc>
          <w:tcPr>
            <w:tcW w:w="1134" w:type="dxa"/>
            <w:vAlign w:val="center"/>
          </w:tcPr>
          <w:p w14:paraId="049C8FDA">
            <w:pPr>
              <w:pStyle w:val="138"/>
              <w:spacing w:line="440" w:lineRule="exact"/>
              <w:ind w:left="63" w:right="63"/>
              <w:rPr>
                <w:rFonts w:ascii="宋体" w:hAnsi="宋体"/>
                <w:color w:val="auto"/>
                <w:szCs w:val="21"/>
                <w:highlight w:val="none"/>
              </w:rPr>
            </w:pPr>
          </w:p>
        </w:tc>
        <w:tc>
          <w:tcPr>
            <w:tcW w:w="4252" w:type="dxa"/>
            <w:vAlign w:val="center"/>
          </w:tcPr>
          <w:p w14:paraId="70476459">
            <w:pPr>
              <w:pStyle w:val="138"/>
              <w:spacing w:line="440" w:lineRule="exact"/>
              <w:ind w:left="63" w:right="63"/>
              <w:rPr>
                <w:rFonts w:ascii="宋体" w:hAnsi="宋体"/>
                <w:color w:val="auto"/>
                <w:szCs w:val="21"/>
                <w:highlight w:val="none"/>
              </w:rPr>
            </w:pPr>
          </w:p>
        </w:tc>
      </w:tr>
      <w:tr w14:paraId="0C8BE7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484C4FB5">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材料管理</w:t>
            </w:r>
          </w:p>
        </w:tc>
        <w:tc>
          <w:tcPr>
            <w:tcW w:w="1418" w:type="dxa"/>
            <w:vAlign w:val="center"/>
          </w:tcPr>
          <w:p w14:paraId="27048F67">
            <w:pPr>
              <w:pStyle w:val="138"/>
              <w:spacing w:line="440" w:lineRule="exact"/>
              <w:ind w:left="63" w:right="63"/>
              <w:rPr>
                <w:rFonts w:ascii="宋体" w:hAnsi="宋体"/>
                <w:color w:val="auto"/>
                <w:szCs w:val="21"/>
                <w:highlight w:val="none"/>
              </w:rPr>
            </w:pPr>
          </w:p>
        </w:tc>
        <w:tc>
          <w:tcPr>
            <w:tcW w:w="1134" w:type="dxa"/>
            <w:vAlign w:val="center"/>
          </w:tcPr>
          <w:p w14:paraId="3AB3FC60">
            <w:pPr>
              <w:pStyle w:val="138"/>
              <w:spacing w:line="440" w:lineRule="exact"/>
              <w:ind w:left="63" w:right="63"/>
              <w:rPr>
                <w:rFonts w:ascii="宋体" w:hAnsi="宋体"/>
                <w:color w:val="auto"/>
                <w:szCs w:val="21"/>
                <w:highlight w:val="none"/>
              </w:rPr>
            </w:pPr>
          </w:p>
        </w:tc>
        <w:tc>
          <w:tcPr>
            <w:tcW w:w="1134" w:type="dxa"/>
            <w:vAlign w:val="center"/>
          </w:tcPr>
          <w:p w14:paraId="7EBA0A1F">
            <w:pPr>
              <w:pStyle w:val="138"/>
              <w:spacing w:line="440" w:lineRule="exact"/>
              <w:ind w:left="63" w:right="63"/>
              <w:rPr>
                <w:rFonts w:ascii="宋体" w:hAnsi="宋体"/>
                <w:color w:val="auto"/>
                <w:szCs w:val="21"/>
                <w:highlight w:val="none"/>
              </w:rPr>
            </w:pPr>
          </w:p>
        </w:tc>
        <w:tc>
          <w:tcPr>
            <w:tcW w:w="4252" w:type="dxa"/>
            <w:vAlign w:val="center"/>
          </w:tcPr>
          <w:p w14:paraId="09543595">
            <w:pPr>
              <w:pStyle w:val="138"/>
              <w:spacing w:line="440" w:lineRule="exact"/>
              <w:ind w:left="63" w:right="63"/>
              <w:rPr>
                <w:rFonts w:ascii="宋体" w:hAnsi="宋体"/>
                <w:color w:val="auto"/>
                <w:szCs w:val="21"/>
                <w:highlight w:val="none"/>
              </w:rPr>
            </w:pPr>
          </w:p>
        </w:tc>
      </w:tr>
      <w:tr w14:paraId="6CA6A7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6BE49BA7">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计划管理</w:t>
            </w:r>
          </w:p>
        </w:tc>
        <w:tc>
          <w:tcPr>
            <w:tcW w:w="1418" w:type="dxa"/>
            <w:vAlign w:val="center"/>
          </w:tcPr>
          <w:p w14:paraId="2D8BECB0">
            <w:pPr>
              <w:pStyle w:val="138"/>
              <w:spacing w:line="440" w:lineRule="exact"/>
              <w:ind w:left="63" w:right="63"/>
              <w:rPr>
                <w:rFonts w:ascii="宋体" w:hAnsi="宋体"/>
                <w:color w:val="auto"/>
                <w:szCs w:val="21"/>
                <w:highlight w:val="none"/>
              </w:rPr>
            </w:pPr>
          </w:p>
        </w:tc>
        <w:tc>
          <w:tcPr>
            <w:tcW w:w="1134" w:type="dxa"/>
            <w:vAlign w:val="center"/>
          </w:tcPr>
          <w:p w14:paraId="339257FB">
            <w:pPr>
              <w:pStyle w:val="138"/>
              <w:spacing w:line="440" w:lineRule="exact"/>
              <w:ind w:left="63" w:right="63"/>
              <w:rPr>
                <w:rFonts w:ascii="宋体" w:hAnsi="宋体"/>
                <w:color w:val="auto"/>
                <w:szCs w:val="21"/>
                <w:highlight w:val="none"/>
              </w:rPr>
            </w:pPr>
          </w:p>
        </w:tc>
        <w:tc>
          <w:tcPr>
            <w:tcW w:w="1134" w:type="dxa"/>
            <w:vAlign w:val="center"/>
          </w:tcPr>
          <w:p w14:paraId="3BDE8DAE">
            <w:pPr>
              <w:pStyle w:val="138"/>
              <w:spacing w:line="440" w:lineRule="exact"/>
              <w:ind w:left="63" w:right="63"/>
              <w:rPr>
                <w:rFonts w:ascii="宋体" w:hAnsi="宋体"/>
                <w:color w:val="auto"/>
                <w:szCs w:val="21"/>
                <w:highlight w:val="none"/>
              </w:rPr>
            </w:pPr>
          </w:p>
        </w:tc>
        <w:tc>
          <w:tcPr>
            <w:tcW w:w="4252" w:type="dxa"/>
            <w:vAlign w:val="center"/>
          </w:tcPr>
          <w:p w14:paraId="277D0D90">
            <w:pPr>
              <w:pStyle w:val="138"/>
              <w:spacing w:line="440" w:lineRule="exact"/>
              <w:ind w:left="63" w:right="63"/>
              <w:rPr>
                <w:rFonts w:ascii="宋体" w:hAnsi="宋体"/>
                <w:color w:val="auto"/>
                <w:szCs w:val="21"/>
                <w:highlight w:val="none"/>
              </w:rPr>
            </w:pPr>
          </w:p>
        </w:tc>
      </w:tr>
      <w:tr w14:paraId="2CF38A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0BD4F4B5">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安全管理</w:t>
            </w:r>
          </w:p>
        </w:tc>
        <w:tc>
          <w:tcPr>
            <w:tcW w:w="1418" w:type="dxa"/>
            <w:vAlign w:val="center"/>
          </w:tcPr>
          <w:p w14:paraId="46B5008A">
            <w:pPr>
              <w:pStyle w:val="138"/>
              <w:spacing w:line="440" w:lineRule="exact"/>
              <w:ind w:left="63" w:right="63"/>
              <w:rPr>
                <w:rFonts w:ascii="宋体" w:hAnsi="宋体"/>
                <w:color w:val="auto"/>
                <w:szCs w:val="21"/>
                <w:highlight w:val="none"/>
              </w:rPr>
            </w:pPr>
          </w:p>
        </w:tc>
        <w:tc>
          <w:tcPr>
            <w:tcW w:w="1134" w:type="dxa"/>
            <w:vAlign w:val="center"/>
          </w:tcPr>
          <w:p w14:paraId="39039ABF">
            <w:pPr>
              <w:pStyle w:val="138"/>
              <w:spacing w:line="440" w:lineRule="exact"/>
              <w:ind w:left="63" w:right="63"/>
              <w:rPr>
                <w:rFonts w:ascii="宋体" w:hAnsi="宋体"/>
                <w:color w:val="auto"/>
                <w:szCs w:val="21"/>
                <w:highlight w:val="none"/>
              </w:rPr>
            </w:pPr>
          </w:p>
        </w:tc>
        <w:tc>
          <w:tcPr>
            <w:tcW w:w="1134" w:type="dxa"/>
            <w:vAlign w:val="center"/>
          </w:tcPr>
          <w:p w14:paraId="77851E99">
            <w:pPr>
              <w:pStyle w:val="138"/>
              <w:spacing w:line="440" w:lineRule="exact"/>
              <w:ind w:left="63" w:right="63"/>
              <w:rPr>
                <w:rFonts w:ascii="宋体" w:hAnsi="宋体"/>
                <w:color w:val="auto"/>
                <w:szCs w:val="21"/>
                <w:highlight w:val="none"/>
              </w:rPr>
            </w:pPr>
          </w:p>
        </w:tc>
        <w:tc>
          <w:tcPr>
            <w:tcW w:w="4252" w:type="dxa"/>
            <w:vAlign w:val="center"/>
          </w:tcPr>
          <w:p w14:paraId="391ABC64">
            <w:pPr>
              <w:pStyle w:val="138"/>
              <w:spacing w:line="440" w:lineRule="exact"/>
              <w:ind w:left="63" w:right="63"/>
              <w:rPr>
                <w:rFonts w:ascii="宋体" w:hAnsi="宋体"/>
                <w:color w:val="auto"/>
                <w:szCs w:val="21"/>
                <w:highlight w:val="none"/>
              </w:rPr>
            </w:pPr>
          </w:p>
        </w:tc>
      </w:tr>
      <w:tr w14:paraId="2FA712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restart"/>
            <w:vAlign w:val="center"/>
          </w:tcPr>
          <w:p w14:paraId="56AE912B">
            <w:pPr>
              <w:pStyle w:val="138"/>
              <w:spacing w:line="440" w:lineRule="exact"/>
              <w:ind w:left="63" w:right="63"/>
              <w:rPr>
                <w:rFonts w:ascii="宋体" w:hAnsi="宋体"/>
                <w:color w:val="auto"/>
                <w:szCs w:val="21"/>
                <w:highlight w:val="none"/>
              </w:rPr>
            </w:pPr>
            <w:r>
              <w:rPr>
                <w:rFonts w:hint="eastAsia" w:ascii="宋体" w:hAnsi="宋体"/>
                <w:color w:val="auto"/>
                <w:szCs w:val="21"/>
                <w:highlight w:val="none"/>
              </w:rPr>
              <w:t>其他人员</w:t>
            </w:r>
          </w:p>
        </w:tc>
        <w:tc>
          <w:tcPr>
            <w:tcW w:w="1418" w:type="dxa"/>
            <w:vAlign w:val="center"/>
          </w:tcPr>
          <w:p w14:paraId="0489B628">
            <w:pPr>
              <w:pStyle w:val="138"/>
              <w:spacing w:line="440" w:lineRule="exact"/>
              <w:ind w:left="63" w:right="63"/>
              <w:rPr>
                <w:rFonts w:ascii="宋体" w:hAnsi="宋体"/>
                <w:color w:val="auto"/>
                <w:szCs w:val="21"/>
                <w:highlight w:val="none"/>
              </w:rPr>
            </w:pPr>
          </w:p>
        </w:tc>
        <w:tc>
          <w:tcPr>
            <w:tcW w:w="1134" w:type="dxa"/>
            <w:vAlign w:val="center"/>
          </w:tcPr>
          <w:p w14:paraId="1ED4ABB8">
            <w:pPr>
              <w:pStyle w:val="138"/>
              <w:spacing w:line="440" w:lineRule="exact"/>
              <w:ind w:left="63" w:right="63"/>
              <w:rPr>
                <w:rFonts w:ascii="宋体" w:hAnsi="宋体"/>
                <w:color w:val="auto"/>
                <w:szCs w:val="21"/>
                <w:highlight w:val="none"/>
              </w:rPr>
            </w:pPr>
          </w:p>
        </w:tc>
        <w:tc>
          <w:tcPr>
            <w:tcW w:w="1134" w:type="dxa"/>
            <w:vAlign w:val="center"/>
          </w:tcPr>
          <w:p w14:paraId="116FACD4">
            <w:pPr>
              <w:pStyle w:val="138"/>
              <w:spacing w:line="440" w:lineRule="exact"/>
              <w:ind w:left="63" w:right="63"/>
              <w:rPr>
                <w:rFonts w:ascii="宋体" w:hAnsi="宋体"/>
                <w:color w:val="auto"/>
                <w:szCs w:val="21"/>
                <w:highlight w:val="none"/>
              </w:rPr>
            </w:pPr>
          </w:p>
        </w:tc>
        <w:tc>
          <w:tcPr>
            <w:tcW w:w="4252" w:type="dxa"/>
            <w:vAlign w:val="center"/>
          </w:tcPr>
          <w:p w14:paraId="7CBFAC0F">
            <w:pPr>
              <w:pStyle w:val="138"/>
              <w:spacing w:line="440" w:lineRule="exact"/>
              <w:ind w:left="63" w:right="63"/>
              <w:rPr>
                <w:rFonts w:ascii="宋体" w:hAnsi="宋体"/>
                <w:color w:val="auto"/>
                <w:szCs w:val="21"/>
                <w:highlight w:val="none"/>
              </w:rPr>
            </w:pPr>
          </w:p>
        </w:tc>
      </w:tr>
      <w:tr w14:paraId="10E858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7CE1F48D">
            <w:pPr>
              <w:pStyle w:val="138"/>
              <w:spacing w:line="440" w:lineRule="exact"/>
              <w:ind w:left="63" w:right="63"/>
              <w:rPr>
                <w:rFonts w:ascii="宋体" w:hAnsi="宋体"/>
                <w:color w:val="auto"/>
                <w:szCs w:val="21"/>
                <w:highlight w:val="none"/>
              </w:rPr>
            </w:pPr>
          </w:p>
        </w:tc>
        <w:tc>
          <w:tcPr>
            <w:tcW w:w="1418" w:type="dxa"/>
            <w:vAlign w:val="center"/>
          </w:tcPr>
          <w:p w14:paraId="27D89BF3">
            <w:pPr>
              <w:pStyle w:val="138"/>
              <w:spacing w:line="440" w:lineRule="exact"/>
              <w:ind w:left="63" w:right="63"/>
              <w:rPr>
                <w:rFonts w:ascii="宋体" w:hAnsi="宋体"/>
                <w:color w:val="auto"/>
                <w:szCs w:val="21"/>
                <w:highlight w:val="none"/>
              </w:rPr>
            </w:pPr>
          </w:p>
        </w:tc>
        <w:tc>
          <w:tcPr>
            <w:tcW w:w="1134" w:type="dxa"/>
            <w:vAlign w:val="center"/>
          </w:tcPr>
          <w:p w14:paraId="38C03F77">
            <w:pPr>
              <w:pStyle w:val="138"/>
              <w:spacing w:line="440" w:lineRule="exact"/>
              <w:ind w:left="63" w:right="63"/>
              <w:rPr>
                <w:rFonts w:ascii="宋体" w:hAnsi="宋体"/>
                <w:color w:val="auto"/>
                <w:szCs w:val="21"/>
                <w:highlight w:val="none"/>
              </w:rPr>
            </w:pPr>
          </w:p>
        </w:tc>
        <w:tc>
          <w:tcPr>
            <w:tcW w:w="1134" w:type="dxa"/>
            <w:vAlign w:val="center"/>
          </w:tcPr>
          <w:p w14:paraId="0109C087">
            <w:pPr>
              <w:pStyle w:val="138"/>
              <w:spacing w:line="440" w:lineRule="exact"/>
              <w:ind w:left="63" w:right="63"/>
              <w:rPr>
                <w:rFonts w:ascii="宋体" w:hAnsi="宋体"/>
                <w:color w:val="auto"/>
                <w:szCs w:val="21"/>
                <w:highlight w:val="none"/>
              </w:rPr>
            </w:pPr>
          </w:p>
        </w:tc>
        <w:tc>
          <w:tcPr>
            <w:tcW w:w="4252" w:type="dxa"/>
            <w:vAlign w:val="center"/>
          </w:tcPr>
          <w:p w14:paraId="6CE6DBD3">
            <w:pPr>
              <w:pStyle w:val="138"/>
              <w:spacing w:line="440" w:lineRule="exact"/>
              <w:ind w:left="63" w:right="63"/>
              <w:rPr>
                <w:rFonts w:ascii="宋体" w:hAnsi="宋体"/>
                <w:color w:val="auto"/>
                <w:szCs w:val="21"/>
                <w:highlight w:val="none"/>
              </w:rPr>
            </w:pPr>
          </w:p>
        </w:tc>
      </w:tr>
      <w:tr w14:paraId="4F1BF0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2D4F3109">
            <w:pPr>
              <w:pStyle w:val="138"/>
              <w:spacing w:line="440" w:lineRule="exact"/>
              <w:ind w:left="63" w:right="63"/>
              <w:rPr>
                <w:rFonts w:ascii="宋体" w:hAnsi="宋体"/>
                <w:color w:val="auto"/>
                <w:szCs w:val="21"/>
                <w:highlight w:val="none"/>
              </w:rPr>
            </w:pPr>
          </w:p>
        </w:tc>
        <w:tc>
          <w:tcPr>
            <w:tcW w:w="1418" w:type="dxa"/>
            <w:vAlign w:val="center"/>
          </w:tcPr>
          <w:p w14:paraId="7F106973">
            <w:pPr>
              <w:pStyle w:val="138"/>
              <w:spacing w:line="440" w:lineRule="exact"/>
              <w:ind w:left="63" w:right="63"/>
              <w:rPr>
                <w:rFonts w:ascii="宋体" w:hAnsi="宋体"/>
                <w:color w:val="auto"/>
                <w:szCs w:val="21"/>
                <w:highlight w:val="none"/>
              </w:rPr>
            </w:pPr>
          </w:p>
        </w:tc>
        <w:tc>
          <w:tcPr>
            <w:tcW w:w="1134" w:type="dxa"/>
            <w:vAlign w:val="center"/>
          </w:tcPr>
          <w:p w14:paraId="552766C9">
            <w:pPr>
              <w:pStyle w:val="138"/>
              <w:spacing w:line="440" w:lineRule="exact"/>
              <w:ind w:left="63" w:right="63"/>
              <w:rPr>
                <w:rFonts w:ascii="宋体" w:hAnsi="宋体"/>
                <w:color w:val="auto"/>
                <w:szCs w:val="21"/>
                <w:highlight w:val="none"/>
              </w:rPr>
            </w:pPr>
          </w:p>
        </w:tc>
        <w:tc>
          <w:tcPr>
            <w:tcW w:w="1134" w:type="dxa"/>
            <w:vAlign w:val="center"/>
          </w:tcPr>
          <w:p w14:paraId="65C19B97">
            <w:pPr>
              <w:pStyle w:val="138"/>
              <w:spacing w:line="440" w:lineRule="exact"/>
              <w:ind w:left="63" w:right="63"/>
              <w:rPr>
                <w:rFonts w:ascii="宋体" w:hAnsi="宋体"/>
                <w:color w:val="auto"/>
                <w:szCs w:val="21"/>
                <w:highlight w:val="none"/>
              </w:rPr>
            </w:pPr>
          </w:p>
        </w:tc>
        <w:tc>
          <w:tcPr>
            <w:tcW w:w="4252" w:type="dxa"/>
            <w:vAlign w:val="center"/>
          </w:tcPr>
          <w:p w14:paraId="39304A67">
            <w:pPr>
              <w:pStyle w:val="138"/>
              <w:spacing w:line="440" w:lineRule="exact"/>
              <w:ind w:left="63" w:right="63"/>
              <w:rPr>
                <w:rFonts w:ascii="宋体" w:hAnsi="宋体"/>
                <w:color w:val="auto"/>
                <w:szCs w:val="21"/>
                <w:highlight w:val="none"/>
              </w:rPr>
            </w:pPr>
          </w:p>
        </w:tc>
      </w:tr>
      <w:tr w14:paraId="19FC4C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74549DD4">
            <w:pPr>
              <w:pStyle w:val="138"/>
              <w:spacing w:line="440" w:lineRule="exact"/>
              <w:ind w:left="63" w:right="63"/>
              <w:rPr>
                <w:rFonts w:ascii="宋体" w:hAnsi="宋体"/>
                <w:color w:val="auto"/>
                <w:szCs w:val="21"/>
                <w:highlight w:val="none"/>
              </w:rPr>
            </w:pPr>
          </w:p>
        </w:tc>
        <w:tc>
          <w:tcPr>
            <w:tcW w:w="1418" w:type="dxa"/>
            <w:vAlign w:val="center"/>
          </w:tcPr>
          <w:p w14:paraId="630F7D4F">
            <w:pPr>
              <w:pStyle w:val="138"/>
              <w:spacing w:line="440" w:lineRule="exact"/>
              <w:ind w:left="63" w:right="63"/>
              <w:rPr>
                <w:rFonts w:ascii="宋体" w:hAnsi="宋体"/>
                <w:color w:val="auto"/>
                <w:szCs w:val="21"/>
                <w:highlight w:val="none"/>
              </w:rPr>
            </w:pPr>
          </w:p>
        </w:tc>
        <w:tc>
          <w:tcPr>
            <w:tcW w:w="1134" w:type="dxa"/>
            <w:vAlign w:val="center"/>
          </w:tcPr>
          <w:p w14:paraId="292FF26A">
            <w:pPr>
              <w:pStyle w:val="138"/>
              <w:spacing w:line="440" w:lineRule="exact"/>
              <w:ind w:left="63" w:right="63"/>
              <w:rPr>
                <w:rFonts w:ascii="宋体" w:hAnsi="宋体"/>
                <w:color w:val="auto"/>
                <w:szCs w:val="21"/>
                <w:highlight w:val="none"/>
              </w:rPr>
            </w:pPr>
          </w:p>
        </w:tc>
        <w:tc>
          <w:tcPr>
            <w:tcW w:w="1134" w:type="dxa"/>
            <w:vAlign w:val="center"/>
          </w:tcPr>
          <w:p w14:paraId="707BDDEE">
            <w:pPr>
              <w:pStyle w:val="138"/>
              <w:spacing w:line="440" w:lineRule="exact"/>
              <w:ind w:left="63" w:right="63"/>
              <w:rPr>
                <w:rFonts w:ascii="宋体" w:hAnsi="宋体"/>
                <w:color w:val="auto"/>
                <w:szCs w:val="21"/>
                <w:highlight w:val="none"/>
              </w:rPr>
            </w:pPr>
          </w:p>
        </w:tc>
        <w:tc>
          <w:tcPr>
            <w:tcW w:w="4252" w:type="dxa"/>
            <w:vAlign w:val="center"/>
          </w:tcPr>
          <w:p w14:paraId="3688A745">
            <w:pPr>
              <w:pStyle w:val="138"/>
              <w:spacing w:line="440" w:lineRule="exact"/>
              <w:ind w:left="63" w:right="63"/>
              <w:rPr>
                <w:rFonts w:ascii="宋体" w:hAnsi="宋体"/>
                <w:color w:val="auto"/>
                <w:szCs w:val="21"/>
                <w:highlight w:val="none"/>
              </w:rPr>
            </w:pPr>
          </w:p>
        </w:tc>
      </w:tr>
      <w:tr w14:paraId="0CAFD5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33FD9877">
            <w:pPr>
              <w:pStyle w:val="138"/>
              <w:spacing w:line="440" w:lineRule="exact"/>
              <w:ind w:left="63" w:right="63"/>
              <w:rPr>
                <w:rFonts w:ascii="宋体" w:hAnsi="宋体"/>
                <w:color w:val="auto"/>
                <w:szCs w:val="21"/>
                <w:highlight w:val="none"/>
              </w:rPr>
            </w:pPr>
          </w:p>
        </w:tc>
        <w:tc>
          <w:tcPr>
            <w:tcW w:w="1418" w:type="dxa"/>
            <w:vAlign w:val="center"/>
          </w:tcPr>
          <w:p w14:paraId="3F932E59">
            <w:pPr>
              <w:pStyle w:val="138"/>
              <w:spacing w:line="440" w:lineRule="exact"/>
              <w:ind w:left="63" w:right="63"/>
              <w:rPr>
                <w:rFonts w:ascii="宋体" w:hAnsi="宋体"/>
                <w:color w:val="auto"/>
                <w:szCs w:val="21"/>
                <w:highlight w:val="none"/>
              </w:rPr>
            </w:pPr>
          </w:p>
        </w:tc>
        <w:tc>
          <w:tcPr>
            <w:tcW w:w="1134" w:type="dxa"/>
            <w:vAlign w:val="center"/>
          </w:tcPr>
          <w:p w14:paraId="32B53589">
            <w:pPr>
              <w:pStyle w:val="138"/>
              <w:spacing w:line="440" w:lineRule="exact"/>
              <w:ind w:left="63" w:right="63"/>
              <w:rPr>
                <w:rFonts w:ascii="宋体" w:hAnsi="宋体"/>
                <w:color w:val="auto"/>
                <w:szCs w:val="21"/>
                <w:highlight w:val="none"/>
              </w:rPr>
            </w:pPr>
          </w:p>
        </w:tc>
        <w:tc>
          <w:tcPr>
            <w:tcW w:w="1134" w:type="dxa"/>
            <w:vAlign w:val="center"/>
          </w:tcPr>
          <w:p w14:paraId="7F57ADF0">
            <w:pPr>
              <w:pStyle w:val="138"/>
              <w:spacing w:line="440" w:lineRule="exact"/>
              <w:ind w:left="63" w:right="63"/>
              <w:rPr>
                <w:rFonts w:ascii="宋体" w:hAnsi="宋体"/>
                <w:color w:val="auto"/>
                <w:szCs w:val="21"/>
                <w:highlight w:val="none"/>
              </w:rPr>
            </w:pPr>
          </w:p>
        </w:tc>
        <w:tc>
          <w:tcPr>
            <w:tcW w:w="4252" w:type="dxa"/>
            <w:vAlign w:val="center"/>
          </w:tcPr>
          <w:p w14:paraId="370B4E23">
            <w:pPr>
              <w:pStyle w:val="138"/>
              <w:spacing w:line="440" w:lineRule="exact"/>
              <w:ind w:left="63" w:right="63"/>
              <w:rPr>
                <w:rFonts w:ascii="宋体" w:hAnsi="宋体"/>
                <w:color w:val="auto"/>
                <w:szCs w:val="21"/>
                <w:highlight w:val="none"/>
              </w:rPr>
            </w:pPr>
          </w:p>
        </w:tc>
      </w:tr>
      <w:tr w14:paraId="1051446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566E4C13">
            <w:pPr>
              <w:pStyle w:val="138"/>
              <w:spacing w:line="440" w:lineRule="exact"/>
              <w:ind w:left="63" w:right="63"/>
              <w:rPr>
                <w:rFonts w:ascii="宋体" w:hAnsi="宋体"/>
                <w:color w:val="auto"/>
                <w:szCs w:val="21"/>
                <w:highlight w:val="none"/>
              </w:rPr>
            </w:pPr>
          </w:p>
        </w:tc>
        <w:tc>
          <w:tcPr>
            <w:tcW w:w="1418" w:type="dxa"/>
            <w:vAlign w:val="center"/>
          </w:tcPr>
          <w:p w14:paraId="05AD39C1">
            <w:pPr>
              <w:pStyle w:val="138"/>
              <w:spacing w:line="440" w:lineRule="exact"/>
              <w:ind w:left="63" w:right="63"/>
              <w:rPr>
                <w:rFonts w:ascii="宋体" w:hAnsi="宋体"/>
                <w:color w:val="auto"/>
                <w:szCs w:val="21"/>
                <w:highlight w:val="none"/>
              </w:rPr>
            </w:pPr>
          </w:p>
        </w:tc>
        <w:tc>
          <w:tcPr>
            <w:tcW w:w="1134" w:type="dxa"/>
            <w:vAlign w:val="center"/>
          </w:tcPr>
          <w:p w14:paraId="7F5F791F">
            <w:pPr>
              <w:pStyle w:val="138"/>
              <w:spacing w:line="440" w:lineRule="exact"/>
              <w:ind w:left="63" w:right="63"/>
              <w:rPr>
                <w:rFonts w:ascii="宋体" w:hAnsi="宋体"/>
                <w:color w:val="auto"/>
                <w:szCs w:val="21"/>
                <w:highlight w:val="none"/>
              </w:rPr>
            </w:pPr>
          </w:p>
        </w:tc>
        <w:tc>
          <w:tcPr>
            <w:tcW w:w="1134" w:type="dxa"/>
            <w:vAlign w:val="center"/>
          </w:tcPr>
          <w:p w14:paraId="57B49A65">
            <w:pPr>
              <w:pStyle w:val="138"/>
              <w:spacing w:line="440" w:lineRule="exact"/>
              <w:ind w:left="63" w:right="63"/>
              <w:rPr>
                <w:rFonts w:ascii="宋体" w:hAnsi="宋体"/>
                <w:color w:val="auto"/>
                <w:szCs w:val="21"/>
                <w:highlight w:val="none"/>
              </w:rPr>
            </w:pPr>
          </w:p>
        </w:tc>
        <w:tc>
          <w:tcPr>
            <w:tcW w:w="4252" w:type="dxa"/>
            <w:vAlign w:val="center"/>
          </w:tcPr>
          <w:p w14:paraId="1C51A692">
            <w:pPr>
              <w:pStyle w:val="138"/>
              <w:spacing w:line="440" w:lineRule="exact"/>
              <w:ind w:left="63" w:right="63"/>
              <w:rPr>
                <w:rFonts w:ascii="宋体" w:hAnsi="宋体"/>
                <w:color w:val="auto"/>
                <w:szCs w:val="21"/>
                <w:highlight w:val="none"/>
              </w:rPr>
            </w:pPr>
          </w:p>
        </w:tc>
      </w:tr>
    </w:tbl>
    <w:p w14:paraId="11B62158">
      <w:pPr>
        <w:pStyle w:val="61"/>
        <w:spacing w:line="440" w:lineRule="exact"/>
        <w:rPr>
          <w:rFonts w:ascii="宋体" w:hAnsi="宋体"/>
          <w:color w:val="auto"/>
          <w:szCs w:val="21"/>
          <w:highlight w:val="none"/>
        </w:rPr>
      </w:pPr>
      <w:bookmarkStart w:id="1011" w:name="_Toc296346732"/>
      <w:bookmarkStart w:id="1012" w:name="_Toc296891059"/>
      <w:bookmarkStart w:id="1013" w:name="_Toc296503231"/>
      <w:bookmarkStart w:id="1014" w:name="_Toc296944570"/>
      <w:bookmarkStart w:id="1015" w:name="_Toc267261701"/>
      <w:bookmarkStart w:id="1016" w:name="_Toc296347230"/>
      <w:bookmarkStart w:id="1017" w:name="_Toc296891271"/>
      <w:r>
        <w:rPr>
          <w:rFonts w:hint="eastAsia" w:ascii="宋体" w:hAnsi="宋体"/>
          <w:color w:val="auto"/>
          <w:szCs w:val="21"/>
          <w:highlight w:val="none"/>
        </w:rPr>
        <w:br w:type="page"/>
      </w:r>
      <w:r>
        <w:rPr>
          <w:rFonts w:hint="eastAsia" w:ascii="宋体" w:hAnsi="宋体"/>
          <w:b/>
          <w:bCs/>
          <w:color w:val="auto"/>
          <w:sz w:val="24"/>
          <w:szCs w:val="24"/>
          <w:highlight w:val="none"/>
        </w:rPr>
        <w:t>附件8：</w:t>
      </w:r>
    </w:p>
    <w:bookmarkEnd w:id="1011"/>
    <w:bookmarkEnd w:id="1012"/>
    <w:bookmarkEnd w:id="1013"/>
    <w:bookmarkEnd w:id="1014"/>
    <w:bookmarkEnd w:id="1015"/>
    <w:bookmarkEnd w:id="1016"/>
    <w:bookmarkEnd w:id="1017"/>
    <w:p w14:paraId="4278B6CC">
      <w:pPr>
        <w:pStyle w:val="61"/>
        <w:spacing w:before="165" w:after="165" w:line="44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履约担保</w:t>
      </w:r>
    </w:p>
    <w:p w14:paraId="53150DB8">
      <w:pPr>
        <w:pStyle w:val="61"/>
        <w:spacing w:line="440" w:lineRule="exact"/>
        <w:rPr>
          <w:rFonts w:ascii="宋体" w:hAnsi="宋体"/>
          <w:color w:val="auto"/>
          <w:szCs w:val="21"/>
          <w:highlight w:val="none"/>
          <w:u w:val="single"/>
        </w:rPr>
      </w:pPr>
      <w:r>
        <w:rPr>
          <w:rFonts w:hint="eastAsia" w:ascii="宋体" w:hAnsi="宋体"/>
          <w:color w:val="auto"/>
          <w:szCs w:val="21"/>
          <w:highlight w:val="none"/>
          <w:u w:val="single"/>
        </w:rPr>
        <w:tab/>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（发包人名称）</w:t>
      </w:r>
      <w:r>
        <w:rPr>
          <w:rFonts w:hint="eastAsia" w:ascii="宋体" w:hAnsi="宋体"/>
          <w:color w:val="auto"/>
          <w:szCs w:val="21"/>
          <w:highlight w:val="none"/>
        </w:rPr>
        <w:t>：</w:t>
      </w:r>
    </w:p>
    <w:p w14:paraId="1E2599F0">
      <w:pPr>
        <w:pStyle w:val="61"/>
        <w:spacing w:line="440" w:lineRule="exact"/>
        <w:rPr>
          <w:rFonts w:ascii="宋体" w:hAnsi="宋体"/>
          <w:color w:val="auto"/>
          <w:szCs w:val="21"/>
          <w:highlight w:val="none"/>
        </w:rPr>
      </w:pPr>
    </w:p>
    <w:p w14:paraId="720BDA52">
      <w:pPr>
        <w:pStyle w:val="61"/>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鉴于（发包人名称，以下简称“发包人”）与</w:t>
      </w:r>
    </w:p>
    <w:p w14:paraId="4D72F23C">
      <w:pPr>
        <w:pStyle w:val="61"/>
        <w:spacing w:line="360" w:lineRule="auto"/>
        <w:rPr>
          <w:rFonts w:ascii="宋体" w:hAnsi="宋体"/>
          <w:color w:val="auto"/>
          <w:szCs w:val="21"/>
          <w:highlight w:val="none"/>
        </w:rPr>
      </w:pPr>
      <w:r>
        <w:rPr>
          <w:rFonts w:hint="eastAsia" w:ascii="宋体" w:hAnsi="宋体"/>
          <w:color w:val="auto"/>
          <w:szCs w:val="21"/>
          <w:highlight w:val="none"/>
        </w:rPr>
        <w:t>（承包人名称）（以下称“承包人”）于</w:t>
      </w:r>
      <w:r>
        <w:rPr>
          <w:rFonts w:hint="eastAsia" w:ascii="宋体" w:hAnsi="宋体"/>
          <w:color w:val="auto"/>
          <w:szCs w:val="21"/>
          <w:highlight w:val="none"/>
          <w:u w:val="single"/>
        </w:rPr>
        <w:tab/>
      </w:r>
      <w:r>
        <w:rPr>
          <w:rFonts w:hint="eastAsia" w:ascii="宋体" w:hAnsi="宋体"/>
          <w:color w:val="auto"/>
          <w:szCs w:val="21"/>
          <w:highlight w:val="none"/>
        </w:rPr>
        <w:t>年</w:t>
      </w:r>
      <w:r>
        <w:rPr>
          <w:rFonts w:hint="eastAsia" w:ascii="宋体" w:hAnsi="宋体"/>
          <w:color w:val="auto"/>
          <w:szCs w:val="21"/>
          <w:highlight w:val="none"/>
          <w:u w:val="single"/>
        </w:rPr>
        <w:tab/>
      </w:r>
      <w:r>
        <w:rPr>
          <w:rFonts w:hint="eastAsia" w:ascii="宋体" w:hAnsi="宋体"/>
          <w:color w:val="auto"/>
          <w:szCs w:val="21"/>
          <w:highlight w:val="none"/>
        </w:rPr>
        <w:t>月</w:t>
      </w:r>
      <w:r>
        <w:rPr>
          <w:rFonts w:hint="eastAsia" w:ascii="宋体" w:hAnsi="宋体"/>
          <w:color w:val="auto"/>
          <w:szCs w:val="21"/>
          <w:highlight w:val="none"/>
          <w:u w:val="single"/>
        </w:rPr>
        <w:tab/>
      </w:r>
      <w:r>
        <w:rPr>
          <w:rFonts w:hint="eastAsia" w:ascii="宋体" w:hAnsi="宋体"/>
          <w:color w:val="auto"/>
          <w:szCs w:val="21"/>
          <w:highlight w:val="none"/>
        </w:rPr>
        <w:t>日就</w:t>
      </w:r>
      <w:r>
        <w:rPr>
          <w:rFonts w:hint="eastAsia" w:ascii="宋体" w:hAnsi="宋体"/>
          <w:color w:val="auto"/>
          <w:szCs w:val="21"/>
          <w:highlight w:val="none"/>
          <w:u w:val="single"/>
        </w:rPr>
        <w:t>（工程名称）</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 xml:space="preserve">施工及有关事项协商一致共同签订《建设工程施工合同》。我方愿意无条件地、不可撤销地就承包人履行与你方签订的合同，向你方提供连带责任担保。 </w:t>
      </w:r>
    </w:p>
    <w:p w14:paraId="37E4C929">
      <w:pPr>
        <w:pStyle w:val="61"/>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元（¥</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w:t>
      </w:r>
    </w:p>
    <w:p w14:paraId="34A0E36D">
      <w:pPr>
        <w:pStyle w:val="61"/>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担保有效期自你方与承包人签订的合同生效之日起至你方签发或应签发工程接收证书之日止。</w:t>
      </w:r>
    </w:p>
    <w:p w14:paraId="35E15DB5">
      <w:pPr>
        <w:pStyle w:val="61"/>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在本担保有效期内，因承包人违反合同约定的义务给你方造成经济损失时，我方在收到你方以书面形式提出的在担保金额内的赔偿要求后，在7天内无条件支付。</w:t>
      </w:r>
    </w:p>
    <w:p w14:paraId="0A00ED6E">
      <w:pPr>
        <w:pStyle w:val="61"/>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你方和承包人按合同约定变更合同时，我方承担本担保规定的义务不变。</w:t>
      </w:r>
    </w:p>
    <w:p w14:paraId="24406B07">
      <w:pPr>
        <w:pStyle w:val="61"/>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因本保函发生的纠纷，可由双方协商解决，协商不成的，任何一方均可提请仲裁委员会仲裁。</w:t>
      </w:r>
    </w:p>
    <w:p w14:paraId="6CC0749A">
      <w:pPr>
        <w:pStyle w:val="61"/>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本保函自我方法定代表人（或其授权代理人）签字并加盖公章之日起生效。</w:t>
      </w:r>
    </w:p>
    <w:p w14:paraId="7410BD21">
      <w:pPr>
        <w:pStyle w:val="61"/>
        <w:spacing w:line="360" w:lineRule="auto"/>
        <w:rPr>
          <w:rFonts w:ascii="宋体" w:hAnsi="宋体"/>
          <w:color w:val="auto"/>
          <w:szCs w:val="21"/>
          <w:highlight w:val="none"/>
        </w:rPr>
      </w:pPr>
    </w:p>
    <w:p w14:paraId="64954486">
      <w:pPr>
        <w:pStyle w:val="61"/>
        <w:spacing w:line="360" w:lineRule="auto"/>
        <w:rPr>
          <w:rFonts w:ascii="宋体" w:hAnsi="宋体"/>
          <w:color w:val="auto"/>
          <w:szCs w:val="21"/>
          <w:highlight w:val="none"/>
        </w:rPr>
      </w:pPr>
      <w:r>
        <w:rPr>
          <w:rFonts w:hint="eastAsia" w:ascii="宋体" w:hAnsi="宋体"/>
          <w:color w:val="auto"/>
          <w:szCs w:val="21"/>
          <w:highlight w:val="none"/>
        </w:rPr>
        <w:t>担 保 人：（盖单位章）</w:t>
      </w:r>
    </w:p>
    <w:p w14:paraId="08E42208">
      <w:pPr>
        <w:pStyle w:val="61"/>
        <w:spacing w:line="360" w:lineRule="auto"/>
        <w:rPr>
          <w:rFonts w:ascii="宋体" w:hAnsi="宋体"/>
          <w:color w:val="auto"/>
          <w:szCs w:val="21"/>
          <w:highlight w:val="none"/>
        </w:rPr>
      </w:pPr>
      <w:r>
        <w:rPr>
          <w:rFonts w:hint="eastAsia" w:ascii="宋体" w:hAnsi="宋体"/>
          <w:color w:val="auto"/>
          <w:szCs w:val="21"/>
          <w:highlight w:val="none"/>
        </w:rPr>
        <w:t>法定代表人或其委托代理人：（签字）</w:t>
      </w:r>
    </w:p>
    <w:p w14:paraId="360D1CC3">
      <w:pPr>
        <w:pStyle w:val="61"/>
        <w:spacing w:line="360" w:lineRule="auto"/>
        <w:rPr>
          <w:rFonts w:ascii="宋体" w:hAnsi="宋体"/>
          <w:color w:val="auto"/>
          <w:szCs w:val="21"/>
          <w:highlight w:val="none"/>
        </w:rPr>
      </w:pPr>
      <w:r>
        <w:rPr>
          <w:rFonts w:hint="eastAsia" w:ascii="宋体" w:hAnsi="宋体"/>
          <w:color w:val="auto"/>
          <w:szCs w:val="21"/>
          <w:highlight w:val="none"/>
        </w:rPr>
        <w:t>地    址：</w:t>
      </w:r>
    </w:p>
    <w:p w14:paraId="12CFB3E3">
      <w:pPr>
        <w:pStyle w:val="61"/>
        <w:spacing w:line="360" w:lineRule="auto"/>
        <w:rPr>
          <w:rFonts w:ascii="宋体" w:hAnsi="宋体"/>
          <w:color w:val="auto"/>
          <w:szCs w:val="21"/>
          <w:highlight w:val="none"/>
        </w:rPr>
      </w:pPr>
      <w:r>
        <w:rPr>
          <w:rFonts w:hint="eastAsia" w:ascii="宋体" w:hAnsi="宋体"/>
          <w:color w:val="auto"/>
          <w:szCs w:val="21"/>
          <w:highlight w:val="none"/>
        </w:rPr>
        <w:t>邮政编码：</w:t>
      </w:r>
    </w:p>
    <w:p w14:paraId="2D5BCE2B">
      <w:pPr>
        <w:pStyle w:val="61"/>
        <w:spacing w:line="360" w:lineRule="auto"/>
        <w:rPr>
          <w:rFonts w:ascii="宋体" w:hAnsi="宋体"/>
          <w:color w:val="auto"/>
          <w:szCs w:val="21"/>
          <w:highlight w:val="none"/>
        </w:rPr>
      </w:pPr>
      <w:r>
        <w:rPr>
          <w:rFonts w:hint="eastAsia" w:ascii="宋体" w:hAnsi="宋体"/>
          <w:color w:val="auto"/>
          <w:szCs w:val="21"/>
          <w:highlight w:val="none"/>
        </w:rPr>
        <w:t>电    话：</w:t>
      </w:r>
    </w:p>
    <w:p w14:paraId="3BDB9AEE">
      <w:pPr>
        <w:pStyle w:val="61"/>
        <w:spacing w:line="360" w:lineRule="auto"/>
        <w:rPr>
          <w:rFonts w:ascii="宋体" w:hAnsi="宋体"/>
          <w:color w:val="auto"/>
          <w:szCs w:val="21"/>
          <w:highlight w:val="none"/>
        </w:rPr>
      </w:pPr>
      <w:r>
        <w:rPr>
          <w:rFonts w:hint="eastAsia" w:ascii="宋体" w:hAnsi="宋体"/>
          <w:color w:val="auto"/>
          <w:szCs w:val="21"/>
          <w:highlight w:val="none"/>
        </w:rPr>
        <w:t>传    真：</w:t>
      </w:r>
    </w:p>
    <w:p w14:paraId="6F18761E">
      <w:pPr>
        <w:pStyle w:val="61"/>
        <w:spacing w:line="360" w:lineRule="auto"/>
        <w:jc w:val="left"/>
        <w:rPr>
          <w:rFonts w:ascii="宋体" w:hAnsi="宋体"/>
          <w:color w:val="auto"/>
          <w:szCs w:val="21"/>
          <w:highlight w:val="none"/>
          <w:u w:val="single"/>
        </w:rPr>
      </w:pPr>
    </w:p>
    <w:p w14:paraId="1A1925F4">
      <w:pPr>
        <w:pStyle w:val="61"/>
        <w:spacing w:line="360" w:lineRule="auto"/>
        <w:ind w:left="1329" w:hanging="1329" w:hangingChars="633"/>
        <w:rPr>
          <w:rFonts w:ascii="宋体" w:hAnsi="宋体"/>
          <w:color w:val="auto"/>
          <w:szCs w:val="21"/>
          <w:highlight w:val="none"/>
        </w:rPr>
      </w:pPr>
      <w:r>
        <w:rPr>
          <w:rFonts w:hint="eastAsia" w:ascii="宋体" w:hAnsi="宋体"/>
          <w:color w:val="auto"/>
          <w:szCs w:val="21"/>
          <w:highlight w:val="none"/>
        </w:rPr>
        <w:t>年月日</w:t>
      </w:r>
    </w:p>
    <w:p w14:paraId="7B122FFA">
      <w:pPr>
        <w:pStyle w:val="61"/>
        <w:spacing w:line="360" w:lineRule="auto"/>
        <w:ind w:left="1329" w:hanging="1329" w:hangingChars="633"/>
        <w:rPr>
          <w:rFonts w:ascii="宋体" w:hAnsi="宋体"/>
          <w:color w:val="auto"/>
          <w:szCs w:val="21"/>
          <w:highlight w:val="none"/>
        </w:rPr>
      </w:pPr>
    </w:p>
    <w:p w14:paraId="1063A226">
      <w:pPr>
        <w:pStyle w:val="61"/>
        <w:spacing w:line="360" w:lineRule="auto"/>
        <w:rPr>
          <w:rFonts w:ascii="宋体" w:hAnsi="宋体"/>
          <w:color w:val="auto"/>
          <w:szCs w:val="21"/>
          <w:highlight w:val="none"/>
        </w:rPr>
      </w:pPr>
    </w:p>
    <w:p w14:paraId="39B5014C">
      <w:pPr>
        <w:pStyle w:val="61"/>
        <w:spacing w:line="360" w:lineRule="auto"/>
        <w:rPr>
          <w:rFonts w:ascii="宋体" w:hAnsi="宋体"/>
          <w:color w:val="auto"/>
          <w:szCs w:val="21"/>
          <w:highlight w:val="none"/>
        </w:rPr>
      </w:pPr>
    </w:p>
    <w:p w14:paraId="15997CEA">
      <w:pPr>
        <w:pStyle w:val="61"/>
        <w:spacing w:line="360" w:lineRule="auto"/>
        <w:rPr>
          <w:rFonts w:ascii="宋体" w:hAnsi="宋体"/>
          <w:color w:val="auto"/>
          <w:szCs w:val="21"/>
          <w:highlight w:val="none"/>
        </w:rPr>
      </w:pPr>
    </w:p>
    <w:p w14:paraId="6BDFA002">
      <w:pPr>
        <w:pStyle w:val="61"/>
        <w:spacing w:line="360" w:lineRule="auto"/>
        <w:rPr>
          <w:rFonts w:ascii="宋体" w:hAnsi="宋体"/>
          <w:color w:val="auto"/>
          <w:szCs w:val="21"/>
          <w:highlight w:val="none"/>
        </w:rPr>
      </w:pPr>
    </w:p>
    <w:p w14:paraId="76E3501B">
      <w:pPr>
        <w:pStyle w:val="61"/>
        <w:spacing w:line="360" w:lineRule="auto"/>
        <w:rPr>
          <w:rFonts w:ascii="宋体" w:hAnsi="宋体"/>
          <w:b/>
          <w:bCs/>
          <w:color w:val="auto"/>
          <w:sz w:val="24"/>
          <w:szCs w:val="24"/>
          <w:highlight w:val="none"/>
        </w:rPr>
      </w:pPr>
      <w:bookmarkStart w:id="1018" w:name="_Toc296944571"/>
      <w:bookmarkStart w:id="1019" w:name="_Toc296346733"/>
      <w:bookmarkStart w:id="1020" w:name="_Toc296503232"/>
      <w:bookmarkStart w:id="1021" w:name="_Toc296891272"/>
      <w:bookmarkStart w:id="1022" w:name="_Toc267261702"/>
      <w:bookmarkStart w:id="1023" w:name="_Toc296347231"/>
      <w:bookmarkStart w:id="1024" w:name="_Toc296891060"/>
      <w:r>
        <w:rPr>
          <w:rFonts w:hint="eastAsia" w:ascii="宋体" w:hAnsi="宋体"/>
          <w:b/>
          <w:bCs/>
          <w:color w:val="auto"/>
          <w:sz w:val="24"/>
          <w:szCs w:val="24"/>
          <w:highlight w:val="none"/>
        </w:rPr>
        <w:t>附件9 ：</w:t>
      </w:r>
    </w:p>
    <w:bookmarkEnd w:id="1018"/>
    <w:bookmarkEnd w:id="1019"/>
    <w:bookmarkEnd w:id="1020"/>
    <w:bookmarkEnd w:id="1021"/>
    <w:bookmarkEnd w:id="1022"/>
    <w:bookmarkEnd w:id="1023"/>
    <w:bookmarkEnd w:id="1024"/>
    <w:p w14:paraId="5216F17C">
      <w:pPr>
        <w:pStyle w:val="61"/>
        <w:spacing w:before="165" w:after="165" w:line="44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预付款担保</w:t>
      </w:r>
    </w:p>
    <w:p w14:paraId="07D4E999">
      <w:pPr>
        <w:pStyle w:val="61"/>
        <w:spacing w:line="336" w:lineRule="auto"/>
        <w:rPr>
          <w:rFonts w:ascii="宋体" w:hAnsi="宋体"/>
          <w:color w:val="auto"/>
          <w:szCs w:val="21"/>
          <w:highlight w:val="none"/>
          <w:u w:val="single"/>
        </w:rPr>
      </w:pPr>
      <w:r>
        <w:rPr>
          <w:rFonts w:hint="eastAsia" w:ascii="宋体" w:hAnsi="宋体"/>
          <w:color w:val="auto"/>
          <w:szCs w:val="21"/>
          <w:highlight w:val="none"/>
          <w:u w:val="single"/>
        </w:rPr>
        <w:tab/>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ab/>
      </w:r>
      <w:r>
        <w:rPr>
          <w:rFonts w:hint="eastAsia" w:ascii="宋体" w:hAnsi="宋体"/>
          <w:color w:val="auto"/>
          <w:szCs w:val="21"/>
          <w:highlight w:val="none"/>
        </w:rPr>
        <w:t xml:space="preserve"> （发包人名称）：</w:t>
      </w:r>
    </w:p>
    <w:p w14:paraId="622DCBA8">
      <w:pPr>
        <w:pStyle w:val="61"/>
        <w:spacing w:line="336" w:lineRule="auto"/>
        <w:rPr>
          <w:rFonts w:ascii="宋体" w:hAnsi="宋体"/>
          <w:color w:val="auto"/>
          <w:szCs w:val="21"/>
          <w:highlight w:val="none"/>
        </w:rPr>
      </w:pPr>
    </w:p>
    <w:p w14:paraId="1F25B221">
      <w:pPr>
        <w:pStyle w:val="61"/>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根据（承包人名称）（以下称“承包人”）与</w:t>
      </w:r>
    </w:p>
    <w:p w14:paraId="27B7D842">
      <w:pPr>
        <w:pStyle w:val="61"/>
        <w:spacing w:line="336" w:lineRule="auto"/>
        <w:outlineLvl w:val="0"/>
        <w:rPr>
          <w:rFonts w:ascii="宋体" w:hAnsi="宋体"/>
          <w:color w:val="auto"/>
          <w:szCs w:val="21"/>
          <w:highlight w:val="none"/>
          <w:u w:val="single"/>
        </w:rPr>
      </w:pPr>
      <w:bookmarkStart w:id="1025" w:name="_Toc515608941"/>
      <w:bookmarkEnd w:id="1025"/>
      <w:r>
        <w:rPr>
          <w:rFonts w:hint="eastAsia" w:ascii="宋体" w:hAnsi="宋体"/>
          <w:color w:val="auto"/>
          <w:szCs w:val="21"/>
          <w:highlight w:val="none"/>
        </w:rPr>
        <w:t>（发包人名称）（以下简称“发包人”）</w:t>
      </w:r>
    </w:p>
    <w:p w14:paraId="61BB4E57">
      <w:pPr>
        <w:pStyle w:val="61"/>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于</w:t>
      </w:r>
      <w:r>
        <w:rPr>
          <w:rFonts w:hint="eastAsia" w:ascii="宋体" w:hAnsi="宋体"/>
          <w:color w:val="auto"/>
          <w:szCs w:val="21"/>
          <w:highlight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日签订的（工程名称）《建设工程施工合同》，承包人按约定的金额向你方提交一份预付款担保，即有权得到你方支付相等金额的预付款。我方愿意就你方提供给承包人的预付款为承包人提供连带责任担保。</w:t>
      </w:r>
    </w:p>
    <w:p w14:paraId="3B325461">
      <w:pPr>
        <w:pStyle w:val="61"/>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元（¥</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14:paraId="6D0B0A69">
      <w:pPr>
        <w:pStyle w:val="61"/>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2. 担保有效期自预付款支付给承包人起生效，至你方签发的进度款支付证书说明已完全扣清止。</w:t>
      </w:r>
    </w:p>
    <w:p w14:paraId="441EC221">
      <w:pPr>
        <w:pStyle w:val="61"/>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66D71492">
      <w:pPr>
        <w:pStyle w:val="61"/>
        <w:spacing w:line="336" w:lineRule="auto"/>
        <w:ind w:firstLine="420" w:firstLineChars="200"/>
        <w:rPr>
          <w:rFonts w:ascii="宋体" w:hAnsi="宋体"/>
          <w:color w:val="auto"/>
          <w:szCs w:val="21"/>
          <w:highlight w:val="none"/>
        </w:rPr>
      </w:pPr>
      <w:r>
        <w:rPr>
          <w:rFonts w:hint="eastAsia" w:ascii="宋体" w:hAnsi="宋体"/>
          <w:color w:val="auto"/>
          <w:szCs w:val="21"/>
          <w:highlight w:val="none"/>
        </w:rPr>
        <w:t>4. 你方和承包人按合同约定变更合同时，我方承担本保函规定的义务不变。</w:t>
      </w:r>
    </w:p>
    <w:p w14:paraId="11B42B50">
      <w:pPr>
        <w:pStyle w:val="61"/>
        <w:spacing w:line="336" w:lineRule="auto"/>
        <w:ind w:firstLine="420" w:firstLineChars="200"/>
        <w:jc w:val="left"/>
        <w:rPr>
          <w:rFonts w:ascii="宋体" w:hAnsi="宋体"/>
          <w:color w:val="auto"/>
          <w:szCs w:val="21"/>
          <w:highlight w:val="none"/>
        </w:rPr>
      </w:pPr>
      <w:r>
        <w:rPr>
          <w:rFonts w:hint="eastAsia" w:ascii="宋体" w:hAnsi="宋体"/>
          <w:color w:val="auto"/>
          <w:szCs w:val="21"/>
          <w:highlight w:val="none"/>
        </w:rPr>
        <w:t>5. 因本保函发生的纠纷，可由双方协商解决，协商不成的，任何一方均可提请仲裁委员会仲裁。</w:t>
      </w:r>
    </w:p>
    <w:p w14:paraId="2E0506F5">
      <w:pPr>
        <w:pStyle w:val="61"/>
        <w:spacing w:line="336" w:lineRule="auto"/>
        <w:ind w:firstLine="420" w:firstLineChars="200"/>
        <w:jc w:val="left"/>
        <w:rPr>
          <w:rFonts w:ascii="宋体" w:hAnsi="宋体"/>
          <w:color w:val="auto"/>
          <w:szCs w:val="21"/>
          <w:highlight w:val="none"/>
        </w:rPr>
      </w:pPr>
      <w:r>
        <w:rPr>
          <w:rFonts w:hint="eastAsia" w:ascii="宋体" w:hAnsi="宋体"/>
          <w:color w:val="auto"/>
          <w:szCs w:val="21"/>
          <w:highlight w:val="none"/>
        </w:rPr>
        <w:t>6. 本保函自我方法定代表人（或其授权代理人）签字并加盖公章之日起生效。</w:t>
      </w:r>
    </w:p>
    <w:p w14:paraId="1D5F6CEA">
      <w:pPr>
        <w:pStyle w:val="61"/>
        <w:spacing w:line="336" w:lineRule="auto"/>
        <w:rPr>
          <w:rFonts w:ascii="宋体" w:hAnsi="宋体"/>
          <w:color w:val="auto"/>
          <w:szCs w:val="21"/>
          <w:highlight w:val="none"/>
        </w:rPr>
      </w:pPr>
    </w:p>
    <w:p w14:paraId="4758E887">
      <w:pPr>
        <w:pStyle w:val="61"/>
        <w:spacing w:line="336" w:lineRule="auto"/>
        <w:rPr>
          <w:rFonts w:ascii="宋体" w:hAnsi="宋体"/>
          <w:color w:val="auto"/>
          <w:szCs w:val="21"/>
          <w:highlight w:val="none"/>
        </w:rPr>
      </w:pPr>
      <w:r>
        <w:rPr>
          <w:rFonts w:hint="eastAsia" w:ascii="宋体" w:hAnsi="宋体"/>
          <w:color w:val="auto"/>
          <w:szCs w:val="21"/>
          <w:highlight w:val="none"/>
        </w:rPr>
        <w:t>担保人：（盖单位章）</w:t>
      </w:r>
    </w:p>
    <w:p w14:paraId="2286BB88">
      <w:pPr>
        <w:pStyle w:val="61"/>
        <w:spacing w:line="336" w:lineRule="auto"/>
        <w:rPr>
          <w:rFonts w:ascii="宋体" w:hAnsi="宋体"/>
          <w:color w:val="auto"/>
          <w:szCs w:val="21"/>
          <w:highlight w:val="none"/>
        </w:rPr>
      </w:pPr>
      <w:r>
        <w:rPr>
          <w:rFonts w:hint="eastAsia" w:ascii="宋体" w:hAnsi="宋体"/>
          <w:color w:val="auto"/>
          <w:szCs w:val="21"/>
          <w:highlight w:val="none"/>
        </w:rPr>
        <w:t>法定代表人或其委托代理人：（签字）</w:t>
      </w:r>
    </w:p>
    <w:p w14:paraId="1CE85017">
      <w:pPr>
        <w:pStyle w:val="61"/>
        <w:spacing w:line="336" w:lineRule="auto"/>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1AC47AF2">
      <w:pPr>
        <w:pStyle w:val="61"/>
        <w:spacing w:line="336" w:lineRule="auto"/>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1A7B9729">
      <w:pPr>
        <w:pStyle w:val="61"/>
        <w:spacing w:line="336" w:lineRule="auto"/>
        <w:rPr>
          <w:rFonts w:ascii="宋体" w:hAnsi="宋体"/>
          <w:color w:val="auto"/>
          <w:szCs w:val="21"/>
          <w:highlight w:val="none"/>
        </w:rPr>
      </w:pPr>
      <w:r>
        <w:rPr>
          <w:rFonts w:hint="eastAsia" w:ascii="宋体" w:hAnsi="宋体"/>
          <w:color w:val="auto"/>
          <w:szCs w:val="21"/>
          <w:highlight w:val="none"/>
        </w:rPr>
        <w:t>电    话：</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4D2136E7">
      <w:pPr>
        <w:pStyle w:val="61"/>
        <w:spacing w:line="336" w:lineRule="auto"/>
        <w:rPr>
          <w:rFonts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6FCCF92E">
      <w:pPr>
        <w:pStyle w:val="61"/>
        <w:spacing w:line="336" w:lineRule="auto"/>
        <w:rPr>
          <w:rFonts w:ascii="宋体" w:hAnsi="宋体"/>
          <w:color w:val="auto"/>
          <w:szCs w:val="21"/>
          <w:highlight w:val="none"/>
        </w:rPr>
      </w:pPr>
    </w:p>
    <w:p w14:paraId="7FC5FD6D">
      <w:pPr>
        <w:pStyle w:val="61"/>
        <w:spacing w:line="336" w:lineRule="auto"/>
        <w:rPr>
          <w:rFonts w:ascii="宋体" w:hAnsi="宋体"/>
          <w:color w:val="auto"/>
          <w:szCs w:val="21"/>
          <w:highlight w:val="none"/>
          <w:u w:val="single"/>
        </w:rPr>
      </w:pPr>
    </w:p>
    <w:p w14:paraId="26210164">
      <w:pPr>
        <w:pStyle w:val="61"/>
        <w:spacing w:line="336" w:lineRule="auto"/>
        <w:rPr>
          <w:rFonts w:ascii="宋体" w:hAnsi="宋体"/>
          <w:color w:val="auto"/>
          <w:szCs w:val="21"/>
          <w:highlight w:val="none"/>
        </w:rPr>
      </w:pPr>
      <w:r>
        <w:rPr>
          <w:rFonts w:hint="eastAsia" w:ascii="宋体" w:hAnsi="宋体"/>
          <w:color w:val="auto"/>
          <w:szCs w:val="21"/>
          <w:highlight w:val="none"/>
        </w:rPr>
        <w:t>年月日</w:t>
      </w:r>
    </w:p>
    <w:p w14:paraId="69ED1BF5">
      <w:pPr>
        <w:pStyle w:val="61"/>
        <w:spacing w:line="440" w:lineRule="exact"/>
        <w:rPr>
          <w:rFonts w:ascii="宋体" w:hAnsi="宋体"/>
          <w:b/>
          <w:color w:val="auto"/>
          <w:szCs w:val="21"/>
          <w:highlight w:val="none"/>
        </w:rPr>
      </w:pPr>
      <w:bookmarkStart w:id="1026" w:name="_Toc296944572"/>
      <w:bookmarkStart w:id="1027" w:name="_Toc296347232"/>
      <w:bookmarkStart w:id="1028" w:name="_Toc296346734"/>
      <w:bookmarkStart w:id="1029" w:name="_Toc296503233"/>
      <w:bookmarkStart w:id="1030" w:name="_Toc296891061"/>
      <w:bookmarkStart w:id="1031" w:name="_Toc296891273"/>
      <w:r>
        <w:rPr>
          <w:rFonts w:hint="eastAsia" w:ascii="宋体" w:hAnsi="宋体"/>
          <w:b/>
          <w:color w:val="auto"/>
          <w:szCs w:val="21"/>
          <w:highlight w:val="none"/>
        </w:rPr>
        <w:br w:type="page"/>
      </w:r>
      <w:r>
        <w:rPr>
          <w:rFonts w:hint="eastAsia" w:ascii="宋体" w:hAnsi="宋体"/>
          <w:b/>
          <w:bCs/>
          <w:color w:val="auto"/>
          <w:sz w:val="24"/>
          <w:szCs w:val="24"/>
          <w:highlight w:val="none"/>
        </w:rPr>
        <w:t xml:space="preserve">附件10:  </w:t>
      </w:r>
    </w:p>
    <w:bookmarkEnd w:id="1026"/>
    <w:bookmarkEnd w:id="1027"/>
    <w:bookmarkEnd w:id="1028"/>
    <w:bookmarkEnd w:id="1029"/>
    <w:bookmarkEnd w:id="1030"/>
    <w:bookmarkEnd w:id="1031"/>
    <w:p w14:paraId="60F46AE4">
      <w:pPr>
        <w:pStyle w:val="61"/>
        <w:spacing w:before="165" w:after="165" w:line="44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支付担保</w:t>
      </w:r>
    </w:p>
    <w:p w14:paraId="599CA78B">
      <w:pPr>
        <w:pStyle w:val="61"/>
        <w:spacing w:line="440" w:lineRule="exact"/>
        <w:jc w:val="left"/>
        <w:rPr>
          <w:rFonts w:ascii="宋体" w:hAnsi="宋体"/>
          <w:color w:val="auto"/>
          <w:szCs w:val="21"/>
          <w:highlight w:val="none"/>
          <w:u w:val="single"/>
        </w:rPr>
      </w:pPr>
      <w:r>
        <w:rPr>
          <w:rFonts w:hint="eastAsia" w:ascii="宋体" w:hAnsi="宋体"/>
          <w:color w:val="auto"/>
          <w:szCs w:val="21"/>
          <w:highlight w:val="none"/>
        </w:rPr>
        <w:t>（承包人）：</w:t>
      </w:r>
    </w:p>
    <w:p w14:paraId="46DBACD3">
      <w:pPr>
        <w:pStyle w:val="61"/>
        <w:spacing w:line="440" w:lineRule="exact"/>
        <w:jc w:val="left"/>
        <w:rPr>
          <w:rFonts w:ascii="宋体" w:hAnsi="宋体"/>
          <w:color w:val="auto"/>
          <w:szCs w:val="21"/>
          <w:highlight w:val="none"/>
        </w:rPr>
      </w:pPr>
    </w:p>
    <w:p w14:paraId="4CD0BB01">
      <w:pPr>
        <w:pStyle w:val="61"/>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鉴于你方作为承包人已经与（发包人名称）（以下称“发包人”）于年月日签订了（工程名称）《建设工程施工合同》（以下称“主合同”），应发包人的申请，我方愿就发包人履行主合同约定的工程款支付义务以保证的方式向你方提供如下担保：</w:t>
      </w:r>
    </w:p>
    <w:p w14:paraId="2A82AA33">
      <w:pPr>
        <w:pStyle w:val="61"/>
        <w:spacing w:line="440" w:lineRule="exact"/>
        <w:ind w:firstLine="420" w:firstLineChars="200"/>
        <w:jc w:val="left"/>
        <w:outlineLvl w:val="0"/>
        <w:rPr>
          <w:rFonts w:ascii="宋体" w:hAnsi="宋体"/>
          <w:color w:val="auto"/>
          <w:szCs w:val="21"/>
          <w:highlight w:val="none"/>
        </w:rPr>
      </w:pPr>
      <w:bookmarkStart w:id="1032" w:name="_Toc515608942"/>
      <w:bookmarkEnd w:id="1032"/>
      <w:r>
        <w:rPr>
          <w:rFonts w:hint="eastAsia" w:ascii="宋体" w:hAnsi="宋体"/>
          <w:color w:val="auto"/>
          <w:szCs w:val="21"/>
          <w:highlight w:val="none"/>
        </w:rPr>
        <w:t>一、保证的范围及保证金额</w:t>
      </w:r>
    </w:p>
    <w:p w14:paraId="7BEE5937">
      <w:pPr>
        <w:pStyle w:val="61"/>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 我方的保证范围是主合同约定的工程款。</w:t>
      </w:r>
    </w:p>
    <w:p w14:paraId="27D365FC">
      <w:pPr>
        <w:pStyle w:val="61"/>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2. 本保函所称主合同约定的工程款是指主合同约定的除工程质量保证金以外的合同价款。</w:t>
      </w:r>
    </w:p>
    <w:p w14:paraId="0D0A57DD">
      <w:pPr>
        <w:pStyle w:val="61"/>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3. 我方保证的金额是主合同约定的工程款的%，数额最高不超过人民币元（大写：）。</w:t>
      </w:r>
    </w:p>
    <w:p w14:paraId="24453468">
      <w:pPr>
        <w:pStyle w:val="61"/>
        <w:spacing w:line="440" w:lineRule="exact"/>
        <w:ind w:firstLine="420" w:firstLineChars="200"/>
        <w:jc w:val="left"/>
        <w:outlineLvl w:val="0"/>
        <w:rPr>
          <w:rFonts w:ascii="宋体" w:hAnsi="宋体"/>
          <w:color w:val="auto"/>
          <w:szCs w:val="21"/>
          <w:highlight w:val="none"/>
        </w:rPr>
      </w:pPr>
      <w:bookmarkStart w:id="1033" w:name="_Toc515608943"/>
      <w:bookmarkEnd w:id="1033"/>
      <w:r>
        <w:rPr>
          <w:rFonts w:hint="eastAsia" w:ascii="宋体" w:hAnsi="宋体"/>
          <w:color w:val="auto"/>
          <w:szCs w:val="21"/>
          <w:highlight w:val="none"/>
        </w:rPr>
        <w:t>二、保证的方式及保证期间</w:t>
      </w:r>
    </w:p>
    <w:p w14:paraId="638765AD">
      <w:pPr>
        <w:pStyle w:val="61"/>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 我方保证的方式为：连带责任保证。</w:t>
      </w:r>
    </w:p>
    <w:p w14:paraId="329332D6">
      <w:pPr>
        <w:pStyle w:val="61"/>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2. 我方保证的期间为：自本合同生效之日起至主合同约定的工程款支付完毕之日后日内。</w:t>
      </w:r>
    </w:p>
    <w:p w14:paraId="5D7A7406">
      <w:pPr>
        <w:pStyle w:val="61"/>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3. 你方与发包人协议变更工程款支付日期的，经我方书面同意后，保证期间按照变更后的支付日期做相应调整。</w:t>
      </w:r>
    </w:p>
    <w:p w14:paraId="5095224F">
      <w:pPr>
        <w:pStyle w:val="61"/>
        <w:spacing w:line="440" w:lineRule="exact"/>
        <w:ind w:firstLine="420" w:firstLineChars="200"/>
        <w:jc w:val="left"/>
        <w:outlineLvl w:val="0"/>
        <w:rPr>
          <w:rFonts w:ascii="宋体" w:hAnsi="宋体"/>
          <w:color w:val="auto"/>
          <w:szCs w:val="21"/>
          <w:highlight w:val="none"/>
        </w:rPr>
      </w:pPr>
      <w:bookmarkStart w:id="1034" w:name="_Toc515608944"/>
      <w:bookmarkEnd w:id="1034"/>
      <w:r>
        <w:rPr>
          <w:rFonts w:hint="eastAsia" w:ascii="宋体" w:hAnsi="宋体"/>
          <w:color w:val="auto"/>
          <w:szCs w:val="21"/>
          <w:highlight w:val="none"/>
        </w:rPr>
        <w:t>三、承担保证责任的形式</w:t>
      </w:r>
    </w:p>
    <w:p w14:paraId="2209A673">
      <w:pPr>
        <w:pStyle w:val="61"/>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我方承担保证责任的形式是代为支付。发包人未按主合同约定向你方支付工程款的，由我方在保证金额内代为支付。</w:t>
      </w:r>
    </w:p>
    <w:p w14:paraId="7E297BA6">
      <w:pPr>
        <w:pStyle w:val="61"/>
        <w:spacing w:line="440" w:lineRule="exact"/>
        <w:ind w:firstLine="420" w:firstLineChars="200"/>
        <w:jc w:val="left"/>
        <w:outlineLvl w:val="0"/>
        <w:rPr>
          <w:rFonts w:ascii="宋体" w:hAnsi="宋体"/>
          <w:color w:val="auto"/>
          <w:szCs w:val="21"/>
          <w:highlight w:val="none"/>
        </w:rPr>
      </w:pPr>
      <w:bookmarkStart w:id="1035" w:name="_Toc515608945"/>
      <w:bookmarkEnd w:id="1035"/>
      <w:r>
        <w:rPr>
          <w:rFonts w:hint="eastAsia" w:ascii="宋体" w:hAnsi="宋体"/>
          <w:color w:val="auto"/>
          <w:szCs w:val="21"/>
          <w:highlight w:val="none"/>
        </w:rPr>
        <w:t>四、代偿的安排</w:t>
      </w:r>
    </w:p>
    <w:p w14:paraId="128D8A20">
      <w:pPr>
        <w:pStyle w:val="61"/>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 你方要求我方承担保证责任的，应向我方发出书面索赔通知及发包人未支付主合同约定工程款的证明材料。索赔通知应写明要求索赔的金额，支付款项应到达的账号。</w:t>
      </w:r>
    </w:p>
    <w:p w14:paraId="10E0F2C7">
      <w:pPr>
        <w:pStyle w:val="61"/>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73DDBD40">
      <w:pPr>
        <w:pStyle w:val="61"/>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3. 我方收到你方的书面索赔通知及相应的证明材料后７天内无条件支付。</w:t>
      </w:r>
    </w:p>
    <w:p w14:paraId="7DEBD08C">
      <w:pPr>
        <w:pStyle w:val="61"/>
        <w:spacing w:line="440" w:lineRule="exact"/>
        <w:ind w:firstLine="420" w:firstLineChars="200"/>
        <w:jc w:val="left"/>
        <w:outlineLvl w:val="0"/>
        <w:rPr>
          <w:rFonts w:ascii="宋体" w:hAnsi="宋体"/>
          <w:color w:val="auto"/>
          <w:szCs w:val="21"/>
          <w:highlight w:val="none"/>
        </w:rPr>
      </w:pPr>
      <w:bookmarkStart w:id="1036" w:name="_Toc515608946"/>
      <w:bookmarkEnd w:id="1036"/>
      <w:r>
        <w:rPr>
          <w:rFonts w:hint="eastAsia" w:ascii="宋体" w:hAnsi="宋体"/>
          <w:color w:val="auto"/>
          <w:szCs w:val="21"/>
          <w:highlight w:val="none"/>
        </w:rPr>
        <w:t>五、保证责任的解除</w:t>
      </w:r>
    </w:p>
    <w:p w14:paraId="45E472FA">
      <w:pPr>
        <w:pStyle w:val="61"/>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 在本保函承诺的保证期间内，你方未书面向我方主张保证责任的，自保证期间届满次日起，我方保证责任解除。</w:t>
      </w:r>
    </w:p>
    <w:p w14:paraId="6C741B61">
      <w:pPr>
        <w:pStyle w:val="61"/>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2. 发包人按主合同约定履行了工程款的全部支付义务的，自本保函承诺的保证期间届满次日起，我方保证责任解除。</w:t>
      </w:r>
    </w:p>
    <w:p w14:paraId="371DB113">
      <w:pPr>
        <w:pStyle w:val="61"/>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3. 我方按照本保函向你方履行保证责任所支付金额达到本保函保证金额时，自我方向你方支付（支付款项从我方账户划出）之日起，保证责任即解除。</w:t>
      </w:r>
    </w:p>
    <w:p w14:paraId="37E69FDC">
      <w:pPr>
        <w:pStyle w:val="61"/>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4. 按照法律法规的规定或出现应解除我方保证责任的其他情形的，我方在本保函项下的保证责任亦解除。</w:t>
      </w:r>
    </w:p>
    <w:p w14:paraId="41F31C46">
      <w:pPr>
        <w:pStyle w:val="61"/>
        <w:spacing w:line="440" w:lineRule="exact"/>
        <w:jc w:val="left"/>
        <w:rPr>
          <w:rFonts w:ascii="宋体" w:hAnsi="宋体"/>
          <w:color w:val="auto"/>
          <w:szCs w:val="21"/>
          <w:highlight w:val="none"/>
        </w:rPr>
      </w:pPr>
    </w:p>
    <w:p w14:paraId="29B53170">
      <w:pPr>
        <w:pStyle w:val="61"/>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5. 我方解除保证责任后，你方应自我方保证责任解除之日起个工作日内，将本保函原件返还我方。</w:t>
      </w:r>
    </w:p>
    <w:p w14:paraId="342E86D4">
      <w:pPr>
        <w:pStyle w:val="61"/>
        <w:spacing w:line="440" w:lineRule="exact"/>
        <w:ind w:firstLine="420" w:firstLineChars="200"/>
        <w:jc w:val="left"/>
        <w:outlineLvl w:val="0"/>
        <w:rPr>
          <w:rFonts w:ascii="宋体" w:hAnsi="宋体"/>
          <w:color w:val="auto"/>
          <w:szCs w:val="21"/>
          <w:highlight w:val="none"/>
        </w:rPr>
      </w:pPr>
      <w:bookmarkStart w:id="1037" w:name="_Toc515608947"/>
      <w:bookmarkEnd w:id="1037"/>
      <w:r>
        <w:rPr>
          <w:rFonts w:hint="eastAsia" w:ascii="宋体" w:hAnsi="宋体"/>
          <w:color w:val="auto"/>
          <w:szCs w:val="21"/>
          <w:highlight w:val="none"/>
        </w:rPr>
        <w:t>六、免责条款</w:t>
      </w:r>
    </w:p>
    <w:p w14:paraId="1729F4B6">
      <w:pPr>
        <w:pStyle w:val="61"/>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 因你方违约致使发包人不能履行义务的，我方不承担保证责任。</w:t>
      </w:r>
    </w:p>
    <w:p w14:paraId="34220E41">
      <w:pPr>
        <w:pStyle w:val="61"/>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2. 依照法律法规的规定或你方与发包人的另行约定，免除发包人部分或全部义务的，我方亦免除其相应的保证责任。</w:t>
      </w:r>
    </w:p>
    <w:p w14:paraId="1E79E7A1">
      <w:pPr>
        <w:pStyle w:val="61"/>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2C2E82DE">
      <w:pPr>
        <w:pStyle w:val="61"/>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4. 因不可抗力造成发包人不能履行义务的，我方不承担保证责任。</w:t>
      </w:r>
    </w:p>
    <w:p w14:paraId="0BEA55E3">
      <w:pPr>
        <w:pStyle w:val="61"/>
        <w:spacing w:line="440" w:lineRule="exact"/>
        <w:ind w:firstLine="420" w:firstLineChars="200"/>
        <w:jc w:val="left"/>
        <w:outlineLvl w:val="0"/>
        <w:rPr>
          <w:rFonts w:ascii="宋体" w:hAnsi="宋体"/>
          <w:color w:val="auto"/>
          <w:szCs w:val="21"/>
          <w:highlight w:val="none"/>
        </w:rPr>
      </w:pPr>
      <w:bookmarkStart w:id="1038" w:name="_Toc515608948"/>
      <w:bookmarkEnd w:id="1038"/>
      <w:r>
        <w:rPr>
          <w:rFonts w:hint="eastAsia" w:ascii="宋体" w:hAnsi="宋体"/>
          <w:color w:val="auto"/>
          <w:szCs w:val="21"/>
          <w:highlight w:val="none"/>
        </w:rPr>
        <w:t>七、争议解决</w:t>
      </w:r>
    </w:p>
    <w:p w14:paraId="322CF42D">
      <w:pPr>
        <w:pStyle w:val="61"/>
        <w:spacing w:after="120" w:line="440" w:lineRule="exact"/>
        <w:ind w:firstLine="420" w:firstLineChars="200"/>
        <w:rPr>
          <w:rFonts w:ascii="宋体" w:hAnsi="宋体"/>
          <w:color w:val="auto"/>
          <w:szCs w:val="21"/>
          <w:highlight w:val="none"/>
        </w:rPr>
      </w:pPr>
      <w:r>
        <w:rPr>
          <w:rFonts w:hint="eastAsia" w:ascii="宋体" w:hAnsi="宋体"/>
          <w:color w:val="auto"/>
          <w:szCs w:val="21"/>
          <w:highlight w:val="none"/>
        </w:rPr>
        <w:t>因本保函或本保函相关事项发生的纠纷，可由双方协商解决，协商不成的，按下列第种方式解决：</w:t>
      </w:r>
    </w:p>
    <w:p w14:paraId="3A3ADD95">
      <w:pPr>
        <w:pStyle w:val="61"/>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（1）向仲裁委员会申请仲裁；</w:t>
      </w:r>
    </w:p>
    <w:p w14:paraId="44EC0317">
      <w:pPr>
        <w:pStyle w:val="61"/>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（2）向人民法院起诉。</w:t>
      </w:r>
    </w:p>
    <w:p w14:paraId="5A83D36F">
      <w:pPr>
        <w:pStyle w:val="61"/>
        <w:spacing w:line="440" w:lineRule="exact"/>
        <w:ind w:firstLine="420" w:firstLineChars="200"/>
        <w:jc w:val="left"/>
        <w:outlineLvl w:val="0"/>
        <w:rPr>
          <w:rFonts w:ascii="宋体" w:hAnsi="宋体"/>
          <w:color w:val="auto"/>
          <w:szCs w:val="21"/>
          <w:highlight w:val="none"/>
        </w:rPr>
      </w:pPr>
      <w:bookmarkStart w:id="1039" w:name="_Toc515608949"/>
      <w:bookmarkEnd w:id="1039"/>
      <w:r>
        <w:rPr>
          <w:rFonts w:hint="eastAsia" w:ascii="宋体" w:hAnsi="宋体"/>
          <w:color w:val="auto"/>
          <w:szCs w:val="21"/>
          <w:highlight w:val="none"/>
        </w:rPr>
        <w:t>八、保函的生效</w:t>
      </w:r>
    </w:p>
    <w:p w14:paraId="7BE2E416">
      <w:pPr>
        <w:pStyle w:val="61"/>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本保函自我方法定代表人（或其授权代理人）签字并加盖公章之日起生效。</w:t>
      </w:r>
    </w:p>
    <w:p w14:paraId="59F9353E">
      <w:pPr>
        <w:pStyle w:val="61"/>
        <w:spacing w:line="440" w:lineRule="exact"/>
        <w:ind w:right="600"/>
        <w:jc w:val="left"/>
        <w:rPr>
          <w:rFonts w:ascii="宋体" w:hAnsi="宋体"/>
          <w:color w:val="auto"/>
          <w:szCs w:val="21"/>
          <w:highlight w:val="none"/>
        </w:rPr>
      </w:pPr>
    </w:p>
    <w:p w14:paraId="7C5022FD">
      <w:pPr>
        <w:pStyle w:val="61"/>
        <w:spacing w:line="440" w:lineRule="exact"/>
        <w:ind w:right="600" w:firstLine="420" w:firstLineChars="200"/>
        <w:jc w:val="left"/>
        <w:rPr>
          <w:rFonts w:ascii="宋体" w:hAnsi="宋体"/>
          <w:color w:val="auto"/>
          <w:szCs w:val="21"/>
          <w:highlight w:val="none"/>
        </w:rPr>
      </w:pPr>
      <w:r>
        <w:rPr>
          <w:rFonts w:hint="eastAsia" w:ascii="宋体" w:hAnsi="宋体"/>
          <w:color w:val="auto"/>
          <w:szCs w:val="21"/>
          <w:highlight w:val="none"/>
        </w:rPr>
        <w:t>担保人：（盖章）</w:t>
      </w:r>
    </w:p>
    <w:p w14:paraId="5B796AA3">
      <w:pPr>
        <w:pStyle w:val="61"/>
        <w:spacing w:line="440" w:lineRule="exact"/>
        <w:ind w:right="1200" w:firstLine="420" w:firstLineChars="200"/>
        <w:rPr>
          <w:rFonts w:ascii="宋体" w:hAnsi="宋体"/>
          <w:color w:val="auto"/>
          <w:szCs w:val="21"/>
          <w:highlight w:val="none"/>
        </w:rPr>
      </w:pPr>
      <w:r>
        <w:rPr>
          <w:rFonts w:hint="eastAsia" w:ascii="宋体" w:hAnsi="宋体"/>
          <w:color w:val="auto"/>
          <w:szCs w:val="21"/>
          <w:highlight w:val="none"/>
        </w:rPr>
        <w:t>法定代表人或委托代理人：（签字）</w:t>
      </w:r>
    </w:p>
    <w:p w14:paraId="25913E84">
      <w:pPr>
        <w:pStyle w:val="61"/>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    址：</w:t>
      </w:r>
    </w:p>
    <w:p w14:paraId="266155B8">
      <w:pPr>
        <w:pStyle w:val="61"/>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邮政编码：</w:t>
      </w:r>
    </w:p>
    <w:p w14:paraId="6238F888">
      <w:pPr>
        <w:pStyle w:val="61"/>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传    真：</w:t>
      </w:r>
    </w:p>
    <w:p w14:paraId="31B262E0">
      <w:pPr>
        <w:pStyle w:val="61"/>
        <w:spacing w:line="440" w:lineRule="exact"/>
        <w:ind w:right="150" w:firstLine="420" w:firstLineChars="200"/>
        <w:jc w:val="left"/>
        <w:rPr>
          <w:rFonts w:ascii="宋体" w:hAnsi="宋体"/>
          <w:color w:val="auto"/>
          <w:szCs w:val="21"/>
          <w:highlight w:val="none"/>
          <w:u w:val="single"/>
        </w:rPr>
      </w:pPr>
    </w:p>
    <w:p w14:paraId="6533F1F6">
      <w:pPr>
        <w:pStyle w:val="61"/>
        <w:spacing w:line="440" w:lineRule="exact"/>
        <w:ind w:right="150" w:firstLine="420" w:firstLineChars="200"/>
        <w:jc w:val="left"/>
        <w:rPr>
          <w:rFonts w:ascii="宋体" w:hAnsi="宋体"/>
          <w:color w:val="auto"/>
          <w:szCs w:val="21"/>
          <w:highlight w:val="none"/>
        </w:rPr>
      </w:pPr>
      <w:r>
        <w:rPr>
          <w:rFonts w:hint="eastAsia" w:ascii="宋体" w:hAnsi="宋体"/>
          <w:color w:val="auto"/>
          <w:szCs w:val="21"/>
          <w:highlight w:val="none"/>
        </w:rPr>
        <w:t>年月日</w:t>
      </w:r>
    </w:p>
    <w:p w14:paraId="7740E4D2">
      <w:pPr>
        <w:pStyle w:val="26"/>
        <w:rPr>
          <w:color w:val="auto"/>
          <w:highlight w:val="none"/>
        </w:rPr>
      </w:pPr>
    </w:p>
    <w:p w14:paraId="6D187B23">
      <w:pPr>
        <w:pStyle w:val="3"/>
        <w:rPr>
          <w:rFonts w:hint="eastAsia" w:ascii="宋体" w:hAnsi="宋体" w:eastAsia="宋体" w:cs="宋体"/>
          <w:b/>
          <w:bCs/>
          <w:color w:val="auto"/>
          <w:highlight w:val="none"/>
        </w:rPr>
      </w:pPr>
    </w:p>
    <w:p w14:paraId="16711780">
      <w:pPr>
        <w:rPr>
          <w:rFonts w:hint="eastAsia" w:ascii="宋体" w:hAnsi="宋体" w:eastAsia="宋体" w:cs="宋体"/>
          <w:b/>
          <w:bCs/>
          <w:color w:val="auto"/>
          <w:highlight w:val="none"/>
        </w:rPr>
      </w:pPr>
    </w:p>
    <w:p w14:paraId="19D9CA1B">
      <w:pPr>
        <w:pStyle w:val="26"/>
        <w:rPr>
          <w:rFonts w:hint="eastAsia" w:ascii="宋体" w:hAnsi="宋体" w:eastAsia="宋体" w:cs="宋体"/>
          <w:b/>
          <w:bCs/>
          <w:color w:val="auto"/>
          <w:highlight w:val="none"/>
        </w:rPr>
      </w:pPr>
    </w:p>
    <w:p w14:paraId="3DE582EF">
      <w:pPr>
        <w:rPr>
          <w:rFonts w:hint="eastAsia" w:ascii="宋体" w:hAnsi="宋体" w:eastAsia="宋体" w:cs="宋体"/>
          <w:b/>
          <w:bCs/>
          <w:color w:val="auto"/>
          <w:highlight w:val="none"/>
        </w:rPr>
      </w:pPr>
    </w:p>
    <w:p w14:paraId="522B6777">
      <w:pPr>
        <w:pStyle w:val="26"/>
        <w:rPr>
          <w:rFonts w:hint="eastAsia"/>
          <w:color w:val="auto"/>
          <w:highlight w:val="none"/>
        </w:rPr>
      </w:pPr>
    </w:p>
    <w:p w14:paraId="52632F2A">
      <w:pPr>
        <w:pStyle w:val="26"/>
        <w:rPr>
          <w:rFonts w:hint="eastAsia"/>
          <w:color w:val="auto"/>
          <w:highlight w:val="none"/>
        </w:rPr>
      </w:pPr>
    </w:p>
    <w:p w14:paraId="53DEFA86">
      <w:pPr>
        <w:pStyle w:val="3"/>
        <w:rPr>
          <w:rFonts w:ascii="宋体" w:hAnsi="宋体" w:eastAsia="宋体" w:cs="宋体"/>
          <w:b/>
          <w:bCs/>
          <w:color w:val="auto"/>
          <w:highlight w:val="none"/>
        </w:rPr>
      </w:pPr>
      <w:bookmarkStart w:id="1040" w:name="_Toc31448"/>
      <w:r>
        <w:rPr>
          <w:rFonts w:hint="eastAsia" w:ascii="宋体" w:hAnsi="宋体" w:eastAsia="宋体" w:cs="宋体"/>
          <w:b/>
          <w:bCs/>
          <w:color w:val="auto"/>
          <w:highlight w:val="none"/>
        </w:rPr>
        <w:t xml:space="preserve">第三章 </w:t>
      </w:r>
      <w:bookmarkEnd w:id="962"/>
      <w:bookmarkEnd w:id="963"/>
      <w:bookmarkEnd w:id="964"/>
      <w:bookmarkEnd w:id="965"/>
      <w:bookmarkEnd w:id="966"/>
      <w:r>
        <w:rPr>
          <w:rFonts w:hint="eastAsia" w:ascii="宋体" w:hAnsi="宋体" w:eastAsia="宋体" w:cs="宋体"/>
          <w:b/>
          <w:bCs/>
          <w:color w:val="auto"/>
          <w:highlight w:val="none"/>
        </w:rPr>
        <w:t>工程量清单编制及图纸（另册）</w:t>
      </w:r>
      <w:bookmarkEnd w:id="1040"/>
    </w:p>
    <w:bookmarkEnd w:id="967"/>
    <w:bookmarkEnd w:id="968"/>
    <w:bookmarkEnd w:id="969"/>
    <w:bookmarkEnd w:id="970"/>
    <w:p w14:paraId="587DF325">
      <w:pPr>
        <w:pStyle w:val="4"/>
        <w:spacing w:line="420" w:lineRule="exact"/>
        <w:rPr>
          <w:rFonts w:ascii="宋体" w:hAnsi="宋体" w:eastAsia="宋体" w:cs="宋体"/>
          <w:color w:val="auto"/>
          <w:sz w:val="24"/>
          <w:szCs w:val="24"/>
          <w:highlight w:val="none"/>
        </w:rPr>
      </w:pPr>
      <w:bookmarkStart w:id="1041" w:name="_Toc22884"/>
      <w:bookmarkStart w:id="1042" w:name="_Toc47088383"/>
      <w:bookmarkStart w:id="1043" w:name="_Toc499675037"/>
      <w:bookmarkStart w:id="1044" w:name="_Toc75182784"/>
      <w:r>
        <w:rPr>
          <w:rFonts w:hint="eastAsia" w:ascii="宋体" w:hAnsi="宋体" w:eastAsia="宋体" w:cs="宋体"/>
          <w:color w:val="auto"/>
          <w:sz w:val="24"/>
          <w:szCs w:val="24"/>
          <w:highlight w:val="none"/>
        </w:rPr>
        <w:t>1 工程量清单编制说明</w:t>
      </w:r>
      <w:bookmarkEnd w:id="1041"/>
      <w:bookmarkEnd w:id="1042"/>
      <w:bookmarkEnd w:id="1043"/>
      <w:bookmarkEnd w:id="1044"/>
    </w:p>
    <w:p w14:paraId="0B64985A">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本工程量清单依据《建设工程工程量清单计价规范（GB50500-2013）广西实施细则》（以下简称“《计价规范》”）、各专业《工程量清单计算规范（GB505844~50862-2013）》及广西实施细则修订本）（以下简称“《计算规范》”）、</w:t>
      </w:r>
      <w:r>
        <w:rPr>
          <w:rFonts w:hint="eastAsia" w:ascii="宋体" w:hAnsi="宋体" w:cs="宋体"/>
          <w:color w:val="auto"/>
          <w:kern w:val="0"/>
          <w:szCs w:val="21"/>
          <w:highlight w:val="none"/>
        </w:rPr>
        <w:t>《关于建筑业实施营业税改征增值税后广西壮族自治区建设工程计价依据调整的通知》（桂建标〔2016〕17号）</w:t>
      </w:r>
      <w:r>
        <w:rPr>
          <w:rFonts w:hint="eastAsia" w:ascii="宋体" w:hAnsi="宋体" w:cs="宋体"/>
          <w:color w:val="auto"/>
          <w:szCs w:val="21"/>
          <w:highlight w:val="none"/>
        </w:rPr>
        <w:t>、《关于调整建设工程定额人工费及有关费率的通知》桂建标[2018]19号文、桂造价[2019]10号文、竞争性磋商文件、施工图等编制。计算规范中没有的清单项目，应在本章第1.4款约定。</w:t>
      </w:r>
    </w:p>
    <w:p w14:paraId="00742CBA">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 工程量清单应与投标须知、合同协议条款、合同的通用条款、合同专用条款、技术规范及图纸等文件一起结合使用。</w:t>
      </w:r>
    </w:p>
    <w:p w14:paraId="11A62983">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 工程量清单是竞争性磋商文件的组成部分，是工程量清单计价的基础，作为编制采购控制价、投标报价、计算或调整工程量、索赔等的依据之一。</w:t>
      </w:r>
    </w:p>
    <w:p w14:paraId="4CE6241B">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 补充清单项目的特征、计量单位、工程量计算规则及工作内容说明如下：</w:t>
      </w:r>
    </w:p>
    <w:p w14:paraId="7F767498">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w:t>
      </w:r>
    </w:p>
    <w:p w14:paraId="54F6E38A">
      <w:pPr>
        <w:pStyle w:val="21"/>
        <w:spacing w:line="420" w:lineRule="exact"/>
        <w:ind w:firstLine="420" w:firstLineChars="200"/>
        <w:rPr>
          <w:rFonts w:hAnsi="宋体" w:cs="宋体"/>
          <w:color w:val="auto"/>
          <w:szCs w:val="21"/>
          <w:highlight w:val="none"/>
        </w:rPr>
      </w:pPr>
      <w:r>
        <w:rPr>
          <w:rFonts w:hint="eastAsia" w:hAnsi="宋体" w:cs="宋体"/>
          <w:color w:val="auto"/>
          <w:szCs w:val="21"/>
          <w:highlight w:val="none"/>
        </w:rPr>
        <w:t>1.5 《承包人提供的主要材料和设备一览表》（表-22，表格编号为计价规范相应表格编号，下同）作为项目实施过程中材料和设备价格风险调整依据。</w:t>
      </w:r>
    </w:p>
    <w:p w14:paraId="54601413">
      <w:pPr>
        <w:pStyle w:val="21"/>
        <w:spacing w:line="420" w:lineRule="exact"/>
        <w:ind w:firstLine="420" w:firstLineChars="200"/>
        <w:rPr>
          <w:rFonts w:hAnsi="宋体" w:cs="宋体"/>
          <w:color w:val="auto"/>
          <w:szCs w:val="21"/>
          <w:highlight w:val="none"/>
        </w:rPr>
      </w:pPr>
      <w:r>
        <w:rPr>
          <w:rFonts w:hint="eastAsia" w:hAnsi="宋体" w:cs="宋体"/>
          <w:color w:val="auto"/>
          <w:szCs w:val="21"/>
          <w:highlight w:val="none"/>
        </w:rPr>
        <w:t>1.6 本工程暂列金额约按合同造价</w:t>
      </w:r>
      <w:r>
        <w:rPr>
          <w:rFonts w:hint="eastAsia" w:hAnsi="宋体" w:cs="宋体"/>
          <w:color w:val="auto"/>
          <w:szCs w:val="21"/>
          <w:highlight w:val="none"/>
          <w:u w:val="single"/>
        </w:rPr>
        <w:t xml:space="preserve"> 以公布的招标控制价为准</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rPr>
        <w:t>计算，作为合同签订时尚未确定或者不可预见但施工中可能发生的费用。</w:t>
      </w:r>
    </w:p>
    <w:p w14:paraId="5945E542">
      <w:pPr>
        <w:pStyle w:val="21"/>
        <w:spacing w:line="420" w:lineRule="exact"/>
        <w:ind w:firstLine="420" w:firstLineChars="200"/>
        <w:rPr>
          <w:rFonts w:hAnsi="宋体" w:cs="宋体"/>
          <w:color w:val="auto"/>
          <w:szCs w:val="21"/>
          <w:highlight w:val="none"/>
        </w:rPr>
      </w:pPr>
      <w:r>
        <w:rPr>
          <w:rFonts w:hint="eastAsia" w:hAnsi="宋体" w:cs="宋体"/>
          <w:color w:val="auto"/>
          <w:szCs w:val="21"/>
          <w:highlight w:val="none"/>
        </w:rPr>
        <w:t>1.7 本工程发包人提供的材料和设备详见《发包人提供的主要材料和工程设备一览表》（表-21）。</w:t>
      </w:r>
    </w:p>
    <w:p w14:paraId="27CB8239">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 本工程部分材料和设备在招标时作为暂估价计列，结算按实调整，具体内容详见《材料（工程设备）暂估单价及调整表》（表12-2）。</w:t>
      </w:r>
    </w:p>
    <w:p w14:paraId="76637C3A">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 招标时暂估专业工程的价款属于暂估价，结算按实调整，具体内容详见《专业工程暂估价及结算价表》（表12-3）。</w:t>
      </w:r>
    </w:p>
    <w:p w14:paraId="2C44C221">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1.10 本工程量清单编码处标注“*”号的清单项目作为主要清单项目，需要供应商提供</w:t>
      </w:r>
      <w:r>
        <w:rPr>
          <w:rFonts w:hint="eastAsia" w:ascii="宋体" w:hAnsi="宋体" w:cs="宋体"/>
          <w:color w:val="auto"/>
          <w:highlight w:val="none"/>
        </w:rPr>
        <w:t>《主要清单项目工料机分析表》（表-10）</w:t>
      </w:r>
      <w:r>
        <w:rPr>
          <w:rFonts w:hint="eastAsia" w:ascii="宋体" w:hAnsi="宋体" w:cs="宋体"/>
          <w:color w:val="auto"/>
          <w:szCs w:val="21"/>
          <w:highlight w:val="none"/>
        </w:rPr>
        <w:t>。</w:t>
      </w:r>
    </w:p>
    <w:p w14:paraId="5E95F5E4">
      <w:pPr>
        <w:spacing w:line="42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1.11 其它需要说明的问题：</w:t>
      </w:r>
    </w:p>
    <w:p w14:paraId="3CA30478">
      <w:pPr>
        <w:spacing w:line="420" w:lineRule="exact"/>
        <w:rPr>
          <w:rFonts w:ascii="宋体" w:hAnsi="宋体" w:cs="宋体"/>
          <w:color w:val="auto"/>
          <w:szCs w:val="21"/>
          <w:highlight w:val="none"/>
        </w:rPr>
      </w:pP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25F75841">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1.12 工程量清单另册发放。一般计税法建设工程的工程量清单表格按</w:t>
      </w:r>
      <w:r>
        <w:rPr>
          <w:rFonts w:hint="eastAsia" w:ascii="宋体" w:hAnsi="宋体" w:cs="宋体"/>
          <w:color w:val="auto"/>
          <w:kern w:val="0"/>
          <w:szCs w:val="21"/>
          <w:highlight w:val="none"/>
        </w:rPr>
        <w:t>《关于建筑业实施营业税改征增值税后广西壮族自治区建设工程计价依据调整的通知》（桂建标〔2016〕17号）</w:t>
      </w:r>
      <w:r>
        <w:rPr>
          <w:rFonts w:hint="eastAsia" w:ascii="宋体" w:hAnsi="宋体" w:cs="宋体"/>
          <w:color w:val="auto"/>
          <w:szCs w:val="21"/>
          <w:highlight w:val="none"/>
        </w:rPr>
        <w:t>附件“增值税一般计税方法工程计价表”要求提供；简易计税法建设工程按照《计价规范》要求的表格提供，但规费和税费要按照《关于建筑业实施营业税改征增值税后广西壮族自治区建设工程计价依据调整的通知》（桂建标〔2016〕17号）、桂造价[2019]10号文要求调整，具体包括：</w:t>
      </w:r>
    </w:p>
    <w:p w14:paraId="78846814">
      <w:pPr>
        <w:spacing w:line="42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1.1 招标工程量清单（封-1）</w:t>
      </w:r>
    </w:p>
    <w:p w14:paraId="50A62FB2">
      <w:pPr>
        <w:spacing w:line="42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1.2 招标工程量清单（扉-1）</w:t>
      </w:r>
    </w:p>
    <w:p w14:paraId="6BB86E2F">
      <w:pPr>
        <w:spacing w:line="42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1.3 总说明（表-01）</w:t>
      </w:r>
    </w:p>
    <w:p w14:paraId="049C965B">
      <w:pPr>
        <w:spacing w:line="42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1.4 建设项目投标报价汇总表（表-02）</w:t>
      </w:r>
    </w:p>
    <w:p w14:paraId="3AE677DA">
      <w:pPr>
        <w:spacing w:line="42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1.5 单项工程投标报价汇总表（表-03）</w:t>
      </w:r>
    </w:p>
    <w:p w14:paraId="1B995BE6">
      <w:pPr>
        <w:spacing w:line="42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1.6 单位工程投标报价汇总表（表-04）</w:t>
      </w:r>
    </w:p>
    <w:p w14:paraId="5CBDACFA">
      <w:pPr>
        <w:spacing w:line="42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1.7 分部分项工程和单价措施项目清单与计价表（表-08）</w:t>
      </w:r>
    </w:p>
    <w:p w14:paraId="053C2DCF">
      <w:pPr>
        <w:spacing w:line="42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1.8 总价措施项目清单与计价表（表-11）</w:t>
      </w:r>
    </w:p>
    <w:p w14:paraId="725DEACA">
      <w:pPr>
        <w:spacing w:line="42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 xml:space="preserve"> 税前项目清单与计价表（表-14）</w:t>
      </w:r>
    </w:p>
    <w:p w14:paraId="2B5075C3">
      <w:pPr>
        <w:spacing w:line="42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 xml:space="preserve"> 规费、增值税计价表（表-15）</w:t>
      </w:r>
    </w:p>
    <w:p w14:paraId="41300D9E">
      <w:pPr>
        <w:spacing w:line="420" w:lineRule="exact"/>
        <w:ind w:firstLine="630" w:firstLineChars="300"/>
        <w:jc w:val="left"/>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11</w:t>
      </w:r>
      <w:r>
        <w:rPr>
          <w:rFonts w:hint="eastAsia" w:ascii="宋体" w:hAnsi="宋体" w:cs="宋体"/>
          <w:color w:val="auto"/>
          <w:highlight w:val="none"/>
        </w:rPr>
        <w:t xml:space="preserve"> 主要材料</w:t>
      </w:r>
      <w:r>
        <w:rPr>
          <w:rFonts w:hint="eastAsia" w:ascii="宋体" w:hAnsi="宋体" w:cs="宋体"/>
          <w:color w:val="auto"/>
          <w:highlight w:val="none"/>
          <w:lang w:val="en-US" w:eastAsia="zh-CN"/>
        </w:rPr>
        <w:t>及价格</w:t>
      </w:r>
      <w:r>
        <w:rPr>
          <w:rFonts w:hint="eastAsia" w:ascii="宋体" w:hAnsi="宋体" w:cs="宋体"/>
          <w:color w:val="auto"/>
          <w:highlight w:val="none"/>
        </w:rPr>
        <w:t>表</w:t>
      </w:r>
    </w:p>
    <w:p w14:paraId="2E999CCA">
      <w:pPr>
        <w:pStyle w:val="4"/>
        <w:spacing w:line="420" w:lineRule="exact"/>
        <w:rPr>
          <w:rFonts w:ascii="宋体" w:hAnsi="宋体" w:eastAsia="宋体" w:cs="宋体"/>
          <w:color w:val="auto"/>
          <w:sz w:val="24"/>
          <w:szCs w:val="24"/>
          <w:highlight w:val="none"/>
        </w:rPr>
      </w:pPr>
      <w:bookmarkStart w:id="1045" w:name="_Toc9049"/>
      <w:bookmarkStart w:id="1046" w:name="_Toc47088384"/>
      <w:bookmarkStart w:id="1047" w:name="_Toc75182785"/>
      <w:bookmarkStart w:id="1048" w:name="_Toc499675038"/>
      <w:r>
        <w:rPr>
          <w:rFonts w:hint="eastAsia" w:ascii="宋体" w:hAnsi="宋体" w:eastAsia="宋体" w:cs="宋体"/>
          <w:color w:val="auto"/>
          <w:sz w:val="24"/>
          <w:szCs w:val="24"/>
          <w:highlight w:val="none"/>
        </w:rPr>
        <w:t>2 采购控制价编制说明</w:t>
      </w:r>
      <w:bookmarkEnd w:id="1045"/>
      <w:bookmarkEnd w:id="1046"/>
      <w:bookmarkEnd w:id="1047"/>
      <w:bookmarkEnd w:id="1048"/>
    </w:p>
    <w:p w14:paraId="6E67A756">
      <w:pPr>
        <w:spacing w:line="42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.1 采购控制价编制依据：</w:t>
      </w:r>
    </w:p>
    <w:p w14:paraId="18A84B4B">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（1）《计价规范》及《计算规范》、</w:t>
      </w:r>
      <w:r>
        <w:rPr>
          <w:rFonts w:hint="eastAsia" w:ascii="宋体" w:hAnsi="宋体" w:cs="宋体"/>
          <w:color w:val="auto"/>
          <w:kern w:val="0"/>
          <w:szCs w:val="21"/>
          <w:highlight w:val="none"/>
        </w:rPr>
        <w:t>《关于建筑业实施营业税改征增值税后广西壮族自治区建设工程计价依据调整的通知》（桂建标〔2016〕17号）</w:t>
      </w:r>
      <w:r>
        <w:rPr>
          <w:rFonts w:hint="eastAsia" w:ascii="宋体" w:hAnsi="宋体" w:cs="宋体"/>
          <w:color w:val="auto"/>
          <w:szCs w:val="21"/>
          <w:highlight w:val="none"/>
        </w:rPr>
        <w:t>、《关于调整建设工程定额人工费及有关费率的通知》桂建标[2018]19号文、桂造价[2019]10号文；</w:t>
      </w:r>
    </w:p>
    <w:p w14:paraId="7C4A4433">
      <w:pPr>
        <w:spacing w:line="42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（2）自治区住房城乡建设行政主管部门颁发的计价定额及有关规定：</w:t>
      </w:r>
    </w:p>
    <w:p w14:paraId="564BEE62">
      <w:pPr>
        <w:spacing w:line="420" w:lineRule="exact"/>
        <w:rPr>
          <w:rFonts w:ascii="宋体" w:hAnsi="宋体" w:cs="宋体"/>
          <w:color w:val="auto"/>
          <w:szCs w:val="21"/>
          <w:highlight w:val="none"/>
        </w:rPr>
      </w:pP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443A74B9">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（3）建设工程设计文件及相关资料：</w:t>
      </w:r>
      <w:r>
        <w:rPr>
          <w:rFonts w:hint="eastAsia" w:ascii="宋体" w:hAnsi="宋体" w:cs="宋体"/>
          <w:color w:val="auto"/>
          <w:szCs w:val="21"/>
          <w:highlight w:val="none"/>
          <w:u w:val="single"/>
        </w:rPr>
        <w:t>/</w:t>
      </w:r>
      <w:r>
        <w:rPr>
          <w:rFonts w:hint="eastAsia" w:ascii="宋体" w:hAnsi="宋体" w:cs="宋体"/>
          <w:color w:val="auto"/>
          <w:szCs w:val="21"/>
          <w:highlight w:val="none"/>
        </w:rPr>
        <w:t xml:space="preserve">。 </w:t>
      </w:r>
    </w:p>
    <w:p w14:paraId="5ABA3DC0">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（4）本工程竞争性磋商文件及工程量清单；</w:t>
      </w:r>
    </w:p>
    <w:p w14:paraId="5D0E5753">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（5）与建设项目相关的标准、规范、技术资料；</w:t>
      </w:r>
    </w:p>
    <w:p w14:paraId="1D15FD96">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（6）施工现场情况、工程特点及常规施工方案；</w:t>
      </w:r>
    </w:p>
    <w:p w14:paraId="418FAEB7">
      <w:pPr>
        <w:spacing w:line="420" w:lineRule="exact"/>
        <w:ind w:firstLine="420" w:firstLineChars="200"/>
        <w:rPr>
          <w:rFonts w:ascii="宋体" w:hAnsi="宋体" w:cs="宋体"/>
          <w:color w:val="auto"/>
          <w:highlight w:val="none"/>
        </w:rPr>
      </w:pPr>
      <w:r>
        <w:rPr>
          <w:rFonts w:hint="eastAsia" w:ascii="宋体" w:hAnsi="宋体" w:cs="宋体"/>
          <w:color w:val="auto"/>
          <w:highlight w:val="none"/>
        </w:rPr>
        <w:t>（7）材料价格信息：材料价格主要按照</w:t>
      </w:r>
      <w:r>
        <w:rPr>
          <w:rFonts w:hint="eastAsia" w:ascii="宋体" w:hAnsi="宋体" w:cs="宋体"/>
          <w:color w:val="auto"/>
          <w:highlight w:val="none"/>
          <w:lang w:eastAsia="zh-CN"/>
        </w:rPr>
        <w:t>贵港市</w:t>
      </w:r>
      <w:r>
        <w:rPr>
          <w:rFonts w:hint="eastAsia" w:ascii="宋体" w:hAnsi="宋体" w:cs="宋体"/>
          <w:color w:val="auto"/>
          <w:highlight w:val="none"/>
        </w:rPr>
        <w:t>建设工程造价管理机构发布的工程造价信息</w:t>
      </w:r>
      <w:r>
        <w:rPr>
          <w:rFonts w:hint="eastAsia" w:ascii="宋体" w:hAnsi="宋体" w:cs="宋体"/>
          <w:color w:val="auto"/>
          <w:highlight w:val="none"/>
          <w:u w:val="single"/>
        </w:rPr>
        <w:t>按《贵港市建设工程造价信息》2025年第05期含税信息价计价，或市场询价取定进行调整</w:t>
      </w:r>
      <w:r>
        <w:rPr>
          <w:rFonts w:hint="eastAsia" w:ascii="宋体" w:hAnsi="宋体" w:cs="宋体"/>
          <w:color w:val="auto"/>
          <w:highlight w:val="none"/>
        </w:rPr>
        <w:t>。</w:t>
      </w:r>
    </w:p>
    <w:p w14:paraId="673418DA">
      <w:pPr>
        <w:spacing w:line="420" w:lineRule="exact"/>
        <w:ind w:firstLine="420" w:firstLineChars="200"/>
        <w:rPr>
          <w:rFonts w:ascii="宋体" w:hAnsi="宋体" w:cs="宋体"/>
          <w:color w:val="auto"/>
          <w:highlight w:val="none"/>
        </w:rPr>
      </w:pPr>
      <w:r>
        <w:rPr>
          <w:rFonts w:hint="eastAsia" w:ascii="宋体" w:hAnsi="宋体" w:cs="宋体"/>
          <w:color w:val="auto"/>
          <w:highlight w:val="none"/>
        </w:rPr>
        <w:t>2.2 分部分项及单价措施项目综合单价应包括竞争性磋商文件中采购人要求供应商所承担的风险内容及其范围（幅度）产生的风险费用。</w:t>
      </w:r>
    </w:p>
    <w:p w14:paraId="34E68EB7">
      <w:pPr>
        <w:spacing w:line="420" w:lineRule="exact"/>
        <w:ind w:firstLine="420"/>
        <w:rPr>
          <w:rFonts w:ascii="宋体" w:hAnsi="宋体" w:cs="宋体"/>
          <w:color w:val="auto"/>
          <w:szCs w:val="21"/>
          <w:highlight w:val="none"/>
        </w:rPr>
      </w:pPr>
      <w:r>
        <w:rPr>
          <w:rFonts w:hint="eastAsia" w:ascii="宋体" w:hAnsi="宋体" w:cs="宋体"/>
          <w:color w:val="auto"/>
          <w:highlight w:val="none"/>
        </w:rPr>
        <w:t xml:space="preserve">2.3 </w:t>
      </w:r>
      <w:r>
        <w:rPr>
          <w:rFonts w:hint="eastAsia" w:ascii="宋体" w:hAnsi="宋体" w:cs="宋体"/>
          <w:color w:val="auto"/>
          <w:szCs w:val="21"/>
          <w:highlight w:val="none"/>
        </w:rPr>
        <w:t>总价措施项目应根据拟定的竞争性磋商文件和常规施工方案按《计价规范》和《计算规范》规定编制。</w:t>
      </w:r>
    </w:p>
    <w:p w14:paraId="44564A74">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 其他项目费应按下列规定报价：</w:t>
      </w:r>
    </w:p>
    <w:p w14:paraId="1BE8D497">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（1）暂列金额应按招标工程量清单中列出的金额填写；</w:t>
      </w:r>
    </w:p>
    <w:p w14:paraId="7479D7A1">
      <w:pPr>
        <w:pStyle w:val="125"/>
        <w:spacing w:line="420" w:lineRule="exact"/>
        <w:ind w:firstLine="420" w:firstLineChars="200"/>
        <w:rPr>
          <w:rFonts w:ascii="宋体" w:hAnsi="宋体" w:cs="宋体"/>
          <w:color w:val="auto"/>
          <w:highlight w:val="none"/>
        </w:rPr>
      </w:pPr>
      <w:r>
        <w:rPr>
          <w:rFonts w:hint="eastAsia" w:ascii="宋体" w:hAnsi="宋体" w:cs="宋体"/>
          <w:color w:val="auto"/>
          <w:highlight w:val="none"/>
        </w:rPr>
        <w:t>（2）材料、工程设备暂估价应按招标工程量清单中列出的单价计入综合单价；</w:t>
      </w:r>
    </w:p>
    <w:p w14:paraId="19C9DD81">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（3）专业工程暂估价应按招标工程量清单中列出的金额填写；</w:t>
      </w:r>
    </w:p>
    <w:p w14:paraId="5213D5A8">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（4）计日工应按招标工程量清单中列出的项目和数量，根据工程特点和有关计价依据确定的综合单价计算；</w:t>
      </w:r>
    </w:p>
    <w:p w14:paraId="689AC1CE">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（5）总承包服务费应根据招标工程量清单列出的内容和要求，按自治区住房城乡建设行政主管部门颁发的计价定额及有关规定计算。</w:t>
      </w:r>
    </w:p>
    <w:p w14:paraId="07526050">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 规费和增值税应按规定确定，作为不可竞争费用。</w:t>
      </w:r>
    </w:p>
    <w:p w14:paraId="14288048">
      <w:pPr>
        <w:spacing w:line="420" w:lineRule="exact"/>
        <w:rPr>
          <w:rFonts w:ascii="宋体" w:hAnsi="宋体" w:cs="宋体"/>
          <w:color w:val="auto"/>
          <w:highlight w:val="none"/>
        </w:rPr>
      </w:pPr>
      <w:r>
        <w:rPr>
          <w:rFonts w:hint="eastAsia" w:ascii="宋体" w:hAnsi="宋体" w:cs="宋体"/>
          <w:color w:val="auto"/>
          <w:szCs w:val="21"/>
          <w:highlight w:val="none"/>
        </w:rPr>
        <w:t>2.6 其它需要说明的问题：</w:t>
      </w:r>
      <w:r>
        <w:rPr>
          <w:rFonts w:hint="eastAsia" w:ascii="宋体" w:hAnsi="宋体" w:cs="宋体"/>
          <w:color w:val="auto"/>
          <w:highlight w:val="none"/>
          <w:u w:val="single"/>
        </w:rPr>
        <w:t>/</w:t>
      </w:r>
      <w:r>
        <w:rPr>
          <w:rFonts w:hint="eastAsia" w:ascii="宋体" w:hAnsi="宋体" w:cs="宋体"/>
          <w:color w:val="auto"/>
          <w:highlight w:val="none"/>
        </w:rPr>
        <w:t>。</w:t>
      </w:r>
    </w:p>
    <w:p w14:paraId="2251A6B7">
      <w:pPr>
        <w:pStyle w:val="4"/>
        <w:spacing w:line="420" w:lineRule="exact"/>
        <w:rPr>
          <w:rFonts w:ascii="宋体" w:hAnsi="宋体" w:eastAsia="宋体" w:cs="宋体"/>
          <w:color w:val="auto"/>
          <w:sz w:val="24"/>
          <w:szCs w:val="24"/>
          <w:highlight w:val="none"/>
        </w:rPr>
      </w:pPr>
      <w:bookmarkStart w:id="1049" w:name="_Toc47088385"/>
      <w:bookmarkStart w:id="1050" w:name="_Toc75182786"/>
      <w:bookmarkStart w:id="1051" w:name="_Toc17884"/>
      <w:bookmarkStart w:id="1052" w:name="_Toc499675039"/>
      <w:r>
        <w:rPr>
          <w:rFonts w:hint="eastAsia" w:ascii="宋体" w:hAnsi="宋体" w:eastAsia="宋体" w:cs="宋体"/>
          <w:color w:val="auto"/>
          <w:sz w:val="24"/>
          <w:szCs w:val="24"/>
          <w:highlight w:val="none"/>
        </w:rPr>
        <w:t>3. 投标报价（已标价工程量清单）编制说明</w:t>
      </w:r>
      <w:bookmarkEnd w:id="1049"/>
      <w:bookmarkEnd w:id="1050"/>
      <w:bookmarkEnd w:id="1051"/>
      <w:bookmarkEnd w:id="1052"/>
    </w:p>
    <w:p w14:paraId="6B1D4E5A">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 供应商应依据竞争性磋商文件、招标工程量清单以及《计价规范》、《计算规范》自主报价，自主报价不得违反计价规范强制性条文规定。供应商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75278284">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 供应商应按招标工程量清单填报价格。项目编码、项目名称、项目特征、计量单位、工程量必须与招标工程量清单一致，供应商不得对招标工程量清单项目进行增减调整。</w:t>
      </w:r>
    </w:p>
    <w:p w14:paraId="3C7B1A6A">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 综合单价中应包含竞争性磋商文件中划分的应由供应商承担的风险范围及其费用。</w:t>
      </w:r>
    </w:p>
    <w:p w14:paraId="4D9C755F">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 分部分项工程项目和单价措施项目，应根据竞争性磋商文件和招标工程量清单项目中的特征描述确定综合单价计算。如出现招标工程量清单特征描述与设计图纸不符时，供应商应以招标工程量清单的项目特征描述为准，确定投标报价的综合单价。</w:t>
      </w:r>
    </w:p>
    <w:p w14:paraId="3086E12E">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3.5 总价措施项目的金额应根据竞争性磋商文件及投标时拟定的施工组织设计或施工方案，按计价规范的规定自主确定。但安全文明施工费按按国家、省级或行业建设主管部门的有关规定执行，作为不竞争费用单列。</w:t>
      </w:r>
    </w:p>
    <w:p w14:paraId="5F2AF58D">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 其他项目费应按下列规定报价：</w:t>
      </w:r>
    </w:p>
    <w:p w14:paraId="09AC3D10">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（1）暂列金额应按招标工程量清单中列出的金额填写；</w:t>
      </w:r>
    </w:p>
    <w:p w14:paraId="553BF73D">
      <w:pPr>
        <w:pStyle w:val="125"/>
        <w:spacing w:line="420" w:lineRule="exact"/>
        <w:ind w:firstLine="420" w:firstLineChars="200"/>
        <w:rPr>
          <w:rFonts w:ascii="宋体" w:hAnsi="宋体" w:cs="宋体"/>
          <w:color w:val="auto"/>
          <w:highlight w:val="none"/>
        </w:rPr>
      </w:pPr>
      <w:r>
        <w:rPr>
          <w:rFonts w:hint="eastAsia" w:ascii="宋体" w:hAnsi="宋体" w:cs="宋体"/>
          <w:color w:val="auto"/>
          <w:highlight w:val="none"/>
        </w:rPr>
        <w:t>（2）材料、工程设备暂估价应按招标工程量清单中列出的单价计入综合单价；</w:t>
      </w:r>
    </w:p>
    <w:p w14:paraId="57279E92">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（3）专业工程暂估价应按招标工程量清单中列出的金额填写；</w:t>
      </w:r>
    </w:p>
    <w:p w14:paraId="2C1FD4DB">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（4）计日工应按招标工程量清单中列出的项目和估算数量，自主确定综合单价并计算计日工总额；计日工单价均不含规费和税金；</w:t>
      </w:r>
    </w:p>
    <w:p w14:paraId="08A727F4">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（5）总承包服务费应根据招标工程量清单中列出的内容和供应材料、设备情况，按照采购人提出的协调、配合与服务要求和施工现场管理需要自主确定。</w:t>
      </w:r>
    </w:p>
    <w:p w14:paraId="19CF3009">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3.7 规费和增值税应按规定确定，作为不可竞争费用。</w:t>
      </w:r>
    </w:p>
    <w:p w14:paraId="6051E81B">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3.8 招标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14:paraId="0C4E1411">
      <w:pPr>
        <w:spacing w:line="420" w:lineRule="exact"/>
        <w:ind w:firstLine="420" w:firstLineChars="200"/>
        <w:rPr>
          <w:rFonts w:ascii="宋体" w:hAnsi="宋体" w:cs="宋体"/>
          <w:color w:val="auto"/>
          <w:highlight w:val="none"/>
        </w:rPr>
      </w:pPr>
      <w:r>
        <w:rPr>
          <w:rFonts w:hint="eastAsia" w:ascii="宋体" w:hAnsi="宋体" w:cs="宋体"/>
          <w:color w:val="auto"/>
          <w:highlight w:val="none"/>
        </w:rPr>
        <w:t>3.9 投标总价应当与分部分项工程费、措施项目费、其他项目费和规费、增值税的合计金额一致。</w:t>
      </w:r>
    </w:p>
    <w:p w14:paraId="660C1DCC">
      <w:pPr>
        <w:spacing w:line="420" w:lineRule="exact"/>
        <w:ind w:firstLine="420" w:firstLineChars="200"/>
        <w:rPr>
          <w:rFonts w:ascii="宋体" w:hAnsi="宋体" w:cs="宋体"/>
          <w:color w:val="auto"/>
          <w:highlight w:val="none"/>
        </w:rPr>
      </w:pPr>
      <w:r>
        <w:rPr>
          <w:rFonts w:hint="eastAsia" w:ascii="宋体" w:hAnsi="宋体" w:cs="宋体"/>
          <w:color w:val="auto"/>
          <w:highlight w:val="none"/>
        </w:rPr>
        <w:t>3.10 因分部分项工程量清单漏项、设计变更、相关签证引起工程项目、工程量任何变化的，变更合同价款按专用合同条款中变更估价原则处理。</w:t>
      </w:r>
    </w:p>
    <w:p w14:paraId="68A2B779">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3.11 供应商应按《承包人提供的主要材料和设备一览表》的内容填报，不得擅自调整材料和设备名称型号规格、单位、风险系数、基准单价。</w:t>
      </w:r>
    </w:p>
    <w:p w14:paraId="589F5861">
      <w:pPr>
        <w:spacing w:line="420" w:lineRule="exact"/>
        <w:ind w:firstLine="420" w:firstLineChars="200"/>
        <w:rPr>
          <w:rFonts w:ascii="宋体" w:hAnsi="宋体" w:cs="宋体"/>
          <w:color w:val="auto"/>
          <w:highlight w:val="none"/>
        </w:rPr>
      </w:pPr>
      <w:r>
        <w:rPr>
          <w:rFonts w:hint="eastAsia" w:ascii="宋体" w:hAnsi="宋体" w:cs="宋体"/>
          <w:color w:val="auto"/>
          <w:szCs w:val="21"/>
          <w:highlight w:val="none"/>
        </w:rPr>
        <w:t>3.12投标报价表格按本工程工程量清单表格要求填写，并</w:t>
      </w:r>
      <w:r>
        <w:rPr>
          <w:rFonts w:hint="eastAsia" w:ascii="宋体" w:hAnsi="宋体" w:cs="宋体"/>
          <w:color w:val="auto"/>
          <w:highlight w:val="none"/>
        </w:rPr>
        <w:t>应按竞争性磋商文件的要求，附上《工程量清单综合单价分析表》（表-09）。</w:t>
      </w:r>
    </w:p>
    <w:p w14:paraId="215E7280">
      <w:pPr>
        <w:spacing w:line="42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未尽事宜详见本工程招标工程量清单、采购控制价编制说明以及现行《计价规范》等有关规定执行。</w:t>
      </w:r>
    </w:p>
    <w:p w14:paraId="2657A790">
      <w:pPr>
        <w:autoSpaceDE w:val="0"/>
        <w:autoSpaceDN w:val="0"/>
        <w:adjustRightInd w:val="0"/>
        <w:snapToGrid w:val="0"/>
        <w:spacing w:line="340" w:lineRule="exact"/>
        <w:jc w:val="left"/>
        <w:rPr>
          <w:rFonts w:ascii="宋体" w:hAnsi="宋体" w:cs="宋体"/>
          <w:color w:val="auto"/>
          <w:highlight w:val="none"/>
        </w:rPr>
      </w:pPr>
    </w:p>
    <w:p w14:paraId="3FDF6406">
      <w:pPr>
        <w:autoSpaceDE w:val="0"/>
        <w:autoSpaceDN w:val="0"/>
        <w:adjustRightInd w:val="0"/>
        <w:snapToGrid w:val="0"/>
        <w:spacing w:line="340" w:lineRule="exact"/>
        <w:jc w:val="left"/>
        <w:rPr>
          <w:rFonts w:ascii="宋体" w:hAnsi="宋体" w:cs="宋体"/>
          <w:color w:val="auto"/>
          <w:highlight w:val="none"/>
        </w:rPr>
      </w:pPr>
    </w:p>
    <w:p w14:paraId="58BB940D">
      <w:pPr>
        <w:spacing w:line="360" w:lineRule="exact"/>
        <w:ind w:firstLine="411" w:firstLineChars="196"/>
        <w:jc w:val="center"/>
        <w:rPr>
          <w:rFonts w:ascii="宋体" w:hAnsi="宋体" w:cs="宋体"/>
          <w:color w:val="auto"/>
          <w:szCs w:val="21"/>
          <w:highlight w:val="none"/>
          <w:u w:val="single"/>
        </w:rPr>
      </w:pPr>
    </w:p>
    <w:p w14:paraId="73EE6FED">
      <w:pPr>
        <w:spacing w:line="360" w:lineRule="exact"/>
        <w:jc w:val="center"/>
        <w:rPr>
          <w:rFonts w:ascii="宋体" w:hAnsi="宋体" w:cs="宋体"/>
          <w:b/>
          <w:color w:val="auto"/>
          <w:sz w:val="32"/>
          <w:szCs w:val="22"/>
          <w:highlight w:val="none"/>
        </w:rPr>
      </w:pPr>
      <w:r>
        <w:rPr>
          <w:rFonts w:hint="eastAsia" w:ascii="宋体" w:hAnsi="宋体" w:cs="宋体"/>
          <w:b/>
          <w:color w:val="auto"/>
          <w:sz w:val="32"/>
          <w:szCs w:val="22"/>
          <w:highlight w:val="none"/>
        </w:rPr>
        <w:t>4、 图  纸</w:t>
      </w:r>
    </w:p>
    <w:p w14:paraId="54446A4D">
      <w:pPr>
        <w:spacing w:line="360" w:lineRule="exact"/>
        <w:jc w:val="center"/>
        <w:rPr>
          <w:rFonts w:ascii="宋体" w:hAnsi="宋体" w:cs="宋体"/>
          <w:b/>
          <w:color w:val="auto"/>
          <w:sz w:val="32"/>
          <w:szCs w:val="22"/>
          <w:highlight w:val="none"/>
        </w:rPr>
      </w:pPr>
    </w:p>
    <w:p w14:paraId="70F45AE2">
      <w:pPr>
        <w:spacing w:line="360" w:lineRule="exact"/>
        <w:jc w:val="center"/>
        <w:rPr>
          <w:rFonts w:ascii="宋体" w:hAnsi="宋体" w:cs="宋体"/>
          <w:b/>
          <w:color w:val="auto"/>
          <w:sz w:val="32"/>
          <w:szCs w:val="22"/>
          <w:highlight w:val="none"/>
        </w:rPr>
      </w:pPr>
      <w:r>
        <w:rPr>
          <w:rFonts w:hint="eastAsia" w:ascii="宋体" w:hAnsi="宋体" w:cs="宋体"/>
          <w:b/>
          <w:color w:val="auto"/>
          <w:sz w:val="32"/>
          <w:szCs w:val="22"/>
          <w:highlight w:val="none"/>
        </w:rPr>
        <w:t>（</w:t>
      </w:r>
      <w:r>
        <w:rPr>
          <w:rFonts w:hint="eastAsia" w:ascii="宋体" w:hAnsi="宋体" w:cs="宋体"/>
          <w:b/>
          <w:color w:val="auto"/>
          <w:sz w:val="32"/>
          <w:szCs w:val="22"/>
          <w:highlight w:val="none"/>
          <w:lang w:eastAsia="zh-CN"/>
        </w:rPr>
        <w:t>在</w:t>
      </w:r>
      <w:r>
        <w:rPr>
          <w:rFonts w:hint="eastAsia" w:ascii="宋体" w:hAnsi="宋体" w:cs="宋体"/>
          <w:b/>
          <w:color w:val="auto"/>
          <w:sz w:val="32"/>
          <w:szCs w:val="22"/>
          <w:highlight w:val="none"/>
          <w:lang w:val="en-US" w:eastAsia="zh-CN"/>
        </w:rPr>
        <w:t>广西政采云平台获取</w:t>
      </w:r>
      <w:r>
        <w:rPr>
          <w:rFonts w:hint="eastAsia" w:ascii="宋体" w:hAnsi="宋体" w:cs="宋体"/>
          <w:b/>
          <w:color w:val="auto"/>
          <w:sz w:val="32"/>
          <w:szCs w:val="22"/>
          <w:highlight w:val="none"/>
        </w:rPr>
        <w:t>）</w:t>
      </w:r>
    </w:p>
    <w:p w14:paraId="1555BF69">
      <w:pPr>
        <w:pStyle w:val="3"/>
        <w:spacing w:line="520" w:lineRule="exact"/>
        <w:rPr>
          <w:rFonts w:ascii="宋体" w:hAnsi="宋体" w:eastAsia="宋体" w:cs="宋体"/>
          <w:b/>
          <w:color w:val="auto"/>
          <w:kern w:val="0"/>
          <w:highlight w:val="none"/>
        </w:rPr>
      </w:pPr>
      <w:r>
        <w:rPr>
          <w:rFonts w:hint="eastAsia" w:ascii="宋体" w:hAnsi="宋体" w:eastAsia="宋体" w:cs="宋体"/>
          <w:b/>
          <w:color w:val="auto"/>
          <w:kern w:val="0"/>
          <w:highlight w:val="none"/>
        </w:rPr>
        <w:br w:type="page"/>
      </w:r>
      <w:bookmarkStart w:id="1053" w:name="_Toc2466"/>
      <w:r>
        <w:rPr>
          <w:rFonts w:hint="eastAsia" w:ascii="宋体" w:hAnsi="宋体" w:eastAsia="宋体" w:cs="宋体"/>
          <w:b/>
          <w:color w:val="auto"/>
          <w:kern w:val="0"/>
          <w:highlight w:val="none"/>
        </w:rPr>
        <w:t xml:space="preserve">第四章 </w:t>
      </w:r>
      <w:bookmarkEnd w:id="277"/>
      <w:r>
        <w:rPr>
          <w:rFonts w:hint="eastAsia" w:ascii="宋体" w:hAnsi="宋体" w:eastAsia="宋体" w:cs="宋体"/>
          <w:b/>
          <w:color w:val="auto"/>
          <w:kern w:val="0"/>
          <w:highlight w:val="none"/>
        </w:rPr>
        <w:t>磋商响应文件格式</w:t>
      </w:r>
      <w:bookmarkEnd w:id="278"/>
      <w:bookmarkEnd w:id="279"/>
      <w:bookmarkEnd w:id="1053"/>
    </w:p>
    <w:p w14:paraId="12E2A05F">
      <w:pPr>
        <w:jc w:val="center"/>
        <w:rPr>
          <w:rFonts w:ascii="宋体" w:hAnsi="宋体" w:cs="宋体"/>
          <w:color w:val="auto"/>
          <w:highlight w:val="none"/>
        </w:rPr>
      </w:pPr>
      <w:bookmarkStart w:id="1054" w:name="_Toc312957792"/>
      <w:bookmarkStart w:id="1055" w:name="_Toc246303915"/>
      <w:bookmarkStart w:id="1056" w:name="_Toc245915361"/>
      <w:bookmarkStart w:id="1057" w:name="_Toc246693213"/>
      <w:bookmarkStart w:id="1058" w:name="_Toc130105465"/>
      <w:bookmarkStart w:id="1059" w:name="_Toc246259666"/>
      <w:bookmarkStart w:id="1060" w:name="_Toc256259984"/>
    </w:p>
    <w:p w14:paraId="44F817C3">
      <w:pPr>
        <w:jc w:val="center"/>
        <w:rPr>
          <w:rFonts w:ascii="宋体" w:hAnsi="宋体" w:cs="宋体"/>
          <w:color w:val="auto"/>
          <w:kern w:val="0"/>
          <w:sz w:val="32"/>
          <w:szCs w:val="32"/>
          <w:highlight w:val="none"/>
        </w:rPr>
      </w:pPr>
      <w:r>
        <w:rPr>
          <w:rFonts w:hint="eastAsia" w:ascii="宋体" w:hAnsi="宋体" w:cs="宋体"/>
          <w:color w:val="auto"/>
          <w:sz w:val="32"/>
          <w:szCs w:val="32"/>
          <w:highlight w:val="none"/>
        </w:rPr>
        <w:t>磋商响应文件封面格式</w:t>
      </w:r>
    </w:p>
    <w:p w14:paraId="2B434272">
      <w:pPr>
        <w:autoSpaceDE w:val="0"/>
        <w:autoSpaceDN w:val="0"/>
        <w:adjustRightInd w:val="0"/>
        <w:jc w:val="center"/>
        <w:rPr>
          <w:rFonts w:ascii="宋体" w:hAnsi="宋体" w:cs="宋体"/>
          <w:b/>
          <w:color w:val="auto"/>
          <w:kern w:val="0"/>
          <w:sz w:val="36"/>
          <w:highlight w:val="none"/>
        </w:rPr>
      </w:pPr>
    </w:p>
    <w:p w14:paraId="6E9005B5">
      <w:pPr>
        <w:autoSpaceDE w:val="0"/>
        <w:autoSpaceDN w:val="0"/>
        <w:adjustRightInd w:val="0"/>
        <w:jc w:val="center"/>
        <w:rPr>
          <w:rFonts w:ascii="宋体" w:hAnsi="宋体" w:cs="宋体"/>
          <w:b/>
          <w:color w:val="auto"/>
          <w:kern w:val="0"/>
          <w:sz w:val="36"/>
          <w:highlight w:val="none"/>
        </w:rPr>
      </w:pPr>
    </w:p>
    <w:p w14:paraId="480657F6">
      <w:pPr>
        <w:autoSpaceDE w:val="0"/>
        <w:autoSpaceDN w:val="0"/>
        <w:adjustRightInd w:val="0"/>
        <w:jc w:val="center"/>
        <w:outlineLvl w:val="0"/>
        <w:rPr>
          <w:rFonts w:ascii="宋体" w:hAnsi="宋体" w:cs="宋体"/>
          <w:color w:val="auto"/>
          <w:kern w:val="0"/>
          <w:highlight w:val="none"/>
        </w:rPr>
      </w:pPr>
    </w:p>
    <w:p w14:paraId="1C01A212">
      <w:pPr>
        <w:autoSpaceDE w:val="0"/>
        <w:autoSpaceDN w:val="0"/>
        <w:adjustRightInd w:val="0"/>
        <w:jc w:val="center"/>
        <w:outlineLvl w:val="0"/>
        <w:rPr>
          <w:rFonts w:ascii="宋体" w:hAnsi="宋体" w:cs="宋体"/>
          <w:color w:val="auto"/>
          <w:kern w:val="0"/>
          <w:highlight w:val="none"/>
        </w:rPr>
      </w:pPr>
    </w:p>
    <w:p w14:paraId="31DAED21">
      <w:pPr>
        <w:autoSpaceDE w:val="0"/>
        <w:autoSpaceDN w:val="0"/>
        <w:adjustRightInd w:val="0"/>
        <w:ind w:firstLine="1039" w:firstLineChars="199"/>
        <w:jc w:val="center"/>
        <w:rPr>
          <w:rFonts w:ascii="宋体" w:hAnsi="宋体" w:cs="宋体"/>
          <w:color w:val="auto"/>
          <w:kern w:val="0"/>
          <w:sz w:val="52"/>
          <w:szCs w:val="52"/>
          <w:highlight w:val="none"/>
        </w:rPr>
      </w:pPr>
      <w:r>
        <w:rPr>
          <w:rFonts w:hint="eastAsia" w:ascii="宋体" w:hAnsi="宋体" w:cs="宋体"/>
          <w:b/>
          <w:color w:val="auto"/>
          <w:kern w:val="0"/>
          <w:sz w:val="52"/>
          <w:szCs w:val="52"/>
          <w:highlight w:val="none"/>
        </w:rPr>
        <w:t>磋 商 响 应 文 件</w:t>
      </w:r>
    </w:p>
    <w:p w14:paraId="1F80CBC7">
      <w:pPr>
        <w:autoSpaceDE w:val="0"/>
        <w:autoSpaceDN w:val="0"/>
        <w:adjustRightInd w:val="0"/>
        <w:jc w:val="center"/>
        <w:rPr>
          <w:rFonts w:ascii="宋体" w:hAnsi="宋体" w:cs="宋体"/>
          <w:color w:val="auto"/>
          <w:kern w:val="0"/>
          <w:szCs w:val="30"/>
          <w:highlight w:val="none"/>
        </w:rPr>
      </w:pPr>
    </w:p>
    <w:p w14:paraId="4A19D971">
      <w:pPr>
        <w:autoSpaceDE w:val="0"/>
        <w:autoSpaceDN w:val="0"/>
        <w:adjustRightInd w:val="0"/>
        <w:jc w:val="center"/>
        <w:rPr>
          <w:rFonts w:ascii="宋体" w:hAnsi="宋体" w:cs="宋体"/>
          <w:color w:val="auto"/>
          <w:kern w:val="0"/>
          <w:sz w:val="28"/>
          <w:szCs w:val="28"/>
          <w:highlight w:val="none"/>
        </w:rPr>
      </w:pPr>
    </w:p>
    <w:p w14:paraId="336D2E3D">
      <w:pPr>
        <w:autoSpaceDE w:val="0"/>
        <w:autoSpaceDN w:val="0"/>
        <w:adjustRightInd w:val="0"/>
        <w:jc w:val="center"/>
        <w:rPr>
          <w:rFonts w:ascii="宋体" w:hAnsi="宋体" w:cs="宋体"/>
          <w:color w:val="auto"/>
          <w:kern w:val="0"/>
          <w:szCs w:val="30"/>
          <w:highlight w:val="none"/>
        </w:rPr>
      </w:pPr>
    </w:p>
    <w:p w14:paraId="3276F8EB">
      <w:pPr>
        <w:autoSpaceDE w:val="0"/>
        <w:autoSpaceDN w:val="0"/>
        <w:adjustRightInd w:val="0"/>
        <w:jc w:val="center"/>
        <w:rPr>
          <w:rFonts w:ascii="宋体" w:hAnsi="宋体" w:cs="宋体"/>
          <w:color w:val="auto"/>
          <w:kern w:val="0"/>
          <w:szCs w:val="30"/>
          <w:highlight w:val="none"/>
        </w:rPr>
      </w:pPr>
    </w:p>
    <w:p w14:paraId="3117C558">
      <w:pPr>
        <w:autoSpaceDE w:val="0"/>
        <w:autoSpaceDN w:val="0"/>
        <w:adjustRightInd w:val="0"/>
        <w:jc w:val="center"/>
        <w:rPr>
          <w:rFonts w:ascii="宋体" w:hAnsi="宋体" w:cs="宋体"/>
          <w:color w:val="auto"/>
          <w:kern w:val="0"/>
          <w:szCs w:val="30"/>
          <w:highlight w:val="none"/>
        </w:rPr>
      </w:pPr>
    </w:p>
    <w:p w14:paraId="66BF4D4C">
      <w:pPr>
        <w:autoSpaceDE w:val="0"/>
        <w:autoSpaceDN w:val="0"/>
        <w:adjustRightInd w:val="0"/>
        <w:rPr>
          <w:rFonts w:ascii="宋体" w:hAnsi="宋体" w:cs="宋体"/>
          <w:color w:val="auto"/>
          <w:kern w:val="0"/>
          <w:szCs w:val="30"/>
          <w:highlight w:val="none"/>
        </w:rPr>
      </w:pPr>
    </w:p>
    <w:p w14:paraId="0493B353">
      <w:pPr>
        <w:autoSpaceDE w:val="0"/>
        <w:autoSpaceDN w:val="0"/>
        <w:adjustRightInd w:val="0"/>
        <w:rPr>
          <w:rFonts w:ascii="宋体" w:hAnsi="宋体" w:cs="宋体"/>
          <w:color w:val="auto"/>
          <w:kern w:val="0"/>
          <w:szCs w:val="30"/>
          <w:highlight w:val="none"/>
        </w:rPr>
      </w:pPr>
    </w:p>
    <w:p w14:paraId="586C8097">
      <w:pPr>
        <w:autoSpaceDE w:val="0"/>
        <w:autoSpaceDN w:val="0"/>
        <w:adjustRightInd w:val="0"/>
        <w:spacing w:line="480" w:lineRule="auto"/>
        <w:ind w:firstLine="1560"/>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项目名称：</w:t>
      </w:r>
    </w:p>
    <w:p w14:paraId="5407C959">
      <w:pPr>
        <w:autoSpaceDE w:val="0"/>
        <w:autoSpaceDN w:val="0"/>
        <w:adjustRightInd w:val="0"/>
        <w:spacing w:line="480" w:lineRule="auto"/>
        <w:ind w:firstLine="1560"/>
        <w:outlineLvl w:val="0"/>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项目编号：</w:t>
      </w:r>
    </w:p>
    <w:p w14:paraId="07486685">
      <w:pPr>
        <w:autoSpaceDE w:val="0"/>
        <w:autoSpaceDN w:val="0"/>
        <w:adjustRightInd w:val="0"/>
        <w:spacing w:line="480" w:lineRule="auto"/>
        <w:ind w:firstLine="1560"/>
        <w:outlineLvl w:val="0"/>
        <w:rPr>
          <w:rFonts w:ascii="宋体" w:hAnsi="宋体" w:cs="宋体"/>
          <w:color w:val="auto"/>
          <w:kern w:val="0"/>
          <w:sz w:val="28"/>
          <w:szCs w:val="28"/>
          <w:highlight w:val="none"/>
        </w:rPr>
      </w:pPr>
      <w:r>
        <w:rPr>
          <w:rFonts w:hint="eastAsia" w:ascii="宋体" w:hAnsi="宋体" w:cs="宋体"/>
          <w:color w:val="auto"/>
          <w:sz w:val="28"/>
          <w:szCs w:val="28"/>
          <w:highlight w:val="none"/>
        </w:rPr>
        <w:t>响应文件内容：</w:t>
      </w:r>
      <w:r>
        <w:rPr>
          <w:rFonts w:hint="eastAsia" w:ascii="宋体" w:hAnsi="宋体" w:cs="宋体"/>
          <w:color w:val="auto"/>
          <w:sz w:val="28"/>
          <w:szCs w:val="28"/>
          <w:highlight w:val="none"/>
          <w:u w:val="single"/>
        </w:rPr>
        <w:t xml:space="preserve"> 价格文件</w:t>
      </w:r>
    </w:p>
    <w:p w14:paraId="15C8247E">
      <w:pPr>
        <w:autoSpaceDE w:val="0"/>
        <w:autoSpaceDN w:val="0"/>
        <w:adjustRightInd w:val="0"/>
        <w:spacing w:line="480" w:lineRule="auto"/>
        <w:ind w:firstLine="1560"/>
        <w:outlineLvl w:val="0"/>
        <w:rPr>
          <w:rFonts w:ascii="宋体" w:hAnsi="宋体" w:cs="宋体"/>
          <w:color w:val="auto"/>
          <w:kern w:val="0"/>
          <w:sz w:val="28"/>
          <w:szCs w:val="28"/>
          <w:highlight w:val="none"/>
        </w:rPr>
      </w:pPr>
      <w:r>
        <w:rPr>
          <w:rFonts w:hint="eastAsia" w:ascii="宋体" w:hAnsi="宋体" w:cs="宋体"/>
          <w:color w:val="auto"/>
          <w:sz w:val="28"/>
          <w:szCs w:val="28"/>
          <w:highlight w:val="none"/>
        </w:rPr>
        <w:t>供应商名称：</w:t>
      </w:r>
      <w:r>
        <w:rPr>
          <w:rFonts w:hint="eastAsia" w:ascii="宋体" w:hAnsi="宋体" w:cs="宋体"/>
          <w:color w:val="auto"/>
          <w:sz w:val="28"/>
          <w:szCs w:val="28"/>
          <w:highlight w:val="none"/>
          <w:u w:val="single"/>
        </w:rPr>
        <w:t xml:space="preserve">  （盖单位公章）           </w:t>
      </w:r>
    </w:p>
    <w:p w14:paraId="288FE01D">
      <w:pPr>
        <w:autoSpaceDE w:val="0"/>
        <w:autoSpaceDN w:val="0"/>
        <w:adjustRightInd w:val="0"/>
        <w:spacing w:line="480" w:lineRule="auto"/>
        <w:ind w:firstLine="1560"/>
        <w:outlineLvl w:val="0"/>
        <w:rPr>
          <w:rFonts w:ascii="宋体" w:hAnsi="宋体" w:cs="宋体"/>
          <w:color w:val="auto"/>
          <w:kern w:val="0"/>
          <w:sz w:val="28"/>
          <w:szCs w:val="28"/>
          <w:highlight w:val="none"/>
        </w:rPr>
      </w:pPr>
      <w:r>
        <w:rPr>
          <w:rFonts w:hint="eastAsia" w:ascii="宋体" w:hAnsi="宋体" w:cs="宋体"/>
          <w:color w:val="auto"/>
          <w:kern w:val="0"/>
          <w:sz w:val="28"/>
          <w:szCs w:val="28"/>
          <w:highlight w:val="none"/>
        </w:rPr>
        <w:t>法定代表人或其委托代理人：</w:t>
      </w:r>
      <w:r>
        <w:rPr>
          <w:rFonts w:hint="eastAsia" w:ascii="宋体" w:hAnsi="宋体" w:cs="宋体"/>
          <w:color w:val="auto"/>
          <w:kern w:val="0"/>
          <w:sz w:val="28"/>
          <w:szCs w:val="28"/>
          <w:highlight w:val="none"/>
          <w:u w:val="single"/>
        </w:rPr>
        <w:t xml:space="preserve">       （签字）      </w:t>
      </w:r>
    </w:p>
    <w:p w14:paraId="2AC06D0D">
      <w:pPr>
        <w:autoSpaceDE w:val="0"/>
        <w:autoSpaceDN w:val="0"/>
        <w:adjustRightInd w:val="0"/>
        <w:spacing w:line="480" w:lineRule="auto"/>
        <w:ind w:firstLine="1680" w:firstLineChars="600"/>
        <w:rPr>
          <w:rFonts w:ascii="宋体" w:hAnsi="宋体" w:cs="宋体"/>
          <w:color w:val="auto"/>
          <w:kern w:val="0"/>
          <w:sz w:val="28"/>
          <w:szCs w:val="28"/>
          <w:highlight w:val="none"/>
        </w:rPr>
      </w:pPr>
      <w:r>
        <w:rPr>
          <w:rFonts w:hint="eastAsia" w:ascii="宋体" w:hAnsi="宋体" w:cs="宋体"/>
          <w:color w:val="auto"/>
          <w:kern w:val="0"/>
          <w:sz w:val="28"/>
          <w:szCs w:val="28"/>
          <w:highlight w:val="none"/>
        </w:rPr>
        <w:t>日      期：年月日</w:t>
      </w:r>
    </w:p>
    <w:p w14:paraId="6519562E">
      <w:pPr>
        <w:pStyle w:val="4"/>
        <w:keepNext w:val="0"/>
        <w:keepLines w:val="0"/>
        <w:adjustRightInd w:val="0"/>
        <w:snapToGrid w:val="0"/>
        <w:spacing w:line="480" w:lineRule="exact"/>
        <w:jc w:val="center"/>
        <w:rPr>
          <w:rFonts w:ascii="宋体" w:hAnsi="宋体" w:eastAsia="宋体" w:cs="宋体"/>
          <w:color w:val="auto"/>
          <w:sz w:val="28"/>
          <w:highlight w:val="none"/>
        </w:rPr>
      </w:pPr>
      <w:r>
        <w:rPr>
          <w:rFonts w:hint="eastAsia" w:ascii="宋体" w:hAnsi="宋体" w:eastAsia="宋体" w:cs="宋体"/>
          <w:color w:val="auto"/>
          <w:sz w:val="28"/>
          <w:highlight w:val="none"/>
        </w:rPr>
        <w:br w:type="page"/>
      </w:r>
      <w:bookmarkStart w:id="1061" w:name="_Toc47088387"/>
      <w:bookmarkStart w:id="1062" w:name="_Toc30482"/>
      <w:bookmarkStart w:id="1063" w:name="_Toc75182788"/>
      <w:bookmarkStart w:id="1064" w:name="_Toc482785099"/>
      <w:r>
        <w:rPr>
          <w:rFonts w:hint="eastAsia" w:ascii="宋体" w:hAnsi="宋体" w:eastAsia="宋体" w:cs="宋体"/>
          <w:color w:val="auto"/>
          <w:sz w:val="28"/>
          <w:highlight w:val="none"/>
        </w:rPr>
        <w:t>目    录</w:t>
      </w:r>
      <w:bookmarkEnd w:id="1061"/>
      <w:bookmarkEnd w:id="1062"/>
      <w:bookmarkEnd w:id="1063"/>
    </w:p>
    <w:p w14:paraId="4C90302A">
      <w:pPr>
        <w:pStyle w:val="4"/>
        <w:keepNext w:val="0"/>
        <w:keepLines w:val="0"/>
        <w:adjustRightInd w:val="0"/>
        <w:snapToGrid w:val="0"/>
        <w:spacing w:line="480" w:lineRule="exact"/>
        <w:jc w:val="center"/>
        <w:rPr>
          <w:rFonts w:ascii="宋体" w:hAnsi="宋体" w:eastAsia="宋体" w:cs="宋体"/>
          <w:color w:val="auto"/>
          <w:sz w:val="28"/>
          <w:highlight w:val="none"/>
        </w:rPr>
      </w:pPr>
      <w:bookmarkStart w:id="1065" w:name="_Toc47088388"/>
      <w:bookmarkStart w:id="1066" w:name="_Toc75182789"/>
      <w:bookmarkStart w:id="1067" w:name="_Toc5225"/>
      <w:r>
        <w:rPr>
          <w:rFonts w:hint="eastAsia" w:ascii="宋体" w:hAnsi="宋体" w:eastAsia="宋体" w:cs="宋体"/>
          <w:color w:val="auto"/>
          <w:sz w:val="28"/>
          <w:highlight w:val="none"/>
        </w:rPr>
        <w:t>（自拟）</w:t>
      </w:r>
      <w:r>
        <w:rPr>
          <w:rFonts w:hint="eastAsia" w:ascii="宋体" w:hAnsi="宋体" w:eastAsia="宋体" w:cs="宋体"/>
          <w:color w:val="auto"/>
          <w:sz w:val="28"/>
          <w:highlight w:val="none"/>
        </w:rPr>
        <w:br w:type="page"/>
      </w:r>
      <w:bookmarkEnd w:id="1054"/>
      <w:bookmarkEnd w:id="1055"/>
      <w:bookmarkEnd w:id="1056"/>
      <w:bookmarkEnd w:id="1057"/>
      <w:bookmarkEnd w:id="1058"/>
      <w:bookmarkEnd w:id="1059"/>
      <w:bookmarkEnd w:id="1060"/>
      <w:bookmarkEnd w:id="1064"/>
      <w:bookmarkStart w:id="1068" w:name="_Toc75182790"/>
      <w:r>
        <w:rPr>
          <w:rFonts w:hint="eastAsia" w:ascii="宋体" w:hAnsi="宋体" w:eastAsia="宋体" w:cs="宋体"/>
          <w:color w:val="auto"/>
          <w:sz w:val="28"/>
          <w:highlight w:val="none"/>
        </w:rPr>
        <w:t>1、磋商函（格 式）</w:t>
      </w:r>
      <w:bookmarkEnd w:id="1065"/>
      <w:bookmarkEnd w:id="1066"/>
      <w:bookmarkEnd w:id="1067"/>
      <w:bookmarkEnd w:id="1068"/>
    </w:p>
    <w:p w14:paraId="718F494F">
      <w:pPr>
        <w:pStyle w:val="21"/>
        <w:adjustRightInd w:val="0"/>
        <w:snapToGrid w:val="0"/>
        <w:spacing w:line="480" w:lineRule="exact"/>
        <w:ind w:firstLine="420"/>
        <w:rPr>
          <w:rFonts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广西睿翼工程咨询有限公司 </w:t>
      </w:r>
      <w:r>
        <w:rPr>
          <w:rFonts w:hint="eastAsia" w:hAnsi="宋体" w:cs="宋体"/>
          <w:color w:val="auto"/>
          <w:highlight w:val="none"/>
        </w:rPr>
        <w:t>(采购代理机构)</w:t>
      </w:r>
    </w:p>
    <w:p w14:paraId="54A331F1">
      <w:pPr>
        <w:pStyle w:val="21"/>
        <w:adjustRightInd w:val="0"/>
        <w:snapToGrid w:val="0"/>
        <w:spacing w:line="480" w:lineRule="exact"/>
        <w:ind w:firstLine="420"/>
        <w:rPr>
          <w:rFonts w:hAnsi="宋体" w:cs="宋体"/>
          <w:color w:val="auto"/>
          <w:highlight w:val="none"/>
        </w:rPr>
      </w:pPr>
      <w:r>
        <w:rPr>
          <w:rFonts w:hint="eastAsia" w:hAnsi="宋体" w:cs="宋体"/>
          <w:color w:val="auto"/>
          <w:highlight w:val="none"/>
        </w:rPr>
        <w:t>根据贵方</w:t>
      </w:r>
      <w:r>
        <w:rPr>
          <w:rFonts w:hint="eastAsia" w:hAnsi="宋体" w:cs="宋体"/>
          <w:b/>
          <w:color w:val="auto"/>
          <w:szCs w:val="21"/>
          <w:highlight w:val="none"/>
          <w:u w:val="single"/>
        </w:rPr>
        <w:t xml:space="preserve">    （项目名称）   </w:t>
      </w:r>
      <w:r>
        <w:rPr>
          <w:rFonts w:hint="eastAsia" w:hAnsi="宋体" w:cs="宋体"/>
          <w:color w:val="auto"/>
          <w:highlight w:val="none"/>
        </w:rPr>
        <w:t>项目的竞争性磋商文件要求，正式授权下述签字人（姓名和职务）代表（ 磋商供应商名称 ），提交响应文件。</w:t>
      </w:r>
    </w:p>
    <w:p w14:paraId="16446E9F">
      <w:pPr>
        <w:pStyle w:val="21"/>
        <w:adjustRightInd w:val="0"/>
        <w:snapToGrid w:val="0"/>
        <w:spacing w:line="480" w:lineRule="exact"/>
        <w:ind w:firstLine="420"/>
        <w:rPr>
          <w:rFonts w:hAnsi="宋体" w:cs="宋体"/>
          <w:color w:val="auto"/>
          <w:highlight w:val="none"/>
        </w:rPr>
      </w:pPr>
      <w:r>
        <w:rPr>
          <w:rFonts w:hint="eastAsia" w:hAnsi="宋体" w:cs="宋体"/>
          <w:color w:val="auto"/>
          <w:highlight w:val="none"/>
        </w:rPr>
        <w:t>据此函，签字人宣布同意如下：</w:t>
      </w:r>
    </w:p>
    <w:p w14:paraId="305EEFB8">
      <w:pPr>
        <w:pStyle w:val="21"/>
        <w:tabs>
          <w:tab w:val="left" w:pos="780"/>
        </w:tabs>
        <w:adjustRightInd w:val="0"/>
        <w:snapToGrid w:val="0"/>
        <w:spacing w:line="480" w:lineRule="exact"/>
        <w:ind w:left="720"/>
        <w:rPr>
          <w:rFonts w:hAnsi="宋体" w:cs="宋体"/>
          <w:color w:val="auto"/>
          <w:highlight w:val="none"/>
        </w:rPr>
      </w:pPr>
      <w:r>
        <w:rPr>
          <w:rFonts w:hint="eastAsia" w:hAnsi="宋体" w:cs="宋体"/>
          <w:color w:val="auto"/>
          <w:highlight w:val="none"/>
        </w:rPr>
        <w:t>按竞争性磋商文件中的磋商须知、合同条件、图纸和其他有关资料要求，我方报价如下：</w:t>
      </w:r>
    </w:p>
    <w:p w14:paraId="08040E80">
      <w:pPr>
        <w:pStyle w:val="21"/>
        <w:adjustRightInd w:val="0"/>
        <w:snapToGrid w:val="0"/>
        <w:spacing w:line="480" w:lineRule="exact"/>
        <w:ind w:left="420"/>
        <w:rPr>
          <w:rFonts w:hint="eastAsia" w:hAnsi="宋体" w:eastAsia="宋体" w:cs="宋体"/>
          <w:color w:val="auto"/>
          <w:highlight w:val="none"/>
          <w:lang w:eastAsia="zh-CN"/>
        </w:rPr>
      </w:pPr>
      <w:r>
        <w:rPr>
          <w:rFonts w:hint="eastAsia" w:hAnsi="宋体" w:cs="宋体"/>
          <w:color w:val="auto"/>
          <w:highlight w:val="none"/>
        </w:rPr>
        <w:t>报价：（大写）</w:t>
      </w:r>
      <w:r>
        <w:rPr>
          <w:rFonts w:hint="eastAsia" w:hAnsi="宋体" w:cs="宋体"/>
          <w:b/>
          <w:color w:val="auto"/>
          <w:szCs w:val="21"/>
          <w:highlight w:val="none"/>
          <w:u w:val="single"/>
        </w:rPr>
        <w:t xml:space="preserve">   </w:t>
      </w:r>
      <w:r>
        <w:rPr>
          <w:rFonts w:hint="eastAsia" w:hAnsi="宋体" w:cs="宋体"/>
          <w:b/>
          <w:color w:val="auto"/>
          <w:szCs w:val="21"/>
          <w:highlight w:val="none"/>
          <w:u w:val="single"/>
          <w:lang w:val="en-US" w:eastAsia="zh-CN"/>
        </w:rPr>
        <w:t xml:space="preserve">        </w:t>
      </w:r>
      <w:r>
        <w:rPr>
          <w:rFonts w:hint="eastAsia" w:hAnsi="宋体" w:cs="宋体"/>
          <w:b/>
          <w:color w:val="auto"/>
          <w:szCs w:val="21"/>
          <w:highlight w:val="none"/>
          <w:u w:val="single"/>
        </w:rPr>
        <w:t xml:space="preserve"> </w:t>
      </w:r>
      <w:r>
        <w:rPr>
          <w:rFonts w:hint="eastAsia" w:hAnsi="宋体" w:cs="宋体"/>
          <w:color w:val="auto"/>
          <w:highlight w:val="none"/>
        </w:rPr>
        <w:t>元 (￥</w:t>
      </w:r>
      <w:r>
        <w:rPr>
          <w:rFonts w:hint="eastAsia" w:hAnsi="宋体" w:cs="宋体"/>
          <w:b/>
          <w:color w:val="auto"/>
          <w:szCs w:val="21"/>
          <w:highlight w:val="none"/>
          <w:u w:val="single"/>
        </w:rPr>
        <w:t xml:space="preserve"> </w:t>
      </w:r>
      <w:r>
        <w:rPr>
          <w:rFonts w:hint="eastAsia" w:hAnsi="宋体" w:cs="宋体"/>
          <w:b/>
          <w:color w:val="auto"/>
          <w:szCs w:val="21"/>
          <w:highlight w:val="none"/>
          <w:u w:val="single"/>
          <w:lang w:val="en-US" w:eastAsia="zh-CN"/>
        </w:rPr>
        <w:t xml:space="preserve">           </w:t>
      </w:r>
      <w:r>
        <w:rPr>
          <w:rFonts w:hint="eastAsia" w:hAnsi="宋体" w:cs="宋体"/>
          <w:b/>
          <w:color w:val="auto"/>
          <w:szCs w:val="21"/>
          <w:highlight w:val="none"/>
          <w:u w:val="single"/>
        </w:rPr>
        <w:t xml:space="preserve">   </w:t>
      </w:r>
      <w:r>
        <w:rPr>
          <w:rFonts w:hint="eastAsia" w:hAnsi="宋体" w:cs="宋体"/>
          <w:color w:val="auto"/>
          <w:highlight w:val="none"/>
        </w:rPr>
        <w:t>)的总价，承包上述工程的施工、竣工和保修</w:t>
      </w:r>
      <w:r>
        <w:rPr>
          <w:rFonts w:hint="eastAsia" w:hAnsi="宋体" w:cs="宋体"/>
          <w:color w:val="auto"/>
          <w:highlight w:val="none"/>
          <w:lang w:val="en-US" w:eastAsia="zh-CN"/>
        </w:rPr>
        <w:t>；</w:t>
      </w:r>
      <w:r>
        <w:rPr>
          <w:rFonts w:hint="eastAsia" w:hAnsi="宋体" w:cs="宋体"/>
          <w:color w:val="auto"/>
          <w:highlight w:val="none"/>
        </w:rPr>
        <w:t>施工工期</w:t>
      </w:r>
      <w:r>
        <w:rPr>
          <w:rFonts w:hint="eastAsia" w:hAnsi="宋体" w:cs="宋体"/>
          <w:color w:val="auto"/>
          <w:highlight w:val="none"/>
          <w:lang w:val="en-US" w:eastAsia="zh-CN"/>
        </w:rPr>
        <w:t>:</w:t>
      </w:r>
      <w:r>
        <w:rPr>
          <w:rFonts w:hint="eastAsia" w:hAnsi="宋体" w:cs="宋体"/>
          <w:b/>
          <w:color w:val="auto"/>
          <w:szCs w:val="21"/>
          <w:highlight w:val="none"/>
          <w:u w:val="single"/>
        </w:rPr>
        <w:t xml:space="preserve">  </w:t>
      </w:r>
      <w:r>
        <w:rPr>
          <w:rFonts w:hint="eastAsia" w:hAnsi="宋体" w:cs="宋体"/>
          <w:b/>
          <w:color w:val="auto"/>
          <w:szCs w:val="21"/>
          <w:highlight w:val="none"/>
          <w:u w:val="single"/>
          <w:lang w:val="en-US" w:eastAsia="zh-CN"/>
        </w:rPr>
        <w:t xml:space="preserve"> </w:t>
      </w:r>
      <w:r>
        <w:rPr>
          <w:rFonts w:hint="eastAsia" w:hAnsi="宋体" w:cs="宋体"/>
          <w:b/>
          <w:color w:val="auto"/>
          <w:szCs w:val="21"/>
          <w:highlight w:val="none"/>
          <w:u w:val="single"/>
        </w:rPr>
        <w:t xml:space="preserve">  </w:t>
      </w:r>
      <w:r>
        <w:rPr>
          <w:rFonts w:hint="eastAsia" w:hAnsi="宋体" w:cs="宋体"/>
          <w:color w:val="auto"/>
          <w:highlight w:val="none"/>
          <w:lang w:val="en-US" w:eastAsia="zh-CN"/>
        </w:rPr>
        <w:t>；</w:t>
      </w:r>
      <w:r>
        <w:rPr>
          <w:rFonts w:hint="eastAsia" w:hAnsi="宋体" w:cs="宋体"/>
          <w:color w:val="auto"/>
          <w:highlight w:val="none"/>
        </w:rPr>
        <w:t>质量承诺</w:t>
      </w:r>
      <w:r>
        <w:rPr>
          <w:rFonts w:hint="eastAsia" w:hAnsi="宋体" w:cs="宋体"/>
          <w:color w:val="auto"/>
          <w:highlight w:val="none"/>
          <w:lang w:val="en-US" w:eastAsia="zh-CN"/>
        </w:rPr>
        <w:t>:</w:t>
      </w:r>
      <w:r>
        <w:rPr>
          <w:rFonts w:hint="eastAsia" w:hAnsi="宋体" w:cs="宋体"/>
          <w:b/>
          <w:color w:val="auto"/>
          <w:szCs w:val="21"/>
          <w:highlight w:val="none"/>
          <w:u w:val="single"/>
        </w:rPr>
        <w:t xml:space="preserve"> </w:t>
      </w:r>
      <w:r>
        <w:rPr>
          <w:rFonts w:hint="eastAsia" w:hAnsi="宋体" w:cs="宋体"/>
          <w:b/>
          <w:color w:val="auto"/>
          <w:szCs w:val="21"/>
          <w:highlight w:val="none"/>
          <w:u w:val="single"/>
          <w:lang w:val="en-US" w:eastAsia="zh-CN"/>
        </w:rPr>
        <w:t xml:space="preserve">    </w:t>
      </w:r>
      <w:r>
        <w:rPr>
          <w:rFonts w:hint="eastAsia" w:hAnsi="宋体" w:cs="宋体"/>
          <w:b/>
          <w:color w:val="auto"/>
          <w:szCs w:val="21"/>
          <w:highlight w:val="none"/>
          <w:u w:val="single"/>
        </w:rPr>
        <w:t xml:space="preserve">   </w:t>
      </w:r>
      <w:r>
        <w:rPr>
          <w:rFonts w:hint="eastAsia" w:hAnsi="宋体" w:cs="宋体"/>
          <w:color w:val="auto"/>
          <w:highlight w:val="none"/>
          <w:lang w:eastAsia="zh-CN"/>
        </w:rPr>
        <w:t>。</w:t>
      </w:r>
    </w:p>
    <w:p w14:paraId="5639FB6D">
      <w:pPr>
        <w:pStyle w:val="21"/>
        <w:adjustRightInd w:val="0"/>
        <w:snapToGrid w:val="0"/>
        <w:spacing w:line="440" w:lineRule="exact"/>
        <w:ind w:firstLine="420"/>
        <w:rPr>
          <w:rFonts w:hAnsi="宋体" w:cs="宋体"/>
          <w:color w:val="auto"/>
          <w:highlight w:val="none"/>
        </w:rPr>
      </w:pPr>
      <w:r>
        <w:rPr>
          <w:rFonts w:hint="eastAsia" w:hAnsi="宋体" w:cs="宋体"/>
          <w:color w:val="auto"/>
          <w:highlight w:val="none"/>
        </w:rPr>
        <w:t>2、我方同意在磋商供应商须知前附表规定的磋商时间起遵循本磋商响应文件，并在磋商供应商须知前附表规定的磋商有效期满之前均具有约束力，并有可能成交。</w:t>
      </w:r>
    </w:p>
    <w:p w14:paraId="37ECE1BF">
      <w:pPr>
        <w:pStyle w:val="21"/>
        <w:adjustRightInd w:val="0"/>
        <w:snapToGrid w:val="0"/>
        <w:spacing w:line="440" w:lineRule="exact"/>
        <w:ind w:firstLine="420"/>
        <w:rPr>
          <w:rFonts w:hAnsi="宋体" w:cs="宋体"/>
          <w:color w:val="auto"/>
          <w:highlight w:val="none"/>
        </w:rPr>
      </w:pPr>
      <w:r>
        <w:rPr>
          <w:rFonts w:hint="eastAsia" w:hAnsi="宋体" w:cs="宋体"/>
          <w:color w:val="auto"/>
          <w:highlight w:val="none"/>
        </w:rPr>
        <w:t>3、我方承诺已经具备 竞争性磋商文件中规定的参加工程磋商活动的磋商供应商应当具备的条件：</w:t>
      </w:r>
    </w:p>
    <w:p w14:paraId="4FC8AF5B">
      <w:pPr>
        <w:pStyle w:val="21"/>
        <w:adjustRightInd w:val="0"/>
        <w:snapToGrid w:val="0"/>
        <w:spacing w:line="440" w:lineRule="exact"/>
        <w:ind w:left="420"/>
        <w:rPr>
          <w:rFonts w:hAnsi="宋体" w:cs="宋体"/>
          <w:color w:val="auto"/>
          <w:highlight w:val="none"/>
        </w:rPr>
      </w:pPr>
      <w:r>
        <w:rPr>
          <w:rFonts w:hint="eastAsia" w:hAnsi="宋体" w:cs="宋体"/>
          <w:color w:val="auto"/>
          <w:highlight w:val="none"/>
        </w:rPr>
        <w:t>（1）具有独立承担民事责任的能力；</w:t>
      </w:r>
    </w:p>
    <w:p w14:paraId="73EC22D5">
      <w:pPr>
        <w:pStyle w:val="21"/>
        <w:adjustRightInd w:val="0"/>
        <w:snapToGrid w:val="0"/>
        <w:spacing w:line="440" w:lineRule="exact"/>
        <w:ind w:firstLine="420"/>
        <w:rPr>
          <w:rFonts w:hAnsi="宋体" w:cs="宋体"/>
          <w:color w:val="auto"/>
          <w:highlight w:val="none"/>
        </w:rPr>
      </w:pPr>
      <w:r>
        <w:rPr>
          <w:rFonts w:hint="eastAsia" w:hAnsi="宋体" w:cs="宋体"/>
          <w:color w:val="auto"/>
          <w:highlight w:val="none"/>
        </w:rPr>
        <w:t>（2）具有良好的商业信誉和健全的财务会计制度；</w:t>
      </w:r>
    </w:p>
    <w:p w14:paraId="722FF8D8">
      <w:pPr>
        <w:pStyle w:val="21"/>
        <w:adjustRightInd w:val="0"/>
        <w:snapToGrid w:val="0"/>
        <w:spacing w:line="440" w:lineRule="exact"/>
        <w:ind w:firstLine="420"/>
        <w:rPr>
          <w:rFonts w:hAnsi="宋体" w:cs="宋体"/>
          <w:color w:val="auto"/>
          <w:highlight w:val="none"/>
        </w:rPr>
      </w:pPr>
      <w:r>
        <w:rPr>
          <w:rFonts w:hint="eastAsia" w:hAnsi="宋体" w:cs="宋体"/>
          <w:color w:val="auto"/>
          <w:highlight w:val="none"/>
        </w:rPr>
        <w:t>（3）具有履行合同所必需的工程设备和专业技术能力；</w:t>
      </w:r>
    </w:p>
    <w:p w14:paraId="7C4F3D64">
      <w:pPr>
        <w:pStyle w:val="21"/>
        <w:adjustRightInd w:val="0"/>
        <w:snapToGrid w:val="0"/>
        <w:spacing w:line="440" w:lineRule="exact"/>
        <w:ind w:firstLine="420"/>
        <w:rPr>
          <w:rFonts w:hAnsi="宋体" w:cs="宋体"/>
          <w:color w:val="auto"/>
          <w:highlight w:val="none"/>
        </w:rPr>
      </w:pPr>
      <w:r>
        <w:rPr>
          <w:rFonts w:hint="eastAsia" w:hAnsi="宋体" w:cs="宋体"/>
          <w:color w:val="auto"/>
          <w:highlight w:val="none"/>
        </w:rPr>
        <w:t>（4）有依法缴纳税收和社会保障资金的良好记录；</w:t>
      </w:r>
    </w:p>
    <w:p w14:paraId="60994D84">
      <w:pPr>
        <w:pStyle w:val="21"/>
        <w:adjustRightInd w:val="0"/>
        <w:snapToGrid w:val="0"/>
        <w:spacing w:line="440" w:lineRule="exact"/>
        <w:ind w:firstLine="420"/>
        <w:rPr>
          <w:rFonts w:hAnsi="宋体" w:cs="宋体"/>
          <w:color w:val="auto"/>
          <w:highlight w:val="none"/>
        </w:rPr>
      </w:pPr>
      <w:r>
        <w:rPr>
          <w:rFonts w:hint="eastAsia" w:hAnsi="宋体" w:cs="宋体"/>
          <w:color w:val="auto"/>
          <w:highlight w:val="none"/>
        </w:rPr>
        <w:t>（5）参加此项磋商活动前三年内，在经营活动中没有重大违法记录。</w:t>
      </w:r>
    </w:p>
    <w:p w14:paraId="403A4C74">
      <w:pPr>
        <w:pStyle w:val="21"/>
        <w:adjustRightInd w:val="0"/>
        <w:snapToGrid w:val="0"/>
        <w:spacing w:line="440" w:lineRule="exact"/>
        <w:ind w:firstLine="420"/>
        <w:rPr>
          <w:rFonts w:hAnsi="宋体" w:cs="宋体"/>
          <w:color w:val="auto"/>
          <w:highlight w:val="none"/>
        </w:rPr>
      </w:pPr>
      <w:r>
        <w:rPr>
          <w:rFonts w:hint="eastAsia" w:hAnsi="宋体" w:cs="宋体"/>
          <w:color w:val="auto"/>
          <w:highlight w:val="none"/>
        </w:rPr>
        <w:t>4、我方根据竞争性磋商文件的规定，承担完成合同的责任和义务。</w:t>
      </w:r>
    </w:p>
    <w:p w14:paraId="3EFE432C">
      <w:pPr>
        <w:pStyle w:val="21"/>
        <w:adjustRightInd w:val="0"/>
        <w:snapToGrid w:val="0"/>
        <w:spacing w:line="440" w:lineRule="exact"/>
        <w:ind w:firstLine="420"/>
        <w:rPr>
          <w:rFonts w:hAnsi="宋体" w:cs="宋体"/>
          <w:color w:val="auto"/>
          <w:highlight w:val="none"/>
        </w:rPr>
      </w:pPr>
      <w:r>
        <w:rPr>
          <w:rFonts w:hint="eastAsia" w:hAnsi="宋体" w:cs="宋体"/>
          <w:color w:val="auto"/>
          <w:highlight w:val="none"/>
        </w:rPr>
        <w:t>5、我方已详细审核竞争性磋商文件，放弃提出含糊不清或误解问题的权利。</w:t>
      </w:r>
    </w:p>
    <w:p w14:paraId="5A8E57B3">
      <w:pPr>
        <w:pStyle w:val="21"/>
        <w:adjustRightInd w:val="0"/>
        <w:snapToGrid w:val="0"/>
        <w:spacing w:line="440" w:lineRule="exact"/>
        <w:ind w:firstLine="420"/>
        <w:rPr>
          <w:rFonts w:hAnsi="宋体" w:cs="宋体"/>
          <w:color w:val="auto"/>
          <w:highlight w:val="none"/>
        </w:rPr>
      </w:pPr>
      <w:r>
        <w:rPr>
          <w:rFonts w:hint="eastAsia" w:hAnsi="宋体" w:cs="宋体"/>
          <w:color w:val="auto"/>
          <w:highlight w:val="none"/>
        </w:rPr>
        <w:t>6、如果在磋商截止时间后的磋商有效期内撤回磋商或者有其他违约行为，我方的磋商保证金可被贵方全部没收。</w:t>
      </w:r>
    </w:p>
    <w:p w14:paraId="4AD72902">
      <w:pPr>
        <w:pStyle w:val="21"/>
        <w:adjustRightInd w:val="0"/>
        <w:snapToGrid w:val="0"/>
        <w:spacing w:line="440" w:lineRule="exact"/>
        <w:ind w:firstLine="420"/>
        <w:rPr>
          <w:rFonts w:hAnsi="宋体" w:cs="宋体"/>
          <w:color w:val="auto"/>
          <w:highlight w:val="none"/>
        </w:rPr>
      </w:pPr>
      <w:r>
        <w:rPr>
          <w:rFonts w:hint="eastAsia" w:hAnsi="宋体" w:cs="宋体"/>
          <w:color w:val="auto"/>
          <w:highlight w:val="none"/>
        </w:rPr>
        <w:t>7、同意向贵方提供贵方可能要求的与本磋商有关的任何数据或资料。</w:t>
      </w:r>
    </w:p>
    <w:p w14:paraId="611D89BB">
      <w:pPr>
        <w:pStyle w:val="21"/>
        <w:adjustRightInd w:val="0"/>
        <w:snapToGrid w:val="0"/>
        <w:spacing w:line="440" w:lineRule="exact"/>
        <w:ind w:firstLine="420"/>
        <w:rPr>
          <w:rFonts w:hAnsi="宋体" w:cs="宋体"/>
          <w:color w:val="auto"/>
          <w:highlight w:val="none"/>
        </w:rPr>
      </w:pPr>
      <w:r>
        <w:rPr>
          <w:rFonts w:hint="eastAsia" w:hAnsi="宋体" w:cs="宋体"/>
          <w:color w:val="auto"/>
          <w:highlight w:val="none"/>
        </w:rPr>
        <w:t>8、我方完全理解贵方不一定要接受最低报价的磋商供应商为成交单位。</w:t>
      </w:r>
    </w:p>
    <w:p w14:paraId="1F7B71FF">
      <w:pPr>
        <w:pStyle w:val="21"/>
        <w:adjustRightInd w:val="0"/>
        <w:snapToGrid w:val="0"/>
        <w:spacing w:line="440" w:lineRule="exact"/>
        <w:ind w:firstLine="420"/>
        <w:rPr>
          <w:rFonts w:hAnsi="宋体" w:cs="宋体"/>
          <w:color w:val="auto"/>
          <w:highlight w:val="none"/>
        </w:rPr>
      </w:pPr>
      <w:r>
        <w:rPr>
          <w:rFonts w:hint="eastAsia" w:hAnsi="宋体" w:cs="宋体"/>
          <w:color w:val="auto"/>
          <w:highlight w:val="none"/>
        </w:rPr>
        <w:t>9、若贵方需要，我方愿意提供我方作出的一切承诺的证明材料。</w:t>
      </w:r>
    </w:p>
    <w:p w14:paraId="3A830546">
      <w:pPr>
        <w:pStyle w:val="21"/>
        <w:adjustRightInd w:val="0"/>
        <w:snapToGrid w:val="0"/>
        <w:spacing w:line="440" w:lineRule="exact"/>
        <w:ind w:firstLine="420"/>
        <w:rPr>
          <w:rFonts w:hAnsi="宋体" w:cs="宋体"/>
          <w:color w:val="auto"/>
          <w:highlight w:val="none"/>
        </w:rPr>
      </w:pPr>
      <w:r>
        <w:rPr>
          <w:rFonts w:hint="eastAsia" w:hAnsi="宋体" w:cs="宋体"/>
          <w:color w:val="auto"/>
          <w:highlight w:val="none"/>
        </w:rPr>
        <w:t>10、我方将严格遵守《中华人民共和国政府采购法》的有关规定，如有下列违法行为的，将由贵方没收其全部磋商保证金，情节严重的，由工商行政管理机关吊销营业执照；构成犯罪的，依法追究刑事责任：</w:t>
      </w:r>
    </w:p>
    <w:p w14:paraId="38DCC0CA">
      <w:pPr>
        <w:pStyle w:val="21"/>
        <w:adjustRightInd w:val="0"/>
        <w:snapToGrid w:val="0"/>
        <w:spacing w:line="440" w:lineRule="exact"/>
        <w:ind w:left="420"/>
        <w:rPr>
          <w:rFonts w:hAnsi="宋体" w:cs="宋体"/>
          <w:color w:val="auto"/>
          <w:highlight w:val="none"/>
        </w:rPr>
      </w:pPr>
      <w:r>
        <w:rPr>
          <w:rFonts w:hint="eastAsia" w:hAnsi="宋体" w:cs="宋体"/>
          <w:color w:val="auto"/>
          <w:highlight w:val="none"/>
        </w:rPr>
        <w:t>（1）提供虚假材料谋取成交的；</w:t>
      </w:r>
    </w:p>
    <w:p w14:paraId="7FED69D5">
      <w:pPr>
        <w:pStyle w:val="21"/>
        <w:adjustRightInd w:val="0"/>
        <w:snapToGrid w:val="0"/>
        <w:spacing w:line="440" w:lineRule="exact"/>
        <w:ind w:left="420"/>
        <w:rPr>
          <w:rFonts w:hAnsi="宋体" w:cs="宋体"/>
          <w:color w:val="auto"/>
          <w:highlight w:val="none"/>
        </w:rPr>
      </w:pPr>
      <w:r>
        <w:rPr>
          <w:rFonts w:hint="eastAsia" w:hAnsi="宋体" w:cs="宋体"/>
          <w:color w:val="auto"/>
          <w:highlight w:val="none"/>
        </w:rPr>
        <w:t>（2）采取不正当手段诋毁、排挤其他磋商供应商的；</w:t>
      </w:r>
    </w:p>
    <w:p w14:paraId="66BD2BA9">
      <w:pPr>
        <w:pStyle w:val="21"/>
        <w:adjustRightInd w:val="0"/>
        <w:snapToGrid w:val="0"/>
        <w:spacing w:line="440" w:lineRule="exact"/>
        <w:ind w:left="420"/>
        <w:rPr>
          <w:rFonts w:hAnsi="宋体" w:cs="宋体"/>
          <w:color w:val="auto"/>
          <w:highlight w:val="none"/>
        </w:rPr>
      </w:pPr>
      <w:r>
        <w:rPr>
          <w:rFonts w:hint="eastAsia" w:hAnsi="宋体" w:cs="宋体"/>
          <w:color w:val="auto"/>
          <w:highlight w:val="none"/>
        </w:rPr>
        <w:t>（3）与磋商供应商、其他磋商供应商或者磋商代理机构恶意串通的；</w:t>
      </w:r>
    </w:p>
    <w:p w14:paraId="5ED90D5D">
      <w:pPr>
        <w:pStyle w:val="21"/>
        <w:adjustRightInd w:val="0"/>
        <w:snapToGrid w:val="0"/>
        <w:spacing w:line="440" w:lineRule="exact"/>
        <w:ind w:left="420"/>
        <w:rPr>
          <w:rFonts w:hAnsi="宋体" w:cs="宋体"/>
          <w:color w:val="auto"/>
          <w:highlight w:val="none"/>
        </w:rPr>
      </w:pPr>
      <w:r>
        <w:rPr>
          <w:rFonts w:hint="eastAsia" w:hAnsi="宋体" w:cs="宋体"/>
          <w:color w:val="auto"/>
          <w:highlight w:val="none"/>
        </w:rPr>
        <w:t xml:space="preserve">（4）拒绝有关部门监督检查或提供虚假情况的。 </w:t>
      </w:r>
    </w:p>
    <w:p w14:paraId="351D2D07">
      <w:pPr>
        <w:pStyle w:val="21"/>
        <w:adjustRightInd w:val="0"/>
        <w:snapToGrid w:val="0"/>
        <w:spacing w:line="440" w:lineRule="exact"/>
        <w:ind w:firstLine="420"/>
        <w:rPr>
          <w:rFonts w:hAnsi="宋体" w:cs="宋体"/>
          <w:color w:val="auto"/>
          <w:highlight w:val="none"/>
        </w:rPr>
      </w:pPr>
      <w:r>
        <w:rPr>
          <w:rFonts w:hint="eastAsia" w:hAnsi="宋体" w:cs="宋体"/>
          <w:color w:val="auto"/>
          <w:highlight w:val="none"/>
        </w:rPr>
        <w:t>与本磋商有关的正式通讯地址为：</w:t>
      </w:r>
    </w:p>
    <w:p w14:paraId="110D8E98">
      <w:pPr>
        <w:pStyle w:val="21"/>
        <w:adjustRightInd w:val="0"/>
        <w:snapToGrid w:val="0"/>
        <w:spacing w:line="440" w:lineRule="exact"/>
        <w:ind w:firstLine="420"/>
        <w:rPr>
          <w:rFonts w:hAnsi="宋体" w:cs="宋体"/>
          <w:color w:val="auto"/>
          <w:highlight w:val="none"/>
        </w:rPr>
      </w:pPr>
      <w:r>
        <w:rPr>
          <w:rFonts w:hint="eastAsia" w:hAnsi="宋体" w:cs="宋体"/>
          <w:color w:val="auto"/>
          <w:highlight w:val="none"/>
        </w:rPr>
        <w:t>地址：</w:t>
      </w:r>
    </w:p>
    <w:p w14:paraId="57469A18">
      <w:pPr>
        <w:pStyle w:val="21"/>
        <w:adjustRightInd w:val="0"/>
        <w:snapToGrid w:val="0"/>
        <w:spacing w:line="440" w:lineRule="exact"/>
        <w:ind w:firstLine="420"/>
        <w:rPr>
          <w:rFonts w:hAnsi="宋体" w:cs="宋体"/>
          <w:color w:val="auto"/>
          <w:highlight w:val="none"/>
        </w:rPr>
      </w:pPr>
      <w:r>
        <w:rPr>
          <w:rFonts w:hint="eastAsia" w:hAnsi="宋体" w:cs="宋体"/>
          <w:color w:val="auto"/>
          <w:highlight w:val="none"/>
        </w:rPr>
        <w:t>邮政编码：</w:t>
      </w:r>
    </w:p>
    <w:p w14:paraId="15CB7295">
      <w:pPr>
        <w:pStyle w:val="21"/>
        <w:adjustRightInd w:val="0"/>
        <w:snapToGrid w:val="0"/>
        <w:spacing w:line="440" w:lineRule="exact"/>
        <w:ind w:firstLine="420"/>
        <w:rPr>
          <w:rFonts w:hAnsi="宋体" w:cs="宋体"/>
          <w:color w:val="auto"/>
          <w:highlight w:val="none"/>
          <w:u w:val="single"/>
        </w:rPr>
      </w:pPr>
      <w:r>
        <w:rPr>
          <w:rFonts w:hint="eastAsia" w:hAnsi="宋体" w:cs="宋体"/>
          <w:color w:val="auto"/>
          <w:highlight w:val="none"/>
        </w:rPr>
        <w:t>电话、传真：</w:t>
      </w:r>
    </w:p>
    <w:p w14:paraId="679AED71">
      <w:pPr>
        <w:pStyle w:val="21"/>
        <w:adjustRightInd w:val="0"/>
        <w:snapToGrid w:val="0"/>
        <w:spacing w:line="440" w:lineRule="exact"/>
        <w:ind w:firstLine="420" w:firstLineChars="200"/>
        <w:jc w:val="left"/>
        <w:rPr>
          <w:rFonts w:hAnsi="宋体" w:cs="宋体"/>
          <w:color w:val="auto"/>
          <w:highlight w:val="none"/>
        </w:rPr>
      </w:pPr>
      <w:r>
        <w:rPr>
          <w:rFonts w:hint="eastAsia" w:hAnsi="宋体" w:cs="宋体"/>
          <w:color w:val="auto"/>
          <w:kern w:val="0"/>
          <w:highlight w:val="none"/>
        </w:rPr>
        <w:t>法定代表人或授权委托代理人（签字）</w:t>
      </w:r>
      <w:r>
        <w:rPr>
          <w:rFonts w:hint="eastAsia" w:hAnsi="宋体" w:cs="宋体"/>
          <w:color w:val="auto"/>
          <w:highlight w:val="none"/>
        </w:rPr>
        <w:t>：</w:t>
      </w:r>
    </w:p>
    <w:p w14:paraId="18C32687">
      <w:pPr>
        <w:pStyle w:val="21"/>
        <w:adjustRightInd w:val="0"/>
        <w:snapToGrid w:val="0"/>
        <w:spacing w:line="440" w:lineRule="exact"/>
        <w:ind w:firstLine="420"/>
        <w:rPr>
          <w:rFonts w:hAnsi="宋体" w:cs="宋体"/>
          <w:color w:val="auto"/>
          <w:highlight w:val="none"/>
        </w:rPr>
      </w:pPr>
      <w:r>
        <w:rPr>
          <w:rFonts w:hint="eastAsia" w:hAnsi="宋体" w:cs="宋体"/>
          <w:color w:val="auto"/>
          <w:highlight w:val="none"/>
        </w:rPr>
        <w:t>磋商供应商（盖章）：</w:t>
      </w:r>
    </w:p>
    <w:p w14:paraId="3CE8FDE9">
      <w:pPr>
        <w:pStyle w:val="21"/>
        <w:adjustRightInd w:val="0"/>
        <w:snapToGrid w:val="0"/>
        <w:spacing w:line="440" w:lineRule="exact"/>
        <w:ind w:firstLine="420" w:firstLineChars="200"/>
        <w:rPr>
          <w:rFonts w:hAnsi="宋体" w:cs="宋体"/>
          <w:color w:val="auto"/>
          <w:highlight w:val="none"/>
          <w:u w:val="single"/>
        </w:rPr>
      </w:pPr>
      <w:r>
        <w:rPr>
          <w:rFonts w:hint="eastAsia" w:hAnsi="宋体" w:cs="宋体"/>
          <w:color w:val="auto"/>
          <w:highlight w:val="none"/>
        </w:rPr>
        <w:t>日期：</w:t>
      </w:r>
    </w:p>
    <w:p w14:paraId="6B8996F0">
      <w:pPr>
        <w:snapToGrid w:val="0"/>
        <w:spacing w:line="340" w:lineRule="exact"/>
        <w:jc w:val="center"/>
        <w:rPr>
          <w:rFonts w:ascii="宋体" w:hAnsi="宋体" w:cs="宋体"/>
          <w:b/>
          <w:color w:val="auto"/>
          <w:sz w:val="32"/>
          <w:szCs w:val="32"/>
          <w:highlight w:val="none"/>
        </w:rPr>
      </w:pPr>
    </w:p>
    <w:p w14:paraId="714595BA">
      <w:pPr>
        <w:pStyle w:val="150"/>
        <w:spacing w:line="360" w:lineRule="auto"/>
        <w:ind w:left="19" w:right="420" w:hanging="18" w:hangingChars="9"/>
        <w:jc w:val="left"/>
        <w:rPr>
          <w:rFonts w:ascii="宋体" w:hAnsi="宋体" w:cs="宋体"/>
          <w:color w:val="auto"/>
          <w:szCs w:val="21"/>
          <w:highlight w:val="none"/>
        </w:rPr>
      </w:pPr>
    </w:p>
    <w:p w14:paraId="1A0B9C50">
      <w:pPr>
        <w:pStyle w:val="21"/>
        <w:adjustRightInd w:val="0"/>
        <w:snapToGrid w:val="0"/>
        <w:spacing w:line="440" w:lineRule="exact"/>
        <w:ind w:firstLine="420" w:firstLineChars="200"/>
        <w:rPr>
          <w:rFonts w:hAnsi="宋体" w:cs="宋体"/>
          <w:color w:val="auto"/>
          <w:highlight w:val="none"/>
          <w:u w:val="single"/>
        </w:rPr>
      </w:pPr>
    </w:p>
    <w:p w14:paraId="73393C46">
      <w:pPr>
        <w:pStyle w:val="4"/>
        <w:keepNext w:val="0"/>
        <w:keepLines w:val="0"/>
        <w:adjustRightInd w:val="0"/>
        <w:snapToGrid w:val="0"/>
        <w:spacing w:line="480" w:lineRule="exact"/>
        <w:jc w:val="center"/>
        <w:rPr>
          <w:rFonts w:ascii="宋体" w:hAnsi="宋体" w:eastAsia="宋体" w:cs="宋体"/>
          <w:color w:val="auto"/>
          <w:sz w:val="28"/>
          <w:szCs w:val="22"/>
          <w:highlight w:val="none"/>
        </w:rPr>
      </w:pPr>
      <w:bookmarkStart w:id="1069" w:name="_Toc389065357"/>
      <w:bookmarkStart w:id="1070" w:name="_Toc513455298"/>
    </w:p>
    <w:p w14:paraId="4F502B4A">
      <w:pPr>
        <w:pStyle w:val="4"/>
        <w:keepNext w:val="0"/>
        <w:keepLines w:val="0"/>
        <w:adjustRightInd w:val="0"/>
        <w:snapToGrid w:val="0"/>
        <w:spacing w:line="480" w:lineRule="exact"/>
        <w:jc w:val="center"/>
        <w:rPr>
          <w:rFonts w:ascii="宋体" w:hAnsi="宋体" w:eastAsia="宋体" w:cs="宋体"/>
          <w:color w:val="auto"/>
          <w:sz w:val="28"/>
          <w:szCs w:val="22"/>
          <w:highlight w:val="none"/>
        </w:rPr>
      </w:pPr>
    </w:p>
    <w:p w14:paraId="3B23E5D9">
      <w:pPr>
        <w:pStyle w:val="4"/>
        <w:keepNext w:val="0"/>
        <w:keepLines w:val="0"/>
        <w:adjustRightInd w:val="0"/>
        <w:snapToGrid w:val="0"/>
        <w:spacing w:line="480" w:lineRule="exact"/>
        <w:jc w:val="center"/>
        <w:rPr>
          <w:rFonts w:ascii="宋体" w:hAnsi="宋体" w:eastAsia="宋体" w:cs="宋体"/>
          <w:color w:val="auto"/>
          <w:sz w:val="28"/>
          <w:szCs w:val="22"/>
          <w:highlight w:val="none"/>
        </w:rPr>
      </w:pPr>
    </w:p>
    <w:p w14:paraId="233B2A03">
      <w:pPr>
        <w:pStyle w:val="4"/>
        <w:keepNext w:val="0"/>
        <w:keepLines w:val="0"/>
        <w:adjustRightInd w:val="0"/>
        <w:snapToGrid w:val="0"/>
        <w:spacing w:line="480" w:lineRule="exact"/>
        <w:jc w:val="center"/>
        <w:rPr>
          <w:rFonts w:ascii="宋体" w:hAnsi="宋体" w:eastAsia="宋体" w:cs="宋体"/>
          <w:color w:val="auto"/>
          <w:sz w:val="28"/>
          <w:szCs w:val="22"/>
          <w:highlight w:val="none"/>
        </w:rPr>
      </w:pPr>
    </w:p>
    <w:p w14:paraId="5C366568">
      <w:pPr>
        <w:pStyle w:val="4"/>
        <w:keepNext w:val="0"/>
        <w:keepLines w:val="0"/>
        <w:adjustRightInd w:val="0"/>
        <w:snapToGrid w:val="0"/>
        <w:spacing w:line="480" w:lineRule="exact"/>
        <w:jc w:val="center"/>
        <w:rPr>
          <w:rFonts w:ascii="宋体" w:hAnsi="宋体" w:eastAsia="宋体" w:cs="宋体"/>
          <w:color w:val="auto"/>
          <w:sz w:val="28"/>
          <w:szCs w:val="22"/>
          <w:highlight w:val="none"/>
        </w:rPr>
      </w:pPr>
    </w:p>
    <w:p w14:paraId="5A7B01E9">
      <w:pPr>
        <w:pStyle w:val="4"/>
        <w:keepNext w:val="0"/>
        <w:keepLines w:val="0"/>
        <w:adjustRightInd w:val="0"/>
        <w:snapToGrid w:val="0"/>
        <w:spacing w:line="480" w:lineRule="exact"/>
        <w:jc w:val="center"/>
        <w:rPr>
          <w:rFonts w:ascii="宋体" w:hAnsi="宋体" w:eastAsia="宋体" w:cs="宋体"/>
          <w:color w:val="auto"/>
          <w:sz w:val="28"/>
          <w:szCs w:val="22"/>
          <w:highlight w:val="none"/>
        </w:rPr>
      </w:pPr>
    </w:p>
    <w:p w14:paraId="75EBEB1C">
      <w:pPr>
        <w:pStyle w:val="4"/>
        <w:keepNext w:val="0"/>
        <w:keepLines w:val="0"/>
        <w:adjustRightInd w:val="0"/>
        <w:snapToGrid w:val="0"/>
        <w:spacing w:line="480" w:lineRule="exact"/>
        <w:jc w:val="center"/>
        <w:rPr>
          <w:rFonts w:ascii="宋体" w:hAnsi="宋体" w:eastAsia="宋体" w:cs="宋体"/>
          <w:color w:val="auto"/>
          <w:sz w:val="28"/>
          <w:szCs w:val="22"/>
          <w:highlight w:val="none"/>
        </w:rPr>
      </w:pPr>
    </w:p>
    <w:p w14:paraId="07A48495">
      <w:pPr>
        <w:pStyle w:val="4"/>
        <w:keepNext w:val="0"/>
        <w:keepLines w:val="0"/>
        <w:adjustRightInd w:val="0"/>
        <w:snapToGrid w:val="0"/>
        <w:spacing w:line="480" w:lineRule="exact"/>
        <w:jc w:val="center"/>
        <w:rPr>
          <w:rFonts w:ascii="宋体" w:hAnsi="宋体" w:eastAsia="宋体" w:cs="宋体"/>
          <w:color w:val="auto"/>
          <w:sz w:val="28"/>
          <w:szCs w:val="22"/>
          <w:highlight w:val="none"/>
        </w:rPr>
      </w:pPr>
    </w:p>
    <w:p w14:paraId="1EDB8D59">
      <w:pPr>
        <w:pStyle w:val="4"/>
        <w:keepNext w:val="0"/>
        <w:keepLines w:val="0"/>
        <w:adjustRightInd w:val="0"/>
        <w:snapToGrid w:val="0"/>
        <w:spacing w:line="480" w:lineRule="exact"/>
        <w:jc w:val="center"/>
        <w:rPr>
          <w:rFonts w:ascii="宋体" w:hAnsi="宋体" w:eastAsia="宋体" w:cs="宋体"/>
          <w:color w:val="auto"/>
          <w:sz w:val="28"/>
          <w:szCs w:val="22"/>
          <w:highlight w:val="none"/>
        </w:rPr>
      </w:pPr>
    </w:p>
    <w:p w14:paraId="2468773A">
      <w:pPr>
        <w:rPr>
          <w:color w:val="auto"/>
          <w:highlight w:val="none"/>
        </w:rPr>
      </w:pPr>
    </w:p>
    <w:p w14:paraId="3E517B4F">
      <w:pPr>
        <w:pStyle w:val="4"/>
        <w:keepNext w:val="0"/>
        <w:keepLines w:val="0"/>
        <w:adjustRightInd w:val="0"/>
        <w:snapToGrid w:val="0"/>
        <w:spacing w:line="480" w:lineRule="exact"/>
        <w:jc w:val="center"/>
        <w:rPr>
          <w:rFonts w:ascii="宋体" w:hAnsi="宋体" w:eastAsia="宋体" w:cs="宋体"/>
          <w:color w:val="auto"/>
          <w:sz w:val="28"/>
          <w:szCs w:val="22"/>
          <w:highlight w:val="none"/>
        </w:rPr>
      </w:pPr>
    </w:p>
    <w:p w14:paraId="1926E0D7">
      <w:pPr>
        <w:rPr>
          <w:rFonts w:ascii="宋体" w:hAnsi="宋体" w:eastAsia="宋体" w:cs="宋体"/>
          <w:color w:val="auto"/>
          <w:sz w:val="28"/>
          <w:szCs w:val="22"/>
          <w:highlight w:val="none"/>
        </w:rPr>
      </w:pPr>
    </w:p>
    <w:p w14:paraId="7332F385">
      <w:pPr>
        <w:pStyle w:val="26"/>
        <w:rPr>
          <w:rFonts w:ascii="宋体" w:hAnsi="宋体" w:eastAsia="宋体" w:cs="宋体"/>
          <w:color w:val="auto"/>
          <w:sz w:val="28"/>
          <w:szCs w:val="22"/>
          <w:highlight w:val="none"/>
        </w:rPr>
      </w:pPr>
    </w:p>
    <w:p w14:paraId="2EFD726A">
      <w:pPr>
        <w:rPr>
          <w:rFonts w:ascii="宋体" w:hAnsi="宋体" w:eastAsia="宋体" w:cs="宋体"/>
          <w:color w:val="auto"/>
          <w:sz w:val="28"/>
          <w:szCs w:val="22"/>
          <w:highlight w:val="none"/>
        </w:rPr>
      </w:pPr>
    </w:p>
    <w:p w14:paraId="3F585384">
      <w:pPr>
        <w:pStyle w:val="26"/>
        <w:rPr>
          <w:rFonts w:ascii="宋体" w:hAnsi="宋体" w:eastAsia="宋体" w:cs="宋体"/>
          <w:color w:val="auto"/>
          <w:sz w:val="28"/>
          <w:szCs w:val="22"/>
          <w:highlight w:val="none"/>
        </w:rPr>
      </w:pPr>
    </w:p>
    <w:p w14:paraId="6189146A">
      <w:pPr>
        <w:rPr>
          <w:rFonts w:ascii="宋体" w:hAnsi="宋体" w:eastAsia="宋体" w:cs="宋体"/>
          <w:color w:val="auto"/>
          <w:sz w:val="28"/>
          <w:szCs w:val="22"/>
          <w:highlight w:val="none"/>
        </w:rPr>
      </w:pPr>
    </w:p>
    <w:p w14:paraId="53D0C601">
      <w:pPr>
        <w:pStyle w:val="26"/>
        <w:rPr>
          <w:rFonts w:ascii="宋体" w:hAnsi="宋体" w:eastAsia="宋体" w:cs="宋体"/>
          <w:color w:val="auto"/>
          <w:sz w:val="28"/>
          <w:szCs w:val="22"/>
          <w:highlight w:val="none"/>
        </w:rPr>
      </w:pPr>
    </w:p>
    <w:p w14:paraId="489352D5">
      <w:pPr>
        <w:rPr>
          <w:rFonts w:ascii="宋体" w:hAnsi="宋体" w:eastAsia="宋体" w:cs="宋体"/>
          <w:color w:val="auto"/>
          <w:sz w:val="28"/>
          <w:szCs w:val="22"/>
          <w:highlight w:val="none"/>
        </w:rPr>
      </w:pPr>
    </w:p>
    <w:p w14:paraId="1802952D">
      <w:pPr>
        <w:pStyle w:val="26"/>
        <w:rPr>
          <w:color w:val="auto"/>
          <w:highlight w:val="none"/>
        </w:rPr>
      </w:pPr>
    </w:p>
    <w:p w14:paraId="4DFF79FD">
      <w:pPr>
        <w:pStyle w:val="4"/>
        <w:keepNext w:val="0"/>
        <w:keepLines w:val="0"/>
        <w:adjustRightInd w:val="0"/>
        <w:snapToGrid w:val="0"/>
        <w:spacing w:line="480" w:lineRule="exact"/>
        <w:rPr>
          <w:rFonts w:ascii="宋体" w:hAnsi="宋体" w:eastAsia="宋体" w:cs="宋体"/>
          <w:color w:val="auto"/>
          <w:sz w:val="28"/>
          <w:szCs w:val="22"/>
          <w:highlight w:val="none"/>
        </w:rPr>
      </w:pPr>
    </w:p>
    <w:p w14:paraId="2C109D2A">
      <w:pPr>
        <w:rPr>
          <w:rFonts w:ascii="宋体" w:hAnsi="宋体" w:cs="宋体"/>
          <w:color w:val="auto"/>
          <w:sz w:val="28"/>
          <w:szCs w:val="22"/>
          <w:highlight w:val="none"/>
        </w:rPr>
      </w:pPr>
    </w:p>
    <w:p w14:paraId="7F51E39B">
      <w:pPr>
        <w:pStyle w:val="17"/>
        <w:rPr>
          <w:color w:val="auto"/>
          <w:highlight w:val="none"/>
        </w:rPr>
      </w:pPr>
    </w:p>
    <w:p w14:paraId="408211B3">
      <w:pPr>
        <w:pStyle w:val="4"/>
        <w:keepNext w:val="0"/>
        <w:keepLines w:val="0"/>
        <w:adjustRightInd w:val="0"/>
        <w:snapToGrid w:val="0"/>
        <w:spacing w:line="480" w:lineRule="exact"/>
        <w:jc w:val="center"/>
        <w:rPr>
          <w:rFonts w:ascii="宋体" w:hAnsi="宋体" w:eastAsia="宋体" w:cs="宋体"/>
          <w:color w:val="auto"/>
          <w:sz w:val="28"/>
          <w:szCs w:val="22"/>
          <w:highlight w:val="none"/>
        </w:rPr>
      </w:pPr>
    </w:p>
    <w:p w14:paraId="4A94CBA6">
      <w:pPr>
        <w:pStyle w:val="4"/>
        <w:keepNext w:val="0"/>
        <w:keepLines w:val="0"/>
        <w:adjustRightInd w:val="0"/>
        <w:snapToGrid w:val="0"/>
        <w:spacing w:line="480" w:lineRule="exact"/>
        <w:jc w:val="center"/>
        <w:rPr>
          <w:rFonts w:ascii="宋体" w:hAnsi="宋体" w:eastAsia="宋体" w:cs="宋体"/>
          <w:color w:val="auto"/>
          <w:sz w:val="28"/>
          <w:szCs w:val="22"/>
          <w:highlight w:val="none"/>
        </w:rPr>
      </w:pPr>
      <w:bookmarkStart w:id="1071" w:name="_Toc75182791"/>
      <w:bookmarkStart w:id="1072" w:name="_Toc7073"/>
      <w:bookmarkStart w:id="1073" w:name="_Toc47088389"/>
      <w:r>
        <w:rPr>
          <w:rFonts w:hint="eastAsia" w:ascii="宋体" w:hAnsi="宋体" w:eastAsia="宋体" w:cs="宋体"/>
          <w:color w:val="auto"/>
          <w:sz w:val="28"/>
          <w:szCs w:val="22"/>
          <w:highlight w:val="none"/>
        </w:rPr>
        <w:t>磋商函附录</w:t>
      </w:r>
      <w:bookmarkEnd w:id="1069"/>
      <w:bookmarkEnd w:id="1070"/>
      <w:bookmarkEnd w:id="1071"/>
      <w:bookmarkEnd w:id="1072"/>
      <w:bookmarkEnd w:id="1073"/>
    </w:p>
    <w:p w14:paraId="17328CCF">
      <w:pPr>
        <w:pStyle w:val="150"/>
        <w:ind w:firstLine="514" w:firstLineChars="245"/>
        <w:rPr>
          <w:rFonts w:ascii="宋体" w:hAnsi="宋体" w:cs="宋体"/>
          <w:color w:val="auto"/>
          <w:szCs w:val="21"/>
          <w:highlight w:val="none"/>
        </w:rPr>
      </w:pPr>
    </w:p>
    <w:p w14:paraId="3CAACF66">
      <w:pPr>
        <w:pStyle w:val="150"/>
        <w:ind w:firstLine="514" w:firstLineChars="245"/>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项目编号：</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6592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ign w:val="center"/>
          </w:tcPr>
          <w:p w14:paraId="234AFED9">
            <w:pPr>
              <w:pStyle w:val="150"/>
              <w:jc w:val="center"/>
              <w:rPr>
                <w:rFonts w:ascii="宋体" w:hAnsi="宋体" w:cs="宋体"/>
                <w:color w:val="auto"/>
                <w:szCs w:val="21"/>
                <w:highlight w:val="none"/>
              </w:rPr>
            </w:pPr>
            <w:r>
              <w:rPr>
                <w:rFonts w:hint="eastAsia" w:ascii="宋体" w:hAnsi="宋体" w:cs="宋体"/>
                <w:color w:val="auto"/>
                <w:szCs w:val="21"/>
                <w:highlight w:val="none"/>
              </w:rPr>
              <w:t>序 号</w:t>
            </w:r>
          </w:p>
        </w:tc>
        <w:tc>
          <w:tcPr>
            <w:tcW w:w="1985" w:type="dxa"/>
            <w:noWrap/>
            <w:vAlign w:val="center"/>
          </w:tcPr>
          <w:p w14:paraId="3B611A1E">
            <w:pPr>
              <w:pStyle w:val="150"/>
              <w:jc w:val="center"/>
              <w:rPr>
                <w:rFonts w:ascii="宋体" w:hAnsi="宋体" w:cs="宋体"/>
                <w:color w:val="auto"/>
                <w:szCs w:val="21"/>
                <w:highlight w:val="none"/>
              </w:rPr>
            </w:pPr>
            <w:r>
              <w:rPr>
                <w:rFonts w:hint="eastAsia" w:ascii="宋体" w:hAnsi="宋体" w:cs="宋体"/>
                <w:color w:val="auto"/>
                <w:szCs w:val="21"/>
                <w:highlight w:val="none"/>
              </w:rPr>
              <w:t>条款内容</w:t>
            </w:r>
          </w:p>
        </w:tc>
        <w:tc>
          <w:tcPr>
            <w:tcW w:w="2126" w:type="dxa"/>
            <w:noWrap/>
            <w:vAlign w:val="center"/>
          </w:tcPr>
          <w:p w14:paraId="30C88863">
            <w:pPr>
              <w:pStyle w:val="150"/>
              <w:jc w:val="center"/>
              <w:rPr>
                <w:rFonts w:ascii="宋体" w:hAnsi="宋体" w:cs="宋体"/>
                <w:color w:val="auto"/>
                <w:szCs w:val="21"/>
                <w:highlight w:val="none"/>
              </w:rPr>
            </w:pPr>
            <w:r>
              <w:rPr>
                <w:rFonts w:hint="eastAsia" w:ascii="宋体" w:hAnsi="宋体" w:cs="宋体"/>
                <w:color w:val="auto"/>
                <w:szCs w:val="21"/>
                <w:highlight w:val="none"/>
              </w:rPr>
              <w:t>合同条款号</w:t>
            </w:r>
          </w:p>
        </w:tc>
        <w:tc>
          <w:tcPr>
            <w:tcW w:w="1984" w:type="dxa"/>
            <w:noWrap/>
            <w:vAlign w:val="center"/>
          </w:tcPr>
          <w:p w14:paraId="02B80297">
            <w:pPr>
              <w:pStyle w:val="150"/>
              <w:jc w:val="center"/>
              <w:rPr>
                <w:rFonts w:ascii="宋体" w:hAnsi="宋体" w:cs="宋体"/>
                <w:color w:val="auto"/>
                <w:szCs w:val="21"/>
                <w:highlight w:val="none"/>
              </w:rPr>
            </w:pPr>
            <w:r>
              <w:rPr>
                <w:rFonts w:hint="eastAsia" w:ascii="宋体" w:hAnsi="宋体" w:cs="宋体"/>
                <w:color w:val="auto"/>
                <w:szCs w:val="21"/>
                <w:highlight w:val="none"/>
              </w:rPr>
              <w:t>约定内容</w:t>
            </w:r>
          </w:p>
        </w:tc>
        <w:tc>
          <w:tcPr>
            <w:tcW w:w="1843" w:type="dxa"/>
            <w:noWrap/>
            <w:vAlign w:val="center"/>
          </w:tcPr>
          <w:p w14:paraId="6DD74B48">
            <w:pPr>
              <w:pStyle w:val="150"/>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03DD6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ign w:val="center"/>
          </w:tcPr>
          <w:p w14:paraId="0A05B7FB">
            <w:pPr>
              <w:pStyle w:val="150"/>
              <w:jc w:val="center"/>
              <w:rPr>
                <w:rFonts w:ascii="宋体" w:hAnsi="宋体" w:cs="宋体"/>
                <w:color w:val="auto"/>
                <w:szCs w:val="21"/>
                <w:highlight w:val="none"/>
              </w:rPr>
            </w:pPr>
            <w:r>
              <w:rPr>
                <w:rFonts w:hint="eastAsia" w:ascii="宋体" w:hAnsi="宋体" w:cs="宋体"/>
                <w:color w:val="auto"/>
                <w:szCs w:val="21"/>
                <w:highlight w:val="none"/>
              </w:rPr>
              <w:t>1</w:t>
            </w:r>
          </w:p>
        </w:tc>
        <w:tc>
          <w:tcPr>
            <w:tcW w:w="1985" w:type="dxa"/>
            <w:noWrap/>
            <w:vAlign w:val="center"/>
          </w:tcPr>
          <w:p w14:paraId="26B851F8">
            <w:pPr>
              <w:pStyle w:val="150"/>
              <w:rPr>
                <w:rFonts w:ascii="宋体" w:hAnsi="宋体" w:cs="宋体"/>
                <w:color w:val="auto"/>
                <w:szCs w:val="21"/>
                <w:highlight w:val="none"/>
              </w:rPr>
            </w:pPr>
            <w:r>
              <w:rPr>
                <w:rFonts w:hint="eastAsia" w:ascii="宋体" w:hAnsi="宋体" w:cs="宋体"/>
                <w:color w:val="auto"/>
                <w:szCs w:val="21"/>
                <w:highlight w:val="none"/>
              </w:rPr>
              <w:t>项目经理</w:t>
            </w:r>
          </w:p>
        </w:tc>
        <w:tc>
          <w:tcPr>
            <w:tcW w:w="2126" w:type="dxa"/>
            <w:noWrap/>
            <w:tcMar>
              <w:left w:w="170" w:type="dxa"/>
            </w:tcMar>
            <w:vAlign w:val="center"/>
          </w:tcPr>
          <w:p w14:paraId="71AD327D">
            <w:pPr>
              <w:pStyle w:val="150"/>
              <w:jc w:val="center"/>
              <w:rPr>
                <w:rFonts w:ascii="宋体" w:hAnsi="宋体" w:cs="宋体"/>
                <w:color w:val="auto"/>
                <w:szCs w:val="21"/>
                <w:highlight w:val="none"/>
              </w:rPr>
            </w:pPr>
            <w:r>
              <w:rPr>
                <w:rFonts w:hint="eastAsia" w:ascii="宋体" w:hAnsi="宋体" w:cs="宋体"/>
                <w:color w:val="auto"/>
                <w:szCs w:val="21"/>
                <w:highlight w:val="none"/>
              </w:rPr>
              <w:t>专用条款</w:t>
            </w:r>
          </w:p>
        </w:tc>
        <w:tc>
          <w:tcPr>
            <w:tcW w:w="1984" w:type="dxa"/>
            <w:noWrap/>
            <w:vAlign w:val="center"/>
          </w:tcPr>
          <w:p w14:paraId="0B52D820">
            <w:pPr>
              <w:pStyle w:val="150"/>
              <w:rPr>
                <w:rFonts w:ascii="宋体" w:hAnsi="宋体" w:cs="宋体"/>
                <w:color w:val="auto"/>
                <w:szCs w:val="21"/>
                <w:highlight w:val="none"/>
              </w:rPr>
            </w:pPr>
            <w:r>
              <w:rPr>
                <w:rFonts w:hint="eastAsia" w:ascii="宋体" w:hAnsi="宋体" w:cs="宋体"/>
                <w:color w:val="auto"/>
                <w:szCs w:val="21"/>
                <w:highlight w:val="none"/>
              </w:rPr>
              <w:t>姓名：</w:t>
            </w:r>
          </w:p>
        </w:tc>
        <w:tc>
          <w:tcPr>
            <w:tcW w:w="1843" w:type="dxa"/>
            <w:noWrap/>
            <w:vAlign w:val="center"/>
          </w:tcPr>
          <w:p w14:paraId="69F26A0C">
            <w:pPr>
              <w:pStyle w:val="150"/>
              <w:jc w:val="center"/>
              <w:rPr>
                <w:rFonts w:ascii="宋体" w:hAnsi="宋体" w:cs="宋体"/>
                <w:color w:val="auto"/>
                <w:szCs w:val="21"/>
                <w:highlight w:val="none"/>
              </w:rPr>
            </w:pPr>
          </w:p>
        </w:tc>
      </w:tr>
      <w:tr w14:paraId="3A3B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ign w:val="center"/>
          </w:tcPr>
          <w:p w14:paraId="1EB69173">
            <w:pPr>
              <w:pStyle w:val="150"/>
              <w:jc w:val="center"/>
              <w:rPr>
                <w:rFonts w:ascii="宋体" w:hAnsi="宋体" w:cs="宋体"/>
                <w:color w:val="auto"/>
                <w:szCs w:val="21"/>
                <w:highlight w:val="none"/>
              </w:rPr>
            </w:pPr>
            <w:r>
              <w:rPr>
                <w:rFonts w:hint="eastAsia" w:ascii="宋体" w:hAnsi="宋体" w:cs="宋体"/>
                <w:color w:val="auto"/>
                <w:szCs w:val="21"/>
                <w:highlight w:val="none"/>
              </w:rPr>
              <w:t>2</w:t>
            </w:r>
          </w:p>
        </w:tc>
        <w:tc>
          <w:tcPr>
            <w:tcW w:w="1985" w:type="dxa"/>
            <w:noWrap/>
            <w:vAlign w:val="center"/>
          </w:tcPr>
          <w:p w14:paraId="67C74664">
            <w:pPr>
              <w:pStyle w:val="150"/>
              <w:rPr>
                <w:rFonts w:ascii="宋体" w:hAnsi="宋体" w:cs="宋体"/>
                <w:color w:val="auto"/>
                <w:szCs w:val="21"/>
                <w:highlight w:val="none"/>
              </w:rPr>
            </w:pPr>
            <w:r>
              <w:rPr>
                <w:rFonts w:hint="eastAsia" w:ascii="宋体" w:hAnsi="宋体" w:cs="宋体"/>
                <w:color w:val="auto"/>
                <w:szCs w:val="21"/>
                <w:highlight w:val="none"/>
              </w:rPr>
              <w:t>磋商有效期</w:t>
            </w:r>
          </w:p>
        </w:tc>
        <w:tc>
          <w:tcPr>
            <w:tcW w:w="2126" w:type="dxa"/>
            <w:noWrap/>
            <w:tcMar>
              <w:left w:w="170" w:type="dxa"/>
            </w:tcMar>
            <w:vAlign w:val="center"/>
          </w:tcPr>
          <w:p w14:paraId="569C4A43">
            <w:pPr>
              <w:pStyle w:val="150"/>
              <w:rPr>
                <w:rFonts w:ascii="宋体" w:hAnsi="宋体" w:cs="宋体"/>
                <w:color w:val="auto"/>
                <w:szCs w:val="21"/>
                <w:highlight w:val="none"/>
              </w:rPr>
            </w:pPr>
          </w:p>
        </w:tc>
        <w:tc>
          <w:tcPr>
            <w:tcW w:w="1984" w:type="dxa"/>
            <w:noWrap/>
            <w:vAlign w:val="center"/>
          </w:tcPr>
          <w:p w14:paraId="779CA240">
            <w:pPr>
              <w:pStyle w:val="150"/>
              <w:jc w:val="center"/>
              <w:rPr>
                <w:rFonts w:ascii="宋体" w:hAnsi="宋体" w:cs="宋体"/>
                <w:color w:val="auto"/>
                <w:szCs w:val="21"/>
                <w:highlight w:val="none"/>
                <w:u w:val="single"/>
              </w:rPr>
            </w:pPr>
            <w:r>
              <w:rPr>
                <w:rFonts w:hint="eastAsia" w:ascii="宋体" w:hAnsi="宋体" w:cs="宋体"/>
                <w:color w:val="auto"/>
                <w:szCs w:val="21"/>
                <w:highlight w:val="none"/>
              </w:rPr>
              <w:t>日历天</w:t>
            </w:r>
          </w:p>
        </w:tc>
        <w:tc>
          <w:tcPr>
            <w:tcW w:w="1843" w:type="dxa"/>
            <w:noWrap/>
            <w:vAlign w:val="center"/>
          </w:tcPr>
          <w:p w14:paraId="34D1339B">
            <w:pPr>
              <w:pStyle w:val="150"/>
              <w:jc w:val="center"/>
              <w:rPr>
                <w:rFonts w:ascii="宋体" w:hAnsi="宋体" w:cs="宋体"/>
                <w:color w:val="auto"/>
                <w:szCs w:val="21"/>
                <w:highlight w:val="none"/>
              </w:rPr>
            </w:pPr>
          </w:p>
        </w:tc>
      </w:tr>
      <w:tr w14:paraId="0CB7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ign w:val="center"/>
          </w:tcPr>
          <w:p w14:paraId="50D62B2D">
            <w:pPr>
              <w:pStyle w:val="150"/>
              <w:jc w:val="center"/>
              <w:rPr>
                <w:rFonts w:ascii="宋体" w:hAnsi="宋体" w:cs="宋体"/>
                <w:color w:val="auto"/>
                <w:szCs w:val="21"/>
                <w:highlight w:val="none"/>
              </w:rPr>
            </w:pPr>
            <w:r>
              <w:rPr>
                <w:rFonts w:hint="eastAsia" w:ascii="宋体" w:hAnsi="宋体" w:cs="宋体"/>
                <w:color w:val="auto"/>
                <w:szCs w:val="21"/>
                <w:highlight w:val="none"/>
              </w:rPr>
              <w:t>3</w:t>
            </w:r>
          </w:p>
        </w:tc>
        <w:tc>
          <w:tcPr>
            <w:tcW w:w="1985" w:type="dxa"/>
            <w:noWrap/>
            <w:vAlign w:val="center"/>
          </w:tcPr>
          <w:p w14:paraId="58FFAE5D">
            <w:pPr>
              <w:pStyle w:val="150"/>
              <w:rPr>
                <w:rFonts w:ascii="宋体" w:hAnsi="宋体" w:cs="宋体"/>
                <w:color w:val="auto"/>
                <w:szCs w:val="21"/>
                <w:highlight w:val="none"/>
              </w:rPr>
            </w:pPr>
            <w:r>
              <w:rPr>
                <w:rFonts w:hint="eastAsia" w:ascii="宋体" w:hAnsi="宋体" w:cs="宋体"/>
                <w:color w:val="auto"/>
                <w:szCs w:val="21"/>
                <w:highlight w:val="none"/>
              </w:rPr>
              <w:t>工期</w:t>
            </w:r>
          </w:p>
        </w:tc>
        <w:tc>
          <w:tcPr>
            <w:tcW w:w="2126" w:type="dxa"/>
            <w:noWrap/>
            <w:tcMar>
              <w:left w:w="170" w:type="dxa"/>
            </w:tcMar>
            <w:vAlign w:val="center"/>
          </w:tcPr>
          <w:p w14:paraId="78776BC6">
            <w:pPr>
              <w:pStyle w:val="150"/>
              <w:jc w:val="center"/>
              <w:rPr>
                <w:rFonts w:ascii="宋体" w:hAnsi="宋体" w:cs="宋体"/>
                <w:color w:val="auto"/>
                <w:szCs w:val="21"/>
                <w:highlight w:val="none"/>
              </w:rPr>
            </w:pPr>
            <w:r>
              <w:rPr>
                <w:rFonts w:hint="eastAsia" w:ascii="宋体" w:hAnsi="宋体" w:cs="宋体"/>
                <w:color w:val="auto"/>
                <w:szCs w:val="21"/>
                <w:highlight w:val="none"/>
              </w:rPr>
              <w:t>专用条款</w:t>
            </w:r>
          </w:p>
        </w:tc>
        <w:tc>
          <w:tcPr>
            <w:tcW w:w="1984" w:type="dxa"/>
            <w:noWrap/>
            <w:vAlign w:val="center"/>
          </w:tcPr>
          <w:p w14:paraId="599A7A70">
            <w:pPr>
              <w:pStyle w:val="150"/>
              <w:jc w:val="center"/>
              <w:rPr>
                <w:rFonts w:ascii="宋体" w:hAnsi="宋体" w:cs="宋体"/>
                <w:color w:val="auto"/>
                <w:szCs w:val="21"/>
                <w:highlight w:val="none"/>
              </w:rPr>
            </w:pPr>
            <w:r>
              <w:rPr>
                <w:rFonts w:hint="eastAsia" w:ascii="宋体" w:hAnsi="宋体" w:cs="宋体"/>
                <w:color w:val="auto"/>
                <w:szCs w:val="21"/>
                <w:highlight w:val="none"/>
              </w:rPr>
              <w:t>日历天</w:t>
            </w:r>
          </w:p>
        </w:tc>
        <w:tc>
          <w:tcPr>
            <w:tcW w:w="1843" w:type="dxa"/>
            <w:noWrap/>
            <w:vAlign w:val="center"/>
          </w:tcPr>
          <w:p w14:paraId="341C3C50">
            <w:pPr>
              <w:pStyle w:val="150"/>
              <w:jc w:val="center"/>
              <w:rPr>
                <w:rFonts w:ascii="宋体" w:hAnsi="宋体" w:cs="宋体"/>
                <w:color w:val="auto"/>
                <w:szCs w:val="21"/>
                <w:highlight w:val="none"/>
              </w:rPr>
            </w:pPr>
          </w:p>
        </w:tc>
      </w:tr>
      <w:tr w14:paraId="495C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ign w:val="center"/>
          </w:tcPr>
          <w:p w14:paraId="3B474987">
            <w:pPr>
              <w:pStyle w:val="150"/>
              <w:jc w:val="center"/>
              <w:rPr>
                <w:rFonts w:ascii="宋体" w:hAnsi="宋体" w:cs="宋体"/>
                <w:color w:val="auto"/>
                <w:szCs w:val="21"/>
                <w:highlight w:val="none"/>
              </w:rPr>
            </w:pPr>
            <w:r>
              <w:rPr>
                <w:rFonts w:hint="eastAsia" w:ascii="宋体" w:hAnsi="宋体" w:cs="宋体"/>
                <w:color w:val="auto"/>
                <w:szCs w:val="21"/>
                <w:highlight w:val="none"/>
              </w:rPr>
              <w:t>4</w:t>
            </w:r>
          </w:p>
        </w:tc>
        <w:tc>
          <w:tcPr>
            <w:tcW w:w="1985" w:type="dxa"/>
            <w:noWrap/>
            <w:vAlign w:val="center"/>
          </w:tcPr>
          <w:p w14:paraId="6C63F951">
            <w:pPr>
              <w:pStyle w:val="150"/>
              <w:rPr>
                <w:rFonts w:ascii="宋体" w:hAnsi="宋体" w:cs="宋体"/>
                <w:color w:val="auto"/>
                <w:szCs w:val="21"/>
                <w:highlight w:val="none"/>
              </w:rPr>
            </w:pPr>
            <w:r>
              <w:rPr>
                <w:rFonts w:hint="eastAsia" w:ascii="宋体" w:hAnsi="宋体" w:cs="宋体"/>
                <w:color w:val="auto"/>
                <w:szCs w:val="21"/>
                <w:highlight w:val="none"/>
              </w:rPr>
              <w:t>缺陷责任期</w:t>
            </w:r>
          </w:p>
        </w:tc>
        <w:tc>
          <w:tcPr>
            <w:tcW w:w="2126" w:type="dxa"/>
            <w:noWrap/>
            <w:tcMar>
              <w:left w:w="170" w:type="dxa"/>
            </w:tcMar>
            <w:vAlign w:val="center"/>
          </w:tcPr>
          <w:p w14:paraId="4E77A1C9">
            <w:pPr>
              <w:pStyle w:val="150"/>
              <w:jc w:val="center"/>
              <w:rPr>
                <w:rFonts w:ascii="宋体" w:hAnsi="宋体" w:cs="宋体"/>
                <w:color w:val="auto"/>
                <w:szCs w:val="21"/>
                <w:highlight w:val="none"/>
              </w:rPr>
            </w:pPr>
            <w:r>
              <w:rPr>
                <w:rFonts w:hint="eastAsia" w:ascii="宋体" w:hAnsi="宋体" w:cs="宋体"/>
                <w:color w:val="auto"/>
                <w:szCs w:val="21"/>
                <w:highlight w:val="none"/>
              </w:rPr>
              <w:t>专用条款</w:t>
            </w:r>
          </w:p>
        </w:tc>
        <w:tc>
          <w:tcPr>
            <w:tcW w:w="1984" w:type="dxa"/>
            <w:noWrap/>
            <w:vAlign w:val="center"/>
          </w:tcPr>
          <w:p w14:paraId="44DB2F04">
            <w:pPr>
              <w:pStyle w:val="150"/>
              <w:jc w:val="center"/>
              <w:rPr>
                <w:rFonts w:ascii="宋体" w:hAnsi="宋体" w:cs="宋体"/>
                <w:color w:val="auto"/>
                <w:szCs w:val="21"/>
                <w:highlight w:val="none"/>
              </w:rPr>
            </w:pPr>
          </w:p>
        </w:tc>
        <w:tc>
          <w:tcPr>
            <w:tcW w:w="1843" w:type="dxa"/>
            <w:noWrap/>
            <w:vAlign w:val="center"/>
          </w:tcPr>
          <w:p w14:paraId="1CD63931">
            <w:pPr>
              <w:pStyle w:val="150"/>
              <w:jc w:val="center"/>
              <w:rPr>
                <w:rFonts w:ascii="宋体" w:hAnsi="宋体" w:cs="宋体"/>
                <w:color w:val="auto"/>
                <w:szCs w:val="21"/>
                <w:highlight w:val="none"/>
              </w:rPr>
            </w:pPr>
          </w:p>
        </w:tc>
      </w:tr>
      <w:tr w14:paraId="731E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ign w:val="center"/>
          </w:tcPr>
          <w:p w14:paraId="7C20F540">
            <w:pPr>
              <w:pStyle w:val="150"/>
              <w:jc w:val="center"/>
              <w:rPr>
                <w:rFonts w:ascii="宋体" w:hAnsi="宋体" w:cs="宋体"/>
                <w:color w:val="auto"/>
                <w:szCs w:val="21"/>
                <w:highlight w:val="none"/>
              </w:rPr>
            </w:pPr>
            <w:r>
              <w:rPr>
                <w:rFonts w:hint="eastAsia" w:ascii="宋体" w:hAnsi="宋体" w:cs="宋体"/>
                <w:color w:val="auto"/>
                <w:szCs w:val="21"/>
                <w:highlight w:val="none"/>
              </w:rPr>
              <w:t>5</w:t>
            </w:r>
          </w:p>
        </w:tc>
        <w:tc>
          <w:tcPr>
            <w:tcW w:w="1985" w:type="dxa"/>
            <w:noWrap/>
            <w:vAlign w:val="center"/>
          </w:tcPr>
          <w:p w14:paraId="392F9B5F">
            <w:pPr>
              <w:pStyle w:val="150"/>
              <w:rPr>
                <w:rFonts w:ascii="宋体" w:hAnsi="宋体" w:cs="宋体"/>
                <w:color w:val="auto"/>
                <w:szCs w:val="21"/>
                <w:highlight w:val="none"/>
              </w:rPr>
            </w:pPr>
            <w:r>
              <w:rPr>
                <w:rFonts w:hint="eastAsia" w:ascii="宋体" w:hAnsi="宋体" w:cs="宋体"/>
                <w:color w:val="auto"/>
                <w:szCs w:val="21"/>
                <w:highlight w:val="none"/>
              </w:rPr>
              <w:t>发包人支付担保</w:t>
            </w:r>
          </w:p>
        </w:tc>
        <w:tc>
          <w:tcPr>
            <w:tcW w:w="2126" w:type="dxa"/>
            <w:noWrap/>
            <w:tcMar>
              <w:left w:w="170" w:type="dxa"/>
            </w:tcMar>
            <w:vAlign w:val="center"/>
          </w:tcPr>
          <w:p w14:paraId="7F2DAB9B">
            <w:pPr>
              <w:pStyle w:val="150"/>
              <w:jc w:val="center"/>
              <w:rPr>
                <w:rFonts w:ascii="宋体" w:hAnsi="宋体" w:cs="宋体"/>
                <w:color w:val="auto"/>
                <w:szCs w:val="21"/>
                <w:highlight w:val="none"/>
              </w:rPr>
            </w:pPr>
            <w:r>
              <w:rPr>
                <w:rFonts w:hint="eastAsia" w:ascii="宋体" w:hAnsi="宋体" w:cs="宋体"/>
                <w:color w:val="auto"/>
                <w:szCs w:val="21"/>
                <w:highlight w:val="none"/>
              </w:rPr>
              <w:t>专用条款</w:t>
            </w:r>
          </w:p>
        </w:tc>
        <w:tc>
          <w:tcPr>
            <w:tcW w:w="1984" w:type="dxa"/>
            <w:noWrap/>
            <w:vAlign w:val="center"/>
          </w:tcPr>
          <w:p w14:paraId="40E04A32">
            <w:pPr>
              <w:pStyle w:val="150"/>
              <w:jc w:val="center"/>
              <w:rPr>
                <w:rFonts w:ascii="宋体" w:hAnsi="宋体" w:cs="宋体"/>
                <w:color w:val="auto"/>
                <w:szCs w:val="21"/>
                <w:highlight w:val="none"/>
              </w:rPr>
            </w:pPr>
          </w:p>
        </w:tc>
        <w:tc>
          <w:tcPr>
            <w:tcW w:w="1843" w:type="dxa"/>
            <w:noWrap/>
            <w:vAlign w:val="center"/>
          </w:tcPr>
          <w:p w14:paraId="3FCFC6D2">
            <w:pPr>
              <w:pStyle w:val="150"/>
              <w:jc w:val="center"/>
              <w:rPr>
                <w:rFonts w:ascii="宋体" w:hAnsi="宋体" w:cs="宋体"/>
                <w:color w:val="auto"/>
                <w:szCs w:val="21"/>
                <w:highlight w:val="none"/>
              </w:rPr>
            </w:pPr>
          </w:p>
        </w:tc>
      </w:tr>
      <w:tr w14:paraId="642B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ign w:val="center"/>
          </w:tcPr>
          <w:p w14:paraId="54E6EE96">
            <w:pPr>
              <w:pStyle w:val="150"/>
              <w:jc w:val="center"/>
              <w:rPr>
                <w:rFonts w:ascii="宋体" w:hAnsi="宋体" w:cs="宋体"/>
                <w:color w:val="auto"/>
                <w:szCs w:val="21"/>
                <w:highlight w:val="none"/>
              </w:rPr>
            </w:pPr>
            <w:r>
              <w:rPr>
                <w:rFonts w:hint="eastAsia" w:ascii="宋体" w:hAnsi="宋体" w:cs="宋体"/>
                <w:color w:val="auto"/>
                <w:szCs w:val="21"/>
                <w:highlight w:val="none"/>
              </w:rPr>
              <w:t>6</w:t>
            </w:r>
          </w:p>
        </w:tc>
        <w:tc>
          <w:tcPr>
            <w:tcW w:w="1985" w:type="dxa"/>
            <w:noWrap/>
            <w:vAlign w:val="center"/>
          </w:tcPr>
          <w:p w14:paraId="3E58E67F">
            <w:pPr>
              <w:pStyle w:val="150"/>
              <w:rPr>
                <w:rFonts w:ascii="宋体" w:hAnsi="宋体" w:cs="宋体"/>
                <w:color w:val="auto"/>
                <w:szCs w:val="21"/>
                <w:highlight w:val="none"/>
              </w:rPr>
            </w:pPr>
            <w:r>
              <w:rPr>
                <w:rFonts w:hint="eastAsia" w:ascii="宋体" w:hAnsi="宋体" w:cs="宋体"/>
                <w:color w:val="auto"/>
                <w:szCs w:val="21"/>
                <w:highlight w:val="none"/>
              </w:rPr>
              <w:t>承包人履约担保金额</w:t>
            </w:r>
          </w:p>
        </w:tc>
        <w:tc>
          <w:tcPr>
            <w:tcW w:w="2126" w:type="dxa"/>
            <w:noWrap/>
            <w:tcMar>
              <w:left w:w="170" w:type="dxa"/>
            </w:tcMar>
            <w:vAlign w:val="center"/>
          </w:tcPr>
          <w:p w14:paraId="19685FD5">
            <w:pPr>
              <w:pStyle w:val="150"/>
              <w:jc w:val="center"/>
              <w:rPr>
                <w:rFonts w:ascii="宋体" w:hAnsi="宋体" w:cs="宋体"/>
                <w:color w:val="auto"/>
                <w:szCs w:val="21"/>
                <w:highlight w:val="none"/>
              </w:rPr>
            </w:pPr>
            <w:r>
              <w:rPr>
                <w:rFonts w:hint="eastAsia" w:ascii="宋体" w:hAnsi="宋体" w:cs="宋体"/>
                <w:color w:val="auto"/>
                <w:szCs w:val="21"/>
                <w:highlight w:val="none"/>
              </w:rPr>
              <w:t>专用条款</w:t>
            </w:r>
          </w:p>
        </w:tc>
        <w:tc>
          <w:tcPr>
            <w:tcW w:w="1984" w:type="dxa"/>
            <w:noWrap/>
            <w:vAlign w:val="center"/>
          </w:tcPr>
          <w:p w14:paraId="281651C1">
            <w:pPr>
              <w:pStyle w:val="150"/>
              <w:jc w:val="center"/>
              <w:rPr>
                <w:rFonts w:ascii="宋体" w:hAnsi="宋体" w:cs="宋体"/>
                <w:color w:val="auto"/>
                <w:szCs w:val="21"/>
                <w:highlight w:val="none"/>
              </w:rPr>
            </w:pPr>
          </w:p>
        </w:tc>
        <w:tc>
          <w:tcPr>
            <w:tcW w:w="1843" w:type="dxa"/>
            <w:noWrap/>
            <w:vAlign w:val="center"/>
          </w:tcPr>
          <w:p w14:paraId="39FA37C7">
            <w:pPr>
              <w:pStyle w:val="150"/>
              <w:jc w:val="center"/>
              <w:rPr>
                <w:rFonts w:ascii="宋体" w:hAnsi="宋体" w:cs="宋体"/>
                <w:color w:val="auto"/>
                <w:szCs w:val="21"/>
                <w:highlight w:val="none"/>
              </w:rPr>
            </w:pPr>
          </w:p>
        </w:tc>
      </w:tr>
      <w:tr w14:paraId="75E5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ign w:val="center"/>
          </w:tcPr>
          <w:p w14:paraId="29A8A8EE">
            <w:pPr>
              <w:pStyle w:val="150"/>
              <w:jc w:val="center"/>
              <w:rPr>
                <w:rFonts w:ascii="宋体" w:hAnsi="宋体" w:cs="宋体"/>
                <w:color w:val="auto"/>
                <w:szCs w:val="21"/>
                <w:highlight w:val="none"/>
              </w:rPr>
            </w:pPr>
            <w:r>
              <w:rPr>
                <w:rFonts w:hint="eastAsia" w:ascii="宋体" w:hAnsi="宋体" w:cs="宋体"/>
                <w:color w:val="auto"/>
                <w:szCs w:val="21"/>
                <w:highlight w:val="none"/>
              </w:rPr>
              <w:t>7</w:t>
            </w:r>
          </w:p>
        </w:tc>
        <w:tc>
          <w:tcPr>
            <w:tcW w:w="1985" w:type="dxa"/>
            <w:noWrap/>
            <w:vAlign w:val="center"/>
          </w:tcPr>
          <w:p w14:paraId="4B5380A0">
            <w:pPr>
              <w:pStyle w:val="150"/>
              <w:rPr>
                <w:rFonts w:ascii="宋体" w:hAnsi="宋体" w:cs="宋体"/>
                <w:color w:val="auto"/>
                <w:szCs w:val="21"/>
                <w:highlight w:val="none"/>
              </w:rPr>
            </w:pPr>
            <w:r>
              <w:rPr>
                <w:rFonts w:hint="eastAsia" w:ascii="宋体" w:hAnsi="宋体" w:cs="宋体"/>
                <w:color w:val="auto"/>
                <w:szCs w:val="21"/>
                <w:highlight w:val="none"/>
              </w:rPr>
              <w:t>分包</w:t>
            </w:r>
          </w:p>
        </w:tc>
        <w:tc>
          <w:tcPr>
            <w:tcW w:w="2126" w:type="dxa"/>
            <w:noWrap/>
            <w:tcMar>
              <w:left w:w="170" w:type="dxa"/>
            </w:tcMar>
            <w:vAlign w:val="center"/>
          </w:tcPr>
          <w:p w14:paraId="2EE93766">
            <w:pPr>
              <w:pStyle w:val="150"/>
              <w:jc w:val="center"/>
              <w:rPr>
                <w:rFonts w:ascii="宋体" w:hAnsi="宋体" w:cs="宋体"/>
                <w:color w:val="auto"/>
                <w:szCs w:val="21"/>
                <w:highlight w:val="none"/>
              </w:rPr>
            </w:pPr>
            <w:r>
              <w:rPr>
                <w:rFonts w:hint="eastAsia" w:ascii="宋体" w:hAnsi="宋体" w:cs="宋体"/>
                <w:color w:val="auto"/>
                <w:szCs w:val="21"/>
                <w:highlight w:val="none"/>
              </w:rPr>
              <w:t>专用条款</w:t>
            </w:r>
          </w:p>
        </w:tc>
        <w:tc>
          <w:tcPr>
            <w:tcW w:w="1984" w:type="dxa"/>
            <w:noWrap/>
            <w:vAlign w:val="center"/>
          </w:tcPr>
          <w:p w14:paraId="58B5A74A">
            <w:pPr>
              <w:pStyle w:val="150"/>
              <w:jc w:val="center"/>
              <w:rPr>
                <w:rFonts w:ascii="宋体" w:hAnsi="宋体" w:cs="宋体"/>
                <w:color w:val="auto"/>
                <w:szCs w:val="21"/>
                <w:highlight w:val="none"/>
              </w:rPr>
            </w:pPr>
            <w:r>
              <w:rPr>
                <w:rFonts w:hint="eastAsia" w:ascii="宋体" w:hAnsi="宋体" w:cs="宋体"/>
                <w:color w:val="auto"/>
                <w:szCs w:val="21"/>
                <w:highlight w:val="none"/>
              </w:rPr>
              <w:t>见分包项目情况表</w:t>
            </w:r>
          </w:p>
        </w:tc>
        <w:tc>
          <w:tcPr>
            <w:tcW w:w="1843" w:type="dxa"/>
            <w:noWrap/>
            <w:vAlign w:val="center"/>
          </w:tcPr>
          <w:p w14:paraId="2E2A9288">
            <w:pPr>
              <w:pStyle w:val="150"/>
              <w:jc w:val="center"/>
              <w:rPr>
                <w:rFonts w:ascii="宋体" w:hAnsi="宋体" w:cs="宋体"/>
                <w:color w:val="auto"/>
                <w:szCs w:val="21"/>
                <w:highlight w:val="none"/>
              </w:rPr>
            </w:pPr>
          </w:p>
        </w:tc>
      </w:tr>
      <w:tr w14:paraId="6DE5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ign w:val="center"/>
          </w:tcPr>
          <w:p w14:paraId="6C92F181">
            <w:pPr>
              <w:pStyle w:val="150"/>
              <w:jc w:val="center"/>
              <w:rPr>
                <w:rFonts w:ascii="宋体" w:hAnsi="宋体" w:cs="宋体"/>
                <w:color w:val="auto"/>
                <w:szCs w:val="21"/>
                <w:highlight w:val="none"/>
              </w:rPr>
            </w:pPr>
            <w:r>
              <w:rPr>
                <w:rFonts w:hint="eastAsia" w:ascii="宋体" w:hAnsi="宋体" w:cs="宋体"/>
                <w:color w:val="auto"/>
                <w:szCs w:val="21"/>
                <w:highlight w:val="none"/>
              </w:rPr>
              <w:t>8</w:t>
            </w:r>
          </w:p>
        </w:tc>
        <w:tc>
          <w:tcPr>
            <w:tcW w:w="1985" w:type="dxa"/>
            <w:noWrap/>
            <w:vAlign w:val="center"/>
          </w:tcPr>
          <w:p w14:paraId="73E9C5A6">
            <w:pPr>
              <w:pStyle w:val="150"/>
              <w:rPr>
                <w:rFonts w:ascii="宋体" w:hAnsi="宋体" w:cs="宋体"/>
                <w:color w:val="auto"/>
                <w:szCs w:val="21"/>
                <w:highlight w:val="none"/>
              </w:rPr>
            </w:pPr>
            <w:r>
              <w:rPr>
                <w:rFonts w:hint="eastAsia" w:ascii="宋体" w:hAnsi="宋体" w:cs="宋体"/>
                <w:color w:val="auto"/>
                <w:szCs w:val="21"/>
                <w:highlight w:val="none"/>
              </w:rPr>
              <w:t>逾期竣工违约金</w:t>
            </w:r>
          </w:p>
        </w:tc>
        <w:tc>
          <w:tcPr>
            <w:tcW w:w="2126" w:type="dxa"/>
            <w:noWrap/>
            <w:tcMar>
              <w:left w:w="170" w:type="dxa"/>
            </w:tcMar>
            <w:vAlign w:val="center"/>
          </w:tcPr>
          <w:p w14:paraId="5849CA67">
            <w:pPr>
              <w:pStyle w:val="150"/>
              <w:jc w:val="center"/>
              <w:rPr>
                <w:rFonts w:ascii="宋体" w:hAnsi="宋体" w:cs="宋体"/>
                <w:color w:val="auto"/>
                <w:szCs w:val="21"/>
                <w:highlight w:val="none"/>
              </w:rPr>
            </w:pPr>
            <w:r>
              <w:rPr>
                <w:rFonts w:hint="eastAsia" w:ascii="宋体" w:hAnsi="宋体" w:cs="宋体"/>
                <w:color w:val="auto"/>
                <w:szCs w:val="21"/>
                <w:highlight w:val="none"/>
              </w:rPr>
              <w:t>专用条款</w:t>
            </w:r>
          </w:p>
        </w:tc>
        <w:tc>
          <w:tcPr>
            <w:tcW w:w="1984" w:type="dxa"/>
            <w:noWrap/>
            <w:vAlign w:val="center"/>
          </w:tcPr>
          <w:p w14:paraId="2A930579">
            <w:pPr>
              <w:pStyle w:val="150"/>
              <w:rPr>
                <w:rFonts w:ascii="宋体" w:hAnsi="宋体" w:cs="宋体"/>
                <w:color w:val="auto"/>
                <w:szCs w:val="21"/>
                <w:highlight w:val="none"/>
              </w:rPr>
            </w:pPr>
          </w:p>
        </w:tc>
        <w:tc>
          <w:tcPr>
            <w:tcW w:w="1843" w:type="dxa"/>
            <w:noWrap/>
            <w:vAlign w:val="center"/>
          </w:tcPr>
          <w:p w14:paraId="4DDC675D">
            <w:pPr>
              <w:pStyle w:val="150"/>
              <w:jc w:val="center"/>
              <w:rPr>
                <w:rFonts w:ascii="宋体" w:hAnsi="宋体" w:cs="宋体"/>
                <w:color w:val="auto"/>
                <w:szCs w:val="21"/>
                <w:highlight w:val="none"/>
              </w:rPr>
            </w:pPr>
          </w:p>
        </w:tc>
      </w:tr>
      <w:tr w14:paraId="7E34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ign w:val="center"/>
          </w:tcPr>
          <w:p w14:paraId="4C55E1A5">
            <w:pPr>
              <w:pStyle w:val="150"/>
              <w:jc w:val="center"/>
              <w:rPr>
                <w:rFonts w:ascii="宋体" w:hAnsi="宋体" w:cs="宋体"/>
                <w:color w:val="auto"/>
                <w:szCs w:val="21"/>
                <w:highlight w:val="none"/>
              </w:rPr>
            </w:pPr>
            <w:r>
              <w:rPr>
                <w:rFonts w:hint="eastAsia" w:ascii="宋体" w:hAnsi="宋体" w:cs="宋体"/>
                <w:color w:val="auto"/>
                <w:szCs w:val="21"/>
                <w:highlight w:val="none"/>
              </w:rPr>
              <w:t>9</w:t>
            </w:r>
          </w:p>
        </w:tc>
        <w:tc>
          <w:tcPr>
            <w:tcW w:w="1985" w:type="dxa"/>
            <w:noWrap/>
            <w:vAlign w:val="center"/>
          </w:tcPr>
          <w:p w14:paraId="43BCD5F9">
            <w:pPr>
              <w:pStyle w:val="150"/>
              <w:rPr>
                <w:rFonts w:ascii="宋体" w:hAnsi="宋体" w:cs="宋体"/>
                <w:color w:val="auto"/>
                <w:szCs w:val="21"/>
                <w:highlight w:val="none"/>
              </w:rPr>
            </w:pPr>
            <w:r>
              <w:rPr>
                <w:rFonts w:hint="eastAsia" w:ascii="宋体" w:hAnsi="宋体" w:cs="宋体"/>
                <w:color w:val="auto"/>
                <w:szCs w:val="21"/>
                <w:highlight w:val="none"/>
              </w:rPr>
              <w:t>逾期竣工违约金最高限额</w:t>
            </w:r>
          </w:p>
        </w:tc>
        <w:tc>
          <w:tcPr>
            <w:tcW w:w="2126" w:type="dxa"/>
            <w:noWrap/>
            <w:tcMar>
              <w:left w:w="170" w:type="dxa"/>
            </w:tcMar>
            <w:vAlign w:val="center"/>
          </w:tcPr>
          <w:p w14:paraId="50E67A8C">
            <w:pPr>
              <w:pStyle w:val="150"/>
              <w:jc w:val="center"/>
              <w:rPr>
                <w:rFonts w:ascii="宋体" w:hAnsi="宋体" w:cs="宋体"/>
                <w:color w:val="auto"/>
                <w:szCs w:val="21"/>
                <w:highlight w:val="none"/>
              </w:rPr>
            </w:pPr>
            <w:r>
              <w:rPr>
                <w:rFonts w:hint="eastAsia" w:ascii="宋体" w:hAnsi="宋体" w:cs="宋体"/>
                <w:color w:val="auto"/>
                <w:szCs w:val="21"/>
                <w:highlight w:val="none"/>
              </w:rPr>
              <w:t>专用条款</w:t>
            </w:r>
          </w:p>
        </w:tc>
        <w:tc>
          <w:tcPr>
            <w:tcW w:w="1984" w:type="dxa"/>
            <w:noWrap/>
            <w:vAlign w:val="center"/>
          </w:tcPr>
          <w:p w14:paraId="6F89D439">
            <w:pPr>
              <w:pStyle w:val="150"/>
              <w:rPr>
                <w:rFonts w:ascii="宋体" w:hAnsi="宋体" w:cs="宋体"/>
                <w:color w:val="auto"/>
                <w:szCs w:val="21"/>
                <w:highlight w:val="none"/>
              </w:rPr>
            </w:pPr>
          </w:p>
        </w:tc>
        <w:tc>
          <w:tcPr>
            <w:tcW w:w="1843" w:type="dxa"/>
            <w:noWrap/>
            <w:vAlign w:val="center"/>
          </w:tcPr>
          <w:p w14:paraId="7C62BAF9">
            <w:pPr>
              <w:pStyle w:val="150"/>
              <w:jc w:val="center"/>
              <w:rPr>
                <w:rFonts w:ascii="宋体" w:hAnsi="宋体" w:cs="宋体"/>
                <w:color w:val="auto"/>
                <w:szCs w:val="21"/>
                <w:highlight w:val="none"/>
              </w:rPr>
            </w:pPr>
          </w:p>
        </w:tc>
      </w:tr>
      <w:tr w14:paraId="455F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ign w:val="center"/>
          </w:tcPr>
          <w:p w14:paraId="08F113FA">
            <w:pPr>
              <w:pStyle w:val="150"/>
              <w:jc w:val="center"/>
              <w:rPr>
                <w:rFonts w:ascii="宋体" w:hAnsi="宋体" w:cs="宋体"/>
                <w:color w:val="auto"/>
                <w:szCs w:val="21"/>
                <w:highlight w:val="none"/>
              </w:rPr>
            </w:pPr>
            <w:r>
              <w:rPr>
                <w:rFonts w:hint="eastAsia" w:ascii="宋体" w:hAnsi="宋体" w:cs="宋体"/>
                <w:color w:val="auto"/>
                <w:szCs w:val="21"/>
                <w:highlight w:val="none"/>
              </w:rPr>
              <w:t>10</w:t>
            </w:r>
          </w:p>
        </w:tc>
        <w:tc>
          <w:tcPr>
            <w:tcW w:w="1985" w:type="dxa"/>
            <w:noWrap/>
            <w:vAlign w:val="center"/>
          </w:tcPr>
          <w:p w14:paraId="3DE9C7FC">
            <w:pPr>
              <w:pStyle w:val="150"/>
              <w:rPr>
                <w:rFonts w:ascii="宋体" w:hAnsi="宋体" w:cs="宋体"/>
                <w:color w:val="auto"/>
                <w:szCs w:val="21"/>
                <w:highlight w:val="none"/>
              </w:rPr>
            </w:pPr>
            <w:r>
              <w:rPr>
                <w:rFonts w:hint="eastAsia" w:ascii="宋体" w:hAnsi="宋体" w:cs="宋体"/>
                <w:color w:val="auto"/>
                <w:szCs w:val="21"/>
                <w:highlight w:val="none"/>
              </w:rPr>
              <w:t>质量标准</w:t>
            </w:r>
          </w:p>
        </w:tc>
        <w:tc>
          <w:tcPr>
            <w:tcW w:w="2126" w:type="dxa"/>
            <w:noWrap/>
            <w:tcMar>
              <w:left w:w="170" w:type="dxa"/>
            </w:tcMar>
            <w:vAlign w:val="center"/>
          </w:tcPr>
          <w:p w14:paraId="1E57CD85">
            <w:pPr>
              <w:pStyle w:val="150"/>
              <w:jc w:val="center"/>
              <w:rPr>
                <w:rFonts w:ascii="宋体" w:hAnsi="宋体" w:cs="宋体"/>
                <w:color w:val="auto"/>
                <w:szCs w:val="21"/>
                <w:highlight w:val="none"/>
              </w:rPr>
            </w:pPr>
            <w:r>
              <w:rPr>
                <w:rFonts w:hint="eastAsia" w:ascii="宋体" w:hAnsi="宋体" w:cs="宋体"/>
                <w:color w:val="auto"/>
                <w:szCs w:val="21"/>
                <w:highlight w:val="none"/>
              </w:rPr>
              <w:t>专用条款</w:t>
            </w:r>
          </w:p>
        </w:tc>
        <w:tc>
          <w:tcPr>
            <w:tcW w:w="1984" w:type="dxa"/>
            <w:noWrap/>
            <w:vAlign w:val="center"/>
          </w:tcPr>
          <w:p w14:paraId="03D7B114">
            <w:pPr>
              <w:pStyle w:val="150"/>
              <w:jc w:val="center"/>
              <w:rPr>
                <w:rFonts w:ascii="宋体" w:hAnsi="宋体" w:cs="宋体"/>
                <w:color w:val="auto"/>
                <w:szCs w:val="21"/>
                <w:highlight w:val="none"/>
              </w:rPr>
            </w:pPr>
          </w:p>
        </w:tc>
        <w:tc>
          <w:tcPr>
            <w:tcW w:w="1843" w:type="dxa"/>
            <w:noWrap/>
            <w:vAlign w:val="center"/>
          </w:tcPr>
          <w:p w14:paraId="5C4F4667">
            <w:pPr>
              <w:pStyle w:val="150"/>
              <w:jc w:val="center"/>
              <w:rPr>
                <w:rFonts w:ascii="宋体" w:hAnsi="宋体" w:cs="宋体"/>
                <w:color w:val="auto"/>
                <w:szCs w:val="21"/>
                <w:highlight w:val="none"/>
              </w:rPr>
            </w:pPr>
          </w:p>
        </w:tc>
      </w:tr>
      <w:tr w14:paraId="5C28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ign w:val="center"/>
          </w:tcPr>
          <w:p w14:paraId="7C8D1AF3">
            <w:pPr>
              <w:pStyle w:val="150"/>
              <w:jc w:val="center"/>
              <w:rPr>
                <w:rFonts w:ascii="宋体" w:hAnsi="宋体" w:cs="宋体"/>
                <w:color w:val="auto"/>
                <w:szCs w:val="21"/>
                <w:highlight w:val="none"/>
              </w:rPr>
            </w:pPr>
            <w:r>
              <w:rPr>
                <w:rFonts w:hint="eastAsia" w:ascii="宋体" w:hAnsi="宋体" w:cs="宋体"/>
                <w:color w:val="auto"/>
                <w:szCs w:val="21"/>
                <w:highlight w:val="none"/>
              </w:rPr>
              <w:t>11</w:t>
            </w:r>
          </w:p>
        </w:tc>
        <w:tc>
          <w:tcPr>
            <w:tcW w:w="1985" w:type="dxa"/>
            <w:noWrap/>
            <w:vAlign w:val="center"/>
          </w:tcPr>
          <w:p w14:paraId="2286C6AC">
            <w:pPr>
              <w:pStyle w:val="150"/>
              <w:rPr>
                <w:rFonts w:ascii="宋体" w:hAnsi="宋体" w:cs="宋体"/>
                <w:color w:val="auto"/>
                <w:szCs w:val="21"/>
                <w:highlight w:val="none"/>
              </w:rPr>
            </w:pPr>
            <w:r>
              <w:rPr>
                <w:rFonts w:hint="eastAsia" w:ascii="宋体" w:hAnsi="宋体" w:cs="宋体"/>
                <w:color w:val="auto"/>
                <w:szCs w:val="21"/>
                <w:highlight w:val="none"/>
              </w:rPr>
              <w:t>预付款额度</w:t>
            </w:r>
          </w:p>
        </w:tc>
        <w:tc>
          <w:tcPr>
            <w:tcW w:w="2126" w:type="dxa"/>
            <w:noWrap/>
            <w:tcMar>
              <w:left w:w="170" w:type="dxa"/>
            </w:tcMar>
            <w:vAlign w:val="center"/>
          </w:tcPr>
          <w:p w14:paraId="1CFB9661">
            <w:pPr>
              <w:pStyle w:val="150"/>
              <w:jc w:val="center"/>
              <w:rPr>
                <w:rFonts w:ascii="宋体" w:hAnsi="宋体" w:cs="宋体"/>
                <w:color w:val="auto"/>
                <w:szCs w:val="21"/>
                <w:highlight w:val="none"/>
              </w:rPr>
            </w:pPr>
            <w:r>
              <w:rPr>
                <w:rFonts w:hint="eastAsia" w:ascii="宋体" w:hAnsi="宋体" w:cs="宋体"/>
                <w:color w:val="auto"/>
                <w:szCs w:val="21"/>
                <w:highlight w:val="none"/>
              </w:rPr>
              <w:t>专用条款</w:t>
            </w:r>
          </w:p>
        </w:tc>
        <w:tc>
          <w:tcPr>
            <w:tcW w:w="1984" w:type="dxa"/>
            <w:noWrap/>
            <w:vAlign w:val="center"/>
          </w:tcPr>
          <w:p w14:paraId="1B73F72E">
            <w:pPr>
              <w:pStyle w:val="150"/>
              <w:jc w:val="center"/>
              <w:rPr>
                <w:rFonts w:ascii="宋体" w:hAnsi="宋体" w:cs="宋体"/>
                <w:color w:val="auto"/>
                <w:szCs w:val="21"/>
                <w:highlight w:val="none"/>
              </w:rPr>
            </w:pPr>
          </w:p>
        </w:tc>
        <w:tc>
          <w:tcPr>
            <w:tcW w:w="1843" w:type="dxa"/>
            <w:noWrap/>
            <w:vAlign w:val="center"/>
          </w:tcPr>
          <w:p w14:paraId="1CBBC152">
            <w:pPr>
              <w:pStyle w:val="150"/>
              <w:jc w:val="center"/>
              <w:rPr>
                <w:rFonts w:ascii="宋体" w:hAnsi="宋体" w:cs="宋体"/>
                <w:color w:val="auto"/>
                <w:szCs w:val="21"/>
                <w:highlight w:val="none"/>
              </w:rPr>
            </w:pPr>
          </w:p>
        </w:tc>
      </w:tr>
      <w:tr w14:paraId="2D28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ign w:val="center"/>
          </w:tcPr>
          <w:p w14:paraId="0B0EA798">
            <w:pPr>
              <w:pStyle w:val="150"/>
              <w:jc w:val="center"/>
              <w:rPr>
                <w:rFonts w:ascii="宋体" w:hAnsi="宋体" w:cs="宋体"/>
                <w:color w:val="auto"/>
                <w:szCs w:val="21"/>
                <w:highlight w:val="none"/>
              </w:rPr>
            </w:pPr>
            <w:r>
              <w:rPr>
                <w:rFonts w:hint="eastAsia" w:ascii="宋体" w:hAnsi="宋体" w:cs="宋体"/>
                <w:color w:val="auto"/>
                <w:szCs w:val="21"/>
                <w:highlight w:val="none"/>
              </w:rPr>
              <w:t>12</w:t>
            </w:r>
          </w:p>
        </w:tc>
        <w:tc>
          <w:tcPr>
            <w:tcW w:w="1985" w:type="dxa"/>
            <w:noWrap/>
            <w:vAlign w:val="center"/>
          </w:tcPr>
          <w:p w14:paraId="3453B2E2">
            <w:pPr>
              <w:pStyle w:val="150"/>
              <w:rPr>
                <w:rFonts w:ascii="宋体" w:hAnsi="宋体" w:cs="宋体"/>
                <w:color w:val="auto"/>
                <w:szCs w:val="21"/>
                <w:highlight w:val="none"/>
              </w:rPr>
            </w:pPr>
            <w:r>
              <w:rPr>
                <w:rFonts w:hint="eastAsia" w:ascii="宋体" w:hAnsi="宋体" w:cs="宋体"/>
                <w:color w:val="auto"/>
                <w:szCs w:val="21"/>
                <w:highlight w:val="none"/>
              </w:rPr>
              <w:t>预付款保函金额</w:t>
            </w:r>
          </w:p>
        </w:tc>
        <w:tc>
          <w:tcPr>
            <w:tcW w:w="2126" w:type="dxa"/>
            <w:noWrap/>
            <w:tcMar>
              <w:left w:w="170" w:type="dxa"/>
            </w:tcMar>
            <w:vAlign w:val="center"/>
          </w:tcPr>
          <w:p w14:paraId="1570B9F1">
            <w:pPr>
              <w:pStyle w:val="150"/>
              <w:jc w:val="center"/>
              <w:rPr>
                <w:rFonts w:ascii="宋体" w:hAnsi="宋体" w:cs="宋体"/>
                <w:color w:val="auto"/>
                <w:szCs w:val="21"/>
                <w:highlight w:val="none"/>
              </w:rPr>
            </w:pPr>
            <w:r>
              <w:rPr>
                <w:rFonts w:hint="eastAsia" w:ascii="宋体" w:hAnsi="宋体" w:cs="宋体"/>
                <w:color w:val="auto"/>
                <w:szCs w:val="21"/>
                <w:highlight w:val="none"/>
              </w:rPr>
              <w:t>专用条款</w:t>
            </w:r>
          </w:p>
        </w:tc>
        <w:tc>
          <w:tcPr>
            <w:tcW w:w="1984" w:type="dxa"/>
            <w:noWrap/>
            <w:vAlign w:val="center"/>
          </w:tcPr>
          <w:p w14:paraId="0A55F845">
            <w:pPr>
              <w:pStyle w:val="150"/>
              <w:jc w:val="center"/>
              <w:rPr>
                <w:rFonts w:ascii="宋体" w:hAnsi="宋体" w:cs="宋体"/>
                <w:color w:val="auto"/>
                <w:szCs w:val="21"/>
                <w:highlight w:val="none"/>
              </w:rPr>
            </w:pPr>
          </w:p>
        </w:tc>
        <w:tc>
          <w:tcPr>
            <w:tcW w:w="1843" w:type="dxa"/>
            <w:noWrap/>
            <w:vAlign w:val="center"/>
          </w:tcPr>
          <w:p w14:paraId="0F05E044">
            <w:pPr>
              <w:pStyle w:val="150"/>
              <w:jc w:val="center"/>
              <w:rPr>
                <w:rFonts w:ascii="宋体" w:hAnsi="宋体" w:cs="宋体"/>
                <w:color w:val="auto"/>
                <w:szCs w:val="21"/>
                <w:highlight w:val="none"/>
              </w:rPr>
            </w:pPr>
          </w:p>
        </w:tc>
      </w:tr>
      <w:tr w14:paraId="485E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ign w:val="center"/>
          </w:tcPr>
          <w:p w14:paraId="4D65FC54">
            <w:pPr>
              <w:pStyle w:val="150"/>
              <w:jc w:val="center"/>
              <w:rPr>
                <w:rFonts w:ascii="宋体" w:hAnsi="宋体" w:cs="宋体"/>
                <w:color w:val="auto"/>
                <w:szCs w:val="21"/>
                <w:highlight w:val="none"/>
              </w:rPr>
            </w:pPr>
            <w:r>
              <w:rPr>
                <w:rFonts w:hint="eastAsia" w:ascii="宋体" w:hAnsi="宋体" w:cs="宋体"/>
                <w:color w:val="auto"/>
                <w:szCs w:val="21"/>
                <w:highlight w:val="none"/>
              </w:rPr>
              <w:t>13</w:t>
            </w:r>
          </w:p>
        </w:tc>
        <w:tc>
          <w:tcPr>
            <w:tcW w:w="1985" w:type="dxa"/>
            <w:noWrap/>
            <w:vAlign w:val="center"/>
          </w:tcPr>
          <w:p w14:paraId="3D6CA2F2">
            <w:pPr>
              <w:pStyle w:val="150"/>
              <w:rPr>
                <w:rFonts w:ascii="宋体" w:hAnsi="宋体" w:cs="宋体"/>
                <w:color w:val="auto"/>
                <w:szCs w:val="21"/>
                <w:highlight w:val="none"/>
              </w:rPr>
            </w:pPr>
            <w:r>
              <w:rPr>
                <w:rFonts w:hint="eastAsia" w:ascii="宋体" w:hAnsi="宋体" w:cs="宋体"/>
                <w:color w:val="auto"/>
                <w:szCs w:val="21"/>
                <w:highlight w:val="none"/>
              </w:rPr>
              <w:t>质量保证金额度</w:t>
            </w:r>
          </w:p>
        </w:tc>
        <w:tc>
          <w:tcPr>
            <w:tcW w:w="2126" w:type="dxa"/>
            <w:noWrap/>
            <w:tcMar>
              <w:left w:w="170" w:type="dxa"/>
            </w:tcMar>
            <w:vAlign w:val="center"/>
          </w:tcPr>
          <w:p w14:paraId="687D88EF">
            <w:pPr>
              <w:pStyle w:val="150"/>
              <w:jc w:val="center"/>
              <w:rPr>
                <w:rFonts w:ascii="宋体" w:hAnsi="宋体" w:cs="宋体"/>
                <w:color w:val="auto"/>
                <w:szCs w:val="21"/>
                <w:highlight w:val="none"/>
              </w:rPr>
            </w:pPr>
            <w:r>
              <w:rPr>
                <w:rFonts w:hint="eastAsia" w:ascii="宋体" w:hAnsi="宋体" w:cs="宋体"/>
                <w:color w:val="auto"/>
                <w:szCs w:val="21"/>
                <w:highlight w:val="none"/>
              </w:rPr>
              <w:t>专用条款</w:t>
            </w:r>
          </w:p>
        </w:tc>
        <w:tc>
          <w:tcPr>
            <w:tcW w:w="1984" w:type="dxa"/>
            <w:noWrap/>
            <w:vAlign w:val="center"/>
          </w:tcPr>
          <w:p w14:paraId="38EBD8FA">
            <w:pPr>
              <w:pStyle w:val="150"/>
              <w:jc w:val="center"/>
              <w:rPr>
                <w:rFonts w:ascii="宋体" w:hAnsi="宋体" w:cs="宋体"/>
                <w:color w:val="auto"/>
                <w:szCs w:val="21"/>
                <w:highlight w:val="none"/>
              </w:rPr>
            </w:pPr>
          </w:p>
        </w:tc>
        <w:tc>
          <w:tcPr>
            <w:tcW w:w="1843" w:type="dxa"/>
            <w:noWrap/>
            <w:vAlign w:val="center"/>
          </w:tcPr>
          <w:p w14:paraId="410E618F">
            <w:pPr>
              <w:pStyle w:val="150"/>
              <w:jc w:val="center"/>
              <w:rPr>
                <w:rFonts w:ascii="宋体" w:hAnsi="宋体" w:cs="宋体"/>
                <w:color w:val="auto"/>
                <w:szCs w:val="21"/>
                <w:highlight w:val="none"/>
              </w:rPr>
            </w:pPr>
          </w:p>
        </w:tc>
      </w:tr>
      <w:tr w14:paraId="4DA7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ign w:val="center"/>
          </w:tcPr>
          <w:p w14:paraId="2E64742C">
            <w:pPr>
              <w:pStyle w:val="150"/>
              <w:jc w:val="center"/>
              <w:rPr>
                <w:rFonts w:ascii="宋体" w:hAnsi="宋体" w:cs="宋体"/>
                <w:color w:val="auto"/>
                <w:szCs w:val="21"/>
                <w:highlight w:val="none"/>
              </w:rPr>
            </w:pPr>
            <w:r>
              <w:rPr>
                <w:rFonts w:hint="eastAsia" w:ascii="宋体" w:hAnsi="宋体" w:cs="宋体"/>
                <w:color w:val="auto"/>
                <w:szCs w:val="21"/>
                <w:highlight w:val="none"/>
              </w:rPr>
              <w:t>……</w:t>
            </w:r>
          </w:p>
        </w:tc>
        <w:tc>
          <w:tcPr>
            <w:tcW w:w="1985" w:type="dxa"/>
            <w:noWrap/>
            <w:vAlign w:val="center"/>
          </w:tcPr>
          <w:p w14:paraId="62C6A093">
            <w:pPr>
              <w:pStyle w:val="150"/>
              <w:jc w:val="center"/>
              <w:rPr>
                <w:rFonts w:ascii="宋体" w:hAnsi="宋体" w:cs="宋体"/>
                <w:color w:val="auto"/>
                <w:szCs w:val="21"/>
                <w:highlight w:val="none"/>
              </w:rPr>
            </w:pPr>
            <w:r>
              <w:rPr>
                <w:rFonts w:hint="eastAsia" w:ascii="宋体" w:hAnsi="宋体" w:cs="宋体"/>
                <w:color w:val="auto"/>
                <w:szCs w:val="21"/>
                <w:highlight w:val="none"/>
              </w:rPr>
              <w:t>……</w:t>
            </w:r>
          </w:p>
        </w:tc>
        <w:tc>
          <w:tcPr>
            <w:tcW w:w="2126" w:type="dxa"/>
            <w:noWrap/>
            <w:tcMar>
              <w:left w:w="170" w:type="dxa"/>
            </w:tcMar>
            <w:vAlign w:val="center"/>
          </w:tcPr>
          <w:p w14:paraId="1A481635">
            <w:pPr>
              <w:pStyle w:val="150"/>
              <w:rPr>
                <w:rFonts w:ascii="宋体" w:hAnsi="宋体" w:cs="宋体"/>
                <w:color w:val="auto"/>
                <w:szCs w:val="21"/>
                <w:highlight w:val="none"/>
              </w:rPr>
            </w:pPr>
          </w:p>
        </w:tc>
        <w:tc>
          <w:tcPr>
            <w:tcW w:w="1984" w:type="dxa"/>
            <w:noWrap/>
            <w:vAlign w:val="center"/>
          </w:tcPr>
          <w:p w14:paraId="0553C460">
            <w:pPr>
              <w:pStyle w:val="150"/>
              <w:jc w:val="center"/>
              <w:rPr>
                <w:rFonts w:ascii="宋体" w:hAnsi="宋体" w:cs="宋体"/>
                <w:color w:val="auto"/>
                <w:szCs w:val="21"/>
                <w:highlight w:val="none"/>
              </w:rPr>
            </w:pPr>
          </w:p>
        </w:tc>
        <w:tc>
          <w:tcPr>
            <w:tcW w:w="1843" w:type="dxa"/>
            <w:noWrap/>
            <w:vAlign w:val="center"/>
          </w:tcPr>
          <w:p w14:paraId="54C8BB73">
            <w:pPr>
              <w:pStyle w:val="150"/>
              <w:jc w:val="center"/>
              <w:rPr>
                <w:rFonts w:ascii="宋体" w:hAnsi="宋体" w:cs="宋体"/>
                <w:color w:val="auto"/>
                <w:szCs w:val="21"/>
                <w:highlight w:val="none"/>
              </w:rPr>
            </w:pPr>
          </w:p>
        </w:tc>
      </w:tr>
      <w:tr w14:paraId="6DE9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noWrap/>
            <w:vAlign w:val="center"/>
          </w:tcPr>
          <w:p w14:paraId="463B6046">
            <w:pPr>
              <w:pStyle w:val="150"/>
              <w:spacing w:line="360" w:lineRule="auto"/>
              <w:rPr>
                <w:rFonts w:ascii="宋体" w:hAnsi="宋体" w:cs="宋体"/>
                <w:color w:val="auto"/>
                <w:szCs w:val="21"/>
                <w:highlight w:val="none"/>
              </w:rPr>
            </w:pPr>
            <w:r>
              <w:rPr>
                <w:rFonts w:hint="eastAsia" w:ascii="宋体" w:hAnsi="宋体" w:cs="宋体"/>
                <w:color w:val="auto"/>
                <w:szCs w:val="21"/>
                <w:highlight w:val="none"/>
              </w:rPr>
              <w:t>备注：供应商在响应竞争性磋商文件中规定的实质性要求和条件的基础上，可做出其他有利于采购人的承诺。此类承诺可在本表中予以补充填写。</w:t>
            </w:r>
          </w:p>
        </w:tc>
      </w:tr>
    </w:tbl>
    <w:p w14:paraId="738AAE2C">
      <w:pPr>
        <w:pStyle w:val="15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供应商（盖单位章）：</w:t>
      </w:r>
    </w:p>
    <w:p w14:paraId="65272C99">
      <w:pPr>
        <w:pStyle w:val="15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法人代表或委托代理人（签字或盖章）：</w:t>
      </w:r>
    </w:p>
    <w:p w14:paraId="019ED242">
      <w:pPr>
        <w:pStyle w:val="15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日期：年月日</w:t>
      </w:r>
    </w:p>
    <w:p w14:paraId="5943600A">
      <w:pPr>
        <w:pStyle w:val="150"/>
        <w:spacing w:line="480" w:lineRule="auto"/>
        <w:ind w:firstLine="525" w:firstLineChars="250"/>
        <w:rPr>
          <w:rFonts w:ascii="宋体" w:hAnsi="宋体" w:cs="宋体"/>
          <w:color w:val="auto"/>
          <w:szCs w:val="21"/>
          <w:highlight w:val="none"/>
        </w:rPr>
      </w:pPr>
    </w:p>
    <w:p w14:paraId="72CB72D3">
      <w:pPr>
        <w:pStyle w:val="150"/>
        <w:jc w:val="center"/>
        <w:outlineLvl w:val="0"/>
        <w:rPr>
          <w:rFonts w:ascii="宋体" w:hAnsi="宋体" w:cs="宋体"/>
          <w:b/>
          <w:bCs/>
          <w:color w:val="auto"/>
          <w:sz w:val="24"/>
          <w:szCs w:val="24"/>
          <w:highlight w:val="none"/>
        </w:rPr>
      </w:pPr>
      <w:r>
        <w:rPr>
          <w:rFonts w:hint="eastAsia" w:ascii="宋体" w:hAnsi="宋体" w:cs="宋体"/>
          <w:color w:val="auto"/>
          <w:szCs w:val="21"/>
          <w:highlight w:val="none"/>
        </w:rPr>
        <w:br w:type="page"/>
      </w:r>
      <w:bookmarkStart w:id="1074" w:name="_Toc349215560"/>
      <w:bookmarkStart w:id="1075" w:name="_Toc349640339"/>
      <w:bookmarkStart w:id="1076" w:name="_Toc349557654"/>
      <w:bookmarkStart w:id="1077" w:name="_Toc389065358"/>
      <w:bookmarkStart w:id="1078" w:name="_Toc349555832"/>
      <w:bookmarkStart w:id="1079" w:name="_Toc513455299"/>
      <w:bookmarkStart w:id="1080" w:name="_Toc349558044"/>
      <w:bookmarkStart w:id="1081" w:name="_Toc349639687"/>
      <w:r>
        <w:rPr>
          <w:rFonts w:hint="eastAsia" w:ascii="宋体" w:hAnsi="宋体" w:cs="宋体"/>
          <w:b/>
          <w:bCs/>
          <w:color w:val="auto"/>
          <w:sz w:val="24"/>
          <w:szCs w:val="24"/>
          <w:highlight w:val="none"/>
        </w:rPr>
        <w:t>2.1磋商报价表</w:t>
      </w:r>
      <w:bookmarkEnd w:id="1074"/>
      <w:bookmarkEnd w:id="1075"/>
      <w:bookmarkEnd w:id="1076"/>
      <w:bookmarkEnd w:id="1077"/>
      <w:bookmarkEnd w:id="1078"/>
      <w:bookmarkEnd w:id="1079"/>
      <w:bookmarkEnd w:id="1080"/>
      <w:bookmarkEnd w:id="1081"/>
    </w:p>
    <w:p w14:paraId="75C74ACE">
      <w:pPr>
        <w:pStyle w:val="150"/>
        <w:rPr>
          <w:rFonts w:ascii="宋体" w:hAnsi="宋体" w:cs="宋体"/>
          <w:color w:val="auto"/>
          <w:highlight w:val="none"/>
        </w:rPr>
      </w:pPr>
    </w:p>
    <w:p w14:paraId="52CDB0B3">
      <w:pPr>
        <w:pStyle w:val="150"/>
        <w:ind w:left="-178" w:leftChars="-85" w:right="-512" w:rightChars="-244" w:firstLine="840" w:firstLineChars="400"/>
        <w:jc w:val="left"/>
        <w:rPr>
          <w:rFonts w:ascii="宋体" w:hAnsi="宋体" w:cs="宋体"/>
          <w:color w:val="auto"/>
          <w:szCs w:val="21"/>
          <w:highlight w:val="none"/>
        </w:rPr>
      </w:pPr>
      <w:r>
        <w:rPr>
          <w:rFonts w:hint="eastAsia" w:ascii="宋体" w:hAnsi="宋体" w:cs="宋体"/>
          <w:color w:val="auto"/>
          <w:szCs w:val="21"/>
          <w:highlight w:val="none"/>
        </w:rPr>
        <w:t>项目名称：                                             币种：人民币</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6"/>
        <w:gridCol w:w="1987"/>
        <w:gridCol w:w="1702"/>
      </w:tblGrid>
      <w:tr w14:paraId="176D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100" w:type="dxa"/>
            <w:gridSpan w:val="2"/>
            <w:noWrap/>
            <w:vAlign w:val="center"/>
          </w:tcPr>
          <w:p w14:paraId="1A2330E0">
            <w:pPr>
              <w:pStyle w:val="150"/>
              <w:widowControl/>
              <w:jc w:val="center"/>
              <w:rPr>
                <w:rFonts w:ascii="宋体" w:hAnsi="宋体" w:cs="宋体"/>
                <w:color w:val="auto"/>
                <w:szCs w:val="21"/>
                <w:highlight w:val="none"/>
              </w:rPr>
            </w:pPr>
            <w:r>
              <w:rPr>
                <w:rFonts w:hint="eastAsia" w:ascii="宋体" w:hAnsi="宋体" w:cs="宋体"/>
                <w:color w:val="auto"/>
                <w:szCs w:val="21"/>
                <w:highlight w:val="none"/>
              </w:rPr>
              <w:t>投标报价</w:t>
            </w:r>
          </w:p>
        </w:tc>
        <w:tc>
          <w:tcPr>
            <w:tcW w:w="1987" w:type="dxa"/>
            <w:noWrap/>
            <w:vAlign w:val="center"/>
          </w:tcPr>
          <w:p w14:paraId="6EF049C2">
            <w:pPr>
              <w:pStyle w:val="150"/>
              <w:widowControl/>
              <w:jc w:val="right"/>
              <w:rPr>
                <w:rFonts w:ascii="宋体" w:hAnsi="宋体" w:cs="宋体"/>
                <w:color w:val="auto"/>
                <w:szCs w:val="21"/>
                <w:highlight w:val="none"/>
              </w:rPr>
            </w:pPr>
            <w:r>
              <w:rPr>
                <w:rFonts w:hint="eastAsia" w:ascii="宋体" w:hAnsi="宋体" w:cs="宋体"/>
                <w:color w:val="auto"/>
                <w:szCs w:val="21"/>
                <w:highlight w:val="none"/>
              </w:rPr>
              <w:t>万元</w:t>
            </w:r>
          </w:p>
        </w:tc>
        <w:tc>
          <w:tcPr>
            <w:tcW w:w="1702" w:type="dxa"/>
            <w:noWrap/>
            <w:vAlign w:val="center"/>
          </w:tcPr>
          <w:p w14:paraId="20CFE43C">
            <w:pPr>
              <w:pStyle w:val="150"/>
              <w:widowControl/>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73EF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984" w:type="dxa"/>
            <w:vMerge w:val="restart"/>
            <w:noWrap/>
            <w:vAlign w:val="center"/>
          </w:tcPr>
          <w:p w14:paraId="6E54C666">
            <w:pPr>
              <w:pStyle w:val="150"/>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3116" w:type="dxa"/>
            <w:noWrap/>
            <w:vAlign w:val="center"/>
          </w:tcPr>
          <w:p w14:paraId="22F79BEE">
            <w:pPr>
              <w:pStyle w:val="150"/>
              <w:jc w:val="center"/>
              <w:rPr>
                <w:rFonts w:ascii="宋体" w:hAnsi="宋体" w:cs="宋体"/>
                <w:color w:val="auto"/>
                <w:szCs w:val="21"/>
                <w:highlight w:val="none"/>
              </w:rPr>
            </w:pPr>
            <w:r>
              <w:rPr>
                <w:rFonts w:hint="eastAsia" w:ascii="宋体" w:hAnsi="宋体" w:cs="宋体"/>
                <w:color w:val="auto"/>
                <w:szCs w:val="21"/>
                <w:highlight w:val="none"/>
              </w:rPr>
              <w:t>安全文明施工费</w:t>
            </w:r>
          </w:p>
        </w:tc>
        <w:tc>
          <w:tcPr>
            <w:tcW w:w="1987" w:type="dxa"/>
            <w:noWrap/>
            <w:vAlign w:val="center"/>
          </w:tcPr>
          <w:p w14:paraId="284C0C7E">
            <w:pPr>
              <w:pStyle w:val="150"/>
              <w:jc w:val="right"/>
              <w:rPr>
                <w:rFonts w:ascii="宋体" w:hAnsi="宋体" w:cs="宋体"/>
                <w:color w:val="auto"/>
                <w:szCs w:val="21"/>
                <w:highlight w:val="none"/>
              </w:rPr>
            </w:pPr>
            <w:r>
              <w:rPr>
                <w:rFonts w:hint="eastAsia" w:ascii="宋体" w:hAnsi="宋体" w:cs="宋体"/>
                <w:color w:val="auto"/>
                <w:szCs w:val="21"/>
                <w:highlight w:val="none"/>
              </w:rPr>
              <w:t>万元</w:t>
            </w:r>
          </w:p>
        </w:tc>
        <w:tc>
          <w:tcPr>
            <w:tcW w:w="1702" w:type="dxa"/>
            <w:noWrap/>
            <w:vAlign w:val="center"/>
          </w:tcPr>
          <w:p w14:paraId="3D254994">
            <w:pPr>
              <w:pStyle w:val="150"/>
              <w:jc w:val="center"/>
              <w:rPr>
                <w:rFonts w:ascii="宋体" w:hAnsi="宋体" w:cs="宋体"/>
                <w:color w:val="auto"/>
                <w:szCs w:val="21"/>
                <w:highlight w:val="none"/>
              </w:rPr>
            </w:pPr>
          </w:p>
        </w:tc>
      </w:tr>
      <w:tr w14:paraId="765C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ign w:val="center"/>
          </w:tcPr>
          <w:p w14:paraId="72AEB55D">
            <w:pPr>
              <w:pStyle w:val="150"/>
              <w:widowControl/>
              <w:jc w:val="center"/>
              <w:rPr>
                <w:rFonts w:ascii="宋体" w:hAnsi="宋体" w:cs="宋体"/>
                <w:color w:val="auto"/>
                <w:szCs w:val="21"/>
                <w:highlight w:val="none"/>
              </w:rPr>
            </w:pPr>
          </w:p>
        </w:tc>
        <w:tc>
          <w:tcPr>
            <w:tcW w:w="3116" w:type="dxa"/>
            <w:noWrap/>
            <w:vAlign w:val="center"/>
          </w:tcPr>
          <w:p w14:paraId="3306141B">
            <w:pPr>
              <w:pStyle w:val="150"/>
              <w:jc w:val="center"/>
              <w:rPr>
                <w:rFonts w:ascii="宋体" w:hAnsi="宋体" w:cs="宋体"/>
                <w:color w:val="auto"/>
                <w:szCs w:val="21"/>
                <w:highlight w:val="none"/>
              </w:rPr>
            </w:pPr>
            <w:r>
              <w:rPr>
                <w:rFonts w:hint="eastAsia" w:ascii="宋体" w:hAnsi="宋体" w:cs="宋体"/>
                <w:color w:val="auto"/>
                <w:szCs w:val="21"/>
                <w:highlight w:val="none"/>
              </w:rPr>
              <w:t>发包人提供材料（如有）</w:t>
            </w:r>
          </w:p>
        </w:tc>
        <w:tc>
          <w:tcPr>
            <w:tcW w:w="1987" w:type="dxa"/>
            <w:noWrap/>
            <w:vAlign w:val="center"/>
          </w:tcPr>
          <w:p w14:paraId="1BE017B0">
            <w:pPr>
              <w:pStyle w:val="150"/>
              <w:widowControl/>
              <w:jc w:val="right"/>
              <w:rPr>
                <w:rFonts w:ascii="宋体" w:hAnsi="宋体" w:cs="宋体"/>
                <w:color w:val="auto"/>
                <w:szCs w:val="21"/>
                <w:highlight w:val="none"/>
              </w:rPr>
            </w:pPr>
            <w:r>
              <w:rPr>
                <w:rFonts w:hint="eastAsia" w:ascii="宋体" w:hAnsi="宋体" w:cs="宋体"/>
                <w:color w:val="auto"/>
                <w:szCs w:val="21"/>
                <w:highlight w:val="none"/>
              </w:rPr>
              <w:t>万元</w:t>
            </w:r>
          </w:p>
        </w:tc>
        <w:tc>
          <w:tcPr>
            <w:tcW w:w="1702" w:type="dxa"/>
            <w:noWrap/>
          </w:tcPr>
          <w:p w14:paraId="746E3FA3">
            <w:pPr>
              <w:pStyle w:val="150"/>
              <w:widowControl/>
              <w:ind w:right="480"/>
              <w:rPr>
                <w:rFonts w:ascii="宋体" w:hAnsi="宋体" w:cs="宋体"/>
                <w:color w:val="auto"/>
                <w:szCs w:val="21"/>
                <w:highlight w:val="none"/>
              </w:rPr>
            </w:pPr>
          </w:p>
        </w:tc>
      </w:tr>
      <w:tr w14:paraId="322D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ign w:val="center"/>
          </w:tcPr>
          <w:p w14:paraId="0926BA2B">
            <w:pPr>
              <w:pStyle w:val="150"/>
              <w:widowControl/>
              <w:jc w:val="center"/>
              <w:rPr>
                <w:rFonts w:ascii="宋体" w:hAnsi="宋体" w:cs="宋体"/>
                <w:color w:val="auto"/>
                <w:szCs w:val="21"/>
                <w:highlight w:val="none"/>
              </w:rPr>
            </w:pPr>
          </w:p>
        </w:tc>
        <w:tc>
          <w:tcPr>
            <w:tcW w:w="3116" w:type="dxa"/>
            <w:noWrap/>
            <w:vAlign w:val="center"/>
          </w:tcPr>
          <w:p w14:paraId="1E4F4314">
            <w:pPr>
              <w:pStyle w:val="150"/>
              <w:jc w:val="center"/>
              <w:rPr>
                <w:rFonts w:ascii="宋体" w:hAnsi="宋体" w:cs="宋体"/>
                <w:color w:val="auto"/>
                <w:szCs w:val="21"/>
                <w:highlight w:val="none"/>
              </w:rPr>
            </w:pPr>
            <w:r>
              <w:rPr>
                <w:rFonts w:hint="eastAsia" w:ascii="宋体" w:hAnsi="宋体" w:cs="宋体"/>
                <w:color w:val="auto"/>
                <w:szCs w:val="21"/>
                <w:highlight w:val="none"/>
              </w:rPr>
              <w:t>承包人提供材料（设备）暂估价（如有）</w:t>
            </w:r>
          </w:p>
        </w:tc>
        <w:tc>
          <w:tcPr>
            <w:tcW w:w="1987" w:type="dxa"/>
            <w:noWrap/>
            <w:vAlign w:val="center"/>
          </w:tcPr>
          <w:p w14:paraId="7F6361F5">
            <w:pPr>
              <w:pStyle w:val="150"/>
              <w:widowControl/>
              <w:jc w:val="right"/>
              <w:rPr>
                <w:rFonts w:ascii="宋体" w:hAnsi="宋体" w:cs="宋体"/>
                <w:color w:val="auto"/>
                <w:szCs w:val="21"/>
                <w:highlight w:val="none"/>
              </w:rPr>
            </w:pPr>
            <w:r>
              <w:rPr>
                <w:rFonts w:hint="eastAsia" w:ascii="宋体" w:hAnsi="宋体" w:cs="宋体"/>
                <w:color w:val="auto"/>
                <w:szCs w:val="21"/>
                <w:highlight w:val="none"/>
              </w:rPr>
              <w:t>万元</w:t>
            </w:r>
          </w:p>
        </w:tc>
        <w:tc>
          <w:tcPr>
            <w:tcW w:w="1702" w:type="dxa"/>
            <w:noWrap/>
          </w:tcPr>
          <w:p w14:paraId="6E21837F">
            <w:pPr>
              <w:pStyle w:val="150"/>
              <w:widowControl/>
              <w:ind w:right="480"/>
              <w:rPr>
                <w:rFonts w:ascii="宋体" w:hAnsi="宋体" w:cs="宋体"/>
                <w:color w:val="auto"/>
                <w:szCs w:val="21"/>
                <w:highlight w:val="none"/>
              </w:rPr>
            </w:pPr>
          </w:p>
        </w:tc>
      </w:tr>
      <w:tr w14:paraId="24CD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ign w:val="center"/>
          </w:tcPr>
          <w:p w14:paraId="3EE0C2D8">
            <w:pPr>
              <w:pStyle w:val="150"/>
              <w:widowControl/>
              <w:jc w:val="center"/>
              <w:rPr>
                <w:rFonts w:ascii="宋体" w:hAnsi="宋体" w:cs="宋体"/>
                <w:color w:val="auto"/>
                <w:szCs w:val="21"/>
                <w:highlight w:val="none"/>
              </w:rPr>
            </w:pPr>
          </w:p>
        </w:tc>
        <w:tc>
          <w:tcPr>
            <w:tcW w:w="3116" w:type="dxa"/>
            <w:noWrap/>
            <w:vAlign w:val="center"/>
          </w:tcPr>
          <w:p w14:paraId="163AF21C">
            <w:pPr>
              <w:pStyle w:val="150"/>
              <w:widowControl/>
              <w:ind w:firstLine="945" w:firstLineChars="450"/>
              <w:rPr>
                <w:rFonts w:ascii="宋体" w:hAnsi="宋体" w:cs="宋体"/>
                <w:color w:val="auto"/>
                <w:szCs w:val="21"/>
                <w:highlight w:val="none"/>
              </w:rPr>
            </w:pPr>
            <w:r>
              <w:rPr>
                <w:rFonts w:hint="eastAsia" w:ascii="宋体" w:hAnsi="宋体" w:cs="宋体"/>
                <w:color w:val="auto"/>
                <w:szCs w:val="21"/>
                <w:highlight w:val="none"/>
              </w:rPr>
              <w:t>暂估专业工程（如有）</w:t>
            </w:r>
          </w:p>
        </w:tc>
        <w:tc>
          <w:tcPr>
            <w:tcW w:w="1987" w:type="dxa"/>
            <w:noWrap/>
            <w:vAlign w:val="center"/>
          </w:tcPr>
          <w:p w14:paraId="0FAEEB9C">
            <w:pPr>
              <w:pStyle w:val="150"/>
              <w:widowControl/>
              <w:jc w:val="right"/>
              <w:rPr>
                <w:rFonts w:ascii="宋体" w:hAnsi="宋体" w:cs="宋体"/>
                <w:color w:val="auto"/>
                <w:szCs w:val="21"/>
                <w:highlight w:val="none"/>
              </w:rPr>
            </w:pPr>
            <w:r>
              <w:rPr>
                <w:rFonts w:hint="eastAsia" w:ascii="宋体" w:hAnsi="宋体" w:cs="宋体"/>
                <w:color w:val="auto"/>
                <w:szCs w:val="21"/>
                <w:highlight w:val="none"/>
              </w:rPr>
              <w:t>万元</w:t>
            </w:r>
          </w:p>
        </w:tc>
        <w:tc>
          <w:tcPr>
            <w:tcW w:w="1702" w:type="dxa"/>
            <w:noWrap/>
          </w:tcPr>
          <w:p w14:paraId="41BF38C5">
            <w:pPr>
              <w:pStyle w:val="150"/>
              <w:widowControl/>
              <w:ind w:right="480"/>
              <w:rPr>
                <w:rFonts w:ascii="宋体" w:hAnsi="宋体" w:cs="宋体"/>
                <w:color w:val="auto"/>
                <w:szCs w:val="21"/>
                <w:highlight w:val="none"/>
              </w:rPr>
            </w:pPr>
          </w:p>
        </w:tc>
      </w:tr>
      <w:tr w14:paraId="7AF0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ign w:val="center"/>
          </w:tcPr>
          <w:p w14:paraId="768E653D">
            <w:pPr>
              <w:pStyle w:val="150"/>
              <w:widowControl/>
              <w:jc w:val="center"/>
              <w:rPr>
                <w:rFonts w:ascii="宋体" w:hAnsi="宋体" w:cs="宋体"/>
                <w:color w:val="auto"/>
                <w:szCs w:val="21"/>
                <w:highlight w:val="none"/>
              </w:rPr>
            </w:pPr>
          </w:p>
        </w:tc>
        <w:tc>
          <w:tcPr>
            <w:tcW w:w="3116" w:type="dxa"/>
            <w:noWrap/>
            <w:vAlign w:val="center"/>
          </w:tcPr>
          <w:p w14:paraId="6B1C3F72">
            <w:pPr>
              <w:pStyle w:val="150"/>
              <w:widowControl/>
              <w:ind w:firstLine="945" w:firstLineChars="450"/>
              <w:rPr>
                <w:rFonts w:ascii="宋体" w:hAnsi="宋体" w:cs="宋体"/>
                <w:color w:val="auto"/>
                <w:szCs w:val="21"/>
                <w:highlight w:val="none"/>
              </w:rPr>
            </w:pPr>
            <w:r>
              <w:rPr>
                <w:rFonts w:hint="eastAsia" w:ascii="宋体" w:hAnsi="宋体" w:cs="宋体"/>
                <w:color w:val="auto"/>
                <w:szCs w:val="21"/>
                <w:highlight w:val="none"/>
              </w:rPr>
              <w:t>暂列金额（如有）</w:t>
            </w:r>
          </w:p>
        </w:tc>
        <w:tc>
          <w:tcPr>
            <w:tcW w:w="1987" w:type="dxa"/>
            <w:noWrap/>
            <w:vAlign w:val="center"/>
          </w:tcPr>
          <w:p w14:paraId="2F9E3A75">
            <w:pPr>
              <w:pStyle w:val="150"/>
              <w:widowControl/>
              <w:jc w:val="right"/>
              <w:rPr>
                <w:rFonts w:ascii="宋体" w:hAnsi="宋体" w:cs="宋体"/>
                <w:color w:val="auto"/>
                <w:szCs w:val="21"/>
                <w:highlight w:val="none"/>
              </w:rPr>
            </w:pPr>
            <w:r>
              <w:rPr>
                <w:rFonts w:hint="eastAsia" w:ascii="宋体" w:hAnsi="宋体" w:cs="宋体"/>
                <w:color w:val="auto"/>
                <w:szCs w:val="21"/>
                <w:highlight w:val="none"/>
              </w:rPr>
              <w:t>万元</w:t>
            </w:r>
          </w:p>
        </w:tc>
        <w:tc>
          <w:tcPr>
            <w:tcW w:w="1702" w:type="dxa"/>
            <w:noWrap/>
          </w:tcPr>
          <w:p w14:paraId="43C20835">
            <w:pPr>
              <w:pStyle w:val="150"/>
              <w:widowControl/>
              <w:ind w:right="480"/>
              <w:rPr>
                <w:rFonts w:ascii="宋体" w:hAnsi="宋体" w:cs="宋体"/>
                <w:color w:val="auto"/>
                <w:szCs w:val="21"/>
                <w:highlight w:val="none"/>
              </w:rPr>
            </w:pPr>
          </w:p>
        </w:tc>
      </w:tr>
      <w:tr w14:paraId="6472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4" w:type="dxa"/>
            <w:vMerge w:val="restart"/>
            <w:noWrap/>
            <w:vAlign w:val="center"/>
          </w:tcPr>
          <w:p w14:paraId="14A2474B">
            <w:pPr>
              <w:pStyle w:val="150"/>
              <w:widowControl/>
              <w:jc w:val="center"/>
              <w:rPr>
                <w:rFonts w:ascii="宋体" w:hAnsi="宋体" w:cs="宋体"/>
                <w:color w:val="auto"/>
                <w:szCs w:val="21"/>
                <w:highlight w:val="none"/>
              </w:rPr>
            </w:pPr>
            <w:r>
              <w:rPr>
                <w:rFonts w:hint="eastAsia" w:ascii="宋体" w:hAnsi="宋体" w:cs="宋体"/>
                <w:color w:val="auto"/>
                <w:szCs w:val="21"/>
                <w:highlight w:val="none"/>
              </w:rPr>
              <w:t>主要材料</w:t>
            </w:r>
          </w:p>
        </w:tc>
        <w:tc>
          <w:tcPr>
            <w:tcW w:w="3116" w:type="dxa"/>
            <w:noWrap/>
            <w:vAlign w:val="center"/>
          </w:tcPr>
          <w:p w14:paraId="08FFCFA0">
            <w:pPr>
              <w:pStyle w:val="150"/>
              <w:widowControl/>
              <w:jc w:val="center"/>
              <w:rPr>
                <w:rFonts w:ascii="宋体" w:hAnsi="宋体" w:cs="宋体"/>
                <w:color w:val="auto"/>
                <w:szCs w:val="21"/>
                <w:highlight w:val="none"/>
              </w:rPr>
            </w:pPr>
            <w:r>
              <w:rPr>
                <w:rFonts w:hint="eastAsia" w:ascii="宋体" w:hAnsi="宋体" w:cs="宋体"/>
                <w:color w:val="auto"/>
                <w:szCs w:val="21"/>
                <w:highlight w:val="none"/>
              </w:rPr>
              <w:t>钢筋</w:t>
            </w:r>
          </w:p>
        </w:tc>
        <w:tc>
          <w:tcPr>
            <w:tcW w:w="1987" w:type="dxa"/>
            <w:noWrap/>
            <w:vAlign w:val="center"/>
          </w:tcPr>
          <w:p w14:paraId="6CCA1E46">
            <w:pPr>
              <w:pStyle w:val="150"/>
              <w:widowControl/>
              <w:jc w:val="right"/>
              <w:rPr>
                <w:rFonts w:ascii="宋体" w:hAnsi="宋体" w:cs="宋体"/>
                <w:color w:val="auto"/>
                <w:szCs w:val="21"/>
                <w:highlight w:val="none"/>
              </w:rPr>
            </w:pPr>
            <w:r>
              <w:rPr>
                <w:rFonts w:hint="eastAsia" w:ascii="宋体" w:hAnsi="宋体" w:cs="宋体"/>
                <w:color w:val="auto"/>
                <w:szCs w:val="21"/>
                <w:highlight w:val="none"/>
              </w:rPr>
              <w:t>吨</w:t>
            </w:r>
          </w:p>
        </w:tc>
        <w:tc>
          <w:tcPr>
            <w:tcW w:w="1702" w:type="dxa"/>
            <w:noWrap/>
          </w:tcPr>
          <w:p w14:paraId="4DC3A633">
            <w:pPr>
              <w:pStyle w:val="150"/>
              <w:widowControl/>
              <w:jc w:val="right"/>
              <w:rPr>
                <w:rFonts w:ascii="宋体" w:hAnsi="宋体" w:cs="宋体"/>
                <w:color w:val="auto"/>
                <w:szCs w:val="21"/>
                <w:highlight w:val="none"/>
              </w:rPr>
            </w:pPr>
          </w:p>
        </w:tc>
      </w:tr>
      <w:tr w14:paraId="5440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4" w:type="dxa"/>
            <w:vMerge w:val="continue"/>
            <w:noWrap/>
            <w:vAlign w:val="center"/>
          </w:tcPr>
          <w:p w14:paraId="70AFF246">
            <w:pPr>
              <w:pStyle w:val="150"/>
              <w:widowControl/>
              <w:jc w:val="center"/>
              <w:rPr>
                <w:rFonts w:ascii="宋体" w:hAnsi="宋体" w:cs="宋体"/>
                <w:color w:val="auto"/>
                <w:szCs w:val="21"/>
                <w:highlight w:val="none"/>
              </w:rPr>
            </w:pPr>
          </w:p>
        </w:tc>
        <w:tc>
          <w:tcPr>
            <w:tcW w:w="3116" w:type="dxa"/>
            <w:noWrap/>
            <w:vAlign w:val="center"/>
          </w:tcPr>
          <w:p w14:paraId="541EEBBC">
            <w:pPr>
              <w:pStyle w:val="150"/>
              <w:widowControl/>
              <w:jc w:val="center"/>
              <w:rPr>
                <w:rFonts w:ascii="宋体" w:hAnsi="宋体" w:cs="宋体"/>
                <w:color w:val="auto"/>
                <w:szCs w:val="21"/>
                <w:highlight w:val="none"/>
              </w:rPr>
            </w:pPr>
            <w:r>
              <w:rPr>
                <w:rFonts w:hint="eastAsia" w:ascii="宋体" w:hAnsi="宋体" w:cs="宋体"/>
                <w:color w:val="auto"/>
                <w:szCs w:val="21"/>
                <w:highlight w:val="none"/>
              </w:rPr>
              <w:t>水泥（不含商品混凝土用量）</w:t>
            </w:r>
          </w:p>
        </w:tc>
        <w:tc>
          <w:tcPr>
            <w:tcW w:w="1987" w:type="dxa"/>
            <w:noWrap/>
            <w:vAlign w:val="center"/>
          </w:tcPr>
          <w:p w14:paraId="5543C802">
            <w:pPr>
              <w:pStyle w:val="150"/>
              <w:widowControl/>
              <w:tabs>
                <w:tab w:val="left" w:pos="2398"/>
              </w:tabs>
              <w:ind w:right="18"/>
              <w:jc w:val="right"/>
              <w:rPr>
                <w:rFonts w:ascii="宋体" w:hAnsi="宋体" w:cs="宋体"/>
                <w:color w:val="auto"/>
                <w:szCs w:val="21"/>
                <w:highlight w:val="none"/>
              </w:rPr>
            </w:pPr>
            <w:r>
              <w:rPr>
                <w:rFonts w:hint="eastAsia" w:ascii="宋体" w:hAnsi="宋体" w:cs="宋体"/>
                <w:color w:val="auto"/>
                <w:szCs w:val="21"/>
                <w:highlight w:val="none"/>
              </w:rPr>
              <w:t>吨</w:t>
            </w:r>
          </w:p>
        </w:tc>
        <w:tc>
          <w:tcPr>
            <w:tcW w:w="1702" w:type="dxa"/>
            <w:noWrap/>
          </w:tcPr>
          <w:p w14:paraId="2EA47B76">
            <w:pPr>
              <w:pStyle w:val="150"/>
              <w:widowControl/>
              <w:jc w:val="right"/>
              <w:rPr>
                <w:rFonts w:ascii="宋体" w:hAnsi="宋体" w:cs="宋体"/>
                <w:color w:val="auto"/>
                <w:szCs w:val="21"/>
                <w:highlight w:val="none"/>
              </w:rPr>
            </w:pPr>
          </w:p>
        </w:tc>
      </w:tr>
      <w:tr w14:paraId="66CF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84" w:type="dxa"/>
            <w:vMerge w:val="continue"/>
            <w:noWrap/>
            <w:vAlign w:val="center"/>
          </w:tcPr>
          <w:p w14:paraId="6F13F230">
            <w:pPr>
              <w:pStyle w:val="150"/>
              <w:widowControl/>
              <w:jc w:val="center"/>
              <w:rPr>
                <w:rFonts w:ascii="宋体" w:hAnsi="宋体" w:cs="宋体"/>
                <w:color w:val="auto"/>
                <w:szCs w:val="21"/>
                <w:highlight w:val="none"/>
              </w:rPr>
            </w:pPr>
          </w:p>
        </w:tc>
        <w:tc>
          <w:tcPr>
            <w:tcW w:w="3116" w:type="dxa"/>
            <w:noWrap/>
            <w:vAlign w:val="center"/>
          </w:tcPr>
          <w:p w14:paraId="158699B8">
            <w:pPr>
              <w:pStyle w:val="150"/>
              <w:widowControl/>
              <w:jc w:val="center"/>
              <w:rPr>
                <w:rFonts w:ascii="宋体" w:hAnsi="宋体" w:cs="宋体"/>
                <w:color w:val="auto"/>
                <w:szCs w:val="21"/>
                <w:highlight w:val="none"/>
              </w:rPr>
            </w:pPr>
            <w:r>
              <w:rPr>
                <w:rFonts w:hint="eastAsia" w:ascii="宋体" w:hAnsi="宋体" w:cs="宋体"/>
                <w:color w:val="auto"/>
                <w:szCs w:val="21"/>
                <w:highlight w:val="none"/>
              </w:rPr>
              <w:t>商品混凝土</w:t>
            </w:r>
          </w:p>
        </w:tc>
        <w:tc>
          <w:tcPr>
            <w:tcW w:w="1987" w:type="dxa"/>
            <w:noWrap/>
            <w:vAlign w:val="center"/>
          </w:tcPr>
          <w:p w14:paraId="392048FB">
            <w:pPr>
              <w:pStyle w:val="150"/>
              <w:widowControl/>
              <w:jc w:val="right"/>
              <w:rPr>
                <w:rFonts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3</w:t>
            </w:r>
          </w:p>
        </w:tc>
        <w:tc>
          <w:tcPr>
            <w:tcW w:w="1702" w:type="dxa"/>
            <w:noWrap/>
          </w:tcPr>
          <w:p w14:paraId="742A3AFF">
            <w:pPr>
              <w:pStyle w:val="150"/>
              <w:widowControl/>
              <w:jc w:val="right"/>
              <w:rPr>
                <w:rFonts w:ascii="宋体" w:hAnsi="宋体" w:cs="宋体"/>
                <w:color w:val="auto"/>
                <w:szCs w:val="21"/>
                <w:highlight w:val="none"/>
              </w:rPr>
            </w:pPr>
          </w:p>
        </w:tc>
      </w:tr>
    </w:tbl>
    <w:p w14:paraId="2B8E2316">
      <w:pPr>
        <w:pStyle w:val="15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供应商（盖单位章）：</w:t>
      </w:r>
    </w:p>
    <w:p w14:paraId="1EC81A57">
      <w:pPr>
        <w:pStyle w:val="15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法人代表或委托代理人（签字或盖章）：</w:t>
      </w:r>
    </w:p>
    <w:p w14:paraId="626A1117">
      <w:pPr>
        <w:pStyle w:val="15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日期：年月日</w:t>
      </w:r>
    </w:p>
    <w:p w14:paraId="493EFC00">
      <w:pPr>
        <w:pStyle w:val="150"/>
        <w:ind w:left="-178" w:leftChars="-85" w:firstLine="177" w:firstLineChars="74"/>
        <w:rPr>
          <w:rFonts w:ascii="宋体" w:hAnsi="宋体" w:cs="宋体"/>
          <w:color w:val="auto"/>
          <w:sz w:val="24"/>
          <w:szCs w:val="24"/>
          <w:highlight w:val="none"/>
        </w:rPr>
      </w:pPr>
    </w:p>
    <w:p w14:paraId="664B7B63">
      <w:pPr>
        <w:autoSpaceDE w:val="0"/>
        <w:autoSpaceDN w:val="0"/>
        <w:adjustRightInd w:val="0"/>
        <w:spacing w:line="480" w:lineRule="auto"/>
        <w:jc w:val="left"/>
        <w:outlineLvl w:val="0"/>
        <w:rPr>
          <w:rFonts w:ascii="宋体" w:hAnsi="宋体" w:cs="宋体"/>
          <w:b/>
          <w:color w:val="auto"/>
          <w:kern w:val="0"/>
          <w:highlight w:val="none"/>
        </w:rPr>
      </w:pPr>
      <w:bookmarkStart w:id="1082" w:name="_Toc245915362"/>
      <w:bookmarkStart w:id="1083" w:name="_Toc246303916"/>
      <w:bookmarkStart w:id="1084" w:name="_Toc246259667"/>
    </w:p>
    <w:p w14:paraId="090839AA">
      <w:pPr>
        <w:pStyle w:val="5"/>
        <w:spacing w:line="440" w:lineRule="exact"/>
        <w:rPr>
          <w:rFonts w:cs="宋体"/>
          <w:bCs/>
          <w:color w:val="auto"/>
          <w:sz w:val="30"/>
          <w:szCs w:val="30"/>
          <w:highlight w:val="none"/>
        </w:rPr>
      </w:pPr>
      <w:bookmarkStart w:id="1085" w:name="_Toc282355450"/>
      <w:bookmarkStart w:id="1086" w:name="_Toc47088390"/>
      <w:bookmarkStart w:id="1087" w:name="_Toc482785101"/>
      <w:bookmarkStart w:id="1088" w:name="_Toc285108314"/>
      <w:bookmarkStart w:id="1089" w:name="_Toc336079856"/>
    </w:p>
    <w:p w14:paraId="2621E273">
      <w:pPr>
        <w:pStyle w:val="5"/>
        <w:spacing w:line="440" w:lineRule="exact"/>
        <w:jc w:val="center"/>
        <w:rPr>
          <w:rFonts w:cs="宋体"/>
          <w:bCs/>
          <w:color w:val="auto"/>
          <w:sz w:val="30"/>
          <w:szCs w:val="30"/>
          <w:highlight w:val="none"/>
        </w:rPr>
      </w:pPr>
    </w:p>
    <w:p w14:paraId="700DA8A6">
      <w:pPr>
        <w:pStyle w:val="5"/>
        <w:spacing w:line="440" w:lineRule="exact"/>
        <w:ind w:firstLine="3012" w:firstLineChars="1000"/>
        <w:rPr>
          <w:rFonts w:cs="宋体"/>
          <w:bCs/>
          <w:color w:val="auto"/>
          <w:sz w:val="30"/>
          <w:szCs w:val="30"/>
          <w:highlight w:val="none"/>
        </w:rPr>
      </w:pPr>
      <w:bookmarkStart w:id="1090" w:name="_Toc75182792"/>
      <w:r>
        <w:rPr>
          <w:rFonts w:hint="eastAsia" w:cs="宋体"/>
          <w:bCs/>
          <w:color w:val="auto"/>
          <w:sz w:val="30"/>
          <w:szCs w:val="30"/>
          <w:highlight w:val="none"/>
        </w:rPr>
        <w:t xml:space="preserve">   </w:t>
      </w:r>
      <w:bookmarkStart w:id="1091" w:name="_Toc30642"/>
      <w:r>
        <w:rPr>
          <w:rFonts w:hint="eastAsia" w:cs="宋体"/>
          <w:bCs/>
          <w:color w:val="auto"/>
          <w:sz w:val="30"/>
          <w:szCs w:val="30"/>
          <w:highlight w:val="none"/>
        </w:rPr>
        <w:t xml:space="preserve">2.2  </w:t>
      </w:r>
      <w:r>
        <w:rPr>
          <w:rFonts w:cs="宋体"/>
          <w:bCs/>
          <w:color w:val="auto"/>
          <w:sz w:val="30"/>
          <w:szCs w:val="30"/>
          <w:highlight w:val="none"/>
        </w:rPr>
        <w:t>磋商报价文件</w:t>
      </w:r>
      <w:bookmarkEnd w:id="1085"/>
      <w:bookmarkEnd w:id="1086"/>
      <w:bookmarkEnd w:id="1087"/>
      <w:bookmarkEnd w:id="1088"/>
      <w:bookmarkEnd w:id="1089"/>
      <w:bookmarkEnd w:id="1090"/>
      <w:bookmarkEnd w:id="1091"/>
    </w:p>
    <w:p w14:paraId="1037D617">
      <w:pPr>
        <w:autoSpaceDE w:val="0"/>
        <w:autoSpaceDN w:val="0"/>
        <w:adjustRightInd w:val="0"/>
        <w:spacing w:line="360" w:lineRule="exact"/>
        <w:ind w:left="424" w:leftChars="202" w:right="565" w:rightChars="269"/>
        <w:jc w:val="center"/>
        <w:outlineLvl w:val="0"/>
        <w:rPr>
          <w:rFonts w:ascii="宋体" w:hAnsi="宋体" w:cs="宋体"/>
          <w:color w:val="auto"/>
          <w:szCs w:val="21"/>
          <w:highlight w:val="none"/>
        </w:rPr>
      </w:pPr>
      <w:r>
        <w:rPr>
          <w:rFonts w:hint="eastAsia" w:ascii="宋体" w:hAnsi="宋体" w:cs="宋体"/>
          <w:b/>
          <w:bCs/>
          <w:color w:val="auto"/>
          <w:szCs w:val="21"/>
          <w:highlight w:val="none"/>
        </w:rPr>
        <w:t>说明：磋商报价文件按第三章“图纸及工程量清单”的要求及相关清单表进行编制。供应商需根据采购人提供的工程量清单要求逐项填报工程量清单，包括工程量清单说明、投标报价说明、其他说明及工程量清单各项表格，并附单价分析）</w:t>
      </w:r>
    </w:p>
    <w:p w14:paraId="4C3A7536">
      <w:pPr>
        <w:snapToGrid w:val="0"/>
        <w:spacing w:line="340" w:lineRule="exact"/>
        <w:jc w:val="center"/>
        <w:rPr>
          <w:rFonts w:ascii="宋体" w:hAnsi="宋体" w:cs="宋体"/>
          <w:b/>
          <w:color w:val="auto"/>
          <w:sz w:val="30"/>
          <w:szCs w:val="30"/>
          <w:highlight w:val="none"/>
        </w:rPr>
      </w:pPr>
    </w:p>
    <w:p w14:paraId="235453A3">
      <w:pPr>
        <w:pStyle w:val="5"/>
        <w:spacing w:line="440" w:lineRule="exact"/>
        <w:rPr>
          <w:rFonts w:ascii="宋体" w:hAnsi="宋体" w:cs="宋体"/>
          <w:color w:val="auto"/>
          <w:kern w:val="0"/>
          <w:sz w:val="30"/>
          <w:szCs w:val="30"/>
          <w:highlight w:val="none"/>
        </w:rPr>
      </w:pPr>
      <w:bookmarkStart w:id="1092" w:name="_Toc336079858"/>
      <w:bookmarkStart w:id="1093" w:name="_Toc482785102"/>
    </w:p>
    <w:p w14:paraId="18836FA8">
      <w:pPr>
        <w:autoSpaceDE w:val="0"/>
        <w:autoSpaceDN w:val="0"/>
        <w:adjustRightInd w:val="0"/>
        <w:jc w:val="center"/>
        <w:rPr>
          <w:rFonts w:ascii="宋体" w:hAnsi="宋体" w:cs="宋体"/>
          <w:b/>
          <w:color w:val="auto"/>
          <w:kern w:val="0"/>
          <w:sz w:val="36"/>
          <w:highlight w:val="none"/>
        </w:rPr>
      </w:pPr>
    </w:p>
    <w:p w14:paraId="02570E2C">
      <w:pPr>
        <w:autoSpaceDE w:val="0"/>
        <w:autoSpaceDN w:val="0"/>
        <w:adjustRightInd w:val="0"/>
        <w:jc w:val="center"/>
        <w:outlineLvl w:val="0"/>
        <w:rPr>
          <w:rFonts w:ascii="宋体" w:hAnsi="宋体" w:cs="宋体"/>
          <w:color w:val="auto"/>
          <w:kern w:val="0"/>
          <w:highlight w:val="none"/>
        </w:rPr>
      </w:pPr>
    </w:p>
    <w:p w14:paraId="423BBE7F">
      <w:pPr>
        <w:pStyle w:val="4"/>
        <w:keepNext w:val="0"/>
        <w:keepLines w:val="0"/>
        <w:adjustRightInd w:val="0"/>
        <w:snapToGrid w:val="0"/>
        <w:spacing w:line="480" w:lineRule="exact"/>
        <w:jc w:val="center"/>
        <w:rPr>
          <w:rFonts w:ascii="Times New Roman" w:hAnsi="Times New Roman" w:eastAsia="宋体" w:cs="宋体"/>
          <w:bCs/>
          <w:color w:val="auto"/>
          <w:sz w:val="30"/>
          <w:szCs w:val="30"/>
          <w:highlight w:val="none"/>
        </w:rPr>
      </w:pPr>
      <w:bookmarkStart w:id="1094" w:name="_Toc8197"/>
      <w:r>
        <w:rPr>
          <w:rFonts w:hint="eastAsia" w:ascii="Times New Roman" w:hAnsi="Times New Roman" w:eastAsia="宋体" w:cs="宋体"/>
          <w:bCs/>
          <w:color w:val="auto"/>
          <w:sz w:val="30"/>
          <w:szCs w:val="30"/>
          <w:highlight w:val="none"/>
        </w:rPr>
        <w:t>3、供应商针对报价需要</w:t>
      </w:r>
      <w:r>
        <w:rPr>
          <w:rFonts w:hint="eastAsia" w:ascii="宋体" w:hAnsi="宋体" w:eastAsia="宋体" w:cs="宋体"/>
          <w:color w:val="auto"/>
          <w:sz w:val="28"/>
          <w:highlight w:val="none"/>
        </w:rPr>
        <w:t>说明</w:t>
      </w:r>
      <w:r>
        <w:rPr>
          <w:rFonts w:hint="eastAsia" w:ascii="Times New Roman" w:hAnsi="Times New Roman" w:eastAsia="宋体" w:cs="宋体"/>
          <w:bCs/>
          <w:color w:val="auto"/>
          <w:sz w:val="30"/>
          <w:szCs w:val="30"/>
          <w:highlight w:val="none"/>
        </w:rPr>
        <w:t>的其他文件和说明（格式自拟）</w:t>
      </w:r>
      <w:bookmarkEnd w:id="1094"/>
    </w:p>
    <w:p w14:paraId="7ADCE8E5">
      <w:pPr>
        <w:spacing w:line="300" w:lineRule="auto"/>
        <w:rPr>
          <w:rFonts w:ascii="宋体" w:hAnsi="宋体" w:cs="宋体"/>
          <w:color w:val="auto"/>
          <w:kern w:val="0"/>
          <w:szCs w:val="21"/>
          <w:highlight w:val="none"/>
        </w:rPr>
      </w:pPr>
    </w:p>
    <w:p w14:paraId="3275E754">
      <w:pPr>
        <w:pStyle w:val="17"/>
        <w:rPr>
          <w:color w:val="auto"/>
          <w:highlight w:val="none"/>
        </w:rPr>
      </w:pPr>
    </w:p>
    <w:p w14:paraId="4225A20B">
      <w:pPr>
        <w:autoSpaceDE w:val="0"/>
        <w:autoSpaceDN w:val="0"/>
        <w:adjustRightInd w:val="0"/>
        <w:jc w:val="center"/>
        <w:outlineLvl w:val="0"/>
        <w:rPr>
          <w:rFonts w:ascii="宋体" w:hAnsi="宋体" w:cs="宋体"/>
          <w:color w:val="auto"/>
          <w:kern w:val="0"/>
          <w:highlight w:val="none"/>
        </w:rPr>
      </w:pPr>
    </w:p>
    <w:p w14:paraId="39533993">
      <w:pPr>
        <w:autoSpaceDE w:val="0"/>
        <w:autoSpaceDN w:val="0"/>
        <w:adjustRightInd w:val="0"/>
        <w:ind w:firstLine="1039" w:firstLineChars="199"/>
        <w:jc w:val="center"/>
        <w:rPr>
          <w:rFonts w:ascii="宋体" w:hAnsi="宋体" w:cs="宋体"/>
          <w:b/>
          <w:color w:val="auto"/>
          <w:kern w:val="0"/>
          <w:sz w:val="52"/>
          <w:szCs w:val="52"/>
          <w:highlight w:val="none"/>
        </w:rPr>
      </w:pPr>
    </w:p>
    <w:p w14:paraId="331FEB2D">
      <w:pPr>
        <w:autoSpaceDE w:val="0"/>
        <w:autoSpaceDN w:val="0"/>
        <w:adjustRightInd w:val="0"/>
        <w:ind w:firstLine="1039" w:firstLineChars="199"/>
        <w:jc w:val="center"/>
        <w:rPr>
          <w:rFonts w:ascii="宋体" w:hAnsi="宋体" w:cs="宋体"/>
          <w:b/>
          <w:color w:val="auto"/>
          <w:kern w:val="0"/>
          <w:sz w:val="52"/>
          <w:szCs w:val="52"/>
          <w:highlight w:val="none"/>
        </w:rPr>
      </w:pPr>
    </w:p>
    <w:p w14:paraId="08D7B919">
      <w:pPr>
        <w:autoSpaceDE w:val="0"/>
        <w:autoSpaceDN w:val="0"/>
        <w:adjustRightInd w:val="0"/>
        <w:ind w:firstLine="1039" w:firstLineChars="199"/>
        <w:jc w:val="center"/>
        <w:rPr>
          <w:rFonts w:ascii="宋体" w:hAnsi="宋体" w:cs="宋体"/>
          <w:color w:val="auto"/>
          <w:kern w:val="0"/>
          <w:sz w:val="52"/>
          <w:szCs w:val="52"/>
          <w:highlight w:val="none"/>
        </w:rPr>
      </w:pPr>
      <w:r>
        <w:rPr>
          <w:rFonts w:hint="eastAsia" w:ascii="宋体" w:hAnsi="宋体" w:cs="宋体"/>
          <w:b/>
          <w:color w:val="auto"/>
          <w:kern w:val="0"/>
          <w:sz w:val="52"/>
          <w:szCs w:val="52"/>
          <w:highlight w:val="none"/>
        </w:rPr>
        <w:t>磋 商 响 应 文 件</w:t>
      </w:r>
    </w:p>
    <w:p w14:paraId="1C5AA4C3">
      <w:pPr>
        <w:autoSpaceDE w:val="0"/>
        <w:autoSpaceDN w:val="0"/>
        <w:adjustRightInd w:val="0"/>
        <w:jc w:val="center"/>
        <w:rPr>
          <w:rFonts w:ascii="宋体" w:hAnsi="宋体" w:cs="宋体"/>
          <w:color w:val="auto"/>
          <w:kern w:val="0"/>
          <w:szCs w:val="30"/>
          <w:highlight w:val="none"/>
        </w:rPr>
      </w:pPr>
    </w:p>
    <w:p w14:paraId="003BD659">
      <w:pPr>
        <w:autoSpaceDE w:val="0"/>
        <w:autoSpaceDN w:val="0"/>
        <w:adjustRightInd w:val="0"/>
        <w:jc w:val="center"/>
        <w:rPr>
          <w:rFonts w:ascii="宋体" w:hAnsi="宋体" w:cs="宋体"/>
          <w:color w:val="auto"/>
          <w:kern w:val="0"/>
          <w:sz w:val="28"/>
          <w:szCs w:val="28"/>
          <w:highlight w:val="none"/>
        </w:rPr>
      </w:pPr>
    </w:p>
    <w:p w14:paraId="70D1ED45">
      <w:pPr>
        <w:autoSpaceDE w:val="0"/>
        <w:autoSpaceDN w:val="0"/>
        <w:adjustRightInd w:val="0"/>
        <w:jc w:val="center"/>
        <w:rPr>
          <w:rFonts w:ascii="宋体" w:hAnsi="宋体" w:cs="宋体"/>
          <w:color w:val="auto"/>
          <w:kern w:val="0"/>
          <w:szCs w:val="30"/>
          <w:highlight w:val="none"/>
        </w:rPr>
      </w:pPr>
    </w:p>
    <w:p w14:paraId="59DB22FE">
      <w:pPr>
        <w:autoSpaceDE w:val="0"/>
        <w:autoSpaceDN w:val="0"/>
        <w:adjustRightInd w:val="0"/>
        <w:jc w:val="center"/>
        <w:rPr>
          <w:rFonts w:ascii="宋体" w:hAnsi="宋体" w:cs="宋体"/>
          <w:color w:val="auto"/>
          <w:kern w:val="0"/>
          <w:szCs w:val="30"/>
          <w:highlight w:val="none"/>
        </w:rPr>
      </w:pPr>
    </w:p>
    <w:p w14:paraId="116F0915">
      <w:pPr>
        <w:autoSpaceDE w:val="0"/>
        <w:autoSpaceDN w:val="0"/>
        <w:adjustRightInd w:val="0"/>
        <w:rPr>
          <w:rFonts w:ascii="宋体" w:hAnsi="宋体" w:cs="宋体"/>
          <w:color w:val="auto"/>
          <w:kern w:val="0"/>
          <w:szCs w:val="30"/>
          <w:highlight w:val="none"/>
        </w:rPr>
      </w:pPr>
    </w:p>
    <w:p w14:paraId="22E13B4B">
      <w:pPr>
        <w:autoSpaceDE w:val="0"/>
        <w:autoSpaceDN w:val="0"/>
        <w:adjustRightInd w:val="0"/>
        <w:rPr>
          <w:rFonts w:ascii="宋体" w:hAnsi="宋体" w:cs="宋体"/>
          <w:color w:val="auto"/>
          <w:kern w:val="0"/>
          <w:szCs w:val="30"/>
          <w:highlight w:val="none"/>
        </w:rPr>
      </w:pPr>
    </w:p>
    <w:p w14:paraId="12E96EF0">
      <w:pPr>
        <w:autoSpaceDE w:val="0"/>
        <w:autoSpaceDN w:val="0"/>
        <w:adjustRightInd w:val="0"/>
        <w:spacing w:line="480" w:lineRule="auto"/>
        <w:ind w:firstLine="1560"/>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项目名称：</w:t>
      </w:r>
    </w:p>
    <w:p w14:paraId="774AEFC6">
      <w:pPr>
        <w:autoSpaceDE w:val="0"/>
        <w:autoSpaceDN w:val="0"/>
        <w:adjustRightInd w:val="0"/>
        <w:spacing w:line="480" w:lineRule="auto"/>
        <w:ind w:firstLine="1560"/>
        <w:outlineLvl w:val="0"/>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项目编号：</w:t>
      </w:r>
    </w:p>
    <w:p w14:paraId="564D7F5E">
      <w:pPr>
        <w:autoSpaceDE w:val="0"/>
        <w:autoSpaceDN w:val="0"/>
        <w:adjustRightInd w:val="0"/>
        <w:spacing w:line="480" w:lineRule="auto"/>
        <w:ind w:firstLine="1560"/>
        <w:outlineLvl w:val="0"/>
        <w:rPr>
          <w:rFonts w:ascii="宋体" w:hAnsi="宋体" w:cs="宋体"/>
          <w:color w:val="auto"/>
          <w:kern w:val="0"/>
          <w:sz w:val="28"/>
          <w:szCs w:val="28"/>
          <w:highlight w:val="none"/>
        </w:rPr>
      </w:pPr>
      <w:r>
        <w:rPr>
          <w:rFonts w:hint="eastAsia" w:ascii="宋体" w:hAnsi="宋体" w:cs="宋体"/>
          <w:color w:val="auto"/>
          <w:sz w:val="28"/>
          <w:szCs w:val="28"/>
          <w:highlight w:val="none"/>
        </w:rPr>
        <w:t>响应文件内容：</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eastAsia="zh-CN"/>
        </w:rPr>
        <w:t>资格证明文件</w:t>
      </w:r>
      <w:r>
        <w:rPr>
          <w:rFonts w:hint="eastAsia" w:ascii="宋体" w:hAnsi="宋体" w:cs="宋体"/>
          <w:color w:val="auto"/>
          <w:sz w:val="28"/>
          <w:szCs w:val="28"/>
          <w:highlight w:val="none"/>
          <w:u w:val="single"/>
        </w:rPr>
        <w:t xml:space="preserve"> </w:t>
      </w:r>
    </w:p>
    <w:p w14:paraId="34B7D53A">
      <w:pPr>
        <w:autoSpaceDE w:val="0"/>
        <w:autoSpaceDN w:val="0"/>
        <w:adjustRightInd w:val="0"/>
        <w:spacing w:line="480" w:lineRule="auto"/>
        <w:ind w:firstLine="1560"/>
        <w:outlineLvl w:val="0"/>
        <w:rPr>
          <w:rFonts w:ascii="宋体" w:hAnsi="宋体" w:cs="宋体"/>
          <w:color w:val="auto"/>
          <w:kern w:val="0"/>
          <w:sz w:val="28"/>
          <w:szCs w:val="28"/>
          <w:highlight w:val="none"/>
        </w:rPr>
      </w:pPr>
      <w:r>
        <w:rPr>
          <w:rFonts w:hint="eastAsia" w:ascii="宋体" w:hAnsi="宋体" w:cs="宋体"/>
          <w:color w:val="auto"/>
          <w:sz w:val="28"/>
          <w:szCs w:val="28"/>
          <w:highlight w:val="none"/>
        </w:rPr>
        <w:t>供应商名称：</w:t>
      </w:r>
      <w:r>
        <w:rPr>
          <w:rFonts w:hint="eastAsia" w:ascii="宋体" w:hAnsi="宋体" w:cs="宋体"/>
          <w:color w:val="auto"/>
          <w:sz w:val="28"/>
          <w:szCs w:val="28"/>
          <w:highlight w:val="none"/>
          <w:u w:val="single"/>
        </w:rPr>
        <w:t xml:space="preserve">  （盖单位公章）           </w:t>
      </w:r>
    </w:p>
    <w:p w14:paraId="3955E81E">
      <w:pPr>
        <w:autoSpaceDE w:val="0"/>
        <w:autoSpaceDN w:val="0"/>
        <w:adjustRightInd w:val="0"/>
        <w:spacing w:line="480" w:lineRule="auto"/>
        <w:ind w:firstLine="1560"/>
        <w:outlineLvl w:val="0"/>
        <w:rPr>
          <w:rFonts w:ascii="宋体" w:hAnsi="宋体" w:cs="宋体"/>
          <w:color w:val="auto"/>
          <w:kern w:val="0"/>
          <w:sz w:val="28"/>
          <w:szCs w:val="28"/>
          <w:highlight w:val="none"/>
        </w:rPr>
      </w:pPr>
      <w:r>
        <w:rPr>
          <w:rFonts w:hint="eastAsia" w:ascii="宋体" w:hAnsi="宋体" w:cs="宋体"/>
          <w:color w:val="auto"/>
          <w:kern w:val="0"/>
          <w:sz w:val="28"/>
          <w:szCs w:val="28"/>
          <w:highlight w:val="none"/>
        </w:rPr>
        <w:t>法定代表人或其委托代理人：</w:t>
      </w:r>
      <w:r>
        <w:rPr>
          <w:rFonts w:hint="eastAsia" w:ascii="宋体" w:hAnsi="宋体" w:cs="宋体"/>
          <w:color w:val="auto"/>
          <w:kern w:val="0"/>
          <w:sz w:val="28"/>
          <w:szCs w:val="28"/>
          <w:highlight w:val="none"/>
          <w:u w:val="single"/>
        </w:rPr>
        <w:t xml:space="preserve">       （签字）      </w:t>
      </w:r>
    </w:p>
    <w:p w14:paraId="43327ED9">
      <w:pPr>
        <w:autoSpaceDE w:val="0"/>
        <w:autoSpaceDN w:val="0"/>
        <w:adjustRightInd w:val="0"/>
        <w:spacing w:line="480" w:lineRule="auto"/>
        <w:ind w:firstLine="1680" w:firstLineChars="600"/>
        <w:rPr>
          <w:rFonts w:ascii="宋体" w:hAnsi="宋体" w:cs="宋体"/>
          <w:color w:val="auto"/>
          <w:kern w:val="0"/>
          <w:sz w:val="28"/>
          <w:szCs w:val="28"/>
          <w:highlight w:val="none"/>
        </w:rPr>
      </w:pPr>
      <w:r>
        <w:rPr>
          <w:rFonts w:hint="eastAsia" w:ascii="宋体" w:hAnsi="宋体" w:cs="宋体"/>
          <w:color w:val="auto"/>
          <w:kern w:val="0"/>
          <w:sz w:val="28"/>
          <w:szCs w:val="28"/>
          <w:highlight w:val="none"/>
        </w:rPr>
        <w:t>日      期：年月日</w:t>
      </w:r>
    </w:p>
    <w:p w14:paraId="682274E0">
      <w:pPr>
        <w:pStyle w:val="5"/>
        <w:spacing w:line="440" w:lineRule="exact"/>
        <w:rPr>
          <w:rFonts w:ascii="宋体" w:hAnsi="宋体" w:cs="宋体"/>
          <w:color w:val="auto"/>
          <w:kern w:val="0"/>
          <w:sz w:val="30"/>
          <w:szCs w:val="30"/>
          <w:highlight w:val="none"/>
        </w:rPr>
      </w:pPr>
      <w:r>
        <w:rPr>
          <w:rFonts w:hint="eastAsia" w:ascii="宋体" w:hAnsi="宋体" w:cs="宋体"/>
          <w:color w:val="auto"/>
          <w:sz w:val="28"/>
          <w:highlight w:val="none"/>
        </w:rPr>
        <w:br w:type="page"/>
      </w:r>
    </w:p>
    <w:p w14:paraId="4D767225">
      <w:pPr>
        <w:pStyle w:val="4"/>
        <w:keepNext w:val="0"/>
        <w:keepLines w:val="0"/>
        <w:adjustRightInd w:val="0"/>
        <w:snapToGrid w:val="0"/>
        <w:spacing w:line="480" w:lineRule="exact"/>
        <w:jc w:val="center"/>
        <w:rPr>
          <w:rFonts w:ascii="宋体" w:hAnsi="宋体" w:eastAsia="宋体" w:cs="宋体"/>
          <w:color w:val="auto"/>
          <w:sz w:val="28"/>
          <w:highlight w:val="none"/>
        </w:rPr>
      </w:pPr>
      <w:bookmarkStart w:id="1095" w:name="_Toc31850"/>
      <w:r>
        <w:rPr>
          <w:rFonts w:hint="eastAsia" w:ascii="宋体" w:hAnsi="宋体" w:eastAsia="宋体" w:cs="宋体"/>
          <w:color w:val="auto"/>
          <w:sz w:val="28"/>
          <w:highlight w:val="none"/>
        </w:rPr>
        <w:t>目    录</w:t>
      </w:r>
      <w:bookmarkEnd w:id="1095"/>
      <w:r>
        <w:rPr>
          <w:rFonts w:hint="eastAsia" w:ascii="宋体" w:hAnsi="宋体" w:eastAsia="宋体" w:cs="宋体"/>
          <w:color w:val="auto"/>
          <w:sz w:val="28"/>
          <w:highlight w:val="none"/>
        </w:rPr>
        <w:t xml:space="preserve"> </w:t>
      </w:r>
    </w:p>
    <w:p w14:paraId="61530E0A">
      <w:pPr>
        <w:pStyle w:val="5"/>
        <w:spacing w:line="440" w:lineRule="exact"/>
        <w:ind w:firstLine="3935" w:firstLineChars="1400"/>
        <w:rPr>
          <w:rFonts w:ascii="宋体" w:hAnsi="宋体" w:cs="宋体"/>
          <w:color w:val="auto"/>
          <w:kern w:val="0"/>
          <w:sz w:val="30"/>
          <w:szCs w:val="30"/>
          <w:highlight w:val="none"/>
        </w:rPr>
      </w:pPr>
      <w:bookmarkStart w:id="1096" w:name="_Toc1615"/>
      <w:r>
        <w:rPr>
          <w:rFonts w:hint="eastAsia" w:ascii="宋体" w:hAnsi="宋体" w:cs="宋体"/>
          <w:color w:val="auto"/>
          <w:sz w:val="28"/>
          <w:highlight w:val="none"/>
        </w:rPr>
        <w:t>（自拟）</w:t>
      </w:r>
      <w:bookmarkEnd w:id="1096"/>
    </w:p>
    <w:p w14:paraId="374DA282">
      <w:pPr>
        <w:pStyle w:val="5"/>
        <w:spacing w:line="440" w:lineRule="exact"/>
        <w:rPr>
          <w:rFonts w:ascii="宋体" w:hAnsi="宋体" w:cs="宋体"/>
          <w:color w:val="auto"/>
          <w:kern w:val="0"/>
          <w:sz w:val="30"/>
          <w:szCs w:val="30"/>
          <w:highlight w:val="none"/>
        </w:rPr>
      </w:pPr>
    </w:p>
    <w:p w14:paraId="065B8BA7">
      <w:pPr>
        <w:pStyle w:val="5"/>
        <w:spacing w:line="440" w:lineRule="exact"/>
        <w:rPr>
          <w:rFonts w:ascii="宋体" w:hAnsi="宋体" w:cs="宋体"/>
          <w:color w:val="auto"/>
          <w:kern w:val="0"/>
          <w:sz w:val="30"/>
          <w:szCs w:val="30"/>
          <w:highlight w:val="none"/>
        </w:rPr>
      </w:pPr>
    </w:p>
    <w:p w14:paraId="0204878A">
      <w:pPr>
        <w:pStyle w:val="5"/>
        <w:spacing w:line="440" w:lineRule="exact"/>
        <w:rPr>
          <w:rFonts w:ascii="宋体" w:hAnsi="宋体" w:cs="宋体"/>
          <w:color w:val="auto"/>
          <w:kern w:val="0"/>
          <w:sz w:val="30"/>
          <w:szCs w:val="30"/>
          <w:highlight w:val="none"/>
        </w:rPr>
      </w:pPr>
    </w:p>
    <w:p w14:paraId="414F4810">
      <w:pPr>
        <w:pStyle w:val="5"/>
        <w:spacing w:line="440" w:lineRule="exact"/>
        <w:rPr>
          <w:rFonts w:ascii="宋体" w:hAnsi="宋体" w:cs="宋体"/>
          <w:color w:val="auto"/>
          <w:kern w:val="0"/>
          <w:sz w:val="30"/>
          <w:szCs w:val="30"/>
          <w:highlight w:val="none"/>
        </w:rPr>
      </w:pPr>
      <w:r>
        <w:rPr>
          <w:rFonts w:hint="eastAsia" w:ascii="宋体" w:hAnsi="宋体" w:cs="宋体"/>
          <w:color w:val="auto"/>
          <w:kern w:val="0"/>
          <w:sz w:val="30"/>
          <w:szCs w:val="30"/>
          <w:highlight w:val="none"/>
        </w:rPr>
        <w:br w:type="page"/>
      </w:r>
      <w:bookmarkStart w:id="1097" w:name="_Toc75182793"/>
      <w:bookmarkStart w:id="1098" w:name="_Toc47088391"/>
    </w:p>
    <w:p w14:paraId="4CC28F18">
      <w:pPr>
        <w:pStyle w:val="5"/>
        <w:spacing w:line="440" w:lineRule="exact"/>
        <w:rPr>
          <w:rFonts w:hint="eastAsia" w:ascii="宋体" w:hAnsi="宋体" w:eastAsia="宋体" w:cs="宋体"/>
          <w:color w:val="auto"/>
          <w:kern w:val="0"/>
          <w:sz w:val="30"/>
          <w:szCs w:val="30"/>
          <w:highlight w:val="none"/>
          <w:lang w:val="en-US" w:eastAsia="zh-CN"/>
        </w:rPr>
      </w:pPr>
      <w:bookmarkStart w:id="1099" w:name="_Toc28111"/>
      <w:r>
        <w:rPr>
          <w:rFonts w:hint="eastAsia" w:ascii="宋体" w:hAnsi="宋体" w:cs="宋体"/>
          <w:color w:val="auto"/>
          <w:kern w:val="0"/>
          <w:sz w:val="30"/>
          <w:szCs w:val="30"/>
          <w:highlight w:val="none"/>
          <w:lang w:val="en-US" w:eastAsia="zh-CN"/>
        </w:rPr>
        <w:t>1、磋商声明书</w:t>
      </w:r>
      <w:r>
        <w:rPr>
          <w:rFonts w:hint="eastAsia" w:ascii="宋体" w:hAnsi="宋体" w:cs="宋体"/>
          <w:b/>
          <w:bCs/>
          <w:color w:val="auto"/>
          <w:kern w:val="0"/>
          <w:sz w:val="28"/>
          <w:szCs w:val="28"/>
          <w:highlight w:val="none"/>
          <w:lang w:eastAsia="zh-CN"/>
        </w:rPr>
        <w:t>（格式）</w:t>
      </w:r>
      <w:bookmarkEnd w:id="1099"/>
    </w:p>
    <w:p w14:paraId="5F5C1F5F">
      <w:pPr>
        <w:pStyle w:val="5"/>
        <w:spacing w:line="440" w:lineRule="exact"/>
        <w:rPr>
          <w:rFonts w:hint="eastAsia" w:ascii="宋体" w:hAnsi="宋体" w:cs="宋体"/>
          <w:color w:val="auto"/>
          <w:kern w:val="0"/>
          <w:sz w:val="30"/>
          <w:szCs w:val="30"/>
          <w:highlight w:val="none"/>
        </w:rPr>
      </w:pPr>
    </w:p>
    <w:p w14:paraId="76ED3D0C">
      <w:pPr>
        <w:spacing w:line="360" w:lineRule="auto"/>
        <w:jc w:val="center"/>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lang w:eastAsia="zh-CN"/>
        </w:rPr>
        <w:t>磋商声明书</w:t>
      </w:r>
    </w:p>
    <w:p w14:paraId="0641296F">
      <w:pPr>
        <w:spacing w:after="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致：（采购代理机构）</w:t>
      </w:r>
    </w:p>
    <w:p w14:paraId="541F5716">
      <w:pPr>
        <w:spacing w:after="0" w:line="40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（供应商名称）</w:t>
      </w:r>
      <w:r>
        <w:rPr>
          <w:rFonts w:hint="eastAsia" w:ascii="宋体" w:hAnsi="宋体" w:eastAsia="宋体" w:cs="宋体"/>
          <w:color w:val="auto"/>
          <w:sz w:val="21"/>
          <w:szCs w:val="21"/>
          <w:highlight w:val="none"/>
        </w:rPr>
        <w:t>系中华人民共和国合法企业，经营地址：。</w:t>
      </w:r>
    </w:p>
    <w:p w14:paraId="30422D75">
      <w:pPr>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（供应商名称）</w:t>
      </w:r>
      <w:r>
        <w:rPr>
          <w:rFonts w:hint="eastAsia" w:ascii="宋体" w:hAnsi="宋体" w:eastAsia="宋体" w:cs="宋体"/>
          <w:color w:val="auto"/>
          <w:sz w:val="21"/>
          <w:szCs w:val="21"/>
          <w:highlight w:val="none"/>
        </w:rPr>
        <w:t>的法定代表人，我方愿意参加贵方组织的</w:t>
      </w:r>
      <w:r>
        <w:rPr>
          <w:rFonts w:hint="eastAsia" w:ascii="宋体" w:hAnsi="宋体" w:eastAsia="宋体" w:cs="宋体"/>
          <w:color w:val="auto"/>
          <w:sz w:val="21"/>
          <w:szCs w:val="21"/>
          <w:highlight w:val="none"/>
          <w:u w:val="single"/>
        </w:rPr>
        <w:t>（项目名称）（项目编号：</w:t>
      </w:r>
      <w:r>
        <w:rPr>
          <w:rFonts w:hint="eastAsia" w:ascii="宋体" w:hAnsi="宋体" w:eastAsia="宋体" w:cs="宋体"/>
          <w:color w:val="auto"/>
          <w:sz w:val="21"/>
          <w:szCs w:val="21"/>
          <w:highlight w:val="none"/>
        </w:rPr>
        <w:t>）的磋商，为便于贵方公正、择优地确定成交人及其服务，我方就本次磋商有关事项郑重声明如下：</w:t>
      </w:r>
    </w:p>
    <w:p w14:paraId="34C37E55">
      <w:pPr>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1.我方向贵方提交的所有响应文件、资料都是准确的和真实的。</w:t>
      </w:r>
    </w:p>
    <w:p w14:paraId="0C45D53A">
      <w:pPr>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2.我方不是采购人的附属机构；在获知本项目采购信息后，与采购人聘请的为此项目提供咨询服务的公司及其附属机构没有任何联系。</w:t>
      </w:r>
    </w:p>
    <w:p w14:paraId="6AA17102">
      <w:pPr>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3.我方诚意提请贵方关注：近期有关该工程施工的重大决策和事项有：</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3A3D31CA">
      <w:pPr>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根据《中华人民共和国政府采购法实施条例》第五十条要求对政府采购合同进行公告，但政府采购合同中涉及国家秘密、商业秘密的内容除外。我方就对本次响应文件进行注明如下：（两项内容中必须选择一项）</w:t>
      </w:r>
    </w:p>
    <w:p w14:paraId="4C40AA87">
      <w:pPr>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□我方本次响应文件内容中未涉及商业秘密；</w:t>
      </w:r>
    </w:p>
    <w:p w14:paraId="382453A9">
      <w:pPr>
        <w:spacing w:after="0"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□我方本次响应文件涉及商业秘密的内容有：；</w:t>
      </w:r>
    </w:p>
    <w:p w14:paraId="7291F4B7">
      <w:pPr>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C913CFB">
      <w:pPr>
        <w:spacing w:after="0"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 以上事项如有虚假或隐瞒，我方愿意承担一切后果，并不再寻求任何旨在减轻或免除法律责任的辩解。</w:t>
      </w:r>
    </w:p>
    <w:p w14:paraId="77B824DE">
      <w:pPr>
        <w:spacing w:after="0" w:line="400" w:lineRule="exact"/>
        <w:ind w:firstLine="420" w:firstLineChars="200"/>
        <w:rPr>
          <w:rFonts w:hint="eastAsia" w:ascii="宋体" w:hAnsi="宋体" w:eastAsia="宋体" w:cs="宋体"/>
          <w:color w:val="auto"/>
          <w:sz w:val="21"/>
          <w:szCs w:val="21"/>
          <w:highlight w:val="none"/>
          <w:u w:val="single"/>
        </w:rPr>
      </w:pPr>
    </w:p>
    <w:p w14:paraId="031ED5B8">
      <w:pPr>
        <w:spacing w:line="360" w:lineRule="auto"/>
        <w:ind w:firstLine="3255" w:firstLineChars="15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（单位名称并盖公章）</w:t>
      </w:r>
    </w:p>
    <w:p w14:paraId="618ABE5E">
      <w:pPr>
        <w:spacing w:line="360" w:lineRule="auto"/>
        <w:ind w:firstLine="3255" w:firstLineChars="15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法定代表人签字：</w:t>
      </w:r>
    </w:p>
    <w:p w14:paraId="4CA2BB7D">
      <w:pPr>
        <w:pStyle w:val="26"/>
        <w:spacing w:line="360" w:lineRule="auto"/>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年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月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日</w:t>
      </w:r>
    </w:p>
    <w:p w14:paraId="711AE178">
      <w:pPr>
        <w:rPr>
          <w:rFonts w:hint="eastAsia"/>
          <w:color w:val="auto"/>
          <w:highlight w:val="none"/>
        </w:rPr>
      </w:pPr>
    </w:p>
    <w:p w14:paraId="6A30BB43">
      <w:pPr>
        <w:rPr>
          <w:rFonts w:hint="eastAsia"/>
          <w:color w:val="auto"/>
          <w:highlight w:val="none"/>
        </w:rPr>
      </w:pPr>
    </w:p>
    <w:p w14:paraId="2D2AB432">
      <w:pPr>
        <w:pStyle w:val="5"/>
        <w:spacing w:line="440" w:lineRule="exact"/>
        <w:rPr>
          <w:rFonts w:hint="eastAsia" w:ascii="宋体" w:hAnsi="宋体" w:cs="宋体"/>
          <w:color w:val="auto"/>
          <w:kern w:val="0"/>
          <w:sz w:val="30"/>
          <w:szCs w:val="30"/>
          <w:highlight w:val="none"/>
        </w:rPr>
      </w:pPr>
    </w:p>
    <w:p w14:paraId="111FA876">
      <w:pPr>
        <w:rPr>
          <w:rFonts w:hint="eastAsia" w:ascii="宋体" w:hAnsi="宋体" w:cs="宋体"/>
          <w:color w:val="auto"/>
          <w:kern w:val="0"/>
          <w:sz w:val="30"/>
          <w:szCs w:val="30"/>
          <w:highlight w:val="none"/>
        </w:rPr>
      </w:pPr>
    </w:p>
    <w:p w14:paraId="414E871F">
      <w:pPr>
        <w:pStyle w:val="26"/>
        <w:rPr>
          <w:rFonts w:hint="eastAsia"/>
          <w:color w:val="auto"/>
          <w:highlight w:val="none"/>
        </w:rPr>
      </w:pPr>
    </w:p>
    <w:p w14:paraId="2B2B8BF7">
      <w:pPr>
        <w:pStyle w:val="26"/>
        <w:rPr>
          <w:rFonts w:hint="eastAsia"/>
          <w:color w:val="auto"/>
          <w:highlight w:val="none"/>
        </w:rPr>
      </w:pPr>
    </w:p>
    <w:p w14:paraId="3D2AB74F">
      <w:pPr>
        <w:pStyle w:val="5"/>
        <w:spacing w:line="440" w:lineRule="exact"/>
        <w:rPr>
          <w:rFonts w:hint="eastAsia" w:ascii="宋体" w:hAnsi="宋体" w:cs="宋体"/>
          <w:color w:val="auto"/>
          <w:kern w:val="0"/>
          <w:sz w:val="30"/>
          <w:szCs w:val="30"/>
          <w:highlight w:val="none"/>
        </w:rPr>
      </w:pPr>
      <w:bookmarkStart w:id="1100" w:name="_Toc16500"/>
      <w:r>
        <w:rPr>
          <w:rFonts w:hint="eastAsia" w:ascii="宋体" w:hAnsi="宋体" w:cs="宋体"/>
          <w:color w:val="auto"/>
          <w:kern w:val="0"/>
          <w:sz w:val="30"/>
          <w:szCs w:val="30"/>
          <w:highlight w:val="none"/>
          <w:lang w:val="en-US" w:eastAsia="zh-CN"/>
        </w:rPr>
        <w:t>2</w:t>
      </w:r>
      <w:r>
        <w:rPr>
          <w:rFonts w:hint="eastAsia" w:ascii="宋体" w:hAnsi="宋体" w:cs="宋体"/>
          <w:color w:val="auto"/>
          <w:kern w:val="0"/>
          <w:sz w:val="30"/>
          <w:szCs w:val="30"/>
          <w:highlight w:val="none"/>
        </w:rPr>
        <w:t>、</w:t>
      </w:r>
      <w:bookmarkEnd w:id="1092"/>
      <w:r>
        <w:rPr>
          <w:rFonts w:hint="eastAsia" w:ascii="宋体" w:hAnsi="宋体" w:cs="宋体"/>
          <w:color w:val="auto"/>
          <w:kern w:val="0"/>
          <w:sz w:val="30"/>
          <w:szCs w:val="30"/>
          <w:highlight w:val="none"/>
        </w:rPr>
        <w:t>企业营业执照副本、资质证书和安全生产许可证复印件；（必须提供）</w:t>
      </w:r>
      <w:bookmarkEnd w:id="1100"/>
    </w:p>
    <w:p w14:paraId="34792700">
      <w:pPr>
        <w:pStyle w:val="5"/>
        <w:spacing w:line="440" w:lineRule="exact"/>
        <w:rPr>
          <w:rFonts w:hint="eastAsia" w:ascii="宋体" w:hAnsi="宋体" w:cs="宋体"/>
          <w:color w:val="auto"/>
          <w:kern w:val="0"/>
          <w:sz w:val="30"/>
          <w:szCs w:val="30"/>
          <w:highlight w:val="none"/>
        </w:rPr>
      </w:pPr>
    </w:p>
    <w:p w14:paraId="1B6C5D99">
      <w:pPr>
        <w:rPr>
          <w:rFonts w:hint="eastAsia"/>
          <w:color w:val="auto"/>
          <w:highlight w:val="none"/>
        </w:rPr>
      </w:pPr>
    </w:p>
    <w:p w14:paraId="2CBC14D1">
      <w:pPr>
        <w:pStyle w:val="5"/>
        <w:spacing w:line="440" w:lineRule="exact"/>
        <w:rPr>
          <w:rFonts w:hint="eastAsia" w:ascii="宋体" w:hAnsi="宋体" w:cs="宋体"/>
          <w:color w:val="auto"/>
          <w:kern w:val="0"/>
          <w:sz w:val="30"/>
          <w:szCs w:val="30"/>
          <w:highlight w:val="none"/>
        </w:rPr>
      </w:pPr>
      <w:bookmarkStart w:id="1101" w:name="_Toc8969"/>
      <w:r>
        <w:rPr>
          <w:rFonts w:hint="eastAsia" w:ascii="宋体" w:hAnsi="宋体" w:cs="宋体"/>
          <w:color w:val="auto"/>
          <w:kern w:val="0"/>
          <w:sz w:val="30"/>
          <w:szCs w:val="30"/>
          <w:highlight w:val="none"/>
          <w:lang w:val="en-US" w:eastAsia="zh-CN"/>
        </w:rPr>
        <w:t>3、</w:t>
      </w:r>
      <w:r>
        <w:rPr>
          <w:rFonts w:hint="eastAsia" w:ascii="宋体" w:hAnsi="宋体" w:cs="宋体"/>
          <w:color w:val="auto"/>
          <w:kern w:val="0"/>
          <w:sz w:val="30"/>
          <w:szCs w:val="30"/>
          <w:highlight w:val="none"/>
        </w:rPr>
        <w:t>政府采购项目投标资格承诺函</w:t>
      </w:r>
      <w:r>
        <w:rPr>
          <w:rFonts w:hint="eastAsia" w:ascii="宋体" w:hAnsi="宋体" w:cs="宋体"/>
          <w:b/>
          <w:bCs/>
          <w:color w:val="auto"/>
          <w:kern w:val="0"/>
          <w:sz w:val="28"/>
          <w:szCs w:val="28"/>
          <w:highlight w:val="none"/>
          <w:lang w:eastAsia="zh-CN"/>
        </w:rPr>
        <w:t>（格式）</w:t>
      </w:r>
      <w:bookmarkEnd w:id="1101"/>
    </w:p>
    <w:p w14:paraId="426A15D6">
      <w:pPr>
        <w:spacing w:line="360" w:lineRule="auto"/>
        <w:rPr>
          <w:rFonts w:ascii="Times New Roman" w:hAnsi="Times New Roman" w:eastAsia="仿宋_GB2312"/>
          <w:color w:val="auto"/>
          <w:sz w:val="24"/>
          <w:szCs w:val="24"/>
          <w:highlight w:val="none"/>
        </w:rPr>
      </w:pPr>
    </w:p>
    <w:p w14:paraId="7B5827A9">
      <w:pPr>
        <w:spacing w:line="360" w:lineRule="auto"/>
        <w:jc w:val="center"/>
        <w:rPr>
          <w:rFonts w:hint="eastAsia" w:ascii="宋体" w:hAnsi="宋体" w:eastAsia="宋体" w:cs="宋体"/>
          <w:color w:val="auto"/>
          <w:kern w:val="0"/>
          <w:sz w:val="24"/>
          <w:szCs w:val="24"/>
          <w:highlight w:val="none"/>
        </w:rPr>
      </w:pPr>
    </w:p>
    <w:p w14:paraId="68477A33">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rPr>
        <w:t>政府采购项目投标资格承诺函</w:t>
      </w:r>
    </w:p>
    <w:p w14:paraId="65D8272D">
      <w:pPr>
        <w:spacing w:line="360" w:lineRule="auto"/>
        <w:rPr>
          <w:rFonts w:hint="eastAsia" w:ascii="宋体" w:hAnsi="宋体" w:eastAsia="宋体" w:cs="宋体"/>
          <w:color w:val="auto"/>
          <w:sz w:val="24"/>
          <w:szCs w:val="24"/>
          <w:highlight w:val="none"/>
        </w:rPr>
      </w:pPr>
    </w:p>
    <w:p w14:paraId="66012474">
      <w:pPr>
        <w:spacing w:line="360" w:lineRule="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1204F4A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本公司郑重承诺，根据《中华人民共和国政府采购法》第二十二条的规定，本公司为参加政府采购活动的合格供应商。即本公司同时满足以下条件： </w:t>
      </w:r>
    </w:p>
    <w:p w14:paraId="32422755">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1、具有独立承担民事责任的能力。 </w:t>
      </w:r>
    </w:p>
    <w:p w14:paraId="50864864">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2、具有良好的商业信誉和健全的财务会计制度。 </w:t>
      </w:r>
    </w:p>
    <w:p w14:paraId="211553A0">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3、具有履行合同所必需的设备和专业技术能力。 </w:t>
      </w:r>
    </w:p>
    <w:p w14:paraId="3954D92A">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4、有依法缴纳税收和社会保障资金的良好记录。 </w:t>
      </w:r>
    </w:p>
    <w:p w14:paraId="4035D940">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5、提交投标文件截止日期前三年内，在经营活动中没有重大违法记录。 </w:t>
      </w:r>
    </w:p>
    <w:p w14:paraId="1574A3FA">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本公司对上述承诺的真实性负责，并接受政府采购、税务、社会保障等监督管理部门、采购文件规定的资格审查机构、社会公众的监督和检查。如有虚假，将依法承担相应责任。 </w:t>
      </w:r>
    </w:p>
    <w:p w14:paraId="4A2B7FDF">
      <w:pPr>
        <w:spacing w:line="360" w:lineRule="auto"/>
        <w:ind w:firstLine="420" w:firstLineChars="200"/>
        <w:rPr>
          <w:rFonts w:hint="eastAsia" w:ascii="宋体" w:hAnsi="宋体" w:eastAsia="宋体" w:cs="宋体"/>
          <w:color w:val="auto"/>
          <w:sz w:val="21"/>
          <w:szCs w:val="21"/>
          <w:highlight w:val="none"/>
          <w:lang w:bidi="ar"/>
        </w:rPr>
      </w:pPr>
    </w:p>
    <w:p w14:paraId="5109CB21">
      <w:pPr>
        <w:spacing w:line="500" w:lineRule="exact"/>
        <w:ind w:firstLine="3255" w:firstLineChars="15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（单位名称并盖公章） </w:t>
      </w:r>
    </w:p>
    <w:p w14:paraId="0F95489A">
      <w:pPr>
        <w:spacing w:line="500" w:lineRule="exact"/>
        <w:ind w:firstLine="3255" w:firstLineChars="15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p>
    <w:p w14:paraId="1A76ABF6">
      <w:pPr>
        <w:pStyle w:val="5"/>
        <w:spacing w:line="440" w:lineRule="exact"/>
        <w:ind w:firstLine="3570" w:firstLineChars="1700"/>
        <w:rPr>
          <w:rFonts w:hint="eastAsia" w:ascii="宋体" w:hAnsi="宋体" w:eastAsia="宋体" w:cs="宋体"/>
          <w:color w:val="auto"/>
          <w:kern w:val="0"/>
          <w:sz w:val="30"/>
          <w:szCs w:val="30"/>
          <w:highlight w:val="none"/>
        </w:rPr>
      </w:pPr>
      <w:bookmarkStart w:id="1102" w:name="_Toc18932"/>
      <w:r>
        <w:rPr>
          <w:rFonts w:hint="eastAsia" w:ascii="宋体" w:hAnsi="宋体" w:eastAsia="宋体" w:cs="宋体"/>
          <w:b w:val="0"/>
          <w:bCs/>
          <w:color w:val="auto"/>
          <w:sz w:val="21"/>
          <w:szCs w:val="21"/>
          <w:highlight w:val="none"/>
        </w:rPr>
        <w:t>日期：</w:t>
      </w:r>
      <w:r>
        <w:rPr>
          <w:rFonts w:hint="eastAsia" w:ascii="宋体" w:hAnsi="宋体" w:eastAsia="宋体" w:cs="宋体"/>
          <w:b w:val="0"/>
          <w:bCs/>
          <w:color w:val="auto"/>
          <w:sz w:val="21"/>
          <w:szCs w:val="21"/>
          <w:highlight w:val="none"/>
          <w:u w:val="single"/>
        </w:rPr>
        <w:t xml:space="preserve">   年   月  日</w:t>
      </w:r>
      <w:r>
        <w:rPr>
          <w:rFonts w:hint="eastAsia" w:ascii="宋体" w:hAnsi="宋体" w:eastAsia="宋体" w:cs="宋体"/>
          <w:color w:val="auto"/>
          <w:highlight w:val="none"/>
        </w:rPr>
        <w:br w:type="page"/>
      </w:r>
      <w:bookmarkEnd w:id="1102"/>
    </w:p>
    <w:p w14:paraId="27B528C2">
      <w:pPr>
        <w:pStyle w:val="5"/>
        <w:spacing w:line="440" w:lineRule="exact"/>
        <w:rPr>
          <w:rFonts w:ascii="宋体" w:hAnsi="宋体" w:cs="宋体"/>
          <w:color w:val="auto"/>
          <w:kern w:val="0"/>
          <w:sz w:val="30"/>
          <w:szCs w:val="30"/>
          <w:highlight w:val="none"/>
        </w:rPr>
      </w:pPr>
      <w:bookmarkStart w:id="1103" w:name="_Toc3746"/>
      <w:r>
        <w:rPr>
          <w:rFonts w:hint="eastAsia" w:ascii="宋体" w:hAnsi="宋体" w:cs="宋体"/>
          <w:color w:val="auto"/>
          <w:kern w:val="0"/>
          <w:sz w:val="30"/>
          <w:szCs w:val="30"/>
          <w:highlight w:val="none"/>
          <w:lang w:val="en-US" w:eastAsia="zh-CN"/>
        </w:rPr>
        <w:t>4、</w:t>
      </w:r>
      <w:bookmarkEnd w:id="1093"/>
      <w:bookmarkEnd w:id="1097"/>
      <w:bookmarkEnd w:id="1098"/>
      <w:r>
        <w:rPr>
          <w:rFonts w:hint="eastAsia" w:ascii="宋体" w:hAnsi="宋体" w:cs="宋体"/>
          <w:color w:val="auto"/>
          <w:kern w:val="0"/>
          <w:sz w:val="30"/>
          <w:szCs w:val="30"/>
          <w:highlight w:val="none"/>
          <w:lang w:val="en-US" w:eastAsia="zh-CN"/>
        </w:rPr>
        <w:t>供应商直接控股、管理关系信息表（格式）</w:t>
      </w:r>
      <w:bookmarkEnd w:id="1103"/>
    </w:p>
    <w:p w14:paraId="7300BB22">
      <w:pPr>
        <w:pStyle w:val="26"/>
        <w:rPr>
          <w:rFonts w:hAnsi="宋体" w:cs="宋体"/>
          <w:b/>
          <w:color w:val="auto"/>
          <w:sz w:val="32"/>
          <w:szCs w:val="32"/>
          <w:highlight w:val="none"/>
        </w:rPr>
      </w:pPr>
    </w:p>
    <w:p w14:paraId="729F160B">
      <w:pPr>
        <w:pStyle w:val="26"/>
        <w:rPr>
          <w:rFonts w:hAnsi="宋体" w:cs="宋体"/>
          <w:b/>
          <w:color w:val="auto"/>
          <w:sz w:val="32"/>
          <w:szCs w:val="32"/>
          <w:highlight w:val="none"/>
        </w:rPr>
      </w:pPr>
    </w:p>
    <w:p w14:paraId="57B8FE46">
      <w:pPr>
        <w:shd w:val="clear" w:color="auto" w:fill="auto"/>
        <w:snapToGrid w:val="0"/>
        <w:spacing w:before="50" w:after="156" w:afterLines="50"/>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供应商直接控股股东信息表</w:t>
      </w:r>
    </w:p>
    <w:tbl>
      <w:tblPr>
        <w:tblStyle w:val="41"/>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14B9390">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D299A66">
            <w:pPr>
              <w:shd w:val="clear" w:color="auto" w:fill="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FB3571F">
            <w:pPr>
              <w:shd w:val="clear" w:color="auto" w:fill="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56B2884">
            <w:pPr>
              <w:shd w:val="clear" w:color="auto" w:fill="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C910AE9">
            <w:pPr>
              <w:shd w:val="clear" w:color="auto" w:fill="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3A414CE">
            <w:pPr>
              <w:shd w:val="clear" w:color="auto" w:fill="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备注</w:t>
            </w:r>
          </w:p>
        </w:tc>
      </w:tr>
      <w:tr w14:paraId="51891603">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4446525">
            <w:pPr>
              <w:shd w:val="clear" w:color="auto" w:fill="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BEE0AF">
            <w:pPr>
              <w:shd w:val="clear" w:color="auto" w:fill="auto"/>
              <w:jc w:val="center"/>
              <w:rPr>
                <w:rFonts w:hint="default" w:ascii="Times New Roman" w:hAnsi="Times New Roman" w:cs="Times New Roman"/>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FD8F93">
            <w:pPr>
              <w:shd w:val="clear" w:color="auto" w:fill="auto"/>
              <w:jc w:val="center"/>
              <w:rPr>
                <w:rFonts w:hint="default" w:ascii="Times New Roman" w:hAnsi="Times New Roman" w:cs="Times New Roman"/>
                <w:color w:val="auto"/>
                <w:kern w:val="0"/>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C69474">
            <w:pPr>
              <w:shd w:val="clear" w:color="auto" w:fill="auto"/>
              <w:jc w:val="center"/>
              <w:rPr>
                <w:rFonts w:hint="default" w:ascii="Times New Roman" w:hAnsi="Times New Roman" w:cs="Times New Roman"/>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086C811">
            <w:pPr>
              <w:shd w:val="clear" w:color="auto" w:fill="auto"/>
              <w:jc w:val="center"/>
              <w:rPr>
                <w:rFonts w:hint="default" w:ascii="Times New Roman" w:hAnsi="Times New Roman" w:cs="Times New Roman"/>
                <w:color w:val="auto"/>
                <w:kern w:val="0"/>
                <w:szCs w:val="21"/>
                <w:highlight w:val="none"/>
              </w:rPr>
            </w:pPr>
          </w:p>
        </w:tc>
      </w:tr>
      <w:tr w14:paraId="6ACCA6AB">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370CE7">
            <w:pPr>
              <w:shd w:val="clear" w:color="auto" w:fill="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E4E5402">
            <w:pPr>
              <w:shd w:val="clear" w:color="auto" w:fill="auto"/>
              <w:jc w:val="center"/>
              <w:rPr>
                <w:rFonts w:hint="default" w:ascii="Times New Roman" w:hAnsi="Times New Roman" w:cs="Times New Roman"/>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10EA10">
            <w:pPr>
              <w:shd w:val="clear" w:color="auto" w:fill="auto"/>
              <w:jc w:val="center"/>
              <w:rPr>
                <w:rFonts w:hint="default" w:ascii="Times New Roman" w:hAnsi="Times New Roman" w:cs="Times New Roman"/>
                <w:color w:val="auto"/>
                <w:kern w:val="0"/>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88F7CF">
            <w:pPr>
              <w:shd w:val="clear" w:color="auto" w:fill="auto"/>
              <w:jc w:val="center"/>
              <w:rPr>
                <w:rFonts w:hint="default" w:ascii="Times New Roman" w:hAnsi="Times New Roman" w:cs="Times New Roman"/>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29A34CF">
            <w:pPr>
              <w:shd w:val="clear" w:color="auto" w:fill="auto"/>
              <w:jc w:val="center"/>
              <w:rPr>
                <w:rFonts w:hint="default" w:ascii="Times New Roman" w:hAnsi="Times New Roman" w:cs="Times New Roman"/>
                <w:color w:val="auto"/>
                <w:kern w:val="0"/>
                <w:szCs w:val="21"/>
                <w:highlight w:val="none"/>
              </w:rPr>
            </w:pPr>
          </w:p>
        </w:tc>
      </w:tr>
      <w:tr w14:paraId="2120BAE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86995B2">
            <w:pPr>
              <w:shd w:val="clear" w:color="auto" w:fill="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37213E5">
            <w:pPr>
              <w:shd w:val="clear" w:color="auto" w:fill="auto"/>
              <w:jc w:val="center"/>
              <w:rPr>
                <w:rFonts w:hint="default" w:ascii="Times New Roman" w:hAnsi="Times New Roman" w:cs="Times New Roman"/>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B43ADA4">
            <w:pPr>
              <w:shd w:val="clear" w:color="auto" w:fill="auto"/>
              <w:jc w:val="center"/>
              <w:rPr>
                <w:rFonts w:hint="default" w:ascii="Times New Roman" w:hAnsi="Times New Roman" w:cs="Times New Roman"/>
                <w:color w:val="auto"/>
                <w:kern w:val="0"/>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D84152B">
            <w:pPr>
              <w:shd w:val="clear" w:color="auto" w:fill="auto"/>
              <w:jc w:val="center"/>
              <w:rPr>
                <w:rFonts w:hint="default" w:ascii="Times New Roman" w:hAnsi="Times New Roman" w:cs="Times New Roman"/>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44BD6A8">
            <w:pPr>
              <w:shd w:val="clear" w:color="auto" w:fill="auto"/>
              <w:jc w:val="center"/>
              <w:rPr>
                <w:rFonts w:hint="default" w:ascii="Times New Roman" w:hAnsi="Times New Roman" w:cs="Times New Roman"/>
                <w:color w:val="auto"/>
                <w:kern w:val="0"/>
                <w:szCs w:val="21"/>
                <w:highlight w:val="none"/>
              </w:rPr>
            </w:pPr>
          </w:p>
        </w:tc>
      </w:tr>
      <w:tr w14:paraId="69919D1B">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0EE5E0">
            <w:pPr>
              <w:shd w:val="clear" w:color="auto" w:fill="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89F8BF">
            <w:pPr>
              <w:shd w:val="clear" w:color="auto" w:fill="auto"/>
              <w:jc w:val="center"/>
              <w:rPr>
                <w:rFonts w:hint="default" w:ascii="Times New Roman" w:hAnsi="Times New Roman" w:cs="Times New Roman"/>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3A6B22">
            <w:pPr>
              <w:shd w:val="clear" w:color="auto" w:fill="auto"/>
              <w:jc w:val="center"/>
              <w:rPr>
                <w:rFonts w:hint="default" w:ascii="Times New Roman" w:hAnsi="Times New Roman" w:cs="Times New Roman"/>
                <w:color w:val="auto"/>
                <w:kern w:val="0"/>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B56C46">
            <w:pPr>
              <w:shd w:val="clear" w:color="auto" w:fill="auto"/>
              <w:jc w:val="center"/>
              <w:rPr>
                <w:rFonts w:hint="default" w:ascii="Times New Roman" w:hAnsi="Times New Roman" w:cs="Times New Roman"/>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446489">
            <w:pPr>
              <w:shd w:val="clear" w:color="auto" w:fill="auto"/>
              <w:jc w:val="center"/>
              <w:rPr>
                <w:rFonts w:hint="default" w:ascii="Times New Roman" w:hAnsi="Times New Roman" w:cs="Times New Roman"/>
                <w:color w:val="auto"/>
                <w:kern w:val="0"/>
                <w:szCs w:val="21"/>
                <w:highlight w:val="none"/>
              </w:rPr>
            </w:pPr>
          </w:p>
        </w:tc>
      </w:tr>
    </w:tbl>
    <w:p w14:paraId="0071AF82">
      <w:pPr>
        <w:shd w:val="clear" w:color="auto" w:fill="auto"/>
        <w:snapToGrid w:val="0"/>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w:t>
      </w:r>
    </w:p>
    <w:p w14:paraId="46DE3B59">
      <w:pPr>
        <w:shd w:val="clear" w:color="auto" w:fill="auto"/>
        <w:snapToGrid w:val="0"/>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1D4F9CB">
      <w:pPr>
        <w:shd w:val="clear" w:color="auto" w:fill="auto"/>
        <w:snapToGrid w:val="0"/>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2.本表所指的控股关系仅限于直接控股关系，不包括间接的控股关系。公司实际控制人与公司之间的关系不属于本表所指的直接控股关系。</w:t>
      </w:r>
    </w:p>
    <w:p w14:paraId="382D55A5">
      <w:pPr>
        <w:shd w:val="clear" w:color="auto" w:fill="auto"/>
        <w:snapToGrid w:val="0"/>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3.供应商不存在直接控股股东的，则在“</w:t>
      </w:r>
      <w:r>
        <w:rPr>
          <w:rFonts w:hint="default" w:ascii="Times New Roman" w:hAnsi="Times New Roman" w:cs="Times New Roman"/>
          <w:b/>
          <w:bCs/>
          <w:color w:val="auto"/>
          <w:kern w:val="0"/>
          <w:szCs w:val="21"/>
          <w:highlight w:val="none"/>
        </w:rPr>
        <w:t>直接控股股东名称</w:t>
      </w:r>
      <w:r>
        <w:rPr>
          <w:rFonts w:hint="default" w:ascii="Times New Roman" w:hAnsi="Times New Roman" w:cs="Times New Roman"/>
          <w:color w:val="auto"/>
          <w:szCs w:val="21"/>
          <w:highlight w:val="none"/>
        </w:rPr>
        <w:t>”中填“无”。</w:t>
      </w:r>
    </w:p>
    <w:p w14:paraId="06E75765">
      <w:pPr>
        <w:shd w:val="clear" w:color="auto" w:fill="auto"/>
        <w:snapToGrid w:val="0"/>
        <w:jc w:val="left"/>
        <w:rPr>
          <w:rFonts w:hint="default" w:ascii="Times New Roman" w:hAnsi="Times New Roman" w:cs="Times New Roman"/>
          <w:color w:val="auto"/>
          <w:sz w:val="24"/>
          <w:highlight w:val="none"/>
        </w:rPr>
      </w:pPr>
    </w:p>
    <w:p w14:paraId="4DA771FE">
      <w:pPr>
        <w:shd w:val="clear" w:color="auto" w:fill="auto"/>
        <w:snapToGrid w:val="0"/>
        <w:jc w:val="left"/>
        <w:rPr>
          <w:rFonts w:hint="default" w:ascii="Times New Roman" w:hAnsi="Times New Roman" w:cs="Times New Roman"/>
          <w:color w:val="auto"/>
          <w:sz w:val="24"/>
          <w:highlight w:val="none"/>
        </w:rPr>
      </w:pPr>
    </w:p>
    <w:p w14:paraId="6497D6D7">
      <w:pPr>
        <w:shd w:val="clear" w:color="auto" w:fill="auto"/>
        <w:snapToGrid w:val="0"/>
        <w:jc w:val="left"/>
        <w:rPr>
          <w:rFonts w:hint="default" w:ascii="Times New Roman" w:hAnsi="Times New Roman" w:cs="Times New Roman"/>
          <w:color w:val="auto"/>
          <w:sz w:val="24"/>
          <w:highlight w:val="none"/>
        </w:rPr>
      </w:pPr>
    </w:p>
    <w:p w14:paraId="6E96ABA7">
      <w:pPr>
        <w:shd w:val="clear" w:color="auto" w:fill="auto"/>
        <w:snapToGrid w:val="0"/>
        <w:jc w:val="left"/>
        <w:rPr>
          <w:rFonts w:hint="default" w:ascii="Times New Roman" w:hAnsi="Times New Roman" w:cs="Times New Roman"/>
          <w:color w:val="auto"/>
          <w:sz w:val="24"/>
          <w:highlight w:val="none"/>
        </w:rPr>
      </w:pPr>
    </w:p>
    <w:p w14:paraId="7C102747">
      <w:pPr>
        <w:shd w:val="clear" w:color="auto" w:fill="auto"/>
        <w:snapToGrid w:val="0"/>
        <w:jc w:val="left"/>
        <w:rPr>
          <w:rFonts w:hint="default" w:ascii="Times New Roman" w:hAnsi="Times New Roman" w:cs="Times New Roman"/>
          <w:color w:val="auto"/>
          <w:sz w:val="24"/>
          <w:highlight w:val="none"/>
        </w:rPr>
      </w:pPr>
    </w:p>
    <w:p w14:paraId="488FA20D">
      <w:pPr>
        <w:shd w:val="clear" w:color="auto" w:fill="auto"/>
        <w:snapToGrid w:val="0"/>
        <w:spacing w:line="360" w:lineRule="auto"/>
        <w:ind w:left="-2" w:leftChars="-1" w:right="-817" w:rightChars="-389" w:firstLine="3780" w:firstLineChars="18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法定代表人（签字）： </w:t>
      </w:r>
    </w:p>
    <w:p w14:paraId="427A5B73">
      <w:pPr>
        <w:shd w:val="clear" w:color="auto" w:fill="auto"/>
        <w:snapToGrid w:val="0"/>
        <w:spacing w:line="360" w:lineRule="auto"/>
        <w:ind w:left="-6" w:leftChars="-15" w:right="-817" w:rightChars="-389" w:hanging="25" w:hangingChars="1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供应商名称（盖公章）：</w:t>
      </w:r>
    </w:p>
    <w:p w14:paraId="38A270CD">
      <w:pPr>
        <w:shd w:val="clear" w:color="auto" w:fill="auto"/>
        <w:snapToGrid w:val="0"/>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日期：    年   月   日</w:t>
      </w:r>
    </w:p>
    <w:p w14:paraId="27E1AC64">
      <w:pPr>
        <w:shd w:val="clear" w:color="auto" w:fill="auto"/>
        <w:snapToGrid w:val="0"/>
        <w:spacing w:before="156" w:beforeLines="50" w:after="50"/>
        <w:ind w:right="480" w:firstLine="6465" w:firstLineChars="2300"/>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br w:type="page"/>
      </w:r>
    </w:p>
    <w:p w14:paraId="18CBE02D">
      <w:pPr>
        <w:shd w:val="clear" w:color="auto" w:fill="auto"/>
        <w:snapToGrid w:val="0"/>
        <w:spacing w:before="50" w:after="156" w:afterLines="50"/>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供应商直接管理关系信息表</w:t>
      </w:r>
    </w:p>
    <w:tbl>
      <w:tblPr>
        <w:tblStyle w:val="41"/>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31DF992E">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A5EE691">
            <w:pPr>
              <w:shd w:val="clear" w:color="auto" w:fill="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F8AFA28">
            <w:pPr>
              <w:shd w:val="clear" w:color="auto" w:fill="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FF93726">
            <w:pPr>
              <w:shd w:val="clear" w:color="auto" w:fill="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FFF9DA7">
            <w:pPr>
              <w:shd w:val="clear" w:color="auto" w:fill="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备注</w:t>
            </w:r>
          </w:p>
        </w:tc>
      </w:tr>
      <w:tr w14:paraId="1C75804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C5E4B4">
            <w:pPr>
              <w:shd w:val="clear" w:color="auto" w:fill="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0FFE80">
            <w:pPr>
              <w:shd w:val="clear" w:color="auto" w:fill="auto"/>
              <w:jc w:val="center"/>
              <w:rPr>
                <w:rFonts w:hint="default" w:ascii="Times New Roman" w:hAnsi="Times New Roman" w:cs="Times New Roman"/>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26B982">
            <w:pPr>
              <w:shd w:val="clear" w:color="auto" w:fill="auto"/>
              <w:jc w:val="center"/>
              <w:rPr>
                <w:rFonts w:hint="default" w:ascii="Times New Roman" w:hAnsi="Times New Roman" w:cs="Times New Roman"/>
                <w:color w:val="auto"/>
                <w:kern w:val="0"/>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EF7C5B">
            <w:pPr>
              <w:shd w:val="clear" w:color="auto" w:fill="auto"/>
              <w:jc w:val="center"/>
              <w:rPr>
                <w:rFonts w:hint="default" w:ascii="Times New Roman" w:hAnsi="Times New Roman" w:cs="Times New Roman"/>
                <w:color w:val="auto"/>
                <w:kern w:val="0"/>
                <w:szCs w:val="21"/>
                <w:highlight w:val="none"/>
              </w:rPr>
            </w:pPr>
          </w:p>
        </w:tc>
      </w:tr>
      <w:tr w14:paraId="3404B7F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199333">
            <w:pPr>
              <w:shd w:val="clear" w:color="auto" w:fill="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CDAE3FF">
            <w:pPr>
              <w:shd w:val="clear" w:color="auto" w:fill="auto"/>
              <w:jc w:val="center"/>
              <w:rPr>
                <w:rFonts w:hint="default" w:ascii="Times New Roman" w:hAnsi="Times New Roman" w:cs="Times New Roman"/>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DE76064">
            <w:pPr>
              <w:shd w:val="clear" w:color="auto" w:fill="auto"/>
              <w:jc w:val="center"/>
              <w:rPr>
                <w:rFonts w:hint="default" w:ascii="Times New Roman" w:hAnsi="Times New Roman" w:cs="Times New Roman"/>
                <w:color w:val="auto"/>
                <w:kern w:val="0"/>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D71EB9D">
            <w:pPr>
              <w:shd w:val="clear" w:color="auto" w:fill="auto"/>
              <w:jc w:val="center"/>
              <w:rPr>
                <w:rFonts w:hint="default" w:ascii="Times New Roman" w:hAnsi="Times New Roman" w:cs="Times New Roman"/>
                <w:color w:val="auto"/>
                <w:kern w:val="0"/>
                <w:szCs w:val="21"/>
                <w:highlight w:val="none"/>
              </w:rPr>
            </w:pPr>
          </w:p>
        </w:tc>
      </w:tr>
      <w:tr w14:paraId="6C39B0B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4CFC842">
            <w:pPr>
              <w:shd w:val="clear" w:color="auto" w:fill="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D6387FE">
            <w:pPr>
              <w:shd w:val="clear" w:color="auto" w:fill="auto"/>
              <w:jc w:val="center"/>
              <w:rPr>
                <w:rFonts w:hint="default" w:ascii="Times New Roman" w:hAnsi="Times New Roman" w:cs="Times New Roman"/>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0AB665">
            <w:pPr>
              <w:shd w:val="clear" w:color="auto" w:fill="auto"/>
              <w:jc w:val="center"/>
              <w:rPr>
                <w:rFonts w:hint="default" w:ascii="Times New Roman" w:hAnsi="Times New Roman" w:cs="Times New Roman"/>
                <w:color w:val="auto"/>
                <w:kern w:val="0"/>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570D0F">
            <w:pPr>
              <w:shd w:val="clear" w:color="auto" w:fill="auto"/>
              <w:jc w:val="center"/>
              <w:rPr>
                <w:rFonts w:hint="default" w:ascii="Times New Roman" w:hAnsi="Times New Roman" w:cs="Times New Roman"/>
                <w:color w:val="auto"/>
                <w:kern w:val="0"/>
                <w:szCs w:val="21"/>
                <w:highlight w:val="none"/>
              </w:rPr>
            </w:pPr>
          </w:p>
        </w:tc>
      </w:tr>
      <w:tr w14:paraId="0308054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8665EFC">
            <w:pPr>
              <w:shd w:val="clear" w:color="auto" w:fill="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95B834">
            <w:pPr>
              <w:shd w:val="clear" w:color="auto" w:fill="auto"/>
              <w:jc w:val="center"/>
              <w:rPr>
                <w:rFonts w:hint="default" w:ascii="Times New Roman" w:hAnsi="Times New Roman" w:cs="Times New Roman"/>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46445A7">
            <w:pPr>
              <w:shd w:val="clear" w:color="auto" w:fill="auto"/>
              <w:jc w:val="center"/>
              <w:rPr>
                <w:rFonts w:hint="default" w:ascii="Times New Roman" w:hAnsi="Times New Roman" w:cs="Times New Roman"/>
                <w:color w:val="auto"/>
                <w:kern w:val="0"/>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539E99">
            <w:pPr>
              <w:shd w:val="clear" w:color="auto" w:fill="auto"/>
              <w:jc w:val="center"/>
              <w:rPr>
                <w:rFonts w:hint="default" w:ascii="Times New Roman" w:hAnsi="Times New Roman" w:cs="Times New Roman"/>
                <w:color w:val="auto"/>
                <w:kern w:val="0"/>
                <w:szCs w:val="21"/>
                <w:highlight w:val="none"/>
              </w:rPr>
            </w:pPr>
          </w:p>
        </w:tc>
      </w:tr>
    </w:tbl>
    <w:p w14:paraId="48840360">
      <w:pPr>
        <w:shd w:val="clear" w:color="auto" w:fill="auto"/>
        <w:snapToGrid w:val="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w:t>
      </w:r>
    </w:p>
    <w:p w14:paraId="611EBF4F">
      <w:pPr>
        <w:shd w:val="clear" w:color="auto" w:fill="auto"/>
        <w:snapToGrid w:val="0"/>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1.管理关系：是指不具有出资持股关系的其他单位之间存在的管理与被管理关系，如一些上下级关系的事业单位和团体组织。</w:t>
      </w:r>
    </w:p>
    <w:p w14:paraId="69D2D63D">
      <w:pPr>
        <w:shd w:val="clear" w:color="auto" w:fill="auto"/>
        <w:snapToGrid w:val="0"/>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spacing w:val="-6"/>
          <w:szCs w:val="21"/>
          <w:highlight w:val="none"/>
        </w:rPr>
        <w:t>本表所指的管理关系仅限于直接管理关系，不包括间接的管理关系。</w:t>
      </w:r>
    </w:p>
    <w:p w14:paraId="38A63EEE">
      <w:pPr>
        <w:shd w:val="clear" w:color="auto" w:fill="auto"/>
        <w:snapToGrid w:val="0"/>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3.供应商不存在直接管理关系的，则在“</w:t>
      </w:r>
      <w:r>
        <w:rPr>
          <w:rFonts w:hint="default" w:ascii="Times New Roman" w:hAnsi="Times New Roman" w:cs="Times New Roman"/>
          <w:b/>
          <w:bCs/>
          <w:color w:val="auto"/>
          <w:kern w:val="0"/>
          <w:szCs w:val="21"/>
          <w:highlight w:val="none"/>
        </w:rPr>
        <w:t>直接管理关系单位名称</w:t>
      </w:r>
      <w:r>
        <w:rPr>
          <w:rFonts w:hint="default" w:ascii="Times New Roman" w:hAnsi="Times New Roman" w:cs="Times New Roman"/>
          <w:color w:val="auto"/>
          <w:szCs w:val="21"/>
          <w:highlight w:val="none"/>
        </w:rPr>
        <w:t>”中填“无”。</w:t>
      </w:r>
    </w:p>
    <w:p w14:paraId="393B715E">
      <w:pPr>
        <w:shd w:val="clear" w:color="auto" w:fill="auto"/>
        <w:snapToGrid w:val="0"/>
        <w:ind w:firstLine="420" w:firstLineChars="200"/>
        <w:jc w:val="left"/>
        <w:rPr>
          <w:rFonts w:hint="default" w:ascii="Times New Roman" w:hAnsi="Times New Roman" w:cs="Times New Roman"/>
          <w:color w:val="auto"/>
          <w:szCs w:val="21"/>
          <w:highlight w:val="none"/>
        </w:rPr>
      </w:pPr>
    </w:p>
    <w:p w14:paraId="5945FF01">
      <w:pPr>
        <w:shd w:val="clear" w:color="auto" w:fill="auto"/>
        <w:snapToGrid w:val="0"/>
        <w:jc w:val="left"/>
        <w:rPr>
          <w:rFonts w:hint="default" w:ascii="Times New Roman" w:hAnsi="Times New Roman" w:cs="Times New Roman"/>
          <w:color w:val="auto"/>
          <w:sz w:val="24"/>
          <w:highlight w:val="none"/>
        </w:rPr>
      </w:pPr>
    </w:p>
    <w:p w14:paraId="100E3D7B">
      <w:pPr>
        <w:shd w:val="clear" w:color="auto" w:fill="auto"/>
        <w:snapToGrid w:val="0"/>
        <w:jc w:val="left"/>
        <w:rPr>
          <w:rFonts w:hint="default" w:ascii="Times New Roman" w:hAnsi="Times New Roman" w:cs="Times New Roman"/>
          <w:color w:val="auto"/>
          <w:sz w:val="24"/>
          <w:highlight w:val="none"/>
        </w:rPr>
      </w:pPr>
    </w:p>
    <w:p w14:paraId="20F4C439">
      <w:pPr>
        <w:shd w:val="clear" w:color="auto" w:fill="auto"/>
        <w:rPr>
          <w:rFonts w:hint="default" w:ascii="Times New Roman" w:hAnsi="Times New Roman" w:cs="Times New Roman"/>
          <w:color w:val="auto"/>
          <w:highlight w:val="none"/>
        </w:rPr>
      </w:pPr>
    </w:p>
    <w:p w14:paraId="101C29C5">
      <w:pPr>
        <w:shd w:val="clear" w:color="auto" w:fill="auto"/>
        <w:snapToGrid w:val="0"/>
        <w:jc w:val="left"/>
        <w:rPr>
          <w:rFonts w:hint="default" w:ascii="Times New Roman" w:hAnsi="Times New Roman" w:cs="Times New Roman"/>
          <w:color w:val="auto"/>
          <w:szCs w:val="21"/>
          <w:highlight w:val="none"/>
        </w:rPr>
      </w:pPr>
    </w:p>
    <w:p w14:paraId="48B57729">
      <w:pPr>
        <w:shd w:val="clear" w:color="auto" w:fill="auto"/>
        <w:snapToGrid w:val="0"/>
        <w:spacing w:line="360" w:lineRule="auto"/>
        <w:ind w:left="-2" w:leftChars="-1" w:right="-817" w:rightChars="-389" w:firstLine="3570" w:firstLineChars="17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法定代表人（签字）： </w:t>
      </w:r>
    </w:p>
    <w:p w14:paraId="76B9B9FD">
      <w:pPr>
        <w:shd w:val="clear" w:color="auto" w:fill="auto"/>
        <w:snapToGrid w:val="0"/>
        <w:spacing w:line="360" w:lineRule="auto"/>
        <w:ind w:left="-6" w:leftChars="-15" w:right="-817" w:rightChars="-389" w:hanging="25" w:hangingChars="1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供应商名称（盖公章）：</w:t>
      </w:r>
    </w:p>
    <w:p w14:paraId="08F1E5B6">
      <w:pPr>
        <w:shd w:val="clear" w:color="auto" w:fill="auto"/>
        <w:snapToGrid w:val="0"/>
        <w:spacing w:line="360" w:lineRule="auto"/>
        <w:ind w:right="480" w:firstLine="210" w:firstLineChars="1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日期：    年   月   日</w:t>
      </w:r>
    </w:p>
    <w:p w14:paraId="708D1EE4">
      <w:pPr>
        <w:pStyle w:val="26"/>
        <w:rPr>
          <w:rFonts w:hAnsi="宋体" w:cs="宋体"/>
          <w:b/>
          <w:color w:val="auto"/>
          <w:sz w:val="21"/>
          <w:szCs w:val="21"/>
          <w:highlight w:val="none"/>
        </w:rPr>
      </w:pPr>
    </w:p>
    <w:p w14:paraId="399FBD3A">
      <w:pPr>
        <w:rPr>
          <w:rFonts w:hAnsi="宋体" w:cs="宋体"/>
          <w:b/>
          <w:color w:val="auto"/>
          <w:sz w:val="32"/>
          <w:szCs w:val="32"/>
          <w:highlight w:val="none"/>
        </w:rPr>
      </w:pPr>
    </w:p>
    <w:p w14:paraId="68A64D2D">
      <w:pPr>
        <w:pStyle w:val="26"/>
        <w:rPr>
          <w:color w:val="auto"/>
          <w:highlight w:val="none"/>
        </w:rPr>
      </w:pPr>
    </w:p>
    <w:p w14:paraId="4BB5D03C">
      <w:pPr>
        <w:pStyle w:val="26"/>
        <w:rPr>
          <w:color w:val="auto"/>
          <w:highlight w:val="none"/>
        </w:rPr>
      </w:pPr>
    </w:p>
    <w:p w14:paraId="4EB55BC4">
      <w:pPr>
        <w:pStyle w:val="26"/>
        <w:rPr>
          <w:rFonts w:hAnsi="宋体" w:cs="宋体"/>
          <w:b/>
          <w:color w:val="auto"/>
          <w:sz w:val="32"/>
          <w:szCs w:val="32"/>
          <w:highlight w:val="none"/>
        </w:rPr>
      </w:pPr>
    </w:p>
    <w:bookmarkEnd w:id="280"/>
    <w:bookmarkEnd w:id="1082"/>
    <w:bookmarkEnd w:id="1083"/>
    <w:bookmarkEnd w:id="1084"/>
    <w:p w14:paraId="764A5712">
      <w:pPr>
        <w:rPr>
          <w:rFonts w:hint="eastAsia" w:hAnsi="宋体" w:cs="宋体"/>
          <w:b/>
          <w:color w:val="auto"/>
          <w:sz w:val="30"/>
          <w:szCs w:val="30"/>
          <w:highlight w:val="none"/>
          <w:lang w:val="en-US" w:eastAsia="zh-CN"/>
        </w:rPr>
      </w:pPr>
      <w:bookmarkStart w:id="1104" w:name="_Toc245915364"/>
      <w:bookmarkStart w:id="1105" w:name="_Toc246693222"/>
      <w:bookmarkStart w:id="1106" w:name="_Toc246259669"/>
      <w:bookmarkStart w:id="1107" w:name="_Toc246303918"/>
      <w:bookmarkStart w:id="1108" w:name="_Toc312957796"/>
      <w:bookmarkStart w:id="1109" w:name="_Toc130105468"/>
      <w:bookmarkStart w:id="1110" w:name="_Toc256259992"/>
      <w:bookmarkStart w:id="1111" w:name="_Toc121504879"/>
      <w:bookmarkStart w:id="1112" w:name="_Toc121749448"/>
      <w:r>
        <w:rPr>
          <w:rFonts w:hint="eastAsia" w:hAnsi="宋体" w:cs="宋体"/>
          <w:b/>
          <w:color w:val="auto"/>
          <w:sz w:val="30"/>
          <w:szCs w:val="30"/>
          <w:highlight w:val="none"/>
          <w:lang w:val="en-US" w:eastAsia="zh-CN"/>
        </w:rPr>
        <w:br w:type="page"/>
      </w:r>
    </w:p>
    <w:p w14:paraId="16C987A3">
      <w:pPr>
        <w:pStyle w:val="21"/>
        <w:numPr>
          <w:ilvl w:val="0"/>
          <w:numId w:val="0"/>
        </w:numPr>
        <w:spacing w:line="440" w:lineRule="exact"/>
        <w:rPr>
          <w:rFonts w:hint="eastAsia" w:hAnsi="宋体" w:cs="宋体"/>
          <w:b/>
          <w:color w:val="auto"/>
          <w:sz w:val="30"/>
          <w:szCs w:val="30"/>
          <w:highlight w:val="none"/>
        </w:rPr>
      </w:pPr>
      <w:r>
        <w:rPr>
          <w:rFonts w:hint="eastAsia" w:hAnsi="宋体" w:cs="宋体"/>
          <w:b/>
          <w:color w:val="auto"/>
          <w:sz w:val="30"/>
          <w:szCs w:val="30"/>
          <w:highlight w:val="none"/>
          <w:lang w:val="en-US" w:eastAsia="zh-CN"/>
        </w:rPr>
        <w:t>5、</w:t>
      </w:r>
      <w:r>
        <w:rPr>
          <w:rFonts w:hint="eastAsia" w:hAnsi="宋体" w:cs="宋体"/>
          <w:b/>
          <w:color w:val="auto"/>
          <w:sz w:val="30"/>
          <w:szCs w:val="30"/>
          <w:highlight w:val="none"/>
        </w:rPr>
        <w:t>供应商属于小型、微型企业的，请提供《中小企业声明函》(格式见附件)；属监狱企业的，请提供由省级以上监狱管理局、戒毒管理局（含新疆生产建设兵团）出具的属于监狱企业的证明文件；属于残疾人福利性单位的，请提供《残疾人福利性单位声明函》(</w:t>
      </w:r>
      <w:r>
        <w:rPr>
          <w:rFonts w:hint="eastAsia" w:hAnsi="宋体" w:cs="宋体"/>
          <w:b/>
          <w:color w:val="auto"/>
          <w:sz w:val="30"/>
          <w:szCs w:val="30"/>
          <w:highlight w:val="none"/>
          <w:lang w:eastAsia="zh-CN"/>
        </w:rPr>
        <w:t>格式见附件</w:t>
      </w:r>
      <w:r>
        <w:rPr>
          <w:rFonts w:hint="eastAsia" w:hAnsi="宋体" w:cs="宋体"/>
          <w:b/>
          <w:color w:val="auto"/>
          <w:sz w:val="30"/>
          <w:szCs w:val="30"/>
          <w:highlight w:val="none"/>
        </w:rPr>
        <w:t>）；（必须提供）</w:t>
      </w:r>
    </w:p>
    <w:p w14:paraId="43030B48">
      <w:pPr>
        <w:rPr>
          <w:color w:val="auto"/>
          <w:highlight w:val="none"/>
        </w:rPr>
      </w:pPr>
    </w:p>
    <w:p w14:paraId="27058E2E">
      <w:pPr>
        <w:snapToGrid w:val="0"/>
        <w:spacing w:beforeLines="50"/>
        <w:jc w:val="left"/>
        <w:rPr>
          <w:rFonts w:ascii="宋体" w:hAnsi="宋体" w:cs="宋体"/>
          <w:color w:val="auto"/>
          <w:highlight w:val="none"/>
        </w:rPr>
      </w:pPr>
    </w:p>
    <w:p w14:paraId="33D447C5">
      <w:pPr>
        <w:snapToGrid w:val="0"/>
        <w:spacing w:beforeLines="50"/>
        <w:jc w:val="center"/>
        <w:rPr>
          <w:rFonts w:ascii="宋体" w:hAnsi="宋体" w:cs="宋体"/>
          <w:b/>
          <w:color w:val="auto"/>
          <w:sz w:val="24"/>
          <w:szCs w:val="24"/>
          <w:highlight w:val="none"/>
        </w:rPr>
      </w:pPr>
      <w:r>
        <w:rPr>
          <w:rFonts w:hint="eastAsia" w:ascii="宋体" w:hAnsi="宋体" w:cs="宋体"/>
          <w:b/>
          <w:bCs/>
          <w:color w:val="auto"/>
          <w:sz w:val="24"/>
          <w:szCs w:val="24"/>
          <w:highlight w:val="none"/>
        </w:rPr>
        <w:t>中小企业声明函（工程）</w:t>
      </w:r>
    </w:p>
    <w:p w14:paraId="6A3E49EE">
      <w:pPr>
        <w:pStyle w:val="21"/>
        <w:spacing w:line="500" w:lineRule="exact"/>
        <w:ind w:firstLine="420" w:firstLineChars="200"/>
        <w:rPr>
          <w:rFonts w:hAnsi="宋体"/>
          <w:color w:val="auto"/>
          <w:sz w:val="21"/>
          <w:szCs w:val="21"/>
          <w:highlight w:val="none"/>
        </w:rPr>
      </w:pPr>
      <w:r>
        <w:rPr>
          <w:rFonts w:hint="eastAsia" w:hAnsi="宋体"/>
          <w:color w:val="auto"/>
          <w:sz w:val="21"/>
          <w:szCs w:val="21"/>
          <w:highlight w:val="none"/>
        </w:rPr>
        <w:t>本公司（联合体）郑重声明，根据《政府采购促进中小企业发展管理办法》（财库﹝2020﹞46 号）的规定，本公司（联合体）参加</w:t>
      </w:r>
      <w:r>
        <w:rPr>
          <w:rFonts w:hint="eastAsia" w:hAnsi="宋体"/>
          <w:color w:val="auto"/>
          <w:sz w:val="21"/>
          <w:szCs w:val="21"/>
          <w:highlight w:val="none"/>
          <w:u w:val="single"/>
        </w:rPr>
        <w:t xml:space="preserve">  （单位名称）   </w:t>
      </w:r>
      <w:r>
        <w:rPr>
          <w:rFonts w:hint="eastAsia" w:hAnsi="宋体"/>
          <w:color w:val="auto"/>
          <w:sz w:val="21"/>
          <w:szCs w:val="21"/>
          <w:highlight w:val="none"/>
        </w:rPr>
        <w:t xml:space="preserve">的 </w:t>
      </w:r>
      <w:r>
        <w:rPr>
          <w:rFonts w:hint="eastAsia" w:hAnsi="宋体"/>
          <w:color w:val="auto"/>
          <w:sz w:val="21"/>
          <w:szCs w:val="21"/>
          <w:highlight w:val="none"/>
          <w:u w:val="single"/>
        </w:rPr>
        <w:t xml:space="preserve"> （项目名称）</w:t>
      </w:r>
      <w:r>
        <w:rPr>
          <w:rFonts w:hint="eastAsia" w:hAnsi="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31E04B4">
      <w:pPr>
        <w:pStyle w:val="21"/>
        <w:spacing w:line="500" w:lineRule="exact"/>
        <w:ind w:firstLine="420" w:firstLineChars="200"/>
        <w:rPr>
          <w:rFonts w:hAnsi="宋体"/>
          <w:color w:val="auto"/>
          <w:sz w:val="21"/>
          <w:szCs w:val="21"/>
          <w:highlight w:val="none"/>
        </w:rPr>
      </w:pPr>
      <w:r>
        <w:rPr>
          <w:rFonts w:hint="eastAsia" w:hAnsi="宋体"/>
          <w:color w:val="auto"/>
          <w:sz w:val="21"/>
          <w:szCs w:val="21"/>
          <w:highlight w:val="none"/>
        </w:rPr>
        <w:t>1、</w:t>
      </w:r>
      <w:r>
        <w:rPr>
          <w:rFonts w:hint="eastAsia" w:hAnsi="宋体"/>
          <w:color w:val="auto"/>
          <w:sz w:val="21"/>
          <w:szCs w:val="21"/>
          <w:highlight w:val="none"/>
          <w:u w:val="single"/>
        </w:rPr>
        <w:t>（标的名称）</w:t>
      </w:r>
      <w:r>
        <w:rPr>
          <w:rFonts w:hint="eastAsia" w:hAnsi="宋体"/>
          <w:color w:val="auto"/>
          <w:sz w:val="21"/>
          <w:szCs w:val="21"/>
          <w:highlight w:val="none"/>
        </w:rPr>
        <w:t>，属于</w:t>
      </w:r>
      <w:r>
        <w:rPr>
          <w:rFonts w:hint="eastAsia" w:hAnsi="宋体"/>
          <w:color w:val="auto"/>
          <w:sz w:val="21"/>
          <w:szCs w:val="21"/>
          <w:highlight w:val="none"/>
          <w:u w:val="single"/>
        </w:rPr>
        <w:t>（采购文件中明确的所属行业）</w:t>
      </w:r>
      <w:r>
        <w:rPr>
          <w:rFonts w:hint="eastAsia" w:hAnsi="宋体"/>
          <w:color w:val="auto"/>
          <w:sz w:val="21"/>
          <w:szCs w:val="21"/>
          <w:highlight w:val="none"/>
        </w:rPr>
        <w:t>；承建（承接）企业为</w:t>
      </w:r>
      <w:r>
        <w:rPr>
          <w:rFonts w:hint="eastAsia" w:hAnsi="宋体"/>
          <w:color w:val="auto"/>
          <w:sz w:val="21"/>
          <w:szCs w:val="21"/>
          <w:highlight w:val="none"/>
          <w:u w:val="single"/>
        </w:rPr>
        <w:t xml:space="preserve">  （企业名称）</w:t>
      </w:r>
      <w:r>
        <w:rPr>
          <w:rFonts w:hint="eastAsia" w:hAnsi="宋体"/>
          <w:color w:val="auto"/>
          <w:sz w:val="21"/>
          <w:szCs w:val="21"/>
          <w:highlight w:val="none"/>
        </w:rPr>
        <w:t>，从业人员</w:t>
      </w:r>
      <w:r>
        <w:rPr>
          <w:rFonts w:hint="eastAsia" w:hAnsi="宋体"/>
          <w:color w:val="auto"/>
          <w:sz w:val="21"/>
          <w:szCs w:val="21"/>
          <w:highlight w:val="none"/>
          <w:u w:val="single"/>
        </w:rPr>
        <w:tab/>
      </w:r>
      <w:r>
        <w:rPr>
          <w:rFonts w:hint="eastAsia" w:hAnsi="宋体"/>
          <w:color w:val="auto"/>
          <w:sz w:val="21"/>
          <w:szCs w:val="21"/>
          <w:highlight w:val="none"/>
        </w:rPr>
        <w:t>人，营业收入为</w:t>
      </w:r>
      <w:r>
        <w:rPr>
          <w:rFonts w:hint="eastAsia" w:hAnsi="宋体"/>
          <w:color w:val="auto"/>
          <w:sz w:val="21"/>
          <w:szCs w:val="21"/>
          <w:highlight w:val="none"/>
          <w:u w:val="single"/>
        </w:rPr>
        <w:tab/>
      </w:r>
      <w:r>
        <w:rPr>
          <w:rFonts w:hint="eastAsia" w:hAnsi="宋体"/>
          <w:color w:val="auto"/>
          <w:sz w:val="21"/>
          <w:szCs w:val="21"/>
          <w:highlight w:val="none"/>
        </w:rPr>
        <w:t>万元，资产总额为</w:t>
      </w:r>
      <w:r>
        <w:rPr>
          <w:rFonts w:hint="eastAsia" w:hAnsi="宋体"/>
          <w:color w:val="auto"/>
          <w:sz w:val="21"/>
          <w:szCs w:val="21"/>
          <w:highlight w:val="none"/>
          <w:u w:val="single"/>
        </w:rPr>
        <w:tab/>
      </w:r>
      <w:r>
        <w:rPr>
          <w:rFonts w:hint="eastAsia" w:hAnsi="宋体"/>
          <w:color w:val="auto"/>
          <w:sz w:val="21"/>
          <w:szCs w:val="21"/>
          <w:highlight w:val="none"/>
        </w:rPr>
        <w:t>万元</w:t>
      </w:r>
      <w:r>
        <w:rPr>
          <w:rFonts w:hint="eastAsia" w:hAnsi="宋体" w:cs="宋体"/>
          <w:color w:val="auto"/>
          <w:sz w:val="21"/>
          <w:szCs w:val="21"/>
          <w:highlight w:val="none"/>
        </w:rPr>
        <w:t>¹</w:t>
      </w:r>
      <w:r>
        <w:rPr>
          <w:rFonts w:hint="eastAsia" w:hAnsi="宋体"/>
          <w:color w:val="auto"/>
          <w:sz w:val="21"/>
          <w:szCs w:val="21"/>
          <w:highlight w:val="none"/>
        </w:rPr>
        <w:t>，属于</w:t>
      </w:r>
      <w:r>
        <w:rPr>
          <w:rFonts w:hint="eastAsia" w:hAnsi="宋体"/>
          <w:color w:val="auto"/>
          <w:sz w:val="21"/>
          <w:szCs w:val="21"/>
          <w:highlight w:val="none"/>
          <w:u w:val="single"/>
        </w:rPr>
        <w:t>（中型企业、小型企业、微型企业）</w:t>
      </w:r>
      <w:r>
        <w:rPr>
          <w:rFonts w:hint="eastAsia" w:hAnsi="宋体"/>
          <w:color w:val="auto"/>
          <w:sz w:val="21"/>
          <w:szCs w:val="21"/>
          <w:highlight w:val="none"/>
        </w:rPr>
        <w:t>；</w:t>
      </w:r>
    </w:p>
    <w:p w14:paraId="0AF3E7FF">
      <w:pPr>
        <w:pStyle w:val="21"/>
        <w:spacing w:line="500" w:lineRule="exact"/>
        <w:ind w:firstLine="420" w:firstLineChars="200"/>
        <w:rPr>
          <w:rFonts w:hAnsi="宋体"/>
          <w:color w:val="auto"/>
          <w:sz w:val="21"/>
          <w:szCs w:val="21"/>
          <w:highlight w:val="none"/>
        </w:rPr>
      </w:pPr>
      <w:r>
        <w:rPr>
          <w:rFonts w:hint="eastAsia" w:hAnsi="宋体"/>
          <w:color w:val="auto"/>
          <w:sz w:val="21"/>
          <w:szCs w:val="21"/>
          <w:highlight w:val="none"/>
        </w:rPr>
        <w:t>2、</w:t>
      </w:r>
      <w:r>
        <w:rPr>
          <w:rFonts w:hint="eastAsia" w:hAnsi="宋体"/>
          <w:color w:val="auto"/>
          <w:sz w:val="21"/>
          <w:szCs w:val="21"/>
          <w:highlight w:val="none"/>
          <w:u w:val="single"/>
        </w:rPr>
        <w:t>（标的名称</w:t>
      </w:r>
      <w:r>
        <w:rPr>
          <w:rFonts w:hint="eastAsia" w:hAnsi="宋体"/>
          <w:color w:val="auto"/>
          <w:sz w:val="21"/>
          <w:szCs w:val="21"/>
          <w:highlight w:val="none"/>
        </w:rPr>
        <w:t>），属于</w:t>
      </w:r>
      <w:r>
        <w:rPr>
          <w:rFonts w:hint="eastAsia" w:hAnsi="宋体"/>
          <w:color w:val="auto"/>
          <w:sz w:val="21"/>
          <w:szCs w:val="21"/>
          <w:highlight w:val="none"/>
          <w:u w:val="single"/>
        </w:rPr>
        <w:t>（采购文件中明确的所属行业）</w:t>
      </w:r>
      <w:r>
        <w:rPr>
          <w:rFonts w:hint="eastAsia" w:hAnsi="宋体"/>
          <w:color w:val="auto"/>
          <w:sz w:val="21"/>
          <w:szCs w:val="21"/>
          <w:highlight w:val="none"/>
        </w:rPr>
        <w:t>；承建（承接）企业为（企业名称），从业人员</w:t>
      </w:r>
      <w:r>
        <w:rPr>
          <w:rFonts w:hint="eastAsia" w:hAnsi="宋体"/>
          <w:color w:val="auto"/>
          <w:sz w:val="21"/>
          <w:szCs w:val="21"/>
          <w:highlight w:val="none"/>
          <w:u w:val="single"/>
        </w:rPr>
        <w:tab/>
      </w:r>
      <w:r>
        <w:rPr>
          <w:rFonts w:hint="eastAsia" w:hAnsi="宋体"/>
          <w:color w:val="auto"/>
          <w:sz w:val="21"/>
          <w:szCs w:val="21"/>
          <w:highlight w:val="none"/>
        </w:rPr>
        <w:t>人，营业收入为</w:t>
      </w:r>
      <w:r>
        <w:rPr>
          <w:rFonts w:hint="eastAsia" w:hAnsi="宋体"/>
          <w:color w:val="auto"/>
          <w:sz w:val="21"/>
          <w:szCs w:val="21"/>
          <w:highlight w:val="none"/>
          <w:u w:val="single"/>
        </w:rPr>
        <w:tab/>
      </w:r>
      <w:r>
        <w:rPr>
          <w:rFonts w:hint="eastAsia" w:hAnsi="宋体"/>
          <w:color w:val="auto"/>
          <w:sz w:val="21"/>
          <w:szCs w:val="21"/>
          <w:highlight w:val="none"/>
        </w:rPr>
        <w:t>万元，资产总额为万元，属于（中型企业、小型企业、微型企业）；</w:t>
      </w:r>
    </w:p>
    <w:p w14:paraId="332B84B7">
      <w:pPr>
        <w:pStyle w:val="21"/>
        <w:spacing w:line="500" w:lineRule="exact"/>
        <w:ind w:firstLine="420" w:firstLineChars="200"/>
        <w:rPr>
          <w:rFonts w:hAnsi="宋体"/>
          <w:color w:val="auto"/>
          <w:sz w:val="21"/>
          <w:szCs w:val="21"/>
          <w:highlight w:val="none"/>
        </w:rPr>
      </w:pPr>
      <w:r>
        <w:rPr>
          <w:rFonts w:hint="eastAsia" w:hAnsi="宋体"/>
          <w:color w:val="auto"/>
          <w:sz w:val="21"/>
          <w:szCs w:val="21"/>
          <w:highlight w:val="none"/>
        </w:rPr>
        <w:t>……</w:t>
      </w:r>
    </w:p>
    <w:p w14:paraId="2EDE003D">
      <w:pPr>
        <w:pStyle w:val="21"/>
        <w:spacing w:line="500" w:lineRule="exact"/>
        <w:ind w:firstLine="420" w:firstLineChars="200"/>
        <w:rPr>
          <w:rFonts w:hAnsi="宋体"/>
          <w:color w:val="auto"/>
          <w:sz w:val="21"/>
          <w:szCs w:val="21"/>
          <w:highlight w:val="none"/>
        </w:rPr>
      </w:pPr>
      <w:r>
        <w:rPr>
          <w:rFonts w:hint="eastAsia" w:hAnsi="宋体"/>
          <w:color w:val="auto"/>
          <w:sz w:val="21"/>
          <w:szCs w:val="21"/>
          <w:highlight w:val="none"/>
        </w:rPr>
        <w:t>以上企业，不属于大企业的分支机构，不存在控股股东为大企业的情形，也不存在与大企业的负责人为同一人的情形。</w:t>
      </w:r>
    </w:p>
    <w:p w14:paraId="617B934A">
      <w:pPr>
        <w:pStyle w:val="21"/>
        <w:spacing w:line="500" w:lineRule="exact"/>
        <w:ind w:firstLine="420" w:firstLineChars="200"/>
        <w:rPr>
          <w:rFonts w:hAnsi="宋体"/>
          <w:color w:val="auto"/>
          <w:sz w:val="21"/>
          <w:szCs w:val="21"/>
          <w:highlight w:val="none"/>
        </w:rPr>
      </w:pPr>
      <w:r>
        <w:rPr>
          <w:rFonts w:hint="eastAsia" w:hAnsi="宋体"/>
          <w:color w:val="auto"/>
          <w:sz w:val="21"/>
          <w:szCs w:val="21"/>
          <w:highlight w:val="none"/>
        </w:rPr>
        <w:t>本企业对上述声明内容的真实性负责。如有虚假，将依法承担相应责任。</w:t>
      </w:r>
    </w:p>
    <w:p w14:paraId="1365C67D">
      <w:pPr>
        <w:pStyle w:val="21"/>
        <w:spacing w:line="500" w:lineRule="exact"/>
        <w:ind w:firstLine="420" w:firstLineChars="200"/>
        <w:rPr>
          <w:rFonts w:hAnsi="宋体"/>
          <w:color w:val="auto"/>
          <w:sz w:val="21"/>
          <w:szCs w:val="21"/>
          <w:highlight w:val="none"/>
        </w:rPr>
      </w:pPr>
    </w:p>
    <w:p w14:paraId="69E75508">
      <w:pPr>
        <w:pStyle w:val="21"/>
        <w:spacing w:line="500" w:lineRule="exact"/>
        <w:ind w:firstLine="4830" w:firstLineChars="2300"/>
        <w:rPr>
          <w:rFonts w:hAnsi="宋体"/>
          <w:color w:val="auto"/>
          <w:sz w:val="21"/>
          <w:szCs w:val="21"/>
          <w:highlight w:val="none"/>
        </w:rPr>
      </w:pPr>
      <w:r>
        <w:rPr>
          <w:rFonts w:hint="eastAsia" w:hAnsi="宋体"/>
          <w:color w:val="auto"/>
          <w:sz w:val="21"/>
          <w:szCs w:val="21"/>
          <w:highlight w:val="none"/>
        </w:rPr>
        <w:t>企业名称（盖章）：</w:t>
      </w:r>
    </w:p>
    <w:p w14:paraId="534CFC28">
      <w:pPr>
        <w:pStyle w:val="21"/>
        <w:spacing w:line="500" w:lineRule="exact"/>
        <w:ind w:firstLine="5670" w:firstLineChars="2700"/>
        <w:rPr>
          <w:rFonts w:hAnsi="宋体" w:cs="宋体"/>
          <w:color w:val="auto"/>
          <w:sz w:val="21"/>
          <w:szCs w:val="21"/>
          <w:highlight w:val="none"/>
        </w:rPr>
      </w:pPr>
      <w:r>
        <w:rPr>
          <w:rFonts w:hint="eastAsia" w:hAnsi="宋体"/>
          <w:color w:val="auto"/>
          <w:sz w:val="21"/>
          <w:szCs w:val="21"/>
          <w:highlight w:val="none"/>
        </w:rPr>
        <w:t>日期：</w:t>
      </w:r>
    </w:p>
    <w:p w14:paraId="1B7FB798">
      <w:pPr>
        <w:pStyle w:val="17"/>
        <w:rPr>
          <w:color w:val="auto"/>
          <w:sz w:val="24"/>
          <w:szCs w:val="24"/>
          <w:highlight w:val="none"/>
        </w:rPr>
      </w:pPr>
    </w:p>
    <w:p w14:paraId="11F86E2B">
      <w:pPr>
        <w:rPr>
          <w:color w:val="auto"/>
          <w:highlight w:val="none"/>
        </w:rPr>
      </w:pPr>
      <w:r>
        <w:rPr>
          <w:rFonts w:hint="eastAsia"/>
          <w:color w:val="auto"/>
          <w:highlight w:val="none"/>
        </w:rPr>
        <w:t>注：</w:t>
      </w:r>
    </w:p>
    <w:p w14:paraId="4CD510B8">
      <w:pPr>
        <w:numPr>
          <w:ilvl w:val="0"/>
          <w:numId w:val="5"/>
        </w:numPr>
        <w:snapToGrid w:val="0"/>
        <w:spacing w:line="324" w:lineRule="auto"/>
        <w:jc w:val="left"/>
        <w:rPr>
          <w:color w:val="auto"/>
          <w:sz w:val="20"/>
          <w:highlight w:val="none"/>
        </w:rPr>
      </w:pPr>
      <w:r>
        <w:rPr>
          <w:rFonts w:hint="eastAsia"/>
          <w:color w:val="auto"/>
          <w:sz w:val="20"/>
          <w:highlight w:val="none"/>
        </w:rPr>
        <w:t>从业人员、营业收入、资产总额填报上一年度数据，无上一年度数据的新成立企业可不填报。</w:t>
      </w:r>
    </w:p>
    <w:p w14:paraId="7CE06D14">
      <w:pPr>
        <w:snapToGrid w:val="0"/>
        <w:spacing w:line="324" w:lineRule="auto"/>
        <w:ind w:firstLine="300" w:firstLineChars="150"/>
        <w:jc w:val="left"/>
        <w:rPr>
          <w:color w:val="auto"/>
          <w:sz w:val="20"/>
          <w:highlight w:val="none"/>
        </w:rPr>
        <w:sectPr>
          <w:pgSz w:w="11906" w:h="16838"/>
          <w:pgMar w:top="1134" w:right="1134" w:bottom="1134" w:left="1134" w:header="720" w:footer="720" w:gutter="0"/>
          <w:cols w:space="720" w:num="1"/>
          <w:docGrid w:type="lines" w:linePitch="331" w:charSpace="0"/>
        </w:sectPr>
      </w:pPr>
      <w:r>
        <w:rPr>
          <w:rFonts w:hint="eastAsia"/>
          <w:color w:val="auto"/>
          <w:sz w:val="20"/>
          <w:highlight w:val="none"/>
        </w:rPr>
        <w:t>2、请根据自己的真实情况出具《中小企业声明函》。采购人或者采购代理机构在公告中标结果时，同时公告其《中小企业声明函》，接受社会监督。</w:t>
      </w:r>
    </w:p>
    <w:p w14:paraId="0AFF1763">
      <w:pPr>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2、属监狱企业的，请提供由省级以上监狱管理局、戒毒管理局（含新疆生产建设兵团）出具的属于监狱企业的证明文件（非监狱企业无需提供）</w:t>
      </w:r>
    </w:p>
    <w:p w14:paraId="180CD403">
      <w:pPr>
        <w:spacing w:line="500" w:lineRule="exact"/>
        <w:ind w:firstLine="420" w:firstLineChars="200"/>
        <w:rPr>
          <w:rFonts w:ascii="宋体" w:hAnsi="宋体" w:cs="宋体"/>
          <w:color w:val="auto"/>
          <w:sz w:val="21"/>
          <w:szCs w:val="21"/>
          <w:highlight w:val="none"/>
        </w:rPr>
      </w:pPr>
    </w:p>
    <w:p w14:paraId="559F4D82">
      <w:pPr>
        <w:pStyle w:val="26"/>
        <w:rPr>
          <w:color w:val="auto"/>
          <w:sz w:val="21"/>
          <w:szCs w:val="21"/>
          <w:highlight w:val="none"/>
        </w:rPr>
      </w:pPr>
    </w:p>
    <w:p w14:paraId="5DD65119">
      <w:pPr>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3、残疾人福利性单位须提供《残疾人福利性单位声明函》（非残疾人福利性单位无需提供；如提供，则须按格式提供）</w:t>
      </w:r>
    </w:p>
    <w:p w14:paraId="51F2BEEA">
      <w:pPr>
        <w:spacing w:line="500" w:lineRule="exact"/>
        <w:ind w:firstLine="482" w:firstLineChars="200"/>
        <w:jc w:val="center"/>
        <w:rPr>
          <w:rFonts w:ascii="宋体" w:hAnsi="宋体" w:cs="宋体"/>
          <w:b/>
          <w:color w:val="auto"/>
          <w:sz w:val="24"/>
          <w:highlight w:val="none"/>
        </w:rPr>
      </w:pPr>
    </w:p>
    <w:p w14:paraId="01A69AE3">
      <w:pPr>
        <w:spacing w:line="500" w:lineRule="exact"/>
        <w:ind w:firstLine="482" w:firstLineChars="200"/>
        <w:jc w:val="center"/>
        <w:rPr>
          <w:rFonts w:hint="eastAsia" w:ascii="宋体" w:hAnsi="宋体" w:cs="宋体"/>
          <w:b/>
          <w:color w:val="auto"/>
          <w:sz w:val="24"/>
          <w:highlight w:val="none"/>
        </w:rPr>
      </w:pPr>
    </w:p>
    <w:p w14:paraId="47ACD723">
      <w:pPr>
        <w:spacing w:line="500" w:lineRule="exact"/>
        <w:ind w:firstLine="482" w:firstLineChars="200"/>
        <w:jc w:val="center"/>
        <w:rPr>
          <w:rFonts w:hint="eastAsia" w:ascii="宋体" w:hAnsi="宋体" w:cs="宋体"/>
          <w:b/>
          <w:color w:val="auto"/>
          <w:sz w:val="24"/>
          <w:highlight w:val="none"/>
        </w:rPr>
      </w:pPr>
    </w:p>
    <w:p w14:paraId="55C8A10C">
      <w:pPr>
        <w:spacing w:line="500" w:lineRule="exact"/>
        <w:ind w:firstLine="482" w:firstLineChars="200"/>
        <w:jc w:val="center"/>
        <w:rPr>
          <w:rFonts w:ascii="宋体" w:hAnsi="宋体" w:cs="宋体"/>
          <w:b/>
          <w:color w:val="auto"/>
          <w:sz w:val="24"/>
          <w:highlight w:val="none"/>
        </w:rPr>
      </w:pPr>
      <w:r>
        <w:rPr>
          <w:rFonts w:hint="eastAsia" w:ascii="宋体" w:hAnsi="宋体" w:cs="宋体"/>
          <w:b/>
          <w:color w:val="auto"/>
          <w:sz w:val="24"/>
          <w:highlight w:val="none"/>
        </w:rPr>
        <w:t>残疾人福利性单位声明函</w:t>
      </w:r>
    </w:p>
    <w:p w14:paraId="78B74CD4">
      <w:pPr>
        <w:spacing w:line="500" w:lineRule="exact"/>
        <w:ind w:firstLine="420" w:firstLineChars="200"/>
        <w:rPr>
          <w:rFonts w:hint="eastAsia" w:ascii="宋体" w:hAnsi="宋体" w:cs="宋体"/>
          <w:color w:val="auto"/>
          <w:sz w:val="21"/>
          <w:szCs w:val="21"/>
          <w:highlight w:val="none"/>
        </w:rPr>
      </w:pPr>
    </w:p>
    <w:p w14:paraId="2EF552FB">
      <w:pPr>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01519A9">
      <w:pPr>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本单位对上述声明的真实性负责。如有虚假，将依法承担相应责任。</w:t>
      </w:r>
    </w:p>
    <w:p w14:paraId="0BDE3D2C">
      <w:pPr>
        <w:spacing w:line="500" w:lineRule="exact"/>
        <w:ind w:firstLine="420" w:firstLineChars="200"/>
        <w:rPr>
          <w:rFonts w:ascii="宋体" w:hAnsi="宋体" w:cs="宋体"/>
          <w:color w:val="auto"/>
          <w:sz w:val="21"/>
          <w:szCs w:val="21"/>
          <w:highlight w:val="none"/>
        </w:rPr>
      </w:pPr>
    </w:p>
    <w:p w14:paraId="0BCB88C3">
      <w:pPr>
        <w:spacing w:line="500" w:lineRule="exact"/>
        <w:ind w:firstLine="420" w:firstLineChars="200"/>
        <w:rPr>
          <w:rFonts w:ascii="宋体" w:hAnsi="宋体" w:cs="宋体"/>
          <w:color w:val="auto"/>
          <w:sz w:val="21"/>
          <w:szCs w:val="21"/>
          <w:highlight w:val="none"/>
        </w:rPr>
      </w:pPr>
    </w:p>
    <w:p w14:paraId="34893B65">
      <w:pPr>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单位名称（盖章）：</w:t>
      </w:r>
    </w:p>
    <w:p w14:paraId="473CB133">
      <w:pPr>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日  期：</w:t>
      </w:r>
    </w:p>
    <w:p w14:paraId="6D681CC8">
      <w:pPr>
        <w:spacing w:line="500" w:lineRule="exact"/>
        <w:ind w:firstLine="482" w:firstLineChars="200"/>
        <w:rPr>
          <w:rFonts w:ascii="宋体" w:hAnsi="宋体" w:cs="宋体"/>
          <w:b/>
          <w:bCs/>
          <w:color w:val="auto"/>
          <w:sz w:val="24"/>
          <w:highlight w:val="none"/>
        </w:rPr>
      </w:pPr>
    </w:p>
    <w:p w14:paraId="5E88000F">
      <w:pPr>
        <w:spacing w:line="500" w:lineRule="exact"/>
        <w:rPr>
          <w:rFonts w:ascii="宋体" w:hAnsi="宋体" w:cs="宋体"/>
          <w:b/>
          <w:bCs/>
          <w:color w:val="auto"/>
          <w:sz w:val="24"/>
          <w:highlight w:val="none"/>
        </w:rPr>
      </w:pPr>
    </w:p>
    <w:p w14:paraId="02668356">
      <w:pPr>
        <w:spacing w:line="500" w:lineRule="exact"/>
        <w:ind w:firstLine="422" w:firstLineChars="200"/>
        <w:rPr>
          <w:rFonts w:ascii="宋体" w:hAnsi="宋体" w:cs="宋体"/>
          <w:b/>
          <w:bCs/>
          <w:color w:val="auto"/>
          <w:sz w:val="21"/>
          <w:szCs w:val="21"/>
          <w:highlight w:val="none"/>
        </w:rPr>
      </w:pPr>
    </w:p>
    <w:p w14:paraId="5E77A993">
      <w:pPr>
        <w:spacing w:line="500" w:lineRule="exact"/>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注：1、</w:t>
      </w:r>
      <w:r>
        <w:rPr>
          <w:rFonts w:hint="eastAsia" w:ascii="宋体" w:hAnsi="宋体" w:cs="宋体"/>
          <w:b/>
          <w:color w:val="auto"/>
          <w:sz w:val="21"/>
          <w:szCs w:val="21"/>
          <w:highlight w:val="none"/>
          <w:u w:val="single"/>
        </w:rPr>
        <w:t>成交供应商为残疾人福利性单位的，成交结果将同时公告其《残疾人福利性单位声明函》，接受社会监督</w:t>
      </w:r>
      <w:r>
        <w:rPr>
          <w:rFonts w:hint="eastAsia" w:ascii="宋体" w:hAnsi="宋体" w:cs="宋体"/>
          <w:b/>
          <w:color w:val="auto"/>
          <w:sz w:val="21"/>
          <w:szCs w:val="21"/>
          <w:highlight w:val="none"/>
        </w:rPr>
        <w:t>。</w:t>
      </w:r>
    </w:p>
    <w:p w14:paraId="36C0863D">
      <w:pPr>
        <w:spacing w:line="50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u w:val="single"/>
        </w:rPr>
        <w:t>供应商提供的《残疾人福利性单位声明函》与事实不符的，依照《政府采购法》第七十七条第一款的规定追究法律责任</w:t>
      </w:r>
      <w:r>
        <w:rPr>
          <w:rFonts w:hint="eastAsia" w:ascii="宋体" w:hAnsi="宋体" w:cs="宋体"/>
          <w:b/>
          <w:color w:val="auto"/>
          <w:sz w:val="21"/>
          <w:szCs w:val="21"/>
          <w:highlight w:val="none"/>
        </w:rPr>
        <w:t>。</w:t>
      </w:r>
    </w:p>
    <w:p w14:paraId="5ED421EB">
      <w:pPr>
        <w:pStyle w:val="4"/>
        <w:keepNext w:val="0"/>
        <w:keepLines w:val="0"/>
        <w:adjustRightInd w:val="0"/>
        <w:snapToGrid w:val="0"/>
        <w:spacing w:line="480" w:lineRule="exact"/>
        <w:rPr>
          <w:rFonts w:hint="eastAsia" w:ascii="宋体" w:hAnsi="宋体" w:cs="宋体"/>
          <w:b w:val="0"/>
          <w:color w:val="auto"/>
          <w:szCs w:val="32"/>
          <w:highlight w:val="none"/>
        </w:rPr>
      </w:pPr>
      <w:r>
        <w:rPr>
          <w:rFonts w:hint="eastAsia" w:ascii="宋体" w:hAnsi="宋体" w:cs="宋体"/>
          <w:b w:val="0"/>
          <w:color w:val="auto"/>
          <w:szCs w:val="32"/>
          <w:highlight w:val="none"/>
        </w:rPr>
        <w:br w:type="page"/>
      </w:r>
    </w:p>
    <w:p w14:paraId="4EA56BD6">
      <w:pPr>
        <w:widowControl/>
        <w:spacing w:line="330" w:lineRule="atLeast"/>
        <w:jc w:val="center"/>
        <w:rPr>
          <w:rFonts w:hint="eastAsia" w:ascii="方正小标宋_GBK" w:hAnsi="宋体" w:eastAsia="方正小标宋_GBK" w:cs="宋体"/>
          <w:color w:val="auto"/>
          <w:kern w:val="0"/>
          <w:sz w:val="24"/>
          <w:highlight w:val="none"/>
        </w:rPr>
      </w:pPr>
      <w:r>
        <w:rPr>
          <w:rFonts w:hint="eastAsia" w:ascii="方正小标宋_GBK" w:hAnsi="宋体" w:eastAsia="方正小标宋_GBK" w:cs="宋体"/>
          <w:color w:val="auto"/>
          <w:kern w:val="0"/>
          <w:sz w:val="24"/>
          <w:highlight w:val="none"/>
        </w:rPr>
        <w:t>统计上大中小微型企业划分标准</w:t>
      </w:r>
    </w:p>
    <w:tbl>
      <w:tblPr>
        <w:tblStyle w:val="41"/>
        <w:tblW w:w="9429" w:type="dxa"/>
        <w:jc w:val="center"/>
        <w:tblLayout w:type="fixed"/>
        <w:tblCellMar>
          <w:top w:w="0" w:type="dxa"/>
          <w:left w:w="108" w:type="dxa"/>
          <w:bottom w:w="0" w:type="dxa"/>
          <w:right w:w="108" w:type="dxa"/>
        </w:tblCellMar>
      </w:tblPr>
      <w:tblGrid>
        <w:gridCol w:w="1579"/>
        <w:gridCol w:w="1363"/>
        <w:gridCol w:w="1000"/>
        <w:gridCol w:w="1187"/>
        <w:gridCol w:w="1663"/>
        <w:gridCol w:w="1500"/>
        <w:gridCol w:w="1137"/>
      </w:tblGrid>
      <w:tr w14:paraId="5E1496F0">
        <w:tblPrEx>
          <w:tblCellMar>
            <w:top w:w="0" w:type="dxa"/>
            <w:left w:w="108" w:type="dxa"/>
            <w:bottom w:w="0" w:type="dxa"/>
            <w:right w:w="108" w:type="dxa"/>
          </w:tblCellMar>
        </w:tblPrEx>
        <w:trPr>
          <w:trHeight w:val="622" w:hRule="exact"/>
          <w:jc w:val="center"/>
        </w:trPr>
        <w:tc>
          <w:tcPr>
            <w:tcW w:w="1579" w:type="dxa"/>
            <w:tcBorders>
              <w:top w:val="single" w:color="auto" w:sz="4" w:space="0"/>
              <w:left w:val="single" w:color="auto" w:sz="4" w:space="0"/>
              <w:bottom w:val="single" w:color="auto" w:sz="4" w:space="0"/>
              <w:right w:val="single" w:color="auto" w:sz="4" w:space="0"/>
            </w:tcBorders>
            <w:noWrap w:val="0"/>
            <w:vAlign w:val="center"/>
          </w:tcPr>
          <w:p w14:paraId="02E56A7B">
            <w:pPr>
              <w:widowControl/>
              <w:spacing w:line="24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行业名称</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2ADFDE9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40254EF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单位</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49A696F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2D0FBD3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F6FD2C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5B6C7B7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53A6BE22">
        <w:tblPrEx>
          <w:tblCellMar>
            <w:top w:w="0" w:type="dxa"/>
            <w:left w:w="108" w:type="dxa"/>
            <w:bottom w:w="0" w:type="dxa"/>
            <w:right w:w="108" w:type="dxa"/>
          </w:tblCellMar>
        </w:tblPrEx>
        <w:trPr>
          <w:trHeight w:val="397" w:hRule="exact"/>
          <w:jc w:val="center"/>
        </w:trPr>
        <w:tc>
          <w:tcPr>
            <w:tcW w:w="1579" w:type="dxa"/>
            <w:tcBorders>
              <w:top w:val="single" w:color="auto" w:sz="4" w:space="0"/>
              <w:left w:val="single" w:color="auto" w:sz="4" w:space="0"/>
              <w:bottom w:val="single" w:color="auto" w:sz="4" w:space="0"/>
              <w:right w:val="single" w:color="auto" w:sz="4" w:space="0"/>
            </w:tcBorders>
            <w:noWrap w:val="0"/>
            <w:vAlign w:val="center"/>
          </w:tcPr>
          <w:p w14:paraId="7982736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681217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1F0869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2D2AE3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29C96F7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2390D2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49F455B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5001205C">
        <w:tblPrEx>
          <w:tblCellMar>
            <w:top w:w="0" w:type="dxa"/>
            <w:left w:w="108" w:type="dxa"/>
            <w:bottom w:w="0" w:type="dxa"/>
            <w:right w:w="108" w:type="dxa"/>
          </w:tblCellMar>
        </w:tblPrEx>
        <w:trPr>
          <w:trHeight w:val="397" w:hRule="exact"/>
          <w:jc w:val="center"/>
        </w:trPr>
        <w:tc>
          <w:tcPr>
            <w:tcW w:w="1579" w:type="dxa"/>
            <w:vMerge w:val="restart"/>
            <w:tcBorders>
              <w:top w:val="single" w:color="auto" w:sz="4" w:space="0"/>
              <w:left w:val="single" w:color="auto" w:sz="4" w:space="0"/>
              <w:bottom w:val="single" w:color="auto" w:sz="4" w:space="0"/>
              <w:right w:val="single" w:color="auto" w:sz="4" w:space="0"/>
            </w:tcBorders>
            <w:noWrap w:val="0"/>
            <w:vAlign w:val="center"/>
          </w:tcPr>
          <w:p w14:paraId="3F410AF9">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5BE6EFD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78785AA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7F902F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213AF92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26D91F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494414D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446D1F2">
        <w:tblPrEx>
          <w:tblCellMar>
            <w:top w:w="0" w:type="dxa"/>
            <w:left w:w="108" w:type="dxa"/>
            <w:bottom w:w="0" w:type="dxa"/>
            <w:right w:w="108" w:type="dxa"/>
          </w:tblCellMar>
        </w:tblPrEx>
        <w:trPr>
          <w:trHeight w:val="397" w:hRule="exact"/>
          <w:jc w:val="center"/>
        </w:trPr>
        <w:tc>
          <w:tcPr>
            <w:tcW w:w="1579" w:type="dxa"/>
            <w:vMerge w:val="continue"/>
            <w:tcBorders>
              <w:top w:val="single" w:color="auto" w:sz="4" w:space="0"/>
              <w:left w:val="single" w:color="auto" w:sz="4" w:space="0"/>
              <w:bottom w:val="single" w:color="auto" w:sz="4" w:space="0"/>
              <w:right w:val="single" w:color="auto" w:sz="4" w:space="0"/>
            </w:tcBorders>
            <w:noWrap w:val="0"/>
            <w:vAlign w:val="center"/>
          </w:tcPr>
          <w:p w14:paraId="13B530CD">
            <w:pPr>
              <w:widowControl/>
              <w:jc w:val="left"/>
              <w:rPr>
                <w:rFonts w:ascii="宋体" w:hAnsi="宋体" w:cs="宋体"/>
                <w:color w:val="auto"/>
                <w:kern w:val="0"/>
                <w:sz w:val="18"/>
                <w:szCs w:val="18"/>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2CB374C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3FD591A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5F45E85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5713BD5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259E2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0A53722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3916715">
        <w:tblPrEx>
          <w:tblCellMar>
            <w:top w:w="0" w:type="dxa"/>
            <w:left w:w="108" w:type="dxa"/>
            <w:bottom w:w="0" w:type="dxa"/>
            <w:right w:w="108" w:type="dxa"/>
          </w:tblCellMar>
        </w:tblPrEx>
        <w:trPr>
          <w:trHeight w:val="397" w:hRule="exact"/>
          <w:jc w:val="center"/>
        </w:trPr>
        <w:tc>
          <w:tcPr>
            <w:tcW w:w="1579" w:type="dxa"/>
            <w:vMerge w:val="restart"/>
            <w:tcBorders>
              <w:top w:val="single" w:color="auto" w:sz="4" w:space="0"/>
              <w:left w:val="single" w:color="auto" w:sz="4" w:space="0"/>
              <w:bottom w:val="single" w:color="auto" w:sz="4" w:space="0"/>
              <w:right w:val="single" w:color="auto" w:sz="4" w:space="0"/>
            </w:tcBorders>
            <w:noWrap w:val="0"/>
            <w:vAlign w:val="center"/>
          </w:tcPr>
          <w:p w14:paraId="5FDE5B22">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056EA6E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5BF8FAF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151D83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6CF6953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649BF1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31DFCE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FE62BEA">
        <w:tblPrEx>
          <w:tblCellMar>
            <w:top w:w="0" w:type="dxa"/>
            <w:left w:w="108" w:type="dxa"/>
            <w:bottom w:w="0" w:type="dxa"/>
            <w:right w:w="108" w:type="dxa"/>
          </w:tblCellMar>
        </w:tblPrEx>
        <w:trPr>
          <w:trHeight w:val="397" w:hRule="exact"/>
          <w:jc w:val="center"/>
        </w:trPr>
        <w:tc>
          <w:tcPr>
            <w:tcW w:w="1579" w:type="dxa"/>
            <w:vMerge w:val="continue"/>
            <w:tcBorders>
              <w:top w:val="single" w:color="auto" w:sz="4" w:space="0"/>
              <w:left w:val="single" w:color="auto" w:sz="4" w:space="0"/>
              <w:bottom w:val="single" w:color="auto" w:sz="4" w:space="0"/>
              <w:right w:val="single" w:color="auto" w:sz="4" w:space="0"/>
            </w:tcBorders>
            <w:noWrap w:val="0"/>
            <w:vAlign w:val="center"/>
          </w:tcPr>
          <w:p w14:paraId="512A2085">
            <w:pPr>
              <w:widowControl/>
              <w:jc w:val="left"/>
              <w:rPr>
                <w:rFonts w:ascii="宋体" w:hAnsi="宋体" w:cs="宋体"/>
                <w:color w:val="auto"/>
                <w:kern w:val="0"/>
                <w:sz w:val="18"/>
                <w:szCs w:val="18"/>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1B6B3C8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7A61EF2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4160871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13D5776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137A06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290768C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27AB1D17">
        <w:tblPrEx>
          <w:tblCellMar>
            <w:top w:w="0" w:type="dxa"/>
            <w:left w:w="108" w:type="dxa"/>
            <w:bottom w:w="0" w:type="dxa"/>
            <w:right w:w="108" w:type="dxa"/>
          </w:tblCellMar>
        </w:tblPrEx>
        <w:trPr>
          <w:trHeight w:val="397" w:hRule="exact"/>
          <w:jc w:val="center"/>
        </w:trPr>
        <w:tc>
          <w:tcPr>
            <w:tcW w:w="1579" w:type="dxa"/>
            <w:vMerge w:val="restart"/>
            <w:tcBorders>
              <w:top w:val="single" w:color="auto" w:sz="4" w:space="0"/>
              <w:left w:val="single" w:color="auto" w:sz="4" w:space="0"/>
              <w:bottom w:val="single" w:color="auto" w:sz="4" w:space="0"/>
              <w:right w:val="single" w:color="auto" w:sz="4" w:space="0"/>
            </w:tcBorders>
            <w:noWrap w:val="0"/>
            <w:vAlign w:val="center"/>
          </w:tcPr>
          <w:p w14:paraId="4803C3A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7CF9DE3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2F9F503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4E8AFFC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5358B8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2846D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7FD1A1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2510E81E">
        <w:tblPrEx>
          <w:tblCellMar>
            <w:top w:w="0" w:type="dxa"/>
            <w:left w:w="108" w:type="dxa"/>
            <w:bottom w:w="0" w:type="dxa"/>
            <w:right w:w="108" w:type="dxa"/>
          </w:tblCellMar>
        </w:tblPrEx>
        <w:trPr>
          <w:trHeight w:val="397" w:hRule="exact"/>
          <w:jc w:val="center"/>
        </w:trPr>
        <w:tc>
          <w:tcPr>
            <w:tcW w:w="1579" w:type="dxa"/>
            <w:vMerge w:val="continue"/>
            <w:tcBorders>
              <w:top w:val="single" w:color="auto" w:sz="4" w:space="0"/>
              <w:left w:val="single" w:color="auto" w:sz="4" w:space="0"/>
              <w:bottom w:val="single" w:color="auto" w:sz="4" w:space="0"/>
              <w:right w:val="single" w:color="auto" w:sz="4" w:space="0"/>
            </w:tcBorders>
            <w:noWrap w:val="0"/>
            <w:vAlign w:val="center"/>
          </w:tcPr>
          <w:p w14:paraId="280BD811">
            <w:pPr>
              <w:widowControl/>
              <w:jc w:val="left"/>
              <w:rPr>
                <w:rFonts w:ascii="宋体" w:hAnsi="宋体" w:cs="宋体"/>
                <w:color w:val="auto"/>
                <w:kern w:val="0"/>
                <w:sz w:val="18"/>
                <w:szCs w:val="18"/>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2BE52B0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36E9DD4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513110F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458118A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95E4F49">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4FCECF3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50B92FE1">
        <w:tblPrEx>
          <w:tblCellMar>
            <w:top w:w="0" w:type="dxa"/>
            <w:left w:w="108" w:type="dxa"/>
            <w:bottom w:w="0" w:type="dxa"/>
            <w:right w:w="108" w:type="dxa"/>
          </w:tblCellMar>
        </w:tblPrEx>
        <w:trPr>
          <w:trHeight w:val="397" w:hRule="exact"/>
          <w:jc w:val="center"/>
        </w:trPr>
        <w:tc>
          <w:tcPr>
            <w:tcW w:w="1579" w:type="dxa"/>
            <w:vMerge w:val="restart"/>
            <w:tcBorders>
              <w:top w:val="single" w:color="auto" w:sz="4" w:space="0"/>
              <w:left w:val="single" w:color="auto" w:sz="4" w:space="0"/>
              <w:bottom w:val="single" w:color="auto" w:sz="4" w:space="0"/>
              <w:right w:val="single" w:color="auto" w:sz="4" w:space="0"/>
            </w:tcBorders>
            <w:noWrap w:val="0"/>
            <w:vAlign w:val="center"/>
          </w:tcPr>
          <w:p w14:paraId="015EEDB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217DAAA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544657D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56A7D4C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2267297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CD7BAF5">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05E49AD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7110329">
        <w:tblPrEx>
          <w:tblCellMar>
            <w:top w:w="0" w:type="dxa"/>
            <w:left w:w="108" w:type="dxa"/>
            <w:bottom w:w="0" w:type="dxa"/>
            <w:right w:w="108" w:type="dxa"/>
          </w:tblCellMar>
        </w:tblPrEx>
        <w:trPr>
          <w:trHeight w:val="397" w:hRule="exact"/>
          <w:jc w:val="center"/>
        </w:trPr>
        <w:tc>
          <w:tcPr>
            <w:tcW w:w="1579" w:type="dxa"/>
            <w:vMerge w:val="continue"/>
            <w:tcBorders>
              <w:top w:val="single" w:color="auto" w:sz="4" w:space="0"/>
              <w:left w:val="single" w:color="auto" w:sz="4" w:space="0"/>
              <w:bottom w:val="single" w:color="auto" w:sz="4" w:space="0"/>
              <w:right w:val="single" w:color="auto" w:sz="4" w:space="0"/>
            </w:tcBorders>
            <w:noWrap w:val="0"/>
            <w:vAlign w:val="center"/>
          </w:tcPr>
          <w:p w14:paraId="7AED97AD">
            <w:pPr>
              <w:widowControl/>
              <w:jc w:val="left"/>
              <w:rPr>
                <w:rFonts w:ascii="宋体" w:hAnsi="宋体" w:cs="宋体"/>
                <w:color w:val="auto"/>
                <w:kern w:val="0"/>
                <w:sz w:val="18"/>
                <w:szCs w:val="18"/>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72F0AC9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723B3A9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789A6F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700AE7C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DD8FAB8">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17A268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E57048F">
        <w:tblPrEx>
          <w:tblCellMar>
            <w:top w:w="0" w:type="dxa"/>
            <w:left w:w="108" w:type="dxa"/>
            <w:bottom w:w="0" w:type="dxa"/>
            <w:right w:w="108" w:type="dxa"/>
          </w:tblCellMar>
        </w:tblPrEx>
        <w:trPr>
          <w:trHeight w:val="397" w:hRule="exact"/>
          <w:jc w:val="center"/>
        </w:trPr>
        <w:tc>
          <w:tcPr>
            <w:tcW w:w="1579" w:type="dxa"/>
            <w:vMerge w:val="restart"/>
            <w:tcBorders>
              <w:top w:val="single" w:color="auto" w:sz="4" w:space="0"/>
              <w:left w:val="single" w:color="auto" w:sz="4" w:space="0"/>
              <w:bottom w:val="single" w:color="auto" w:sz="4" w:space="0"/>
              <w:right w:val="single" w:color="auto" w:sz="4" w:space="0"/>
            </w:tcBorders>
            <w:noWrap w:val="0"/>
            <w:vAlign w:val="center"/>
          </w:tcPr>
          <w:p w14:paraId="644429F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7958DA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4D0C9A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35DDD0F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54A04A4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97A94A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6410753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5F72651">
        <w:tblPrEx>
          <w:tblCellMar>
            <w:top w:w="0" w:type="dxa"/>
            <w:left w:w="108" w:type="dxa"/>
            <w:bottom w:w="0" w:type="dxa"/>
            <w:right w:w="108" w:type="dxa"/>
          </w:tblCellMar>
        </w:tblPrEx>
        <w:trPr>
          <w:trHeight w:val="397" w:hRule="exact"/>
          <w:jc w:val="center"/>
        </w:trPr>
        <w:tc>
          <w:tcPr>
            <w:tcW w:w="1579" w:type="dxa"/>
            <w:vMerge w:val="continue"/>
            <w:tcBorders>
              <w:top w:val="single" w:color="auto" w:sz="4" w:space="0"/>
              <w:left w:val="single" w:color="auto" w:sz="4" w:space="0"/>
              <w:bottom w:val="single" w:color="auto" w:sz="4" w:space="0"/>
              <w:right w:val="single" w:color="auto" w:sz="4" w:space="0"/>
            </w:tcBorders>
            <w:noWrap w:val="0"/>
            <w:vAlign w:val="center"/>
          </w:tcPr>
          <w:p w14:paraId="64C8B999">
            <w:pPr>
              <w:widowControl/>
              <w:jc w:val="left"/>
              <w:rPr>
                <w:rFonts w:ascii="宋体" w:hAnsi="宋体" w:cs="宋体"/>
                <w:color w:val="auto"/>
                <w:kern w:val="0"/>
                <w:sz w:val="18"/>
                <w:szCs w:val="18"/>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7EDA8A98">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64E8AE8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4335C40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369858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D224E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38CB12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205FA51">
        <w:tblPrEx>
          <w:tblCellMar>
            <w:top w:w="0" w:type="dxa"/>
            <w:left w:w="108" w:type="dxa"/>
            <w:bottom w:w="0" w:type="dxa"/>
            <w:right w:w="108" w:type="dxa"/>
          </w:tblCellMar>
        </w:tblPrEx>
        <w:trPr>
          <w:trHeight w:val="397" w:hRule="exact"/>
          <w:jc w:val="center"/>
        </w:trPr>
        <w:tc>
          <w:tcPr>
            <w:tcW w:w="1579" w:type="dxa"/>
            <w:vMerge w:val="restart"/>
            <w:tcBorders>
              <w:top w:val="single" w:color="auto" w:sz="4" w:space="0"/>
              <w:left w:val="single" w:color="auto" w:sz="4" w:space="0"/>
              <w:bottom w:val="single" w:color="auto" w:sz="4" w:space="0"/>
              <w:right w:val="single" w:color="auto" w:sz="4" w:space="0"/>
            </w:tcBorders>
            <w:noWrap w:val="0"/>
            <w:vAlign w:val="center"/>
          </w:tcPr>
          <w:p w14:paraId="16679C4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44E640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6D99BE4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1EB374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323FDA49">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45A814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641F872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E1FEEA2">
        <w:tblPrEx>
          <w:tblCellMar>
            <w:top w:w="0" w:type="dxa"/>
            <w:left w:w="108" w:type="dxa"/>
            <w:bottom w:w="0" w:type="dxa"/>
            <w:right w:w="108" w:type="dxa"/>
          </w:tblCellMar>
        </w:tblPrEx>
        <w:trPr>
          <w:trHeight w:val="397" w:hRule="exact"/>
          <w:jc w:val="center"/>
        </w:trPr>
        <w:tc>
          <w:tcPr>
            <w:tcW w:w="1579" w:type="dxa"/>
            <w:vMerge w:val="continue"/>
            <w:tcBorders>
              <w:top w:val="single" w:color="auto" w:sz="4" w:space="0"/>
              <w:left w:val="single" w:color="auto" w:sz="4" w:space="0"/>
              <w:bottom w:val="single" w:color="auto" w:sz="4" w:space="0"/>
              <w:right w:val="single" w:color="auto" w:sz="4" w:space="0"/>
            </w:tcBorders>
            <w:noWrap w:val="0"/>
            <w:vAlign w:val="center"/>
          </w:tcPr>
          <w:p w14:paraId="6F5847C8">
            <w:pPr>
              <w:widowControl/>
              <w:jc w:val="left"/>
              <w:rPr>
                <w:rFonts w:ascii="宋体" w:hAnsi="宋体" w:cs="宋体"/>
                <w:color w:val="auto"/>
                <w:kern w:val="0"/>
                <w:sz w:val="18"/>
                <w:szCs w:val="18"/>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3916506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1486A9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2758BAA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1F56F00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5EAD1E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3654EE3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5BF1B6E">
        <w:tblPrEx>
          <w:tblCellMar>
            <w:top w:w="0" w:type="dxa"/>
            <w:left w:w="108" w:type="dxa"/>
            <w:bottom w:w="0" w:type="dxa"/>
            <w:right w:w="108" w:type="dxa"/>
          </w:tblCellMar>
        </w:tblPrEx>
        <w:trPr>
          <w:trHeight w:val="397" w:hRule="exact"/>
          <w:jc w:val="center"/>
        </w:trPr>
        <w:tc>
          <w:tcPr>
            <w:tcW w:w="1579" w:type="dxa"/>
            <w:vMerge w:val="restart"/>
            <w:tcBorders>
              <w:top w:val="single" w:color="auto" w:sz="4" w:space="0"/>
              <w:left w:val="single" w:color="auto" w:sz="4" w:space="0"/>
              <w:bottom w:val="single" w:color="auto" w:sz="4" w:space="0"/>
              <w:right w:val="single" w:color="auto" w:sz="4" w:space="0"/>
            </w:tcBorders>
            <w:noWrap w:val="0"/>
            <w:vAlign w:val="center"/>
          </w:tcPr>
          <w:p w14:paraId="391BCBF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0F3155C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4B9051B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5B40BCF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3CA6A13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8DC71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6EBBC6C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FE9FDAD">
        <w:tblPrEx>
          <w:tblCellMar>
            <w:top w:w="0" w:type="dxa"/>
            <w:left w:w="108" w:type="dxa"/>
            <w:bottom w:w="0" w:type="dxa"/>
            <w:right w:w="108" w:type="dxa"/>
          </w:tblCellMar>
        </w:tblPrEx>
        <w:trPr>
          <w:trHeight w:val="397" w:hRule="exact"/>
          <w:jc w:val="center"/>
        </w:trPr>
        <w:tc>
          <w:tcPr>
            <w:tcW w:w="1579" w:type="dxa"/>
            <w:vMerge w:val="continue"/>
            <w:tcBorders>
              <w:top w:val="single" w:color="auto" w:sz="4" w:space="0"/>
              <w:left w:val="single" w:color="auto" w:sz="4" w:space="0"/>
              <w:bottom w:val="single" w:color="auto" w:sz="4" w:space="0"/>
              <w:right w:val="single" w:color="auto" w:sz="4" w:space="0"/>
            </w:tcBorders>
            <w:noWrap w:val="0"/>
            <w:vAlign w:val="center"/>
          </w:tcPr>
          <w:p w14:paraId="182244E6">
            <w:pPr>
              <w:widowControl/>
              <w:jc w:val="left"/>
              <w:rPr>
                <w:rFonts w:ascii="宋体" w:hAnsi="宋体" w:cs="宋体"/>
                <w:color w:val="auto"/>
                <w:kern w:val="0"/>
                <w:sz w:val="18"/>
                <w:szCs w:val="18"/>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261BF6F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51372F5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7623202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03B8A0E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E81AA9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795F632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466B64E">
        <w:tblPrEx>
          <w:tblCellMar>
            <w:top w:w="0" w:type="dxa"/>
            <w:left w:w="108" w:type="dxa"/>
            <w:bottom w:w="0" w:type="dxa"/>
            <w:right w:w="108" w:type="dxa"/>
          </w:tblCellMar>
        </w:tblPrEx>
        <w:trPr>
          <w:trHeight w:val="397" w:hRule="exact"/>
          <w:jc w:val="center"/>
        </w:trPr>
        <w:tc>
          <w:tcPr>
            <w:tcW w:w="1579" w:type="dxa"/>
            <w:vMerge w:val="restart"/>
            <w:tcBorders>
              <w:top w:val="single" w:color="auto" w:sz="4" w:space="0"/>
              <w:left w:val="single" w:color="auto" w:sz="4" w:space="0"/>
              <w:bottom w:val="single" w:color="auto" w:sz="4" w:space="0"/>
              <w:right w:val="single" w:color="auto" w:sz="4" w:space="0"/>
            </w:tcBorders>
            <w:noWrap w:val="0"/>
            <w:vAlign w:val="center"/>
          </w:tcPr>
          <w:p w14:paraId="2A34B38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696E718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6EBEF9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1B5179D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5F027EA8">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CD0BBB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5976208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91D372E">
        <w:tblPrEx>
          <w:tblCellMar>
            <w:top w:w="0" w:type="dxa"/>
            <w:left w:w="108" w:type="dxa"/>
            <w:bottom w:w="0" w:type="dxa"/>
            <w:right w:w="108" w:type="dxa"/>
          </w:tblCellMar>
        </w:tblPrEx>
        <w:trPr>
          <w:trHeight w:val="397" w:hRule="exact"/>
          <w:jc w:val="center"/>
        </w:trPr>
        <w:tc>
          <w:tcPr>
            <w:tcW w:w="1579" w:type="dxa"/>
            <w:vMerge w:val="continue"/>
            <w:tcBorders>
              <w:top w:val="single" w:color="auto" w:sz="4" w:space="0"/>
              <w:left w:val="single" w:color="auto" w:sz="4" w:space="0"/>
              <w:bottom w:val="single" w:color="auto" w:sz="4" w:space="0"/>
              <w:right w:val="single" w:color="auto" w:sz="4" w:space="0"/>
            </w:tcBorders>
            <w:noWrap w:val="0"/>
            <w:vAlign w:val="center"/>
          </w:tcPr>
          <w:p w14:paraId="6FCCF1FB">
            <w:pPr>
              <w:widowControl/>
              <w:jc w:val="left"/>
              <w:rPr>
                <w:rFonts w:ascii="宋体" w:hAnsi="宋体" w:cs="宋体"/>
                <w:color w:val="auto"/>
                <w:kern w:val="0"/>
                <w:sz w:val="18"/>
                <w:szCs w:val="18"/>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276CD86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7A19D92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03A82F0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534F8A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D7B1E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7AB2C33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4E0F99B">
        <w:tblPrEx>
          <w:tblCellMar>
            <w:top w:w="0" w:type="dxa"/>
            <w:left w:w="108" w:type="dxa"/>
            <w:bottom w:w="0" w:type="dxa"/>
            <w:right w:w="108" w:type="dxa"/>
          </w:tblCellMar>
        </w:tblPrEx>
        <w:trPr>
          <w:trHeight w:val="397" w:hRule="exact"/>
          <w:jc w:val="center"/>
        </w:trPr>
        <w:tc>
          <w:tcPr>
            <w:tcW w:w="1579" w:type="dxa"/>
            <w:vMerge w:val="restart"/>
            <w:tcBorders>
              <w:top w:val="single" w:color="auto" w:sz="4" w:space="0"/>
              <w:left w:val="single" w:color="auto" w:sz="4" w:space="0"/>
              <w:bottom w:val="single" w:color="auto" w:sz="4" w:space="0"/>
              <w:right w:val="single" w:color="auto" w:sz="4" w:space="0"/>
            </w:tcBorders>
            <w:noWrap w:val="0"/>
            <w:vAlign w:val="center"/>
          </w:tcPr>
          <w:p w14:paraId="2D8E6EC2">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7242A33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4658C3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325DE3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36E5FE6B">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01C6E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281C0E2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F575420">
        <w:tblPrEx>
          <w:tblCellMar>
            <w:top w:w="0" w:type="dxa"/>
            <w:left w:w="108" w:type="dxa"/>
            <w:bottom w:w="0" w:type="dxa"/>
            <w:right w:w="108" w:type="dxa"/>
          </w:tblCellMar>
        </w:tblPrEx>
        <w:trPr>
          <w:trHeight w:val="397" w:hRule="exact"/>
          <w:jc w:val="center"/>
        </w:trPr>
        <w:tc>
          <w:tcPr>
            <w:tcW w:w="1579" w:type="dxa"/>
            <w:vMerge w:val="continue"/>
            <w:tcBorders>
              <w:top w:val="single" w:color="auto" w:sz="4" w:space="0"/>
              <w:left w:val="single" w:color="auto" w:sz="4" w:space="0"/>
              <w:bottom w:val="single" w:color="auto" w:sz="4" w:space="0"/>
              <w:right w:val="single" w:color="auto" w:sz="4" w:space="0"/>
            </w:tcBorders>
            <w:noWrap w:val="0"/>
            <w:vAlign w:val="center"/>
          </w:tcPr>
          <w:p w14:paraId="62F4CE93">
            <w:pPr>
              <w:widowControl/>
              <w:jc w:val="left"/>
              <w:rPr>
                <w:rFonts w:ascii="宋体" w:hAnsi="宋体" w:cs="宋体"/>
                <w:color w:val="auto"/>
                <w:kern w:val="0"/>
                <w:sz w:val="18"/>
                <w:szCs w:val="18"/>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72206404">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6C7831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071664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040D884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DB1C96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2A6ADB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39B4F48">
        <w:tblPrEx>
          <w:tblCellMar>
            <w:top w:w="0" w:type="dxa"/>
            <w:left w:w="108" w:type="dxa"/>
            <w:bottom w:w="0" w:type="dxa"/>
            <w:right w:w="108" w:type="dxa"/>
          </w:tblCellMar>
        </w:tblPrEx>
        <w:trPr>
          <w:trHeight w:val="397" w:hRule="exact"/>
          <w:jc w:val="center"/>
        </w:trPr>
        <w:tc>
          <w:tcPr>
            <w:tcW w:w="1579" w:type="dxa"/>
            <w:vMerge w:val="restart"/>
            <w:tcBorders>
              <w:top w:val="single" w:color="auto" w:sz="4" w:space="0"/>
              <w:left w:val="single" w:color="auto" w:sz="4" w:space="0"/>
              <w:bottom w:val="single" w:color="auto" w:sz="4" w:space="0"/>
              <w:right w:val="single" w:color="auto" w:sz="4" w:space="0"/>
            </w:tcBorders>
            <w:noWrap w:val="0"/>
            <w:vAlign w:val="center"/>
          </w:tcPr>
          <w:p w14:paraId="2D378A0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7C75EFF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382CE8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33D1623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1D832A2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B6A0D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12DD016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B6F2DE1">
        <w:tblPrEx>
          <w:tblCellMar>
            <w:top w:w="0" w:type="dxa"/>
            <w:left w:w="108" w:type="dxa"/>
            <w:bottom w:w="0" w:type="dxa"/>
            <w:right w:w="108" w:type="dxa"/>
          </w:tblCellMar>
        </w:tblPrEx>
        <w:trPr>
          <w:trHeight w:val="397" w:hRule="exact"/>
          <w:jc w:val="center"/>
        </w:trPr>
        <w:tc>
          <w:tcPr>
            <w:tcW w:w="1579" w:type="dxa"/>
            <w:vMerge w:val="continue"/>
            <w:tcBorders>
              <w:top w:val="single" w:color="auto" w:sz="4" w:space="0"/>
              <w:left w:val="single" w:color="auto" w:sz="4" w:space="0"/>
              <w:bottom w:val="single" w:color="auto" w:sz="4" w:space="0"/>
              <w:right w:val="single" w:color="auto" w:sz="4" w:space="0"/>
            </w:tcBorders>
            <w:noWrap w:val="0"/>
            <w:vAlign w:val="center"/>
          </w:tcPr>
          <w:p w14:paraId="1FE29A14">
            <w:pPr>
              <w:widowControl/>
              <w:jc w:val="left"/>
              <w:rPr>
                <w:rFonts w:ascii="宋体" w:hAnsi="宋体" w:cs="宋体"/>
                <w:color w:val="auto"/>
                <w:kern w:val="0"/>
                <w:sz w:val="18"/>
                <w:szCs w:val="18"/>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1C717D5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7130364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73E8499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7FD6D3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34F771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64EF21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ECF5BEF">
        <w:tblPrEx>
          <w:tblCellMar>
            <w:top w:w="0" w:type="dxa"/>
            <w:left w:w="108" w:type="dxa"/>
            <w:bottom w:w="0" w:type="dxa"/>
            <w:right w:w="108" w:type="dxa"/>
          </w:tblCellMar>
        </w:tblPrEx>
        <w:trPr>
          <w:trHeight w:val="340" w:hRule="exact"/>
          <w:jc w:val="center"/>
        </w:trPr>
        <w:tc>
          <w:tcPr>
            <w:tcW w:w="1579" w:type="dxa"/>
            <w:vMerge w:val="restart"/>
            <w:tcBorders>
              <w:top w:val="single" w:color="auto" w:sz="4" w:space="0"/>
              <w:left w:val="single" w:color="auto" w:sz="4" w:space="0"/>
              <w:bottom w:val="single" w:color="auto" w:sz="4" w:space="0"/>
              <w:right w:val="single" w:color="auto" w:sz="4" w:space="0"/>
            </w:tcBorders>
            <w:noWrap w:val="0"/>
            <w:vAlign w:val="center"/>
          </w:tcPr>
          <w:p w14:paraId="7B1F7FCC">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36C44CD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47FAC22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471B74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55AAFE0C">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443102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10CFD66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91AC69E">
        <w:tblPrEx>
          <w:tblCellMar>
            <w:top w:w="0" w:type="dxa"/>
            <w:left w:w="108" w:type="dxa"/>
            <w:bottom w:w="0" w:type="dxa"/>
            <w:right w:w="108" w:type="dxa"/>
          </w:tblCellMar>
        </w:tblPrEx>
        <w:trPr>
          <w:trHeight w:val="340" w:hRule="exact"/>
          <w:jc w:val="center"/>
        </w:trPr>
        <w:tc>
          <w:tcPr>
            <w:tcW w:w="1579" w:type="dxa"/>
            <w:vMerge w:val="continue"/>
            <w:tcBorders>
              <w:top w:val="single" w:color="auto" w:sz="4" w:space="0"/>
              <w:left w:val="single" w:color="auto" w:sz="4" w:space="0"/>
              <w:bottom w:val="single" w:color="auto" w:sz="4" w:space="0"/>
              <w:right w:val="single" w:color="auto" w:sz="4" w:space="0"/>
            </w:tcBorders>
            <w:noWrap w:val="0"/>
            <w:vAlign w:val="center"/>
          </w:tcPr>
          <w:p w14:paraId="2FBB893B">
            <w:pPr>
              <w:widowControl/>
              <w:jc w:val="left"/>
              <w:rPr>
                <w:rFonts w:ascii="宋体" w:hAnsi="宋体" w:cs="宋体"/>
                <w:color w:val="auto"/>
                <w:spacing w:val="-12"/>
                <w:kern w:val="0"/>
                <w:sz w:val="18"/>
                <w:szCs w:val="18"/>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3D62BD8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2011D7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5291F0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311F8E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D6A12F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2F929CA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1DA4DB61">
        <w:tblPrEx>
          <w:tblCellMar>
            <w:top w:w="0" w:type="dxa"/>
            <w:left w:w="108" w:type="dxa"/>
            <w:bottom w:w="0" w:type="dxa"/>
            <w:right w:w="108" w:type="dxa"/>
          </w:tblCellMar>
        </w:tblPrEx>
        <w:trPr>
          <w:trHeight w:val="340" w:hRule="exact"/>
          <w:jc w:val="center"/>
        </w:trPr>
        <w:tc>
          <w:tcPr>
            <w:tcW w:w="1579" w:type="dxa"/>
            <w:vMerge w:val="restart"/>
            <w:tcBorders>
              <w:top w:val="single" w:color="auto" w:sz="4" w:space="0"/>
              <w:left w:val="single" w:color="auto" w:sz="4" w:space="0"/>
              <w:bottom w:val="single" w:color="auto" w:sz="4" w:space="0"/>
              <w:right w:val="single" w:color="auto" w:sz="4" w:space="0"/>
            </w:tcBorders>
            <w:noWrap w:val="0"/>
            <w:vAlign w:val="center"/>
          </w:tcPr>
          <w:p w14:paraId="60C4213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240B64D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6D7B83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713F334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1ECB6F3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9A20F2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746DB6C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B4D86C4">
        <w:tblPrEx>
          <w:tblCellMar>
            <w:top w:w="0" w:type="dxa"/>
            <w:left w:w="108" w:type="dxa"/>
            <w:bottom w:w="0" w:type="dxa"/>
            <w:right w:w="108" w:type="dxa"/>
          </w:tblCellMar>
        </w:tblPrEx>
        <w:trPr>
          <w:trHeight w:val="340" w:hRule="exact"/>
          <w:jc w:val="center"/>
        </w:trPr>
        <w:tc>
          <w:tcPr>
            <w:tcW w:w="1579" w:type="dxa"/>
            <w:vMerge w:val="continue"/>
            <w:tcBorders>
              <w:top w:val="single" w:color="auto" w:sz="4" w:space="0"/>
              <w:left w:val="single" w:color="auto" w:sz="4" w:space="0"/>
              <w:bottom w:val="single" w:color="auto" w:sz="4" w:space="0"/>
              <w:right w:val="single" w:color="auto" w:sz="4" w:space="0"/>
            </w:tcBorders>
            <w:noWrap w:val="0"/>
            <w:vAlign w:val="center"/>
          </w:tcPr>
          <w:p w14:paraId="7E3DD220">
            <w:pPr>
              <w:widowControl/>
              <w:jc w:val="left"/>
              <w:rPr>
                <w:rFonts w:ascii="宋体" w:hAnsi="宋体" w:cs="宋体"/>
                <w:color w:val="auto"/>
                <w:kern w:val="0"/>
                <w:sz w:val="18"/>
                <w:szCs w:val="18"/>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7D0A2E5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7EFA3F2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7A64B3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278C764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3A6934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64C1190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50A2DF76">
        <w:tblPrEx>
          <w:tblCellMar>
            <w:top w:w="0" w:type="dxa"/>
            <w:left w:w="108" w:type="dxa"/>
            <w:bottom w:w="0" w:type="dxa"/>
            <w:right w:w="108" w:type="dxa"/>
          </w:tblCellMar>
        </w:tblPrEx>
        <w:trPr>
          <w:trHeight w:val="340" w:hRule="exact"/>
          <w:jc w:val="center"/>
        </w:trPr>
        <w:tc>
          <w:tcPr>
            <w:tcW w:w="1579" w:type="dxa"/>
            <w:vMerge w:val="restart"/>
            <w:tcBorders>
              <w:top w:val="single" w:color="auto" w:sz="4" w:space="0"/>
              <w:left w:val="single" w:color="auto" w:sz="4" w:space="0"/>
              <w:bottom w:val="single" w:color="auto" w:sz="4" w:space="0"/>
              <w:right w:val="single" w:color="auto" w:sz="4" w:space="0"/>
            </w:tcBorders>
            <w:noWrap w:val="0"/>
            <w:vAlign w:val="center"/>
          </w:tcPr>
          <w:p w14:paraId="5556C27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59EC464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115F4B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2F8B8D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1BAC6F0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9F5CCC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573661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9E68275">
        <w:tblPrEx>
          <w:tblCellMar>
            <w:top w:w="0" w:type="dxa"/>
            <w:left w:w="108" w:type="dxa"/>
            <w:bottom w:w="0" w:type="dxa"/>
            <w:right w:w="108" w:type="dxa"/>
          </w:tblCellMar>
        </w:tblPrEx>
        <w:trPr>
          <w:trHeight w:val="340" w:hRule="exact"/>
          <w:jc w:val="center"/>
        </w:trPr>
        <w:tc>
          <w:tcPr>
            <w:tcW w:w="1579" w:type="dxa"/>
            <w:vMerge w:val="continue"/>
            <w:tcBorders>
              <w:top w:val="single" w:color="auto" w:sz="4" w:space="0"/>
              <w:left w:val="single" w:color="auto" w:sz="4" w:space="0"/>
              <w:bottom w:val="single" w:color="auto" w:sz="4" w:space="0"/>
              <w:right w:val="single" w:color="auto" w:sz="4" w:space="0"/>
            </w:tcBorders>
            <w:noWrap w:val="0"/>
            <w:vAlign w:val="center"/>
          </w:tcPr>
          <w:p w14:paraId="1866ED77">
            <w:pPr>
              <w:widowControl/>
              <w:jc w:val="left"/>
              <w:rPr>
                <w:rFonts w:ascii="宋体" w:hAnsi="宋体" w:cs="宋体"/>
                <w:color w:val="auto"/>
                <w:kern w:val="0"/>
                <w:sz w:val="18"/>
                <w:szCs w:val="18"/>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1C33826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1E7571F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502C320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24209A9A">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C039D6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2C8799D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6E050AD7">
        <w:tblPrEx>
          <w:tblCellMar>
            <w:top w:w="0" w:type="dxa"/>
            <w:left w:w="108" w:type="dxa"/>
            <w:bottom w:w="0" w:type="dxa"/>
            <w:right w:w="108" w:type="dxa"/>
          </w:tblCellMar>
        </w:tblPrEx>
        <w:trPr>
          <w:trHeight w:val="340" w:hRule="exact"/>
          <w:jc w:val="center"/>
        </w:trPr>
        <w:tc>
          <w:tcPr>
            <w:tcW w:w="1579" w:type="dxa"/>
            <w:vMerge w:val="restart"/>
            <w:tcBorders>
              <w:top w:val="single" w:color="auto" w:sz="4" w:space="0"/>
              <w:left w:val="single" w:color="auto" w:sz="4" w:space="0"/>
              <w:bottom w:val="single" w:color="auto" w:sz="4" w:space="0"/>
              <w:right w:val="single" w:color="auto" w:sz="4" w:space="0"/>
            </w:tcBorders>
            <w:noWrap w:val="0"/>
            <w:vAlign w:val="center"/>
          </w:tcPr>
          <w:p w14:paraId="7986CC3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74ACECE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5A346B8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41084BD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2BB48830">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538A9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3933395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4207233">
        <w:tblPrEx>
          <w:tblCellMar>
            <w:top w:w="0" w:type="dxa"/>
            <w:left w:w="108" w:type="dxa"/>
            <w:bottom w:w="0" w:type="dxa"/>
            <w:right w:w="108" w:type="dxa"/>
          </w:tblCellMar>
        </w:tblPrEx>
        <w:trPr>
          <w:trHeight w:val="340" w:hRule="exact"/>
          <w:jc w:val="center"/>
        </w:trPr>
        <w:tc>
          <w:tcPr>
            <w:tcW w:w="1579" w:type="dxa"/>
            <w:vMerge w:val="continue"/>
            <w:tcBorders>
              <w:top w:val="single" w:color="auto" w:sz="4" w:space="0"/>
              <w:left w:val="single" w:color="auto" w:sz="4" w:space="0"/>
              <w:bottom w:val="single" w:color="auto" w:sz="4" w:space="0"/>
              <w:right w:val="single" w:color="auto" w:sz="4" w:space="0"/>
            </w:tcBorders>
            <w:noWrap w:val="0"/>
            <w:vAlign w:val="center"/>
          </w:tcPr>
          <w:p w14:paraId="57BABF05">
            <w:pPr>
              <w:widowControl/>
              <w:jc w:val="left"/>
              <w:rPr>
                <w:rFonts w:ascii="宋体" w:hAnsi="宋体" w:cs="宋体"/>
                <w:color w:val="auto"/>
                <w:kern w:val="0"/>
                <w:sz w:val="18"/>
                <w:szCs w:val="18"/>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1B387BB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25E6F73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22D03F6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706272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C026D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7845497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378393E4">
        <w:tblPrEx>
          <w:tblCellMar>
            <w:top w:w="0" w:type="dxa"/>
            <w:left w:w="108" w:type="dxa"/>
            <w:bottom w:w="0" w:type="dxa"/>
            <w:right w:w="108" w:type="dxa"/>
          </w:tblCellMar>
        </w:tblPrEx>
        <w:trPr>
          <w:trHeight w:val="397" w:hRule="exact"/>
          <w:jc w:val="center"/>
        </w:trPr>
        <w:tc>
          <w:tcPr>
            <w:tcW w:w="1579" w:type="dxa"/>
            <w:tcBorders>
              <w:top w:val="single" w:color="auto" w:sz="4" w:space="0"/>
              <w:left w:val="single" w:color="auto" w:sz="4" w:space="0"/>
              <w:bottom w:val="single" w:color="auto" w:sz="4" w:space="0"/>
              <w:right w:val="single" w:color="auto" w:sz="4" w:space="0"/>
            </w:tcBorders>
            <w:noWrap w:val="0"/>
            <w:vAlign w:val="center"/>
          </w:tcPr>
          <w:p w14:paraId="264BE089">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6518861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7CF5974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31075F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23ABB352">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E0EBA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2458E2C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2154243">
      <w:pPr>
        <w:pStyle w:val="36"/>
        <w:spacing w:before="0" w:beforeAutospacing="0" w:after="0" w:afterAutospacing="0" w:line="440" w:lineRule="exact"/>
        <w:ind w:right="172" w:rightChars="82"/>
        <w:rPr>
          <w:rFonts w:hint="eastAsia"/>
          <w:color w:val="auto"/>
          <w:sz w:val="18"/>
          <w:szCs w:val="18"/>
          <w:highlight w:val="none"/>
        </w:rPr>
      </w:pPr>
      <w:r>
        <w:rPr>
          <w:rFonts w:hint="eastAsia"/>
          <w:color w:val="auto"/>
          <w:sz w:val="18"/>
          <w:szCs w:val="18"/>
          <w:highlight w:val="none"/>
        </w:rPr>
        <w:t>说明：</w:t>
      </w:r>
    </w:p>
    <w:p w14:paraId="67D67EE0">
      <w:pPr>
        <w:pStyle w:val="36"/>
        <w:spacing w:before="0" w:beforeAutospacing="0" w:after="0" w:afterAutospacing="0" w:line="440" w:lineRule="exact"/>
        <w:ind w:right="172" w:rightChars="82"/>
        <w:rPr>
          <w:rFonts w:hint="eastAsia"/>
          <w:color w:val="auto"/>
          <w:sz w:val="18"/>
          <w:szCs w:val="18"/>
          <w:highlight w:val="none"/>
        </w:rPr>
      </w:pPr>
      <w:r>
        <w:rPr>
          <w:rFonts w:hint="eastAsia"/>
          <w:color w:val="auto"/>
          <w:sz w:val="18"/>
          <w:szCs w:val="18"/>
          <w:highlight w:val="none"/>
        </w:rPr>
        <w:t>　　1.大型、中型和小型企业须同时满足所列指标的下限，否则下划一档；微型企业只须满足所列指标中的一项即可。</w:t>
      </w:r>
    </w:p>
    <w:p w14:paraId="1E66251A">
      <w:pPr>
        <w:pStyle w:val="36"/>
        <w:spacing w:before="0" w:beforeAutospacing="0" w:after="0" w:afterAutospacing="0" w:line="440" w:lineRule="exact"/>
        <w:ind w:right="172" w:rightChars="82"/>
        <w:rPr>
          <w:rFonts w:hint="eastAsia"/>
          <w:color w:val="auto"/>
          <w:sz w:val="18"/>
          <w:szCs w:val="18"/>
          <w:highlight w:val="none"/>
        </w:rPr>
      </w:pPr>
      <w:r>
        <w:rPr>
          <w:rFonts w:hint="eastAsia"/>
          <w:color w:val="auto"/>
          <w:sz w:val="18"/>
          <w:szCs w:val="18"/>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8A0E35B">
      <w:pPr>
        <w:pStyle w:val="36"/>
        <w:spacing w:before="0" w:beforeAutospacing="0" w:after="0" w:afterAutospacing="0" w:line="440" w:lineRule="exact"/>
        <w:ind w:right="172" w:rightChars="82"/>
        <w:rPr>
          <w:rFonts w:hint="eastAsia"/>
          <w:color w:val="auto"/>
          <w:sz w:val="18"/>
          <w:szCs w:val="18"/>
          <w:highlight w:val="none"/>
        </w:rPr>
      </w:pPr>
      <w:r>
        <w:rPr>
          <w:rFonts w:hint="eastAsia"/>
          <w:color w:val="auto"/>
          <w:sz w:val="18"/>
          <w:szCs w:val="18"/>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3580B17">
      <w:pPr>
        <w:autoSpaceDE w:val="0"/>
        <w:autoSpaceDN w:val="0"/>
        <w:adjustRightInd w:val="0"/>
        <w:ind w:firstLine="1039" w:firstLineChars="199"/>
        <w:jc w:val="center"/>
        <w:rPr>
          <w:rFonts w:hint="eastAsia" w:ascii="宋体" w:hAnsi="宋体" w:cs="宋体"/>
          <w:b/>
          <w:color w:val="auto"/>
          <w:kern w:val="0"/>
          <w:sz w:val="52"/>
          <w:szCs w:val="52"/>
          <w:highlight w:val="none"/>
        </w:rPr>
      </w:pPr>
    </w:p>
    <w:p w14:paraId="2F83DA9E">
      <w:pPr>
        <w:autoSpaceDE w:val="0"/>
        <w:autoSpaceDN w:val="0"/>
        <w:adjustRightInd w:val="0"/>
        <w:ind w:firstLine="1039" w:firstLineChars="199"/>
        <w:jc w:val="center"/>
        <w:rPr>
          <w:rFonts w:hint="eastAsia" w:ascii="宋体" w:hAnsi="宋体" w:cs="宋体"/>
          <w:b/>
          <w:color w:val="auto"/>
          <w:kern w:val="0"/>
          <w:sz w:val="52"/>
          <w:szCs w:val="52"/>
          <w:highlight w:val="none"/>
        </w:rPr>
      </w:pPr>
    </w:p>
    <w:p w14:paraId="1E3DF120">
      <w:pPr>
        <w:autoSpaceDE w:val="0"/>
        <w:autoSpaceDN w:val="0"/>
        <w:adjustRightInd w:val="0"/>
        <w:ind w:firstLine="1039" w:firstLineChars="199"/>
        <w:jc w:val="center"/>
        <w:rPr>
          <w:rFonts w:hint="eastAsia" w:ascii="宋体" w:hAnsi="宋体" w:cs="宋体"/>
          <w:b/>
          <w:color w:val="auto"/>
          <w:kern w:val="0"/>
          <w:sz w:val="52"/>
          <w:szCs w:val="52"/>
          <w:highlight w:val="none"/>
        </w:rPr>
      </w:pPr>
    </w:p>
    <w:p w14:paraId="3ADDA894">
      <w:pPr>
        <w:autoSpaceDE w:val="0"/>
        <w:autoSpaceDN w:val="0"/>
        <w:adjustRightInd w:val="0"/>
        <w:ind w:firstLine="1039" w:firstLineChars="199"/>
        <w:jc w:val="center"/>
        <w:rPr>
          <w:rFonts w:hint="eastAsia" w:ascii="宋体" w:hAnsi="宋体" w:cs="宋体"/>
          <w:b/>
          <w:color w:val="auto"/>
          <w:kern w:val="0"/>
          <w:sz w:val="52"/>
          <w:szCs w:val="52"/>
          <w:highlight w:val="none"/>
        </w:rPr>
      </w:pPr>
    </w:p>
    <w:p w14:paraId="6E6712DE">
      <w:pPr>
        <w:autoSpaceDE w:val="0"/>
        <w:autoSpaceDN w:val="0"/>
        <w:adjustRightInd w:val="0"/>
        <w:ind w:firstLine="1039" w:firstLineChars="199"/>
        <w:jc w:val="center"/>
        <w:rPr>
          <w:rFonts w:hint="eastAsia" w:ascii="宋体" w:hAnsi="宋体" w:cs="宋体"/>
          <w:b/>
          <w:color w:val="auto"/>
          <w:kern w:val="0"/>
          <w:sz w:val="52"/>
          <w:szCs w:val="52"/>
          <w:highlight w:val="none"/>
        </w:rPr>
      </w:pPr>
    </w:p>
    <w:p w14:paraId="7C546E7A">
      <w:pPr>
        <w:autoSpaceDE w:val="0"/>
        <w:autoSpaceDN w:val="0"/>
        <w:adjustRightInd w:val="0"/>
        <w:ind w:firstLine="1039" w:firstLineChars="199"/>
        <w:jc w:val="center"/>
        <w:rPr>
          <w:rFonts w:hint="eastAsia" w:ascii="宋体" w:hAnsi="宋体" w:cs="宋体"/>
          <w:b/>
          <w:color w:val="auto"/>
          <w:kern w:val="0"/>
          <w:sz w:val="52"/>
          <w:szCs w:val="52"/>
          <w:highlight w:val="none"/>
        </w:rPr>
      </w:pPr>
    </w:p>
    <w:p w14:paraId="096887F1">
      <w:pPr>
        <w:autoSpaceDE w:val="0"/>
        <w:autoSpaceDN w:val="0"/>
        <w:adjustRightInd w:val="0"/>
        <w:ind w:firstLine="1039" w:firstLineChars="199"/>
        <w:jc w:val="center"/>
        <w:rPr>
          <w:rFonts w:hint="eastAsia" w:ascii="宋体" w:hAnsi="宋体" w:cs="宋体"/>
          <w:b/>
          <w:color w:val="auto"/>
          <w:kern w:val="0"/>
          <w:sz w:val="52"/>
          <w:szCs w:val="52"/>
          <w:highlight w:val="none"/>
        </w:rPr>
      </w:pPr>
    </w:p>
    <w:p w14:paraId="061CBB43">
      <w:pPr>
        <w:autoSpaceDE w:val="0"/>
        <w:autoSpaceDN w:val="0"/>
        <w:adjustRightInd w:val="0"/>
        <w:ind w:firstLine="1039" w:firstLineChars="199"/>
        <w:jc w:val="center"/>
        <w:rPr>
          <w:rFonts w:hint="eastAsia" w:ascii="宋体" w:hAnsi="宋体" w:cs="宋体"/>
          <w:b/>
          <w:color w:val="auto"/>
          <w:kern w:val="0"/>
          <w:sz w:val="52"/>
          <w:szCs w:val="52"/>
          <w:highlight w:val="none"/>
        </w:rPr>
      </w:pPr>
    </w:p>
    <w:p w14:paraId="0DC9CBD3">
      <w:pPr>
        <w:autoSpaceDE w:val="0"/>
        <w:autoSpaceDN w:val="0"/>
        <w:adjustRightInd w:val="0"/>
        <w:ind w:firstLine="1039" w:firstLineChars="199"/>
        <w:jc w:val="center"/>
        <w:rPr>
          <w:rFonts w:hint="eastAsia" w:ascii="宋体" w:hAnsi="宋体" w:cs="宋体"/>
          <w:b/>
          <w:color w:val="auto"/>
          <w:kern w:val="0"/>
          <w:sz w:val="52"/>
          <w:szCs w:val="52"/>
          <w:highlight w:val="none"/>
        </w:rPr>
      </w:pPr>
    </w:p>
    <w:p w14:paraId="3E9F0066">
      <w:pPr>
        <w:autoSpaceDE w:val="0"/>
        <w:autoSpaceDN w:val="0"/>
        <w:adjustRightInd w:val="0"/>
        <w:ind w:firstLine="1039" w:firstLineChars="199"/>
        <w:jc w:val="center"/>
        <w:rPr>
          <w:rFonts w:hint="eastAsia" w:ascii="宋体" w:hAnsi="宋体" w:cs="宋体"/>
          <w:b/>
          <w:color w:val="auto"/>
          <w:kern w:val="0"/>
          <w:sz w:val="52"/>
          <w:szCs w:val="52"/>
          <w:highlight w:val="none"/>
        </w:rPr>
      </w:pPr>
    </w:p>
    <w:p w14:paraId="61FDD3ED">
      <w:pPr>
        <w:autoSpaceDE w:val="0"/>
        <w:autoSpaceDN w:val="0"/>
        <w:adjustRightInd w:val="0"/>
        <w:ind w:firstLine="1039" w:firstLineChars="199"/>
        <w:jc w:val="center"/>
        <w:rPr>
          <w:rFonts w:hint="eastAsia" w:ascii="宋体" w:hAnsi="宋体" w:cs="宋体"/>
          <w:b/>
          <w:color w:val="auto"/>
          <w:kern w:val="0"/>
          <w:sz w:val="52"/>
          <w:szCs w:val="52"/>
          <w:highlight w:val="none"/>
        </w:rPr>
      </w:pPr>
    </w:p>
    <w:p w14:paraId="02511B8A">
      <w:pPr>
        <w:autoSpaceDE w:val="0"/>
        <w:autoSpaceDN w:val="0"/>
        <w:adjustRightInd w:val="0"/>
        <w:ind w:firstLine="1039" w:firstLineChars="199"/>
        <w:jc w:val="center"/>
        <w:rPr>
          <w:rFonts w:ascii="宋体" w:hAnsi="宋体" w:cs="宋体"/>
          <w:color w:val="auto"/>
          <w:kern w:val="0"/>
          <w:sz w:val="52"/>
          <w:szCs w:val="52"/>
          <w:highlight w:val="none"/>
        </w:rPr>
      </w:pPr>
      <w:r>
        <w:rPr>
          <w:rFonts w:hint="eastAsia" w:ascii="宋体" w:hAnsi="宋体" w:cs="宋体"/>
          <w:b/>
          <w:color w:val="auto"/>
          <w:kern w:val="0"/>
          <w:sz w:val="52"/>
          <w:szCs w:val="52"/>
          <w:highlight w:val="none"/>
        </w:rPr>
        <w:t>磋 商 响 应 文 件</w:t>
      </w:r>
    </w:p>
    <w:p w14:paraId="745F5E93">
      <w:pPr>
        <w:autoSpaceDE w:val="0"/>
        <w:autoSpaceDN w:val="0"/>
        <w:adjustRightInd w:val="0"/>
        <w:jc w:val="center"/>
        <w:rPr>
          <w:rFonts w:ascii="宋体" w:hAnsi="宋体" w:cs="宋体"/>
          <w:color w:val="auto"/>
          <w:kern w:val="0"/>
          <w:szCs w:val="30"/>
          <w:highlight w:val="none"/>
        </w:rPr>
      </w:pPr>
    </w:p>
    <w:p w14:paraId="1C0AFEC2">
      <w:pPr>
        <w:autoSpaceDE w:val="0"/>
        <w:autoSpaceDN w:val="0"/>
        <w:adjustRightInd w:val="0"/>
        <w:jc w:val="center"/>
        <w:rPr>
          <w:rFonts w:ascii="宋体" w:hAnsi="宋体" w:cs="宋体"/>
          <w:color w:val="auto"/>
          <w:kern w:val="0"/>
          <w:sz w:val="28"/>
          <w:szCs w:val="28"/>
          <w:highlight w:val="none"/>
        </w:rPr>
      </w:pPr>
    </w:p>
    <w:p w14:paraId="1F81CDF9">
      <w:pPr>
        <w:autoSpaceDE w:val="0"/>
        <w:autoSpaceDN w:val="0"/>
        <w:adjustRightInd w:val="0"/>
        <w:jc w:val="center"/>
        <w:rPr>
          <w:rFonts w:ascii="宋体" w:hAnsi="宋体" w:cs="宋体"/>
          <w:color w:val="auto"/>
          <w:kern w:val="0"/>
          <w:szCs w:val="30"/>
          <w:highlight w:val="none"/>
        </w:rPr>
      </w:pPr>
    </w:p>
    <w:p w14:paraId="083B5D3C">
      <w:pPr>
        <w:autoSpaceDE w:val="0"/>
        <w:autoSpaceDN w:val="0"/>
        <w:adjustRightInd w:val="0"/>
        <w:jc w:val="center"/>
        <w:rPr>
          <w:rFonts w:ascii="宋体" w:hAnsi="宋体" w:cs="宋体"/>
          <w:color w:val="auto"/>
          <w:kern w:val="0"/>
          <w:szCs w:val="30"/>
          <w:highlight w:val="none"/>
        </w:rPr>
      </w:pPr>
    </w:p>
    <w:p w14:paraId="44D8BB4B">
      <w:pPr>
        <w:autoSpaceDE w:val="0"/>
        <w:autoSpaceDN w:val="0"/>
        <w:adjustRightInd w:val="0"/>
        <w:rPr>
          <w:rFonts w:ascii="宋体" w:hAnsi="宋体" w:cs="宋体"/>
          <w:color w:val="auto"/>
          <w:kern w:val="0"/>
          <w:szCs w:val="30"/>
          <w:highlight w:val="none"/>
        </w:rPr>
      </w:pPr>
    </w:p>
    <w:p w14:paraId="098D80E7">
      <w:pPr>
        <w:autoSpaceDE w:val="0"/>
        <w:autoSpaceDN w:val="0"/>
        <w:adjustRightInd w:val="0"/>
        <w:rPr>
          <w:rFonts w:ascii="宋体" w:hAnsi="宋体" w:cs="宋体"/>
          <w:color w:val="auto"/>
          <w:kern w:val="0"/>
          <w:szCs w:val="30"/>
          <w:highlight w:val="none"/>
        </w:rPr>
      </w:pPr>
    </w:p>
    <w:p w14:paraId="16EBD49A">
      <w:pPr>
        <w:autoSpaceDE w:val="0"/>
        <w:autoSpaceDN w:val="0"/>
        <w:adjustRightInd w:val="0"/>
        <w:spacing w:line="480" w:lineRule="auto"/>
        <w:ind w:firstLine="1560"/>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项目名称：</w:t>
      </w:r>
    </w:p>
    <w:p w14:paraId="7039D68B">
      <w:pPr>
        <w:autoSpaceDE w:val="0"/>
        <w:autoSpaceDN w:val="0"/>
        <w:adjustRightInd w:val="0"/>
        <w:spacing w:line="480" w:lineRule="auto"/>
        <w:ind w:firstLine="1560"/>
        <w:outlineLvl w:val="0"/>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项目编号：</w:t>
      </w:r>
    </w:p>
    <w:p w14:paraId="6F4AA596">
      <w:pPr>
        <w:autoSpaceDE w:val="0"/>
        <w:autoSpaceDN w:val="0"/>
        <w:adjustRightInd w:val="0"/>
        <w:spacing w:line="480" w:lineRule="auto"/>
        <w:ind w:firstLine="1560"/>
        <w:outlineLvl w:val="0"/>
        <w:rPr>
          <w:rFonts w:ascii="宋体" w:hAnsi="宋体" w:cs="宋体"/>
          <w:color w:val="auto"/>
          <w:kern w:val="0"/>
          <w:sz w:val="28"/>
          <w:szCs w:val="28"/>
          <w:highlight w:val="none"/>
        </w:rPr>
      </w:pPr>
      <w:r>
        <w:rPr>
          <w:rFonts w:hint="eastAsia" w:ascii="宋体" w:hAnsi="宋体" w:cs="宋体"/>
          <w:color w:val="auto"/>
          <w:sz w:val="28"/>
          <w:szCs w:val="28"/>
          <w:highlight w:val="none"/>
        </w:rPr>
        <w:t>响应文件内容：</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eastAsia="zh-CN"/>
        </w:rPr>
        <w:t>商务技术文件</w:t>
      </w:r>
      <w:r>
        <w:rPr>
          <w:rFonts w:hint="eastAsia" w:ascii="宋体" w:hAnsi="宋体" w:cs="宋体"/>
          <w:color w:val="auto"/>
          <w:sz w:val="28"/>
          <w:szCs w:val="28"/>
          <w:highlight w:val="none"/>
          <w:u w:val="single"/>
        </w:rPr>
        <w:t xml:space="preserve"> </w:t>
      </w:r>
    </w:p>
    <w:p w14:paraId="6B557A2F">
      <w:pPr>
        <w:autoSpaceDE w:val="0"/>
        <w:autoSpaceDN w:val="0"/>
        <w:adjustRightInd w:val="0"/>
        <w:spacing w:line="480" w:lineRule="auto"/>
        <w:ind w:firstLine="1560"/>
        <w:outlineLvl w:val="0"/>
        <w:rPr>
          <w:rFonts w:ascii="宋体" w:hAnsi="宋体" w:cs="宋体"/>
          <w:color w:val="auto"/>
          <w:kern w:val="0"/>
          <w:sz w:val="28"/>
          <w:szCs w:val="28"/>
          <w:highlight w:val="none"/>
        </w:rPr>
      </w:pPr>
      <w:r>
        <w:rPr>
          <w:rFonts w:hint="eastAsia" w:ascii="宋体" w:hAnsi="宋体" w:cs="宋体"/>
          <w:color w:val="auto"/>
          <w:sz w:val="28"/>
          <w:szCs w:val="28"/>
          <w:highlight w:val="none"/>
        </w:rPr>
        <w:t>供应商名称：</w:t>
      </w:r>
      <w:r>
        <w:rPr>
          <w:rFonts w:hint="eastAsia" w:ascii="宋体" w:hAnsi="宋体" w:cs="宋体"/>
          <w:color w:val="auto"/>
          <w:sz w:val="28"/>
          <w:szCs w:val="28"/>
          <w:highlight w:val="none"/>
          <w:u w:val="single"/>
        </w:rPr>
        <w:t xml:space="preserve">  （盖单位公章）           </w:t>
      </w:r>
    </w:p>
    <w:p w14:paraId="2C0E4C32">
      <w:pPr>
        <w:autoSpaceDE w:val="0"/>
        <w:autoSpaceDN w:val="0"/>
        <w:adjustRightInd w:val="0"/>
        <w:spacing w:line="480" w:lineRule="auto"/>
        <w:ind w:firstLine="1560"/>
        <w:outlineLvl w:val="0"/>
        <w:rPr>
          <w:rFonts w:ascii="宋体" w:hAnsi="宋体" w:cs="宋体"/>
          <w:color w:val="auto"/>
          <w:kern w:val="0"/>
          <w:sz w:val="28"/>
          <w:szCs w:val="28"/>
          <w:highlight w:val="none"/>
        </w:rPr>
      </w:pPr>
      <w:r>
        <w:rPr>
          <w:rFonts w:hint="eastAsia" w:ascii="宋体" w:hAnsi="宋体" w:cs="宋体"/>
          <w:color w:val="auto"/>
          <w:kern w:val="0"/>
          <w:sz w:val="28"/>
          <w:szCs w:val="28"/>
          <w:highlight w:val="none"/>
        </w:rPr>
        <w:t>法定代表人或其委托代理人：</w:t>
      </w:r>
      <w:r>
        <w:rPr>
          <w:rFonts w:hint="eastAsia" w:ascii="宋体" w:hAnsi="宋体" w:cs="宋体"/>
          <w:color w:val="auto"/>
          <w:kern w:val="0"/>
          <w:sz w:val="28"/>
          <w:szCs w:val="28"/>
          <w:highlight w:val="none"/>
          <w:u w:val="single"/>
        </w:rPr>
        <w:t xml:space="preserve">       （签字）      </w:t>
      </w:r>
    </w:p>
    <w:p w14:paraId="70BF169C">
      <w:pPr>
        <w:autoSpaceDE w:val="0"/>
        <w:autoSpaceDN w:val="0"/>
        <w:adjustRightInd w:val="0"/>
        <w:spacing w:line="480" w:lineRule="auto"/>
        <w:ind w:firstLine="1680" w:firstLineChars="600"/>
        <w:rPr>
          <w:rFonts w:ascii="宋体" w:hAnsi="宋体" w:cs="宋体"/>
          <w:color w:val="auto"/>
          <w:kern w:val="0"/>
          <w:sz w:val="28"/>
          <w:szCs w:val="28"/>
          <w:highlight w:val="none"/>
        </w:rPr>
      </w:pPr>
      <w:r>
        <w:rPr>
          <w:rFonts w:hint="eastAsia" w:ascii="宋体" w:hAnsi="宋体" w:cs="宋体"/>
          <w:color w:val="auto"/>
          <w:kern w:val="0"/>
          <w:sz w:val="28"/>
          <w:szCs w:val="28"/>
          <w:highlight w:val="none"/>
        </w:rPr>
        <w:t>日      期：年月日</w:t>
      </w:r>
    </w:p>
    <w:p w14:paraId="106719FA">
      <w:pPr>
        <w:pStyle w:val="5"/>
        <w:spacing w:line="440" w:lineRule="exact"/>
        <w:rPr>
          <w:rFonts w:ascii="宋体" w:hAnsi="宋体" w:cs="宋体"/>
          <w:color w:val="auto"/>
          <w:kern w:val="0"/>
          <w:sz w:val="30"/>
          <w:szCs w:val="30"/>
          <w:highlight w:val="none"/>
        </w:rPr>
      </w:pPr>
      <w:r>
        <w:rPr>
          <w:rFonts w:hint="eastAsia" w:ascii="宋体" w:hAnsi="宋体" w:cs="宋体"/>
          <w:color w:val="auto"/>
          <w:sz w:val="28"/>
          <w:highlight w:val="none"/>
        </w:rPr>
        <w:br w:type="page"/>
      </w:r>
    </w:p>
    <w:p w14:paraId="2B13AEFB">
      <w:pPr>
        <w:pStyle w:val="4"/>
        <w:keepNext w:val="0"/>
        <w:keepLines w:val="0"/>
        <w:adjustRightInd w:val="0"/>
        <w:snapToGrid w:val="0"/>
        <w:spacing w:line="480" w:lineRule="exact"/>
        <w:jc w:val="center"/>
        <w:rPr>
          <w:rFonts w:ascii="宋体" w:hAnsi="宋体" w:eastAsia="宋体" w:cs="宋体"/>
          <w:color w:val="auto"/>
          <w:sz w:val="28"/>
          <w:highlight w:val="none"/>
        </w:rPr>
      </w:pPr>
      <w:bookmarkStart w:id="1113" w:name="_Toc25592"/>
      <w:r>
        <w:rPr>
          <w:rFonts w:hint="eastAsia" w:ascii="宋体" w:hAnsi="宋体" w:eastAsia="宋体" w:cs="宋体"/>
          <w:color w:val="auto"/>
          <w:sz w:val="28"/>
          <w:highlight w:val="none"/>
        </w:rPr>
        <w:t>目    录</w:t>
      </w:r>
      <w:bookmarkEnd w:id="1113"/>
      <w:r>
        <w:rPr>
          <w:rFonts w:hint="eastAsia" w:ascii="宋体" w:hAnsi="宋体" w:eastAsia="宋体" w:cs="宋体"/>
          <w:color w:val="auto"/>
          <w:sz w:val="28"/>
          <w:highlight w:val="none"/>
        </w:rPr>
        <w:t xml:space="preserve"> </w:t>
      </w:r>
    </w:p>
    <w:p w14:paraId="30F9B8F7">
      <w:pPr>
        <w:pStyle w:val="5"/>
        <w:spacing w:line="440" w:lineRule="exact"/>
        <w:ind w:firstLine="3935" w:firstLineChars="1400"/>
        <w:rPr>
          <w:rFonts w:ascii="宋体" w:hAnsi="宋体" w:cs="宋体"/>
          <w:color w:val="auto"/>
          <w:kern w:val="0"/>
          <w:sz w:val="30"/>
          <w:szCs w:val="30"/>
          <w:highlight w:val="none"/>
        </w:rPr>
      </w:pPr>
      <w:bookmarkStart w:id="1114" w:name="_Toc19144"/>
      <w:r>
        <w:rPr>
          <w:rFonts w:hint="eastAsia" w:ascii="宋体" w:hAnsi="宋体" w:cs="宋体"/>
          <w:color w:val="auto"/>
          <w:sz w:val="28"/>
          <w:highlight w:val="none"/>
        </w:rPr>
        <w:t>（自拟）</w:t>
      </w:r>
      <w:bookmarkEnd w:id="1114"/>
    </w:p>
    <w:p w14:paraId="0F7AE194">
      <w:pPr>
        <w:pStyle w:val="5"/>
        <w:spacing w:line="440" w:lineRule="exact"/>
        <w:rPr>
          <w:rFonts w:ascii="宋体" w:hAnsi="宋体" w:cs="宋体"/>
          <w:color w:val="auto"/>
          <w:kern w:val="0"/>
          <w:sz w:val="30"/>
          <w:szCs w:val="30"/>
          <w:highlight w:val="none"/>
        </w:rPr>
      </w:pPr>
    </w:p>
    <w:p w14:paraId="1C9161E9">
      <w:pPr>
        <w:pStyle w:val="5"/>
        <w:spacing w:line="440" w:lineRule="exact"/>
        <w:rPr>
          <w:rFonts w:ascii="宋体" w:hAnsi="宋体" w:cs="宋体"/>
          <w:color w:val="auto"/>
          <w:kern w:val="0"/>
          <w:sz w:val="30"/>
          <w:szCs w:val="30"/>
          <w:highlight w:val="none"/>
        </w:rPr>
      </w:pPr>
    </w:p>
    <w:p w14:paraId="07BB51F6">
      <w:pPr>
        <w:pStyle w:val="5"/>
        <w:spacing w:line="440" w:lineRule="exact"/>
        <w:rPr>
          <w:rFonts w:ascii="宋体" w:hAnsi="宋体" w:cs="宋体"/>
          <w:color w:val="auto"/>
          <w:kern w:val="0"/>
          <w:sz w:val="30"/>
          <w:szCs w:val="30"/>
          <w:highlight w:val="none"/>
        </w:rPr>
      </w:pPr>
    </w:p>
    <w:p w14:paraId="0382BE82">
      <w:pPr>
        <w:pStyle w:val="5"/>
        <w:spacing w:line="440" w:lineRule="exact"/>
        <w:rPr>
          <w:rFonts w:ascii="宋体" w:hAnsi="宋体" w:cs="宋体"/>
          <w:color w:val="auto"/>
          <w:kern w:val="0"/>
          <w:sz w:val="30"/>
          <w:szCs w:val="30"/>
          <w:highlight w:val="none"/>
        </w:rPr>
      </w:pPr>
      <w:r>
        <w:rPr>
          <w:rFonts w:hint="eastAsia" w:ascii="宋体" w:hAnsi="宋体" w:cs="宋体"/>
          <w:color w:val="auto"/>
          <w:kern w:val="0"/>
          <w:sz w:val="30"/>
          <w:szCs w:val="30"/>
          <w:highlight w:val="none"/>
        </w:rPr>
        <w:br w:type="page"/>
      </w:r>
    </w:p>
    <w:p w14:paraId="73B945B0">
      <w:pPr>
        <w:pStyle w:val="5"/>
        <w:spacing w:line="440" w:lineRule="exact"/>
        <w:rPr>
          <w:rFonts w:hint="eastAsia" w:ascii="宋体" w:hAnsi="宋体" w:cs="宋体"/>
          <w:color w:val="auto"/>
          <w:kern w:val="0"/>
          <w:sz w:val="30"/>
          <w:szCs w:val="30"/>
          <w:highlight w:val="none"/>
          <w:lang w:val="en-US" w:eastAsia="zh-CN"/>
        </w:rPr>
      </w:pPr>
      <w:bookmarkStart w:id="1115" w:name="_Toc12049"/>
      <w:r>
        <w:rPr>
          <w:rFonts w:hint="eastAsia" w:ascii="宋体" w:hAnsi="宋体" w:cs="宋体"/>
          <w:color w:val="auto"/>
          <w:kern w:val="0"/>
          <w:sz w:val="30"/>
          <w:szCs w:val="30"/>
          <w:highlight w:val="none"/>
          <w:lang w:val="en-US" w:eastAsia="zh-CN"/>
        </w:rPr>
        <w:t>1、磋商书（格式）</w:t>
      </w:r>
      <w:bookmarkEnd w:id="1115"/>
    </w:p>
    <w:p w14:paraId="09126D05">
      <w:pPr>
        <w:spacing w:after="0" w:line="480" w:lineRule="exact"/>
        <w:jc w:val="center"/>
        <w:rPr>
          <w:rFonts w:hint="default" w:ascii="宋体" w:hAnsi="宋体" w:cs="宋体"/>
          <w:b w:val="0"/>
          <w:color w:val="auto"/>
          <w:szCs w:val="32"/>
          <w:highlight w:val="none"/>
          <w:lang w:val="en-US" w:eastAsia="zh-CN"/>
        </w:rPr>
      </w:pPr>
    </w:p>
    <w:p w14:paraId="3F8975E5">
      <w:pPr>
        <w:spacing w:after="0" w:line="480" w:lineRule="exact"/>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磋商书</w:t>
      </w:r>
    </w:p>
    <w:p w14:paraId="00BE9FA4">
      <w:pPr>
        <w:spacing w:after="0" w:line="420" w:lineRule="exact"/>
        <w:rPr>
          <w:rFonts w:hint="eastAsia" w:ascii="宋体" w:hAnsi="宋体" w:eastAsia="宋体" w:cs="宋体"/>
          <w:b w:val="0"/>
          <w:bCs/>
          <w:color w:val="auto"/>
          <w:sz w:val="24"/>
          <w:highlight w:val="none"/>
        </w:rPr>
      </w:pPr>
    </w:p>
    <w:p w14:paraId="16AD2E55">
      <w:pPr>
        <w:spacing w:after="0" w:line="420" w:lineRule="exact"/>
        <w:rPr>
          <w:rFonts w:hint="eastAsia" w:ascii="宋体" w:hAnsi="宋体" w:eastAsia="宋体" w:cs="宋体"/>
          <w:b w:val="0"/>
          <w:bCs/>
          <w:color w:val="auto"/>
          <w:sz w:val="21"/>
          <w:szCs w:val="21"/>
          <w:highlight w:val="none"/>
          <w:u w:val="single"/>
        </w:rPr>
      </w:pPr>
      <w:r>
        <w:rPr>
          <w:rFonts w:hint="eastAsia" w:ascii="宋体" w:hAnsi="宋体" w:eastAsia="宋体" w:cs="宋体"/>
          <w:b w:val="0"/>
          <w:bCs/>
          <w:color w:val="auto"/>
          <w:sz w:val="21"/>
          <w:szCs w:val="21"/>
          <w:highlight w:val="none"/>
        </w:rPr>
        <w:t>致：</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(采购代理机构)</w:t>
      </w:r>
    </w:p>
    <w:p w14:paraId="7DFB8A86">
      <w:pPr>
        <w:spacing w:after="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根据贵方的</w:t>
      </w:r>
      <w:r>
        <w:rPr>
          <w:rFonts w:hint="eastAsia" w:ascii="宋体" w:hAnsi="宋体" w:eastAsia="宋体" w:cs="宋体"/>
          <w:b w:val="0"/>
          <w:bCs/>
          <w:color w:val="auto"/>
          <w:sz w:val="21"/>
          <w:szCs w:val="21"/>
          <w:highlight w:val="none"/>
          <w:u w:val="single"/>
        </w:rPr>
        <w:t xml:space="preserve">   （项目名称） （项目编号：     ）  </w:t>
      </w:r>
      <w:r>
        <w:rPr>
          <w:rFonts w:hint="eastAsia" w:ascii="宋体" w:hAnsi="宋体" w:eastAsia="宋体" w:cs="宋体"/>
          <w:b w:val="0"/>
          <w:bCs/>
          <w:color w:val="auto"/>
          <w:sz w:val="21"/>
          <w:szCs w:val="21"/>
          <w:highlight w:val="none"/>
        </w:rPr>
        <w:t>项目政府采购的磋商邀请，我方授权代表</w:t>
      </w:r>
      <w:r>
        <w:rPr>
          <w:rFonts w:hint="eastAsia" w:ascii="宋体" w:hAnsi="宋体" w:eastAsia="宋体" w:cs="宋体"/>
          <w:b w:val="0"/>
          <w:bCs/>
          <w:color w:val="auto"/>
          <w:sz w:val="21"/>
          <w:szCs w:val="21"/>
          <w:highlight w:val="none"/>
          <w:u w:val="single"/>
        </w:rPr>
        <w:t xml:space="preserve">         （姓名和职务）</w:t>
      </w:r>
      <w:r>
        <w:rPr>
          <w:rFonts w:hint="eastAsia" w:ascii="宋体" w:hAnsi="宋体" w:eastAsia="宋体" w:cs="宋体"/>
          <w:b w:val="0"/>
          <w:bCs/>
          <w:color w:val="auto"/>
          <w:sz w:val="21"/>
          <w:szCs w:val="21"/>
          <w:highlight w:val="none"/>
        </w:rPr>
        <w:t>经正式授权并代表供应商</w:t>
      </w:r>
      <w:r>
        <w:rPr>
          <w:rFonts w:hint="eastAsia" w:ascii="宋体" w:hAnsi="宋体" w:eastAsia="宋体" w:cs="宋体"/>
          <w:b w:val="0"/>
          <w:bCs/>
          <w:color w:val="auto"/>
          <w:sz w:val="21"/>
          <w:szCs w:val="21"/>
          <w:highlight w:val="none"/>
          <w:u w:val="single"/>
        </w:rPr>
        <w:t xml:space="preserve">    （供应商名称）   </w:t>
      </w:r>
      <w:r>
        <w:rPr>
          <w:rFonts w:hint="eastAsia" w:ascii="宋体" w:hAnsi="宋体" w:eastAsia="宋体" w:cs="宋体"/>
          <w:b w:val="0"/>
          <w:bCs/>
          <w:color w:val="auto"/>
          <w:sz w:val="21"/>
          <w:szCs w:val="21"/>
          <w:highlight w:val="none"/>
        </w:rPr>
        <w:t>提交响应文件。</w:t>
      </w:r>
    </w:p>
    <w:p w14:paraId="0B771E36">
      <w:pPr>
        <w:spacing w:after="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在此，授权代表宣布同意如下：</w:t>
      </w:r>
    </w:p>
    <w:p w14:paraId="79EED949">
      <w:pPr>
        <w:spacing w:after="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1．供应商已详细审查全部“磋商文件”，包括修改文件（如有的话）以及全部参考资料和有关附件，已经了解我方对于磋商文件、采购过程、采购结果有依法进行询问、质疑、投诉的权利及相关渠道和要求。</w:t>
      </w:r>
    </w:p>
    <w:p w14:paraId="45A0866D">
      <w:pPr>
        <w:spacing w:after="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2．供应商在磋商之前已经与贵方进行了充分的沟通，完全理解并接受磋商文件的各项规定和要求，对磋商文件的合理性、合法性不再有异议。</w:t>
      </w:r>
    </w:p>
    <w:p w14:paraId="18BD52DC">
      <w:pPr>
        <w:spacing w:after="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3．本次响应</w:t>
      </w:r>
      <w:r>
        <w:rPr>
          <w:rFonts w:hint="eastAsia" w:ascii="宋体" w:hAnsi="宋体" w:cs="宋体"/>
          <w:b w:val="0"/>
          <w:bCs/>
          <w:color w:val="auto"/>
          <w:sz w:val="21"/>
          <w:szCs w:val="21"/>
          <w:highlight w:val="none"/>
          <w:lang w:val="en-US" w:eastAsia="zh-CN"/>
        </w:rPr>
        <w:t>磋商</w:t>
      </w:r>
      <w:r>
        <w:rPr>
          <w:rFonts w:hint="eastAsia" w:ascii="宋体" w:hAnsi="宋体" w:eastAsia="宋体" w:cs="宋体"/>
          <w:b w:val="0"/>
          <w:bCs/>
          <w:color w:val="auto"/>
          <w:sz w:val="21"/>
          <w:szCs w:val="21"/>
          <w:highlight w:val="none"/>
        </w:rPr>
        <w:t>有效期为自响应文件提交截止之日起</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天（日历天）内。</w:t>
      </w:r>
    </w:p>
    <w:p w14:paraId="07F091CE">
      <w:pPr>
        <w:spacing w:after="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4．如成交，供应商将按“磋商文件”及政府采购法律、法规的规定履行合同责任和义务。</w:t>
      </w:r>
    </w:p>
    <w:p w14:paraId="6C0C1FEF">
      <w:pPr>
        <w:spacing w:after="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5．供应商同意按照贵方要求提供与磋商有关的一切数据或资料。</w:t>
      </w:r>
    </w:p>
    <w:p w14:paraId="20E8B401">
      <w:pPr>
        <w:spacing w:after="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供应商：</w:t>
      </w:r>
      <w:r>
        <w:rPr>
          <w:rFonts w:hint="eastAsia" w:ascii="宋体" w:hAnsi="宋体" w:eastAsia="宋体" w:cs="宋体"/>
          <w:b w:val="0"/>
          <w:bCs/>
          <w:color w:val="auto"/>
          <w:sz w:val="21"/>
          <w:szCs w:val="21"/>
          <w:highlight w:val="none"/>
          <w:u w:val="single"/>
        </w:rPr>
        <w:t xml:space="preserve">      （单位名称并盖公章）         </w:t>
      </w:r>
    </w:p>
    <w:p w14:paraId="045D52F6">
      <w:pPr>
        <w:spacing w:after="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地址：</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 xml:space="preserve"> 邮编</w:t>
      </w:r>
      <w:r>
        <w:rPr>
          <w:rFonts w:hint="eastAsia" w:ascii="宋体" w:hAnsi="宋体" w:eastAsia="宋体" w:cs="宋体"/>
          <w:b w:val="0"/>
          <w:bCs/>
          <w:color w:val="auto"/>
          <w:sz w:val="21"/>
          <w:szCs w:val="21"/>
          <w:highlight w:val="none"/>
          <w:u w:val="single"/>
        </w:rPr>
        <w:t xml:space="preserve">：              </w:t>
      </w:r>
    </w:p>
    <w:p w14:paraId="698B2BD6">
      <w:pPr>
        <w:spacing w:after="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电话：</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 xml:space="preserve"> 传真：</w:t>
      </w:r>
      <w:r>
        <w:rPr>
          <w:rFonts w:hint="eastAsia" w:ascii="宋体" w:hAnsi="宋体" w:eastAsia="宋体" w:cs="宋体"/>
          <w:b w:val="0"/>
          <w:bCs/>
          <w:color w:val="auto"/>
          <w:sz w:val="21"/>
          <w:szCs w:val="21"/>
          <w:highlight w:val="none"/>
          <w:u w:val="single"/>
        </w:rPr>
        <w:t xml:space="preserve">            </w:t>
      </w:r>
    </w:p>
    <w:p w14:paraId="7FE335DD">
      <w:pPr>
        <w:spacing w:after="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法定代表人或委托代理人：</w:t>
      </w:r>
      <w:r>
        <w:rPr>
          <w:rFonts w:hint="eastAsia" w:ascii="宋体" w:hAnsi="宋体" w:eastAsia="宋体" w:cs="宋体"/>
          <w:b w:val="0"/>
          <w:bCs/>
          <w:color w:val="auto"/>
          <w:sz w:val="21"/>
          <w:szCs w:val="21"/>
          <w:highlight w:val="none"/>
          <w:u w:val="single"/>
        </w:rPr>
        <w:t xml:space="preserve">          （签字）                   </w:t>
      </w:r>
    </w:p>
    <w:p w14:paraId="70F76CA1">
      <w:pPr>
        <w:spacing w:after="0" w:line="42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日期：</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年</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月</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日</w:t>
      </w:r>
    </w:p>
    <w:p w14:paraId="4093F7D9">
      <w:pPr>
        <w:pStyle w:val="4"/>
        <w:keepNext w:val="0"/>
        <w:keepLines w:val="0"/>
        <w:adjustRightInd w:val="0"/>
        <w:snapToGrid w:val="0"/>
        <w:spacing w:line="480" w:lineRule="exac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br w:type="page"/>
      </w:r>
    </w:p>
    <w:p w14:paraId="57887061">
      <w:pPr>
        <w:pStyle w:val="4"/>
        <w:keepNext w:val="0"/>
        <w:keepLines w:val="0"/>
        <w:adjustRightInd w:val="0"/>
        <w:snapToGrid w:val="0"/>
        <w:spacing w:line="480" w:lineRule="exact"/>
        <w:rPr>
          <w:rFonts w:hint="eastAsia" w:ascii="宋体" w:hAnsi="宋体" w:eastAsia="宋体" w:cs="宋体"/>
          <w:color w:val="auto"/>
          <w:highlight w:val="none"/>
        </w:rPr>
      </w:pPr>
      <w:bookmarkStart w:id="1116" w:name="_Toc4213"/>
      <w:r>
        <w:rPr>
          <w:rFonts w:hint="eastAsia" w:ascii="宋体" w:hAnsi="宋体" w:cs="宋体"/>
          <w:b w:val="0"/>
          <w:color w:val="auto"/>
          <w:szCs w:val="32"/>
          <w:highlight w:val="none"/>
          <w:lang w:val="en-US" w:eastAsia="zh-CN"/>
        </w:rPr>
        <w:t>2</w:t>
      </w:r>
      <w:r>
        <w:rPr>
          <w:rFonts w:hint="eastAsia" w:ascii="宋体" w:hAnsi="宋体" w:cs="宋体"/>
          <w:b w:val="0"/>
          <w:color w:val="auto"/>
          <w:szCs w:val="32"/>
          <w:highlight w:val="none"/>
        </w:rPr>
        <w:t>、</w:t>
      </w:r>
      <w:r>
        <w:rPr>
          <w:rFonts w:hint="eastAsia" w:ascii="宋体" w:hAnsi="宋体" w:eastAsia="宋体" w:cs="宋体"/>
          <w:color w:val="auto"/>
          <w:highlight w:val="none"/>
        </w:rPr>
        <w:t>法定代表人身份证明书原件及法定代表人有效身份证正反面复印件；（格式见附件，必须提供）</w:t>
      </w:r>
      <w:bookmarkEnd w:id="1116"/>
    </w:p>
    <w:p w14:paraId="77AFBF1F">
      <w:pPr>
        <w:rPr>
          <w:rFonts w:ascii="宋体" w:hAnsi="宋体" w:cs="宋体"/>
          <w:color w:val="auto"/>
          <w:highlight w:val="none"/>
        </w:rPr>
      </w:pPr>
    </w:p>
    <w:p w14:paraId="7F3AE290">
      <w:pPr>
        <w:autoSpaceDE w:val="0"/>
        <w:autoSpaceDN w:val="0"/>
        <w:adjustRightInd w:val="0"/>
        <w:snapToGrid w:val="0"/>
        <w:spacing w:line="400" w:lineRule="exact"/>
        <w:jc w:val="center"/>
        <w:rPr>
          <w:rFonts w:hint="eastAsia" w:ascii="宋体" w:hAnsi="宋体" w:cs="宋体"/>
          <w:b/>
          <w:color w:val="auto"/>
          <w:sz w:val="28"/>
          <w:szCs w:val="28"/>
          <w:highlight w:val="none"/>
        </w:rPr>
      </w:pPr>
    </w:p>
    <w:p w14:paraId="69EEF999">
      <w:pPr>
        <w:autoSpaceDE w:val="0"/>
        <w:autoSpaceDN w:val="0"/>
        <w:adjustRightInd w:val="0"/>
        <w:snapToGrid w:val="0"/>
        <w:spacing w:line="400" w:lineRule="exact"/>
        <w:jc w:val="center"/>
        <w:rPr>
          <w:rFonts w:hint="eastAsia" w:ascii="宋体" w:hAnsi="宋体" w:cs="宋体"/>
          <w:b/>
          <w:color w:val="auto"/>
          <w:sz w:val="28"/>
          <w:szCs w:val="28"/>
          <w:highlight w:val="none"/>
        </w:rPr>
      </w:pPr>
    </w:p>
    <w:p w14:paraId="49CDD260">
      <w:pPr>
        <w:autoSpaceDE w:val="0"/>
        <w:autoSpaceDN w:val="0"/>
        <w:adjustRightInd w:val="0"/>
        <w:snapToGrid w:val="0"/>
        <w:spacing w:line="40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法定代表人身份证明书（格式）</w:t>
      </w:r>
    </w:p>
    <w:p w14:paraId="53A13311">
      <w:pPr>
        <w:spacing w:line="400" w:lineRule="exact"/>
        <w:ind w:firstLine="268" w:firstLineChars="128"/>
        <w:rPr>
          <w:rFonts w:ascii="宋体" w:hAnsi="宋体" w:cs="宋体"/>
          <w:color w:val="auto"/>
          <w:szCs w:val="21"/>
          <w:highlight w:val="none"/>
        </w:rPr>
      </w:pPr>
    </w:p>
    <w:p w14:paraId="6CC9D2E0">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p>
    <w:p w14:paraId="46E3181D">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r>
        <w:rPr>
          <w:rFonts w:hint="eastAsia" w:ascii="宋体" w:hAnsi="宋体" w:eastAsia="宋体" w:cs="宋体"/>
          <w:color w:val="auto"/>
          <w:sz w:val="21"/>
          <w:szCs w:val="21"/>
          <w:highlight w:val="none"/>
          <w:u w:val="single"/>
        </w:rPr>
        <w:t xml:space="preserve">                                                        </w:t>
      </w:r>
    </w:p>
    <w:p w14:paraId="02C16428">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5C48E68A">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D46192D">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w:t>
      </w:r>
      <w:r>
        <w:rPr>
          <w:rFonts w:hint="eastAsia" w:ascii="宋体" w:hAnsi="宋体" w:eastAsia="宋体" w:cs="宋体"/>
          <w:color w:val="auto"/>
          <w:sz w:val="21"/>
          <w:szCs w:val="21"/>
          <w:highlight w:val="none"/>
          <w:u w:val="single"/>
        </w:rPr>
        <w:t xml:space="preserve">                                                        </w:t>
      </w:r>
    </w:p>
    <w:p w14:paraId="4750EE8B">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14:paraId="75D44166">
      <w:pPr>
        <w:spacing w:line="5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8A14CDE">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38BF93CD">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w:t>
      </w:r>
    </w:p>
    <w:p w14:paraId="4911D824">
      <w:pPr>
        <w:pStyle w:val="21"/>
        <w:spacing w:line="460" w:lineRule="exact"/>
        <w:ind w:firstLine="539" w:firstLineChars="2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402ACB28">
      <w:pPr>
        <w:pStyle w:val="21"/>
        <w:spacing w:line="460" w:lineRule="exact"/>
        <w:ind w:firstLine="539" w:firstLineChars="2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附：法定代表人有效的身份证正反面复印件，并加盖公章。</w:t>
      </w:r>
    </w:p>
    <w:p w14:paraId="3DE0A6FA">
      <w:pPr>
        <w:pStyle w:val="21"/>
        <w:spacing w:line="460" w:lineRule="exact"/>
        <w:ind w:firstLine="539" w:firstLineChars="257"/>
        <w:rPr>
          <w:rFonts w:hint="eastAsia" w:ascii="宋体" w:hAnsi="宋体" w:eastAsia="宋体" w:cs="宋体"/>
          <w:color w:val="auto"/>
          <w:sz w:val="21"/>
          <w:szCs w:val="21"/>
          <w:highlight w:val="none"/>
        </w:rPr>
      </w:pPr>
    </w:p>
    <w:p w14:paraId="19C66E12">
      <w:pPr>
        <w:pStyle w:val="21"/>
        <w:spacing w:line="460" w:lineRule="exact"/>
        <w:ind w:firstLine="539" w:firstLineChars="257"/>
        <w:rPr>
          <w:rFonts w:hint="eastAsia" w:ascii="宋体" w:hAnsi="宋体" w:eastAsia="宋体" w:cs="宋体"/>
          <w:color w:val="auto"/>
          <w:sz w:val="21"/>
          <w:szCs w:val="21"/>
          <w:highlight w:val="none"/>
        </w:rPr>
      </w:pPr>
    </w:p>
    <w:p w14:paraId="779612E7">
      <w:pPr>
        <w:pStyle w:val="21"/>
        <w:spacing w:line="460" w:lineRule="exact"/>
        <w:ind w:firstLine="539" w:firstLineChars="257"/>
        <w:rPr>
          <w:rFonts w:hint="eastAsia" w:ascii="宋体" w:hAnsi="宋体" w:eastAsia="宋体" w:cs="宋体"/>
          <w:color w:val="auto"/>
          <w:sz w:val="21"/>
          <w:szCs w:val="21"/>
          <w:highlight w:val="none"/>
        </w:rPr>
      </w:pPr>
    </w:p>
    <w:p w14:paraId="447BD2A2">
      <w:pPr>
        <w:pStyle w:val="21"/>
        <w:spacing w:line="460" w:lineRule="exact"/>
        <w:ind w:firstLine="539" w:firstLineChars="257"/>
        <w:rPr>
          <w:rFonts w:hint="eastAsia" w:ascii="宋体" w:hAnsi="宋体" w:eastAsia="宋体" w:cs="宋体"/>
          <w:color w:val="auto"/>
          <w:sz w:val="21"/>
          <w:szCs w:val="21"/>
          <w:highlight w:val="none"/>
        </w:rPr>
      </w:pPr>
    </w:p>
    <w:p w14:paraId="5A761ED9">
      <w:pPr>
        <w:spacing w:line="500" w:lineRule="exact"/>
        <w:ind w:firstLine="3255" w:firstLineChars="15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（单位名称并盖公章） </w:t>
      </w:r>
    </w:p>
    <w:p w14:paraId="569BCBE6">
      <w:pPr>
        <w:pStyle w:val="21"/>
        <w:spacing w:line="460" w:lineRule="exact"/>
        <w:ind w:right="480"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D192936">
      <w:pPr>
        <w:pStyle w:val="17"/>
        <w:rPr>
          <w:rFonts w:hint="eastAsia" w:ascii="宋体" w:hAnsi="宋体" w:eastAsia="宋体" w:cs="宋体"/>
          <w:color w:val="auto"/>
          <w:highlight w:val="none"/>
        </w:rPr>
      </w:pPr>
    </w:p>
    <w:p w14:paraId="454D6B29">
      <w:pPr>
        <w:rPr>
          <w:rFonts w:ascii="宋体" w:hAnsi="宋体" w:cs="宋体"/>
          <w:color w:val="auto"/>
          <w:highlight w:val="none"/>
        </w:rPr>
      </w:pPr>
    </w:p>
    <w:p w14:paraId="68C00CA5">
      <w:pPr>
        <w:pStyle w:val="17"/>
        <w:rPr>
          <w:rFonts w:ascii="宋体" w:hAnsi="宋体" w:cs="宋体"/>
          <w:color w:val="auto"/>
          <w:highlight w:val="none"/>
        </w:rPr>
      </w:pPr>
    </w:p>
    <w:p w14:paraId="794D391D">
      <w:pPr>
        <w:rPr>
          <w:color w:val="auto"/>
          <w:highlight w:val="none"/>
        </w:rPr>
      </w:pPr>
    </w:p>
    <w:p w14:paraId="42890BD7">
      <w:pPr>
        <w:pStyle w:val="26"/>
        <w:rPr>
          <w:color w:val="auto"/>
          <w:highlight w:val="none"/>
        </w:rPr>
      </w:pPr>
    </w:p>
    <w:p w14:paraId="0D43ACE5">
      <w:pPr>
        <w:rPr>
          <w:color w:val="auto"/>
          <w:highlight w:val="none"/>
        </w:rPr>
      </w:pPr>
    </w:p>
    <w:p w14:paraId="532EC748">
      <w:pPr>
        <w:pStyle w:val="4"/>
        <w:keepNext w:val="0"/>
        <w:keepLines w:val="0"/>
        <w:adjustRightInd w:val="0"/>
        <w:snapToGrid w:val="0"/>
        <w:spacing w:line="480" w:lineRule="exact"/>
        <w:rPr>
          <w:rFonts w:hint="eastAsia" w:ascii="宋体" w:hAnsi="宋体" w:eastAsia="宋体" w:cs="宋体"/>
          <w:color w:val="auto"/>
          <w:highlight w:val="none"/>
        </w:rPr>
      </w:pPr>
      <w:bookmarkStart w:id="1117" w:name="_Toc30784"/>
      <w:r>
        <w:rPr>
          <w:rFonts w:hint="eastAsia" w:ascii="宋体" w:hAnsi="宋体" w:cs="宋体"/>
          <w:b w:val="0"/>
          <w:color w:val="auto"/>
          <w:szCs w:val="32"/>
          <w:highlight w:val="none"/>
          <w:lang w:val="en-US" w:eastAsia="zh-CN"/>
        </w:rPr>
        <w:t>3</w:t>
      </w:r>
      <w:r>
        <w:rPr>
          <w:rFonts w:hint="eastAsia" w:ascii="宋体" w:hAnsi="宋体" w:cs="宋体"/>
          <w:b w:val="0"/>
          <w:color w:val="auto"/>
          <w:szCs w:val="32"/>
          <w:highlight w:val="none"/>
        </w:rPr>
        <w:t>、</w:t>
      </w:r>
      <w:r>
        <w:rPr>
          <w:rFonts w:hint="eastAsia" w:ascii="宋体" w:hAnsi="宋体" w:eastAsia="宋体" w:cs="宋体"/>
          <w:color w:val="auto"/>
          <w:highlight w:val="none"/>
        </w:rPr>
        <w:t>法定代表人授权委托书原件及被授权人有效身份证正反面复印件；（格式见附件，委托时必须提供，否则磋商无效）</w:t>
      </w:r>
      <w:bookmarkEnd w:id="1117"/>
    </w:p>
    <w:p w14:paraId="74FF978C">
      <w:pPr>
        <w:rPr>
          <w:rFonts w:ascii="宋体" w:hAnsi="宋体" w:cs="宋体"/>
          <w:color w:val="auto"/>
          <w:highlight w:val="none"/>
        </w:rPr>
      </w:pPr>
    </w:p>
    <w:p w14:paraId="2213E64C">
      <w:pPr>
        <w:pStyle w:val="26"/>
        <w:rPr>
          <w:color w:val="auto"/>
          <w:highlight w:val="none"/>
        </w:rPr>
      </w:pPr>
    </w:p>
    <w:p w14:paraId="02CDC6BB">
      <w:pPr>
        <w:spacing w:before="120" w:beforeLines="50" w:after="120" w:afterLines="50" w:line="600" w:lineRule="exact"/>
        <w:jc w:val="center"/>
        <w:rPr>
          <w:rFonts w:hint="eastAsia" w:ascii="宋体" w:hAnsi="宋体" w:eastAsia="宋体" w:cs="宋体"/>
          <w:b/>
          <w:bCs/>
          <w:color w:val="auto"/>
          <w:sz w:val="32"/>
          <w:szCs w:val="32"/>
          <w:highlight w:val="none"/>
        </w:rPr>
      </w:pPr>
      <w:bookmarkStart w:id="1118" w:name="_Toc75182798"/>
      <w:bookmarkStart w:id="1119" w:name="_Toc47088396"/>
      <w:bookmarkStart w:id="1120" w:name="_Toc482785105"/>
      <w:bookmarkStart w:id="1121" w:name="_Toc336079861"/>
      <w:r>
        <w:rPr>
          <w:rFonts w:hint="eastAsia" w:ascii="宋体" w:hAnsi="宋体" w:eastAsia="宋体" w:cs="宋体"/>
          <w:b/>
          <w:bCs/>
          <w:color w:val="auto"/>
          <w:sz w:val="32"/>
          <w:szCs w:val="32"/>
          <w:highlight w:val="none"/>
        </w:rPr>
        <w:t>法定代表人授权委托书</w:t>
      </w:r>
    </w:p>
    <w:p w14:paraId="681ADD0A">
      <w:pPr>
        <w:autoSpaceDE w:val="0"/>
        <w:rPr>
          <w:rFonts w:hint="eastAsia" w:ascii="宋体" w:hAnsi="宋体" w:eastAsia="宋体" w:cs="宋体"/>
          <w:b w:val="0"/>
          <w:bCs w:val="0"/>
          <w:color w:val="auto"/>
          <w:szCs w:val="21"/>
          <w:highlight w:val="none"/>
        </w:rPr>
      </w:pPr>
    </w:p>
    <w:p w14:paraId="7AF084B4">
      <w:pPr>
        <w:spacing w:after="0" w:line="44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致：</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（采购代理机构）</w:t>
      </w:r>
    </w:p>
    <w:p w14:paraId="26F03DF0">
      <w:pPr>
        <w:spacing w:after="0" w:line="44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我 </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（姓名）系</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 xml:space="preserve">（供应商名称）的法定代表人，现授权委托本单位在职职工 </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（姓名）以我方的名义参加</w:t>
      </w:r>
      <w:r>
        <w:rPr>
          <w:rFonts w:hint="eastAsia" w:ascii="宋体" w:hAnsi="宋体" w:eastAsia="宋体" w:cs="宋体"/>
          <w:b w:val="0"/>
          <w:bCs w:val="0"/>
          <w:color w:val="auto"/>
          <w:sz w:val="21"/>
          <w:szCs w:val="21"/>
          <w:highlight w:val="none"/>
          <w:u w:val="single"/>
        </w:rPr>
        <w:t xml:space="preserve">   （项目名称） （项目编号：      </w:t>
      </w:r>
      <w:r>
        <w:rPr>
          <w:rFonts w:hint="eastAsia" w:ascii="宋体" w:hAnsi="宋体" w:eastAsia="宋体" w:cs="宋体"/>
          <w:b w:val="0"/>
          <w:bCs w:val="0"/>
          <w:color w:val="auto"/>
          <w:sz w:val="21"/>
          <w:szCs w:val="21"/>
          <w:highlight w:val="none"/>
        </w:rPr>
        <w:t>）项目的磋商活动，并代表我方全权办理针对上述项目的响应文件签署、响应文件提交、磋商、签订合同和处理一切有关事宜等。</w:t>
      </w:r>
    </w:p>
    <w:p w14:paraId="40716044">
      <w:pPr>
        <w:spacing w:after="0" w:line="44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我方对被授权人的签名事项负全部责任。</w:t>
      </w:r>
    </w:p>
    <w:p w14:paraId="43BD2DC4">
      <w:pPr>
        <w:spacing w:after="0" w:line="44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授权委托期限：</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日至</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日。被授权人在授权书有效期内签署的所有文件均有效。</w:t>
      </w:r>
    </w:p>
    <w:p w14:paraId="32AFCB23">
      <w:pPr>
        <w:spacing w:after="0" w:line="44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被授权人无转委托权，特此委托。</w:t>
      </w:r>
    </w:p>
    <w:p w14:paraId="7CA7223C">
      <w:pPr>
        <w:spacing w:after="0" w:line="440" w:lineRule="exact"/>
        <w:ind w:firstLine="420" w:firstLineChars="200"/>
        <w:rPr>
          <w:rFonts w:hint="eastAsia" w:ascii="宋体" w:hAnsi="宋体" w:eastAsia="宋体" w:cs="宋体"/>
          <w:b w:val="0"/>
          <w:bCs w:val="0"/>
          <w:color w:val="auto"/>
          <w:sz w:val="21"/>
          <w:szCs w:val="21"/>
          <w:highlight w:val="none"/>
        </w:rPr>
      </w:pPr>
    </w:p>
    <w:p w14:paraId="30E2EE5C">
      <w:pPr>
        <w:spacing w:after="0" w:line="44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附：被授权人有效的身份证正反面复印件，并加盖公章。</w:t>
      </w:r>
    </w:p>
    <w:p w14:paraId="3C0AA496">
      <w:pPr>
        <w:spacing w:after="0" w:line="440" w:lineRule="exact"/>
        <w:ind w:firstLine="420" w:firstLineChars="200"/>
        <w:rPr>
          <w:rFonts w:hint="eastAsia" w:ascii="宋体" w:hAnsi="宋体" w:eastAsia="宋体" w:cs="宋体"/>
          <w:b w:val="0"/>
          <w:bCs w:val="0"/>
          <w:color w:val="auto"/>
          <w:sz w:val="21"/>
          <w:szCs w:val="21"/>
          <w:highlight w:val="none"/>
        </w:rPr>
      </w:pPr>
    </w:p>
    <w:p w14:paraId="3D7A06A5">
      <w:pPr>
        <w:spacing w:line="440" w:lineRule="exact"/>
        <w:ind w:firstLine="420" w:firstLineChars="200"/>
        <w:rPr>
          <w:rFonts w:hint="eastAsia" w:ascii="宋体" w:hAnsi="宋体" w:eastAsia="宋体" w:cs="宋体"/>
          <w:b w:val="0"/>
          <w:bCs w:val="0"/>
          <w:color w:val="auto"/>
          <w:sz w:val="21"/>
          <w:szCs w:val="21"/>
          <w:highlight w:val="none"/>
        </w:rPr>
      </w:pPr>
    </w:p>
    <w:p w14:paraId="0A6ACF98">
      <w:pPr>
        <w:spacing w:line="440" w:lineRule="exact"/>
        <w:ind w:firstLine="2415" w:firstLineChars="1150"/>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sz w:val="21"/>
          <w:szCs w:val="21"/>
          <w:highlight w:val="none"/>
          <w:u w:val="single"/>
        </w:rPr>
        <w:t xml:space="preserve">         （单位名称并盖公章）</w:t>
      </w:r>
    </w:p>
    <w:p w14:paraId="7338BB07">
      <w:pPr>
        <w:spacing w:line="440" w:lineRule="exact"/>
        <w:ind w:firstLine="2415" w:firstLineChars="1150"/>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rPr>
        <w:t>法定代表人（签字）：</w:t>
      </w:r>
      <w:r>
        <w:rPr>
          <w:rFonts w:hint="eastAsia" w:ascii="宋体" w:hAnsi="宋体" w:eastAsia="宋体" w:cs="宋体"/>
          <w:b w:val="0"/>
          <w:bCs w:val="0"/>
          <w:color w:val="auto"/>
          <w:sz w:val="21"/>
          <w:szCs w:val="21"/>
          <w:highlight w:val="none"/>
          <w:u w:val="single"/>
        </w:rPr>
        <w:t xml:space="preserve">                            </w:t>
      </w:r>
    </w:p>
    <w:p w14:paraId="68B63945">
      <w:pPr>
        <w:spacing w:line="440" w:lineRule="exact"/>
        <w:ind w:firstLine="2415" w:firstLineChars="1150"/>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rPr>
        <w:t>法定代表人身份证号码：</w:t>
      </w:r>
      <w:r>
        <w:rPr>
          <w:rFonts w:hint="eastAsia" w:ascii="宋体" w:hAnsi="宋体" w:eastAsia="宋体" w:cs="宋体"/>
          <w:b w:val="0"/>
          <w:bCs w:val="0"/>
          <w:color w:val="auto"/>
          <w:sz w:val="21"/>
          <w:szCs w:val="21"/>
          <w:highlight w:val="none"/>
          <w:u w:val="single"/>
        </w:rPr>
        <w:t xml:space="preserve">                         </w:t>
      </w:r>
    </w:p>
    <w:p w14:paraId="5DE50CAE">
      <w:pPr>
        <w:spacing w:line="440" w:lineRule="exact"/>
        <w:ind w:firstLine="2415" w:firstLineChars="11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委托代理人（签字）：</w:t>
      </w:r>
      <w:r>
        <w:rPr>
          <w:rFonts w:hint="eastAsia" w:ascii="宋体" w:hAnsi="宋体" w:eastAsia="宋体" w:cs="宋体"/>
          <w:b w:val="0"/>
          <w:bCs w:val="0"/>
          <w:color w:val="auto"/>
          <w:sz w:val="21"/>
          <w:szCs w:val="21"/>
          <w:highlight w:val="none"/>
          <w:u w:val="single"/>
        </w:rPr>
        <w:t xml:space="preserve">                             </w:t>
      </w:r>
    </w:p>
    <w:p w14:paraId="5ECD9E53">
      <w:pPr>
        <w:spacing w:line="440" w:lineRule="exact"/>
        <w:ind w:firstLine="2415" w:firstLineChars="11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委托代理人身份证号码：</w:t>
      </w:r>
      <w:r>
        <w:rPr>
          <w:rFonts w:hint="eastAsia" w:ascii="宋体" w:hAnsi="宋体" w:eastAsia="宋体" w:cs="宋体"/>
          <w:b w:val="0"/>
          <w:bCs w:val="0"/>
          <w:color w:val="auto"/>
          <w:sz w:val="21"/>
          <w:szCs w:val="21"/>
          <w:highlight w:val="none"/>
          <w:u w:val="single"/>
        </w:rPr>
        <w:t xml:space="preserve">                          </w:t>
      </w:r>
    </w:p>
    <w:p w14:paraId="7305FEB8">
      <w:pPr>
        <w:spacing w:line="44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日期：</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日</w:t>
      </w:r>
    </w:p>
    <w:p w14:paraId="515A8A30">
      <w:pPr>
        <w:spacing w:line="440" w:lineRule="exact"/>
        <w:ind w:firstLine="480" w:firstLineChars="200"/>
        <w:rPr>
          <w:rFonts w:hint="eastAsia" w:ascii="仿宋" w:hAnsi="仿宋" w:eastAsia="仿宋" w:cs="仿宋"/>
          <w:color w:val="auto"/>
          <w:sz w:val="24"/>
          <w:highlight w:val="none"/>
        </w:rPr>
      </w:pPr>
    </w:p>
    <w:p w14:paraId="752D455F">
      <w:pPr>
        <w:pStyle w:val="5"/>
        <w:spacing w:line="440" w:lineRule="exact"/>
        <w:ind w:firstLine="2108" w:firstLineChars="700"/>
        <w:rPr>
          <w:rFonts w:hint="eastAsia" w:cs="宋体"/>
          <w:color w:val="auto"/>
          <w:sz w:val="30"/>
          <w:szCs w:val="30"/>
          <w:highlight w:val="none"/>
        </w:rPr>
      </w:pPr>
    </w:p>
    <w:p w14:paraId="4C9CE369">
      <w:pPr>
        <w:rPr>
          <w:rFonts w:hint="eastAsia" w:cs="宋体"/>
          <w:color w:val="auto"/>
          <w:sz w:val="30"/>
          <w:szCs w:val="30"/>
          <w:highlight w:val="none"/>
        </w:rPr>
      </w:pPr>
    </w:p>
    <w:p w14:paraId="0EECDD45">
      <w:pPr>
        <w:pStyle w:val="26"/>
        <w:rPr>
          <w:rFonts w:hint="eastAsia" w:cs="宋体"/>
          <w:color w:val="auto"/>
          <w:sz w:val="30"/>
          <w:szCs w:val="30"/>
          <w:highlight w:val="none"/>
        </w:rPr>
      </w:pPr>
    </w:p>
    <w:p w14:paraId="67829360">
      <w:pPr>
        <w:rPr>
          <w:rFonts w:hint="eastAsia"/>
          <w:color w:val="auto"/>
          <w:highlight w:val="none"/>
        </w:rPr>
      </w:pPr>
    </w:p>
    <w:p w14:paraId="097D246F">
      <w:pPr>
        <w:pStyle w:val="5"/>
        <w:spacing w:line="440" w:lineRule="exact"/>
        <w:ind w:firstLine="643" w:firstLineChars="200"/>
        <w:rPr>
          <w:rFonts w:cs="宋体"/>
          <w:color w:val="auto"/>
          <w:highlight w:val="none"/>
        </w:rPr>
      </w:pPr>
      <w:bookmarkStart w:id="1122" w:name="_Toc14572"/>
      <w:r>
        <w:rPr>
          <w:rFonts w:hint="eastAsia" w:cs="宋体"/>
          <w:color w:val="auto"/>
          <w:highlight w:val="none"/>
          <w:lang w:val="en-US" w:eastAsia="zh-CN"/>
        </w:rPr>
        <w:t>4</w:t>
      </w:r>
      <w:r>
        <w:rPr>
          <w:rFonts w:cs="宋体"/>
          <w:color w:val="auto"/>
          <w:highlight w:val="none"/>
        </w:rPr>
        <w:t>、</w:t>
      </w:r>
      <w:bookmarkEnd w:id="1118"/>
      <w:bookmarkEnd w:id="1119"/>
      <w:bookmarkEnd w:id="1120"/>
      <w:r>
        <w:rPr>
          <w:rFonts w:hint="eastAsia" w:cs="宋体"/>
          <w:color w:val="auto"/>
          <w:highlight w:val="none"/>
        </w:rPr>
        <w:t>拟担任本工程项目经理有效的</w:t>
      </w:r>
      <w:r>
        <w:rPr>
          <w:rFonts w:hint="eastAsia" w:cs="宋体"/>
          <w:color w:val="auto"/>
          <w:highlight w:val="none"/>
          <w:lang w:eastAsia="zh-CN"/>
        </w:rPr>
        <w:t>身份证、</w:t>
      </w:r>
      <w:r>
        <w:rPr>
          <w:rFonts w:hint="eastAsia" w:cs="宋体"/>
          <w:color w:val="auto"/>
          <w:highlight w:val="none"/>
        </w:rPr>
        <w:t>注册建造师资质证书及其安全生产考核合格证复印件加盖单位公章；（必须提供）</w:t>
      </w:r>
      <w:bookmarkEnd w:id="1122"/>
    </w:p>
    <w:p w14:paraId="1F9521D9">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（注册单位为磋商供应商）</w:t>
      </w:r>
    </w:p>
    <w:p w14:paraId="4114E464">
      <w:pPr>
        <w:rPr>
          <w:rFonts w:ascii="宋体" w:hAnsi="宋体" w:cs="宋体"/>
          <w:color w:val="auto"/>
          <w:highlight w:val="none"/>
        </w:rPr>
      </w:pPr>
    </w:p>
    <w:bookmarkEnd w:id="1121"/>
    <w:p w14:paraId="5C6BE717">
      <w:pPr>
        <w:pStyle w:val="26"/>
        <w:rPr>
          <w:rFonts w:hAnsi="宋体" w:cs="宋体"/>
          <w:color w:val="auto"/>
          <w:highlight w:val="none"/>
        </w:rPr>
      </w:pPr>
    </w:p>
    <w:p w14:paraId="3F05641D">
      <w:pPr>
        <w:rPr>
          <w:rFonts w:ascii="宋体" w:hAnsi="宋体" w:cs="宋体"/>
          <w:color w:val="auto"/>
          <w:highlight w:val="none"/>
        </w:rPr>
      </w:pPr>
    </w:p>
    <w:p w14:paraId="601FC5CB">
      <w:pPr>
        <w:pStyle w:val="5"/>
        <w:spacing w:line="440" w:lineRule="exact"/>
        <w:ind w:firstLine="643" w:firstLineChars="200"/>
        <w:rPr>
          <w:rFonts w:cs="宋体"/>
          <w:color w:val="auto"/>
          <w:highlight w:val="none"/>
        </w:rPr>
      </w:pPr>
      <w:bookmarkStart w:id="1123" w:name="_Toc47088398"/>
      <w:bookmarkStart w:id="1124" w:name="_Toc75182800"/>
      <w:bookmarkStart w:id="1125" w:name="_Toc31473"/>
      <w:bookmarkStart w:id="1126" w:name="_Toc336079863"/>
      <w:r>
        <w:rPr>
          <w:rFonts w:hint="eastAsia" w:cs="宋体"/>
          <w:color w:val="auto"/>
          <w:highlight w:val="none"/>
          <w:lang w:val="en-US" w:eastAsia="zh-CN"/>
        </w:rPr>
        <w:t>5</w:t>
      </w:r>
      <w:r>
        <w:rPr>
          <w:rFonts w:cs="宋体"/>
          <w:color w:val="auto"/>
          <w:highlight w:val="none"/>
        </w:rPr>
        <w:t>、农民工工资保障金的交纳与使用承诺书（格式）</w:t>
      </w:r>
      <w:bookmarkEnd w:id="1123"/>
      <w:bookmarkEnd w:id="1124"/>
      <w:bookmarkEnd w:id="1125"/>
    </w:p>
    <w:p w14:paraId="7887B63F">
      <w:pPr>
        <w:spacing w:line="480" w:lineRule="auto"/>
        <w:rPr>
          <w:rFonts w:ascii="宋体" w:hAnsi="宋体" w:cs="宋体"/>
          <w:color w:val="auto"/>
          <w:sz w:val="24"/>
          <w:szCs w:val="24"/>
          <w:highlight w:val="none"/>
        </w:rPr>
      </w:pPr>
    </w:p>
    <w:p w14:paraId="767C9A3C">
      <w:pPr>
        <w:spacing w:line="480" w:lineRule="auto"/>
        <w:rPr>
          <w:rFonts w:ascii="宋体" w:hAnsi="宋体" w:cs="宋体"/>
          <w:color w:val="auto"/>
          <w:szCs w:val="21"/>
          <w:highlight w:val="none"/>
          <w:u w:val="singl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（采购人名称）    </w:t>
      </w:r>
    </w:p>
    <w:p w14:paraId="4F2397AD">
      <w:pPr>
        <w:spacing w:line="480" w:lineRule="auto"/>
        <w:ind w:firstLine="480"/>
        <w:rPr>
          <w:rFonts w:ascii="宋体" w:hAnsi="宋体" w:cs="宋体"/>
          <w:color w:val="auto"/>
          <w:szCs w:val="21"/>
          <w:highlight w:val="none"/>
        </w:rPr>
      </w:pPr>
      <w:r>
        <w:rPr>
          <w:rFonts w:hint="eastAsia" w:ascii="宋体" w:hAnsi="宋体" w:cs="宋体"/>
          <w:color w:val="auto"/>
          <w:szCs w:val="21"/>
          <w:highlight w:val="none"/>
        </w:rPr>
        <w:t>根据按劳动保障、住房城乡建设行政主管部门按照《关于进一步完善建筑行业农民工工资保证金制度的通知》（桂劳社发〔2009〕50号），我方在此向采购人承诺：</w:t>
      </w:r>
    </w:p>
    <w:p w14:paraId="5AF3CFCA">
      <w:pPr>
        <w:spacing w:line="480" w:lineRule="auto"/>
        <w:ind w:firstLine="480"/>
        <w:rPr>
          <w:rFonts w:ascii="宋体" w:hAnsi="宋体" w:cs="宋体"/>
          <w:bCs/>
          <w:color w:val="auto"/>
          <w:kern w:val="0"/>
          <w:szCs w:val="21"/>
          <w:highlight w:val="none"/>
        </w:rPr>
      </w:pPr>
      <w:r>
        <w:rPr>
          <w:rFonts w:hint="eastAsia" w:ascii="宋体" w:hAnsi="宋体" w:cs="宋体"/>
          <w:color w:val="auto"/>
          <w:szCs w:val="21"/>
          <w:highlight w:val="none"/>
        </w:rPr>
        <w:t xml:space="preserve">1．我方参与磋商的 </w:t>
      </w:r>
      <w:r>
        <w:rPr>
          <w:rFonts w:hint="eastAsia" w:ascii="宋体" w:hAnsi="宋体" w:cs="宋体"/>
          <w:b/>
          <w:color w:val="auto"/>
          <w:kern w:val="0"/>
          <w:szCs w:val="21"/>
          <w:highlight w:val="none"/>
          <w:u w:val="single"/>
        </w:rPr>
        <w:t xml:space="preserve">(工程名称)     </w:t>
      </w:r>
      <w:r>
        <w:rPr>
          <w:rFonts w:hint="eastAsia" w:ascii="宋体" w:hAnsi="宋体" w:cs="宋体"/>
          <w:color w:val="auto"/>
          <w:szCs w:val="21"/>
          <w:highlight w:val="none"/>
        </w:rPr>
        <w:t>项目，一旦成交，我方保证在收到成交通知书后7个工作日内，</w:t>
      </w:r>
      <w:r>
        <w:rPr>
          <w:rFonts w:hint="eastAsia" w:ascii="宋体" w:hAnsi="宋体" w:cs="宋体"/>
          <w:bCs/>
          <w:color w:val="auto"/>
          <w:kern w:val="0"/>
          <w:szCs w:val="21"/>
          <w:highlight w:val="none"/>
        </w:rPr>
        <w:t>足额将农民工工资保障金转入当地建设行政管理部门指定的账户，作为本项目农民工工资保障金。</w:t>
      </w:r>
    </w:p>
    <w:p w14:paraId="151F857D">
      <w:pPr>
        <w:spacing w:line="480" w:lineRule="auto"/>
        <w:ind w:firstLine="480"/>
        <w:rPr>
          <w:rFonts w:ascii="宋体" w:hAnsi="宋体" w:cs="宋体"/>
          <w:color w:val="auto"/>
          <w:szCs w:val="21"/>
          <w:highlight w:val="none"/>
        </w:rPr>
      </w:pPr>
      <w:r>
        <w:rPr>
          <w:rFonts w:hint="eastAsia" w:ascii="宋体" w:hAnsi="宋体" w:cs="宋体"/>
          <w:color w:val="auto"/>
          <w:szCs w:val="21"/>
          <w:highlight w:val="none"/>
        </w:rPr>
        <w:t>2．如我方在承包的</w:t>
      </w:r>
      <w:r>
        <w:rPr>
          <w:rFonts w:hint="eastAsia" w:ascii="宋体" w:hAnsi="宋体" w:cs="宋体"/>
          <w:b/>
          <w:color w:val="auto"/>
          <w:kern w:val="0"/>
          <w:szCs w:val="21"/>
          <w:highlight w:val="none"/>
          <w:u w:val="single"/>
        </w:rPr>
        <w:t xml:space="preserve">(工程名称)      </w:t>
      </w:r>
      <w:r>
        <w:rPr>
          <w:rFonts w:hint="eastAsia" w:ascii="宋体" w:hAnsi="宋体" w:cs="宋体"/>
          <w:color w:val="auto"/>
          <w:szCs w:val="21"/>
          <w:highlight w:val="none"/>
        </w:rPr>
        <w:t>项目中出现拖欠农民工和工人工资情况的，</w:t>
      </w:r>
      <w:r>
        <w:rPr>
          <w:rFonts w:hint="eastAsia" w:ascii="宋体" w:hAnsi="宋体" w:cs="宋体"/>
          <w:bCs/>
          <w:color w:val="auto"/>
          <w:kern w:val="0"/>
          <w:szCs w:val="21"/>
          <w:highlight w:val="none"/>
        </w:rPr>
        <w:t>当地建设行政管理部门</w:t>
      </w:r>
      <w:r>
        <w:rPr>
          <w:rFonts w:hint="eastAsia" w:ascii="宋体" w:hAnsi="宋体" w:cs="宋体"/>
          <w:color w:val="auto"/>
          <w:szCs w:val="21"/>
          <w:highlight w:val="none"/>
        </w:rPr>
        <w:t>从其农民工工资保障金中先予划支。</w:t>
      </w:r>
    </w:p>
    <w:p w14:paraId="47711FC1">
      <w:pPr>
        <w:spacing w:line="480" w:lineRule="auto"/>
        <w:ind w:firstLine="480"/>
        <w:rPr>
          <w:rFonts w:ascii="宋体" w:hAnsi="宋体" w:cs="宋体"/>
          <w:color w:val="auto"/>
          <w:szCs w:val="21"/>
          <w:highlight w:val="none"/>
        </w:rPr>
      </w:pPr>
      <w:r>
        <w:rPr>
          <w:rFonts w:hint="eastAsia" w:ascii="宋体" w:hAnsi="宋体" w:cs="宋体"/>
          <w:color w:val="auto"/>
          <w:szCs w:val="21"/>
          <w:highlight w:val="none"/>
        </w:rPr>
        <w:t>3．如我方在成交后不按时、足额存入农民工工资保障金的，将被取消成交资格。</w:t>
      </w:r>
    </w:p>
    <w:p w14:paraId="1D10792F">
      <w:pPr>
        <w:spacing w:line="480" w:lineRule="auto"/>
        <w:ind w:firstLine="480"/>
        <w:rPr>
          <w:rFonts w:ascii="宋体" w:hAnsi="宋体" w:cs="宋体"/>
          <w:color w:val="auto"/>
          <w:szCs w:val="21"/>
          <w:highlight w:val="none"/>
        </w:rPr>
      </w:pPr>
    </w:p>
    <w:p w14:paraId="6B456D83">
      <w:pPr>
        <w:spacing w:line="480" w:lineRule="auto"/>
        <w:ind w:firstLine="480"/>
        <w:rPr>
          <w:rFonts w:ascii="宋体" w:hAnsi="宋体" w:cs="宋体"/>
          <w:color w:val="auto"/>
          <w:szCs w:val="21"/>
          <w:highlight w:val="none"/>
        </w:rPr>
      </w:pPr>
      <w:r>
        <w:rPr>
          <w:rFonts w:hint="eastAsia" w:ascii="宋体" w:hAnsi="宋体" w:cs="宋体"/>
          <w:color w:val="auto"/>
          <w:szCs w:val="21"/>
          <w:highlight w:val="none"/>
        </w:rPr>
        <w:t>磋商供应商：</w:t>
      </w:r>
      <w:r>
        <w:rPr>
          <w:rFonts w:hint="eastAsia" w:ascii="宋体" w:hAnsi="宋体" w:cs="宋体"/>
          <w:color w:val="auto"/>
          <w:szCs w:val="21"/>
          <w:highlight w:val="none"/>
          <w:u w:val="single"/>
        </w:rPr>
        <w:t xml:space="preserve">                                             （盖章）</w:t>
      </w:r>
    </w:p>
    <w:p w14:paraId="0F8475ED">
      <w:pPr>
        <w:spacing w:line="480" w:lineRule="auto"/>
        <w:ind w:firstLine="480"/>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w:t>
      </w:r>
    </w:p>
    <w:p w14:paraId="7C3FBE09">
      <w:pPr>
        <w:ind w:firstLine="420" w:firstLineChars="200"/>
        <w:rPr>
          <w:rFonts w:ascii="宋体" w:hAnsi="宋体" w:cs="宋体"/>
          <w:color w:val="auto"/>
          <w:sz w:val="24"/>
          <w:szCs w:val="24"/>
          <w:highlight w:val="none"/>
        </w:rPr>
      </w:pPr>
      <w:r>
        <w:rPr>
          <w:rFonts w:hint="eastAsia" w:ascii="宋体" w:hAnsi="宋体" w:cs="宋体"/>
          <w:color w:val="auto"/>
          <w:szCs w:val="21"/>
          <w:highlight w:val="none"/>
        </w:rPr>
        <w:t>日   期：年月日</w:t>
      </w:r>
    </w:p>
    <w:p w14:paraId="3A93CB43">
      <w:pPr>
        <w:pStyle w:val="5"/>
        <w:spacing w:line="440" w:lineRule="exact"/>
        <w:jc w:val="both"/>
        <w:rPr>
          <w:rFonts w:ascii="宋体" w:hAnsi="宋体" w:cs="宋体"/>
          <w:color w:val="auto"/>
          <w:kern w:val="0"/>
          <w:highlight w:val="none"/>
        </w:rPr>
      </w:pPr>
    </w:p>
    <w:p w14:paraId="0F1EB8FC">
      <w:pPr>
        <w:rPr>
          <w:rFonts w:ascii="宋体" w:hAnsi="宋体" w:cs="宋体"/>
          <w:color w:val="auto"/>
          <w:kern w:val="0"/>
          <w:highlight w:val="none"/>
        </w:rPr>
      </w:pPr>
    </w:p>
    <w:p w14:paraId="2B6B82FE">
      <w:pPr>
        <w:pStyle w:val="26"/>
        <w:rPr>
          <w:color w:val="auto"/>
          <w:highlight w:val="none"/>
        </w:rPr>
      </w:pPr>
    </w:p>
    <w:bookmarkEnd w:id="1126"/>
    <w:p w14:paraId="7BB94DA2">
      <w:pPr>
        <w:pStyle w:val="4"/>
        <w:keepNext w:val="0"/>
        <w:keepLines w:val="0"/>
        <w:adjustRightInd w:val="0"/>
        <w:snapToGrid w:val="0"/>
        <w:spacing w:line="480" w:lineRule="exact"/>
        <w:jc w:val="center"/>
        <w:rPr>
          <w:rFonts w:ascii="宋体" w:hAnsi="宋体" w:eastAsia="宋体" w:cs="宋体"/>
          <w:color w:val="auto"/>
          <w:highlight w:val="none"/>
        </w:rPr>
      </w:pPr>
      <w:bookmarkStart w:id="1127" w:name="_Toc482785107"/>
      <w:bookmarkStart w:id="1128" w:name="_Toc47088399"/>
      <w:bookmarkStart w:id="1129" w:name="_Toc9274"/>
      <w:bookmarkStart w:id="1130" w:name="_Toc75182801"/>
      <w:r>
        <w:rPr>
          <w:rFonts w:hint="eastAsia" w:ascii="宋体" w:hAnsi="宋体" w:eastAsia="宋体" w:cs="宋体"/>
          <w:color w:val="auto"/>
          <w:kern w:val="0"/>
          <w:highlight w:val="none"/>
          <w:lang w:val="en-US" w:eastAsia="zh-CN"/>
        </w:rPr>
        <w:t>6</w:t>
      </w:r>
      <w:r>
        <w:rPr>
          <w:rFonts w:hint="eastAsia" w:ascii="宋体" w:hAnsi="宋体" w:eastAsia="宋体" w:cs="宋体"/>
          <w:color w:val="auto"/>
          <w:kern w:val="0"/>
          <w:highlight w:val="none"/>
        </w:rPr>
        <w:t>、</w:t>
      </w:r>
      <w:bookmarkEnd w:id="1127"/>
      <w:r>
        <w:rPr>
          <w:rFonts w:hint="eastAsia" w:ascii="宋体" w:hAnsi="宋体" w:eastAsia="宋体" w:cs="宋体"/>
          <w:color w:val="auto"/>
          <w:kern w:val="0"/>
          <w:highlight w:val="none"/>
        </w:rPr>
        <w:t>建设工程项目管理承诺书</w:t>
      </w:r>
      <w:bookmarkEnd w:id="1128"/>
      <w:bookmarkEnd w:id="1129"/>
      <w:bookmarkEnd w:id="1130"/>
    </w:p>
    <w:p w14:paraId="611EF89C">
      <w:pPr>
        <w:spacing w:line="400" w:lineRule="exact"/>
        <w:rPr>
          <w:rFonts w:ascii="宋体" w:hAnsi="宋体" w:cs="宋体"/>
          <w:b/>
          <w:bCs/>
          <w:color w:val="auto"/>
          <w:szCs w:val="21"/>
          <w:highlight w:val="none"/>
        </w:rPr>
      </w:pPr>
    </w:p>
    <w:p w14:paraId="2AB476A3">
      <w:pPr>
        <w:pStyle w:val="150"/>
        <w:spacing w:line="480" w:lineRule="auto"/>
        <w:jc w:val="left"/>
        <w:rPr>
          <w:rFonts w:ascii="宋体" w:hAnsi="宋体" w:cs="宋体"/>
          <w:color w:val="auto"/>
          <w:szCs w:val="21"/>
          <w:highlight w:val="none"/>
        </w:rPr>
      </w:pPr>
      <w:r>
        <w:rPr>
          <w:rFonts w:hint="eastAsia" w:ascii="宋体" w:hAnsi="宋体" w:cs="宋体"/>
          <w:color w:val="auto"/>
          <w:szCs w:val="21"/>
          <w:highlight w:val="none"/>
        </w:rPr>
        <w:t>致（采购人名称）：</w:t>
      </w:r>
    </w:p>
    <w:p w14:paraId="5B6BE211">
      <w:pPr>
        <w:pStyle w:val="150"/>
        <w:spacing w:line="520" w:lineRule="exact"/>
        <w:ind w:left="-10" w:firstLine="455" w:firstLineChars="217"/>
        <w:jc w:val="left"/>
        <w:rPr>
          <w:rFonts w:ascii="宋体" w:hAnsi="宋体" w:cs="宋体"/>
          <w:color w:val="auto"/>
          <w:szCs w:val="21"/>
          <w:highlight w:val="none"/>
        </w:rPr>
      </w:pPr>
      <w:r>
        <w:rPr>
          <w:rFonts w:hint="eastAsia" w:ascii="宋体" w:hAnsi="宋体" w:cs="宋体"/>
          <w:color w:val="auto"/>
          <w:szCs w:val="21"/>
          <w:highlight w:val="none"/>
        </w:rPr>
        <w:t>作为参与（工程名称）项目的投标方，根据国家、自治区相关文件规定，我方在此向采购人承诺：</w:t>
      </w:r>
    </w:p>
    <w:p w14:paraId="120BF351">
      <w:pPr>
        <w:pStyle w:val="150"/>
        <w:spacing w:line="520" w:lineRule="exact"/>
        <w:ind w:left="-10" w:firstLine="455" w:firstLineChars="217"/>
        <w:jc w:val="left"/>
        <w:rPr>
          <w:rFonts w:ascii="宋体" w:hAnsi="宋体" w:cs="宋体"/>
          <w:color w:val="auto"/>
          <w:szCs w:val="21"/>
          <w:highlight w:val="none"/>
        </w:rPr>
      </w:pPr>
      <w:r>
        <w:rPr>
          <w:rFonts w:hint="eastAsia" w:ascii="宋体" w:hAnsi="宋体" w:cs="宋体"/>
          <w:color w:val="auto"/>
          <w:szCs w:val="21"/>
          <w:highlight w:val="none"/>
        </w:rPr>
        <w:t>1、一旦中标，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10F5B08F">
      <w:pPr>
        <w:pStyle w:val="150"/>
        <w:spacing w:line="520" w:lineRule="exact"/>
        <w:ind w:left="-10" w:firstLine="455" w:firstLineChars="217"/>
        <w:jc w:val="left"/>
        <w:rPr>
          <w:rFonts w:ascii="宋体" w:hAnsi="宋体" w:cs="宋体"/>
          <w:color w:val="auto"/>
          <w:szCs w:val="21"/>
          <w:highlight w:val="none"/>
        </w:rPr>
      </w:pPr>
      <w:r>
        <w:rPr>
          <w:rFonts w:hint="eastAsia" w:ascii="宋体" w:hAnsi="宋体" w:cs="宋体"/>
          <w:color w:val="auto"/>
          <w:szCs w:val="21"/>
          <w:highlight w:val="none"/>
        </w:rPr>
        <w:t>2、一旦中标，我方保证在施工过程中，严格执行《广西壮族自治区</w:t>
      </w:r>
      <w:r>
        <w:rPr>
          <w:rFonts w:hint="eastAsia" w:ascii="宋体" w:hAnsi="宋体" w:cs="宋体"/>
          <w:color w:val="auto"/>
          <w:szCs w:val="21"/>
          <w:highlight w:val="none"/>
          <w:lang w:eastAsia="zh-CN"/>
        </w:rPr>
        <w:t>建筑工程</w:t>
      </w:r>
      <w:r>
        <w:rPr>
          <w:rFonts w:hint="eastAsia" w:ascii="宋体" w:hAnsi="宋体" w:cs="宋体"/>
          <w:color w:val="auto"/>
          <w:szCs w:val="21"/>
          <w:highlight w:val="none"/>
        </w:rPr>
        <w:t>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34AAA34D">
      <w:pPr>
        <w:pStyle w:val="150"/>
        <w:spacing w:line="520" w:lineRule="exact"/>
        <w:ind w:left="-2" w:leftChars="-1" w:firstLine="449" w:firstLineChars="214"/>
        <w:jc w:val="left"/>
        <w:rPr>
          <w:rFonts w:ascii="宋体" w:hAnsi="宋体" w:cs="宋体"/>
          <w:color w:val="auto"/>
          <w:szCs w:val="21"/>
          <w:highlight w:val="none"/>
        </w:rPr>
      </w:pPr>
      <w:r>
        <w:rPr>
          <w:rFonts w:hint="eastAsia" w:ascii="宋体" w:hAnsi="宋体" w:cs="宋体"/>
          <w:color w:val="auto"/>
          <w:szCs w:val="21"/>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68B1EC1F">
      <w:pPr>
        <w:pStyle w:val="150"/>
        <w:spacing w:line="520" w:lineRule="exact"/>
        <w:ind w:left="-10" w:firstLine="455" w:firstLineChars="217"/>
        <w:jc w:val="left"/>
        <w:rPr>
          <w:rFonts w:ascii="宋体" w:hAnsi="宋体" w:cs="宋体"/>
          <w:color w:val="auto"/>
          <w:szCs w:val="21"/>
          <w:highlight w:val="none"/>
        </w:rPr>
      </w:pPr>
      <w:r>
        <w:rPr>
          <w:rFonts w:hint="eastAsia" w:ascii="宋体" w:hAnsi="宋体" w:cs="宋体"/>
          <w:color w:val="auto"/>
          <w:szCs w:val="21"/>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5FA7D39B">
      <w:pPr>
        <w:pStyle w:val="150"/>
        <w:spacing w:line="520" w:lineRule="exact"/>
        <w:ind w:left="-10" w:firstLine="455" w:firstLineChars="217"/>
        <w:jc w:val="left"/>
        <w:rPr>
          <w:rFonts w:ascii="宋体" w:hAnsi="宋体" w:cs="宋体"/>
          <w:color w:val="auto"/>
          <w:szCs w:val="21"/>
          <w:highlight w:val="none"/>
        </w:rPr>
      </w:pPr>
      <w:r>
        <w:rPr>
          <w:rFonts w:hint="eastAsia" w:ascii="宋体" w:hAnsi="宋体" w:cs="宋体"/>
          <w:color w:val="auto"/>
          <w:szCs w:val="21"/>
          <w:highlight w:val="none"/>
        </w:rPr>
        <w:t>5、一旦中标，我方保证严格执行《危险性较大的分部分项工程安全管理办法》（建质〔2009〕87号）的规定，强化对深基坑、高切坡、高大模板、人工挖孔桩、起重吊装、临时活动板房等重大危险源的专项施工方案的编制、论证、审批、实施、检测的风险管理。</w:t>
      </w:r>
    </w:p>
    <w:p w14:paraId="1925A6BA">
      <w:pPr>
        <w:pStyle w:val="150"/>
        <w:spacing w:line="520" w:lineRule="exact"/>
        <w:jc w:val="left"/>
        <w:rPr>
          <w:rFonts w:ascii="宋体" w:hAnsi="宋体" w:cs="宋体"/>
          <w:color w:val="auto"/>
          <w:szCs w:val="21"/>
          <w:highlight w:val="none"/>
        </w:rPr>
      </w:pPr>
    </w:p>
    <w:p w14:paraId="7B1966A2">
      <w:pPr>
        <w:pStyle w:val="150"/>
        <w:spacing w:line="360" w:lineRule="auto"/>
        <w:ind w:firstLine="4410" w:firstLineChars="2100"/>
        <w:jc w:val="left"/>
        <w:rPr>
          <w:rFonts w:ascii="宋体" w:hAnsi="宋体" w:cs="宋体"/>
          <w:color w:val="auto"/>
          <w:szCs w:val="21"/>
          <w:highlight w:val="none"/>
          <w:u w:val="single"/>
        </w:rPr>
      </w:pPr>
      <w:r>
        <w:rPr>
          <w:rFonts w:hint="eastAsia" w:ascii="宋体" w:hAnsi="宋体" w:cs="宋体"/>
          <w:color w:val="auto"/>
          <w:szCs w:val="21"/>
          <w:highlight w:val="none"/>
        </w:rPr>
        <w:t>供应商：</w:t>
      </w:r>
      <w:r>
        <w:rPr>
          <w:rFonts w:hint="eastAsia" w:ascii="宋体" w:hAnsi="宋体" w:cs="宋体"/>
          <w:color w:val="auto"/>
          <w:szCs w:val="21"/>
          <w:highlight w:val="none"/>
          <w:u w:val="single"/>
        </w:rPr>
        <w:t xml:space="preserve">                     （盖单位章）</w:t>
      </w:r>
    </w:p>
    <w:p w14:paraId="781E73D7">
      <w:pPr>
        <w:pStyle w:val="150"/>
        <w:spacing w:line="360" w:lineRule="auto"/>
        <w:ind w:firstLine="3465" w:firstLineChars="1650"/>
        <w:jc w:val="left"/>
        <w:rPr>
          <w:rFonts w:ascii="宋体" w:hAnsi="宋体" w:cs="宋体"/>
          <w:color w:val="auto"/>
          <w:szCs w:val="21"/>
          <w:highlight w:val="none"/>
          <w:u w:val="single"/>
        </w:rPr>
      </w:pPr>
      <w:r>
        <w:rPr>
          <w:rFonts w:hint="eastAsia" w:ascii="宋体" w:hAnsi="宋体" w:cs="宋体"/>
          <w:color w:val="auto"/>
          <w:szCs w:val="21"/>
          <w:highlight w:val="none"/>
        </w:rPr>
        <w:t>法定代表人或授权代理人：</w:t>
      </w:r>
      <w:r>
        <w:rPr>
          <w:rFonts w:hint="eastAsia" w:ascii="宋体" w:hAnsi="宋体" w:cs="宋体"/>
          <w:color w:val="auto"/>
          <w:szCs w:val="21"/>
          <w:highlight w:val="none"/>
          <w:u w:val="single"/>
        </w:rPr>
        <w:t xml:space="preserve">              （签字或盖章）</w:t>
      </w:r>
    </w:p>
    <w:p w14:paraId="764E82E5">
      <w:pPr>
        <w:pStyle w:val="150"/>
        <w:spacing w:line="360" w:lineRule="auto"/>
        <w:ind w:firstLine="4515" w:firstLineChars="2150"/>
        <w:jc w:val="center"/>
        <w:rPr>
          <w:rFonts w:ascii="宋体" w:hAnsi="宋体" w:cs="宋体"/>
          <w:color w:val="auto"/>
          <w:szCs w:val="21"/>
          <w:highlight w:val="none"/>
        </w:rPr>
      </w:pPr>
      <w:r>
        <w:rPr>
          <w:rFonts w:hint="eastAsia" w:ascii="宋体" w:hAnsi="宋体" w:cs="宋体"/>
          <w:color w:val="auto"/>
          <w:szCs w:val="21"/>
          <w:highlight w:val="none"/>
        </w:rPr>
        <w:t>日期：年月日</w:t>
      </w:r>
      <w:r>
        <w:rPr>
          <w:rFonts w:hint="eastAsia" w:ascii="宋体" w:hAnsi="宋体" w:cs="宋体"/>
          <w:color w:val="auto"/>
          <w:szCs w:val="21"/>
          <w:highlight w:val="none"/>
        </w:rPr>
        <w:br w:type="page"/>
      </w:r>
      <w:r>
        <w:rPr>
          <w:rFonts w:hint="eastAsia" w:ascii="宋体" w:hAnsi="宋体" w:cs="宋体"/>
          <w:b/>
          <w:bCs/>
          <w:color w:val="auto"/>
          <w:sz w:val="28"/>
          <w:szCs w:val="28"/>
          <w:highlight w:val="none"/>
        </w:rPr>
        <w:t>广西壮族自治区</w:t>
      </w:r>
      <w:r>
        <w:rPr>
          <w:rFonts w:hint="eastAsia" w:ascii="宋体" w:hAnsi="宋体" w:cs="宋体"/>
          <w:b/>
          <w:bCs/>
          <w:color w:val="auto"/>
          <w:sz w:val="28"/>
          <w:szCs w:val="28"/>
          <w:highlight w:val="none"/>
          <w:lang w:eastAsia="zh-CN"/>
        </w:rPr>
        <w:t>建筑工程</w:t>
      </w:r>
      <w:r>
        <w:rPr>
          <w:rFonts w:hint="eastAsia" w:ascii="宋体" w:hAnsi="宋体" w:cs="宋体"/>
          <w:b/>
          <w:bCs/>
          <w:color w:val="auto"/>
          <w:sz w:val="28"/>
          <w:szCs w:val="28"/>
          <w:highlight w:val="none"/>
        </w:rPr>
        <w:t>安全文明施工措施项目清单内容</w:t>
      </w:r>
    </w:p>
    <w:p w14:paraId="700F6987">
      <w:pPr>
        <w:pStyle w:val="150"/>
        <w:spacing w:line="360" w:lineRule="auto"/>
        <w:ind w:firstLine="600" w:firstLineChars="250"/>
        <w:jc w:val="center"/>
        <w:rPr>
          <w:rFonts w:ascii="宋体" w:hAnsi="宋体" w:cs="宋体"/>
          <w:color w:val="auto"/>
          <w:sz w:val="24"/>
          <w:szCs w:val="24"/>
          <w:highlight w:val="none"/>
        </w:rPr>
      </w:pPr>
      <w:r>
        <w:rPr>
          <w:rFonts w:hint="eastAsia" w:ascii="宋体" w:hAnsi="宋体" w:cs="宋体"/>
          <w:color w:val="auto"/>
          <w:sz w:val="24"/>
          <w:szCs w:val="24"/>
          <w:highlight w:val="none"/>
        </w:rPr>
        <w:t>（桂建质〔2015〕16号文附件一）</w:t>
      </w:r>
    </w:p>
    <w:p w14:paraId="221F4F98">
      <w:pPr>
        <w:pStyle w:val="150"/>
        <w:spacing w:line="240" w:lineRule="atLeas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广西壮族自治区</w:t>
      </w:r>
    </w:p>
    <w:p w14:paraId="1B83F1F6">
      <w:pPr>
        <w:pStyle w:val="150"/>
        <w:spacing w:line="240" w:lineRule="atLeast"/>
        <w:ind w:firstLine="546"/>
        <w:jc w:val="center"/>
        <w:rPr>
          <w:rFonts w:ascii="宋体" w:hAnsi="宋体" w:cs="宋体"/>
          <w:b/>
          <w:bCs/>
          <w:color w:val="auto"/>
          <w:w w:val="90"/>
          <w:sz w:val="24"/>
          <w:szCs w:val="24"/>
          <w:highlight w:val="none"/>
        </w:rPr>
      </w:pPr>
      <w:r>
        <w:rPr>
          <w:rFonts w:hint="eastAsia" w:ascii="宋体" w:hAnsi="宋体" w:cs="宋体"/>
          <w:b/>
          <w:bCs/>
          <w:color w:val="auto"/>
          <w:w w:val="90"/>
          <w:sz w:val="24"/>
          <w:szCs w:val="24"/>
          <w:highlight w:val="none"/>
        </w:rPr>
        <w:t>建设工程安全文明施工措施项目清单内容</w:t>
      </w:r>
    </w:p>
    <w:p w14:paraId="03358A83">
      <w:pPr>
        <w:pStyle w:val="150"/>
        <w:spacing w:line="240" w:lineRule="atLeast"/>
        <w:ind w:firstLine="546"/>
        <w:jc w:val="center"/>
        <w:rPr>
          <w:rFonts w:ascii="宋体" w:hAnsi="宋体" w:cs="宋体"/>
          <w:b/>
          <w:bCs/>
          <w:color w:val="auto"/>
          <w:w w:val="90"/>
          <w:sz w:val="24"/>
          <w:szCs w:val="24"/>
          <w:highlight w:val="none"/>
        </w:rPr>
      </w:pPr>
    </w:p>
    <w:tbl>
      <w:tblPr>
        <w:tblStyle w:val="41"/>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396"/>
      </w:tblGrid>
      <w:tr w14:paraId="3D5730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tcBorders>
              <w:top w:val="single" w:color="auto" w:sz="12" w:space="0"/>
            </w:tcBorders>
            <w:noWrap/>
            <w:vAlign w:val="center"/>
          </w:tcPr>
          <w:p w14:paraId="090E5A06">
            <w:pPr>
              <w:pStyle w:val="150"/>
              <w:spacing w:line="300" w:lineRule="exact"/>
              <w:jc w:val="center"/>
              <w:rPr>
                <w:rFonts w:ascii="宋体" w:hAnsi="宋体" w:cs="宋体"/>
                <w:b/>
                <w:bCs/>
                <w:color w:val="auto"/>
                <w:szCs w:val="21"/>
                <w:highlight w:val="none"/>
              </w:rPr>
            </w:pPr>
            <w:r>
              <w:rPr>
                <w:rFonts w:hint="eastAsia" w:ascii="宋体" w:hAnsi="宋体" w:cs="宋体"/>
                <w:b/>
                <w:bCs/>
                <w:color w:val="auto"/>
                <w:szCs w:val="21"/>
                <w:highlight w:val="none"/>
              </w:rPr>
              <w:t>类别</w:t>
            </w:r>
          </w:p>
        </w:tc>
        <w:tc>
          <w:tcPr>
            <w:tcW w:w="2070" w:type="dxa"/>
            <w:gridSpan w:val="2"/>
            <w:tcBorders>
              <w:top w:val="single" w:color="auto" w:sz="12" w:space="0"/>
            </w:tcBorders>
            <w:noWrap/>
            <w:vAlign w:val="center"/>
          </w:tcPr>
          <w:p w14:paraId="0ACC754A">
            <w:pPr>
              <w:pStyle w:val="150"/>
              <w:spacing w:line="300" w:lineRule="exact"/>
              <w:jc w:val="center"/>
              <w:rPr>
                <w:rFonts w:ascii="宋体" w:hAnsi="宋体" w:cs="宋体"/>
                <w:b/>
                <w:bCs/>
                <w:color w:val="auto"/>
                <w:szCs w:val="21"/>
                <w:highlight w:val="none"/>
              </w:rPr>
            </w:pPr>
            <w:r>
              <w:rPr>
                <w:rFonts w:hint="eastAsia" w:ascii="宋体" w:hAnsi="宋体" w:cs="宋体"/>
                <w:b/>
                <w:bCs/>
                <w:color w:val="auto"/>
                <w:szCs w:val="21"/>
                <w:highlight w:val="none"/>
              </w:rPr>
              <w:t>项目名称</w:t>
            </w:r>
          </w:p>
        </w:tc>
        <w:tc>
          <w:tcPr>
            <w:tcW w:w="6396" w:type="dxa"/>
            <w:tcBorders>
              <w:top w:val="single" w:color="auto" w:sz="12" w:space="0"/>
            </w:tcBorders>
            <w:noWrap/>
            <w:vAlign w:val="center"/>
          </w:tcPr>
          <w:p w14:paraId="5F0E7D6D">
            <w:pPr>
              <w:pStyle w:val="150"/>
              <w:spacing w:line="3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主要内容和要求</w:t>
            </w:r>
          </w:p>
        </w:tc>
      </w:tr>
      <w:tr w14:paraId="72D076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ign w:val="center"/>
          </w:tcPr>
          <w:p w14:paraId="38874AB5">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文明</w:t>
            </w:r>
          </w:p>
          <w:p w14:paraId="5DC4BBD7">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施工</w:t>
            </w:r>
          </w:p>
          <w:p w14:paraId="11819786">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与</w:t>
            </w:r>
          </w:p>
          <w:p w14:paraId="30DF2F46">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环境</w:t>
            </w:r>
          </w:p>
          <w:p w14:paraId="14E990B3">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保护</w:t>
            </w:r>
          </w:p>
        </w:tc>
        <w:tc>
          <w:tcPr>
            <w:tcW w:w="2070" w:type="dxa"/>
            <w:gridSpan w:val="2"/>
            <w:noWrap/>
            <w:vAlign w:val="center"/>
          </w:tcPr>
          <w:p w14:paraId="09B9457D">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安全警示</w:t>
            </w:r>
          </w:p>
          <w:p w14:paraId="7E4EFEC5">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标志牌</w:t>
            </w:r>
          </w:p>
        </w:tc>
        <w:tc>
          <w:tcPr>
            <w:tcW w:w="6396" w:type="dxa"/>
            <w:noWrap/>
            <w:vAlign w:val="center"/>
          </w:tcPr>
          <w:p w14:paraId="21421ED1">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在易发伤亡事故（或危险）处设置明显的、符合国家标准要求的安全警示标志牌。</w:t>
            </w:r>
          </w:p>
        </w:tc>
      </w:tr>
      <w:tr w14:paraId="4C7381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14:paraId="619F7F39">
            <w:pPr>
              <w:pStyle w:val="150"/>
              <w:spacing w:line="300" w:lineRule="exact"/>
              <w:jc w:val="center"/>
              <w:rPr>
                <w:rFonts w:ascii="宋体" w:hAnsi="宋体" w:cs="宋体"/>
                <w:color w:val="auto"/>
                <w:szCs w:val="21"/>
                <w:highlight w:val="none"/>
              </w:rPr>
            </w:pPr>
          </w:p>
        </w:tc>
        <w:tc>
          <w:tcPr>
            <w:tcW w:w="2070" w:type="dxa"/>
            <w:gridSpan w:val="2"/>
            <w:noWrap/>
            <w:vAlign w:val="center"/>
          </w:tcPr>
          <w:p w14:paraId="0F849F43">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现场围挡</w:t>
            </w:r>
          </w:p>
        </w:tc>
        <w:tc>
          <w:tcPr>
            <w:tcW w:w="6396" w:type="dxa"/>
            <w:noWrap/>
            <w:vAlign w:val="center"/>
          </w:tcPr>
          <w:p w14:paraId="3B64BB47">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1. 现场采用封闭围挡，高度不小于1.8m。</w:t>
            </w:r>
          </w:p>
          <w:p w14:paraId="29254CF7">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2. 围挡材料可用彩色、定型钢板，砌块等墙体。</w:t>
            </w:r>
          </w:p>
        </w:tc>
      </w:tr>
      <w:tr w14:paraId="594312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14:paraId="2B7A3091">
            <w:pPr>
              <w:pStyle w:val="150"/>
              <w:spacing w:line="300" w:lineRule="exact"/>
              <w:jc w:val="center"/>
              <w:rPr>
                <w:rFonts w:ascii="宋体" w:hAnsi="宋体" w:cs="宋体"/>
                <w:color w:val="auto"/>
                <w:szCs w:val="21"/>
                <w:highlight w:val="none"/>
              </w:rPr>
            </w:pPr>
          </w:p>
        </w:tc>
        <w:tc>
          <w:tcPr>
            <w:tcW w:w="2070" w:type="dxa"/>
            <w:gridSpan w:val="2"/>
            <w:noWrap/>
            <w:vAlign w:val="center"/>
          </w:tcPr>
          <w:p w14:paraId="53DEB857">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七牌二图</w:t>
            </w:r>
          </w:p>
        </w:tc>
        <w:tc>
          <w:tcPr>
            <w:tcW w:w="6396" w:type="dxa"/>
            <w:noWrap/>
            <w:vAlign w:val="center"/>
          </w:tcPr>
          <w:p w14:paraId="5CB1AE01">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在进门处悬挂工程概况、现场出入制度、管理人员名单及监督电话、安全生产规定、文明施工、消防保卫、节能公示等七牌以及施工现场总平面图、工程效果图。</w:t>
            </w:r>
          </w:p>
        </w:tc>
      </w:tr>
      <w:tr w14:paraId="6A77B4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noWrap/>
            <w:vAlign w:val="center"/>
          </w:tcPr>
          <w:p w14:paraId="0EEBB667">
            <w:pPr>
              <w:pStyle w:val="150"/>
              <w:spacing w:line="300" w:lineRule="exact"/>
              <w:jc w:val="center"/>
              <w:rPr>
                <w:rFonts w:ascii="宋体" w:hAnsi="宋体" w:cs="宋体"/>
                <w:color w:val="auto"/>
                <w:szCs w:val="21"/>
                <w:highlight w:val="none"/>
              </w:rPr>
            </w:pPr>
          </w:p>
        </w:tc>
        <w:tc>
          <w:tcPr>
            <w:tcW w:w="2070" w:type="dxa"/>
            <w:gridSpan w:val="2"/>
            <w:noWrap/>
            <w:vAlign w:val="center"/>
          </w:tcPr>
          <w:p w14:paraId="08AFB994">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企业标志</w:t>
            </w:r>
          </w:p>
        </w:tc>
        <w:tc>
          <w:tcPr>
            <w:tcW w:w="6396" w:type="dxa"/>
            <w:noWrap/>
            <w:vAlign w:val="center"/>
          </w:tcPr>
          <w:p w14:paraId="28A23482">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现场出入的大门应设有本企业标志或企业标识。</w:t>
            </w:r>
          </w:p>
        </w:tc>
      </w:tr>
      <w:tr w14:paraId="26E56C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14:paraId="247CE9E0">
            <w:pPr>
              <w:pStyle w:val="150"/>
              <w:spacing w:line="300" w:lineRule="exact"/>
              <w:jc w:val="center"/>
              <w:rPr>
                <w:rFonts w:ascii="宋体" w:hAnsi="宋体" w:cs="宋体"/>
                <w:color w:val="auto"/>
                <w:szCs w:val="21"/>
                <w:highlight w:val="none"/>
              </w:rPr>
            </w:pPr>
          </w:p>
        </w:tc>
        <w:tc>
          <w:tcPr>
            <w:tcW w:w="2070" w:type="dxa"/>
            <w:gridSpan w:val="2"/>
            <w:noWrap/>
            <w:vAlign w:val="center"/>
          </w:tcPr>
          <w:p w14:paraId="46FD181C">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场容场貌</w:t>
            </w:r>
          </w:p>
        </w:tc>
        <w:tc>
          <w:tcPr>
            <w:tcW w:w="6396" w:type="dxa"/>
            <w:noWrap/>
            <w:vAlign w:val="center"/>
          </w:tcPr>
          <w:p w14:paraId="0049D682">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1. 道路畅通。</w:t>
            </w:r>
          </w:p>
          <w:p w14:paraId="6A19BD50">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2. 排水设施齐全畅通。</w:t>
            </w:r>
          </w:p>
          <w:p w14:paraId="42F1182A">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3. 工地地面硬化处理（办公区、生活区、现场道路、材料堆放、混凝土搅拌、砂浆搅拌、钢筋加工等场地和外脚手架基础等）。</w:t>
            </w:r>
          </w:p>
        </w:tc>
      </w:tr>
      <w:tr w14:paraId="75E205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14:paraId="51AEE5B6">
            <w:pPr>
              <w:pStyle w:val="150"/>
              <w:spacing w:line="300" w:lineRule="exact"/>
              <w:jc w:val="center"/>
              <w:rPr>
                <w:rFonts w:ascii="宋体" w:hAnsi="宋体" w:cs="宋体"/>
                <w:color w:val="auto"/>
                <w:szCs w:val="21"/>
                <w:highlight w:val="none"/>
              </w:rPr>
            </w:pPr>
          </w:p>
        </w:tc>
        <w:tc>
          <w:tcPr>
            <w:tcW w:w="2070" w:type="dxa"/>
            <w:gridSpan w:val="2"/>
            <w:noWrap/>
            <w:vAlign w:val="center"/>
          </w:tcPr>
          <w:p w14:paraId="7B7A8583">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材料堆放</w:t>
            </w:r>
          </w:p>
        </w:tc>
        <w:tc>
          <w:tcPr>
            <w:tcW w:w="6396" w:type="dxa"/>
            <w:noWrap/>
            <w:vAlign w:val="center"/>
          </w:tcPr>
          <w:p w14:paraId="2C9E282E">
            <w:pPr>
              <w:pStyle w:val="150"/>
              <w:numPr>
                <w:ilvl w:val="0"/>
                <w:numId w:val="3"/>
              </w:numPr>
              <w:spacing w:line="300" w:lineRule="exact"/>
              <w:rPr>
                <w:rFonts w:ascii="宋体" w:hAnsi="宋体" w:cs="宋体"/>
                <w:color w:val="auto"/>
                <w:szCs w:val="21"/>
                <w:highlight w:val="none"/>
              </w:rPr>
            </w:pPr>
            <w:r>
              <w:rPr>
                <w:rFonts w:hint="eastAsia" w:ascii="宋体" w:hAnsi="宋体" w:cs="宋体"/>
                <w:color w:val="auto"/>
                <w:szCs w:val="21"/>
                <w:highlight w:val="none"/>
              </w:rPr>
              <w:t>材料、构件、料具等堆放时，应有名称、品种、规格等标牌。</w:t>
            </w:r>
          </w:p>
          <w:p w14:paraId="76CA56E2">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2. 水泥和其它易飞扬细颗粒建筑材料应封闭存放或采取覆盖等措施。</w:t>
            </w:r>
          </w:p>
          <w:p w14:paraId="1FF3A1DC">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3. 易燃、易爆和有毒有害物品分类存放。</w:t>
            </w:r>
          </w:p>
        </w:tc>
      </w:tr>
      <w:tr w14:paraId="79E97B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ign w:val="center"/>
          </w:tcPr>
          <w:p w14:paraId="0C6D8AB4">
            <w:pPr>
              <w:pStyle w:val="150"/>
              <w:spacing w:line="300" w:lineRule="exact"/>
              <w:jc w:val="center"/>
              <w:rPr>
                <w:rFonts w:ascii="宋体" w:hAnsi="宋体" w:cs="宋体"/>
                <w:color w:val="auto"/>
                <w:szCs w:val="21"/>
                <w:highlight w:val="none"/>
              </w:rPr>
            </w:pPr>
          </w:p>
        </w:tc>
        <w:tc>
          <w:tcPr>
            <w:tcW w:w="2070" w:type="dxa"/>
            <w:gridSpan w:val="2"/>
            <w:noWrap/>
            <w:vAlign w:val="center"/>
          </w:tcPr>
          <w:p w14:paraId="51924FFE">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现场防火</w:t>
            </w:r>
          </w:p>
        </w:tc>
        <w:tc>
          <w:tcPr>
            <w:tcW w:w="6396" w:type="dxa"/>
            <w:noWrap/>
            <w:vAlign w:val="center"/>
          </w:tcPr>
          <w:p w14:paraId="37F84D07">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消防器材配置合理，符合消防要求。</w:t>
            </w:r>
          </w:p>
        </w:tc>
      </w:tr>
      <w:tr w14:paraId="400E08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14:paraId="7718CFBD">
            <w:pPr>
              <w:pStyle w:val="150"/>
              <w:spacing w:line="300" w:lineRule="exact"/>
              <w:jc w:val="center"/>
              <w:rPr>
                <w:rFonts w:ascii="宋体" w:hAnsi="宋体" w:cs="宋体"/>
                <w:color w:val="auto"/>
                <w:szCs w:val="21"/>
                <w:highlight w:val="none"/>
              </w:rPr>
            </w:pPr>
          </w:p>
        </w:tc>
        <w:tc>
          <w:tcPr>
            <w:tcW w:w="2070" w:type="dxa"/>
            <w:gridSpan w:val="2"/>
            <w:noWrap/>
            <w:vAlign w:val="center"/>
          </w:tcPr>
          <w:p w14:paraId="56AAF3B1">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垃圾清运</w:t>
            </w:r>
          </w:p>
        </w:tc>
        <w:tc>
          <w:tcPr>
            <w:tcW w:w="6396" w:type="dxa"/>
            <w:noWrap/>
            <w:vAlign w:val="center"/>
          </w:tcPr>
          <w:p w14:paraId="52C9A725">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1. 施工现场应设置密闭式垃圾站，施工垃圾、生活垃圾应分类存放。</w:t>
            </w:r>
          </w:p>
          <w:p w14:paraId="5E1A8C8E">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2. 施工垃圾必须采用相应容器或管道运输。</w:t>
            </w:r>
          </w:p>
        </w:tc>
      </w:tr>
      <w:tr w14:paraId="710384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14:paraId="17100CAC">
            <w:pPr>
              <w:pStyle w:val="150"/>
              <w:spacing w:line="300" w:lineRule="exact"/>
              <w:jc w:val="center"/>
              <w:rPr>
                <w:rFonts w:ascii="宋体" w:hAnsi="宋体" w:cs="宋体"/>
                <w:color w:val="auto"/>
                <w:szCs w:val="21"/>
                <w:highlight w:val="none"/>
              </w:rPr>
            </w:pPr>
          </w:p>
        </w:tc>
        <w:tc>
          <w:tcPr>
            <w:tcW w:w="2070" w:type="dxa"/>
            <w:gridSpan w:val="2"/>
            <w:noWrap/>
            <w:vAlign w:val="center"/>
          </w:tcPr>
          <w:p w14:paraId="0076B173">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宣传栏、环保及不扰民措施</w:t>
            </w:r>
          </w:p>
        </w:tc>
        <w:tc>
          <w:tcPr>
            <w:tcW w:w="6396" w:type="dxa"/>
            <w:noWrap/>
            <w:vAlign w:val="center"/>
          </w:tcPr>
          <w:p w14:paraId="5014D591">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宣传栏、安全宣传标语等，洗车（防止污染市区道路）、粉尘、噪声控制和排污（污水、废气）措施等。</w:t>
            </w:r>
          </w:p>
        </w:tc>
      </w:tr>
      <w:tr w14:paraId="7E97B1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ign w:val="center"/>
          </w:tcPr>
          <w:p w14:paraId="535EC8EA">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临时设施</w:t>
            </w:r>
          </w:p>
        </w:tc>
        <w:tc>
          <w:tcPr>
            <w:tcW w:w="2070" w:type="dxa"/>
            <w:gridSpan w:val="2"/>
            <w:noWrap/>
            <w:vAlign w:val="center"/>
          </w:tcPr>
          <w:p w14:paraId="6E885B29">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现场办公</w:t>
            </w:r>
          </w:p>
          <w:p w14:paraId="760A68A0">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生活设施</w:t>
            </w:r>
          </w:p>
        </w:tc>
        <w:tc>
          <w:tcPr>
            <w:tcW w:w="6396" w:type="dxa"/>
            <w:noWrap/>
            <w:vAlign w:val="center"/>
          </w:tcPr>
          <w:p w14:paraId="2CE4A538">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1. 施工现场办公、生活区与作业区分开设置，保持安全距离。</w:t>
            </w:r>
          </w:p>
          <w:p w14:paraId="06961710">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2. 工地办公室、现场宿舍、食堂、厕所、饮水、沐浴、休息场所等符合卫生、消防安全要求。</w:t>
            </w:r>
          </w:p>
        </w:tc>
      </w:tr>
      <w:tr w14:paraId="4F612A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14:paraId="3271D050">
            <w:pPr>
              <w:pStyle w:val="150"/>
              <w:spacing w:line="300" w:lineRule="exact"/>
              <w:jc w:val="center"/>
              <w:rPr>
                <w:rFonts w:ascii="宋体" w:hAnsi="宋体" w:cs="宋体"/>
                <w:color w:val="auto"/>
                <w:szCs w:val="21"/>
                <w:highlight w:val="none"/>
              </w:rPr>
            </w:pPr>
          </w:p>
        </w:tc>
        <w:tc>
          <w:tcPr>
            <w:tcW w:w="525" w:type="dxa"/>
            <w:vMerge w:val="restart"/>
            <w:noWrap/>
            <w:vAlign w:val="center"/>
          </w:tcPr>
          <w:p w14:paraId="4C403A32">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施工现场</w:t>
            </w:r>
          </w:p>
          <w:p w14:paraId="7B4E2CAA">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临时用电</w:t>
            </w:r>
          </w:p>
        </w:tc>
        <w:tc>
          <w:tcPr>
            <w:tcW w:w="1545" w:type="dxa"/>
            <w:noWrap/>
            <w:vAlign w:val="center"/>
          </w:tcPr>
          <w:p w14:paraId="2DC14498">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配电线路</w:t>
            </w:r>
          </w:p>
        </w:tc>
        <w:tc>
          <w:tcPr>
            <w:tcW w:w="6396" w:type="dxa"/>
            <w:noWrap/>
            <w:vAlign w:val="center"/>
          </w:tcPr>
          <w:p w14:paraId="06927688">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1. 按照TN-S系统要求配备五芯电缆、四芯电缆和三芯电缆。</w:t>
            </w:r>
          </w:p>
          <w:p w14:paraId="0DBE6756">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2. 按要求架设临时用电线路的电杆、横担、瓷夹、瓷瓶等，或电缆埋地的地沟。</w:t>
            </w:r>
          </w:p>
          <w:p w14:paraId="68655E7C">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3. 对靠近施工现场的外电线路，设置木质、塑料等绝缘体的防护设施。</w:t>
            </w:r>
          </w:p>
        </w:tc>
      </w:tr>
      <w:tr w14:paraId="54DDE9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14:paraId="7A5B4FFE">
            <w:pPr>
              <w:pStyle w:val="150"/>
              <w:spacing w:line="300" w:lineRule="exact"/>
              <w:jc w:val="center"/>
              <w:rPr>
                <w:rFonts w:ascii="宋体" w:hAnsi="宋体" w:cs="宋体"/>
                <w:color w:val="auto"/>
                <w:szCs w:val="21"/>
                <w:highlight w:val="none"/>
              </w:rPr>
            </w:pPr>
          </w:p>
        </w:tc>
        <w:tc>
          <w:tcPr>
            <w:tcW w:w="525" w:type="dxa"/>
            <w:vMerge w:val="continue"/>
            <w:noWrap/>
            <w:vAlign w:val="center"/>
          </w:tcPr>
          <w:p w14:paraId="7A40FCE7">
            <w:pPr>
              <w:pStyle w:val="150"/>
              <w:spacing w:line="300" w:lineRule="exact"/>
              <w:jc w:val="center"/>
              <w:rPr>
                <w:rFonts w:ascii="宋体" w:hAnsi="宋体" w:cs="宋体"/>
                <w:color w:val="auto"/>
                <w:szCs w:val="21"/>
                <w:highlight w:val="none"/>
              </w:rPr>
            </w:pPr>
          </w:p>
        </w:tc>
        <w:tc>
          <w:tcPr>
            <w:tcW w:w="1545" w:type="dxa"/>
            <w:noWrap/>
            <w:vAlign w:val="center"/>
          </w:tcPr>
          <w:p w14:paraId="04478050">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配电箱</w:t>
            </w:r>
          </w:p>
          <w:p w14:paraId="7F38B03F">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开关箱</w:t>
            </w:r>
          </w:p>
        </w:tc>
        <w:tc>
          <w:tcPr>
            <w:tcW w:w="6396" w:type="dxa"/>
            <w:noWrap/>
            <w:vAlign w:val="center"/>
          </w:tcPr>
          <w:p w14:paraId="1DC20A1A">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1. 按三级配电要求，配备总配电箱、分配电箱、开关箱三类（铁质）标准电箱，开关箱应符合“一机、一箱、一闸、一漏”，三类电箱中的各类电器应是合格品。</w:t>
            </w:r>
          </w:p>
          <w:p w14:paraId="61849F36">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2. 按两级保护的要求，选取符合容量要求和质量合格的总配电箱和开关箱中的漏电保护器。</w:t>
            </w:r>
          </w:p>
          <w:p w14:paraId="4357B1DC">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3. 对大型、落地式分配电箱、开关箱设置防护棚和通透式围挡。</w:t>
            </w:r>
          </w:p>
        </w:tc>
      </w:tr>
      <w:tr w14:paraId="7C91EA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noWrap/>
            <w:vAlign w:val="center"/>
          </w:tcPr>
          <w:p w14:paraId="6537D3DC">
            <w:pPr>
              <w:pStyle w:val="150"/>
              <w:spacing w:line="300" w:lineRule="exact"/>
              <w:jc w:val="center"/>
              <w:rPr>
                <w:rFonts w:ascii="宋体" w:hAnsi="宋体" w:cs="宋体"/>
                <w:color w:val="auto"/>
                <w:szCs w:val="21"/>
                <w:highlight w:val="none"/>
              </w:rPr>
            </w:pPr>
          </w:p>
        </w:tc>
        <w:tc>
          <w:tcPr>
            <w:tcW w:w="525" w:type="dxa"/>
            <w:vMerge w:val="continue"/>
            <w:noWrap/>
            <w:vAlign w:val="center"/>
          </w:tcPr>
          <w:p w14:paraId="0018552F">
            <w:pPr>
              <w:pStyle w:val="150"/>
              <w:spacing w:line="300" w:lineRule="exact"/>
              <w:jc w:val="center"/>
              <w:rPr>
                <w:rFonts w:ascii="宋体" w:hAnsi="宋体" w:cs="宋体"/>
                <w:color w:val="auto"/>
                <w:szCs w:val="21"/>
                <w:highlight w:val="none"/>
              </w:rPr>
            </w:pPr>
          </w:p>
        </w:tc>
        <w:tc>
          <w:tcPr>
            <w:tcW w:w="1545" w:type="dxa"/>
            <w:noWrap/>
            <w:vAlign w:val="center"/>
          </w:tcPr>
          <w:p w14:paraId="1228A91A">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接地装置</w:t>
            </w:r>
          </w:p>
        </w:tc>
        <w:tc>
          <w:tcPr>
            <w:tcW w:w="6396" w:type="dxa"/>
            <w:noWrap/>
            <w:vAlign w:val="center"/>
          </w:tcPr>
          <w:p w14:paraId="3CED9D8B">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施工现场应设置不少于三处的重复接地装置。</w:t>
            </w:r>
          </w:p>
        </w:tc>
      </w:tr>
      <w:tr w14:paraId="296BD4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noWrap/>
            <w:vAlign w:val="center"/>
          </w:tcPr>
          <w:p w14:paraId="22761B80">
            <w:pPr>
              <w:pStyle w:val="150"/>
              <w:spacing w:line="300" w:lineRule="exact"/>
              <w:jc w:val="center"/>
              <w:rPr>
                <w:rFonts w:ascii="宋体" w:hAnsi="宋体" w:cs="宋体"/>
                <w:color w:val="auto"/>
                <w:szCs w:val="21"/>
                <w:highlight w:val="none"/>
              </w:rPr>
            </w:pPr>
          </w:p>
        </w:tc>
        <w:tc>
          <w:tcPr>
            <w:tcW w:w="525" w:type="dxa"/>
            <w:vMerge w:val="continue"/>
            <w:noWrap/>
            <w:vAlign w:val="center"/>
          </w:tcPr>
          <w:p w14:paraId="26F2556E">
            <w:pPr>
              <w:pStyle w:val="150"/>
              <w:spacing w:line="300" w:lineRule="exact"/>
              <w:jc w:val="center"/>
              <w:rPr>
                <w:rFonts w:ascii="宋体" w:hAnsi="宋体" w:cs="宋体"/>
                <w:color w:val="auto"/>
                <w:szCs w:val="21"/>
                <w:highlight w:val="none"/>
              </w:rPr>
            </w:pPr>
          </w:p>
        </w:tc>
        <w:tc>
          <w:tcPr>
            <w:tcW w:w="1545" w:type="dxa"/>
            <w:noWrap/>
            <w:vAlign w:val="center"/>
          </w:tcPr>
          <w:p w14:paraId="3B6EB494">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现场变配电装置</w:t>
            </w:r>
          </w:p>
        </w:tc>
        <w:tc>
          <w:tcPr>
            <w:tcW w:w="6396" w:type="dxa"/>
            <w:noWrap/>
            <w:vAlign w:val="center"/>
          </w:tcPr>
          <w:p w14:paraId="7ED12BAD">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总配电房建筑材料必须达到消防防火要求，室内做硬地坪、电缆沟。</w:t>
            </w:r>
          </w:p>
        </w:tc>
      </w:tr>
      <w:tr w14:paraId="19BE97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noWrap/>
            <w:vAlign w:val="center"/>
          </w:tcPr>
          <w:p w14:paraId="0EAF9BEE">
            <w:pPr>
              <w:pStyle w:val="150"/>
              <w:spacing w:line="300" w:lineRule="exact"/>
              <w:jc w:val="center"/>
              <w:rPr>
                <w:rFonts w:ascii="宋体" w:hAnsi="宋体" w:cs="宋体"/>
                <w:b/>
                <w:bCs/>
                <w:color w:val="auto"/>
                <w:szCs w:val="21"/>
                <w:highlight w:val="none"/>
              </w:rPr>
            </w:pPr>
            <w:r>
              <w:rPr>
                <w:rFonts w:hint="eastAsia" w:ascii="宋体" w:hAnsi="宋体" w:cs="宋体"/>
                <w:b/>
                <w:bCs/>
                <w:color w:val="auto"/>
                <w:szCs w:val="21"/>
                <w:highlight w:val="none"/>
              </w:rPr>
              <w:t>类别</w:t>
            </w:r>
          </w:p>
        </w:tc>
        <w:tc>
          <w:tcPr>
            <w:tcW w:w="2070" w:type="dxa"/>
            <w:gridSpan w:val="2"/>
            <w:noWrap/>
            <w:vAlign w:val="center"/>
          </w:tcPr>
          <w:p w14:paraId="39F75DE6">
            <w:pPr>
              <w:pStyle w:val="150"/>
              <w:spacing w:line="300" w:lineRule="exact"/>
              <w:jc w:val="center"/>
              <w:rPr>
                <w:rFonts w:ascii="宋体" w:hAnsi="宋体" w:cs="宋体"/>
                <w:b/>
                <w:bCs/>
                <w:color w:val="auto"/>
                <w:szCs w:val="21"/>
                <w:highlight w:val="none"/>
              </w:rPr>
            </w:pPr>
            <w:r>
              <w:rPr>
                <w:rFonts w:hint="eastAsia" w:ascii="宋体" w:hAnsi="宋体" w:cs="宋体"/>
                <w:b/>
                <w:bCs/>
                <w:color w:val="auto"/>
                <w:szCs w:val="21"/>
                <w:highlight w:val="none"/>
              </w:rPr>
              <w:t>项目名称</w:t>
            </w:r>
          </w:p>
        </w:tc>
        <w:tc>
          <w:tcPr>
            <w:tcW w:w="6396" w:type="dxa"/>
            <w:noWrap/>
            <w:vAlign w:val="center"/>
          </w:tcPr>
          <w:p w14:paraId="10651CBB">
            <w:pPr>
              <w:pStyle w:val="150"/>
              <w:spacing w:line="3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主要内容和要求</w:t>
            </w:r>
          </w:p>
        </w:tc>
      </w:tr>
      <w:tr w14:paraId="4445CE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ign w:val="center"/>
          </w:tcPr>
          <w:p w14:paraId="17110398">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安全施工</w:t>
            </w:r>
          </w:p>
        </w:tc>
        <w:tc>
          <w:tcPr>
            <w:tcW w:w="525" w:type="dxa"/>
            <w:vMerge w:val="restart"/>
            <w:noWrap/>
            <w:vAlign w:val="center"/>
          </w:tcPr>
          <w:p w14:paraId="55CF8399">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高处作业防护</w:t>
            </w:r>
          </w:p>
        </w:tc>
        <w:tc>
          <w:tcPr>
            <w:tcW w:w="1545" w:type="dxa"/>
            <w:noWrap/>
            <w:vAlign w:val="center"/>
          </w:tcPr>
          <w:p w14:paraId="636E00AC">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楼层、屋面、阳台等临边</w:t>
            </w:r>
          </w:p>
        </w:tc>
        <w:tc>
          <w:tcPr>
            <w:tcW w:w="6396" w:type="dxa"/>
            <w:noWrap/>
            <w:vAlign w:val="center"/>
          </w:tcPr>
          <w:p w14:paraId="2B153643">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设两道防护栏杆和18cm高的踢脚板，用密目式安全立网全封闭。</w:t>
            </w:r>
          </w:p>
        </w:tc>
      </w:tr>
      <w:tr w14:paraId="440E22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14:paraId="2B46040A">
            <w:pPr>
              <w:pStyle w:val="150"/>
              <w:spacing w:line="300" w:lineRule="exact"/>
              <w:jc w:val="center"/>
              <w:rPr>
                <w:rFonts w:ascii="宋体" w:hAnsi="宋体" w:cs="宋体"/>
                <w:color w:val="auto"/>
                <w:szCs w:val="21"/>
                <w:highlight w:val="none"/>
              </w:rPr>
            </w:pPr>
          </w:p>
        </w:tc>
        <w:tc>
          <w:tcPr>
            <w:tcW w:w="525" w:type="dxa"/>
            <w:vMerge w:val="continue"/>
            <w:noWrap/>
            <w:vAlign w:val="center"/>
          </w:tcPr>
          <w:p w14:paraId="0437A5D1">
            <w:pPr>
              <w:pStyle w:val="150"/>
              <w:spacing w:line="300" w:lineRule="exact"/>
              <w:jc w:val="center"/>
              <w:rPr>
                <w:rFonts w:ascii="宋体" w:hAnsi="宋体" w:cs="宋体"/>
                <w:color w:val="auto"/>
                <w:szCs w:val="21"/>
                <w:highlight w:val="none"/>
              </w:rPr>
            </w:pPr>
          </w:p>
        </w:tc>
        <w:tc>
          <w:tcPr>
            <w:tcW w:w="1545" w:type="dxa"/>
            <w:noWrap/>
            <w:vAlign w:val="center"/>
          </w:tcPr>
          <w:p w14:paraId="6829A5E8">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通道口</w:t>
            </w:r>
          </w:p>
        </w:tc>
        <w:tc>
          <w:tcPr>
            <w:tcW w:w="6396" w:type="dxa"/>
            <w:noWrap/>
            <w:vAlign w:val="center"/>
          </w:tcPr>
          <w:p w14:paraId="6EBBE988">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设防护棚，防护棚应为不小于5cm厚的木板或两道相距50cm的竹笆。两侧应沿栏杆架用密目式安全网封闭。</w:t>
            </w:r>
          </w:p>
        </w:tc>
      </w:tr>
      <w:tr w14:paraId="4AB34B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14:paraId="0A283BE3">
            <w:pPr>
              <w:pStyle w:val="150"/>
              <w:spacing w:line="300" w:lineRule="exact"/>
              <w:jc w:val="center"/>
              <w:rPr>
                <w:rFonts w:ascii="宋体" w:hAnsi="宋体" w:cs="宋体"/>
                <w:color w:val="auto"/>
                <w:szCs w:val="21"/>
                <w:highlight w:val="none"/>
              </w:rPr>
            </w:pPr>
          </w:p>
        </w:tc>
        <w:tc>
          <w:tcPr>
            <w:tcW w:w="525" w:type="dxa"/>
            <w:vMerge w:val="continue"/>
            <w:noWrap/>
            <w:vAlign w:val="center"/>
          </w:tcPr>
          <w:p w14:paraId="0640CEC5">
            <w:pPr>
              <w:pStyle w:val="150"/>
              <w:spacing w:line="300" w:lineRule="exact"/>
              <w:jc w:val="center"/>
              <w:rPr>
                <w:rFonts w:ascii="宋体" w:hAnsi="宋体" w:cs="宋体"/>
                <w:color w:val="auto"/>
                <w:szCs w:val="21"/>
                <w:highlight w:val="none"/>
              </w:rPr>
            </w:pPr>
          </w:p>
        </w:tc>
        <w:tc>
          <w:tcPr>
            <w:tcW w:w="1545" w:type="dxa"/>
            <w:noWrap/>
            <w:vAlign w:val="center"/>
          </w:tcPr>
          <w:p w14:paraId="08917217">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预留洞口</w:t>
            </w:r>
          </w:p>
        </w:tc>
        <w:tc>
          <w:tcPr>
            <w:tcW w:w="6396" w:type="dxa"/>
            <w:noWrap/>
            <w:vAlign w:val="center"/>
          </w:tcPr>
          <w:p w14:paraId="089F4202">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用硬质材料全封闭，短边超过1.5m长的洞口，除封闭外四周还应设有防护栏杆。</w:t>
            </w:r>
          </w:p>
        </w:tc>
      </w:tr>
      <w:tr w14:paraId="6F954F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noWrap/>
            <w:vAlign w:val="center"/>
          </w:tcPr>
          <w:p w14:paraId="7B13663F">
            <w:pPr>
              <w:pStyle w:val="150"/>
              <w:spacing w:line="300" w:lineRule="exact"/>
              <w:jc w:val="center"/>
              <w:rPr>
                <w:rFonts w:ascii="宋体" w:hAnsi="宋体" w:cs="宋体"/>
                <w:color w:val="auto"/>
                <w:szCs w:val="21"/>
                <w:highlight w:val="none"/>
              </w:rPr>
            </w:pPr>
          </w:p>
        </w:tc>
        <w:tc>
          <w:tcPr>
            <w:tcW w:w="525" w:type="dxa"/>
            <w:vMerge w:val="continue"/>
            <w:noWrap/>
            <w:vAlign w:val="center"/>
          </w:tcPr>
          <w:p w14:paraId="0FD202F0">
            <w:pPr>
              <w:pStyle w:val="150"/>
              <w:spacing w:line="300" w:lineRule="exact"/>
              <w:jc w:val="center"/>
              <w:rPr>
                <w:rFonts w:ascii="宋体" w:hAnsi="宋体" w:cs="宋体"/>
                <w:color w:val="auto"/>
                <w:szCs w:val="21"/>
                <w:highlight w:val="none"/>
              </w:rPr>
            </w:pPr>
          </w:p>
        </w:tc>
        <w:tc>
          <w:tcPr>
            <w:tcW w:w="1545" w:type="dxa"/>
            <w:noWrap/>
            <w:vAlign w:val="center"/>
          </w:tcPr>
          <w:p w14:paraId="3935D497">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电梯井口</w:t>
            </w:r>
          </w:p>
        </w:tc>
        <w:tc>
          <w:tcPr>
            <w:tcW w:w="6396" w:type="dxa"/>
            <w:noWrap/>
            <w:vAlign w:val="center"/>
          </w:tcPr>
          <w:p w14:paraId="1AF758E9">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设置定型化、工具化的防护门，在电梯井内每隔2层（不大于10m）设置一道水平防护。</w:t>
            </w:r>
          </w:p>
        </w:tc>
      </w:tr>
      <w:tr w14:paraId="2E2D89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14:paraId="11B57100">
            <w:pPr>
              <w:pStyle w:val="150"/>
              <w:spacing w:line="300" w:lineRule="exact"/>
              <w:jc w:val="center"/>
              <w:rPr>
                <w:rFonts w:ascii="宋体" w:hAnsi="宋体" w:cs="宋体"/>
                <w:color w:val="auto"/>
                <w:szCs w:val="21"/>
                <w:highlight w:val="none"/>
              </w:rPr>
            </w:pPr>
          </w:p>
        </w:tc>
        <w:tc>
          <w:tcPr>
            <w:tcW w:w="525" w:type="dxa"/>
            <w:vMerge w:val="continue"/>
            <w:noWrap/>
            <w:vAlign w:val="center"/>
          </w:tcPr>
          <w:p w14:paraId="576B8CA3">
            <w:pPr>
              <w:pStyle w:val="150"/>
              <w:spacing w:line="300" w:lineRule="exact"/>
              <w:jc w:val="center"/>
              <w:rPr>
                <w:rFonts w:ascii="宋体" w:hAnsi="宋体" w:cs="宋体"/>
                <w:color w:val="auto"/>
                <w:szCs w:val="21"/>
                <w:highlight w:val="none"/>
              </w:rPr>
            </w:pPr>
          </w:p>
        </w:tc>
        <w:tc>
          <w:tcPr>
            <w:tcW w:w="1545" w:type="dxa"/>
            <w:noWrap/>
            <w:vAlign w:val="center"/>
          </w:tcPr>
          <w:p w14:paraId="566168A7">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楼梯边</w:t>
            </w:r>
          </w:p>
        </w:tc>
        <w:tc>
          <w:tcPr>
            <w:tcW w:w="6396" w:type="dxa"/>
            <w:noWrap/>
            <w:vAlign w:val="center"/>
          </w:tcPr>
          <w:p w14:paraId="597F441F">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设1.2m高的定型化、工具化的防护栏，18cm高的踢脚板。</w:t>
            </w:r>
          </w:p>
        </w:tc>
      </w:tr>
      <w:tr w14:paraId="5E180C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14:paraId="4C9DDE49">
            <w:pPr>
              <w:pStyle w:val="150"/>
              <w:spacing w:line="300" w:lineRule="exact"/>
              <w:jc w:val="center"/>
              <w:rPr>
                <w:rFonts w:ascii="宋体" w:hAnsi="宋体" w:cs="宋体"/>
                <w:color w:val="auto"/>
                <w:szCs w:val="21"/>
                <w:highlight w:val="none"/>
              </w:rPr>
            </w:pPr>
          </w:p>
        </w:tc>
        <w:tc>
          <w:tcPr>
            <w:tcW w:w="525" w:type="dxa"/>
            <w:vMerge w:val="continue"/>
            <w:noWrap/>
            <w:vAlign w:val="center"/>
          </w:tcPr>
          <w:p w14:paraId="6DC2F2A1">
            <w:pPr>
              <w:pStyle w:val="150"/>
              <w:spacing w:line="300" w:lineRule="exact"/>
              <w:jc w:val="center"/>
              <w:rPr>
                <w:rFonts w:ascii="宋体" w:hAnsi="宋体" w:cs="宋体"/>
                <w:color w:val="auto"/>
                <w:szCs w:val="21"/>
                <w:highlight w:val="none"/>
              </w:rPr>
            </w:pPr>
          </w:p>
        </w:tc>
        <w:tc>
          <w:tcPr>
            <w:tcW w:w="1545" w:type="dxa"/>
            <w:noWrap/>
            <w:vAlign w:val="center"/>
          </w:tcPr>
          <w:p w14:paraId="04FCF58C">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垂直方向交叉作业</w:t>
            </w:r>
          </w:p>
        </w:tc>
        <w:tc>
          <w:tcPr>
            <w:tcW w:w="6396" w:type="dxa"/>
            <w:noWrap/>
            <w:vAlign w:val="center"/>
          </w:tcPr>
          <w:p w14:paraId="2F12D304">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设置防护隔离棚或其它设施。</w:t>
            </w:r>
          </w:p>
        </w:tc>
      </w:tr>
      <w:tr w14:paraId="01D92B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14:paraId="353BB4D3">
            <w:pPr>
              <w:pStyle w:val="150"/>
              <w:spacing w:line="300" w:lineRule="exact"/>
              <w:jc w:val="center"/>
              <w:rPr>
                <w:rFonts w:ascii="宋体" w:hAnsi="宋体" w:cs="宋体"/>
                <w:color w:val="auto"/>
                <w:szCs w:val="21"/>
                <w:highlight w:val="none"/>
              </w:rPr>
            </w:pPr>
          </w:p>
        </w:tc>
        <w:tc>
          <w:tcPr>
            <w:tcW w:w="525" w:type="dxa"/>
            <w:vMerge w:val="continue"/>
            <w:noWrap/>
            <w:vAlign w:val="center"/>
          </w:tcPr>
          <w:p w14:paraId="708D753A">
            <w:pPr>
              <w:pStyle w:val="150"/>
              <w:spacing w:line="300" w:lineRule="exact"/>
              <w:jc w:val="center"/>
              <w:rPr>
                <w:rFonts w:ascii="宋体" w:hAnsi="宋体" w:cs="宋体"/>
                <w:color w:val="auto"/>
                <w:szCs w:val="21"/>
                <w:highlight w:val="none"/>
              </w:rPr>
            </w:pPr>
          </w:p>
        </w:tc>
        <w:tc>
          <w:tcPr>
            <w:tcW w:w="1545" w:type="dxa"/>
            <w:noWrap/>
            <w:vAlign w:val="center"/>
          </w:tcPr>
          <w:p w14:paraId="6CB6BCCF">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高处作业</w:t>
            </w:r>
          </w:p>
        </w:tc>
        <w:tc>
          <w:tcPr>
            <w:tcW w:w="6396" w:type="dxa"/>
            <w:noWrap/>
            <w:vAlign w:val="center"/>
          </w:tcPr>
          <w:p w14:paraId="64633632">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有悬挂安全带的悬索或其它设施，有操作平台，有上下的梯子或其它形式的通道。</w:t>
            </w:r>
          </w:p>
        </w:tc>
      </w:tr>
      <w:tr w14:paraId="30FC5F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14:paraId="63C6308B">
            <w:pPr>
              <w:pStyle w:val="150"/>
              <w:spacing w:line="300" w:lineRule="exact"/>
              <w:jc w:val="center"/>
              <w:rPr>
                <w:rFonts w:ascii="宋体" w:hAnsi="宋体" w:cs="宋体"/>
                <w:color w:val="auto"/>
                <w:szCs w:val="21"/>
                <w:highlight w:val="none"/>
              </w:rPr>
            </w:pPr>
          </w:p>
        </w:tc>
        <w:tc>
          <w:tcPr>
            <w:tcW w:w="525" w:type="dxa"/>
            <w:vMerge w:val="continue"/>
            <w:noWrap/>
            <w:vAlign w:val="center"/>
          </w:tcPr>
          <w:p w14:paraId="48AC1AB5">
            <w:pPr>
              <w:pStyle w:val="150"/>
              <w:spacing w:line="300" w:lineRule="exact"/>
              <w:jc w:val="center"/>
              <w:rPr>
                <w:rFonts w:ascii="宋体" w:hAnsi="宋体" w:cs="宋体"/>
                <w:color w:val="auto"/>
                <w:szCs w:val="21"/>
                <w:highlight w:val="none"/>
              </w:rPr>
            </w:pPr>
          </w:p>
        </w:tc>
        <w:tc>
          <w:tcPr>
            <w:tcW w:w="1545" w:type="dxa"/>
            <w:noWrap/>
            <w:vAlign w:val="center"/>
          </w:tcPr>
          <w:p w14:paraId="3BF20DB9">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基坑、物料平台</w:t>
            </w:r>
          </w:p>
        </w:tc>
        <w:tc>
          <w:tcPr>
            <w:tcW w:w="6396" w:type="dxa"/>
            <w:noWrap/>
            <w:vAlign w:val="center"/>
          </w:tcPr>
          <w:p w14:paraId="6A1AF33C">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设1.2m高标准化的防护栏，用密目式安全立网封闭，悬挂标识。</w:t>
            </w:r>
          </w:p>
        </w:tc>
      </w:tr>
      <w:tr w14:paraId="0D2936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14:paraId="5067E3F6">
            <w:pPr>
              <w:pStyle w:val="150"/>
              <w:spacing w:line="300" w:lineRule="exact"/>
              <w:jc w:val="center"/>
              <w:rPr>
                <w:rFonts w:ascii="宋体" w:hAnsi="宋体" w:cs="宋体"/>
                <w:color w:val="auto"/>
                <w:szCs w:val="21"/>
                <w:highlight w:val="none"/>
              </w:rPr>
            </w:pPr>
          </w:p>
        </w:tc>
        <w:tc>
          <w:tcPr>
            <w:tcW w:w="2070" w:type="dxa"/>
            <w:gridSpan w:val="2"/>
            <w:noWrap/>
            <w:vAlign w:val="center"/>
          </w:tcPr>
          <w:p w14:paraId="540087A2">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安全防护用品</w:t>
            </w:r>
          </w:p>
        </w:tc>
        <w:tc>
          <w:tcPr>
            <w:tcW w:w="6396" w:type="dxa"/>
            <w:noWrap/>
            <w:vAlign w:val="center"/>
          </w:tcPr>
          <w:p w14:paraId="552B11B2">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安全帽、安全带、特种作业人员（电工、焊工、架子工等）防护服装、用品等。</w:t>
            </w:r>
          </w:p>
        </w:tc>
      </w:tr>
      <w:tr w14:paraId="6DECC5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noWrap/>
            <w:vAlign w:val="center"/>
          </w:tcPr>
          <w:p w14:paraId="1656F1F2">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其它</w:t>
            </w:r>
          </w:p>
        </w:tc>
        <w:tc>
          <w:tcPr>
            <w:tcW w:w="525" w:type="dxa"/>
            <w:vMerge w:val="restart"/>
            <w:noWrap/>
            <w:vAlign w:val="center"/>
          </w:tcPr>
          <w:p w14:paraId="6016C594">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机械设备防护</w:t>
            </w:r>
          </w:p>
        </w:tc>
        <w:tc>
          <w:tcPr>
            <w:tcW w:w="1545" w:type="dxa"/>
            <w:noWrap/>
            <w:vAlign w:val="center"/>
          </w:tcPr>
          <w:p w14:paraId="3D4AE957">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中小型机械</w:t>
            </w:r>
          </w:p>
        </w:tc>
        <w:tc>
          <w:tcPr>
            <w:tcW w:w="6396" w:type="dxa"/>
            <w:noWrap/>
            <w:vAlign w:val="center"/>
          </w:tcPr>
          <w:p w14:paraId="5826DC2E">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设防护棚（同通道口防护并有防雨措施）。</w:t>
            </w:r>
          </w:p>
        </w:tc>
      </w:tr>
      <w:tr w14:paraId="56DD99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ign w:val="center"/>
          </w:tcPr>
          <w:p w14:paraId="4029A1F3">
            <w:pPr>
              <w:pStyle w:val="150"/>
              <w:spacing w:line="300" w:lineRule="exact"/>
              <w:jc w:val="center"/>
              <w:rPr>
                <w:rFonts w:ascii="宋体" w:hAnsi="宋体" w:cs="宋体"/>
                <w:color w:val="auto"/>
                <w:szCs w:val="21"/>
                <w:highlight w:val="none"/>
              </w:rPr>
            </w:pPr>
          </w:p>
        </w:tc>
        <w:tc>
          <w:tcPr>
            <w:tcW w:w="525" w:type="dxa"/>
            <w:vMerge w:val="continue"/>
            <w:noWrap/>
            <w:vAlign w:val="center"/>
          </w:tcPr>
          <w:p w14:paraId="5B9C2A2F">
            <w:pPr>
              <w:pStyle w:val="150"/>
              <w:spacing w:line="300" w:lineRule="exact"/>
              <w:jc w:val="center"/>
              <w:rPr>
                <w:rFonts w:ascii="宋体" w:hAnsi="宋体" w:cs="宋体"/>
                <w:color w:val="auto"/>
                <w:szCs w:val="21"/>
                <w:highlight w:val="none"/>
              </w:rPr>
            </w:pPr>
          </w:p>
        </w:tc>
        <w:tc>
          <w:tcPr>
            <w:tcW w:w="1545" w:type="dxa"/>
            <w:noWrap/>
            <w:vAlign w:val="center"/>
          </w:tcPr>
          <w:p w14:paraId="31178624">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垂直运输设备</w:t>
            </w:r>
          </w:p>
        </w:tc>
        <w:tc>
          <w:tcPr>
            <w:tcW w:w="6396" w:type="dxa"/>
            <w:noWrap/>
            <w:vAlign w:val="center"/>
          </w:tcPr>
          <w:p w14:paraId="782CD7A8">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1. 垂直运输设备检测、检验、日常维护、保养等。</w:t>
            </w:r>
          </w:p>
          <w:p w14:paraId="1E39E459">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2. 物料提升机、施工电梯等物料平台搭设、外侧用密目式安全立网全封闭，有安全通道、安全防护门、防护棚等。</w:t>
            </w:r>
          </w:p>
        </w:tc>
      </w:tr>
      <w:tr w14:paraId="4E4B5A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ign w:val="center"/>
          </w:tcPr>
          <w:p w14:paraId="6BC3609B">
            <w:pPr>
              <w:pStyle w:val="150"/>
              <w:spacing w:line="300" w:lineRule="exact"/>
              <w:jc w:val="center"/>
              <w:rPr>
                <w:rFonts w:ascii="宋体" w:hAnsi="宋体" w:cs="宋体"/>
                <w:color w:val="auto"/>
                <w:szCs w:val="21"/>
                <w:highlight w:val="none"/>
              </w:rPr>
            </w:pPr>
          </w:p>
        </w:tc>
        <w:tc>
          <w:tcPr>
            <w:tcW w:w="2070" w:type="dxa"/>
            <w:gridSpan w:val="2"/>
            <w:noWrap/>
            <w:vAlign w:val="center"/>
          </w:tcPr>
          <w:p w14:paraId="5BC4E34B">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专家论证审查</w:t>
            </w:r>
          </w:p>
        </w:tc>
        <w:tc>
          <w:tcPr>
            <w:tcW w:w="6396" w:type="dxa"/>
            <w:noWrap/>
            <w:vAlign w:val="center"/>
          </w:tcPr>
          <w:p w14:paraId="743FCA5C">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超过一定规模的危险性较大分部分项工程专家论证审查。</w:t>
            </w:r>
          </w:p>
        </w:tc>
      </w:tr>
      <w:tr w14:paraId="56FDAE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ign w:val="center"/>
          </w:tcPr>
          <w:p w14:paraId="5A2A3EF9">
            <w:pPr>
              <w:pStyle w:val="150"/>
              <w:spacing w:line="300" w:lineRule="exact"/>
              <w:jc w:val="center"/>
              <w:rPr>
                <w:rFonts w:ascii="宋体" w:hAnsi="宋体" w:cs="宋体"/>
                <w:color w:val="auto"/>
                <w:szCs w:val="21"/>
                <w:highlight w:val="none"/>
              </w:rPr>
            </w:pPr>
          </w:p>
        </w:tc>
        <w:tc>
          <w:tcPr>
            <w:tcW w:w="2070" w:type="dxa"/>
            <w:gridSpan w:val="2"/>
            <w:noWrap/>
            <w:vAlign w:val="center"/>
          </w:tcPr>
          <w:p w14:paraId="4AE17265">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应急救援预案</w:t>
            </w:r>
          </w:p>
        </w:tc>
        <w:tc>
          <w:tcPr>
            <w:tcW w:w="6396" w:type="dxa"/>
            <w:noWrap/>
            <w:vAlign w:val="center"/>
          </w:tcPr>
          <w:p w14:paraId="0AEFB983">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救援器材准备及演练等。</w:t>
            </w:r>
          </w:p>
        </w:tc>
      </w:tr>
      <w:tr w14:paraId="4F59EE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bottom w:val="single" w:color="auto" w:sz="12" w:space="0"/>
            </w:tcBorders>
            <w:noWrap/>
            <w:vAlign w:val="center"/>
          </w:tcPr>
          <w:p w14:paraId="2E38955D">
            <w:pPr>
              <w:pStyle w:val="150"/>
              <w:spacing w:line="300" w:lineRule="exact"/>
              <w:jc w:val="center"/>
              <w:rPr>
                <w:rFonts w:ascii="宋体" w:hAnsi="宋体" w:cs="宋体"/>
                <w:color w:val="auto"/>
                <w:szCs w:val="21"/>
                <w:highlight w:val="none"/>
              </w:rPr>
            </w:pPr>
          </w:p>
        </w:tc>
        <w:tc>
          <w:tcPr>
            <w:tcW w:w="2070" w:type="dxa"/>
            <w:gridSpan w:val="2"/>
            <w:tcBorders>
              <w:bottom w:val="single" w:color="auto" w:sz="12" w:space="0"/>
            </w:tcBorders>
            <w:noWrap/>
            <w:vAlign w:val="center"/>
          </w:tcPr>
          <w:p w14:paraId="17E74775">
            <w:pPr>
              <w:pStyle w:val="15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非正常情况施工</w:t>
            </w:r>
          </w:p>
        </w:tc>
        <w:tc>
          <w:tcPr>
            <w:tcW w:w="6396" w:type="dxa"/>
            <w:tcBorders>
              <w:bottom w:val="single" w:color="auto" w:sz="12" w:space="0"/>
            </w:tcBorders>
            <w:noWrap/>
            <w:vAlign w:val="center"/>
          </w:tcPr>
          <w:p w14:paraId="1CBFA7AA">
            <w:pPr>
              <w:pStyle w:val="150"/>
              <w:spacing w:line="300" w:lineRule="exact"/>
              <w:rPr>
                <w:rFonts w:ascii="宋体" w:hAnsi="宋体" w:cs="宋体"/>
                <w:color w:val="auto"/>
                <w:szCs w:val="21"/>
                <w:highlight w:val="none"/>
              </w:rPr>
            </w:pPr>
            <w:r>
              <w:rPr>
                <w:rFonts w:hint="eastAsia" w:ascii="宋体" w:hAnsi="宋体" w:cs="宋体"/>
                <w:color w:val="auto"/>
                <w:szCs w:val="21"/>
                <w:highlight w:val="none"/>
              </w:rPr>
              <w:t>其它特殊情况下的防护费用，如：城市主干道、人流密集、河边等处施工及文物、古建筑、古树保护等。</w:t>
            </w:r>
          </w:p>
        </w:tc>
      </w:tr>
    </w:tbl>
    <w:p w14:paraId="2B6D8C0F">
      <w:pPr>
        <w:pStyle w:val="150"/>
        <w:spacing w:line="240" w:lineRule="atLeast"/>
        <w:ind w:firstLine="546"/>
        <w:jc w:val="center"/>
        <w:rPr>
          <w:rFonts w:ascii="宋体" w:hAnsi="宋体" w:cs="宋体"/>
          <w:b/>
          <w:bCs/>
          <w:color w:val="auto"/>
          <w:w w:val="90"/>
          <w:sz w:val="24"/>
          <w:szCs w:val="24"/>
          <w:highlight w:val="none"/>
        </w:rPr>
      </w:pPr>
    </w:p>
    <w:p w14:paraId="65CBA1BB">
      <w:pPr>
        <w:pStyle w:val="150"/>
        <w:spacing w:beforeLines="50"/>
        <w:ind w:firstLine="420" w:firstLineChars="200"/>
        <w:rPr>
          <w:rFonts w:ascii="宋体" w:hAnsi="宋体" w:cs="宋体"/>
          <w:color w:val="auto"/>
          <w:szCs w:val="21"/>
          <w:highlight w:val="none"/>
        </w:rPr>
      </w:pPr>
      <w:r>
        <w:rPr>
          <w:rFonts w:hint="eastAsia" w:ascii="宋体" w:hAnsi="宋体" w:cs="宋体"/>
          <w:color w:val="auto"/>
          <w:szCs w:val="21"/>
          <w:highlight w:val="none"/>
        </w:rPr>
        <w:t>注：本表所列</w:t>
      </w:r>
      <w:r>
        <w:rPr>
          <w:rFonts w:hint="eastAsia" w:ascii="宋体" w:hAnsi="宋体" w:cs="宋体"/>
          <w:color w:val="auto"/>
          <w:szCs w:val="21"/>
          <w:highlight w:val="none"/>
          <w:lang w:eastAsia="zh-CN"/>
        </w:rPr>
        <w:t>建筑工程</w:t>
      </w:r>
      <w:r>
        <w:rPr>
          <w:rFonts w:hint="eastAsia" w:ascii="宋体" w:hAnsi="宋体" w:cs="宋体"/>
          <w:color w:val="auto"/>
          <w:szCs w:val="21"/>
          <w:highlight w:val="none"/>
        </w:rPr>
        <w:t>安全文明施工费，是依据现行法律法规及标准规范确定的。如法律法规和标准规范修订，本表所列项目应按照修订后的法律法规和标准规范进行调整。</w:t>
      </w:r>
    </w:p>
    <w:p w14:paraId="0F8CB8D5">
      <w:pPr>
        <w:pStyle w:val="26"/>
        <w:ind w:right="630"/>
        <w:jc w:val="right"/>
        <w:rPr>
          <w:rFonts w:hAnsi="宋体" w:cs="宋体"/>
          <w:color w:val="auto"/>
          <w:sz w:val="21"/>
          <w:szCs w:val="21"/>
          <w:highlight w:val="none"/>
        </w:rPr>
      </w:pPr>
    </w:p>
    <w:p w14:paraId="6E8E9535">
      <w:pPr>
        <w:pStyle w:val="26"/>
        <w:ind w:right="630"/>
        <w:jc w:val="right"/>
        <w:rPr>
          <w:rFonts w:hAnsi="宋体" w:cs="宋体"/>
          <w:color w:val="auto"/>
          <w:sz w:val="21"/>
          <w:szCs w:val="21"/>
          <w:highlight w:val="none"/>
        </w:rPr>
      </w:pPr>
    </w:p>
    <w:p w14:paraId="3EE04197">
      <w:pPr>
        <w:pStyle w:val="26"/>
        <w:ind w:right="630"/>
        <w:jc w:val="right"/>
        <w:rPr>
          <w:rFonts w:hAnsi="宋体" w:cs="宋体"/>
          <w:color w:val="auto"/>
          <w:sz w:val="21"/>
          <w:szCs w:val="21"/>
          <w:highlight w:val="none"/>
        </w:rPr>
      </w:pPr>
    </w:p>
    <w:p w14:paraId="7F2877C5">
      <w:pPr>
        <w:pStyle w:val="26"/>
        <w:rPr>
          <w:rFonts w:hAnsi="宋体" w:cs="宋体"/>
          <w:color w:val="auto"/>
          <w:highlight w:val="none"/>
        </w:rPr>
      </w:pPr>
    </w:p>
    <w:p w14:paraId="38F2830F">
      <w:pPr>
        <w:pStyle w:val="26"/>
        <w:rPr>
          <w:rFonts w:hAnsi="宋体" w:cs="宋体"/>
          <w:color w:val="auto"/>
          <w:highlight w:val="none"/>
        </w:rPr>
      </w:pPr>
    </w:p>
    <w:bookmarkEnd w:id="281"/>
    <w:bookmarkEnd w:id="282"/>
    <w:bookmarkEnd w:id="1104"/>
    <w:bookmarkEnd w:id="1105"/>
    <w:bookmarkEnd w:id="1106"/>
    <w:bookmarkEnd w:id="1107"/>
    <w:bookmarkEnd w:id="1108"/>
    <w:bookmarkEnd w:id="1109"/>
    <w:bookmarkEnd w:id="1110"/>
    <w:bookmarkEnd w:id="1111"/>
    <w:bookmarkEnd w:id="1112"/>
    <w:p w14:paraId="61323447">
      <w:pPr>
        <w:pStyle w:val="5"/>
        <w:spacing w:line="440" w:lineRule="exact"/>
        <w:jc w:val="center"/>
        <w:rPr>
          <w:rFonts w:ascii="宋体" w:hAnsi="宋体" w:cs="宋体"/>
          <w:color w:val="auto"/>
          <w:kern w:val="0"/>
          <w:highlight w:val="none"/>
        </w:rPr>
      </w:pPr>
      <w:bookmarkStart w:id="1131" w:name="_Toc336079865"/>
      <w:bookmarkStart w:id="1132" w:name="_Toc75182802"/>
      <w:bookmarkStart w:id="1133" w:name="_Toc10247"/>
      <w:bookmarkStart w:id="1134" w:name="_Toc482785109"/>
      <w:bookmarkStart w:id="1135" w:name="_Toc47088400"/>
      <w:r>
        <w:rPr>
          <w:rFonts w:hint="eastAsia" w:ascii="宋体" w:hAnsi="宋体" w:cs="宋体"/>
          <w:color w:val="auto"/>
          <w:kern w:val="0"/>
          <w:highlight w:val="none"/>
          <w:lang w:val="en-US" w:eastAsia="zh-CN"/>
        </w:rPr>
        <w:t>7</w:t>
      </w:r>
      <w:r>
        <w:rPr>
          <w:rFonts w:hint="eastAsia" w:ascii="宋体" w:hAnsi="宋体" w:cs="宋体"/>
          <w:color w:val="auto"/>
          <w:kern w:val="0"/>
          <w:highlight w:val="none"/>
        </w:rPr>
        <w:t>、施工组织设计</w:t>
      </w:r>
      <w:bookmarkEnd w:id="1131"/>
      <w:bookmarkEnd w:id="1132"/>
      <w:bookmarkEnd w:id="1133"/>
      <w:bookmarkEnd w:id="1134"/>
      <w:bookmarkEnd w:id="1135"/>
    </w:p>
    <w:p w14:paraId="56ADB6A5">
      <w:pPr>
        <w:spacing w:line="460" w:lineRule="exact"/>
        <w:ind w:firstLine="420" w:firstLineChars="200"/>
        <w:rPr>
          <w:rFonts w:ascii="宋体" w:hAnsi="宋体" w:cs="宋体"/>
          <w:color w:val="auto"/>
          <w:szCs w:val="21"/>
          <w:highlight w:val="none"/>
        </w:rPr>
      </w:pPr>
      <w:bookmarkStart w:id="1136" w:name="_Toc93199519"/>
      <w:bookmarkStart w:id="1137" w:name="_Toc74156291"/>
      <w:bookmarkStart w:id="1138" w:name="_Toc235533438"/>
      <w:bookmarkStart w:id="1139" w:name="_Toc42046274"/>
    </w:p>
    <w:p w14:paraId="22C57D11">
      <w:pPr>
        <w:pStyle w:val="101"/>
        <w:spacing w:afterAutospacing="0" w:line="419" w:lineRule="exact"/>
        <w:ind w:left="520"/>
        <w:jc w:val="center"/>
        <w:rPr>
          <w:rFonts w:ascii="宋体" w:hAnsi="宋体" w:cs="宋体"/>
          <w:color w:val="auto"/>
          <w:highlight w:val="none"/>
        </w:rPr>
      </w:pPr>
      <w:r>
        <w:rPr>
          <w:rStyle w:val="194"/>
          <w:rFonts w:hint="eastAsia" w:ascii="宋体" w:hAnsi="宋体" w:cs="宋体"/>
          <w:color w:val="auto"/>
          <w:highlight w:val="none"/>
        </w:rPr>
        <w:t>（供应商须结合项目实际情况和文件需求、评标办法自行编制技术内容、格式自拟，要求文字简易精炼、内容具有针对性）</w:t>
      </w:r>
    </w:p>
    <w:p w14:paraId="114C0909">
      <w:pPr>
        <w:rPr>
          <w:rFonts w:ascii="宋体" w:hAnsi="宋体" w:cs="宋体"/>
          <w:color w:val="auto"/>
          <w:highlight w:val="none"/>
        </w:rPr>
      </w:pPr>
    </w:p>
    <w:p w14:paraId="59AA179C">
      <w:pPr>
        <w:pStyle w:val="15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6FDD8656">
      <w:pPr>
        <w:pStyle w:val="15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2．施工组织设计除采用文字表述外可附下列图表，图表及格式要求附后。</w:t>
      </w:r>
    </w:p>
    <w:p w14:paraId="27F75557">
      <w:pPr>
        <w:pStyle w:val="15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附表一  拟投入本工程的主要施工设备表</w:t>
      </w:r>
    </w:p>
    <w:p w14:paraId="69CD634F">
      <w:pPr>
        <w:pStyle w:val="15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附表二  拟配备本工程的试验和检测仪器设备表</w:t>
      </w:r>
    </w:p>
    <w:p w14:paraId="5183D476">
      <w:pPr>
        <w:pStyle w:val="15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附表三  劳动力计划表</w:t>
      </w:r>
    </w:p>
    <w:p w14:paraId="6FF7CA63">
      <w:pPr>
        <w:pStyle w:val="15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附表四  计划开、竣工日期和施工进度网络图</w:t>
      </w:r>
    </w:p>
    <w:p w14:paraId="38BBE72C">
      <w:pPr>
        <w:pStyle w:val="15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附表五  施工总平面图</w:t>
      </w:r>
    </w:p>
    <w:p w14:paraId="5A37C622">
      <w:pPr>
        <w:pStyle w:val="15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附表六  临时用地表</w:t>
      </w:r>
    </w:p>
    <w:p w14:paraId="73BE3DF9">
      <w:pPr>
        <w:pStyle w:val="150"/>
        <w:spacing w:line="460" w:lineRule="exact"/>
        <w:ind w:firstLine="420" w:firstLineChars="200"/>
        <w:rPr>
          <w:rFonts w:ascii="宋体" w:hAnsi="宋体" w:cs="宋体"/>
          <w:color w:val="auto"/>
          <w:szCs w:val="21"/>
          <w:highlight w:val="none"/>
        </w:rPr>
      </w:pPr>
    </w:p>
    <w:p w14:paraId="724C28C7">
      <w:pPr>
        <w:pStyle w:val="150"/>
        <w:rPr>
          <w:rFonts w:ascii="宋体" w:hAnsi="宋体" w:cs="宋体"/>
          <w:color w:val="auto"/>
          <w:szCs w:val="21"/>
          <w:highlight w:val="none"/>
        </w:rPr>
      </w:pPr>
      <w:r>
        <w:rPr>
          <w:rFonts w:hint="eastAsia" w:ascii="宋体" w:hAnsi="宋体" w:cs="宋体"/>
          <w:color w:val="auto"/>
          <w:szCs w:val="21"/>
          <w:highlight w:val="none"/>
        </w:rPr>
        <w:t>附表一：拟投入本工程的主要施工设备表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5E3A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ign w:val="center"/>
          </w:tcPr>
          <w:p w14:paraId="19AF160F">
            <w:pPr>
              <w:pStyle w:val="15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26" w:type="dxa"/>
            <w:noWrap/>
            <w:vAlign w:val="center"/>
          </w:tcPr>
          <w:p w14:paraId="5BF2BB5E">
            <w:pPr>
              <w:pStyle w:val="150"/>
              <w:jc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851" w:type="dxa"/>
            <w:noWrap/>
            <w:vAlign w:val="center"/>
          </w:tcPr>
          <w:p w14:paraId="32E9476E">
            <w:pPr>
              <w:pStyle w:val="150"/>
              <w:jc w:val="center"/>
              <w:rPr>
                <w:rFonts w:ascii="宋体" w:hAnsi="宋体" w:cs="宋体"/>
                <w:color w:val="auto"/>
                <w:szCs w:val="21"/>
                <w:highlight w:val="none"/>
              </w:rPr>
            </w:pPr>
            <w:r>
              <w:rPr>
                <w:rFonts w:hint="eastAsia" w:ascii="宋体" w:hAnsi="宋体" w:cs="宋体"/>
                <w:color w:val="auto"/>
                <w:szCs w:val="21"/>
                <w:highlight w:val="none"/>
              </w:rPr>
              <w:t>型号</w:t>
            </w:r>
          </w:p>
          <w:p w14:paraId="41F05F9E">
            <w:pPr>
              <w:pStyle w:val="150"/>
              <w:jc w:val="center"/>
              <w:rPr>
                <w:rFonts w:ascii="宋体" w:hAnsi="宋体" w:cs="宋体"/>
                <w:color w:val="auto"/>
                <w:szCs w:val="21"/>
                <w:highlight w:val="none"/>
              </w:rPr>
            </w:pPr>
            <w:r>
              <w:rPr>
                <w:rFonts w:hint="eastAsia" w:ascii="宋体" w:hAnsi="宋体" w:cs="宋体"/>
                <w:color w:val="auto"/>
                <w:szCs w:val="21"/>
                <w:highlight w:val="none"/>
              </w:rPr>
              <w:t>规格</w:t>
            </w:r>
          </w:p>
        </w:tc>
        <w:tc>
          <w:tcPr>
            <w:tcW w:w="708" w:type="dxa"/>
            <w:noWrap/>
            <w:vAlign w:val="center"/>
          </w:tcPr>
          <w:p w14:paraId="4607F17C">
            <w:pPr>
              <w:pStyle w:val="150"/>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709" w:type="dxa"/>
            <w:noWrap/>
            <w:vAlign w:val="center"/>
          </w:tcPr>
          <w:p w14:paraId="70878B1A">
            <w:pPr>
              <w:pStyle w:val="150"/>
              <w:jc w:val="center"/>
              <w:rPr>
                <w:rFonts w:ascii="宋体" w:hAnsi="宋体" w:cs="宋体"/>
                <w:color w:val="auto"/>
                <w:szCs w:val="21"/>
                <w:highlight w:val="none"/>
              </w:rPr>
            </w:pPr>
            <w:r>
              <w:rPr>
                <w:rFonts w:hint="eastAsia" w:ascii="宋体" w:hAnsi="宋体" w:cs="宋体"/>
                <w:color w:val="auto"/>
                <w:szCs w:val="21"/>
                <w:highlight w:val="none"/>
              </w:rPr>
              <w:t>国别</w:t>
            </w:r>
          </w:p>
          <w:p w14:paraId="1DB09B14">
            <w:pPr>
              <w:pStyle w:val="150"/>
              <w:jc w:val="center"/>
              <w:rPr>
                <w:rFonts w:ascii="宋体" w:hAnsi="宋体" w:cs="宋体"/>
                <w:color w:val="auto"/>
                <w:szCs w:val="21"/>
                <w:highlight w:val="none"/>
              </w:rPr>
            </w:pPr>
            <w:r>
              <w:rPr>
                <w:rFonts w:hint="eastAsia" w:ascii="宋体" w:hAnsi="宋体" w:cs="宋体"/>
                <w:color w:val="auto"/>
                <w:szCs w:val="21"/>
                <w:highlight w:val="none"/>
              </w:rPr>
              <w:t>产地</w:t>
            </w:r>
          </w:p>
        </w:tc>
        <w:tc>
          <w:tcPr>
            <w:tcW w:w="851" w:type="dxa"/>
            <w:noWrap/>
            <w:vAlign w:val="center"/>
          </w:tcPr>
          <w:p w14:paraId="3D68A739">
            <w:pPr>
              <w:pStyle w:val="150"/>
              <w:jc w:val="center"/>
              <w:rPr>
                <w:rFonts w:ascii="宋体" w:hAnsi="宋体" w:cs="宋体"/>
                <w:color w:val="auto"/>
                <w:szCs w:val="21"/>
                <w:highlight w:val="none"/>
              </w:rPr>
            </w:pPr>
            <w:r>
              <w:rPr>
                <w:rFonts w:hint="eastAsia" w:ascii="宋体" w:hAnsi="宋体" w:cs="宋体"/>
                <w:color w:val="auto"/>
                <w:szCs w:val="21"/>
                <w:highlight w:val="none"/>
              </w:rPr>
              <w:t>制造</w:t>
            </w:r>
          </w:p>
          <w:p w14:paraId="686B5A58">
            <w:pPr>
              <w:pStyle w:val="150"/>
              <w:jc w:val="center"/>
              <w:rPr>
                <w:rFonts w:ascii="宋体" w:hAnsi="宋体" w:cs="宋体"/>
                <w:color w:val="auto"/>
                <w:szCs w:val="21"/>
                <w:highlight w:val="none"/>
              </w:rPr>
            </w:pPr>
            <w:r>
              <w:rPr>
                <w:rFonts w:hint="eastAsia" w:ascii="宋体" w:hAnsi="宋体" w:cs="宋体"/>
                <w:color w:val="auto"/>
                <w:szCs w:val="21"/>
                <w:highlight w:val="none"/>
              </w:rPr>
              <w:t>年份</w:t>
            </w:r>
          </w:p>
        </w:tc>
        <w:tc>
          <w:tcPr>
            <w:tcW w:w="1134" w:type="dxa"/>
            <w:noWrap/>
            <w:vAlign w:val="center"/>
          </w:tcPr>
          <w:p w14:paraId="359219FC">
            <w:pPr>
              <w:pStyle w:val="150"/>
              <w:jc w:val="center"/>
              <w:rPr>
                <w:rFonts w:ascii="宋体" w:hAnsi="宋体" w:cs="宋体"/>
                <w:color w:val="auto"/>
                <w:szCs w:val="21"/>
                <w:highlight w:val="none"/>
              </w:rPr>
            </w:pPr>
            <w:r>
              <w:rPr>
                <w:rFonts w:hint="eastAsia" w:ascii="宋体" w:hAnsi="宋体" w:cs="宋体"/>
                <w:color w:val="auto"/>
                <w:szCs w:val="21"/>
                <w:highlight w:val="none"/>
              </w:rPr>
              <w:t>额定功率</w:t>
            </w:r>
          </w:p>
          <w:p w14:paraId="421741D6">
            <w:pPr>
              <w:pStyle w:val="150"/>
              <w:jc w:val="center"/>
              <w:rPr>
                <w:rFonts w:ascii="宋体" w:hAnsi="宋体" w:cs="宋体"/>
                <w:color w:val="auto"/>
                <w:szCs w:val="21"/>
                <w:highlight w:val="none"/>
              </w:rPr>
            </w:pPr>
            <w:r>
              <w:rPr>
                <w:rFonts w:hint="eastAsia" w:ascii="宋体" w:hAnsi="宋体" w:cs="宋体"/>
                <w:color w:val="auto"/>
                <w:szCs w:val="21"/>
                <w:highlight w:val="none"/>
              </w:rPr>
              <w:t>（KW）</w:t>
            </w:r>
          </w:p>
        </w:tc>
        <w:tc>
          <w:tcPr>
            <w:tcW w:w="992" w:type="dxa"/>
            <w:noWrap/>
            <w:vAlign w:val="center"/>
          </w:tcPr>
          <w:p w14:paraId="3C3A6C74">
            <w:pPr>
              <w:pStyle w:val="150"/>
              <w:jc w:val="center"/>
              <w:rPr>
                <w:rFonts w:ascii="宋体" w:hAnsi="宋体" w:cs="宋体"/>
                <w:color w:val="auto"/>
                <w:szCs w:val="21"/>
                <w:highlight w:val="none"/>
              </w:rPr>
            </w:pPr>
            <w:r>
              <w:rPr>
                <w:rFonts w:hint="eastAsia" w:ascii="宋体" w:hAnsi="宋体" w:cs="宋体"/>
                <w:color w:val="auto"/>
                <w:szCs w:val="21"/>
                <w:highlight w:val="none"/>
              </w:rPr>
              <w:t>生产</w:t>
            </w:r>
          </w:p>
          <w:p w14:paraId="4F291DCA">
            <w:pPr>
              <w:pStyle w:val="150"/>
              <w:jc w:val="center"/>
              <w:rPr>
                <w:rFonts w:ascii="宋体" w:hAnsi="宋体" w:cs="宋体"/>
                <w:color w:val="auto"/>
                <w:szCs w:val="21"/>
                <w:highlight w:val="none"/>
              </w:rPr>
            </w:pPr>
            <w:r>
              <w:rPr>
                <w:rFonts w:hint="eastAsia" w:ascii="宋体" w:hAnsi="宋体" w:cs="宋体"/>
                <w:color w:val="auto"/>
                <w:szCs w:val="21"/>
                <w:highlight w:val="none"/>
              </w:rPr>
              <w:t>能力</w:t>
            </w:r>
          </w:p>
        </w:tc>
        <w:tc>
          <w:tcPr>
            <w:tcW w:w="1134" w:type="dxa"/>
            <w:noWrap/>
            <w:vAlign w:val="center"/>
          </w:tcPr>
          <w:p w14:paraId="6FB2D0BF">
            <w:pPr>
              <w:pStyle w:val="150"/>
              <w:jc w:val="center"/>
              <w:rPr>
                <w:rFonts w:ascii="宋体" w:hAnsi="宋体" w:cs="宋体"/>
                <w:color w:val="auto"/>
                <w:szCs w:val="21"/>
                <w:highlight w:val="none"/>
              </w:rPr>
            </w:pPr>
            <w:r>
              <w:rPr>
                <w:rFonts w:hint="eastAsia" w:ascii="宋体" w:hAnsi="宋体" w:cs="宋体"/>
                <w:color w:val="auto"/>
                <w:szCs w:val="21"/>
                <w:highlight w:val="none"/>
              </w:rPr>
              <w:t>用于施</w:t>
            </w:r>
          </w:p>
          <w:p w14:paraId="2AD7CD6A">
            <w:pPr>
              <w:pStyle w:val="150"/>
              <w:jc w:val="center"/>
              <w:rPr>
                <w:rFonts w:ascii="宋体" w:hAnsi="宋体" w:cs="宋体"/>
                <w:color w:val="auto"/>
                <w:szCs w:val="21"/>
                <w:highlight w:val="none"/>
              </w:rPr>
            </w:pPr>
            <w:r>
              <w:rPr>
                <w:rFonts w:hint="eastAsia" w:ascii="宋体" w:hAnsi="宋体" w:cs="宋体"/>
                <w:color w:val="auto"/>
                <w:szCs w:val="21"/>
                <w:highlight w:val="none"/>
              </w:rPr>
              <w:t>工部位</w:t>
            </w:r>
          </w:p>
        </w:tc>
        <w:tc>
          <w:tcPr>
            <w:tcW w:w="992" w:type="dxa"/>
            <w:noWrap/>
            <w:vAlign w:val="center"/>
          </w:tcPr>
          <w:p w14:paraId="339A13AF">
            <w:pPr>
              <w:pStyle w:val="150"/>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725F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tcPr>
          <w:p w14:paraId="0367F273">
            <w:pPr>
              <w:pStyle w:val="150"/>
              <w:spacing w:line="360" w:lineRule="auto"/>
              <w:rPr>
                <w:rFonts w:ascii="宋体" w:hAnsi="宋体" w:cs="宋体"/>
                <w:color w:val="auto"/>
                <w:szCs w:val="21"/>
                <w:highlight w:val="none"/>
              </w:rPr>
            </w:pPr>
          </w:p>
        </w:tc>
        <w:tc>
          <w:tcPr>
            <w:tcW w:w="1226" w:type="dxa"/>
            <w:noWrap/>
          </w:tcPr>
          <w:p w14:paraId="10FFAEE4">
            <w:pPr>
              <w:pStyle w:val="150"/>
              <w:spacing w:line="360" w:lineRule="auto"/>
              <w:ind w:firstLine="420" w:firstLineChars="200"/>
              <w:rPr>
                <w:rFonts w:ascii="宋体" w:hAnsi="宋体" w:cs="宋体"/>
                <w:color w:val="auto"/>
                <w:szCs w:val="21"/>
                <w:highlight w:val="none"/>
              </w:rPr>
            </w:pPr>
          </w:p>
        </w:tc>
        <w:tc>
          <w:tcPr>
            <w:tcW w:w="851" w:type="dxa"/>
            <w:noWrap/>
          </w:tcPr>
          <w:p w14:paraId="2D3646CD">
            <w:pPr>
              <w:pStyle w:val="150"/>
              <w:spacing w:line="360" w:lineRule="auto"/>
              <w:rPr>
                <w:rFonts w:ascii="宋体" w:hAnsi="宋体" w:cs="宋体"/>
                <w:color w:val="auto"/>
                <w:szCs w:val="21"/>
                <w:highlight w:val="none"/>
              </w:rPr>
            </w:pPr>
          </w:p>
        </w:tc>
        <w:tc>
          <w:tcPr>
            <w:tcW w:w="708" w:type="dxa"/>
            <w:noWrap/>
          </w:tcPr>
          <w:p w14:paraId="2A4885AA">
            <w:pPr>
              <w:pStyle w:val="150"/>
              <w:spacing w:line="360" w:lineRule="auto"/>
              <w:rPr>
                <w:rFonts w:ascii="宋体" w:hAnsi="宋体" w:cs="宋体"/>
                <w:color w:val="auto"/>
                <w:szCs w:val="21"/>
                <w:highlight w:val="none"/>
              </w:rPr>
            </w:pPr>
          </w:p>
        </w:tc>
        <w:tc>
          <w:tcPr>
            <w:tcW w:w="709" w:type="dxa"/>
            <w:noWrap/>
          </w:tcPr>
          <w:p w14:paraId="2A50DE15">
            <w:pPr>
              <w:pStyle w:val="150"/>
              <w:spacing w:line="360" w:lineRule="auto"/>
              <w:rPr>
                <w:rFonts w:ascii="宋体" w:hAnsi="宋体" w:cs="宋体"/>
                <w:color w:val="auto"/>
                <w:szCs w:val="21"/>
                <w:highlight w:val="none"/>
              </w:rPr>
            </w:pPr>
          </w:p>
        </w:tc>
        <w:tc>
          <w:tcPr>
            <w:tcW w:w="851" w:type="dxa"/>
            <w:noWrap/>
          </w:tcPr>
          <w:p w14:paraId="021BCA34">
            <w:pPr>
              <w:pStyle w:val="150"/>
              <w:spacing w:line="360" w:lineRule="auto"/>
              <w:rPr>
                <w:rFonts w:ascii="宋体" w:hAnsi="宋体" w:cs="宋体"/>
                <w:color w:val="auto"/>
                <w:szCs w:val="21"/>
                <w:highlight w:val="none"/>
              </w:rPr>
            </w:pPr>
          </w:p>
        </w:tc>
        <w:tc>
          <w:tcPr>
            <w:tcW w:w="1134" w:type="dxa"/>
            <w:noWrap/>
          </w:tcPr>
          <w:p w14:paraId="5CB00F9D">
            <w:pPr>
              <w:pStyle w:val="150"/>
              <w:spacing w:line="360" w:lineRule="auto"/>
              <w:rPr>
                <w:rFonts w:ascii="宋体" w:hAnsi="宋体" w:cs="宋体"/>
                <w:color w:val="auto"/>
                <w:szCs w:val="21"/>
                <w:highlight w:val="none"/>
              </w:rPr>
            </w:pPr>
          </w:p>
        </w:tc>
        <w:tc>
          <w:tcPr>
            <w:tcW w:w="992" w:type="dxa"/>
            <w:noWrap/>
          </w:tcPr>
          <w:p w14:paraId="53148496">
            <w:pPr>
              <w:pStyle w:val="150"/>
              <w:spacing w:line="360" w:lineRule="auto"/>
              <w:rPr>
                <w:rFonts w:ascii="宋体" w:hAnsi="宋体" w:cs="宋体"/>
                <w:color w:val="auto"/>
                <w:szCs w:val="21"/>
                <w:highlight w:val="none"/>
              </w:rPr>
            </w:pPr>
          </w:p>
        </w:tc>
        <w:tc>
          <w:tcPr>
            <w:tcW w:w="1134" w:type="dxa"/>
            <w:noWrap/>
          </w:tcPr>
          <w:p w14:paraId="00D79DC1">
            <w:pPr>
              <w:pStyle w:val="150"/>
              <w:spacing w:line="360" w:lineRule="auto"/>
              <w:rPr>
                <w:rFonts w:ascii="宋体" w:hAnsi="宋体" w:cs="宋体"/>
                <w:color w:val="auto"/>
                <w:szCs w:val="21"/>
                <w:highlight w:val="none"/>
              </w:rPr>
            </w:pPr>
          </w:p>
        </w:tc>
        <w:tc>
          <w:tcPr>
            <w:tcW w:w="992" w:type="dxa"/>
            <w:noWrap/>
          </w:tcPr>
          <w:p w14:paraId="60B02D93">
            <w:pPr>
              <w:pStyle w:val="150"/>
              <w:spacing w:line="360" w:lineRule="auto"/>
              <w:rPr>
                <w:rFonts w:ascii="宋体" w:hAnsi="宋体" w:cs="宋体"/>
                <w:color w:val="auto"/>
                <w:szCs w:val="21"/>
                <w:highlight w:val="none"/>
              </w:rPr>
            </w:pPr>
          </w:p>
        </w:tc>
      </w:tr>
      <w:tr w14:paraId="22D8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tcPr>
          <w:p w14:paraId="10DF5EA7">
            <w:pPr>
              <w:pStyle w:val="150"/>
              <w:spacing w:line="360" w:lineRule="auto"/>
              <w:rPr>
                <w:rFonts w:ascii="宋体" w:hAnsi="宋体" w:cs="宋体"/>
                <w:color w:val="auto"/>
                <w:szCs w:val="21"/>
                <w:highlight w:val="none"/>
              </w:rPr>
            </w:pPr>
          </w:p>
        </w:tc>
        <w:tc>
          <w:tcPr>
            <w:tcW w:w="1226" w:type="dxa"/>
            <w:noWrap/>
          </w:tcPr>
          <w:p w14:paraId="55C8A7D1">
            <w:pPr>
              <w:pStyle w:val="150"/>
              <w:spacing w:line="360" w:lineRule="auto"/>
              <w:rPr>
                <w:rFonts w:ascii="宋体" w:hAnsi="宋体" w:cs="宋体"/>
                <w:color w:val="auto"/>
                <w:szCs w:val="21"/>
                <w:highlight w:val="none"/>
              </w:rPr>
            </w:pPr>
          </w:p>
        </w:tc>
        <w:tc>
          <w:tcPr>
            <w:tcW w:w="851" w:type="dxa"/>
            <w:noWrap/>
          </w:tcPr>
          <w:p w14:paraId="5686768B">
            <w:pPr>
              <w:pStyle w:val="150"/>
              <w:spacing w:line="360" w:lineRule="auto"/>
              <w:rPr>
                <w:rFonts w:ascii="宋体" w:hAnsi="宋体" w:cs="宋体"/>
                <w:color w:val="auto"/>
                <w:szCs w:val="21"/>
                <w:highlight w:val="none"/>
              </w:rPr>
            </w:pPr>
          </w:p>
        </w:tc>
        <w:tc>
          <w:tcPr>
            <w:tcW w:w="708" w:type="dxa"/>
            <w:noWrap/>
          </w:tcPr>
          <w:p w14:paraId="59AA1696">
            <w:pPr>
              <w:pStyle w:val="150"/>
              <w:spacing w:line="360" w:lineRule="auto"/>
              <w:rPr>
                <w:rFonts w:ascii="宋体" w:hAnsi="宋体" w:cs="宋体"/>
                <w:color w:val="auto"/>
                <w:szCs w:val="21"/>
                <w:highlight w:val="none"/>
              </w:rPr>
            </w:pPr>
          </w:p>
        </w:tc>
        <w:tc>
          <w:tcPr>
            <w:tcW w:w="709" w:type="dxa"/>
            <w:noWrap/>
          </w:tcPr>
          <w:p w14:paraId="55C073D1">
            <w:pPr>
              <w:pStyle w:val="150"/>
              <w:spacing w:line="360" w:lineRule="auto"/>
              <w:rPr>
                <w:rFonts w:ascii="宋体" w:hAnsi="宋体" w:cs="宋体"/>
                <w:color w:val="auto"/>
                <w:szCs w:val="21"/>
                <w:highlight w:val="none"/>
              </w:rPr>
            </w:pPr>
          </w:p>
        </w:tc>
        <w:tc>
          <w:tcPr>
            <w:tcW w:w="851" w:type="dxa"/>
            <w:noWrap/>
          </w:tcPr>
          <w:p w14:paraId="336FECBA">
            <w:pPr>
              <w:pStyle w:val="150"/>
              <w:spacing w:line="360" w:lineRule="auto"/>
              <w:rPr>
                <w:rFonts w:ascii="宋体" w:hAnsi="宋体" w:cs="宋体"/>
                <w:color w:val="auto"/>
                <w:szCs w:val="21"/>
                <w:highlight w:val="none"/>
              </w:rPr>
            </w:pPr>
          </w:p>
        </w:tc>
        <w:tc>
          <w:tcPr>
            <w:tcW w:w="1134" w:type="dxa"/>
            <w:noWrap/>
          </w:tcPr>
          <w:p w14:paraId="4CFF7A3B">
            <w:pPr>
              <w:pStyle w:val="150"/>
              <w:spacing w:line="360" w:lineRule="auto"/>
              <w:rPr>
                <w:rFonts w:ascii="宋体" w:hAnsi="宋体" w:cs="宋体"/>
                <w:color w:val="auto"/>
                <w:szCs w:val="21"/>
                <w:highlight w:val="none"/>
              </w:rPr>
            </w:pPr>
          </w:p>
        </w:tc>
        <w:tc>
          <w:tcPr>
            <w:tcW w:w="992" w:type="dxa"/>
            <w:noWrap/>
          </w:tcPr>
          <w:p w14:paraId="400D6CED">
            <w:pPr>
              <w:pStyle w:val="150"/>
              <w:spacing w:line="360" w:lineRule="auto"/>
              <w:rPr>
                <w:rFonts w:ascii="宋体" w:hAnsi="宋体" w:cs="宋体"/>
                <w:color w:val="auto"/>
                <w:szCs w:val="21"/>
                <w:highlight w:val="none"/>
              </w:rPr>
            </w:pPr>
          </w:p>
        </w:tc>
        <w:tc>
          <w:tcPr>
            <w:tcW w:w="1134" w:type="dxa"/>
            <w:noWrap/>
          </w:tcPr>
          <w:p w14:paraId="680F357C">
            <w:pPr>
              <w:pStyle w:val="150"/>
              <w:spacing w:line="360" w:lineRule="auto"/>
              <w:rPr>
                <w:rFonts w:ascii="宋体" w:hAnsi="宋体" w:cs="宋体"/>
                <w:color w:val="auto"/>
                <w:szCs w:val="21"/>
                <w:highlight w:val="none"/>
              </w:rPr>
            </w:pPr>
          </w:p>
        </w:tc>
        <w:tc>
          <w:tcPr>
            <w:tcW w:w="992" w:type="dxa"/>
            <w:noWrap/>
          </w:tcPr>
          <w:p w14:paraId="5E299082">
            <w:pPr>
              <w:pStyle w:val="150"/>
              <w:spacing w:line="360" w:lineRule="auto"/>
              <w:rPr>
                <w:rFonts w:ascii="宋体" w:hAnsi="宋体" w:cs="宋体"/>
                <w:color w:val="auto"/>
                <w:szCs w:val="21"/>
                <w:highlight w:val="none"/>
              </w:rPr>
            </w:pPr>
          </w:p>
        </w:tc>
      </w:tr>
      <w:tr w14:paraId="690D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tcPr>
          <w:p w14:paraId="61E93509">
            <w:pPr>
              <w:pStyle w:val="150"/>
              <w:spacing w:line="360" w:lineRule="auto"/>
              <w:rPr>
                <w:rFonts w:ascii="宋体" w:hAnsi="宋体" w:cs="宋体"/>
                <w:color w:val="auto"/>
                <w:szCs w:val="21"/>
                <w:highlight w:val="none"/>
              </w:rPr>
            </w:pPr>
          </w:p>
        </w:tc>
        <w:tc>
          <w:tcPr>
            <w:tcW w:w="1226" w:type="dxa"/>
            <w:noWrap/>
          </w:tcPr>
          <w:p w14:paraId="3E183428">
            <w:pPr>
              <w:pStyle w:val="150"/>
              <w:spacing w:line="360" w:lineRule="auto"/>
              <w:rPr>
                <w:rFonts w:ascii="宋体" w:hAnsi="宋体" w:cs="宋体"/>
                <w:color w:val="auto"/>
                <w:szCs w:val="21"/>
                <w:highlight w:val="none"/>
              </w:rPr>
            </w:pPr>
          </w:p>
        </w:tc>
        <w:tc>
          <w:tcPr>
            <w:tcW w:w="851" w:type="dxa"/>
            <w:noWrap/>
          </w:tcPr>
          <w:p w14:paraId="56BC8419">
            <w:pPr>
              <w:pStyle w:val="150"/>
              <w:spacing w:line="360" w:lineRule="auto"/>
              <w:rPr>
                <w:rFonts w:ascii="宋体" w:hAnsi="宋体" w:cs="宋体"/>
                <w:color w:val="auto"/>
                <w:szCs w:val="21"/>
                <w:highlight w:val="none"/>
              </w:rPr>
            </w:pPr>
          </w:p>
        </w:tc>
        <w:tc>
          <w:tcPr>
            <w:tcW w:w="708" w:type="dxa"/>
            <w:noWrap/>
          </w:tcPr>
          <w:p w14:paraId="7A9C0010">
            <w:pPr>
              <w:pStyle w:val="150"/>
              <w:spacing w:line="360" w:lineRule="auto"/>
              <w:rPr>
                <w:rFonts w:ascii="宋体" w:hAnsi="宋体" w:cs="宋体"/>
                <w:color w:val="auto"/>
                <w:szCs w:val="21"/>
                <w:highlight w:val="none"/>
              </w:rPr>
            </w:pPr>
          </w:p>
        </w:tc>
        <w:tc>
          <w:tcPr>
            <w:tcW w:w="709" w:type="dxa"/>
            <w:noWrap/>
          </w:tcPr>
          <w:p w14:paraId="4D044855">
            <w:pPr>
              <w:pStyle w:val="150"/>
              <w:spacing w:line="360" w:lineRule="auto"/>
              <w:rPr>
                <w:rFonts w:ascii="宋体" w:hAnsi="宋体" w:cs="宋体"/>
                <w:color w:val="auto"/>
                <w:szCs w:val="21"/>
                <w:highlight w:val="none"/>
              </w:rPr>
            </w:pPr>
          </w:p>
        </w:tc>
        <w:tc>
          <w:tcPr>
            <w:tcW w:w="851" w:type="dxa"/>
            <w:noWrap/>
          </w:tcPr>
          <w:p w14:paraId="4C291234">
            <w:pPr>
              <w:pStyle w:val="150"/>
              <w:spacing w:line="360" w:lineRule="auto"/>
              <w:rPr>
                <w:rFonts w:ascii="宋体" w:hAnsi="宋体" w:cs="宋体"/>
                <w:color w:val="auto"/>
                <w:szCs w:val="21"/>
                <w:highlight w:val="none"/>
              </w:rPr>
            </w:pPr>
          </w:p>
        </w:tc>
        <w:tc>
          <w:tcPr>
            <w:tcW w:w="1134" w:type="dxa"/>
            <w:noWrap/>
          </w:tcPr>
          <w:p w14:paraId="19AF98BA">
            <w:pPr>
              <w:pStyle w:val="150"/>
              <w:spacing w:line="360" w:lineRule="auto"/>
              <w:rPr>
                <w:rFonts w:ascii="宋体" w:hAnsi="宋体" w:cs="宋体"/>
                <w:color w:val="auto"/>
                <w:szCs w:val="21"/>
                <w:highlight w:val="none"/>
              </w:rPr>
            </w:pPr>
          </w:p>
        </w:tc>
        <w:tc>
          <w:tcPr>
            <w:tcW w:w="992" w:type="dxa"/>
            <w:noWrap/>
          </w:tcPr>
          <w:p w14:paraId="16C4BCCF">
            <w:pPr>
              <w:pStyle w:val="150"/>
              <w:spacing w:line="360" w:lineRule="auto"/>
              <w:rPr>
                <w:rFonts w:ascii="宋体" w:hAnsi="宋体" w:cs="宋体"/>
                <w:color w:val="auto"/>
                <w:szCs w:val="21"/>
                <w:highlight w:val="none"/>
              </w:rPr>
            </w:pPr>
          </w:p>
        </w:tc>
        <w:tc>
          <w:tcPr>
            <w:tcW w:w="1134" w:type="dxa"/>
            <w:noWrap/>
          </w:tcPr>
          <w:p w14:paraId="79FAA7EA">
            <w:pPr>
              <w:pStyle w:val="150"/>
              <w:spacing w:line="360" w:lineRule="auto"/>
              <w:rPr>
                <w:rFonts w:ascii="宋体" w:hAnsi="宋体" w:cs="宋体"/>
                <w:color w:val="auto"/>
                <w:szCs w:val="21"/>
                <w:highlight w:val="none"/>
              </w:rPr>
            </w:pPr>
          </w:p>
        </w:tc>
        <w:tc>
          <w:tcPr>
            <w:tcW w:w="992" w:type="dxa"/>
            <w:noWrap/>
          </w:tcPr>
          <w:p w14:paraId="3F5D2A4C">
            <w:pPr>
              <w:pStyle w:val="150"/>
              <w:spacing w:line="360" w:lineRule="auto"/>
              <w:rPr>
                <w:rFonts w:ascii="宋体" w:hAnsi="宋体" w:cs="宋体"/>
                <w:color w:val="auto"/>
                <w:szCs w:val="21"/>
                <w:highlight w:val="none"/>
              </w:rPr>
            </w:pPr>
          </w:p>
        </w:tc>
      </w:tr>
      <w:tr w14:paraId="46AA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tcPr>
          <w:p w14:paraId="61DD4D43">
            <w:pPr>
              <w:pStyle w:val="150"/>
              <w:spacing w:line="360" w:lineRule="auto"/>
              <w:rPr>
                <w:rFonts w:ascii="宋体" w:hAnsi="宋体" w:cs="宋体"/>
                <w:color w:val="auto"/>
                <w:szCs w:val="21"/>
                <w:highlight w:val="none"/>
              </w:rPr>
            </w:pPr>
          </w:p>
        </w:tc>
        <w:tc>
          <w:tcPr>
            <w:tcW w:w="1226" w:type="dxa"/>
            <w:noWrap/>
          </w:tcPr>
          <w:p w14:paraId="400A639B">
            <w:pPr>
              <w:pStyle w:val="150"/>
              <w:spacing w:line="360" w:lineRule="auto"/>
              <w:rPr>
                <w:rFonts w:ascii="宋体" w:hAnsi="宋体" w:cs="宋体"/>
                <w:color w:val="auto"/>
                <w:szCs w:val="21"/>
                <w:highlight w:val="none"/>
              </w:rPr>
            </w:pPr>
          </w:p>
        </w:tc>
        <w:tc>
          <w:tcPr>
            <w:tcW w:w="851" w:type="dxa"/>
            <w:noWrap/>
          </w:tcPr>
          <w:p w14:paraId="7470C15B">
            <w:pPr>
              <w:pStyle w:val="150"/>
              <w:spacing w:line="360" w:lineRule="auto"/>
              <w:rPr>
                <w:rFonts w:ascii="宋体" w:hAnsi="宋体" w:cs="宋体"/>
                <w:color w:val="auto"/>
                <w:szCs w:val="21"/>
                <w:highlight w:val="none"/>
              </w:rPr>
            </w:pPr>
          </w:p>
        </w:tc>
        <w:tc>
          <w:tcPr>
            <w:tcW w:w="708" w:type="dxa"/>
            <w:noWrap/>
          </w:tcPr>
          <w:p w14:paraId="1A46132A">
            <w:pPr>
              <w:pStyle w:val="150"/>
              <w:spacing w:line="360" w:lineRule="auto"/>
              <w:rPr>
                <w:rFonts w:ascii="宋体" w:hAnsi="宋体" w:cs="宋体"/>
                <w:color w:val="auto"/>
                <w:szCs w:val="21"/>
                <w:highlight w:val="none"/>
              </w:rPr>
            </w:pPr>
          </w:p>
        </w:tc>
        <w:tc>
          <w:tcPr>
            <w:tcW w:w="709" w:type="dxa"/>
            <w:noWrap/>
          </w:tcPr>
          <w:p w14:paraId="3ED45F55">
            <w:pPr>
              <w:pStyle w:val="150"/>
              <w:spacing w:line="360" w:lineRule="auto"/>
              <w:rPr>
                <w:rFonts w:ascii="宋体" w:hAnsi="宋体" w:cs="宋体"/>
                <w:color w:val="auto"/>
                <w:szCs w:val="21"/>
                <w:highlight w:val="none"/>
              </w:rPr>
            </w:pPr>
          </w:p>
        </w:tc>
        <w:tc>
          <w:tcPr>
            <w:tcW w:w="851" w:type="dxa"/>
            <w:noWrap/>
          </w:tcPr>
          <w:p w14:paraId="0F1E66F6">
            <w:pPr>
              <w:pStyle w:val="150"/>
              <w:spacing w:line="360" w:lineRule="auto"/>
              <w:rPr>
                <w:rFonts w:ascii="宋体" w:hAnsi="宋体" w:cs="宋体"/>
                <w:color w:val="auto"/>
                <w:szCs w:val="21"/>
                <w:highlight w:val="none"/>
              </w:rPr>
            </w:pPr>
          </w:p>
        </w:tc>
        <w:tc>
          <w:tcPr>
            <w:tcW w:w="1134" w:type="dxa"/>
            <w:noWrap/>
          </w:tcPr>
          <w:p w14:paraId="5DDFB69D">
            <w:pPr>
              <w:pStyle w:val="150"/>
              <w:spacing w:line="360" w:lineRule="auto"/>
              <w:rPr>
                <w:rFonts w:ascii="宋体" w:hAnsi="宋体" w:cs="宋体"/>
                <w:color w:val="auto"/>
                <w:szCs w:val="21"/>
                <w:highlight w:val="none"/>
              </w:rPr>
            </w:pPr>
          </w:p>
        </w:tc>
        <w:tc>
          <w:tcPr>
            <w:tcW w:w="992" w:type="dxa"/>
            <w:noWrap/>
          </w:tcPr>
          <w:p w14:paraId="617805DF">
            <w:pPr>
              <w:pStyle w:val="150"/>
              <w:spacing w:line="360" w:lineRule="auto"/>
              <w:rPr>
                <w:rFonts w:ascii="宋体" w:hAnsi="宋体" w:cs="宋体"/>
                <w:color w:val="auto"/>
                <w:szCs w:val="21"/>
                <w:highlight w:val="none"/>
              </w:rPr>
            </w:pPr>
          </w:p>
        </w:tc>
        <w:tc>
          <w:tcPr>
            <w:tcW w:w="1134" w:type="dxa"/>
            <w:noWrap/>
          </w:tcPr>
          <w:p w14:paraId="6350AE27">
            <w:pPr>
              <w:pStyle w:val="150"/>
              <w:spacing w:line="360" w:lineRule="auto"/>
              <w:rPr>
                <w:rFonts w:ascii="宋体" w:hAnsi="宋体" w:cs="宋体"/>
                <w:color w:val="auto"/>
                <w:szCs w:val="21"/>
                <w:highlight w:val="none"/>
              </w:rPr>
            </w:pPr>
          </w:p>
        </w:tc>
        <w:tc>
          <w:tcPr>
            <w:tcW w:w="992" w:type="dxa"/>
            <w:noWrap/>
          </w:tcPr>
          <w:p w14:paraId="49165FCE">
            <w:pPr>
              <w:pStyle w:val="150"/>
              <w:spacing w:line="360" w:lineRule="auto"/>
              <w:rPr>
                <w:rFonts w:ascii="宋体" w:hAnsi="宋体" w:cs="宋体"/>
                <w:color w:val="auto"/>
                <w:szCs w:val="21"/>
                <w:highlight w:val="none"/>
              </w:rPr>
            </w:pPr>
          </w:p>
        </w:tc>
      </w:tr>
      <w:tr w14:paraId="03F4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tcPr>
          <w:p w14:paraId="38B7C2C7">
            <w:pPr>
              <w:pStyle w:val="150"/>
              <w:spacing w:line="360" w:lineRule="auto"/>
              <w:rPr>
                <w:rFonts w:ascii="宋体" w:hAnsi="宋体" w:cs="宋体"/>
                <w:color w:val="auto"/>
                <w:szCs w:val="21"/>
                <w:highlight w:val="none"/>
              </w:rPr>
            </w:pPr>
          </w:p>
        </w:tc>
        <w:tc>
          <w:tcPr>
            <w:tcW w:w="1226" w:type="dxa"/>
            <w:noWrap/>
          </w:tcPr>
          <w:p w14:paraId="3F710B41">
            <w:pPr>
              <w:pStyle w:val="150"/>
              <w:spacing w:line="360" w:lineRule="auto"/>
              <w:rPr>
                <w:rFonts w:ascii="宋体" w:hAnsi="宋体" w:cs="宋体"/>
                <w:color w:val="auto"/>
                <w:szCs w:val="21"/>
                <w:highlight w:val="none"/>
              </w:rPr>
            </w:pPr>
          </w:p>
        </w:tc>
        <w:tc>
          <w:tcPr>
            <w:tcW w:w="851" w:type="dxa"/>
            <w:noWrap/>
          </w:tcPr>
          <w:p w14:paraId="5AA87FDD">
            <w:pPr>
              <w:pStyle w:val="150"/>
              <w:spacing w:line="360" w:lineRule="auto"/>
              <w:rPr>
                <w:rFonts w:ascii="宋体" w:hAnsi="宋体" w:cs="宋体"/>
                <w:color w:val="auto"/>
                <w:szCs w:val="21"/>
                <w:highlight w:val="none"/>
              </w:rPr>
            </w:pPr>
          </w:p>
        </w:tc>
        <w:tc>
          <w:tcPr>
            <w:tcW w:w="708" w:type="dxa"/>
            <w:noWrap/>
          </w:tcPr>
          <w:p w14:paraId="1D2AE8BD">
            <w:pPr>
              <w:pStyle w:val="150"/>
              <w:spacing w:line="360" w:lineRule="auto"/>
              <w:rPr>
                <w:rFonts w:ascii="宋体" w:hAnsi="宋体" w:cs="宋体"/>
                <w:color w:val="auto"/>
                <w:szCs w:val="21"/>
                <w:highlight w:val="none"/>
              </w:rPr>
            </w:pPr>
          </w:p>
        </w:tc>
        <w:tc>
          <w:tcPr>
            <w:tcW w:w="709" w:type="dxa"/>
            <w:noWrap/>
          </w:tcPr>
          <w:p w14:paraId="2328D511">
            <w:pPr>
              <w:pStyle w:val="150"/>
              <w:spacing w:line="360" w:lineRule="auto"/>
              <w:rPr>
                <w:rFonts w:ascii="宋体" w:hAnsi="宋体" w:cs="宋体"/>
                <w:color w:val="auto"/>
                <w:szCs w:val="21"/>
                <w:highlight w:val="none"/>
              </w:rPr>
            </w:pPr>
          </w:p>
        </w:tc>
        <w:tc>
          <w:tcPr>
            <w:tcW w:w="851" w:type="dxa"/>
            <w:noWrap/>
          </w:tcPr>
          <w:p w14:paraId="6C7613C5">
            <w:pPr>
              <w:pStyle w:val="150"/>
              <w:spacing w:line="360" w:lineRule="auto"/>
              <w:rPr>
                <w:rFonts w:ascii="宋体" w:hAnsi="宋体" w:cs="宋体"/>
                <w:color w:val="auto"/>
                <w:szCs w:val="21"/>
                <w:highlight w:val="none"/>
              </w:rPr>
            </w:pPr>
          </w:p>
        </w:tc>
        <w:tc>
          <w:tcPr>
            <w:tcW w:w="1134" w:type="dxa"/>
            <w:noWrap/>
          </w:tcPr>
          <w:p w14:paraId="551E493A">
            <w:pPr>
              <w:pStyle w:val="150"/>
              <w:spacing w:line="360" w:lineRule="auto"/>
              <w:rPr>
                <w:rFonts w:ascii="宋体" w:hAnsi="宋体" w:cs="宋体"/>
                <w:color w:val="auto"/>
                <w:szCs w:val="21"/>
                <w:highlight w:val="none"/>
              </w:rPr>
            </w:pPr>
          </w:p>
        </w:tc>
        <w:tc>
          <w:tcPr>
            <w:tcW w:w="992" w:type="dxa"/>
            <w:noWrap/>
          </w:tcPr>
          <w:p w14:paraId="6FE03248">
            <w:pPr>
              <w:pStyle w:val="150"/>
              <w:spacing w:line="360" w:lineRule="auto"/>
              <w:rPr>
                <w:rFonts w:ascii="宋体" w:hAnsi="宋体" w:cs="宋体"/>
                <w:color w:val="auto"/>
                <w:szCs w:val="21"/>
                <w:highlight w:val="none"/>
              </w:rPr>
            </w:pPr>
          </w:p>
        </w:tc>
        <w:tc>
          <w:tcPr>
            <w:tcW w:w="1134" w:type="dxa"/>
            <w:noWrap/>
          </w:tcPr>
          <w:p w14:paraId="1F05238C">
            <w:pPr>
              <w:pStyle w:val="150"/>
              <w:spacing w:line="360" w:lineRule="auto"/>
              <w:rPr>
                <w:rFonts w:ascii="宋体" w:hAnsi="宋体" w:cs="宋体"/>
                <w:color w:val="auto"/>
                <w:szCs w:val="21"/>
                <w:highlight w:val="none"/>
              </w:rPr>
            </w:pPr>
          </w:p>
        </w:tc>
        <w:tc>
          <w:tcPr>
            <w:tcW w:w="992" w:type="dxa"/>
            <w:noWrap/>
          </w:tcPr>
          <w:p w14:paraId="06EF0154">
            <w:pPr>
              <w:pStyle w:val="150"/>
              <w:spacing w:line="360" w:lineRule="auto"/>
              <w:rPr>
                <w:rFonts w:ascii="宋体" w:hAnsi="宋体" w:cs="宋体"/>
                <w:color w:val="auto"/>
                <w:szCs w:val="21"/>
                <w:highlight w:val="none"/>
              </w:rPr>
            </w:pPr>
          </w:p>
        </w:tc>
      </w:tr>
    </w:tbl>
    <w:p w14:paraId="75B5CD82">
      <w:pPr>
        <w:pStyle w:val="150"/>
        <w:rPr>
          <w:rFonts w:ascii="宋体" w:hAnsi="宋体" w:cs="宋体"/>
          <w:color w:val="auto"/>
          <w:szCs w:val="21"/>
          <w:highlight w:val="none"/>
        </w:rPr>
      </w:pPr>
    </w:p>
    <w:p w14:paraId="2E839A95">
      <w:pPr>
        <w:pStyle w:val="150"/>
        <w:rPr>
          <w:rFonts w:ascii="宋体" w:hAnsi="宋体" w:cs="宋体"/>
          <w:color w:val="auto"/>
          <w:szCs w:val="21"/>
          <w:highlight w:val="none"/>
        </w:rPr>
      </w:pPr>
    </w:p>
    <w:p w14:paraId="7E244274">
      <w:pPr>
        <w:pStyle w:val="150"/>
        <w:rPr>
          <w:rFonts w:ascii="宋体" w:hAnsi="宋体" w:cs="宋体"/>
          <w:color w:val="auto"/>
          <w:szCs w:val="21"/>
          <w:highlight w:val="none"/>
        </w:rPr>
      </w:pPr>
      <w:r>
        <w:rPr>
          <w:rFonts w:hint="eastAsia" w:ascii="宋体" w:hAnsi="宋体" w:cs="宋体"/>
          <w:color w:val="auto"/>
          <w:szCs w:val="21"/>
          <w:highlight w:val="none"/>
        </w:rPr>
        <w:br w:type="page"/>
      </w:r>
    </w:p>
    <w:p w14:paraId="11DEF2E0">
      <w:pPr>
        <w:pStyle w:val="150"/>
        <w:rPr>
          <w:rFonts w:ascii="宋体" w:hAnsi="宋体" w:cs="宋体"/>
          <w:color w:val="auto"/>
          <w:szCs w:val="21"/>
          <w:highlight w:val="none"/>
        </w:rPr>
      </w:pPr>
      <w:r>
        <w:rPr>
          <w:rFonts w:hint="eastAsia" w:ascii="宋体" w:hAnsi="宋体" w:cs="宋体"/>
          <w:color w:val="auto"/>
          <w:szCs w:val="21"/>
          <w:highlight w:val="none"/>
        </w:rPr>
        <w:t>附表二：拟配备本工程的试验和检测仪器设备表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6984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ign w:val="center"/>
          </w:tcPr>
          <w:p w14:paraId="0A7D66BB">
            <w:pPr>
              <w:pStyle w:val="15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26" w:type="dxa"/>
            <w:noWrap/>
            <w:vAlign w:val="center"/>
          </w:tcPr>
          <w:p w14:paraId="0B2DC353">
            <w:pPr>
              <w:pStyle w:val="150"/>
              <w:jc w:val="center"/>
              <w:rPr>
                <w:rFonts w:ascii="宋体" w:hAnsi="宋体" w:cs="宋体"/>
                <w:color w:val="auto"/>
                <w:szCs w:val="21"/>
                <w:highlight w:val="none"/>
              </w:rPr>
            </w:pPr>
            <w:r>
              <w:rPr>
                <w:rFonts w:hint="eastAsia" w:ascii="宋体" w:hAnsi="宋体" w:cs="宋体"/>
                <w:color w:val="auto"/>
                <w:szCs w:val="21"/>
                <w:highlight w:val="none"/>
              </w:rPr>
              <w:t>仪器设备名称</w:t>
            </w:r>
          </w:p>
        </w:tc>
        <w:tc>
          <w:tcPr>
            <w:tcW w:w="851" w:type="dxa"/>
            <w:noWrap/>
            <w:vAlign w:val="center"/>
          </w:tcPr>
          <w:p w14:paraId="72AAC8F6">
            <w:pPr>
              <w:pStyle w:val="150"/>
              <w:jc w:val="center"/>
              <w:rPr>
                <w:rFonts w:ascii="宋体" w:hAnsi="宋体" w:cs="宋体"/>
                <w:color w:val="auto"/>
                <w:szCs w:val="21"/>
                <w:highlight w:val="none"/>
              </w:rPr>
            </w:pPr>
            <w:r>
              <w:rPr>
                <w:rFonts w:hint="eastAsia" w:ascii="宋体" w:hAnsi="宋体" w:cs="宋体"/>
                <w:color w:val="auto"/>
                <w:szCs w:val="21"/>
                <w:highlight w:val="none"/>
              </w:rPr>
              <w:t>型号</w:t>
            </w:r>
          </w:p>
          <w:p w14:paraId="2BC21438">
            <w:pPr>
              <w:pStyle w:val="150"/>
              <w:jc w:val="center"/>
              <w:rPr>
                <w:rFonts w:ascii="宋体" w:hAnsi="宋体" w:cs="宋体"/>
                <w:color w:val="auto"/>
                <w:szCs w:val="21"/>
                <w:highlight w:val="none"/>
              </w:rPr>
            </w:pPr>
            <w:r>
              <w:rPr>
                <w:rFonts w:hint="eastAsia" w:ascii="宋体" w:hAnsi="宋体" w:cs="宋体"/>
                <w:color w:val="auto"/>
                <w:szCs w:val="21"/>
                <w:highlight w:val="none"/>
              </w:rPr>
              <w:t>规格</w:t>
            </w:r>
          </w:p>
        </w:tc>
        <w:tc>
          <w:tcPr>
            <w:tcW w:w="708" w:type="dxa"/>
            <w:noWrap/>
            <w:vAlign w:val="center"/>
          </w:tcPr>
          <w:p w14:paraId="33900CF3">
            <w:pPr>
              <w:pStyle w:val="150"/>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709" w:type="dxa"/>
            <w:noWrap/>
            <w:vAlign w:val="center"/>
          </w:tcPr>
          <w:p w14:paraId="418F1B3B">
            <w:pPr>
              <w:pStyle w:val="150"/>
              <w:jc w:val="center"/>
              <w:rPr>
                <w:rFonts w:ascii="宋体" w:hAnsi="宋体" w:cs="宋体"/>
                <w:color w:val="auto"/>
                <w:szCs w:val="21"/>
                <w:highlight w:val="none"/>
              </w:rPr>
            </w:pPr>
            <w:r>
              <w:rPr>
                <w:rFonts w:hint="eastAsia" w:ascii="宋体" w:hAnsi="宋体" w:cs="宋体"/>
                <w:color w:val="auto"/>
                <w:szCs w:val="21"/>
                <w:highlight w:val="none"/>
              </w:rPr>
              <w:t>国别</w:t>
            </w:r>
          </w:p>
          <w:p w14:paraId="0056ADDB">
            <w:pPr>
              <w:pStyle w:val="150"/>
              <w:jc w:val="center"/>
              <w:rPr>
                <w:rFonts w:ascii="宋体" w:hAnsi="宋体" w:cs="宋体"/>
                <w:color w:val="auto"/>
                <w:szCs w:val="21"/>
                <w:highlight w:val="none"/>
              </w:rPr>
            </w:pPr>
            <w:r>
              <w:rPr>
                <w:rFonts w:hint="eastAsia" w:ascii="宋体" w:hAnsi="宋体" w:cs="宋体"/>
                <w:color w:val="auto"/>
                <w:szCs w:val="21"/>
                <w:highlight w:val="none"/>
              </w:rPr>
              <w:t>产地</w:t>
            </w:r>
          </w:p>
        </w:tc>
        <w:tc>
          <w:tcPr>
            <w:tcW w:w="1134" w:type="dxa"/>
            <w:noWrap/>
            <w:vAlign w:val="center"/>
          </w:tcPr>
          <w:p w14:paraId="2506C6E7">
            <w:pPr>
              <w:pStyle w:val="150"/>
              <w:jc w:val="center"/>
              <w:rPr>
                <w:rFonts w:ascii="宋体" w:hAnsi="宋体" w:cs="宋体"/>
                <w:color w:val="auto"/>
                <w:szCs w:val="21"/>
                <w:highlight w:val="none"/>
              </w:rPr>
            </w:pPr>
            <w:r>
              <w:rPr>
                <w:rFonts w:hint="eastAsia" w:ascii="宋体" w:hAnsi="宋体" w:cs="宋体"/>
                <w:color w:val="auto"/>
                <w:szCs w:val="21"/>
                <w:highlight w:val="none"/>
              </w:rPr>
              <w:t>制造年份</w:t>
            </w:r>
          </w:p>
        </w:tc>
        <w:tc>
          <w:tcPr>
            <w:tcW w:w="1276" w:type="dxa"/>
            <w:noWrap/>
            <w:vAlign w:val="center"/>
          </w:tcPr>
          <w:p w14:paraId="55219835">
            <w:pPr>
              <w:pStyle w:val="150"/>
              <w:jc w:val="center"/>
              <w:rPr>
                <w:rFonts w:ascii="宋体" w:hAnsi="宋体" w:cs="宋体"/>
                <w:color w:val="auto"/>
                <w:szCs w:val="21"/>
                <w:highlight w:val="none"/>
              </w:rPr>
            </w:pPr>
            <w:r>
              <w:rPr>
                <w:rFonts w:hint="eastAsia" w:ascii="宋体" w:hAnsi="宋体" w:cs="宋体"/>
                <w:color w:val="auto"/>
                <w:szCs w:val="21"/>
                <w:highlight w:val="none"/>
              </w:rPr>
              <w:t>已使用</w:t>
            </w:r>
          </w:p>
          <w:p w14:paraId="62F0E15B">
            <w:pPr>
              <w:pStyle w:val="150"/>
              <w:jc w:val="center"/>
              <w:rPr>
                <w:rFonts w:ascii="宋体" w:hAnsi="宋体" w:cs="宋体"/>
                <w:color w:val="auto"/>
                <w:szCs w:val="21"/>
                <w:highlight w:val="none"/>
              </w:rPr>
            </w:pPr>
            <w:r>
              <w:rPr>
                <w:rFonts w:hint="eastAsia" w:ascii="宋体" w:hAnsi="宋体" w:cs="宋体"/>
                <w:color w:val="auto"/>
                <w:szCs w:val="21"/>
                <w:highlight w:val="none"/>
              </w:rPr>
              <w:t>台时数</w:t>
            </w:r>
          </w:p>
        </w:tc>
        <w:tc>
          <w:tcPr>
            <w:tcW w:w="1134" w:type="dxa"/>
            <w:noWrap/>
            <w:vAlign w:val="center"/>
          </w:tcPr>
          <w:p w14:paraId="304D8E21">
            <w:pPr>
              <w:pStyle w:val="150"/>
              <w:jc w:val="center"/>
              <w:rPr>
                <w:rFonts w:ascii="宋体" w:hAnsi="宋体" w:cs="宋体"/>
                <w:color w:val="auto"/>
                <w:szCs w:val="21"/>
                <w:highlight w:val="none"/>
              </w:rPr>
            </w:pPr>
            <w:r>
              <w:rPr>
                <w:rFonts w:hint="eastAsia" w:ascii="宋体" w:hAnsi="宋体" w:cs="宋体"/>
                <w:color w:val="auto"/>
                <w:szCs w:val="21"/>
                <w:highlight w:val="none"/>
              </w:rPr>
              <w:t>用途</w:t>
            </w:r>
          </w:p>
        </w:tc>
        <w:tc>
          <w:tcPr>
            <w:tcW w:w="1559" w:type="dxa"/>
            <w:noWrap/>
            <w:vAlign w:val="center"/>
          </w:tcPr>
          <w:p w14:paraId="08878837">
            <w:pPr>
              <w:pStyle w:val="150"/>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5BC3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ign w:val="center"/>
          </w:tcPr>
          <w:p w14:paraId="559DB24F">
            <w:pPr>
              <w:pStyle w:val="150"/>
              <w:spacing w:line="360" w:lineRule="auto"/>
              <w:ind w:firstLine="420" w:firstLineChars="200"/>
              <w:rPr>
                <w:rFonts w:ascii="宋体" w:hAnsi="宋体" w:cs="宋体"/>
                <w:color w:val="auto"/>
                <w:szCs w:val="21"/>
                <w:highlight w:val="none"/>
              </w:rPr>
            </w:pPr>
          </w:p>
        </w:tc>
        <w:tc>
          <w:tcPr>
            <w:tcW w:w="1226" w:type="dxa"/>
            <w:noWrap/>
            <w:vAlign w:val="center"/>
          </w:tcPr>
          <w:p w14:paraId="40CA894C">
            <w:pPr>
              <w:pStyle w:val="150"/>
              <w:spacing w:line="360" w:lineRule="auto"/>
              <w:ind w:firstLine="420" w:firstLineChars="200"/>
              <w:rPr>
                <w:rFonts w:ascii="宋体" w:hAnsi="宋体" w:cs="宋体"/>
                <w:color w:val="auto"/>
                <w:szCs w:val="21"/>
                <w:highlight w:val="none"/>
              </w:rPr>
            </w:pPr>
          </w:p>
        </w:tc>
        <w:tc>
          <w:tcPr>
            <w:tcW w:w="851" w:type="dxa"/>
            <w:noWrap/>
            <w:vAlign w:val="center"/>
          </w:tcPr>
          <w:p w14:paraId="73B6F62F">
            <w:pPr>
              <w:pStyle w:val="150"/>
              <w:spacing w:line="360" w:lineRule="auto"/>
              <w:ind w:firstLine="420" w:firstLineChars="200"/>
              <w:rPr>
                <w:rFonts w:ascii="宋体" w:hAnsi="宋体" w:cs="宋体"/>
                <w:color w:val="auto"/>
                <w:szCs w:val="21"/>
                <w:highlight w:val="none"/>
              </w:rPr>
            </w:pPr>
          </w:p>
        </w:tc>
        <w:tc>
          <w:tcPr>
            <w:tcW w:w="708" w:type="dxa"/>
            <w:noWrap/>
            <w:vAlign w:val="center"/>
          </w:tcPr>
          <w:p w14:paraId="222DA1F7">
            <w:pPr>
              <w:pStyle w:val="150"/>
              <w:spacing w:line="360" w:lineRule="auto"/>
              <w:ind w:firstLine="420" w:firstLineChars="200"/>
              <w:rPr>
                <w:rFonts w:ascii="宋体" w:hAnsi="宋体" w:cs="宋体"/>
                <w:color w:val="auto"/>
                <w:szCs w:val="21"/>
                <w:highlight w:val="none"/>
              </w:rPr>
            </w:pPr>
          </w:p>
        </w:tc>
        <w:tc>
          <w:tcPr>
            <w:tcW w:w="709" w:type="dxa"/>
            <w:noWrap/>
            <w:vAlign w:val="center"/>
          </w:tcPr>
          <w:p w14:paraId="2DDDF25A">
            <w:pPr>
              <w:pStyle w:val="150"/>
              <w:spacing w:line="360" w:lineRule="auto"/>
              <w:ind w:firstLine="420" w:firstLineChars="200"/>
              <w:rPr>
                <w:rFonts w:ascii="宋体" w:hAnsi="宋体" w:cs="宋体"/>
                <w:color w:val="auto"/>
                <w:szCs w:val="21"/>
                <w:highlight w:val="none"/>
              </w:rPr>
            </w:pPr>
          </w:p>
        </w:tc>
        <w:tc>
          <w:tcPr>
            <w:tcW w:w="1134" w:type="dxa"/>
            <w:noWrap/>
            <w:vAlign w:val="center"/>
          </w:tcPr>
          <w:p w14:paraId="5ED4AB61">
            <w:pPr>
              <w:pStyle w:val="150"/>
              <w:spacing w:line="360" w:lineRule="auto"/>
              <w:ind w:firstLine="420" w:firstLineChars="200"/>
              <w:rPr>
                <w:rFonts w:ascii="宋体" w:hAnsi="宋体" w:cs="宋体"/>
                <w:color w:val="auto"/>
                <w:szCs w:val="21"/>
                <w:highlight w:val="none"/>
              </w:rPr>
            </w:pPr>
          </w:p>
        </w:tc>
        <w:tc>
          <w:tcPr>
            <w:tcW w:w="1276" w:type="dxa"/>
            <w:noWrap/>
            <w:vAlign w:val="center"/>
          </w:tcPr>
          <w:p w14:paraId="12D80F72">
            <w:pPr>
              <w:pStyle w:val="150"/>
              <w:spacing w:line="360" w:lineRule="auto"/>
              <w:ind w:firstLine="420" w:firstLineChars="200"/>
              <w:rPr>
                <w:rFonts w:ascii="宋体" w:hAnsi="宋体" w:cs="宋体"/>
                <w:color w:val="auto"/>
                <w:szCs w:val="21"/>
                <w:highlight w:val="none"/>
              </w:rPr>
            </w:pPr>
          </w:p>
        </w:tc>
        <w:tc>
          <w:tcPr>
            <w:tcW w:w="1134" w:type="dxa"/>
            <w:noWrap/>
            <w:vAlign w:val="center"/>
          </w:tcPr>
          <w:p w14:paraId="3E785280">
            <w:pPr>
              <w:pStyle w:val="150"/>
              <w:spacing w:line="360" w:lineRule="auto"/>
              <w:ind w:firstLine="420" w:firstLineChars="200"/>
              <w:rPr>
                <w:rFonts w:ascii="宋体" w:hAnsi="宋体" w:cs="宋体"/>
                <w:color w:val="auto"/>
                <w:szCs w:val="21"/>
                <w:highlight w:val="none"/>
              </w:rPr>
            </w:pPr>
          </w:p>
        </w:tc>
        <w:tc>
          <w:tcPr>
            <w:tcW w:w="1559" w:type="dxa"/>
            <w:noWrap/>
            <w:vAlign w:val="center"/>
          </w:tcPr>
          <w:p w14:paraId="792EC34B">
            <w:pPr>
              <w:pStyle w:val="150"/>
              <w:spacing w:line="360" w:lineRule="auto"/>
              <w:ind w:firstLine="420" w:firstLineChars="200"/>
              <w:rPr>
                <w:rFonts w:ascii="宋体" w:hAnsi="宋体" w:cs="宋体"/>
                <w:color w:val="auto"/>
                <w:szCs w:val="21"/>
                <w:highlight w:val="none"/>
              </w:rPr>
            </w:pPr>
          </w:p>
        </w:tc>
      </w:tr>
      <w:tr w14:paraId="2581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ign w:val="center"/>
          </w:tcPr>
          <w:p w14:paraId="4BF5D526">
            <w:pPr>
              <w:pStyle w:val="150"/>
              <w:spacing w:line="360" w:lineRule="auto"/>
              <w:ind w:firstLine="420" w:firstLineChars="200"/>
              <w:rPr>
                <w:rFonts w:ascii="宋体" w:hAnsi="宋体" w:cs="宋体"/>
                <w:color w:val="auto"/>
                <w:szCs w:val="21"/>
                <w:highlight w:val="none"/>
              </w:rPr>
            </w:pPr>
          </w:p>
        </w:tc>
        <w:tc>
          <w:tcPr>
            <w:tcW w:w="1226" w:type="dxa"/>
            <w:noWrap/>
            <w:vAlign w:val="center"/>
          </w:tcPr>
          <w:p w14:paraId="64A017C4">
            <w:pPr>
              <w:pStyle w:val="150"/>
              <w:spacing w:line="360" w:lineRule="auto"/>
              <w:ind w:firstLine="420" w:firstLineChars="200"/>
              <w:rPr>
                <w:rFonts w:ascii="宋体" w:hAnsi="宋体" w:cs="宋体"/>
                <w:color w:val="auto"/>
                <w:szCs w:val="21"/>
                <w:highlight w:val="none"/>
              </w:rPr>
            </w:pPr>
          </w:p>
        </w:tc>
        <w:tc>
          <w:tcPr>
            <w:tcW w:w="851" w:type="dxa"/>
            <w:noWrap/>
            <w:vAlign w:val="center"/>
          </w:tcPr>
          <w:p w14:paraId="0807C69F">
            <w:pPr>
              <w:pStyle w:val="150"/>
              <w:spacing w:line="360" w:lineRule="auto"/>
              <w:ind w:firstLine="420" w:firstLineChars="200"/>
              <w:rPr>
                <w:rFonts w:ascii="宋体" w:hAnsi="宋体" w:cs="宋体"/>
                <w:color w:val="auto"/>
                <w:szCs w:val="21"/>
                <w:highlight w:val="none"/>
              </w:rPr>
            </w:pPr>
          </w:p>
        </w:tc>
        <w:tc>
          <w:tcPr>
            <w:tcW w:w="708" w:type="dxa"/>
            <w:noWrap/>
            <w:vAlign w:val="center"/>
          </w:tcPr>
          <w:p w14:paraId="30BCEA14">
            <w:pPr>
              <w:pStyle w:val="150"/>
              <w:spacing w:line="360" w:lineRule="auto"/>
              <w:ind w:firstLine="420" w:firstLineChars="200"/>
              <w:rPr>
                <w:rFonts w:ascii="宋体" w:hAnsi="宋体" w:cs="宋体"/>
                <w:color w:val="auto"/>
                <w:szCs w:val="21"/>
                <w:highlight w:val="none"/>
              </w:rPr>
            </w:pPr>
          </w:p>
        </w:tc>
        <w:tc>
          <w:tcPr>
            <w:tcW w:w="709" w:type="dxa"/>
            <w:noWrap/>
            <w:vAlign w:val="center"/>
          </w:tcPr>
          <w:p w14:paraId="4F4F2D2E">
            <w:pPr>
              <w:pStyle w:val="150"/>
              <w:spacing w:line="360" w:lineRule="auto"/>
              <w:ind w:firstLine="420" w:firstLineChars="200"/>
              <w:rPr>
                <w:rFonts w:ascii="宋体" w:hAnsi="宋体" w:cs="宋体"/>
                <w:color w:val="auto"/>
                <w:szCs w:val="21"/>
                <w:highlight w:val="none"/>
              </w:rPr>
            </w:pPr>
          </w:p>
        </w:tc>
        <w:tc>
          <w:tcPr>
            <w:tcW w:w="1134" w:type="dxa"/>
            <w:noWrap/>
            <w:vAlign w:val="center"/>
          </w:tcPr>
          <w:p w14:paraId="3045AF25">
            <w:pPr>
              <w:pStyle w:val="150"/>
              <w:spacing w:line="360" w:lineRule="auto"/>
              <w:ind w:firstLine="420" w:firstLineChars="200"/>
              <w:rPr>
                <w:rFonts w:ascii="宋体" w:hAnsi="宋体" w:cs="宋体"/>
                <w:color w:val="auto"/>
                <w:szCs w:val="21"/>
                <w:highlight w:val="none"/>
              </w:rPr>
            </w:pPr>
          </w:p>
        </w:tc>
        <w:tc>
          <w:tcPr>
            <w:tcW w:w="1276" w:type="dxa"/>
            <w:noWrap/>
            <w:vAlign w:val="center"/>
          </w:tcPr>
          <w:p w14:paraId="15186AB0">
            <w:pPr>
              <w:pStyle w:val="150"/>
              <w:spacing w:line="360" w:lineRule="auto"/>
              <w:ind w:firstLine="420" w:firstLineChars="200"/>
              <w:rPr>
                <w:rFonts w:ascii="宋体" w:hAnsi="宋体" w:cs="宋体"/>
                <w:color w:val="auto"/>
                <w:szCs w:val="21"/>
                <w:highlight w:val="none"/>
              </w:rPr>
            </w:pPr>
          </w:p>
        </w:tc>
        <w:tc>
          <w:tcPr>
            <w:tcW w:w="1134" w:type="dxa"/>
            <w:noWrap/>
            <w:vAlign w:val="center"/>
          </w:tcPr>
          <w:p w14:paraId="11978072">
            <w:pPr>
              <w:pStyle w:val="150"/>
              <w:spacing w:line="360" w:lineRule="auto"/>
              <w:ind w:firstLine="420" w:firstLineChars="200"/>
              <w:rPr>
                <w:rFonts w:ascii="宋体" w:hAnsi="宋体" w:cs="宋体"/>
                <w:color w:val="auto"/>
                <w:szCs w:val="21"/>
                <w:highlight w:val="none"/>
              </w:rPr>
            </w:pPr>
          </w:p>
        </w:tc>
        <w:tc>
          <w:tcPr>
            <w:tcW w:w="1559" w:type="dxa"/>
            <w:noWrap/>
            <w:vAlign w:val="center"/>
          </w:tcPr>
          <w:p w14:paraId="735A266B">
            <w:pPr>
              <w:pStyle w:val="150"/>
              <w:spacing w:line="360" w:lineRule="auto"/>
              <w:ind w:firstLine="420" w:firstLineChars="200"/>
              <w:rPr>
                <w:rFonts w:ascii="宋体" w:hAnsi="宋体" w:cs="宋体"/>
                <w:color w:val="auto"/>
                <w:szCs w:val="21"/>
                <w:highlight w:val="none"/>
              </w:rPr>
            </w:pPr>
          </w:p>
        </w:tc>
      </w:tr>
      <w:tr w14:paraId="4DAD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ign w:val="center"/>
          </w:tcPr>
          <w:p w14:paraId="525E6FB4">
            <w:pPr>
              <w:pStyle w:val="150"/>
              <w:spacing w:line="360" w:lineRule="auto"/>
              <w:ind w:firstLine="420" w:firstLineChars="200"/>
              <w:rPr>
                <w:rFonts w:ascii="宋体" w:hAnsi="宋体" w:cs="宋体"/>
                <w:color w:val="auto"/>
                <w:szCs w:val="21"/>
                <w:highlight w:val="none"/>
              </w:rPr>
            </w:pPr>
          </w:p>
        </w:tc>
        <w:tc>
          <w:tcPr>
            <w:tcW w:w="1226" w:type="dxa"/>
            <w:noWrap/>
            <w:vAlign w:val="center"/>
          </w:tcPr>
          <w:p w14:paraId="5387FAA7">
            <w:pPr>
              <w:pStyle w:val="150"/>
              <w:spacing w:line="360" w:lineRule="auto"/>
              <w:ind w:firstLine="420" w:firstLineChars="200"/>
              <w:rPr>
                <w:rFonts w:ascii="宋体" w:hAnsi="宋体" w:cs="宋体"/>
                <w:color w:val="auto"/>
                <w:szCs w:val="21"/>
                <w:highlight w:val="none"/>
              </w:rPr>
            </w:pPr>
          </w:p>
        </w:tc>
        <w:tc>
          <w:tcPr>
            <w:tcW w:w="851" w:type="dxa"/>
            <w:noWrap/>
            <w:vAlign w:val="center"/>
          </w:tcPr>
          <w:p w14:paraId="7027CBB2">
            <w:pPr>
              <w:pStyle w:val="150"/>
              <w:spacing w:line="360" w:lineRule="auto"/>
              <w:ind w:firstLine="420" w:firstLineChars="200"/>
              <w:rPr>
                <w:rFonts w:ascii="宋体" w:hAnsi="宋体" w:cs="宋体"/>
                <w:color w:val="auto"/>
                <w:szCs w:val="21"/>
                <w:highlight w:val="none"/>
              </w:rPr>
            </w:pPr>
          </w:p>
        </w:tc>
        <w:tc>
          <w:tcPr>
            <w:tcW w:w="708" w:type="dxa"/>
            <w:noWrap/>
            <w:vAlign w:val="center"/>
          </w:tcPr>
          <w:p w14:paraId="71579D85">
            <w:pPr>
              <w:pStyle w:val="150"/>
              <w:spacing w:line="360" w:lineRule="auto"/>
              <w:ind w:firstLine="420" w:firstLineChars="200"/>
              <w:rPr>
                <w:rFonts w:ascii="宋体" w:hAnsi="宋体" w:cs="宋体"/>
                <w:color w:val="auto"/>
                <w:szCs w:val="21"/>
                <w:highlight w:val="none"/>
              </w:rPr>
            </w:pPr>
          </w:p>
        </w:tc>
        <w:tc>
          <w:tcPr>
            <w:tcW w:w="709" w:type="dxa"/>
            <w:noWrap/>
            <w:vAlign w:val="center"/>
          </w:tcPr>
          <w:p w14:paraId="424BD983">
            <w:pPr>
              <w:pStyle w:val="150"/>
              <w:spacing w:line="360" w:lineRule="auto"/>
              <w:ind w:firstLine="420" w:firstLineChars="200"/>
              <w:rPr>
                <w:rFonts w:ascii="宋体" w:hAnsi="宋体" w:cs="宋体"/>
                <w:color w:val="auto"/>
                <w:szCs w:val="21"/>
                <w:highlight w:val="none"/>
              </w:rPr>
            </w:pPr>
          </w:p>
        </w:tc>
        <w:tc>
          <w:tcPr>
            <w:tcW w:w="1134" w:type="dxa"/>
            <w:noWrap/>
            <w:vAlign w:val="center"/>
          </w:tcPr>
          <w:p w14:paraId="336738D1">
            <w:pPr>
              <w:pStyle w:val="150"/>
              <w:spacing w:line="360" w:lineRule="auto"/>
              <w:ind w:firstLine="420" w:firstLineChars="200"/>
              <w:rPr>
                <w:rFonts w:ascii="宋体" w:hAnsi="宋体" w:cs="宋体"/>
                <w:color w:val="auto"/>
                <w:szCs w:val="21"/>
                <w:highlight w:val="none"/>
              </w:rPr>
            </w:pPr>
          </w:p>
        </w:tc>
        <w:tc>
          <w:tcPr>
            <w:tcW w:w="1276" w:type="dxa"/>
            <w:noWrap/>
            <w:vAlign w:val="center"/>
          </w:tcPr>
          <w:p w14:paraId="2461BFE8">
            <w:pPr>
              <w:pStyle w:val="150"/>
              <w:spacing w:line="360" w:lineRule="auto"/>
              <w:ind w:firstLine="420" w:firstLineChars="200"/>
              <w:rPr>
                <w:rFonts w:ascii="宋体" w:hAnsi="宋体" w:cs="宋体"/>
                <w:color w:val="auto"/>
                <w:szCs w:val="21"/>
                <w:highlight w:val="none"/>
              </w:rPr>
            </w:pPr>
          </w:p>
        </w:tc>
        <w:tc>
          <w:tcPr>
            <w:tcW w:w="1134" w:type="dxa"/>
            <w:noWrap/>
            <w:vAlign w:val="center"/>
          </w:tcPr>
          <w:p w14:paraId="6B49DDD2">
            <w:pPr>
              <w:pStyle w:val="150"/>
              <w:spacing w:line="360" w:lineRule="auto"/>
              <w:ind w:firstLine="420" w:firstLineChars="200"/>
              <w:rPr>
                <w:rFonts w:ascii="宋体" w:hAnsi="宋体" w:cs="宋体"/>
                <w:color w:val="auto"/>
                <w:szCs w:val="21"/>
                <w:highlight w:val="none"/>
              </w:rPr>
            </w:pPr>
          </w:p>
        </w:tc>
        <w:tc>
          <w:tcPr>
            <w:tcW w:w="1559" w:type="dxa"/>
            <w:noWrap/>
            <w:vAlign w:val="center"/>
          </w:tcPr>
          <w:p w14:paraId="40C81625">
            <w:pPr>
              <w:pStyle w:val="150"/>
              <w:spacing w:line="360" w:lineRule="auto"/>
              <w:ind w:firstLine="420" w:firstLineChars="200"/>
              <w:rPr>
                <w:rFonts w:ascii="宋体" w:hAnsi="宋体" w:cs="宋体"/>
                <w:color w:val="auto"/>
                <w:szCs w:val="21"/>
                <w:highlight w:val="none"/>
              </w:rPr>
            </w:pPr>
          </w:p>
        </w:tc>
      </w:tr>
      <w:tr w14:paraId="7E89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ign w:val="center"/>
          </w:tcPr>
          <w:p w14:paraId="7FB4C3C6">
            <w:pPr>
              <w:pStyle w:val="150"/>
              <w:spacing w:line="360" w:lineRule="auto"/>
              <w:ind w:firstLine="420" w:firstLineChars="200"/>
              <w:rPr>
                <w:rFonts w:ascii="宋体" w:hAnsi="宋体" w:cs="宋体"/>
                <w:color w:val="auto"/>
                <w:szCs w:val="21"/>
                <w:highlight w:val="none"/>
              </w:rPr>
            </w:pPr>
          </w:p>
        </w:tc>
        <w:tc>
          <w:tcPr>
            <w:tcW w:w="1226" w:type="dxa"/>
            <w:noWrap/>
            <w:vAlign w:val="center"/>
          </w:tcPr>
          <w:p w14:paraId="3022B648">
            <w:pPr>
              <w:pStyle w:val="150"/>
              <w:spacing w:line="360" w:lineRule="auto"/>
              <w:ind w:firstLine="420" w:firstLineChars="200"/>
              <w:rPr>
                <w:rFonts w:ascii="宋体" w:hAnsi="宋体" w:cs="宋体"/>
                <w:color w:val="auto"/>
                <w:szCs w:val="21"/>
                <w:highlight w:val="none"/>
              </w:rPr>
            </w:pPr>
          </w:p>
        </w:tc>
        <w:tc>
          <w:tcPr>
            <w:tcW w:w="851" w:type="dxa"/>
            <w:noWrap/>
            <w:vAlign w:val="center"/>
          </w:tcPr>
          <w:p w14:paraId="5B9BBF62">
            <w:pPr>
              <w:pStyle w:val="150"/>
              <w:spacing w:line="360" w:lineRule="auto"/>
              <w:ind w:firstLine="420" w:firstLineChars="200"/>
              <w:rPr>
                <w:rFonts w:ascii="宋体" w:hAnsi="宋体" w:cs="宋体"/>
                <w:color w:val="auto"/>
                <w:szCs w:val="21"/>
                <w:highlight w:val="none"/>
              </w:rPr>
            </w:pPr>
          </w:p>
        </w:tc>
        <w:tc>
          <w:tcPr>
            <w:tcW w:w="708" w:type="dxa"/>
            <w:noWrap/>
            <w:vAlign w:val="center"/>
          </w:tcPr>
          <w:p w14:paraId="3832A7DD">
            <w:pPr>
              <w:pStyle w:val="150"/>
              <w:spacing w:line="360" w:lineRule="auto"/>
              <w:ind w:firstLine="420" w:firstLineChars="200"/>
              <w:rPr>
                <w:rFonts w:ascii="宋体" w:hAnsi="宋体" w:cs="宋体"/>
                <w:color w:val="auto"/>
                <w:szCs w:val="21"/>
                <w:highlight w:val="none"/>
              </w:rPr>
            </w:pPr>
          </w:p>
        </w:tc>
        <w:tc>
          <w:tcPr>
            <w:tcW w:w="709" w:type="dxa"/>
            <w:noWrap/>
            <w:vAlign w:val="center"/>
          </w:tcPr>
          <w:p w14:paraId="0F9431DC">
            <w:pPr>
              <w:pStyle w:val="150"/>
              <w:spacing w:line="360" w:lineRule="auto"/>
              <w:ind w:firstLine="420" w:firstLineChars="200"/>
              <w:rPr>
                <w:rFonts w:ascii="宋体" w:hAnsi="宋体" w:cs="宋体"/>
                <w:color w:val="auto"/>
                <w:szCs w:val="21"/>
                <w:highlight w:val="none"/>
              </w:rPr>
            </w:pPr>
          </w:p>
        </w:tc>
        <w:tc>
          <w:tcPr>
            <w:tcW w:w="1134" w:type="dxa"/>
            <w:noWrap/>
            <w:vAlign w:val="center"/>
          </w:tcPr>
          <w:p w14:paraId="1BCA7C82">
            <w:pPr>
              <w:pStyle w:val="150"/>
              <w:spacing w:line="360" w:lineRule="auto"/>
              <w:ind w:firstLine="420" w:firstLineChars="200"/>
              <w:rPr>
                <w:rFonts w:ascii="宋体" w:hAnsi="宋体" w:cs="宋体"/>
                <w:color w:val="auto"/>
                <w:szCs w:val="21"/>
                <w:highlight w:val="none"/>
              </w:rPr>
            </w:pPr>
          </w:p>
        </w:tc>
        <w:tc>
          <w:tcPr>
            <w:tcW w:w="1276" w:type="dxa"/>
            <w:noWrap/>
            <w:vAlign w:val="center"/>
          </w:tcPr>
          <w:p w14:paraId="5998D23C">
            <w:pPr>
              <w:pStyle w:val="150"/>
              <w:spacing w:line="360" w:lineRule="auto"/>
              <w:ind w:firstLine="420" w:firstLineChars="200"/>
              <w:rPr>
                <w:rFonts w:ascii="宋体" w:hAnsi="宋体" w:cs="宋体"/>
                <w:color w:val="auto"/>
                <w:szCs w:val="21"/>
                <w:highlight w:val="none"/>
              </w:rPr>
            </w:pPr>
          </w:p>
        </w:tc>
        <w:tc>
          <w:tcPr>
            <w:tcW w:w="1134" w:type="dxa"/>
            <w:noWrap/>
            <w:vAlign w:val="center"/>
          </w:tcPr>
          <w:p w14:paraId="519B39E1">
            <w:pPr>
              <w:pStyle w:val="150"/>
              <w:spacing w:line="360" w:lineRule="auto"/>
              <w:ind w:firstLine="420" w:firstLineChars="200"/>
              <w:rPr>
                <w:rFonts w:ascii="宋体" w:hAnsi="宋体" w:cs="宋体"/>
                <w:color w:val="auto"/>
                <w:szCs w:val="21"/>
                <w:highlight w:val="none"/>
              </w:rPr>
            </w:pPr>
          </w:p>
        </w:tc>
        <w:tc>
          <w:tcPr>
            <w:tcW w:w="1559" w:type="dxa"/>
            <w:noWrap/>
            <w:vAlign w:val="center"/>
          </w:tcPr>
          <w:p w14:paraId="236E85FA">
            <w:pPr>
              <w:pStyle w:val="150"/>
              <w:spacing w:line="360" w:lineRule="auto"/>
              <w:ind w:firstLine="420" w:firstLineChars="200"/>
              <w:rPr>
                <w:rFonts w:ascii="宋体" w:hAnsi="宋体" w:cs="宋体"/>
                <w:color w:val="auto"/>
                <w:szCs w:val="21"/>
                <w:highlight w:val="none"/>
              </w:rPr>
            </w:pPr>
          </w:p>
        </w:tc>
      </w:tr>
      <w:tr w14:paraId="03D5B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ign w:val="center"/>
          </w:tcPr>
          <w:p w14:paraId="218782BF">
            <w:pPr>
              <w:pStyle w:val="150"/>
              <w:spacing w:line="360" w:lineRule="auto"/>
              <w:ind w:firstLine="420" w:firstLineChars="200"/>
              <w:rPr>
                <w:rFonts w:ascii="宋体" w:hAnsi="宋体" w:cs="宋体"/>
                <w:color w:val="auto"/>
                <w:szCs w:val="21"/>
                <w:highlight w:val="none"/>
              </w:rPr>
            </w:pPr>
          </w:p>
        </w:tc>
        <w:tc>
          <w:tcPr>
            <w:tcW w:w="1226" w:type="dxa"/>
            <w:noWrap/>
            <w:vAlign w:val="center"/>
          </w:tcPr>
          <w:p w14:paraId="318A9318">
            <w:pPr>
              <w:pStyle w:val="150"/>
              <w:spacing w:line="360" w:lineRule="auto"/>
              <w:ind w:firstLine="420" w:firstLineChars="200"/>
              <w:rPr>
                <w:rFonts w:ascii="宋体" w:hAnsi="宋体" w:cs="宋体"/>
                <w:color w:val="auto"/>
                <w:szCs w:val="21"/>
                <w:highlight w:val="none"/>
              </w:rPr>
            </w:pPr>
          </w:p>
        </w:tc>
        <w:tc>
          <w:tcPr>
            <w:tcW w:w="851" w:type="dxa"/>
            <w:noWrap/>
            <w:vAlign w:val="center"/>
          </w:tcPr>
          <w:p w14:paraId="412B32BC">
            <w:pPr>
              <w:pStyle w:val="150"/>
              <w:spacing w:line="360" w:lineRule="auto"/>
              <w:ind w:firstLine="420" w:firstLineChars="200"/>
              <w:rPr>
                <w:rFonts w:ascii="宋体" w:hAnsi="宋体" w:cs="宋体"/>
                <w:color w:val="auto"/>
                <w:szCs w:val="21"/>
                <w:highlight w:val="none"/>
              </w:rPr>
            </w:pPr>
          </w:p>
        </w:tc>
        <w:tc>
          <w:tcPr>
            <w:tcW w:w="708" w:type="dxa"/>
            <w:noWrap/>
            <w:vAlign w:val="center"/>
          </w:tcPr>
          <w:p w14:paraId="5DED4697">
            <w:pPr>
              <w:pStyle w:val="150"/>
              <w:spacing w:line="360" w:lineRule="auto"/>
              <w:ind w:firstLine="420" w:firstLineChars="200"/>
              <w:rPr>
                <w:rFonts w:ascii="宋体" w:hAnsi="宋体" w:cs="宋体"/>
                <w:color w:val="auto"/>
                <w:szCs w:val="21"/>
                <w:highlight w:val="none"/>
              </w:rPr>
            </w:pPr>
          </w:p>
        </w:tc>
        <w:tc>
          <w:tcPr>
            <w:tcW w:w="709" w:type="dxa"/>
            <w:noWrap/>
            <w:vAlign w:val="center"/>
          </w:tcPr>
          <w:p w14:paraId="30C015B9">
            <w:pPr>
              <w:pStyle w:val="150"/>
              <w:spacing w:line="360" w:lineRule="auto"/>
              <w:ind w:firstLine="420" w:firstLineChars="200"/>
              <w:rPr>
                <w:rFonts w:ascii="宋体" w:hAnsi="宋体" w:cs="宋体"/>
                <w:color w:val="auto"/>
                <w:szCs w:val="21"/>
                <w:highlight w:val="none"/>
              </w:rPr>
            </w:pPr>
          </w:p>
        </w:tc>
        <w:tc>
          <w:tcPr>
            <w:tcW w:w="1134" w:type="dxa"/>
            <w:noWrap/>
            <w:vAlign w:val="center"/>
          </w:tcPr>
          <w:p w14:paraId="299B79FE">
            <w:pPr>
              <w:pStyle w:val="150"/>
              <w:spacing w:line="360" w:lineRule="auto"/>
              <w:ind w:firstLine="420" w:firstLineChars="200"/>
              <w:rPr>
                <w:rFonts w:ascii="宋体" w:hAnsi="宋体" w:cs="宋体"/>
                <w:color w:val="auto"/>
                <w:szCs w:val="21"/>
                <w:highlight w:val="none"/>
              </w:rPr>
            </w:pPr>
          </w:p>
        </w:tc>
        <w:tc>
          <w:tcPr>
            <w:tcW w:w="1276" w:type="dxa"/>
            <w:noWrap/>
            <w:vAlign w:val="center"/>
          </w:tcPr>
          <w:p w14:paraId="6022177A">
            <w:pPr>
              <w:pStyle w:val="150"/>
              <w:spacing w:line="360" w:lineRule="auto"/>
              <w:ind w:firstLine="420" w:firstLineChars="200"/>
              <w:rPr>
                <w:rFonts w:ascii="宋体" w:hAnsi="宋体" w:cs="宋体"/>
                <w:color w:val="auto"/>
                <w:szCs w:val="21"/>
                <w:highlight w:val="none"/>
              </w:rPr>
            </w:pPr>
          </w:p>
        </w:tc>
        <w:tc>
          <w:tcPr>
            <w:tcW w:w="1134" w:type="dxa"/>
            <w:noWrap/>
            <w:vAlign w:val="center"/>
          </w:tcPr>
          <w:p w14:paraId="5C80971C">
            <w:pPr>
              <w:pStyle w:val="150"/>
              <w:spacing w:line="360" w:lineRule="auto"/>
              <w:ind w:firstLine="420" w:firstLineChars="200"/>
              <w:rPr>
                <w:rFonts w:ascii="宋体" w:hAnsi="宋体" w:cs="宋体"/>
                <w:color w:val="auto"/>
                <w:szCs w:val="21"/>
                <w:highlight w:val="none"/>
              </w:rPr>
            </w:pPr>
          </w:p>
        </w:tc>
        <w:tc>
          <w:tcPr>
            <w:tcW w:w="1559" w:type="dxa"/>
            <w:noWrap/>
            <w:vAlign w:val="center"/>
          </w:tcPr>
          <w:p w14:paraId="7CBFB929">
            <w:pPr>
              <w:pStyle w:val="150"/>
              <w:spacing w:line="360" w:lineRule="auto"/>
              <w:ind w:firstLine="420" w:firstLineChars="200"/>
              <w:rPr>
                <w:rFonts w:ascii="宋体" w:hAnsi="宋体" w:cs="宋体"/>
                <w:color w:val="auto"/>
                <w:szCs w:val="21"/>
                <w:highlight w:val="none"/>
              </w:rPr>
            </w:pPr>
          </w:p>
        </w:tc>
      </w:tr>
    </w:tbl>
    <w:p w14:paraId="6C178F91">
      <w:pPr>
        <w:pStyle w:val="150"/>
        <w:rPr>
          <w:rFonts w:ascii="宋体" w:hAnsi="宋体" w:cs="宋体"/>
          <w:color w:val="auto"/>
          <w:szCs w:val="21"/>
          <w:highlight w:val="none"/>
        </w:rPr>
      </w:pPr>
    </w:p>
    <w:p w14:paraId="7C091457">
      <w:pPr>
        <w:pStyle w:val="150"/>
        <w:rPr>
          <w:rFonts w:ascii="宋体" w:hAnsi="宋体" w:cs="宋体"/>
          <w:color w:val="auto"/>
          <w:szCs w:val="21"/>
          <w:highlight w:val="none"/>
        </w:rPr>
      </w:pPr>
    </w:p>
    <w:p w14:paraId="5E05A805">
      <w:pPr>
        <w:pStyle w:val="150"/>
        <w:rPr>
          <w:rFonts w:ascii="宋体" w:hAnsi="宋体" w:cs="宋体"/>
          <w:color w:val="auto"/>
          <w:szCs w:val="21"/>
          <w:highlight w:val="none"/>
        </w:rPr>
      </w:pPr>
    </w:p>
    <w:p w14:paraId="075E6391">
      <w:pPr>
        <w:pStyle w:val="150"/>
        <w:rPr>
          <w:rFonts w:ascii="宋体" w:hAnsi="宋体" w:cs="宋体"/>
          <w:color w:val="auto"/>
          <w:szCs w:val="21"/>
          <w:highlight w:val="none"/>
        </w:rPr>
      </w:pPr>
      <w:r>
        <w:rPr>
          <w:rFonts w:hint="eastAsia" w:ascii="宋体" w:hAnsi="宋体" w:cs="宋体"/>
          <w:color w:val="auto"/>
          <w:szCs w:val="21"/>
          <w:highlight w:val="none"/>
        </w:rPr>
        <w:t>附表三：劳动力计划表</w:t>
      </w:r>
    </w:p>
    <w:p w14:paraId="67412B6F">
      <w:pPr>
        <w:pStyle w:val="150"/>
        <w:ind w:firstLine="7245" w:firstLineChars="3450"/>
        <w:rPr>
          <w:rFonts w:ascii="宋体" w:hAnsi="宋体" w:cs="宋体"/>
          <w:color w:val="auto"/>
          <w:szCs w:val="21"/>
          <w:highlight w:val="none"/>
        </w:rPr>
      </w:pPr>
      <w:r>
        <w:rPr>
          <w:rFonts w:hint="eastAsia" w:ascii="宋体" w:hAnsi="宋体" w:cs="宋体"/>
          <w:color w:val="auto"/>
          <w:szCs w:val="21"/>
          <w:highlight w:val="none"/>
        </w:rPr>
        <w:t xml:space="preserve">    单位：人</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6FC3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ign w:val="center"/>
          </w:tcPr>
          <w:p w14:paraId="37346FF1">
            <w:pPr>
              <w:pStyle w:val="15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工种</w:t>
            </w:r>
          </w:p>
        </w:tc>
        <w:tc>
          <w:tcPr>
            <w:tcW w:w="8506" w:type="dxa"/>
            <w:gridSpan w:val="7"/>
            <w:noWrap/>
            <w:vAlign w:val="center"/>
          </w:tcPr>
          <w:p w14:paraId="3114BE8E">
            <w:pPr>
              <w:pStyle w:val="15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按工程施工阶段投入劳动力情况</w:t>
            </w:r>
          </w:p>
        </w:tc>
      </w:tr>
      <w:tr w14:paraId="6F0A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ign w:val="center"/>
          </w:tcPr>
          <w:p w14:paraId="7B063CE7">
            <w:pPr>
              <w:pStyle w:val="150"/>
              <w:spacing w:line="360" w:lineRule="auto"/>
              <w:jc w:val="center"/>
              <w:rPr>
                <w:rFonts w:ascii="宋体" w:hAnsi="宋体" w:cs="宋体"/>
                <w:color w:val="auto"/>
                <w:szCs w:val="21"/>
                <w:highlight w:val="none"/>
              </w:rPr>
            </w:pPr>
          </w:p>
        </w:tc>
        <w:tc>
          <w:tcPr>
            <w:tcW w:w="961" w:type="dxa"/>
            <w:noWrap/>
            <w:vAlign w:val="center"/>
          </w:tcPr>
          <w:p w14:paraId="70A91721">
            <w:pPr>
              <w:pStyle w:val="150"/>
              <w:spacing w:line="360" w:lineRule="auto"/>
              <w:jc w:val="center"/>
              <w:rPr>
                <w:rFonts w:ascii="宋体" w:hAnsi="宋体" w:cs="宋体"/>
                <w:color w:val="auto"/>
                <w:szCs w:val="21"/>
                <w:highlight w:val="none"/>
              </w:rPr>
            </w:pPr>
          </w:p>
        </w:tc>
        <w:tc>
          <w:tcPr>
            <w:tcW w:w="1257" w:type="dxa"/>
            <w:noWrap/>
            <w:vAlign w:val="center"/>
          </w:tcPr>
          <w:p w14:paraId="2CF00611">
            <w:pPr>
              <w:pStyle w:val="150"/>
              <w:spacing w:line="360" w:lineRule="auto"/>
              <w:jc w:val="center"/>
              <w:rPr>
                <w:rFonts w:ascii="宋体" w:hAnsi="宋体" w:cs="宋体"/>
                <w:color w:val="auto"/>
                <w:szCs w:val="21"/>
                <w:highlight w:val="none"/>
              </w:rPr>
            </w:pPr>
          </w:p>
        </w:tc>
        <w:tc>
          <w:tcPr>
            <w:tcW w:w="1258" w:type="dxa"/>
            <w:noWrap/>
            <w:vAlign w:val="center"/>
          </w:tcPr>
          <w:p w14:paraId="4C13CE3C">
            <w:pPr>
              <w:pStyle w:val="150"/>
              <w:spacing w:line="360" w:lineRule="auto"/>
              <w:jc w:val="center"/>
              <w:rPr>
                <w:rFonts w:ascii="宋体" w:hAnsi="宋体" w:cs="宋体"/>
                <w:color w:val="auto"/>
                <w:szCs w:val="21"/>
                <w:highlight w:val="none"/>
              </w:rPr>
            </w:pPr>
          </w:p>
        </w:tc>
        <w:tc>
          <w:tcPr>
            <w:tcW w:w="1257" w:type="dxa"/>
            <w:noWrap/>
            <w:vAlign w:val="center"/>
          </w:tcPr>
          <w:p w14:paraId="06C8C7FE">
            <w:pPr>
              <w:pStyle w:val="150"/>
              <w:spacing w:line="360" w:lineRule="auto"/>
              <w:jc w:val="center"/>
              <w:rPr>
                <w:rFonts w:ascii="宋体" w:hAnsi="宋体" w:cs="宋体"/>
                <w:color w:val="auto"/>
                <w:szCs w:val="21"/>
                <w:highlight w:val="none"/>
              </w:rPr>
            </w:pPr>
          </w:p>
        </w:tc>
        <w:tc>
          <w:tcPr>
            <w:tcW w:w="1258" w:type="dxa"/>
            <w:noWrap/>
            <w:vAlign w:val="center"/>
          </w:tcPr>
          <w:p w14:paraId="54957F89">
            <w:pPr>
              <w:pStyle w:val="150"/>
              <w:spacing w:line="360" w:lineRule="auto"/>
              <w:jc w:val="center"/>
              <w:rPr>
                <w:rFonts w:ascii="宋体" w:hAnsi="宋体" w:cs="宋体"/>
                <w:color w:val="auto"/>
                <w:szCs w:val="21"/>
                <w:highlight w:val="none"/>
              </w:rPr>
            </w:pPr>
          </w:p>
        </w:tc>
        <w:tc>
          <w:tcPr>
            <w:tcW w:w="1257" w:type="dxa"/>
            <w:noWrap/>
            <w:vAlign w:val="center"/>
          </w:tcPr>
          <w:p w14:paraId="0AB3AF8D">
            <w:pPr>
              <w:pStyle w:val="150"/>
              <w:spacing w:line="360" w:lineRule="auto"/>
              <w:jc w:val="center"/>
              <w:rPr>
                <w:rFonts w:ascii="宋体" w:hAnsi="宋体" w:cs="宋体"/>
                <w:color w:val="auto"/>
                <w:szCs w:val="21"/>
                <w:highlight w:val="none"/>
              </w:rPr>
            </w:pPr>
          </w:p>
        </w:tc>
        <w:tc>
          <w:tcPr>
            <w:tcW w:w="1258" w:type="dxa"/>
            <w:noWrap/>
            <w:vAlign w:val="center"/>
          </w:tcPr>
          <w:p w14:paraId="49F3CE69">
            <w:pPr>
              <w:pStyle w:val="150"/>
              <w:spacing w:line="360" w:lineRule="auto"/>
              <w:jc w:val="center"/>
              <w:rPr>
                <w:rFonts w:ascii="宋体" w:hAnsi="宋体" w:cs="宋体"/>
                <w:color w:val="auto"/>
                <w:szCs w:val="21"/>
                <w:highlight w:val="none"/>
              </w:rPr>
            </w:pPr>
          </w:p>
        </w:tc>
      </w:tr>
      <w:tr w14:paraId="18039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ign w:val="center"/>
          </w:tcPr>
          <w:p w14:paraId="46F936DF">
            <w:pPr>
              <w:pStyle w:val="150"/>
              <w:spacing w:line="360" w:lineRule="auto"/>
              <w:jc w:val="center"/>
              <w:rPr>
                <w:rFonts w:ascii="宋体" w:hAnsi="宋体" w:cs="宋体"/>
                <w:color w:val="auto"/>
                <w:szCs w:val="21"/>
                <w:highlight w:val="none"/>
              </w:rPr>
            </w:pPr>
          </w:p>
        </w:tc>
        <w:tc>
          <w:tcPr>
            <w:tcW w:w="961" w:type="dxa"/>
            <w:noWrap/>
            <w:vAlign w:val="center"/>
          </w:tcPr>
          <w:p w14:paraId="1125BA2B">
            <w:pPr>
              <w:pStyle w:val="150"/>
              <w:spacing w:line="360" w:lineRule="auto"/>
              <w:jc w:val="center"/>
              <w:rPr>
                <w:rFonts w:ascii="宋体" w:hAnsi="宋体" w:cs="宋体"/>
                <w:color w:val="auto"/>
                <w:szCs w:val="21"/>
                <w:highlight w:val="none"/>
              </w:rPr>
            </w:pPr>
          </w:p>
        </w:tc>
        <w:tc>
          <w:tcPr>
            <w:tcW w:w="1257" w:type="dxa"/>
            <w:noWrap/>
            <w:vAlign w:val="center"/>
          </w:tcPr>
          <w:p w14:paraId="7BC6AF16">
            <w:pPr>
              <w:pStyle w:val="150"/>
              <w:spacing w:line="360" w:lineRule="auto"/>
              <w:jc w:val="center"/>
              <w:rPr>
                <w:rFonts w:ascii="宋体" w:hAnsi="宋体" w:cs="宋体"/>
                <w:color w:val="auto"/>
                <w:szCs w:val="21"/>
                <w:highlight w:val="none"/>
              </w:rPr>
            </w:pPr>
          </w:p>
        </w:tc>
        <w:tc>
          <w:tcPr>
            <w:tcW w:w="1258" w:type="dxa"/>
            <w:noWrap/>
            <w:vAlign w:val="center"/>
          </w:tcPr>
          <w:p w14:paraId="4852881A">
            <w:pPr>
              <w:pStyle w:val="150"/>
              <w:spacing w:line="360" w:lineRule="auto"/>
              <w:jc w:val="center"/>
              <w:rPr>
                <w:rFonts w:ascii="宋体" w:hAnsi="宋体" w:cs="宋体"/>
                <w:color w:val="auto"/>
                <w:szCs w:val="21"/>
                <w:highlight w:val="none"/>
              </w:rPr>
            </w:pPr>
          </w:p>
        </w:tc>
        <w:tc>
          <w:tcPr>
            <w:tcW w:w="1257" w:type="dxa"/>
            <w:noWrap/>
            <w:vAlign w:val="center"/>
          </w:tcPr>
          <w:p w14:paraId="1F0D2055">
            <w:pPr>
              <w:pStyle w:val="150"/>
              <w:spacing w:line="360" w:lineRule="auto"/>
              <w:jc w:val="center"/>
              <w:rPr>
                <w:rFonts w:ascii="宋体" w:hAnsi="宋体" w:cs="宋体"/>
                <w:color w:val="auto"/>
                <w:szCs w:val="21"/>
                <w:highlight w:val="none"/>
              </w:rPr>
            </w:pPr>
          </w:p>
        </w:tc>
        <w:tc>
          <w:tcPr>
            <w:tcW w:w="1258" w:type="dxa"/>
            <w:noWrap/>
            <w:vAlign w:val="center"/>
          </w:tcPr>
          <w:p w14:paraId="7040BF33">
            <w:pPr>
              <w:pStyle w:val="150"/>
              <w:spacing w:line="360" w:lineRule="auto"/>
              <w:jc w:val="center"/>
              <w:rPr>
                <w:rFonts w:ascii="宋体" w:hAnsi="宋体" w:cs="宋体"/>
                <w:color w:val="auto"/>
                <w:szCs w:val="21"/>
                <w:highlight w:val="none"/>
              </w:rPr>
            </w:pPr>
          </w:p>
        </w:tc>
        <w:tc>
          <w:tcPr>
            <w:tcW w:w="1257" w:type="dxa"/>
            <w:noWrap/>
            <w:vAlign w:val="center"/>
          </w:tcPr>
          <w:p w14:paraId="495978DB">
            <w:pPr>
              <w:pStyle w:val="150"/>
              <w:spacing w:line="360" w:lineRule="auto"/>
              <w:jc w:val="center"/>
              <w:rPr>
                <w:rFonts w:ascii="宋体" w:hAnsi="宋体" w:cs="宋体"/>
                <w:color w:val="auto"/>
                <w:szCs w:val="21"/>
                <w:highlight w:val="none"/>
              </w:rPr>
            </w:pPr>
          </w:p>
        </w:tc>
        <w:tc>
          <w:tcPr>
            <w:tcW w:w="1258" w:type="dxa"/>
            <w:noWrap/>
            <w:vAlign w:val="center"/>
          </w:tcPr>
          <w:p w14:paraId="698A070A">
            <w:pPr>
              <w:pStyle w:val="150"/>
              <w:spacing w:line="360" w:lineRule="auto"/>
              <w:jc w:val="center"/>
              <w:rPr>
                <w:rFonts w:ascii="宋体" w:hAnsi="宋体" w:cs="宋体"/>
                <w:color w:val="auto"/>
                <w:szCs w:val="21"/>
                <w:highlight w:val="none"/>
              </w:rPr>
            </w:pPr>
          </w:p>
        </w:tc>
      </w:tr>
      <w:tr w14:paraId="69BB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ign w:val="center"/>
          </w:tcPr>
          <w:p w14:paraId="182D2096">
            <w:pPr>
              <w:pStyle w:val="150"/>
              <w:spacing w:line="360" w:lineRule="auto"/>
              <w:jc w:val="center"/>
              <w:rPr>
                <w:rFonts w:ascii="宋体" w:hAnsi="宋体" w:cs="宋体"/>
                <w:color w:val="auto"/>
                <w:szCs w:val="21"/>
                <w:highlight w:val="none"/>
              </w:rPr>
            </w:pPr>
          </w:p>
        </w:tc>
        <w:tc>
          <w:tcPr>
            <w:tcW w:w="961" w:type="dxa"/>
            <w:noWrap/>
            <w:vAlign w:val="center"/>
          </w:tcPr>
          <w:p w14:paraId="2F074294">
            <w:pPr>
              <w:pStyle w:val="150"/>
              <w:spacing w:line="360" w:lineRule="auto"/>
              <w:jc w:val="center"/>
              <w:rPr>
                <w:rFonts w:ascii="宋体" w:hAnsi="宋体" w:cs="宋体"/>
                <w:color w:val="auto"/>
                <w:szCs w:val="21"/>
                <w:highlight w:val="none"/>
              </w:rPr>
            </w:pPr>
          </w:p>
        </w:tc>
        <w:tc>
          <w:tcPr>
            <w:tcW w:w="1257" w:type="dxa"/>
            <w:noWrap/>
            <w:vAlign w:val="center"/>
          </w:tcPr>
          <w:p w14:paraId="270AAD51">
            <w:pPr>
              <w:pStyle w:val="150"/>
              <w:spacing w:line="360" w:lineRule="auto"/>
              <w:jc w:val="center"/>
              <w:rPr>
                <w:rFonts w:ascii="宋体" w:hAnsi="宋体" w:cs="宋体"/>
                <w:color w:val="auto"/>
                <w:szCs w:val="21"/>
                <w:highlight w:val="none"/>
              </w:rPr>
            </w:pPr>
          </w:p>
        </w:tc>
        <w:tc>
          <w:tcPr>
            <w:tcW w:w="1258" w:type="dxa"/>
            <w:noWrap/>
            <w:vAlign w:val="center"/>
          </w:tcPr>
          <w:p w14:paraId="13FEA667">
            <w:pPr>
              <w:pStyle w:val="150"/>
              <w:spacing w:line="360" w:lineRule="auto"/>
              <w:jc w:val="center"/>
              <w:rPr>
                <w:rFonts w:ascii="宋体" w:hAnsi="宋体" w:cs="宋体"/>
                <w:color w:val="auto"/>
                <w:szCs w:val="21"/>
                <w:highlight w:val="none"/>
              </w:rPr>
            </w:pPr>
          </w:p>
        </w:tc>
        <w:tc>
          <w:tcPr>
            <w:tcW w:w="1257" w:type="dxa"/>
            <w:noWrap/>
            <w:vAlign w:val="center"/>
          </w:tcPr>
          <w:p w14:paraId="09A05BB5">
            <w:pPr>
              <w:pStyle w:val="150"/>
              <w:spacing w:line="360" w:lineRule="auto"/>
              <w:jc w:val="center"/>
              <w:rPr>
                <w:rFonts w:ascii="宋体" w:hAnsi="宋体" w:cs="宋体"/>
                <w:color w:val="auto"/>
                <w:szCs w:val="21"/>
                <w:highlight w:val="none"/>
              </w:rPr>
            </w:pPr>
          </w:p>
        </w:tc>
        <w:tc>
          <w:tcPr>
            <w:tcW w:w="1258" w:type="dxa"/>
            <w:noWrap/>
            <w:vAlign w:val="center"/>
          </w:tcPr>
          <w:p w14:paraId="46CEB448">
            <w:pPr>
              <w:pStyle w:val="150"/>
              <w:spacing w:line="360" w:lineRule="auto"/>
              <w:jc w:val="center"/>
              <w:rPr>
                <w:rFonts w:ascii="宋体" w:hAnsi="宋体" w:cs="宋体"/>
                <w:color w:val="auto"/>
                <w:szCs w:val="21"/>
                <w:highlight w:val="none"/>
              </w:rPr>
            </w:pPr>
          </w:p>
        </w:tc>
        <w:tc>
          <w:tcPr>
            <w:tcW w:w="1257" w:type="dxa"/>
            <w:noWrap/>
            <w:vAlign w:val="center"/>
          </w:tcPr>
          <w:p w14:paraId="29CA13CE">
            <w:pPr>
              <w:pStyle w:val="150"/>
              <w:spacing w:line="360" w:lineRule="auto"/>
              <w:jc w:val="center"/>
              <w:rPr>
                <w:rFonts w:ascii="宋体" w:hAnsi="宋体" w:cs="宋体"/>
                <w:color w:val="auto"/>
                <w:szCs w:val="21"/>
                <w:highlight w:val="none"/>
              </w:rPr>
            </w:pPr>
          </w:p>
        </w:tc>
        <w:tc>
          <w:tcPr>
            <w:tcW w:w="1258" w:type="dxa"/>
            <w:noWrap/>
            <w:vAlign w:val="center"/>
          </w:tcPr>
          <w:p w14:paraId="786FFEF3">
            <w:pPr>
              <w:pStyle w:val="150"/>
              <w:spacing w:line="360" w:lineRule="auto"/>
              <w:jc w:val="center"/>
              <w:rPr>
                <w:rFonts w:ascii="宋体" w:hAnsi="宋体" w:cs="宋体"/>
                <w:color w:val="auto"/>
                <w:szCs w:val="21"/>
                <w:highlight w:val="none"/>
              </w:rPr>
            </w:pPr>
          </w:p>
        </w:tc>
      </w:tr>
      <w:tr w14:paraId="67F8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ign w:val="center"/>
          </w:tcPr>
          <w:p w14:paraId="55ABA90A">
            <w:pPr>
              <w:pStyle w:val="150"/>
              <w:spacing w:line="360" w:lineRule="auto"/>
              <w:jc w:val="center"/>
              <w:rPr>
                <w:rFonts w:ascii="宋体" w:hAnsi="宋体" w:cs="宋体"/>
                <w:color w:val="auto"/>
                <w:szCs w:val="21"/>
                <w:highlight w:val="none"/>
              </w:rPr>
            </w:pPr>
          </w:p>
        </w:tc>
        <w:tc>
          <w:tcPr>
            <w:tcW w:w="961" w:type="dxa"/>
            <w:noWrap/>
            <w:vAlign w:val="center"/>
          </w:tcPr>
          <w:p w14:paraId="4DE00F26">
            <w:pPr>
              <w:pStyle w:val="150"/>
              <w:spacing w:line="360" w:lineRule="auto"/>
              <w:jc w:val="center"/>
              <w:rPr>
                <w:rFonts w:ascii="宋体" w:hAnsi="宋体" w:cs="宋体"/>
                <w:color w:val="auto"/>
                <w:szCs w:val="21"/>
                <w:highlight w:val="none"/>
              </w:rPr>
            </w:pPr>
          </w:p>
        </w:tc>
        <w:tc>
          <w:tcPr>
            <w:tcW w:w="1257" w:type="dxa"/>
            <w:noWrap/>
            <w:vAlign w:val="center"/>
          </w:tcPr>
          <w:p w14:paraId="3A08ECE6">
            <w:pPr>
              <w:pStyle w:val="150"/>
              <w:spacing w:line="360" w:lineRule="auto"/>
              <w:jc w:val="center"/>
              <w:rPr>
                <w:rFonts w:ascii="宋体" w:hAnsi="宋体" w:cs="宋体"/>
                <w:color w:val="auto"/>
                <w:szCs w:val="21"/>
                <w:highlight w:val="none"/>
              </w:rPr>
            </w:pPr>
          </w:p>
        </w:tc>
        <w:tc>
          <w:tcPr>
            <w:tcW w:w="1258" w:type="dxa"/>
            <w:noWrap/>
            <w:vAlign w:val="center"/>
          </w:tcPr>
          <w:p w14:paraId="4E10E19B">
            <w:pPr>
              <w:pStyle w:val="150"/>
              <w:spacing w:line="360" w:lineRule="auto"/>
              <w:jc w:val="center"/>
              <w:rPr>
                <w:rFonts w:ascii="宋体" w:hAnsi="宋体" w:cs="宋体"/>
                <w:color w:val="auto"/>
                <w:szCs w:val="21"/>
                <w:highlight w:val="none"/>
              </w:rPr>
            </w:pPr>
          </w:p>
        </w:tc>
        <w:tc>
          <w:tcPr>
            <w:tcW w:w="1257" w:type="dxa"/>
            <w:noWrap/>
            <w:vAlign w:val="center"/>
          </w:tcPr>
          <w:p w14:paraId="0F43A3A0">
            <w:pPr>
              <w:pStyle w:val="150"/>
              <w:spacing w:line="360" w:lineRule="auto"/>
              <w:jc w:val="center"/>
              <w:rPr>
                <w:rFonts w:ascii="宋体" w:hAnsi="宋体" w:cs="宋体"/>
                <w:color w:val="auto"/>
                <w:szCs w:val="21"/>
                <w:highlight w:val="none"/>
              </w:rPr>
            </w:pPr>
          </w:p>
        </w:tc>
        <w:tc>
          <w:tcPr>
            <w:tcW w:w="1258" w:type="dxa"/>
            <w:noWrap/>
            <w:vAlign w:val="center"/>
          </w:tcPr>
          <w:p w14:paraId="5C689D7B">
            <w:pPr>
              <w:pStyle w:val="150"/>
              <w:spacing w:line="360" w:lineRule="auto"/>
              <w:jc w:val="center"/>
              <w:rPr>
                <w:rFonts w:ascii="宋体" w:hAnsi="宋体" w:cs="宋体"/>
                <w:color w:val="auto"/>
                <w:szCs w:val="21"/>
                <w:highlight w:val="none"/>
              </w:rPr>
            </w:pPr>
          </w:p>
        </w:tc>
        <w:tc>
          <w:tcPr>
            <w:tcW w:w="1257" w:type="dxa"/>
            <w:noWrap/>
            <w:vAlign w:val="center"/>
          </w:tcPr>
          <w:p w14:paraId="6A91FA89">
            <w:pPr>
              <w:pStyle w:val="150"/>
              <w:spacing w:line="360" w:lineRule="auto"/>
              <w:jc w:val="center"/>
              <w:rPr>
                <w:rFonts w:ascii="宋体" w:hAnsi="宋体" w:cs="宋体"/>
                <w:color w:val="auto"/>
                <w:szCs w:val="21"/>
                <w:highlight w:val="none"/>
              </w:rPr>
            </w:pPr>
          </w:p>
        </w:tc>
        <w:tc>
          <w:tcPr>
            <w:tcW w:w="1258" w:type="dxa"/>
            <w:noWrap/>
            <w:vAlign w:val="center"/>
          </w:tcPr>
          <w:p w14:paraId="1BD1CC5E">
            <w:pPr>
              <w:pStyle w:val="150"/>
              <w:spacing w:line="360" w:lineRule="auto"/>
              <w:jc w:val="center"/>
              <w:rPr>
                <w:rFonts w:ascii="宋体" w:hAnsi="宋体" w:cs="宋体"/>
                <w:color w:val="auto"/>
                <w:szCs w:val="21"/>
                <w:highlight w:val="none"/>
              </w:rPr>
            </w:pPr>
          </w:p>
        </w:tc>
      </w:tr>
      <w:tr w14:paraId="5257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ign w:val="center"/>
          </w:tcPr>
          <w:p w14:paraId="149D9CC6">
            <w:pPr>
              <w:pStyle w:val="150"/>
              <w:spacing w:line="360" w:lineRule="auto"/>
              <w:jc w:val="center"/>
              <w:rPr>
                <w:rFonts w:ascii="宋体" w:hAnsi="宋体" w:cs="宋体"/>
                <w:color w:val="auto"/>
                <w:szCs w:val="21"/>
                <w:highlight w:val="none"/>
              </w:rPr>
            </w:pPr>
          </w:p>
        </w:tc>
        <w:tc>
          <w:tcPr>
            <w:tcW w:w="961" w:type="dxa"/>
            <w:noWrap/>
            <w:vAlign w:val="center"/>
          </w:tcPr>
          <w:p w14:paraId="27604E68">
            <w:pPr>
              <w:pStyle w:val="150"/>
              <w:spacing w:line="360" w:lineRule="auto"/>
              <w:jc w:val="center"/>
              <w:rPr>
                <w:rFonts w:ascii="宋体" w:hAnsi="宋体" w:cs="宋体"/>
                <w:color w:val="auto"/>
                <w:szCs w:val="21"/>
                <w:highlight w:val="none"/>
              </w:rPr>
            </w:pPr>
          </w:p>
        </w:tc>
        <w:tc>
          <w:tcPr>
            <w:tcW w:w="1257" w:type="dxa"/>
            <w:noWrap/>
            <w:vAlign w:val="center"/>
          </w:tcPr>
          <w:p w14:paraId="62DDE130">
            <w:pPr>
              <w:pStyle w:val="150"/>
              <w:spacing w:line="360" w:lineRule="auto"/>
              <w:jc w:val="center"/>
              <w:rPr>
                <w:rFonts w:ascii="宋体" w:hAnsi="宋体" w:cs="宋体"/>
                <w:color w:val="auto"/>
                <w:szCs w:val="21"/>
                <w:highlight w:val="none"/>
              </w:rPr>
            </w:pPr>
          </w:p>
        </w:tc>
        <w:tc>
          <w:tcPr>
            <w:tcW w:w="1258" w:type="dxa"/>
            <w:noWrap/>
            <w:vAlign w:val="center"/>
          </w:tcPr>
          <w:p w14:paraId="6687D17A">
            <w:pPr>
              <w:pStyle w:val="150"/>
              <w:spacing w:line="360" w:lineRule="auto"/>
              <w:jc w:val="center"/>
              <w:rPr>
                <w:rFonts w:ascii="宋体" w:hAnsi="宋体" w:cs="宋体"/>
                <w:color w:val="auto"/>
                <w:szCs w:val="21"/>
                <w:highlight w:val="none"/>
              </w:rPr>
            </w:pPr>
          </w:p>
        </w:tc>
        <w:tc>
          <w:tcPr>
            <w:tcW w:w="1257" w:type="dxa"/>
            <w:noWrap/>
            <w:vAlign w:val="center"/>
          </w:tcPr>
          <w:p w14:paraId="4352C783">
            <w:pPr>
              <w:pStyle w:val="150"/>
              <w:spacing w:line="360" w:lineRule="auto"/>
              <w:jc w:val="center"/>
              <w:rPr>
                <w:rFonts w:ascii="宋体" w:hAnsi="宋体" w:cs="宋体"/>
                <w:color w:val="auto"/>
                <w:szCs w:val="21"/>
                <w:highlight w:val="none"/>
              </w:rPr>
            </w:pPr>
          </w:p>
        </w:tc>
        <w:tc>
          <w:tcPr>
            <w:tcW w:w="1258" w:type="dxa"/>
            <w:noWrap/>
            <w:vAlign w:val="center"/>
          </w:tcPr>
          <w:p w14:paraId="12AFB59D">
            <w:pPr>
              <w:pStyle w:val="150"/>
              <w:spacing w:line="360" w:lineRule="auto"/>
              <w:jc w:val="center"/>
              <w:rPr>
                <w:rFonts w:ascii="宋体" w:hAnsi="宋体" w:cs="宋体"/>
                <w:color w:val="auto"/>
                <w:szCs w:val="21"/>
                <w:highlight w:val="none"/>
              </w:rPr>
            </w:pPr>
          </w:p>
        </w:tc>
        <w:tc>
          <w:tcPr>
            <w:tcW w:w="1257" w:type="dxa"/>
            <w:noWrap/>
            <w:vAlign w:val="center"/>
          </w:tcPr>
          <w:p w14:paraId="141C5885">
            <w:pPr>
              <w:pStyle w:val="150"/>
              <w:spacing w:line="360" w:lineRule="auto"/>
              <w:jc w:val="center"/>
              <w:rPr>
                <w:rFonts w:ascii="宋体" w:hAnsi="宋体" w:cs="宋体"/>
                <w:color w:val="auto"/>
                <w:szCs w:val="21"/>
                <w:highlight w:val="none"/>
              </w:rPr>
            </w:pPr>
          </w:p>
        </w:tc>
        <w:tc>
          <w:tcPr>
            <w:tcW w:w="1258" w:type="dxa"/>
            <w:noWrap/>
            <w:vAlign w:val="center"/>
          </w:tcPr>
          <w:p w14:paraId="2667A0AC">
            <w:pPr>
              <w:pStyle w:val="150"/>
              <w:spacing w:line="360" w:lineRule="auto"/>
              <w:jc w:val="center"/>
              <w:rPr>
                <w:rFonts w:ascii="宋体" w:hAnsi="宋体" w:cs="宋体"/>
                <w:color w:val="auto"/>
                <w:szCs w:val="21"/>
                <w:highlight w:val="none"/>
              </w:rPr>
            </w:pPr>
          </w:p>
        </w:tc>
      </w:tr>
      <w:tr w14:paraId="29C6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ign w:val="center"/>
          </w:tcPr>
          <w:p w14:paraId="556C1634">
            <w:pPr>
              <w:pStyle w:val="150"/>
              <w:spacing w:line="360" w:lineRule="auto"/>
              <w:jc w:val="center"/>
              <w:rPr>
                <w:rFonts w:ascii="宋体" w:hAnsi="宋体" w:cs="宋体"/>
                <w:color w:val="auto"/>
                <w:szCs w:val="21"/>
                <w:highlight w:val="none"/>
              </w:rPr>
            </w:pPr>
          </w:p>
        </w:tc>
        <w:tc>
          <w:tcPr>
            <w:tcW w:w="961" w:type="dxa"/>
            <w:noWrap/>
            <w:vAlign w:val="center"/>
          </w:tcPr>
          <w:p w14:paraId="17FA4030">
            <w:pPr>
              <w:pStyle w:val="150"/>
              <w:spacing w:line="360" w:lineRule="auto"/>
              <w:jc w:val="center"/>
              <w:rPr>
                <w:rFonts w:ascii="宋体" w:hAnsi="宋体" w:cs="宋体"/>
                <w:color w:val="auto"/>
                <w:szCs w:val="21"/>
                <w:highlight w:val="none"/>
              </w:rPr>
            </w:pPr>
          </w:p>
        </w:tc>
        <w:tc>
          <w:tcPr>
            <w:tcW w:w="1257" w:type="dxa"/>
            <w:noWrap/>
            <w:vAlign w:val="center"/>
          </w:tcPr>
          <w:p w14:paraId="2D9D9579">
            <w:pPr>
              <w:pStyle w:val="150"/>
              <w:spacing w:line="360" w:lineRule="auto"/>
              <w:jc w:val="center"/>
              <w:rPr>
                <w:rFonts w:ascii="宋体" w:hAnsi="宋体" w:cs="宋体"/>
                <w:color w:val="auto"/>
                <w:szCs w:val="21"/>
                <w:highlight w:val="none"/>
              </w:rPr>
            </w:pPr>
          </w:p>
        </w:tc>
        <w:tc>
          <w:tcPr>
            <w:tcW w:w="1258" w:type="dxa"/>
            <w:noWrap/>
            <w:vAlign w:val="center"/>
          </w:tcPr>
          <w:p w14:paraId="5CA3275A">
            <w:pPr>
              <w:pStyle w:val="150"/>
              <w:spacing w:line="360" w:lineRule="auto"/>
              <w:jc w:val="center"/>
              <w:rPr>
                <w:rFonts w:ascii="宋体" w:hAnsi="宋体" w:cs="宋体"/>
                <w:color w:val="auto"/>
                <w:szCs w:val="21"/>
                <w:highlight w:val="none"/>
              </w:rPr>
            </w:pPr>
          </w:p>
        </w:tc>
        <w:tc>
          <w:tcPr>
            <w:tcW w:w="1257" w:type="dxa"/>
            <w:noWrap/>
            <w:vAlign w:val="center"/>
          </w:tcPr>
          <w:p w14:paraId="14BCEA9F">
            <w:pPr>
              <w:pStyle w:val="150"/>
              <w:spacing w:line="360" w:lineRule="auto"/>
              <w:jc w:val="center"/>
              <w:rPr>
                <w:rFonts w:ascii="宋体" w:hAnsi="宋体" w:cs="宋体"/>
                <w:color w:val="auto"/>
                <w:szCs w:val="21"/>
                <w:highlight w:val="none"/>
              </w:rPr>
            </w:pPr>
          </w:p>
        </w:tc>
        <w:tc>
          <w:tcPr>
            <w:tcW w:w="1258" w:type="dxa"/>
            <w:noWrap/>
            <w:vAlign w:val="center"/>
          </w:tcPr>
          <w:p w14:paraId="68148E51">
            <w:pPr>
              <w:pStyle w:val="150"/>
              <w:spacing w:line="360" w:lineRule="auto"/>
              <w:jc w:val="center"/>
              <w:rPr>
                <w:rFonts w:ascii="宋体" w:hAnsi="宋体" w:cs="宋体"/>
                <w:color w:val="auto"/>
                <w:szCs w:val="21"/>
                <w:highlight w:val="none"/>
              </w:rPr>
            </w:pPr>
          </w:p>
        </w:tc>
        <w:tc>
          <w:tcPr>
            <w:tcW w:w="1257" w:type="dxa"/>
            <w:noWrap/>
            <w:vAlign w:val="center"/>
          </w:tcPr>
          <w:p w14:paraId="09933CCC">
            <w:pPr>
              <w:pStyle w:val="150"/>
              <w:spacing w:line="360" w:lineRule="auto"/>
              <w:jc w:val="center"/>
              <w:rPr>
                <w:rFonts w:ascii="宋体" w:hAnsi="宋体" w:cs="宋体"/>
                <w:color w:val="auto"/>
                <w:szCs w:val="21"/>
                <w:highlight w:val="none"/>
              </w:rPr>
            </w:pPr>
          </w:p>
        </w:tc>
        <w:tc>
          <w:tcPr>
            <w:tcW w:w="1258" w:type="dxa"/>
            <w:noWrap/>
            <w:vAlign w:val="center"/>
          </w:tcPr>
          <w:p w14:paraId="233E0E35">
            <w:pPr>
              <w:pStyle w:val="150"/>
              <w:spacing w:line="360" w:lineRule="auto"/>
              <w:jc w:val="center"/>
              <w:rPr>
                <w:rFonts w:ascii="宋体" w:hAnsi="宋体" w:cs="宋体"/>
                <w:color w:val="auto"/>
                <w:szCs w:val="21"/>
                <w:highlight w:val="none"/>
              </w:rPr>
            </w:pPr>
          </w:p>
        </w:tc>
      </w:tr>
      <w:tr w14:paraId="043D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ign w:val="center"/>
          </w:tcPr>
          <w:p w14:paraId="3681FEB1">
            <w:pPr>
              <w:pStyle w:val="150"/>
              <w:spacing w:line="360" w:lineRule="auto"/>
              <w:jc w:val="center"/>
              <w:rPr>
                <w:rFonts w:ascii="宋体" w:hAnsi="宋体" w:cs="宋体"/>
                <w:color w:val="auto"/>
                <w:szCs w:val="21"/>
                <w:highlight w:val="none"/>
              </w:rPr>
            </w:pPr>
          </w:p>
        </w:tc>
        <w:tc>
          <w:tcPr>
            <w:tcW w:w="961" w:type="dxa"/>
            <w:noWrap/>
            <w:vAlign w:val="center"/>
          </w:tcPr>
          <w:p w14:paraId="61EF702C">
            <w:pPr>
              <w:pStyle w:val="150"/>
              <w:spacing w:line="360" w:lineRule="auto"/>
              <w:jc w:val="center"/>
              <w:rPr>
                <w:rFonts w:ascii="宋体" w:hAnsi="宋体" w:cs="宋体"/>
                <w:color w:val="auto"/>
                <w:szCs w:val="21"/>
                <w:highlight w:val="none"/>
              </w:rPr>
            </w:pPr>
          </w:p>
        </w:tc>
        <w:tc>
          <w:tcPr>
            <w:tcW w:w="1257" w:type="dxa"/>
            <w:noWrap/>
            <w:vAlign w:val="center"/>
          </w:tcPr>
          <w:p w14:paraId="47624EA4">
            <w:pPr>
              <w:pStyle w:val="150"/>
              <w:spacing w:line="360" w:lineRule="auto"/>
              <w:jc w:val="center"/>
              <w:rPr>
                <w:rFonts w:ascii="宋体" w:hAnsi="宋体" w:cs="宋体"/>
                <w:color w:val="auto"/>
                <w:szCs w:val="21"/>
                <w:highlight w:val="none"/>
              </w:rPr>
            </w:pPr>
          </w:p>
        </w:tc>
        <w:tc>
          <w:tcPr>
            <w:tcW w:w="1258" w:type="dxa"/>
            <w:noWrap/>
            <w:vAlign w:val="center"/>
          </w:tcPr>
          <w:p w14:paraId="0B08C5FA">
            <w:pPr>
              <w:pStyle w:val="150"/>
              <w:spacing w:line="360" w:lineRule="auto"/>
              <w:jc w:val="center"/>
              <w:rPr>
                <w:rFonts w:ascii="宋体" w:hAnsi="宋体" w:cs="宋体"/>
                <w:color w:val="auto"/>
                <w:szCs w:val="21"/>
                <w:highlight w:val="none"/>
              </w:rPr>
            </w:pPr>
          </w:p>
        </w:tc>
        <w:tc>
          <w:tcPr>
            <w:tcW w:w="1257" w:type="dxa"/>
            <w:noWrap/>
            <w:vAlign w:val="center"/>
          </w:tcPr>
          <w:p w14:paraId="2876D8CE">
            <w:pPr>
              <w:pStyle w:val="150"/>
              <w:spacing w:line="360" w:lineRule="auto"/>
              <w:jc w:val="center"/>
              <w:rPr>
                <w:rFonts w:ascii="宋体" w:hAnsi="宋体" w:cs="宋体"/>
                <w:color w:val="auto"/>
                <w:szCs w:val="21"/>
                <w:highlight w:val="none"/>
              </w:rPr>
            </w:pPr>
          </w:p>
        </w:tc>
        <w:tc>
          <w:tcPr>
            <w:tcW w:w="1258" w:type="dxa"/>
            <w:noWrap/>
            <w:vAlign w:val="center"/>
          </w:tcPr>
          <w:p w14:paraId="3642D372">
            <w:pPr>
              <w:pStyle w:val="150"/>
              <w:spacing w:line="360" w:lineRule="auto"/>
              <w:jc w:val="center"/>
              <w:rPr>
                <w:rFonts w:ascii="宋体" w:hAnsi="宋体" w:cs="宋体"/>
                <w:color w:val="auto"/>
                <w:szCs w:val="21"/>
                <w:highlight w:val="none"/>
              </w:rPr>
            </w:pPr>
          </w:p>
        </w:tc>
        <w:tc>
          <w:tcPr>
            <w:tcW w:w="1257" w:type="dxa"/>
            <w:noWrap/>
            <w:vAlign w:val="center"/>
          </w:tcPr>
          <w:p w14:paraId="386F1C96">
            <w:pPr>
              <w:pStyle w:val="150"/>
              <w:spacing w:line="360" w:lineRule="auto"/>
              <w:jc w:val="center"/>
              <w:rPr>
                <w:rFonts w:ascii="宋体" w:hAnsi="宋体" w:cs="宋体"/>
                <w:color w:val="auto"/>
                <w:szCs w:val="21"/>
                <w:highlight w:val="none"/>
              </w:rPr>
            </w:pPr>
          </w:p>
        </w:tc>
        <w:tc>
          <w:tcPr>
            <w:tcW w:w="1258" w:type="dxa"/>
            <w:noWrap/>
            <w:vAlign w:val="center"/>
          </w:tcPr>
          <w:p w14:paraId="040C76A7">
            <w:pPr>
              <w:pStyle w:val="150"/>
              <w:spacing w:line="360" w:lineRule="auto"/>
              <w:jc w:val="center"/>
              <w:rPr>
                <w:rFonts w:ascii="宋体" w:hAnsi="宋体" w:cs="宋体"/>
                <w:color w:val="auto"/>
                <w:szCs w:val="21"/>
                <w:highlight w:val="none"/>
              </w:rPr>
            </w:pPr>
          </w:p>
        </w:tc>
      </w:tr>
    </w:tbl>
    <w:p w14:paraId="12088D51">
      <w:pPr>
        <w:pStyle w:val="150"/>
        <w:rPr>
          <w:rFonts w:ascii="宋体" w:hAnsi="宋体" w:cs="宋体"/>
          <w:color w:val="auto"/>
          <w:szCs w:val="21"/>
          <w:highlight w:val="none"/>
        </w:rPr>
      </w:pPr>
    </w:p>
    <w:p w14:paraId="71B4FA46">
      <w:pPr>
        <w:pStyle w:val="150"/>
        <w:rPr>
          <w:rFonts w:ascii="宋体" w:hAnsi="宋体" w:cs="宋体"/>
          <w:b/>
          <w:bCs/>
          <w:color w:val="auto"/>
          <w:szCs w:val="21"/>
          <w:highlight w:val="none"/>
        </w:rPr>
      </w:pPr>
    </w:p>
    <w:p w14:paraId="7F44C9E3">
      <w:pPr>
        <w:pStyle w:val="150"/>
        <w:rPr>
          <w:rFonts w:ascii="宋体" w:hAnsi="宋体" w:cs="宋体"/>
          <w:color w:val="auto"/>
          <w:szCs w:val="21"/>
          <w:highlight w:val="none"/>
        </w:rPr>
      </w:pPr>
      <w:r>
        <w:rPr>
          <w:rFonts w:hint="eastAsia" w:ascii="宋体" w:hAnsi="宋体" w:cs="宋体"/>
          <w:color w:val="auto"/>
          <w:szCs w:val="21"/>
          <w:highlight w:val="none"/>
        </w:rPr>
        <w:t>附表四：计划开、竣工日期和施工进度计划（网络图或横道图）</w:t>
      </w:r>
    </w:p>
    <w:p w14:paraId="0A9B08E1">
      <w:pPr>
        <w:pStyle w:val="150"/>
        <w:spacing w:line="460" w:lineRule="exact"/>
        <w:ind w:left="-6" w:firstLine="420"/>
        <w:rPr>
          <w:rFonts w:ascii="宋体" w:hAnsi="宋体" w:cs="宋体"/>
          <w:color w:val="auto"/>
          <w:szCs w:val="21"/>
          <w:highlight w:val="none"/>
        </w:rPr>
      </w:pPr>
      <w:r>
        <w:rPr>
          <w:rFonts w:hint="eastAsia" w:ascii="宋体" w:hAnsi="宋体" w:cs="宋体"/>
          <w:color w:val="auto"/>
          <w:szCs w:val="21"/>
          <w:highlight w:val="none"/>
        </w:rPr>
        <w:t>1. 供应商应提交施工进度计划，说明按竞争性磋商文件要求的工期进行施工的各个关键日期。中标的供应商还应按合同条件有关条款的要求提交详细的施工进度计划。</w:t>
      </w:r>
    </w:p>
    <w:p w14:paraId="6750B128">
      <w:pPr>
        <w:pStyle w:val="150"/>
        <w:spacing w:line="460" w:lineRule="exact"/>
        <w:ind w:left="-6" w:firstLine="420"/>
        <w:rPr>
          <w:rFonts w:ascii="宋体" w:hAnsi="宋体" w:cs="宋体"/>
          <w:color w:val="auto"/>
          <w:szCs w:val="21"/>
          <w:highlight w:val="none"/>
        </w:rPr>
      </w:pPr>
      <w:r>
        <w:rPr>
          <w:rFonts w:hint="eastAsia" w:ascii="宋体" w:hAnsi="宋体" w:cs="宋体"/>
          <w:color w:val="auto"/>
          <w:szCs w:val="21"/>
          <w:highlight w:val="none"/>
        </w:rPr>
        <w:t>2. 施工进度计划可采用网络图（或横道图）表示，说明计划开工日期和各分项工程各阶段的完工日期和分包合同签订的日期。</w:t>
      </w:r>
    </w:p>
    <w:p w14:paraId="5F248BC5">
      <w:pPr>
        <w:pStyle w:val="150"/>
        <w:spacing w:line="460" w:lineRule="exact"/>
        <w:ind w:left="-6" w:firstLine="420"/>
        <w:rPr>
          <w:rFonts w:ascii="宋体" w:hAnsi="宋体" w:cs="宋体"/>
          <w:color w:val="auto"/>
          <w:szCs w:val="21"/>
          <w:highlight w:val="none"/>
        </w:rPr>
      </w:pPr>
      <w:r>
        <w:rPr>
          <w:rFonts w:hint="eastAsia" w:ascii="宋体" w:hAnsi="宋体" w:cs="宋体"/>
          <w:color w:val="auto"/>
          <w:szCs w:val="21"/>
          <w:highlight w:val="none"/>
        </w:rPr>
        <w:t>3. 施工进度计划应与施工组织设计相适应。</w:t>
      </w:r>
    </w:p>
    <w:p w14:paraId="094685C6">
      <w:pPr>
        <w:pStyle w:val="150"/>
        <w:spacing w:line="360" w:lineRule="auto"/>
        <w:ind w:left="-6" w:firstLine="420"/>
        <w:rPr>
          <w:rFonts w:ascii="宋体" w:hAnsi="宋体" w:cs="宋体"/>
          <w:color w:val="auto"/>
          <w:szCs w:val="21"/>
          <w:highlight w:val="none"/>
        </w:rPr>
      </w:pPr>
    </w:p>
    <w:p w14:paraId="3C08DFC0">
      <w:pPr>
        <w:pStyle w:val="150"/>
        <w:rPr>
          <w:rFonts w:ascii="宋体" w:hAnsi="宋体" w:cs="宋体"/>
          <w:color w:val="auto"/>
          <w:szCs w:val="21"/>
          <w:highlight w:val="none"/>
        </w:rPr>
      </w:pPr>
    </w:p>
    <w:p w14:paraId="798CCA3D">
      <w:pPr>
        <w:pStyle w:val="150"/>
        <w:rPr>
          <w:rFonts w:ascii="宋体" w:hAnsi="宋体" w:cs="宋体"/>
          <w:color w:val="auto"/>
          <w:szCs w:val="21"/>
          <w:highlight w:val="none"/>
        </w:rPr>
      </w:pPr>
      <w:r>
        <w:rPr>
          <w:rFonts w:hint="eastAsia" w:ascii="宋体" w:hAnsi="宋体" w:cs="宋体"/>
          <w:color w:val="auto"/>
          <w:szCs w:val="21"/>
          <w:highlight w:val="none"/>
        </w:rPr>
        <w:t>附表五：施工总平面图</w:t>
      </w:r>
    </w:p>
    <w:p w14:paraId="00BB2B94">
      <w:pPr>
        <w:pStyle w:val="15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供应商应递交一份施工总平面图，绘出现场临时设施布置图表并附文字说明，说明临时设施、加工车间、现场办公、设备及仓储、供电、供水、卫生、生活、道路、消防等设施的情况和布置。</w:t>
      </w:r>
    </w:p>
    <w:p w14:paraId="5A376DBA">
      <w:pPr>
        <w:pStyle w:val="150"/>
        <w:rPr>
          <w:rFonts w:ascii="宋体" w:hAnsi="宋体" w:cs="宋体"/>
          <w:color w:val="auto"/>
          <w:szCs w:val="21"/>
          <w:highlight w:val="none"/>
        </w:rPr>
      </w:pPr>
    </w:p>
    <w:p w14:paraId="4356E0C0">
      <w:pPr>
        <w:pStyle w:val="150"/>
        <w:rPr>
          <w:rFonts w:ascii="宋体" w:hAnsi="宋体" w:cs="宋体"/>
          <w:color w:val="auto"/>
          <w:szCs w:val="21"/>
          <w:highlight w:val="none"/>
        </w:rPr>
      </w:pPr>
    </w:p>
    <w:p w14:paraId="1D7F10A6">
      <w:pPr>
        <w:pStyle w:val="150"/>
        <w:rPr>
          <w:rFonts w:ascii="宋体" w:hAnsi="宋体" w:cs="宋体"/>
          <w:color w:val="auto"/>
          <w:szCs w:val="21"/>
          <w:highlight w:val="none"/>
        </w:rPr>
      </w:pPr>
      <w:r>
        <w:rPr>
          <w:rFonts w:hint="eastAsia" w:ascii="宋体" w:hAnsi="宋体" w:cs="宋体"/>
          <w:color w:val="auto"/>
          <w:szCs w:val="21"/>
          <w:highlight w:val="none"/>
        </w:rPr>
        <w:t>附表六：临时用地表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7C6F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noWrap/>
            <w:vAlign w:val="center"/>
          </w:tcPr>
          <w:p w14:paraId="461315E7">
            <w:pPr>
              <w:pStyle w:val="150"/>
              <w:jc w:val="center"/>
              <w:rPr>
                <w:rFonts w:ascii="宋体" w:hAnsi="宋体" w:cs="宋体"/>
                <w:color w:val="auto"/>
                <w:szCs w:val="21"/>
                <w:highlight w:val="none"/>
              </w:rPr>
            </w:pPr>
            <w:r>
              <w:rPr>
                <w:rFonts w:hint="eastAsia" w:ascii="宋体" w:hAnsi="宋体" w:cs="宋体"/>
                <w:color w:val="auto"/>
                <w:szCs w:val="21"/>
                <w:highlight w:val="none"/>
              </w:rPr>
              <w:t>用途</w:t>
            </w:r>
          </w:p>
        </w:tc>
        <w:tc>
          <w:tcPr>
            <w:tcW w:w="2357" w:type="dxa"/>
            <w:noWrap/>
            <w:vAlign w:val="center"/>
          </w:tcPr>
          <w:p w14:paraId="6A618F82">
            <w:pPr>
              <w:pStyle w:val="150"/>
              <w:jc w:val="center"/>
              <w:rPr>
                <w:rFonts w:ascii="宋体" w:hAnsi="宋体" w:cs="宋体"/>
                <w:color w:val="auto"/>
                <w:szCs w:val="21"/>
                <w:highlight w:val="none"/>
              </w:rPr>
            </w:pPr>
            <w:r>
              <w:rPr>
                <w:rFonts w:hint="eastAsia" w:ascii="宋体" w:hAnsi="宋体" w:cs="宋体"/>
                <w:color w:val="auto"/>
                <w:szCs w:val="21"/>
                <w:highlight w:val="none"/>
              </w:rPr>
              <w:t>面积（平方米）</w:t>
            </w:r>
          </w:p>
        </w:tc>
        <w:tc>
          <w:tcPr>
            <w:tcW w:w="2356" w:type="dxa"/>
            <w:noWrap/>
            <w:vAlign w:val="center"/>
          </w:tcPr>
          <w:p w14:paraId="571E4ADE">
            <w:pPr>
              <w:pStyle w:val="150"/>
              <w:jc w:val="center"/>
              <w:rPr>
                <w:rFonts w:ascii="宋体" w:hAnsi="宋体" w:cs="宋体"/>
                <w:color w:val="auto"/>
                <w:szCs w:val="21"/>
                <w:highlight w:val="none"/>
              </w:rPr>
            </w:pPr>
            <w:r>
              <w:rPr>
                <w:rFonts w:hint="eastAsia" w:ascii="宋体" w:hAnsi="宋体" w:cs="宋体"/>
                <w:color w:val="auto"/>
                <w:szCs w:val="21"/>
                <w:highlight w:val="none"/>
              </w:rPr>
              <w:t>位置</w:t>
            </w:r>
          </w:p>
        </w:tc>
        <w:tc>
          <w:tcPr>
            <w:tcW w:w="2357" w:type="dxa"/>
            <w:noWrap/>
            <w:vAlign w:val="center"/>
          </w:tcPr>
          <w:p w14:paraId="2BCEC34B">
            <w:pPr>
              <w:pStyle w:val="150"/>
              <w:jc w:val="center"/>
              <w:rPr>
                <w:rFonts w:ascii="宋体" w:hAnsi="宋体" w:cs="宋体"/>
                <w:color w:val="auto"/>
                <w:szCs w:val="21"/>
                <w:highlight w:val="none"/>
              </w:rPr>
            </w:pPr>
            <w:r>
              <w:rPr>
                <w:rFonts w:hint="eastAsia" w:ascii="宋体" w:hAnsi="宋体" w:cs="宋体"/>
                <w:color w:val="auto"/>
                <w:szCs w:val="21"/>
                <w:highlight w:val="none"/>
              </w:rPr>
              <w:t>需用时间</w:t>
            </w:r>
          </w:p>
        </w:tc>
      </w:tr>
      <w:tr w14:paraId="31C5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tcPr>
          <w:p w14:paraId="433FAB2F">
            <w:pPr>
              <w:pStyle w:val="150"/>
              <w:rPr>
                <w:rFonts w:ascii="宋体" w:hAnsi="宋体" w:cs="宋体"/>
                <w:color w:val="auto"/>
                <w:szCs w:val="21"/>
                <w:highlight w:val="none"/>
              </w:rPr>
            </w:pPr>
          </w:p>
        </w:tc>
        <w:tc>
          <w:tcPr>
            <w:tcW w:w="2357" w:type="dxa"/>
            <w:noWrap/>
          </w:tcPr>
          <w:p w14:paraId="332799EC">
            <w:pPr>
              <w:pStyle w:val="150"/>
              <w:rPr>
                <w:rFonts w:ascii="宋体" w:hAnsi="宋体" w:cs="宋体"/>
                <w:color w:val="auto"/>
                <w:szCs w:val="21"/>
                <w:highlight w:val="none"/>
              </w:rPr>
            </w:pPr>
          </w:p>
        </w:tc>
        <w:tc>
          <w:tcPr>
            <w:tcW w:w="2356" w:type="dxa"/>
            <w:noWrap/>
          </w:tcPr>
          <w:p w14:paraId="052603CA">
            <w:pPr>
              <w:pStyle w:val="150"/>
              <w:rPr>
                <w:rFonts w:ascii="宋体" w:hAnsi="宋体" w:cs="宋体"/>
                <w:color w:val="auto"/>
                <w:szCs w:val="21"/>
                <w:highlight w:val="none"/>
              </w:rPr>
            </w:pPr>
          </w:p>
        </w:tc>
        <w:tc>
          <w:tcPr>
            <w:tcW w:w="2357" w:type="dxa"/>
            <w:noWrap/>
          </w:tcPr>
          <w:p w14:paraId="4312B5D5">
            <w:pPr>
              <w:pStyle w:val="150"/>
              <w:rPr>
                <w:rFonts w:ascii="宋体" w:hAnsi="宋体" w:cs="宋体"/>
                <w:color w:val="auto"/>
                <w:szCs w:val="21"/>
                <w:highlight w:val="none"/>
              </w:rPr>
            </w:pPr>
          </w:p>
        </w:tc>
      </w:tr>
      <w:tr w14:paraId="0823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tcPr>
          <w:p w14:paraId="655EB6E4">
            <w:pPr>
              <w:pStyle w:val="150"/>
              <w:rPr>
                <w:rFonts w:ascii="宋体" w:hAnsi="宋体" w:cs="宋体"/>
                <w:color w:val="auto"/>
                <w:szCs w:val="21"/>
                <w:highlight w:val="none"/>
              </w:rPr>
            </w:pPr>
          </w:p>
        </w:tc>
        <w:tc>
          <w:tcPr>
            <w:tcW w:w="2357" w:type="dxa"/>
            <w:noWrap/>
          </w:tcPr>
          <w:p w14:paraId="4BDFD940">
            <w:pPr>
              <w:pStyle w:val="150"/>
              <w:rPr>
                <w:rFonts w:ascii="宋体" w:hAnsi="宋体" w:cs="宋体"/>
                <w:color w:val="auto"/>
                <w:szCs w:val="21"/>
                <w:highlight w:val="none"/>
              </w:rPr>
            </w:pPr>
          </w:p>
        </w:tc>
        <w:tc>
          <w:tcPr>
            <w:tcW w:w="2356" w:type="dxa"/>
            <w:noWrap/>
          </w:tcPr>
          <w:p w14:paraId="65649491">
            <w:pPr>
              <w:pStyle w:val="150"/>
              <w:rPr>
                <w:rFonts w:ascii="宋体" w:hAnsi="宋体" w:cs="宋体"/>
                <w:color w:val="auto"/>
                <w:szCs w:val="21"/>
                <w:highlight w:val="none"/>
              </w:rPr>
            </w:pPr>
          </w:p>
        </w:tc>
        <w:tc>
          <w:tcPr>
            <w:tcW w:w="2357" w:type="dxa"/>
            <w:noWrap/>
          </w:tcPr>
          <w:p w14:paraId="48A28E09">
            <w:pPr>
              <w:pStyle w:val="150"/>
              <w:rPr>
                <w:rFonts w:ascii="宋体" w:hAnsi="宋体" w:cs="宋体"/>
                <w:color w:val="auto"/>
                <w:szCs w:val="21"/>
                <w:highlight w:val="none"/>
              </w:rPr>
            </w:pPr>
          </w:p>
        </w:tc>
      </w:tr>
      <w:tr w14:paraId="3FCA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noWrap/>
          </w:tcPr>
          <w:p w14:paraId="7CA33344">
            <w:pPr>
              <w:pStyle w:val="150"/>
              <w:rPr>
                <w:rFonts w:ascii="宋体" w:hAnsi="宋体" w:cs="宋体"/>
                <w:color w:val="auto"/>
                <w:szCs w:val="21"/>
                <w:highlight w:val="none"/>
              </w:rPr>
            </w:pPr>
          </w:p>
        </w:tc>
        <w:tc>
          <w:tcPr>
            <w:tcW w:w="2357" w:type="dxa"/>
            <w:noWrap/>
          </w:tcPr>
          <w:p w14:paraId="4244B32B">
            <w:pPr>
              <w:pStyle w:val="150"/>
              <w:rPr>
                <w:rFonts w:ascii="宋体" w:hAnsi="宋体" w:cs="宋体"/>
                <w:color w:val="auto"/>
                <w:szCs w:val="21"/>
                <w:highlight w:val="none"/>
              </w:rPr>
            </w:pPr>
          </w:p>
        </w:tc>
        <w:tc>
          <w:tcPr>
            <w:tcW w:w="2356" w:type="dxa"/>
            <w:noWrap/>
          </w:tcPr>
          <w:p w14:paraId="25017207">
            <w:pPr>
              <w:pStyle w:val="150"/>
              <w:rPr>
                <w:rFonts w:ascii="宋体" w:hAnsi="宋体" w:cs="宋体"/>
                <w:color w:val="auto"/>
                <w:szCs w:val="21"/>
                <w:highlight w:val="none"/>
              </w:rPr>
            </w:pPr>
          </w:p>
        </w:tc>
        <w:tc>
          <w:tcPr>
            <w:tcW w:w="2357" w:type="dxa"/>
            <w:noWrap/>
          </w:tcPr>
          <w:p w14:paraId="54873467">
            <w:pPr>
              <w:pStyle w:val="150"/>
              <w:rPr>
                <w:rFonts w:ascii="宋体" w:hAnsi="宋体" w:cs="宋体"/>
                <w:color w:val="auto"/>
                <w:szCs w:val="21"/>
                <w:highlight w:val="none"/>
              </w:rPr>
            </w:pPr>
          </w:p>
        </w:tc>
      </w:tr>
      <w:tr w14:paraId="6EA6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tcPr>
          <w:p w14:paraId="2738CE7E">
            <w:pPr>
              <w:pStyle w:val="150"/>
              <w:rPr>
                <w:rFonts w:ascii="宋体" w:hAnsi="宋体" w:cs="宋体"/>
                <w:color w:val="auto"/>
                <w:szCs w:val="21"/>
                <w:highlight w:val="none"/>
              </w:rPr>
            </w:pPr>
          </w:p>
        </w:tc>
        <w:tc>
          <w:tcPr>
            <w:tcW w:w="2357" w:type="dxa"/>
            <w:noWrap/>
          </w:tcPr>
          <w:p w14:paraId="3CAADF1D">
            <w:pPr>
              <w:pStyle w:val="150"/>
              <w:rPr>
                <w:rFonts w:ascii="宋体" w:hAnsi="宋体" w:cs="宋体"/>
                <w:color w:val="auto"/>
                <w:szCs w:val="21"/>
                <w:highlight w:val="none"/>
              </w:rPr>
            </w:pPr>
          </w:p>
        </w:tc>
        <w:tc>
          <w:tcPr>
            <w:tcW w:w="2356" w:type="dxa"/>
            <w:noWrap/>
          </w:tcPr>
          <w:p w14:paraId="0300F5D8">
            <w:pPr>
              <w:pStyle w:val="150"/>
              <w:rPr>
                <w:rFonts w:ascii="宋体" w:hAnsi="宋体" w:cs="宋体"/>
                <w:color w:val="auto"/>
                <w:szCs w:val="21"/>
                <w:highlight w:val="none"/>
              </w:rPr>
            </w:pPr>
          </w:p>
        </w:tc>
        <w:tc>
          <w:tcPr>
            <w:tcW w:w="2357" w:type="dxa"/>
            <w:noWrap/>
          </w:tcPr>
          <w:p w14:paraId="356C85DC">
            <w:pPr>
              <w:pStyle w:val="150"/>
              <w:rPr>
                <w:rFonts w:ascii="宋体" w:hAnsi="宋体" w:cs="宋体"/>
                <w:color w:val="auto"/>
                <w:szCs w:val="21"/>
                <w:highlight w:val="none"/>
              </w:rPr>
            </w:pPr>
          </w:p>
        </w:tc>
      </w:tr>
    </w:tbl>
    <w:p w14:paraId="2FE40B9F">
      <w:pPr>
        <w:pStyle w:val="150"/>
        <w:rPr>
          <w:rFonts w:ascii="宋体" w:hAnsi="宋体" w:cs="宋体"/>
          <w:color w:val="auto"/>
          <w:szCs w:val="21"/>
          <w:highlight w:val="none"/>
        </w:rPr>
      </w:pPr>
    </w:p>
    <w:p w14:paraId="79EE2FF2">
      <w:pPr>
        <w:pStyle w:val="150"/>
        <w:jc w:val="center"/>
        <w:outlineLvl w:val="0"/>
        <w:rPr>
          <w:rFonts w:ascii="宋体" w:hAnsi="宋体" w:cs="宋体"/>
          <w:b/>
          <w:bCs/>
          <w:color w:val="auto"/>
          <w:sz w:val="24"/>
          <w:szCs w:val="24"/>
          <w:highlight w:val="none"/>
        </w:rPr>
      </w:pPr>
      <w:bookmarkStart w:id="1140" w:name="_Toc389065361"/>
    </w:p>
    <w:p w14:paraId="7BB024C1">
      <w:pPr>
        <w:pStyle w:val="150"/>
        <w:jc w:val="center"/>
        <w:outlineLvl w:val="0"/>
        <w:rPr>
          <w:rFonts w:ascii="宋体" w:hAnsi="宋体" w:cs="宋体"/>
          <w:b/>
          <w:bCs/>
          <w:color w:val="auto"/>
          <w:sz w:val="24"/>
          <w:szCs w:val="24"/>
          <w:highlight w:val="none"/>
        </w:rPr>
      </w:pPr>
    </w:p>
    <w:p w14:paraId="2DDAA485">
      <w:pPr>
        <w:pStyle w:val="150"/>
        <w:jc w:val="center"/>
        <w:outlineLvl w:val="0"/>
        <w:rPr>
          <w:rFonts w:ascii="宋体" w:hAnsi="宋体" w:cs="宋体"/>
          <w:b/>
          <w:bCs/>
          <w:color w:val="auto"/>
          <w:sz w:val="24"/>
          <w:szCs w:val="24"/>
          <w:highlight w:val="none"/>
        </w:rPr>
      </w:pPr>
    </w:p>
    <w:p w14:paraId="7CAB3CB4">
      <w:pPr>
        <w:pStyle w:val="150"/>
        <w:jc w:val="center"/>
        <w:outlineLvl w:val="0"/>
        <w:rPr>
          <w:rFonts w:ascii="宋体" w:hAnsi="宋体" w:cs="宋体"/>
          <w:b/>
          <w:bCs/>
          <w:color w:val="auto"/>
          <w:sz w:val="24"/>
          <w:szCs w:val="24"/>
          <w:highlight w:val="none"/>
        </w:rPr>
      </w:pPr>
    </w:p>
    <w:p w14:paraId="4D535D62">
      <w:pPr>
        <w:pStyle w:val="150"/>
        <w:jc w:val="center"/>
        <w:outlineLvl w:val="0"/>
        <w:rPr>
          <w:rFonts w:ascii="宋体" w:hAnsi="宋体" w:cs="宋体"/>
          <w:b/>
          <w:bCs/>
          <w:color w:val="auto"/>
          <w:sz w:val="24"/>
          <w:szCs w:val="24"/>
          <w:highlight w:val="none"/>
        </w:rPr>
      </w:pPr>
      <w:bookmarkStart w:id="1141" w:name="_Toc513455302"/>
      <w:r>
        <w:rPr>
          <w:rFonts w:hint="eastAsia" w:ascii="宋体" w:hAnsi="宋体" w:cs="宋体"/>
          <w:b/>
          <w:bCs/>
          <w:color w:val="auto"/>
          <w:sz w:val="24"/>
          <w:szCs w:val="24"/>
          <w:highlight w:val="none"/>
        </w:rPr>
        <w:t>二、拟分包计划表</w:t>
      </w:r>
      <w:bookmarkEnd w:id="1140"/>
      <w:bookmarkEnd w:id="1141"/>
    </w:p>
    <w:p w14:paraId="5C636C2B">
      <w:pPr>
        <w:pStyle w:val="150"/>
        <w:jc w:val="center"/>
        <w:rPr>
          <w:rFonts w:ascii="宋体" w:hAnsi="宋体" w:cs="宋体"/>
          <w:b/>
          <w:bCs/>
          <w:color w:val="auto"/>
          <w:sz w:val="28"/>
          <w:szCs w:val="28"/>
          <w:highlight w:val="none"/>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1268"/>
      </w:tblGrid>
      <w:tr w14:paraId="46F2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tcMar>
              <w:left w:w="108" w:type="dxa"/>
              <w:right w:w="108" w:type="dxa"/>
            </w:tcMar>
            <w:vAlign w:val="center"/>
          </w:tcPr>
          <w:p w14:paraId="50F9039D">
            <w:pPr>
              <w:pStyle w:val="150"/>
              <w:jc w:val="center"/>
              <w:rPr>
                <w:rFonts w:ascii="宋体" w:hAnsi="宋体" w:cs="宋体"/>
                <w:color w:val="auto"/>
                <w:szCs w:val="21"/>
                <w:highlight w:val="none"/>
              </w:rPr>
            </w:pPr>
            <w:r>
              <w:rPr>
                <w:rFonts w:hint="eastAsia" w:ascii="宋体" w:hAnsi="宋体" w:cs="宋体"/>
                <w:color w:val="auto"/>
                <w:szCs w:val="21"/>
                <w:highlight w:val="none"/>
              </w:rPr>
              <w:t>序</w:t>
            </w:r>
          </w:p>
          <w:p w14:paraId="56A4C707">
            <w:pPr>
              <w:pStyle w:val="150"/>
              <w:jc w:val="center"/>
              <w:rPr>
                <w:rFonts w:ascii="宋体" w:hAnsi="宋体" w:cs="宋体"/>
                <w:color w:val="auto"/>
                <w:szCs w:val="21"/>
                <w:highlight w:val="none"/>
              </w:rPr>
            </w:pPr>
            <w:r>
              <w:rPr>
                <w:rFonts w:hint="eastAsia" w:ascii="宋体" w:hAnsi="宋体" w:cs="宋体"/>
                <w:color w:val="auto"/>
                <w:szCs w:val="21"/>
                <w:highlight w:val="none"/>
              </w:rPr>
              <w:t>号</w:t>
            </w:r>
          </w:p>
        </w:tc>
        <w:tc>
          <w:tcPr>
            <w:tcW w:w="1843" w:type="dxa"/>
            <w:vMerge w:val="restart"/>
            <w:noWrap/>
            <w:tcMar>
              <w:left w:w="108" w:type="dxa"/>
              <w:right w:w="108" w:type="dxa"/>
            </w:tcMar>
            <w:vAlign w:val="center"/>
          </w:tcPr>
          <w:p w14:paraId="6EFF31E3">
            <w:pPr>
              <w:pStyle w:val="150"/>
              <w:jc w:val="center"/>
              <w:rPr>
                <w:rFonts w:ascii="宋体" w:hAnsi="宋体" w:cs="宋体"/>
                <w:color w:val="auto"/>
                <w:szCs w:val="21"/>
                <w:highlight w:val="none"/>
              </w:rPr>
            </w:pPr>
            <w:r>
              <w:rPr>
                <w:rFonts w:hint="eastAsia" w:ascii="宋体" w:hAnsi="宋体" w:cs="宋体"/>
                <w:color w:val="auto"/>
                <w:szCs w:val="21"/>
                <w:highlight w:val="none"/>
              </w:rPr>
              <w:t>拟分包项目名称、范围及理由</w:t>
            </w:r>
          </w:p>
        </w:tc>
        <w:tc>
          <w:tcPr>
            <w:tcW w:w="5111" w:type="dxa"/>
            <w:gridSpan w:val="5"/>
            <w:noWrap/>
            <w:tcMar>
              <w:left w:w="108" w:type="dxa"/>
              <w:right w:w="108" w:type="dxa"/>
            </w:tcMar>
            <w:vAlign w:val="center"/>
          </w:tcPr>
          <w:p w14:paraId="187EE26E">
            <w:pPr>
              <w:pStyle w:val="150"/>
              <w:jc w:val="center"/>
              <w:rPr>
                <w:rFonts w:ascii="宋体" w:hAnsi="宋体" w:cs="宋体"/>
                <w:color w:val="auto"/>
                <w:szCs w:val="21"/>
                <w:highlight w:val="none"/>
              </w:rPr>
            </w:pPr>
            <w:r>
              <w:rPr>
                <w:rFonts w:hint="eastAsia" w:ascii="宋体" w:hAnsi="宋体" w:cs="宋体"/>
                <w:color w:val="auto"/>
                <w:szCs w:val="21"/>
                <w:highlight w:val="none"/>
              </w:rPr>
              <w:t>拟选分包人</w:t>
            </w:r>
          </w:p>
        </w:tc>
        <w:tc>
          <w:tcPr>
            <w:tcW w:w="1268" w:type="dxa"/>
            <w:vMerge w:val="restart"/>
            <w:noWrap/>
            <w:tcMar>
              <w:left w:w="108" w:type="dxa"/>
              <w:right w:w="108" w:type="dxa"/>
            </w:tcMar>
            <w:vAlign w:val="center"/>
          </w:tcPr>
          <w:p w14:paraId="21E83117">
            <w:pPr>
              <w:pStyle w:val="150"/>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6CB4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tcMar>
              <w:left w:w="108" w:type="dxa"/>
              <w:right w:w="108" w:type="dxa"/>
            </w:tcMar>
            <w:vAlign w:val="center"/>
          </w:tcPr>
          <w:p w14:paraId="2CD03379">
            <w:pPr>
              <w:pStyle w:val="150"/>
              <w:jc w:val="center"/>
              <w:rPr>
                <w:rFonts w:ascii="宋体" w:hAnsi="宋体" w:cs="宋体"/>
                <w:color w:val="auto"/>
                <w:szCs w:val="21"/>
                <w:highlight w:val="none"/>
              </w:rPr>
            </w:pPr>
          </w:p>
        </w:tc>
        <w:tc>
          <w:tcPr>
            <w:tcW w:w="1843" w:type="dxa"/>
            <w:vMerge w:val="continue"/>
            <w:noWrap/>
            <w:tcMar>
              <w:left w:w="108" w:type="dxa"/>
              <w:right w:w="108" w:type="dxa"/>
            </w:tcMar>
            <w:vAlign w:val="center"/>
          </w:tcPr>
          <w:p w14:paraId="3E546B4D">
            <w:pPr>
              <w:pStyle w:val="150"/>
              <w:jc w:val="center"/>
              <w:rPr>
                <w:rFonts w:ascii="宋体" w:hAnsi="宋体" w:cs="宋体"/>
                <w:color w:val="auto"/>
                <w:szCs w:val="21"/>
                <w:highlight w:val="none"/>
              </w:rPr>
            </w:pPr>
          </w:p>
        </w:tc>
        <w:tc>
          <w:tcPr>
            <w:tcW w:w="1701" w:type="dxa"/>
            <w:gridSpan w:val="2"/>
            <w:noWrap/>
            <w:tcMar>
              <w:left w:w="108" w:type="dxa"/>
              <w:right w:w="108" w:type="dxa"/>
            </w:tcMar>
            <w:vAlign w:val="center"/>
          </w:tcPr>
          <w:p w14:paraId="4E3C5697">
            <w:pPr>
              <w:pStyle w:val="150"/>
              <w:jc w:val="center"/>
              <w:rPr>
                <w:rFonts w:ascii="宋体" w:hAnsi="宋体" w:cs="宋体"/>
                <w:color w:val="auto"/>
                <w:szCs w:val="21"/>
                <w:highlight w:val="none"/>
              </w:rPr>
            </w:pPr>
            <w:r>
              <w:rPr>
                <w:rFonts w:hint="eastAsia" w:ascii="宋体" w:hAnsi="宋体" w:cs="宋体"/>
                <w:color w:val="auto"/>
                <w:szCs w:val="21"/>
                <w:highlight w:val="none"/>
              </w:rPr>
              <w:t>拟选分包人名称</w:t>
            </w:r>
          </w:p>
        </w:tc>
        <w:tc>
          <w:tcPr>
            <w:tcW w:w="1123" w:type="dxa"/>
            <w:noWrap/>
            <w:tcMar>
              <w:left w:w="108" w:type="dxa"/>
              <w:right w:w="108" w:type="dxa"/>
            </w:tcMar>
            <w:vAlign w:val="center"/>
          </w:tcPr>
          <w:p w14:paraId="6716EB7C">
            <w:pPr>
              <w:pStyle w:val="150"/>
              <w:jc w:val="center"/>
              <w:rPr>
                <w:rFonts w:ascii="宋体" w:hAnsi="宋体" w:cs="宋体"/>
                <w:color w:val="auto"/>
                <w:szCs w:val="21"/>
                <w:highlight w:val="none"/>
              </w:rPr>
            </w:pPr>
            <w:r>
              <w:rPr>
                <w:rFonts w:hint="eastAsia" w:ascii="宋体" w:hAnsi="宋体" w:cs="宋体"/>
                <w:color w:val="auto"/>
                <w:szCs w:val="21"/>
                <w:highlight w:val="none"/>
              </w:rPr>
              <w:t>注册地点</w:t>
            </w:r>
          </w:p>
        </w:tc>
        <w:tc>
          <w:tcPr>
            <w:tcW w:w="1090" w:type="dxa"/>
            <w:noWrap/>
            <w:tcMar>
              <w:left w:w="108" w:type="dxa"/>
              <w:right w:w="108" w:type="dxa"/>
            </w:tcMar>
            <w:vAlign w:val="center"/>
          </w:tcPr>
          <w:p w14:paraId="6EED2E66">
            <w:pPr>
              <w:pStyle w:val="150"/>
              <w:jc w:val="center"/>
              <w:rPr>
                <w:rFonts w:ascii="宋体" w:hAnsi="宋体" w:cs="宋体"/>
                <w:color w:val="auto"/>
                <w:szCs w:val="21"/>
                <w:highlight w:val="none"/>
              </w:rPr>
            </w:pPr>
            <w:r>
              <w:rPr>
                <w:rFonts w:hint="eastAsia" w:ascii="宋体" w:hAnsi="宋体" w:cs="宋体"/>
                <w:color w:val="auto"/>
                <w:szCs w:val="21"/>
                <w:highlight w:val="none"/>
              </w:rPr>
              <w:t>企业资质</w:t>
            </w:r>
          </w:p>
        </w:tc>
        <w:tc>
          <w:tcPr>
            <w:tcW w:w="1197" w:type="dxa"/>
            <w:noWrap/>
            <w:tcMar>
              <w:left w:w="108" w:type="dxa"/>
              <w:right w:w="108" w:type="dxa"/>
            </w:tcMar>
            <w:vAlign w:val="center"/>
          </w:tcPr>
          <w:p w14:paraId="142849BE">
            <w:pPr>
              <w:pStyle w:val="150"/>
              <w:jc w:val="center"/>
              <w:rPr>
                <w:rFonts w:ascii="宋体" w:hAnsi="宋体" w:cs="宋体"/>
                <w:color w:val="auto"/>
                <w:szCs w:val="21"/>
                <w:highlight w:val="none"/>
              </w:rPr>
            </w:pPr>
            <w:r>
              <w:rPr>
                <w:rFonts w:hint="eastAsia" w:ascii="宋体" w:hAnsi="宋体" w:cs="宋体"/>
                <w:color w:val="auto"/>
                <w:szCs w:val="21"/>
                <w:highlight w:val="none"/>
              </w:rPr>
              <w:t>有关业绩</w:t>
            </w:r>
          </w:p>
        </w:tc>
        <w:tc>
          <w:tcPr>
            <w:tcW w:w="1268" w:type="dxa"/>
            <w:vMerge w:val="continue"/>
            <w:noWrap/>
            <w:tcMar>
              <w:left w:w="108" w:type="dxa"/>
              <w:right w:w="108" w:type="dxa"/>
            </w:tcMar>
            <w:vAlign w:val="center"/>
          </w:tcPr>
          <w:p w14:paraId="105E1EE2">
            <w:pPr>
              <w:pStyle w:val="150"/>
              <w:jc w:val="center"/>
              <w:rPr>
                <w:rFonts w:ascii="宋体" w:hAnsi="宋体" w:cs="宋体"/>
                <w:color w:val="auto"/>
                <w:szCs w:val="21"/>
                <w:highlight w:val="none"/>
              </w:rPr>
            </w:pPr>
          </w:p>
        </w:tc>
      </w:tr>
      <w:tr w14:paraId="40A2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tcMar>
              <w:left w:w="108" w:type="dxa"/>
              <w:right w:w="108" w:type="dxa"/>
            </w:tcMar>
            <w:vAlign w:val="center"/>
          </w:tcPr>
          <w:p w14:paraId="28EF09FF">
            <w:pPr>
              <w:pStyle w:val="150"/>
              <w:jc w:val="center"/>
              <w:rPr>
                <w:rFonts w:ascii="宋体" w:hAnsi="宋体" w:cs="宋体"/>
                <w:color w:val="auto"/>
                <w:szCs w:val="21"/>
                <w:highlight w:val="none"/>
              </w:rPr>
            </w:pPr>
          </w:p>
        </w:tc>
        <w:tc>
          <w:tcPr>
            <w:tcW w:w="1843" w:type="dxa"/>
            <w:vMerge w:val="restart"/>
            <w:noWrap/>
            <w:tcMar>
              <w:left w:w="108" w:type="dxa"/>
              <w:right w:w="108" w:type="dxa"/>
            </w:tcMar>
            <w:vAlign w:val="center"/>
          </w:tcPr>
          <w:p w14:paraId="5299CD7F">
            <w:pPr>
              <w:pStyle w:val="150"/>
              <w:jc w:val="center"/>
              <w:rPr>
                <w:rFonts w:ascii="宋体" w:hAnsi="宋体" w:cs="宋体"/>
                <w:color w:val="auto"/>
                <w:szCs w:val="21"/>
                <w:highlight w:val="none"/>
              </w:rPr>
            </w:pPr>
          </w:p>
        </w:tc>
        <w:tc>
          <w:tcPr>
            <w:tcW w:w="751" w:type="dxa"/>
            <w:noWrap/>
            <w:tcMar>
              <w:left w:w="108" w:type="dxa"/>
              <w:right w:w="108" w:type="dxa"/>
            </w:tcMar>
            <w:vAlign w:val="center"/>
          </w:tcPr>
          <w:p w14:paraId="3F23CD95">
            <w:pPr>
              <w:pStyle w:val="150"/>
              <w:jc w:val="center"/>
              <w:rPr>
                <w:rFonts w:ascii="宋体" w:hAnsi="宋体" w:cs="宋体"/>
                <w:color w:val="auto"/>
                <w:szCs w:val="21"/>
                <w:highlight w:val="none"/>
              </w:rPr>
            </w:pPr>
            <w:r>
              <w:rPr>
                <w:rFonts w:hint="eastAsia" w:ascii="宋体" w:hAnsi="宋体" w:cs="宋体"/>
                <w:color w:val="auto"/>
                <w:szCs w:val="21"/>
                <w:highlight w:val="none"/>
              </w:rPr>
              <w:t>1</w:t>
            </w:r>
          </w:p>
        </w:tc>
        <w:tc>
          <w:tcPr>
            <w:tcW w:w="950" w:type="dxa"/>
            <w:noWrap/>
            <w:tcMar>
              <w:left w:w="108" w:type="dxa"/>
              <w:right w:w="108" w:type="dxa"/>
            </w:tcMar>
            <w:vAlign w:val="center"/>
          </w:tcPr>
          <w:p w14:paraId="5ECC30C0">
            <w:pPr>
              <w:pStyle w:val="150"/>
              <w:jc w:val="center"/>
              <w:rPr>
                <w:rFonts w:ascii="宋体" w:hAnsi="宋体" w:cs="宋体"/>
                <w:color w:val="auto"/>
                <w:szCs w:val="21"/>
                <w:highlight w:val="none"/>
              </w:rPr>
            </w:pPr>
          </w:p>
        </w:tc>
        <w:tc>
          <w:tcPr>
            <w:tcW w:w="1123" w:type="dxa"/>
            <w:noWrap/>
            <w:tcMar>
              <w:left w:w="108" w:type="dxa"/>
              <w:right w:w="108" w:type="dxa"/>
            </w:tcMar>
            <w:vAlign w:val="center"/>
          </w:tcPr>
          <w:p w14:paraId="77785D4E">
            <w:pPr>
              <w:pStyle w:val="150"/>
              <w:jc w:val="center"/>
              <w:rPr>
                <w:rFonts w:ascii="宋体" w:hAnsi="宋体" w:cs="宋体"/>
                <w:color w:val="auto"/>
                <w:szCs w:val="21"/>
                <w:highlight w:val="none"/>
              </w:rPr>
            </w:pPr>
          </w:p>
        </w:tc>
        <w:tc>
          <w:tcPr>
            <w:tcW w:w="1090" w:type="dxa"/>
            <w:noWrap/>
            <w:tcMar>
              <w:left w:w="108" w:type="dxa"/>
              <w:right w:w="108" w:type="dxa"/>
            </w:tcMar>
            <w:vAlign w:val="center"/>
          </w:tcPr>
          <w:p w14:paraId="4357F51F">
            <w:pPr>
              <w:pStyle w:val="150"/>
              <w:jc w:val="center"/>
              <w:rPr>
                <w:rFonts w:ascii="宋体" w:hAnsi="宋体" w:cs="宋体"/>
                <w:color w:val="auto"/>
                <w:szCs w:val="21"/>
                <w:highlight w:val="none"/>
              </w:rPr>
            </w:pPr>
          </w:p>
        </w:tc>
        <w:tc>
          <w:tcPr>
            <w:tcW w:w="1197" w:type="dxa"/>
            <w:noWrap/>
            <w:tcMar>
              <w:left w:w="108" w:type="dxa"/>
              <w:right w:w="108" w:type="dxa"/>
            </w:tcMar>
            <w:vAlign w:val="center"/>
          </w:tcPr>
          <w:p w14:paraId="3DF30510">
            <w:pPr>
              <w:pStyle w:val="150"/>
              <w:jc w:val="center"/>
              <w:rPr>
                <w:rFonts w:ascii="宋体" w:hAnsi="宋体" w:cs="宋体"/>
                <w:color w:val="auto"/>
                <w:szCs w:val="21"/>
                <w:highlight w:val="none"/>
              </w:rPr>
            </w:pPr>
          </w:p>
        </w:tc>
        <w:tc>
          <w:tcPr>
            <w:tcW w:w="1268" w:type="dxa"/>
            <w:noWrap/>
            <w:tcMar>
              <w:left w:w="108" w:type="dxa"/>
              <w:right w:w="108" w:type="dxa"/>
            </w:tcMar>
            <w:vAlign w:val="center"/>
          </w:tcPr>
          <w:p w14:paraId="71F61831">
            <w:pPr>
              <w:pStyle w:val="150"/>
              <w:jc w:val="center"/>
              <w:rPr>
                <w:rFonts w:ascii="宋体" w:hAnsi="宋体" w:cs="宋体"/>
                <w:color w:val="auto"/>
                <w:szCs w:val="21"/>
                <w:highlight w:val="none"/>
              </w:rPr>
            </w:pPr>
          </w:p>
        </w:tc>
      </w:tr>
      <w:tr w14:paraId="31DA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tcMar>
              <w:left w:w="108" w:type="dxa"/>
              <w:right w:w="108" w:type="dxa"/>
            </w:tcMar>
            <w:vAlign w:val="center"/>
          </w:tcPr>
          <w:p w14:paraId="51B0EDE7">
            <w:pPr>
              <w:pStyle w:val="150"/>
              <w:jc w:val="center"/>
              <w:rPr>
                <w:rFonts w:ascii="宋体" w:hAnsi="宋体" w:cs="宋体"/>
                <w:color w:val="auto"/>
                <w:szCs w:val="21"/>
                <w:highlight w:val="none"/>
              </w:rPr>
            </w:pPr>
          </w:p>
        </w:tc>
        <w:tc>
          <w:tcPr>
            <w:tcW w:w="1843" w:type="dxa"/>
            <w:vMerge w:val="continue"/>
            <w:noWrap/>
            <w:tcMar>
              <w:left w:w="108" w:type="dxa"/>
              <w:right w:w="108" w:type="dxa"/>
            </w:tcMar>
            <w:vAlign w:val="center"/>
          </w:tcPr>
          <w:p w14:paraId="7440E01E">
            <w:pPr>
              <w:pStyle w:val="150"/>
              <w:jc w:val="center"/>
              <w:rPr>
                <w:rFonts w:ascii="宋体" w:hAnsi="宋体" w:cs="宋体"/>
                <w:color w:val="auto"/>
                <w:szCs w:val="21"/>
                <w:highlight w:val="none"/>
              </w:rPr>
            </w:pPr>
          </w:p>
        </w:tc>
        <w:tc>
          <w:tcPr>
            <w:tcW w:w="751" w:type="dxa"/>
            <w:noWrap/>
            <w:tcMar>
              <w:left w:w="108" w:type="dxa"/>
              <w:right w:w="108" w:type="dxa"/>
            </w:tcMar>
            <w:vAlign w:val="center"/>
          </w:tcPr>
          <w:p w14:paraId="76C235E4">
            <w:pPr>
              <w:pStyle w:val="150"/>
              <w:jc w:val="center"/>
              <w:rPr>
                <w:rFonts w:ascii="宋体" w:hAnsi="宋体" w:cs="宋体"/>
                <w:color w:val="auto"/>
                <w:szCs w:val="21"/>
                <w:highlight w:val="none"/>
              </w:rPr>
            </w:pPr>
            <w:r>
              <w:rPr>
                <w:rFonts w:hint="eastAsia" w:ascii="宋体" w:hAnsi="宋体" w:cs="宋体"/>
                <w:color w:val="auto"/>
                <w:szCs w:val="21"/>
                <w:highlight w:val="none"/>
              </w:rPr>
              <w:t>2</w:t>
            </w:r>
          </w:p>
        </w:tc>
        <w:tc>
          <w:tcPr>
            <w:tcW w:w="950" w:type="dxa"/>
            <w:noWrap/>
            <w:tcMar>
              <w:left w:w="108" w:type="dxa"/>
              <w:right w:w="108" w:type="dxa"/>
            </w:tcMar>
            <w:vAlign w:val="center"/>
          </w:tcPr>
          <w:p w14:paraId="26FE9D61">
            <w:pPr>
              <w:pStyle w:val="150"/>
              <w:jc w:val="center"/>
              <w:rPr>
                <w:rFonts w:ascii="宋体" w:hAnsi="宋体" w:cs="宋体"/>
                <w:color w:val="auto"/>
                <w:szCs w:val="21"/>
                <w:highlight w:val="none"/>
              </w:rPr>
            </w:pPr>
          </w:p>
        </w:tc>
        <w:tc>
          <w:tcPr>
            <w:tcW w:w="1123" w:type="dxa"/>
            <w:noWrap/>
            <w:tcMar>
              <w:left w:w="108" w:type="dxa"/>
              <w:right w:w="108" w:type="dxa"/>
            </w:tcMar>
            <w:vAlign w:val="center"/>
          </w:tcPr>
          <w:p w14:paraId="0AB84694">
            <w:pPr>
              <w:pStyle w:val="150"/>
              <w:jc w:val="center"/>
              <w:rPr>
                <w:rFonts w:ascii="宋体" w:hAnsi="宋体" w:cs="宋体"/>
                <w:color w:val="auto"/>
                <w:szCs w:val="21"/>
                <w:highlight w:val="none"/>
              </w:rPr>
            </w:pPr>
          </w:p>
        </w:tc>
        <w:tc>
          <w:tcPr>
            <w:tcW w:w="1090" w:type="dxa"/>
            <w:noWrap/>
            <w:tcMar>
              <w:left w:w="108" w:type="dxa"/>
              <w:right w:w="108" w:type="dxa"/>
            </w:tcMar>
            <w:vAlign w:val="center"/>
          </w:tcPr>
          <w:p w14:paraId="26E197C2">
            <w:pPr>
              <w:pStyle w:val="150"/>
              <w:jc w:val="center"/>
              <w:rPr>
                <w:rFonts w:ascii="宋体" w:hAnsi="宋体" w:cs="宋体"/>
                <w:color w:val="auto"/>
                <w:szCs w:val="21"/>
                <w:highlight w:val="none"/>
              </w:rPr>
            </w:pPr>
          </w:p>
        </w:tc>
        <w:tc>
          <w:tcPr>
            <w:tcW w:w="1197" w:type="dxa"/>
            <w:noWrap/>
            <w:tcMar>
              <w:left w:w="108" w:type="dxa"/>
              <w:right w:w="108" w:type="dxa"/>
            </w:tcMar>
            <w:vAlign w:val="center"/>
          </w:tcPr>
          <w:p w14:paraId="0363452C">
            <w:pPr>
              <w:pStyle w:val="150"/>
              <w:jc w:val="center"/>
              <w:rPr>
                <w:rFonts w:ascii="宋体" w:hAnsi="宋体" w:cs="宋体"/>
                <w:color w:val="auto"/>
                <w:szCs w:val="21"/>
                <w:highlight w:val="none"/>
              </w:rPr>
            </w:pPr>
          </w:p>
        </w:tc>
        <w:tc>
          <w:tcPr>
            <w:tcW w:w="1268" w:type="dxa"/>
            <w:noWrap/>
            <w:tcMar>
              <w:left w:w="108" w:type="dxa"/>
              <w:right w:w="108" w:type="dxa"/>
            </w:tcMar>
            <w:vAlign w:val="center"/>
          </w:tcPr>
          <w:p w14:paraId="4A5FA70A">
            <w:pPr>
              <w:pStyle w:val="150"/>
              <w:jc w:val="center"/>
              <w:rPr>
                <w:rFonts w:ascii="宋体" w:hAnsi="宋体" w:cs="宋体"/>
                <w:color w:val="auto"/>
                <w:szCs w:val="21"/>
                <w:highlight w:val="none"/>
              </w:rPr>
            </w:pPr>
          </w:p>
        </w:tc>
      </w:tr>
      <w:tr w14:paraId="55FB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tcMar>
              <w:left w:w="108" w:type="dxa"/>
              <w:right w:w="108" w:type="dxa"/>
            </w:tcMar>
            <w:vAlign w:val="center"/>
          </w:tcPr>
          <w:p w14:paraId="4D0284B4">
            <w:pPr>
              <w:pStyle w:val="150"/>
              <w:jc w:val="center"/>
              <w:rPr>
                <w:rFonts w:ascii="宋体" w:hAnsi="宋体" w:cs="宋体"/>
                <w:color w:val="auto"/>
                <w:szCs w:val="21"/>
                <w:highlight w:val="none"/>
              </w:rPr>
            </w:pPr>
          </w:p>
        </w:tc>
        <w:tc>
          <w:tcPr>
            <w:tcW w:w="1843" w:type="dxa"/>
            <w:vMerge w:val="continue"/>
            <w:noWrap/>
            <w:tcMar>
              <w:left w:w="108" w:type="dxa"/>
              <w:right w:w="108" w:type="dxa"/>
            </w:tcMar>
            <w:vAlign w:val="center"/>
          </w:tcPr>
          <w:p w14:paraId="7FEF3AF6">
            <w:pPr>
              <w:pStyle w:val="150"/>
              <w:jc w:val="center"/>
              <w:rPr>
                <w:rFonts w:ascii="宋体" w:hAnsi="宋体" w:cs="宋体"/>
                <w:color w:val="auto"/>
                <w:szCs w:val="21"/>
                <w:highlight w:val="none"/>
              </w:rPr>
            </w:pPr>
          </w:p>
        </w:tc>
        <w:tc>
          <w:tcPr>
            <w:tcW w:w="751" w:type="dxa"/>
            <w:noWrap/>
            <w:tcMar>
              <w:left w:w="108" w:type="dxa"/>
              <w:right w:w="108" w:type="dxa"/>
            </w:tcMar>
            <w:vAlign w:val="center"/>
          </w:tcPr>
          <w:p w14:paraId="65BE5E74">
            <w:pPr>
              <w:pStyle w:val="150"/>
              <w:jc w:val="center"/>
              <w:rPr>
                <w:rFonts w:ascii="宋体" w:hAnsi="宋体" w:cs="宋体"/>
                <w:color w:val="auto"/>
                <w:szCs w:val="21"/>
                <w:highlight w:val="none"/>
              </w:rPr>
            </w:pPr>
            <w:r>
              <w:rPr>
                <w:rFonts w:hint="eastAsia" w:ascii="宋体" w:hAnsi="宋体" w:cs="宋体"/>
                <w:color w:val="auto"/>
                <w:szCs w:val="21"/>
                <w:highlight w:val="none"/>
              </w:rPr>
              <w:t>3</w:t>
            </w:r>
          </w:p>
        </w:tc>
        <w:tc>
          <w:tcPr>
            <w:tcW w:w="950" w:type="dxa"/>
            <w:noWrap/>
            <w:tcMar>
              <w:left w:w="108" w:type="dxa"/>
              <w:right w:w="108" w:type="dxa"/>
            </w:tcMar>
            <w:vAlign w:val="center"/>
          </w:tcPr>
          <w:p w14:paraId="298E4EA7">
            <w:pPr>
              <w:pStyle w:val="150"/>
              <w:jc w:val="center"/>
              <w:rPr>
                <w:rFonts w:ascii="宋体" w:hAnsi="宋体" w:cs="宋体"/>
                <w:color w:val="auto"/>
                <w:szCs w:val="21"/>
                <w:highlight w:val="none"/>
              </w:rPr>
            </w:pPr>
          </w:p>
        </w:tc>
        <w:tc>
          <w:tcPr>
            <w:tcW w:w="1123" w:type="dxa"/>
            <w:noWrap/>
            <w:tcMar>
              <w:left w:w="108" w:type="dxa"/>
              <w:right w:w="108" w:type="dxa"/>
            </w:tcMar>
            <w:vAlign w:val="center"/>
          </w:tcPr>
          <w:p w14:paraId="7BC63C37">
            <w:pPr>
              <w:pStyle w:val="150"/>
              <w:jc w:val="center"/>
              <w:rPr>
                <w:rFonts w:ascii="宋体" w:hAnsi="宋体" w:cs="宋体"/>
                <w:color w:val="auto"/>
                <w:szCs w:val="21"/>
                <w:highlight w:val="none"/>
              </w:rPr>
            </w:pPr>
          </w:p>
        </w:tc>
        <w:tc>
          <w:tcPr>
            <w:tcW w:w="1090" w:type="dxa"/>
            <w:noWrap/>
            <w:tcMar>
              <w:left w:w="108" w:type="dxa"/>
              <w:right w:w="108" w:type="dxa"/>
            </w:tcMar>
            <w:vAlign w:val="center"/>
          </w:tcPr>
          <w:p w14:paraId="4FC9A1CF">
            <w:pPr>
              <w:pStyle w:val="150"/>
              <w:jc w:val="center"/>
              <w:rPr>
                <w:rFonts w:ascii="宋体" w:hAnsi="宋体" w:cs="宋体"/>
                <w:color w:val="auto"/>
                <w:szCs w:val="21"/>
                <w:highlight w:val="none"/>
              </w:rPr>
            </w:pPr>
          </w:p>
        </w:tc>
        <w:tc>
          <w:tcPr>
            <w:tcW w:w="1197" w:type="dxa"/>
            <w:noWrap/>
            <w:tcMar>
              <w:left w:w="108" w:type="dxa"/>
              <w:right w:w="108" w:type="dxa"/>
            </w:tcMar>
            <w:vAlign w:val="center"/>
          </w:tcPr>
          <w:p w14:paraId="7EF381D4">
            <w:pPr>
              <w:pStyle w:val="150"/>
              <w:jc w:val="center"/>
              <w:rPr>
                <w:rFonts w:ascii="宋体" w:hAnsi="宋体" w:cs="宋体"/>
                <w:color w:val="auto"/>
                <w:szCs w:val="21"/>
                <w:highlight w:val="none"/>
              </w:rPr>
            </w:pPr>
          </w:p>
        </w:tc>
        <w:tc>
          <w:tcPr>
            <w:tcW w:w="1268" w:type="dxa"/>
            <w:noWrap/>
            <w:tcMar>
              <w:left w:w="108" w:type="dxa"/>
              <w:right w:w="108" w:type="dxa"/>
            </w:tcMar>
            <w:vAlign w:val="center"/>
          </w:tcPr>
          <w:p w14:paraId="1DE88662">
            <w:pPr>
              <w:pStyle w:val="150"/>
              <w:jc w:val="center"/>
              <w:rPr>
                <w:rFonts w:ascii="宋体" w:hAnsi="宋体" w:cs="宋体"/>
                <w:color w:val="auto"/>
                <w:szCs w:val="21"/>
                <w:highlight w:val="none"/>
              </w:rPr>
            </w:pPr>
          </w:p>
        </w:tc>
      </w:tr>
      <w:tr w14:paraId="243A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tcMar>
              <w:left w:w="108" w:type="dxa"/>
              <w:right w:w="108" w:type="dxa"/>
            </w:tcMar>
            <w:vAlign w:val="center"/>
          </w:tcPr>
          <w:p w14:paraId="18183EE4">
            <w:pPr>
              <w:pStyle w:val="150"/>
              <w:jc w:val="center"/>
              <w:rPr>
                <w:rFonts w:ascii="宋体" w:hAnsi="宋体" w:cs="宋体"/>
                <w:color w:val="auto"/>
                <w:szCs w:val="21"/>
                <w:highlight w:val="none"/>
              </w:rPr>
            </w:pPr>
          </w:p>
        </w:tc>
        <w:tc>
          <w:tcPr>
            <w:tcW w:w="1843" w:type="dxa"/>
            <w:vMerge w:val="restart"/>
            <w:noWrap/>
            <w:tcMar>
              <w:left w:w="108" w:type="dxa"/>
              <w:right w:w="108" w:type="dxa"/>
            </w:tcMar>
            <w:vAlign w:val="center"/>
          </w:tcPr>
          <w:p w14:paraId="3C47C5FA">
            <w:pPr>
              <w:pStyle w:val="150"/>
              <w:jc w:val="center"/>
              <w:rPr>
                <w:rFonts w:ascii="宋体" w:hAnsi="宋体" w:cs="宋体"/>
                <w:color w:val="auto"/>
                <w:szCs w:val="21"/>
                <w:highlight w:val="none"/>
              </w:rPr>
            </w:pPr>
          </w:p>
        </w:tc>
        <w:tc>
          <w:tcPr>
            <w:tcW w:w="751" w:type="dxa"/>
            <w:noWrap/>
            <w:tcMar>
              <w:left w:w="108" w:type="dxa"/>
              <w:right w:w="108" w:type="dxa"/>
            </w:tcMar>
            <w:vAlign w:val="center"/>
          </w:tcPr>
          <w:p w14:paraId="3DD6CB11">
            <w:pPr>
              <w:pStyle w:val="150"/>
              <w:jc w:val="center"/>
              <w:rPr>
                <w:rFonts w:ascii="宋体" w:hAnsi="宋体" w:cs="宋体"/>
                <w:color w:val="auto"/>
                <w:szCs w:val="21"/>
                <w:highlight w:val="none"/>
              </w:rPr>
            </w:pPr>
            <w:r>
              <w:rPr>
                <w:rFonts w:hint="eastAsia" w:ascii="宋体" w:hAnsi="宋体" w:cs="宋体"/>
                <w:color w:val="auto"/>
                <w:szCs w:val="21"/>
                <w:highlight w:val="none"/>
              </w:rPr>
              <w:t>1</w:t>
            </w:r>
          </w:p>
        </w:tc>
        <w:tc>
          <w:tcPr>
            <w:tcW w:w="950" w:type="dxa"/>
            <w:noWrap/>
            <w:tcMar>
              <w:left w:w="108" w:type="dxa"/>
              <w:right w:w="108" w:type="dxa"/>
            </w:tcMar>
            <w:vAlign w:val="center"/>
          </w:tcPr>
          <w:p w14:paraId="70EC1950">
            <w:pPr>
              <w:pStyle w:val="150"/>
              <w:jc w:val="center"/>
              <w:rPr>
                <w:rFonts w:ascii="宋体" w:hAnsi="宋体" w:cs="宋体"/>
                <w:color w:val="auto"/>
                <w:szCs w:val="21"/>
                <w:highlight w:val="none"/>
              </w:rPr>
            </w:pPr>
          </w:p>
        </w:tc>
        <w:tc>
          <w:tcPr>
            <w:tcW w:w="1123" w:type="dxa"/>
            <w:noWrap/>
            <w:tcMar>
              <w:left w:w="108" w:type="dxa"/>
              <w:right w:w="108" w:type="dxa"/>
            </w:tcMar>
            <w:vAlign w:val="center"/>
          </w:tcPr>
          <w:p w14:paraId="7DD47776">
            <w:pPr>
              <w:pStyle w:val="150"/>
              <w:jc w:val="center"/>
              <w:rPr>
                <w:rFonts w:ascii="宋体" w:hAnsi="宋体" w:cs="宋体"/>
                <w:color w:val="auto"/>
                <w:szCs w:val="21"/>
                <w:highlight w:val="none"/>
              </w:rPr>
            </w:pPr>
          </w:p>
        </w:tc>
        <w:tc>
          <w:tcPr>
            <w:tcW w:w="1090" w:type="dxa"/>
            <w:noWrap/>
            <w:tcMar>
              <w:left w:w="108" w:type="dxa"/>
              <w:right w:w="108" w:type="dxa"/>
            </w:tcMar>
            <w:vAlign w:val="center"/>
          </w:tcPr>
          <w:p w14:paraId="76B8CF6A">
            <w:pPr>
              <w:pStyle w:val="150"/>
              <w:jc w:val="center"/>
              <w:rPr>
                <w:rFonts w:ascii="宋体" w:hAnsi="宋体" w:cs="宋体"/>
                <w:color w:val="auto"/>
                <w:szCs w:val="21"/>
                <w:highlight w:val="none"/>
              </w:rPr>
            </w:pPr>
          </w:p>
        </w:tc>
        <w:tc>
          <w:tcPr>
            <w:tcW w:w="1197" w:type="dxa"/>
            <w:noWrap/>
            <w:tcMar>
              <w:left w:w="108" w:type="dxa"/>
              <w:right w:w="108" w:type="dxa"/>
            </w:tcMar>
            <w:vAlign w:val="center"/>
          </w:tcPr>
          <w:p w14:paraId="743ED760">
            <w:pPr>
              <w:pStyle w:val="150"/>
              <w:jc w:val="center"/>
              <w:rPr>
                <w:rFonts w:ascii="宋体" w:hAnsi="宋体" w:cs="宋体"/>
                <w:color w:val="auto"/>
                <w:szCs w:val="21"/>
                <w:highlight w:val="none"/>
              </w:rPr>
            </w:pPr>
          </w:p>
        </w:tc>
        <w:tc>
          <w:tcPr>
            <w:tcW w:w="1268" w:type="dxa"/>
            <w:noWrap/>
            <w:tcMar>
              <w:left w:w="108" w:type="dxa"/>
              <w:right w:w="108" w:type="dxa"/>
            </w:tcMar>
            <w:vAlign w:val="center"/>
          </w:tcPr>
          <w:p w14:paraId="49059DAE">
            <w:pPr>
              <w:pStyle w:val="150"/>
              <w:jc w:val="center"/>
              <w:rPr>
                <w:rFonts w:ascii="宋体" w:hAnsi="宋体" w:cs="宋体"/>
                <w:color w:val="auto"/>
                <w:szCs w:val="21"/>
                <w:highlight w:val="none"/>
              </w:rPr>
            </w:pPr>
          </w:p>
        </w:tc>
      </w:tr>
      <w:tr w14:paraId="775E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tcMar>
              <w:left w:w="108" w:type="dxa"/>
              <w:right w:w="108" w:type="dxa"/>
            </w:tcMar>
            <w:vAlign w:val="center"/>
          </w:tcPr>
          <w:p w14:paraId="370643C5">
            <w:pPr>
              <w:pStyle w:val="150"/>
              <w:jc w:val="center"/>
              <w:rPr>
                <w:rFonts w:ascii="宋体" w:hAnsi="宋体" w:cs="宋体"/>
                <w:color w:val="auto"/>
                <w:szCs w:val="21"/>
                <w:highlight w:val="none"/>
              </w:rPr>
            </w:pPr>
          </w:p>
        </w:tc>
        <w:tc>
          <w:tcPr>
            <w:tcW w:w="1843" w:type="dxa"/>
            <w:vMerge w:val="continue"/>
            <w:noWrap/>
            <w:tcMar>
              <w:left w:w="108" w:type="dxa"/>
              <w:right w:w="108" w:type="dxa"/>
            </w:tcMar>
            <w:vAlign w:val="center"/>
          </w:tcPr>
          <w:p w14:paraId="49A0A94C">
            <w:pPr>
              <w:pStyle w:val="150"/>
              <w:jc w:val="center"/>
              <w:rPr>
                <w:rFonts w:ascii="宋体" w:hAnsi="宋体" w:cs="宋体"/>
                <w:color w:val="auto"/>
                <w:szCs w:val="21"/>
                <w:highlight w:val="none"/>
              </w:rPr>
            </w:pPr>
          </w:p>
        </w:tc>
        <w:tc>
          <w:tcPr>
            <w:tcW w:w="751" w:type="dxa"/>
            <w:noWrap/>
            <w:tcMar>
              <w:left w:w="108" w:type="dxa"/>
              <w:right w:w="108" w:type="dxa"/>
            </w:tcMar>
            <w:vAlign w:val="center"/>
          </w:tcPr>
          <w:p w14:paraId="15594C6C">
            <w:pPr>
              <w:pStyle w:val="150"/>
              <w:jc w:val="center"/>
              <w:rPr>
                <w:rFonts w:ascii="宋体" w:hAnsi="宋体" w:cs="宋体"/>
                <w:color w:val="auto"/>
                <w:szCs w:val="21"/>
                <w:highlight w:val="none"/>
              </w:rPr>
            </w:pPr>
            <w:r>
              <w:rPr>
                <w:rFonts w:hint="eastAsia" w:ascii="宋体" w:hAnsi="宋体" w:cs="宋体"/>
                <w:color w:val="auto"/>
                <w:szCs w:val="21"/>
                <w:highlight w:val="none"/>
              </w:rPr>
              <w:t>2</w:t>
            </w:r>
          </w:p>
        </w:tc>
        <w:tc>
          <w:tcPr>
            <w:tcW w:w="950" w:type="dxa"/>
            <w:noWrap/>
            <w:tcMar>
              <w:left w:w="108" w:type="dxa"/>
              <w:right w:w="108" w:type="dxa"/>
            </w:tcMar>
            <w:vAlign w:val="center"/>
          </w:tcPr>
          <w:p w14:paraId="35DC0D9F">
            <w:pPr>
              <w:pStyle w:val="150"/>
              <w:jc w:val="center"/>
              <w:rPr>
                <w:rFonts w:ascii="宋体" w:hAnsi="宋体" w:cs="宋体"/>
                <w:color w:val="auto"/>
                <w:szCs w:val="21"/>
                <w:highlight w:val="none"/>
              </w:rPr>
            </w:pPr>
          </w:p>
        </w:tc>
        <w:tc>
          <w:tcPr>
            <w:tcW w:w="1123" w:type="dxa"/>
            <w:noWrap/>
            <w:tcMar>
              <w:left w:w="108" w:type="dxa"/>
              <w:right w:w="108" w:type="dxa"/>
            </w:tcMar>
            <w:vAlign w:val="center"/>
          </w:tcPr>
          <w:p w14:paraId="2C873994">
            <w:pPr>
              <w:pStyle w:val="150"/>
              <w:jc w:val="center"/>
              <w:rPr>
                <w:rFonts w:ascii="宋体" w:hAnsi="宋体" w:cs="宋体"/>
                <w:color w:val="auto"/>
                <w:szCs w:val="21"/>
                <w:highlight w:val="none"/>
              </w:rPr>
            </w:pPr>
          </w:p>
        </w:tc>
        <w:tc>
          <w:tcPr>
            <w:tcW w:w="1090" w:type="dxa"/>
            <w:noWrap/>
            <w:tcMar>
              <w:left w:w="108" w:type="dxa"/>
              <w:right w:w="108" w:type="dxa"/>
            </w:tcMar>
            <w:vAlign w:val="center"/>
          </w:tcPr>
          <w:p w14:paraId="22D51318">
            <w:pPr>
              <w:pStyle w:val="150"/>
              <w:jc w:val="center"/>
              <w:rPr>
                <w:rFonts w:ascii="宋体" w:hAnsi="宋体" w:cs="宋体"/>
                <w:color w:val="auto"/>
                <w:szCs w:val="21"/>
                <w:highlight w:val="none"/>
              </w:rPr>
            </w:pPr>
          </w:p>
        </w:tc>
        <w:tc>
          <w:tcPr>
            <w:tcW w:w="1197" w:type="dxa"/>
            <w:noWrap/>
            <w:tcMar>
              <w:left w:w="108" w:type="dxa"/>
              <w:right w:w="108" w:type="dxa"/>
            </w:tcMar>
            <w:vAlign w:val="center"/>
          </w:tcPr>
          <w:p w14:paraId="26980834">
            <w:pPr>
              <w:pStyle w:val="150"/>
              <w:jc w:val="center"/>
              <w:rPr>
                <w:rFonts w:ascii="宋体" w:hAnsi="宋体" w:cs="宋体"/>
                <w:color w:val="auto"/>
                <w:szCs w:val="21"/>
                <w:highlight w:val="none"/>
              </w:rPr>
            </w:pPr>
          </w:p>
        </w:tc>
        <w:tc>
          <w:tcPr>
            <w:tcW w:w="1268" w:type="dxa"/>
            <w:noWrap/>
            <w:tcMar>
              <w:left w:w="108" w:type="dxa"/>
              <w:right w:w="108" w:type="dxa"/>
            </w:tcMar>
            <w:vAlign w:val="center"/>
          </w:tcPr>
          <w:p w14:paraId="52B67737">
            <w:pPr>
              <w:pStyle w:val="150"/>
              <w:jc w:val="center"/>
              <w:rPr>
                <w:rFonts w:ascii="宋体" w:hAnsi="宋体" w:cs="宋体"/>
                <w:color w:val="auto"/>
                <w:szCs w:val="21"/>
                <w:highlight w:val="none"/>
              </w:rPr>
            </w:pPr>
          </w:p>
        </w:tc>
      </w:tr>
      <w:tr w14:paraId="26CF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tcMar>
              <w:left w:w="108" w:type="dxa"/>
              <w:right w:w="108" w:type="dxa"/>
            </w:tcMar>
            <w:vAlign w:val="center"/>
          </w:tcPr>
          <w:p w14:paraId="37A17A42">
            <w:pPr>
              <w:pStyle w:val="150"/>
              <w:jc w:val="center"/>
              <w:rPr>
                <w:rFonts w:ascii="宋体" w:hAnsi="宋体" w:cs="宋体"/>
                <w:color w:val="auto"/>
                <w:szCs w:val="21"/>
                <w:highlight w:val="none"/>
              </w:rPr>
            </w:pPr>
          </w:p>
        </w:tc>
        <w:tc>
          <w:tcPr>
            <w:tcW w:w="1843" w:type="dxa"/>
            <w:vMerge w:val="continue"/>
            <w:noWrap/>
            <w:tcMar>
              <w:left w:w="108" w:type="dxa"/>
              <w:right w:w="108" w:type="dxa"/>
            </w:tcMar>
            <w:vAlign w:val="center"/>
          </w:tcPr>
          <w:p w14:paraId="565726B4">
            <w:pPr>
              <w:pStyle w:val="150"/>
              <w:jc w:val="center"/>
              <w:rPr>
                <w:rFonts w:ascii="宋体" w:hAnsi="宋体" w:cs="宋体"/>
                <w:color w:val="auto"/>
                <w:szCs w:val="21"/>
                <w:highlight w:val="none"/>
              </w:rPr>
            </w:pPr>
          </w:p>
        </w:tc>
        <w:tc>
          <w:tcPr>
            <w:tcW w:w="751" w:type="dxa"/>
            <w:noWrap/>
            <w:tcMar>
              <w:left w:w="108" w:type="dxa"/>
              <w:right w:w="108" w:type="dxa"/>
            </w:tcMar>
            <w:vAlign w:val="center"/>
          </w:tcPr>
          <w:p w14:paraId="03BB4074">
            <w:pPr>
              <w:pStyle w:val="150"/>
              <w:jc w:val="center"/>
              <w:rPr>
                <w:rFonts w:ascii="宋体" w:hAnsi="宋体" w:cs="宋体"/>
                <w:color w:val="auto"/>
                <w:szCs w:val="21"/>
                <w:highlight w:val="none"/>
              </w:rPr>
            </w:pPr>
            <w:r>
              <w:rPr>
                <w:rFonts w:hint="eastAsia" w:ascii="宋体" w:hAnsi="宋体" w:cs="宋体"/>
                <w:color w:val="auto"/>
                <w:szCs w:val="21"/>
                <w:highlight w:val="none"/>
              </w:rPr>
              <w:t>3</w:t>
            </w:r>
          </w:p>
        </w:tc>
        <w:tc>
          <w:tcPr>
            <w:tcW w:w="950" w:type="dxa"/>
            <w:noWrap/>
            <w:tcMar>
              <w:left w:w="108" w:type="dxa"/>
              <w:right w:w="108" w:type="dxa"/>
            </w:tcMar>
            <w:vAlign w:val="center"/>
          </w:tcPr>
          <w:p w14:paraId="08F8A31D">
            <w:pPr>
              <w:pStyle w:val="150"/>
              <w:jc w:val="center"/>
              <w:rPr>
                <w:rFonts w:ascii="宋体" w:hAnsi="宋体" w:cs="宋体"/>
                <w:color w:val="auto"/>
                <w:szCs w:val="21"/>
                <w:highlight w:val="none"/>
              </w:rPr>
            </w:pPr>
          </w:p>
        </w:tc>
        <w:tc>
          <w:tcPr>
            <w:tcW w:w="1123" w:type="dxa"/>
            <w:noWrap/>
            <w:tcMar>
              <w:left w:w="108" w:type="dxa"/>
              <w:right w:w="108" w:type="dxa"/>
            </w:tcMar>
            <w:vAlign w:val="center"/>
          </w:tcPr>
          <w:p w14:paraId="34CFB860">
            <w:pPr>
              <w:pStyle w:val="150"/>
              <w:jc w:val="center"/>
              <w:rPr>
                <w:rFonts w:ascii="宋体" w:hAnsi="宋体" w:cs="宋体"/>
                <w:color w:val="auto"/>
                <w:szCs w:val="21"/>
                <w:highlight w:val="none"/>
              </w:rPr>
            </w:pPr>
          </w:p>
        </w:tc>
        <w:tc>
          <w:tcPr>
            <w:tcW w:w="1090" w:type="dxa"/>
            <w:noWrap/>
            <w:tcMar>
              <w:left w:w="108" w:type="dxa"/>
              <w:right w:w="108" w:type="dxa"/>
            </w:tcMar>
            <w:vAlign w:val="center"/>
          </w:tcPr>
          <w:p w14:paraId="374216F0">
            <w:pPr>
              <w:pStyle w:val="150"/>
              <w:jc w:val="center"/>
              <w:rPr>
                <w:rFonts w:ascii="宋体" w:hAnsi="宋体" w:cs="宋体"/>
                <w:color w:val="auto"/>
                <w:szCs w:val="21"/>
                <w:highlight w:val="none"/>
              </w:rPr>
            </w:pPr>
          </w:p>
        </w:tc>
        <w:tc>
          <w:tcPr>
            <w:tcW w:w="1197" w:type="dxa"/>
            <w:noWrap/>
            <w:tcMar>
              <w:left w:w="108" w:type="dxa"/>
              <w:right w:w="108" w:type="dxa"/>
            </w:tcMar>
            <w:vAlign w:val="center"/>
          </w:tcPr>
          <w:p w14:paraId="30D60A02">
            <w:pPr>
              <w:pStyle w:val="150"/>
              <w:jc w:val="center"/>
              <w:rPr>
                <w:rFonts w:ascii="宋体" w:hAnsi="宋体" w:cs="宋体"/>
                <w:color w:val="auto"/>
                <w:szCs w:val="21"/>
                <w:highlight w:val="none"/>
              </w:rPr>
            </w:pPr>
          </w:p>
        </w:tc>
        <w:tc>
          <w:tcPr>
            <w:tcW w:w="1268" w:type="dxa"/>
            <w:noWrap/>
            <w:tcMar>
              <w:left w:w="108" w:type="dxa"/>
              <w:right w:w="108" w:type="dxa"/>
            </w:tcMar>
            <w:vAlign w:val="center"/>
          </w:tcPr>
          <w:p w14:paraId="54541F30">
            <w:pPr>
              <w:pStyle w:val="150"/>
              <w:jc w:val="center"/>
              <w:rPr>
                <w:rFonts w:ascii="宋体" w:hAnsi="宋体" w:cs="宋体"/>
                <w:color w:val="auto"/>
                <w:szCs w:val="21"/>
                <w:highlight w:val="none"/>
              </w:rPr>
            </w:pPr>
          </w:p>
        </w:tc>
      </w:tr>
    </w:tbl>
    <w:p w14:paraId="454741EE">
      <w:pPr>
        <w:pStyle w:val="150"/>
        <w:spacing w:line="440" w:lineRule="exact"/>
        <w:ind w:right="420" w:firstLine="420" w:firstLineChars="200"/>
        <w:rPr>
          <w:rFonts w:ascii="宋体" w:hAnsi="宋体" w:cs="宋体"/>
          <w:color w:val="auto"/>
          <w:szCs w:val="21"/>
          <w:highlight w:val="none"/>
        </w:rPr>
      </w:pPr>
      <w:r>
        <w:rPr>
          <w:rFonts w:hint="eastAsia" w:ascii="宋体" w:hAnsi="宋体" w:cs="宋体"/>
          <w:color w:val="auto"/>
          <w:szCs w:val="21"/>
          <w:highlight w:val="none"/>
        </w:rPr>
        <w:t>备注：本表所列分包仅限于承包人自行施工范围内的非主体、非关键工程。</w:t>
      </w:r>
    </w:p>
    <w:p w14:paraId="6EB04754">
      <w:pPr>
        <w:pStyle w:val="150"/>
        <w:ind w:firstLine="630" w:firstLineChars="300"/>
        <w:jc w:val="left"/>
        <w:rPr>
          <w:rFonts w:ascii="宋体" w:hAnsi="宋体" w:cs="宋体"/>
          <w:color w:val="auto"/>
          <w:szCs w:val="21"/>
          <w:highlight w:val="none"/>
        </w:rPr>
      </w:pPr>
    </w:p>
    <w:p w14:paraId="582D36A5">
      <w:pPr>
        <w:pStyle w:val="150"/>
        <w:ind w:firstLine="630" w:firstLineChars="300"/>
        <w:jc w:val="left"/>
        <w:rPr>
          <w:rFonts w:ascii="宋体" w:hAnsi="宋体" w:cs="宋体"/>
          <w:color w:val="auto"/>
          <w:szCs w:val="21"/>
          <w:highlight w:val="none"/>
        </w:rPr>
        <w:sectPr>
          <w:headerReference r:id="rId8" w:type="default"/>
          <w:pgSz w:w="11900" w:h="16838"/>
          <w:pgMar w:top="1423" w:right="1459" w:bottom="1304" w:left="1621" w:header="720" w:footer="720" w:gutter="0"/>
          <w:cols w:space="720" w:num="1"/>
          <w:docGrid w:type="lines" w:linePitch="362" w:charSpace="0"/>
        </w:sectPr>
      </w:pPr>
      <w:r>
        <w:rPr>
          <w:rFonts w:hint="eastAsia" w:ascii="宋体" w:hAnsi="宋体" w:cs="宋体"/>
          <w:color w:val="auto"/>
          <w:szCs w:val="21"/>
          <w:highlight w:val="none"/>
        </w:rPr>
        <w:t>日期：       年     月     日</w:t>
      </w:r>
    </w:p>
    <w:p w14:paraId="699451D3">
      <w:pPr>
        <w:spacing w:line="360" w:lineRule="exact"/>
        <w:jc w:val="center"/>
        <w:rPr>
          <w:rFonts w:ascii="宋体" w:hAnsi="宋体" w:cs="宋体"/>
          <w:color w:val="auto"/>
          <w:sz w:val="28"/>
          <w:highlight w:val="none"/>
        </w:rPr>
      </w:pPr>
    </w:p>
    <w:p w14:paraId="52FDB18A">
      <w:pPr>
        <w:pStyle w:val="5"/>
        <w:spacing w:line="440" w:lineRule="exact"/>
        <w:jc w:val="center"/>
        <w:rPr>
          <w:rFonts w:ascii="宋体" w:hAnsi="宋体" w:cs="宋体"/>
          <w:color w:val="auto"/>
          <w:kern w:val="0"/>
          <w:highlight w:val="none"/>
        </w:rPr>
      </w:pPr>
      <w:bookmarkStart w:id="1142" w:name="_Toc47088401"/>
      <w:bookmarkStart w:id="1143" w:name="_Toc336079866"/>
      <w:bookmarkStart w:id="1144" w:name="_Toc75182803"/>
      <w:bookmarkStart w:id="1145" w:name="_Toc277016893"/>
      <w:bookmarkStart w:id="1146" w:name="_Toc482785110"/>
      <w:bookmarkStart w:id="1147" w:name="_Toc277059037"/>
      <w:bookmarkStart w:id="1148" w:name="_Toc29846"/>
      <w:r>
        <w:rPr>
          <w:rFonts w:hint="eastAsia" w:ascii="宋体" w:hAnsi="宋体" w:cs="宋体"/>
          <w:color w:val="auto"/>
          <w:kern w:val="0"/>
          <w:highlight w:val="none"/>
        </w:rPr>
        <w:t>11、项目管理机构配备情况</w:t>
      </w:r>
      <w:bookmarkEnd w:id="1136"/>
      <w:bookmarkEnd w:id="1137"/>
      <w:bookmarkEnd w:id="1138"/>
      <w:bookmarkEnd w:id="1139"/>
      <w:bookmarkEnd w:id="1142"/>
      <w:bookmarkEnd w:id="1143"/>
      <w:bookmarkEnd w:id="1144"/>
      <w:bookmarkEnd w:id="1145"/>
      <w:bookmarkEnd w:id="1146"/>
      <w:bookmarkEnd w:id="1147"/>
      <w:bookmarkEnd w:id="1148"/>
    </w:p>
    <w:p w14:paraId="712F1840">
      <w:pPr>
        <w:spacing w:line="360" w:lineRule="auto"/>
        <w:ind w:right="-288" w:rightChars="-137"/>
        <w:rPr>
          <w:rFonts w:ascii="宋体" w:hAnsi="宋体" w:cs="宋体"/>
          <w:b/>
          <w:color w:val="auto"/>
          <w:sz w:val="24"/>
          <w:szCs w:val="24"/>
          <w:highlight w:val="none"/>
        </w:rPr>
      </w:pPr>
    </w:p>
    <w:p w14:paraId="11C97A85">
      <w:pPr>
        <w:spacing w:line="480" w:lineRule="exact"/>
        <w:ind w:right="-288" w:rightChars="-137"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（1）项目管理机构配备情况表     表11.1</w:t>
      </w:r>
    </w:p>
    <w:p w14:paraId="7C3F6B66">
      <w:pPr>
        <w:spacing w:line="480" w:lineRule="exact"/>
        <w:ind w:right="-288" w:rightChars="-137"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（2）项目经理简历表     表11.2</w:t>
      </w:r>
    </w:p>
    <w:p w14:paraId="184A172D">
      <w:pPr>
        <w:spacing w:line="480" w:lineRule="exact"/>
        <w:ind w:right="-288" w:rightChars="-137"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（3）技术负责人简历表     表11.3</w:t>
      </w:r>
    </w:p>
    <w:p w14:paraId="0C8418CF">
      <w:pPr>
        <w:spacing w:line="480" w:lineRule="exact"/>
        <w:ind w:right="-137" w:firstLine="480" w:firstLineChars="200"/>
        <w:jc w:val="center"/>
        <w:rPr>
          <w:rFonts w:ascii="宋体" w:hAnsi="宋体" w:cs="宋体"/>
          <w:b/>
          <w:color w:val="auto"/>
          <w:sz w:val="28"/>
          <w:highlight w:val="none"/>
        </w:rPr>
      </w:pPr>
      <w:bookmarkStart w:id="1149" w:name="_Toc78022613"/>
      <w:r>
        <w:rPr>
          <w:rFonts w:hint="eastAsia" w:ascii="宋体" w:hAnsi="宋体" w:cs="宋体"/>
          <w:color w:val="auto"/>
          <w:sz w:val="24"/>
          <w:highlight w:val="none"/>
        </w:rPr>
        <w:br w:type="page"/>
      </w:r>
      <w:bookmarkEnd w:id="1149"/>
      <w:r>
        <w:rPr>
          <w:rFonts w:hint="eastAsia" w:ascii="宋体" w:hAnsi="宋体" w:cs="宋体"/>
          <w:color w:val="auto"/>
          <w:sz w:val="24"/>
          <w:highlight w:val="none"/>
        </w:rPr>
        <w:t>（</w:t>
      </w:r>
      <w:r>
        <w:rPr>
          <w:rFonts w:hint="eastAsia" w:ascii="宋体" w:hAnsi="宋体" w:cs="宋体"/>
          <w:b/>
          <w:color w:val="auto"/>
          <w:sz w:val="28"/>
          <w:highlight w:val="none"/>
        </w:rPr>
        <w:t>1）项目管理机构配备情况表（格式）</w:t>
      </w:r>
    </w:p>
    <w:p w14:paraId="0DB5E365">
      <w:pPr>
        <w:spacing w:line="600" w:lineRule="exact"/>
        <w:rPr>
          <w:rFonts w:ascii="宋体" w:hAnsi="宋体" w:cs="宋体"/>
          <w:b/>
          <w:color w:val="auto"/>
          <w:szCs w:val="21"/>
          <w:highlight w:val="none"/>
        </w:rPr>
      </w:pPr>
      <w:r>
        <w:rPr>
          <w:rFonts w:hint="eastAsia" w:ascii="宋体" w:hAnsi="宋体" w:cs="宋体"/>
          <w:color w:val="auto"/>
          <w:szCs w:val="21"/>
          <w:highlight w:val="none"/>
          <w:u w:val="single"/>
        </w:rPr>
        <w:t xml:space="preserve">项目名称       </w:t>
      </w:r>
      <w:r>
        <w:rPr>
          <w:rFonts w:hint="eastAsia" w:ascii="宋体" w:hAnsi="宋体" w:cs="宋体"/>
          <w:color w:val="auto"/>
          <w:szCs w:val="21"/>
          <w:highlight w:val="none"/>
        </w:rPr>
        <w:t xml:space="preserve">工程                                 </w:t>
      </w:r>
      <w:r>
        <w:rPr>
          <w:rFonts w:hint="eastAsia" w:ascii="宋体" w:hAnsi="宋体" w:cs="宋体"/>
          <w:b/>
          <w:color w:val="auto"/>
          <w:szCs w:val="21"/>
          <w:highlight w:val="none"/>
        </w:rPr>
        <w:t>表11.1</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928"/>
        <w:gridCol w:w="928"/>
        <w:gridCol w:w="1041"/>
        <w:gridCol w:w="1041"/>
        <w:gridCol w:w="1041"/>
        <w:gridCol w:w="1041"/>
        <w:gridCol w:w="1125"/>
        <w:gridCol w:w="1485"/>
      </w:tblGrid>
      <w:tr w14:paraId="100B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vMerge w:val="restart"/>
            <w:noWrap/>
            <w:vAlign w:val="center"/>
          </w:tcPr>
          <w:p w14:paraId="5A2354AB">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928" w:type="dxa"/>
            <w:vMerge w:val="restart"/>
            <w:noWrap/>
            <w:vAlign w:val="center"/>
          </w:tcPr>
          <w:p w14:paraId="3E0BC54A">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928" w:type="dxa"/>
            <w:vMerge w:val="restart"/>
            <w:noWrap/>
            <w:vAlign w:val="center"/>
          </w:tcPr>
          <w:p w14:paraId="615DC92F">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4164" w:type="dxa"/>
            <w:gridSpan w:val="4"/>
            <w:noWrap/>
            <w:vAlign w:val="center"/>
          </w:tcPr>
          <w:p w14:paraId="32E35006">
            <w:pPr>
              <w:jc w:val="center"/>
              <w:rPr>
                <w:rFonts w:ascii="宋体" w:hAnsi="宋体" w:cs="宋体"/>
                <w:color w:val="auto"/>
                <w:szCs w:val="21"/>
                <w:highlight w:val="none"/>
              </w:rPr>
            </w:pPr>
            <w:r>
              <w:rPr>
                <w:rFonts w:hint="eastAsia" w:ascii="宋体" w:hAnsi="宋体" w:cs="宋体"/>
                <w:color w:val="auto"/>
                <w:szCs w:val="21"/>
                <w:highlight w:val="none"/>
              </w:rPr>
              <w:t>执业或职业资格证明</w:t>
            </w:r>
          </w:p>
        </w:tc>
        <w:tc>
          <w:tcPr>
            <w:tcW w:w="2610" w:type="dxa"/>
            <w:gridSpan w:val="2"/>
            <w:noWrap/>
            <w:vAlign w:val="center"/>
          </w:tcPr>
          <w:p w14:paraId="2F017C8A">
            <w:pPr>
              <w:jc w:val="center"/>
              <w:rPr>
                <w:rFonts w:ascii="宋体" w:hAnsi="宋体" w:cs="宋体"/>
                <w:color w:val="auto"/>
                <w:szCs w:val="21"/>
                <w:highlight w:val="none"/>
              </w:rPr>
            </w:pPr>
            <w:r>
              <w:rPr>
                <w:rFonts w:hint="eastAsia" w:ascii="宋体" w:hAnsi="宋体" w:cs="宋体"/>
                <w:color w:val="auto"/>
                <w:szCs w:val="21"/>
                <w:highlight w:val="none"/>
              </w:rPr>
              <w:t>已完成建设</w:t>
            </w:r>
          </w:p>
          <w:p w14:paraId="5D2FB1DE">
            <w:pPr>
              <w:jc w:val="center"/>
              <w:rPr>
                <w:rFonts w:ascii="宋体" w:hAnsi="宋体" w:cs="宋体"/>
                <w:color w:val="auto"/>
                <w:szCs w:val="21"/>
                <w:highlight w:val="none"/>
              </w:rPr>
            </w:pPr>
            <w:r>
              <w:rPr>
                <w:rFonts w:hint="eastAsia" w:ascii="宋体" w:hAnsi="宋体" w:cs="宋体"/>
                <w:color w:val="auto"/>
                <w:szCs w:val="21"/>
                <w:highlight w:val="none"/>
              </w:rPr>
              <w:t>工程情况</w:t>
            </w:r>
          </w:p>
        </w:tc>
      </w:tr>
      <w:tr w14:paraId="281F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 w:type="dxa"/>
            <w:vMerge w:val="continue"/>
            <w:noWrap/>
            <w:vAlign w:val="center"/>
          </w:tcPr>
          <w:p w14:paraId="2EFD0D64">
            <w:pPr>
              <w:jc w:val="center"/>
              <w:rPr>
                <w:rFonts w:ascii="宋体" w:hAnsi="宋体" w:cs="宋体"/>
                <w:color w:val="auto"/>
                <w:szCs w:val="21"/>
                <w:highlight w:val="none"/>
              </w:rPr>
            </w:pPr>
          </w:p>
        </w:tc>
        <w:tc>
          <w:tcPr>
            <w:tcW w:w="928" w:type="dxa"/>
            <w:vMerge w:val="continue"/>
            <w:noWrap/>
            <w:vAlign w:val="center"/>
          </w:tcPr>
          <w:p w14:paraId="593C192E">
            <w:pPr>
              <w:jc w:val="center"/>
              <w:rPr>
                <w:rFonts w:ascii="宋体" w:hAnsi="宋体" w:cs="宋体"/>
                <w:color w:val="auto"/>
                <w:szCs w:val="21"/>
                <w:highlight w:val="none"/>
              </w:rPr>
            </w:pPr>
          </w:p>
        </w:tc>
        <w:tc>
          <w:tcPr>
            <w:tcW w:w="928" w:type="dxa"/>
            <w:vMerge w:val="continue"/>
            <w:noWrap/>
            <w:vAlign w:val="center"/>
          </w:tcPr>
          <w:p w14:paraId="5C6F6D7D">
            <w:pPr>
              <w:jc w:val="center"/>
              <w:rPr>
                <w:rFonts w:ascii="宋体" w:hAnsi="宋体" w:cs="宋体"/>
                <w:color w:val="auto"/>
                <w:szCs w:val="21"/>
                <w:highlight w:val="none"/>
              </w:rPr>
            </w:pPr>
          </w:p>
        </w:tc>
        <w:tc>
          <w:tcPr>
            <w:tcW w:w="1041" w:type="dxa"/>
            <w:noWrap/>
            <w:vAlign w:val="center"/>
          </w:tcPr>
          <w:p w14:paraId="52CA76EE">
            <w:pPr>
              <w:jc w:val="center"/>
              <w:rPr>
                <w:rFonts w:ascii="宋体" w:hAnsi="宋体" w:cs="宋体"/>
                <w:color w:val="auto"/>
                <w:szCs w:val="21"/>
                <w:highlight w:val="none"/>
              </w:rPr>
            </w:pPr>
            <w:r>
              <w:rPr>
                <w:rFonts w:hint="eastAsia" w:ascii="宋体" w:hAnsi="宋体" w:cs="宋体"/>
                <w:color w:val="auto"/>
                <w:szCs w:val="21"/>
                <w:highlight w:val="none"/>
              </w:rPr>
              <w:t>证书</w:t>
            </w:r>
          </w:p>
          <w:p w14:paraId="34DE1F38">
            <w:pPr>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1041" w:type="dxa"/>
            <w:noWrap/>
            <w:vAlign w:val="center"/>
          </w:tcPr>
          <w:p w14:paraId="07400C26">
            <w:pPr>
              <w:jc w:val="center"/>
              <w:rPr>
                <w:rFonts w:ascii="宋体" w:hAnsi="宋体" w:cs="宋体"/>
                <w:color w:val="auto"/>
                <w:szCs w:val="21"/>
                <w:highlight w:val="none"/>
              </w:rPr>
            </w:pPr>
            <w:r>
              <w:rPr>
                <w:rFonts w:hint="eastAsia" w:ascii="宋体" w:hAnsi="宋体" w:cs="宋体"/>
                <w:color w:val="auto"/>
                <w:szCs w:val="21"/>
                <w:highlight w:val="none"/>
              </w:rPr>
              <w:t>级别</w:t>
            </w:r>
          </w:p>
        </w:tc>
        <w:tc>
          <w:tcPr>
            <w:tcW w:w="1041" w:type="dxa"/>
            <w:noWrap/>
            <w:vAlign w:val="center"/>
          </w:tcPr>
          <w:p w14:paraId="588F45D6">
            <w:pPr>
              <w:jc w:val="center"/>
              <w:rPr>
                <w:rFonts w:ascii="宋体" w:hAnsi="宋体" w:cs="宋体"/>
                <w:color w:val="auto"/>
                <w:szCs w:val="21"/>
                <w:highlight w:val="none"/>
              </w:rPr>
            </w:pPr>
            <w:r>
              <w:rPr>
                <w:rFonts w:hint="eastAsia" w:ascii="宋体" w:hAnsi="宋体" w:cs="宋体"/>
                <w:color w:val="auto"/>
                <w:szCs w:val="21"/>
                <w:highlight w:val="none"/>
              </w:rPr>
              <w:t>证号</w:t>
            </w:r>
          </w:p>
        </w:tc>
        <w:tc>
          <w:tcPr>
            <w:tcW w:w="1041" w:type="dxa"/>
            <w:noWrap/>
            <w:vAlign w:val="center"/>
          </w:tcPr>
          <w:p w14:paraId="3868C854">
            <w:pPr>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1125" w:type="dxa"/>
            <w:noWrap/>
            <w:vAlign w:val="center"/>
          </w:tcPr>
          <w:p w14:paraId="3AD20250">
            <w:pPr>
              <w:jc w:val="center"/>
              <w:rPr>
                <w:rFonts w:ascii="宋体" w:hAnsi="宋体" w:cs="宋体"/>
                <w:color w:val="auto"/>
                <w:szCs w:val="21"/>
                <w:highlight w:val="none"/>
              </w:rPr>
            </w:pPr>
            <w:r>
              <w:rPr>
                <w:rFonts w:hint="eastAsia" w:ascii="宋体" w:hAnsi="宋体" w:cs="宋体"/>
                <w:color w:val="auto"/>
                <w:szCs w:val="21"/>
                <w:highlight w:val="none"/>
              </w:rPr>
              <w:t>项目数</w:t>
            </w:r>
          </w:p>
        </w:tc>
        <w:tc>
          <w:tcPr>
            <w:tcW w:w="1485" w:type="dxa"/>
            <w:noWrap/>
            <w:vAlign w:val="center"/>
          </w:tcPr>
          <w:p w14:paraId="0DCCFA9E">
            <w:pPr>
              <w:jc w:val="center"/>
              <w:rPr>
                <w:rFonts w:ascii="宋体" w:hAnsi="宋体" w:cs="宋体"/>
                <w:color w:val="auto"/>
                <w:szCs w:val="21"/>
                <w:highlight w:val="none"/>
              </w:rPr>
            </w:pPr>
            <w:r>
              <w:rPr>
                <w:rFonts w:hint="eastAsia" w:ascii="宋体" w:hAnsi="宋体" w:cs="宋体"/>
                <w:color w:val="auto"/>
                <w:szCs w:val="21"/>
                <w:highlight w:val="none"/>
              </w:rPr>
              <w:t>主要项目名称</w:t>
            </w:r>
          </w:p>
        </w:tc>
      </w:tr>
      <w:tr w14:paraId="4ACA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 w:type="dxa"/>
            <w:noWrap/>
            <w:vAlign w:val="center"/>
          </w:tcPr>
          <w:p w14:paraId="2C9A8CCE">
            <w:pPr>
              <w:jc w:val="center"/>
              <w:rPr>
                <w:rFonts w:ascii="宋体" w:hAnsi="宋体" w:cs="宋体"/>
                <w:color w:val="auto"/>
                <w:szCs w:val="21"/>
                <w:highlight w:val="none"/>
              </w:rPr>
            </w:pPr>
          </w:p>
        </w:tc>
        <w:tc>
          <w:tcPr>
            <w:tcW w:w="928" w:type="dxa"/>
            <w:noWrap/>
            <w:vAlign w:val="center"/>
          </w:tcPr>
          <w:p w14:paraId="0E78D104">
            <w:pPr>
              <w:jc w:val="center"/>
              <w:rPr>
                <w:rFonts w:ascii="宋体" w:hAnsi="宋体" w:cs="宋体"/>
                <w:color w:val="auto"/>
                <w:szCs w:val="21"/>
                <w:highlight w:val="none"/>
              </w:rPr>
            </w:pPr>
          </w:p>
        </w:tc>
        <w:tc>
          <w:tcPr>
            <w:tcW w:w="928" w:type="dxa"/>
            <w:noWrap/>
            <w:vAlign w:val="center"/>
          </w:tcPr>
          <w:p w14:paraId="5B9ECCA4">
            <w:pPr>
              <w:jc w:val="center"/>
              <w:rPr>
                <w:rFonts w:ascii="宋体" w:hAnsi="宋体" w:cs="宋体"/>
                <w:color w:val="auto"/>
                <w:szCs w:val="21"/>
                <w:highlight w:val="none"/>
              </w:rPr>
            </w:pPr>
          </w:p>
        </w:tc>
        <w:tc>
          <w:tcPr>
            <w:tcW w:w="1041" w:type="dxa"/>
            <w:noWrap/>
            <w:vAlign w:val="center"/>
          </w:tcPr>
          <w:p w14:paraId="337121CE">
            <w:pPr>
              <w:jc w:val="center"/>
              <w:rPr>
                <w:rFonts w:ascii="宋体" w:hAnsi="宋体" w:cs="宋体"/>
                <w:color w:val="auto"/>
                <w:szCs w:val="21"/>
                <w:highlight w:val="none"/>
              </w:rPr>
            </w:pPr>
          </w:p>
        </w:tc>
        <w:tc>
          <w:tcPr>
            <w:tcW w:w="1041" w:type="dxa"/>
            <w:noWrap/>
            <w:vAlign w:val="center"/>
          </w:tcPr>
          <w:p w14:paraId="7CE9AEE5">
            <w:pPr>
              <w:jc w:val="center"/>
              <w:rPr>
                <w:rFonts w:ascii="宋体" w:hAnsi="宋体" w:cs="宋体"/>
                <w:color w:val="auto"/>
                <w:szCs w:val="21"/>
                <w:highlight w:val="none"/>
              </w:rPr>
            </w:pPr>
          </w:p>
        </w:tc>
        <w:tc>
          <w:tcPr>
            <w:tcW w:w="1041" w:type="dxa"/>
            <w:noWrap/>
            <w:vAlign w:val="center"/>
          </w:tcPr>
          <w:p w14:paraId="085A8496">
            <w:pPr>
              <w:jc w:val="center"/>
              <w:rPr>
                <w:rFonts w:ascii="宋体" w:hAnsi="宋体" w:cs="宋体"/>
                <w:color w:val="auto"/>
                <w:szCs w:val="21"/>
                <w:highlight w:val="none"/>
              </w:rPr>
            </w:pPr>
          </w:p>
        </w:tc>
        <w:tc>
          <w:tcPr>
            <w:tcW w:w="1041" w:type="dxa"/>
            <w:noWrap/>
            <w:vAlign w:val="center"/>
          </w:tcPr>
          <w:p w14:paraId="7984DE2E">
            <w:pPr>
              <w:jc w:val="center"/>
              <w:rPr>
                <w:rFonts w:ascii="宋体" w:hAnsi="宋体" w:cs="宋体"/>
                <w:color w:val="auto"/>
                <w:szCs w:val="21"/>
                <w:highlight w:val="none"/>
              </w:rPr>
            </w:pPr>
          </w:p>
        </w:tc>
        <w:tc>
          <w:tcPr>
            <w:tcW w:w="1125" w:type="dxa"/>
            <w:noWrap/>
            <w:vAlign w:val="center"/>
          </w:tcPr>
          <w:p w14:paraId="02563670">
            <w:pPr>
              <w:jc w:val="center"/>
              <w:rPr>
                <w:rFonts w:ascii="宋体" w:hAnsi="宋体" w:cs="宋体"/>
                <w:color w:val="auto"/>
                <w:szCs w:val="21"/>
                <w:highlight w:val="none"/>
              </w:rPr>
            </w:pPr>
          </w:p>
        </w:tc>
        <w:tc>
          <w:tcPr>
            <w:tcW w:w="1485" w:type="dxa"/>
            <w:noWrap/>
            <w:vAlign w:val="center"/>
          </w:tcPr>
          <w:p w14:paraId="5468AA18">
            <w:pPr>
              <w:jc w:val="center"/>
              <w:rPr>
                <w:rFonts w:ascii="宋体" w:hAnsi="宋体" w:cs="宋体"/>
                <w:color w:val="auto"/>
                <w:szCs w:val="21"/>
                <w:highlight w:val="none"/>
              </w:rPr>
            </w:pPr>
          </w:p>
        </w:tc>
      </w:tr>
      <w:tr w14:paraId="4AC7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 w:type="dxa"/>
            <w:noWrap/>
            <w:vAlign w:val="center"/>
          </w:tcPr>
          <w:p w14:paraId="70E111C9">
            <w:pPr>
              <w:jc w:val="center"/>
              <w:rPr>
                <w:rFonts w:ascii="宋体" w:hAnsi="宋体" w:cs="宋体"/>
                <w:color w:val="auto"/>
                <w:szCs w:val="21"/>
                <w:highlight w:val="none"/>
              </w:rPr>
            </w:pPr>
          </w:p>
        </w:tc>
        <w:tc>
          <w:tcPr>
            <w:tcW w:w="928" w:type="dxa"/>
            <w:noWrap/>
            <w:vAlign w:val="center"/>
          </w:tcPr>
          <w:p w14:paraId="3C539618">
            <w:pPr>
              <w:jc w:val="center"/>
              <w:rPr>
                <w:rFonts w:ascii="宋体" w:hAnsi="宋体" w:cs="宋体"/>
                <w:color w:val="auto"/>
                <w:szCs w:val="21"/>
                <w:highlight w:val="none"/>
              </w:rPr>
            </w:pPr>
          </w:p>
        </w:tc>
        <w:tc>
          <w:tcPr>
            <w:tcW w:w="928" w:type="dxa"/>
            <w:noWrap/>
            <w:vAlign w:val="center"/>
          </w:tcPr>
          <w:p w14:paraId="2FAF1AD1">
            <w:pPr>
              <w:jc w:val="center"/>
              <w:rPr>
                <w:rFonts w:ascii="宋体" w:hAnsi="宋体" w:cs="宋体"/>
                <w:color w:val="auto"/>
                <w:szCs w:val="21"/>
                <w:highlight w:val="none"/>
              </w:rPr>
            </w:pPr>
          </w:p>
        </w:tc>
        <w:tc>
          <w:tcPr>
            <w:tcW w:w="1041" w:type="dxa"/>
            <w:noWrap/>
            <w:vAlign w:val="center"/>
          </w:tcPr>
          <w:p w14:paraId="00E30A8C">
            <w:pPr>
              <w:jc w:val="center"/>
              <w:rPr>
                <w:rFonts w:ascii="宋体" w:hAnsi="宋体" w:cs="宋体"/>
                <w:color w:val="auto"/>
                <w:szCs w:val="21"/>
                <w:highlight w:val="none"/>
              </w:rPr>
            </w:pPr>
          </w:p>
        </w:tc>
        <w:tc>
          <w:tcPr>
            <w:tcW w:w="1041" w:type="dxa"/>
            <w:noWrap/>
            <w:vAlign w:val="center"/>
          </w:tcPr>
          <w:p w14:paraId="3EB54D42">
            <w:pPr>
              <w:jc w:val="center"/>
              <w:rPr>
                <w:rFonts w:ascii="宋体" w:hAnsi="宋体" w:cs="宋体"/>
                <w:color w:val="auto"/>
                <w:szCs w:val="21"/>
                <w:highlight w:val="none"/>
              </w:rPr>
            </w:pPr>
          </w:p>
        </w:tc>
        <w:tc>
          <w:tcPr>
            <w:tcW w:w="1041" w:type="dxa"/>
            <w:noWrap/>
            <w:vAlign w:val="center"/>
          </w:tcPr>
          <w:p w14:paraId="3E5C94C0">
            <w:pPr>
              <w:jc w:val="center"/>
              <w:rPr>
                <w:rFonts w:ascii="宋体" w:hAnsi="宋体" w:cs="宋体"/>
                <w:color w:val="auto"/>
                <w:szCs w:val="21"/>
                <w:highlight w:val="none"/>
              </w:rPr>
            </w:pPr>
          </w:p>
        </w:tc>
        <w:tc>
          <w:tcPr>
            <w:tcW w:w="1041" w:type="dxa"/>
            <w:noWrap/>
            <w:vAlign w:val="center"/>
          </w:tcPr>
          <w:p w14:paraId="4A91954E">
            <w:pPr>
              <w:jc w:val="center"/>
              <w:rPr>
                <w:rFonts w:ascii="宋体" w:hAnsi="宋体" w:cs="宋体"/>
                <w:color w:val="auto"/>
                <w:szCs w:val="21"/>
                <w:highlight w:val="none"/>
              </w:rPr>
            </w:pPr>
          </w:p>
        </w:tc>
        <w:tc>
          <w:tcPr>
            <w:tcW w:w="1125" w:type="dxa"/>
            <w:noWrap/>
            <w:vAlign w:val="center"/>
          </w:tcPr>
          <w:p w14:paraId="54010035">
            <w:pPr>
              <w:jc w:val="center"/>
              <w:rPr>
                <w:rFonts w:ascii="宋体" w:hAnsi="宋体" w:cs="宋体"/>
                <w:color w:val="auto"/>
                <w:szCs w:val="21"/>
                <w:highlight w:val="none"/>
              </w:rPr>
            </w:pPr>
          </w:p>
        </w:tc>
        <w:tc>
          <w:tcPr>
            <w:tcW w:w="1485" w:type="dxa"/>
            <w:noWrap/>
            <w:vAlign w:val="center"/>
          </w:tcPr>
          <w:p w14:paraId="7E36C3D2">
            <w:pPr>
              <w:jc w:val="center"/>
              <w:rPr>
                <w:rFonts w:ascii="宋体" w:hAnsi="宋体" w:cs="宋体"/>
                <w:color w:val="auto"/>
                <w:szCs w:val="21"/>
                <w:highlight w:val="none"/>
              </w:rPr>
            </w:pPr>
          </w:p>
        </w:tc>
      </w:tr>
      <w:tr w14:paraId="5B9B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 w:type="dxa"/>
            <w:noWrap/>
            <w:vAlign w:val="center"/>
          </w:tcPr>
          <w:p w14:paraId="629A686B">
            <w:pPr>
              <w:jc w:val="center"/>
              <w:rPr>
                <w:rFonts w:ascii="宋体" w:hAnsi="宋体" w:cs="宋体"/>
                <w:color w:val="auto"/>
                <w:szCs w:val="21"/>
                <w:highlight w:val="none"/>
              </w:rPr>
            </w:pPr>
          </w:p>
        </w:tc>
        <w:tc>
          <w:tcPr>
            <w:tcW w:w="928" w:type="dxa"/>
            <w:noWrap/>
            <w:vAlign w:val="center"/>
          </w:tcPr>
          <w:p w14:paraId="5AB9809E">
            <w:pPr>
              <w:jc w:val="center"/>
              <w:rPr>
                <w:rFonts w:ascii="宋体" w:hAnsi="宋体" w:cs="宋体"/>
                <w:color w:val="auto"/>
                <w:szCs w:val="21"/>
                <w:highlight w:val="none"/>
              </w:rPr>
            </w:pPr>
          </w:p>
        </w:tc>
        <w:tc>
          <w:tcPr>
            <w:tcW w:w="928" w:type="dxa"/>
            <w:noWrap/>
            <w:vAlign w:val="center"/>
          </w:tcPr>
          <w:p w14:paraId="61AFEBEB">
            <w:pPr>
              <w:jc w:val="center"/>
              <w:rPr>
                <w:rFonts w:ascii="宋体" w:hAnsi="宋体" w:cs="宋体"/>
                <w:color w:val="auto"/>
                <w:szCs w:val="21"/>
                <w:highlight w:val="none"/>
              </w:rPr>
            </w:pPr>
          </w:p>
        </w:tc>
        <w:tc>
          <w:tcPr>
            <w:tcW w:w="1041" w:type="dxa"/>
            <w:noWrap/>
            <w:vAlign w:val="center"/>
          </w:tcPr>
          <w:p w14:paraId="6EF8B956">
            <w:pPr>
              <w:jc w:val="center"/>
              <w:rPr>
                <w:rFonts w:ascii="宋体" w:hAnsi="宋体" w:cs="宋体"/>
                <w:color w:val="auto"/>
                <w:szCs w:val="21"/>
                <w:highlight w:val="none"/>
              </w:rPr>
            </w:pPr>
          </w:p>
        </w:tc>
        <w:tc>
          <w:tcPr>
            <w:tcW w:w="1041" w:type="dxa"/>
            <w:noWrap/>
            <w:vAlign w:val="center"/>
          </w:tcPr>
          <w:p w14:paraId="3BCD0AA7">
            <w:pPr>
              <w:jc w:val="center"/>
              <w:rPr>
                <w:rFonts w:ascii="宋体" w:hAnsi="宋体" w:cs="宋体"/>
                <w:color w:val="auto"/>
                <w:szCs w:val="21"/>
                <w:highlight w:val="none"/>
              </w:rPr>
            </w:pPr>
          </w:p>
        </w:tc>
        <w:tc>
          <w:tcPr>
            <w:tcW w:w="1041" w:type="dxa"/>
            <w:noWrap/>
            <w:vAlign w:val="center"/>
          </w:tcPr>
          <w:p w14:paraId="722BABC3">
            <w:pPr>
              <w:jc w:val="center"/>
              <w:rPr>
                <w:rFonts w:ascii="宋体" w:hAnsi="宋体" w:cs="宋体"/>
                <w:color w:val="auto"/>
                <w:szCs w:val="21"/>
                <w:highlight w:val="none"/>
              </w:rPr>
            </w:pPr>
          </w:p>
        </w:tc>
        <w:tc>
          <w:tcPr>
            <w:tcW w:w="1041" w:type="dxa"/>
            <w:noWrap/>
            <w:vAlign w:val="center"/>
          </w:tcPr>
          <w:p w14:paraId="3D0FCECA">
            <w:pPr>
              <w:jc w:val="center"/>
              <w:rPr>
                <w:rFonts w:ascii="宋体" w:hAnsi="宋体" w:cs="宋体"/>
                <w:color w:val="auto"/>
                <w:szCs w:val="21"/>
                <w:highlight w:val="none"/>
              </w:rPr>
            </w:pPr>
          </w:p>
        </w:tc>
        <w:tc>
          <w:tcPr>
            <w:tcW w:w="1125" w:type="dxa"/>
            <w:noWrap/>
            <w:vAlign w:val="center"/>
          </w:tcPr>
          <w:p w14:paraId="59AAC14B">
            <w:pPr>
              <w:jc w:val="center"/>
              <w:rPr>
                <w:rFonts w:ascii="宋体" w:hAnsi="宋体" w:cs="宋体"/>
                <w:color w:val="auto"/>
                <w:szCs w:val="21"/>
                <w:highlight w:val="none"/>
              </w:rPr>
            </w:pPr>
          </w:p>
        </w:tc>
        <w:tc>
          <w:tcPr>
            <w:tcW w:w="1485" w:type="dxa"/>
            <w:noWrap/>
            <w:vAlign w:val="center"/>
          </w:tcPr>
          <w:p w14:paraId="1EEFD2C2">
            <w:pPr>
              <w:jc w:val="center"/>
              <w:rPr>
                <w:rFonts w:ascii="宋体" w:hAnsi="宋体" w:cs="宋体"/>
                <w:color w:val="auto"/>
                <w:szCs w:val="21"/>
                <w:highlight w:val="none"/>
              </w:rPr>
            </w:pPr>
          </w:p>
        </w:tc>
      </w:tr>
      <w:tr w14:paraId="0465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 w:type="dxa"/>
            <w:noWrap/>
            <w:vAlign w:val="center"/>
          </w:tcPr>
          <w:p w14:paraId="63E8864F">
            <w:pPr>
              <w:jc w:val="center"/>
              <w:rPr>
                <w:rFonts w:ascii="宋体" w:hAnsi="宋体" w:cs="宋体"/>
                <w:color w:val="auto"/>
                <w:szCs w:val="21"/>
                <w:highlight w:val="none"/>
              </w:rPr>
            </w:pPr>
          </w:p>
        </w:tc>
        <w:tc>
          <w:tcPr>
            <w:tcW w:w="928" w:type="dxa"/>
            <w:noWrap/>
            <w:vAlign w:val="center"/>
          </w:tcPr>
          <w:p w14:paraId="6D34DF45">
            <w:pPr>
              <w:jc w:val="center"/>
              <w:rPr>
                <w:rFonts w:ascii="宋体" w:hAnsi="宋体" w:cs="宋体"/>
                <w:color w:val="auto"/>
                <w:szCs w:val="21"/>
                <w:highlight w:val="none"/>
              </w:rPr>
            </w:pPr>
          </w:p>
        </w:tc>
        <w:tc>
          <w:tcPr>
            <w:tcW w:w="928" w:type="dxa"/>
            <w:noWrap/>
            <w:vAlign w:val="center"/>
          </w:tcPr>
          <w:p w14:paraId="6644090C">
            <w:pPr>
              <w:jc w:val="center"/>
              <w:rPr>
                <w:rFonts w:ascii="宋体" w:hAnsi="宋体" w:cs="宋体"/>
                <w:color w:val="auto"/>
                <w:szCs w:val="21"/>
                <w:highlight w:val="none"/>
              </w:rPr>
            </w:pPr>
          </w:p>
        </w:tc>
        <w:tc>
          <w:tcPr>
            <w:tcW w:w="1041" w:type="dxa"/>
            <w:noWrap/>
            <w:vAlign w:val="center"/>
          </w:tcPr>
          <w:p w14:paraId="7CF6EE5D">
            <w:pPr>
              <w:jc w:val="center"/>
              <w:rPr>
                <w:rFonts w:ascii="宋体" w:hAnsi="宋体" w:cs="宋体"/>
                <w:color w:val="auto"/>
                <w:szCs w:val="21"/>
                <w:highlight w:val="none"/>
              </w:rPr>
            </w:pPr>
          </w:p>
        </w:tc>
        <w:tc>
          <w:tcPr>
            <w:tcW w:w="1041" w:type="dxa"/>
            <w:noWrap/>
            <w:vAlign w:val="center"/>
          </w:tcPr>
          <w:p w14:paraId="01FC0571">
            <w:pPr>
              <w:jc w:val="center"/>
              <w:rPr>
                <w:rFonts w:ascii="宋体" w:hAnsi="宋体" w:cs="宋体"/>
                <w:color w:val="auto"/>
                <w:szCs w:val="21"/>
                <w:highlight w:val="none"/>
              </w:rPr>
            </w:pPr>
          </w:p>
        </w:tc>
        <w:tc>
          <w:tcPr>
            <w:tcW w:w="1041" w:type="dxa"/>
            <w:noWrap/>
            <w:vAlign w:val="center"/>
          </w:tcPr>
          <w:p w14:paraId="6E875559">
            <w:pPr>
              <w:jc w:val="center"/>
              <w:rPr>
                <w:rFonts w:ascii="宋体" w:hAnsi="宋体" w:cs="宋体"/>
                <w:color w:val="auto"/>
                <w:szCs w:val="21"/>
                <w:highlight w:val="none"/>
              </w:rPr>
            </w:pPr>
          </w:p>
        </w:tc>
        <w:tc>
          <w:tcPr>
            <w:tcW w:w="1041" w:type="dxa"/>
            <w:noWrap/>
            <w:vAlign w:val="center"/>
          </w:tcPr>
          <w:p w14:paraId="1E056AAC">
            <w:pPr>
              <w:jc w:val="center"/>
              <w:rPr>
                <w:rFonts w:ascii="宋体" w:hAnsi="宋体" w:cs="宋体"/>
                <w:color w:val="auto"/>
                <w:szCs w:val="21"/>
                <w:highlight w:val="none"/>
              </w:rPr>
            </w:pPr>
          </w:p>
        </w:tc>
        <w:tc>
          <w:tcPr>
            <w:tcW w:w="1125" w:type="dxa"/>
            <w:noWrap/>
            <w:vAlign w:val="center"/>
          </w:tcPr>
          <w:p w14:paraId="2BE58631">
            <w:pPr>
              <w:jc w:val="center"/>
              <w:rPr>
                <w:rFonts w:ascii="宋体" w:hAnsi="宋体" w:cs="宋体"/>
                <w:color w:val="auto"/>
                <w:szCs w:val="21"/>
                <w:highlight w:val="none"/>
              </w:rPr>
            </w:pPr>
          </w:p>
        </w:tc>
        <w:tc>
          <w:tcPr>
            <w:tcW w:w="1485" w:type="dxa"/>
            <w:noWrap/>
            <w:vAlign w:val="center"/>
          </w:tcPr>
          <w:p w14:paraId="43426148">
            <w:pPr>
              <w:jc w:val="center"/>
              <w:rPr>
                <w:rFonts w:ascii="宋体" w:hAnsi="宋体" w:cs="宋体"/>
                <w:color w:val="auto"/>
                <w:szCs w:val="21"/>
                <w:highlight w:val="none"/>
              </w:rPr>
            </w:pPr>
          </w:p>
        </w:tc>
      </w:tr>
      <w:tr w14:paraId="7150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 w:type="dxa"/>
            <w:noWrap/>
            <w:vAlign w:val="center"/>
          </w:tcPr>
          <w:p w14:paraId="7A2FAE49">
            <w:pPr>
              <w:jc w:val="center"/>
              <w:rPr>
                <w:rFonts w:ascii="宋体" w:hAnsi="宋体" w:cs="宋体"/>
                <w:color w:val="auto"/>
                <w:szCs w:val="21"/>
                <w:highlight w:val="none"/>
              </w:rPr>
            </w:pPr>
          </w:p>
        </w:tc>
        <w:tc>
          <w:tcPr>
            <w:tcW w:w="928" w:type="dxa"/>
            <w:noWrap/>
            <w:vAlign w:val="center"/>
          </w:tcPr>
          <w:p w14:paraId="20326BE8">
            <w:pPr>
              <w:jc w:val="center"/>
              <w:rPr>
                <w:rFonts w:ascii="宋体" w:hAnsi="宋体" w:cs="宋体"/>
                <w:color w:val="auto"/>
                <w:szCs w:val="21"/>
                <w:highlight w:val="none"/>
              </w:rPr>
            </w:pPr>
          </w:p>
        </w:tc>
        <w:tc>
          <w:tcPr>
            <w:tcW w:w="928" w:type="dxa"/>
            <w:noWrap/>
            <w:vAlign w:val="center"/>
          </w:tcPr>
          <w:p w14:paraId="056A685E">
            <w:pPr>
              <w:jc w:val="center"/>
              <w:rPr>
                <w:rFonts w:ascii="宋体" w:hAnsi="宋体" w:cs="宋体"/>
                <w:color w:val="auto"/>
                <w:szCs w:val="21"/>
                <w:highlight w:val="none"/>
              </w:rPr>
            </w:pPr>
          </w:p>
        </w:tc>
        <w:tc>
          <w:tcPr>
            <w:tcW w:w="1041" w:type="dxa"/>
            <w:noWrap/>
            <w:vAlign w:val="center"/>
          </w:tcPr>
          <w:p w14:paraId="210C5E7A">
            <w:pPr>
              <w:jc w:val="center"/>
              <w:rPr>
                <w:rFonts w:ascii="宋体" w:hAnsi="宋体" w:cs="宋体"/>
                <w:color w:val="auto"/>
                <w:szCs w:val="21"/>
                <w:highlight w:val="none"/>
              </w:rPr>
            </w:pPr>
          </w:p>
        </w:tc>
        <w:tc>
          <w:tcPr>
            <w:tcW w:w="1041" w:type="dxa"/>
            <w:noWrap/>
            <w:vAlign w:val="center"/>
          </w:tcPr>
          <w:p w14:paraId="0205BD20">
            <w:pPr>
              <w:jc w:val="center"/>
              <w:rPr>
                <w:rFonts w:ascii="宋体" w:hAnsi="宋体" w:cs="宋体"/>
                <w:color w:val="auto"/>
                <w:szCs w:val="21"/>
                <w:highlight w:val="none"/>
              </w:rPr>
            </w:pPr>
          </w:p>
        </w:tc>
        <w:tc>
          <w:tcPr>
            <w:tcW w:w="1041" w:type="dxa"/>
            <w:noWrap/>
            <w:vAlign w:val="center"/>
          </w:tcPr>
          <w:p w14:paraId="27DD9A5A">
            <w:pPr>
              <w:jc w:val="center"/>
              <w:rPr>
                <w:rFonts w:ascii="宋体" w:hAnsi="宋体" w:cs="宋体"/>
                <w:color w:val="auto"/>
                <w:szCs w:val="21"/>
                <w:highlight w:val="none"/>
              </w:rPr>
            </w:pPr>
          </w:p>
        </w:tc>
        <w:tc>
          <w:tcPr>
            <w:tcW w:w="1041" w:type="dxa"/>
            <w:noWrap/>
            <w:vAlign w:val="center"/>
          </w:tcPr>
          <w:p w14:paraId="6C3E110B">
            <w:pPr>
              <w:jc w:val="center"/>
              <w:rPr>
                <w:rFonts w:ascii="宋体" w:hAnsi="宋体" w:cs="宋体"/>
                <w:color w:val="auto"/>
                <w:szCs w:val="21"/>
                <w:highlight w:val="none"/>
              </w:rPr>
            </w:pPr>
          </w:p>
        </w:tc>
        <w:tc>
          <w:tcPr>
            <w:tcW w:w="1125" w:type="dxa"/>
            <w:noWrap/>
            <w:vAlign w:val="center"/>
          </w:tcPr>
          <w:p w14:paraId="4DDC0900">
            <w:pPr>
              <w:jc w:val="center"/>
              <w:rPr>
                <w:rFonts w:ascii="宋体" w:hAnsi="宋体" w:cs="宋体"/>
                <w:color w:val="auto"/>
                <w:szCs w:val="21"/>
                <w:highlight w:val="none"/>
              </w:rPr>
            </w:pPr>
          </w:p>
        </w:tc>
        <w:tc>
          <w:tcPr>
            <w:tcW w:w="1485" w:type="dxa"/>
            <w:noWrap/>
            <w:vAlign w:val="center"/>
          </w:tcPr>
          <w:p w14:paraId="187346D4">
            <w:pPr>
              <w:jc w:val="center"/>
              <w:rPr>
                <w:rFonts w:ascii="宋体" w:hAnsi="宋体" w:cs="宋体"/>
                <w:color w:val="auto"/>
                <w:szCs w:val="21"/>
                <w:highlight w:val="none"/>
              </w:rPr>
            </w:pPr>
          </w:p>
        </w:tc>
      </w:tr>
      <w:tr w14:paraId="0708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 w:type="dxa"/>
            <w:noWrap/>
            <w:vAlign w:val="center"/>
          </w:tcPr>
          <w:p w14:paraId="7F93D934">
            <w:pPr>
              <w:jc w:val="center"/>
              <w:rPr>
                <w:rFonts w:ascii="宋体" w:hAnsi="宋体" w:cs="宋体"/>
                <w:color w:val="auto"/>
                <w:szCs w:val="21"/>
                <w:highlight w:val="none"/>
              </w:rPr>
            </w:pPr>
          </w:p>
        </w:tc>
        <w:tc>
          <w:tcPr>
            <w:tcW w:w="928" w:type="dxa"/>
            <w:noWrap/>
            <w:vAlign w:val="center"/>
          </w:tcPr>
          <w:p w14:paraId="392A81A4">
            <w:pPr>
              <w:jc w:val="center"/>
              <w:rPr>
                <w:rFonts w:ascii="宋体" w:hAnsi="宋体" w:cs="宋体"/>
                <w:color w:val="auto"/>
                <w:szCs w:val="21"/>
                <w:highlight w:val="none"/>
              </w:rPr>
            </w:pPr>
          </w:p>
        </w:tc>
        <w:tc>
          <w:tcPr>
            <w:tcW w:w="928" w:type="dxa"/>
            <w:noWrap/>
            <w:vAlign w:val="center"/>
          </w:tcPr>
          <w:p w14:paraId="308389AE">
            <w:pPr>
              <w:jc w:val="center"/>
              <w:rPr>
                <w:rFonts w:ascii="宋体" w:hAnsi="宋体" w:cs="宋体"/>
                <w:color w:val="auto"/>
                <w:szCs w:val="21"/>
                <w:highlight w:val="none"/>
              </w:rPr>
            </w:pPr>
          </w:p>
        </w:tc>
        <w:tc>
          <w:tcPr>
            <w:tcW w:w="1041" w:type="dxa"/>
            <w:noWrap/>
            <w:vAlign w:val="center"/>
          </w:tcPr>
          <w:p w14:paraId="4BAEBF0E">
            <w:pPr>
              <w:jc w:val="center"/>
              <w:rPr>
                <w:rFonts w:ascii="宋体" w:hAnsi="宋体" w:cs="宋体"/>
                <w:color w:val="auto"/>
                <w:szCs w:val="21"/>
                <w:highlight w:val="none"/>
              </w:rPr>
            </w:pPr>
          </w:p>
        </w:tc>
        <w:tc>
          <w:tcPr>
            <w:tcW w:w="1041" w:type="dxa"/>
            <w:noWrap/>
            <w:vAlign w:val="center"/>
          </w:tcPr>
          <w:p w14:paraId="3EB6B114">
            <w:pPr>
              <w:jc w:val="center"/>
              <w:rPr>
                <w:rFonts w:ascii="宋体" w:hAnsi="宋体" w:cs="宋体"/>
                <w:color w:val="auto"/>
                <w:szCs w:val="21"/>
                <w:highlight w:val="none"/>
              </w:rPr>
            </w:pPr>
          </w:p>
        </w:tc>
        <w:tc>
          <w:tcPr>
            <w:tcW w:w="1041" w:type="dxa"/>
            <w:noWrap/>
            <w:vAlign w:val="center"/>
          </w:tcPr>
          <w:p w14:paraId="3EA3F1C3">
            <w:pPr>
              <w:jc w:val="center"/>
              <w:rPr>
                <w:rFonts w:ascii="宋体" w:hAnsi="宋体" w:cs="宋体"/>
                <w:color w:val="auto"/>
                <w:szCs w:val="21"/>
                <w:highlight w:val="none"/>
              </w:rPr>
            </w:pPr>
          </w:p>
        </w:tc>
        <w:tc>
          <w:tcPr>
            <w:tcW w:w="1041" w:type="dxa"/>
            <w:noWrap/>
            <w:vAlign w:val="center"/>
          </w:tcPr>
          <w:p w14:paraId="4AA4EB72">
            <w:pPr>
              <w:jc w:val="center"/>
              <w:rPr>
                <w:rFonts w:ascii="宋体" w:hAnsi="宋体" w:cs="宋体"/>
                <w:color w:val="auto"/>
                <w:szCs w:val="21"/>
                <w:highlight w:val="none"/>
              </w:rPr>
            </w:pPr>
          </w:p>
        </w:tc>
        <w:tc>
          <w:tcPr>
            <w:tcW w:w="1125" w:type="dxa"/>
            <w:noWrap/>
            <w:vAlign w:val="center"/>
          </w:tcPr>
          <w:p w14:paraId="7E9F451A">
            <w:pPr>
              <w:jc w:val="center"/>
              <w:rPr>
                <w:rFonts w:ascii="宋体" w:hAnsi="宋体" w:cs="宋体"/>
                <w:color w:val="auto"/>
                <w:szCs w:val="21"/>
                <w:highlight w:val="none"/>
              </w:rPr>
            </w:pPr>
          </w:p>
        </w:tc>
        <w:tc>
          <w:tcPr>
            <w:tcW w:w="1485" w:type="dxa"/>
            <w:noWrap/>
            <w:vAlign w:val="center"/>
          </w:tcPr>
          <w:p w14:paraId="04F00C97">
            <w:pPr>
              <w:jc w:val="center"/>
              <w:rPr>
                <w:rFonts w:ascii="宋体" w:hAnsi="宋体" w:cs="宋体"/>
                <w:color w:val="auto"/>
                <w:szCs w:val="21"/>
                <w:highlight w:val="none"/>
              </w:rPr>
            </w:pPr>
          </w:p>
        </w:tc>
      </w:tr>
      <w:tr w14:paraId="6B5A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 w:type="dxa"/>
            <w:noWrap/>
            <w:vAlign w:val="center"/>
          </w:tcPr>
          <w:p w14:paraId="0854FEBF">
            <w:pPr>
              <w:jc w:val="center"/>
              <w:rPr>
                <w:rFonts w:ascii="宋体" w:hAnsi="宋体" w:cs="宋体"/>
                <w:color w:val="auto"/>
                <w:szCs w:val="21"/>
                <w:highlight w:val="none"/>
              </w:rPr>
            </w:pPr>
          </w:p>
        </w:tc>
        <w:tc>
          <w:tcPr>
            <w:tcW w:w="928" w:type="dxa"/>
            <w:noWrap/>
            <w:vAlign w:val="center"/>
          </w:tcPr>
          <w:p w14:paraId="048DA33D">
            <w:pPr>
              <w:jc w:val="center"/>
              <w:rPr>
                <w:rFonts w:ascii="宋体" w:hAnsi="宋体" w:cs="宋体"/>
                <w:color w:val="auto"/>
                <w:szCs w:val="21"/>
                <w:highlight w:val="none"/>
              </w:rPr>
            </w:pPr>
          </w:p>
        </w:tc>
        <w:tc>
          <w:tcPr>
            <w:tcW w:w="928" w:type="dxa"/>
            <w:noWrap/>
            <w:vAlign w:val="center"/>
          </w:tcPr>
          <w:p w14:paraId="4E853EC1">
            <w:pPr>
              <w:jc w:val="center"/>
              <w:rPr>
                <w:rFonts w:ascii="宋体" w:hAnsi="宋体" w:cs="宋体"/>
                <w:color w:val="auto"/>
                <w:szCs w:val="21"/>
                <w:highlight w:val="none"/>
              </w:rPr>
            </w:pPr>
          </w:p>
        </w:tc>
        <w:tc>
          <w:tcPr>
            <w:tcW w:w="1041" w:type="dxa"/>
            <w:noWrap/>
            <w:vAlign w:val="center"/>
          </w:tcPr>
          <w:p w14:paraId="544CDD2A">
            <w:pPr>
              <w:jc w:val="center"/>
              <w:rPr>
                <w:rFonts w:ascii="宋体" w:hAnsi="宋体" w:cs="宋体"/>
                <w:color w:val="auto"/>
                <w:szCs w:val="21"/>
                <w:highlight w:val="none"/>
              </w:rPr>
            </w:pPr>
          </w:p>
        </w:tc>
        <w:tc>
          <w:tcPr>
            <w:tcW w:w="1041" w:type="dxa"/>
            <w:noWrap/>
            <w:vAlign w:val="center"/>
          </w:tcPr>
          <w:p w14:paraId="61DAC0AA">
            <w:pPr>
              <w:jc w:val="center"/>
              <w:rPr>
                <w:rFonts w:ascii="宋体" w:hAnsi="宋体" w:cs="宋体"/>
                <w:color w:val="auto"/>
                <w:szCs w:val="21"/>
                <w:highlight w:val="none"/>
              </w:rPr>
            </w:pPr>
          </w:p>
        </w:tc>
        <w:tc>
          <w:tcPr>
            <w:tcW w:w="1041" w:type="dxa"/>
            <w:noWrap/>
            <w:vAlign w:val="center"/>
          </w:tcPr>
          <w:p w14:paraId="0C3F8FDE">
            <w:pPr>
              <w:jc w:val="center"/>
              <w:rPr>
                <w:rFonts w:ascii="宋体" w:hAnsi="宋体" w:cs="宋体"/>
                <w:color w:val="auto"/>
                <w:szCs w:val="21"/>
                <w:highlight w:val="none"/>
              </w:rPr>
            </w:pPr>
          </w:p>
        </w:tc>
        <w:tc>
          <w:tcPr>
            <w:tcW w:w="1041" w:type="dxa"/>
            <w:noWrap/>
            <w:vAlign w:val="center"/>
          </w:tcPr>
          <w:p w14:paraId="0819DFBA">
            <w:pPr>
              <w:jc w:val="center"/>
              <w:rPr>
                <w:rFonts w:ascii="宋体" w:hAnsi="宋体" w:cs="宋体"/>
                <w:color w:val="auto"/>
                <w:szCs w:val="21"/>
                <w:highlight w:val="none"/>
              </w:rPr>
            </w:pPr>
          </w:p>
        </w:tc>
        <w:tc>
          <w:tcPr>
            <w:tcW w:w="1125" w:type="dxa"/>
            <w:noWrap/>
            <w:vAlign w:val="center"/>
          </w:tcPr>
          <w:p w14:paraId="78513922">
            <w:pPr>
              <w:jc w:val="center"/>
              <w:rPr>
                <w:rFonts w:ascii="宋体" w:hAnsi="宋体" w:cs="宋体"/>
                <w:color w:val="auto"/>
                <w:szCs w:val="21"/>
                <w:highlight w:val="none"/>
              </w:rPr>
            </w:pPr>
          </w:p>
        </w:tc>
        <w:tc>
          <w:tcPr>
            <w:tcW w:w="1485" w:type="dxa"/>
            <w:noWrap/>
            <w:vAlign w:val="center"/>
          </w:tcPr>
          <w:p w14:paraId="6D3336A6">
            <w:pPr>
              <w:jc w:val="center"/>
              <w:rPr>
                <w:rFonts w:ascii="宋体" w:hAnsi="宋体" w:cs="宋体"/>
                <w:color w:val="auto"/>
                <w:szCs w:val="21"/>
                <w:highlight w:val="none"/>
              </w:rPr>
            </w:pPr>
          </w:p>
        </w:tc>
      </w:tr>
      <w:tr w14:paraId="0B1A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 w:type="dxa"/>
            <w:noWrap/>
            <w:vAlign w:val="center"/>
          </w:tcPr>
          <w:p w14:paraId="40716A3D">
            <w:pPr>
              <w:jc w:val="center"/>
              <w:rPr>
                <w:rFonts w:ascii="宋体" w:hAnsi="宋体" w:cs="宋体"/>
                <w:color w:val="auto"/>
                <w:szCs w:val="21"/>
                <w:highlight w:val="none"/>
              </w:rPr>
            </w:pPr>
          </w:p>
        </w:tc>
        <w:tc>
          <w:tcPr>
            <w:tcW w:w="928" w:type="dxa"/>
            <w:noWrap/>
            <w:vAlign w:val="center"/>
          </w:tcPr>
          <w:p w14:paraId="65C8EA57">
            <w:pPr>
              <w:jc w:val="center"/>
              <w:rPr>
                <w:rFonts w:ascii="宋体" w:hAnsi="宋体" w:cs="宋体"/>
                <w:color w:val="auto"/>
                <w:szCs w:val="21"/>
                <w:highlight w:val="none"/>
              </w:rPr>
            </w:pPr>
          </w:p>
        </w:tc>
        <w:tc>
          <w:tcPr>
            <w:tcW w:w="928" w:type="dxa"/>
            <w:noWrap/>
            <w:vAlign w:val="center"/>
          </w:tcPr>
          <w:p w14:paraId="3827BA28">
            <w:pPr>
              <w:jc w:val="center"/>
              <w:rPr>
                <w:rFonts w:ascii="宋体" w:hAnsi="宋体" w:cs="宋体"/>
                <w:color w:val="auto"/>
                <w:szCs w:val="21"/>
                <w:highlight w:val="none"/>
              </w:rPr>
            </w:pPr>
          </w:p>
        </w:tc>
        <w:tc>
          <w:tcPr>
            <w:tcW w:w="1041" w:type="dxa"/>
            <w:noWrap/>
            <w:vAlign w:val="center"/>
          </w:tcPr>
          <w:p w14:paraId="76170793">
            <w:pPr>
              <w:jc w:val="center"/>
              <w:rPr>
                <w:rFonts w:ascii="宋体" w:hAnsi="宋体" w:cs="宋体"/>
                <w:color w:val="auto"/>
                <w:szCs w:val="21"/>
                <w:highlight w:val="none"/>
              </w:rPr>
            </w:pPr>
          </w:p>
        </w:tc>
        <w:tc>
          <w:tcPr>
            <w:tcW w:w="1041" w:type="dxa"/>
            <w:noWrap/>
            <w:vAlign w:val="center"/>
          </w:tcPr>
          <w:p w14:paraId="2DE37FE8">
            <w:pPr>
              <w:jc w:val="center"/>
              <w:rPr>
                <w:rFonts w:ascii="宋体" w:hAnsi="宋体" w:cs="宋体"/>
                <w:color w:val="auto"/>
                <w:szCs w:val="21"/>
                <w:highlight w:val="none"/>
              </w:rPr>
            </w:pPr>
          </w:p>
        </w:tc>
        <w:tc>
          <w:tcPr>
            <w:tcW w:w="1041" w:type="dxa"/>
            <w:noWrap/>
            <w:vAlign w:val="center"/>
          </w:tcPr>
          <w:p w14:paraId="799BB60D">
            <w:pPr>
              <w:jc w:val="center"/>
              <w:rPr>
                <w:rFonts w:ascii="宋体" w:hAnsi="宋体" w:cs="宋体"/>
                <w:color w:val="auto"/>
                <w:szCs w:val="21"/>
                <w:highlight w:val="none"/>
              </w:rPr>
            </w:pPr>
          </w:p>
        </w:tc>
        <w:tc>
          <w:tcPr>
            <w:tcW w:w="1041" w:type="dxa"/>
            <w:noWrap/>
            <w:vAlign w:val="center"/>
          </w:tcPr>
          <w:p w14:paraId="249F3B17">
            <w:pPr>
              <w:jc w:val="center"/>
              <w:rPr>
                <w:rFonts w:ascii="宋体" w:hAnsi="宋体" w:cs="宋体"/>
                <w:color w:val="auto"/>
                <w:szCs w:val="21"/>
                <w:highlight w:val="none"/>
              </w:rPr>
            </w:pPr>
          </w:p>
        </w:tc>
        <w:tc>
          <w:tcPr>
            <w:tcW w:w="1125" w:type="dxa"/>
            <w:noWrap/>
            <w:vAlign w:val="center"/>
          </w:tcPr>
          <w:p w14:paraId="1FA4CDCF">
            <w:pPr>
              <w:jc w:val="center"/>
              <w:rPr>
                <w:rFonts w:ascii="宋体" w:hAnsi="宋体" w:cs="宋体"/>
                <w:color w:val="auto"/>
                <w:szCs w:val="21"/>
                <w:highlight w:val="none"/>
              </w:rPr>
            </w:pPr>
          </w:p>
        </w:tc>
        <w:tc>
          <w:tcPr>
            <w:tcW w:w="1485" w:type="dxa"/>
            <w:noWrap/>
            <w:vAlign w:val="center"/>
          </w:tcPr>
          <w:p w14:paraId="6A8D703A">
            <w:pPr>
              <w:jc w:val="center"/>
              <w:rPr>
                <w:rFonts w:ascii="宋体" w:hAnsi="宋体" w:cs="宋体"/>
                <w:color w:val="auto"/>
                <w:szCs w:val="21"/>
                <w:highlight w:val="none"/>
              </w:rPr>
            </w:pPr>
          </w:p>
        </w:tc>
      </w:tr>
      <w:tr w14:paraId="5BD9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 w:type="dxa"/>
            <w:noWrap/>
            <w:vAlign w:val="center"/>
          </w:tcPr>
          <w:p w14:paraId="2A51D9E1">
            <w:pPr>
              <w:jc w:val="center"/>
              <w:rPr>
                <w:rFonts w:ascii="宋体" w:hAnsi="宋体" w:cs="宋体"/>
                <w:color w:val="auto"/>
                <w:szCs w:val="21"/>
                <w:highlight w:val="none"/>
              </w:rPr>
            </w:pPr>
          </w:p>
        </w:tc>
        <w:tc>
          <w:tcPr>
            <w:tcW w:w="928" w:type="dxa"/>
            <w:noWrap/>
            <w:vAlign w:val="center"/>
          </w:tcPr>
          <w:p w14:paraId="1C2C3EE8">
            <w:pPr>
              <w:jc w:val="center"/>
              <w:rPr>
                <w:rFonts w:ascii="宋体" w:hAnsi="宋体" w:cs="宋体"/>
                <w:color w:val="auto"/>
                <w:szCs w:val="21"/>
                <w:highlight w:val="none"/>
              </w:rPr>
            </w:pPr>
          </w:p>
        </w:tc>
        <w:tc>
          <w:tcPr>
            <w:tcW w:w="928" w:type="dxa"/>
            <w:noWrap/>
            <w:vAlign w:val="center"/>
          </w:tcPr>
          <w:p w14:paraId="6707F717">
            <w:pPr>
              <w:jc w:val="center"/>
              <w:rPr>
                <w:rFonts w:ascii="宋体" w:hAnsi="宋体" w:cs="宋体"/>
                <w:color w:val="auto"/>
                <w:szCs w:val="21"/>
                <w:highlight w:val="none"/>
              </w:rPr>
            </w:pPr>
          </w:p>
        </w:tc>
        <w:tc>
          <w:tcPr>
            <w:tcW w:w="1041" w:type="dxa"/>
            <w:noWrap/>
            <w:vAlign w:val="center"/>
          </w:tcPr>
          <w:p w14:paraId="3452B34E">
            <w:pPr>
              <w:jc w:val="center"/>
              <w:rPr>
                <w:rFonts w:ascii="宋体" w:hAnsi="宋体" w:cs="宋体"/>
                <w:color w:val="auto"/>
                <w:szCs w:val="21"/>
                <w:highlight w:val="none"/>
              </w:rPr>
            </w:pPr>
          </w:p>
        </w:tc>
        <w:tc>
          <w:tcPr>
            <w:tcW w:w="1041" w:type="dxa"/>
            <w:noWrap/>
            <w:vAlign w:val="center"/>
          </w:tcPr>
          <w:p w14:paraId="550B281C">
            <w:pPr>
              <w:jc w:val="center"/>
              <w:rPr>
                <w:rFonts w:ascii="宋体" w:hAnsi="宋体" w:cs="宋体"/>
                <w:color w:val="auto"/>
                <w:szCs w:val="21"/>
                <w:highlight w:val="none"/>
              </w:rPr>
            </w:pPr>
          </w:p>
        </w:tc>
        <w:tc>
          <w:tcPr>
            <w:tcW w:w="1041" w:type="dxa"/>
            <w:noWrap/>
            <w:vAlign w:val="center"/>
          </w:tcPr>
          <w:p w14:paraId="52718AC1">
            <w:pPr>
              <w:jc w:val="center"/>
              <w:rPr>
                <w:rFonts w:ascii="宋体" w:hAnsi="宋体" w:cs="宋体"/>
                <w:color w:val="auto"/>
                <w:szCs w:val="21"/>
                <w:highlight w:val="none"/>
              </w:rPr>
            </w:pPr>
          </w:p>
        </w:tc>
        <w:tc>
          <w:tcPr>
            <w:tcW w:w="1041" w:type="dxa"/>
            <w:noWrap/>
            <w:vAlign w:val="center"/>
          </w:tcPr>
          <w:p w14:paraId="6F9402D0">
            <w:pPr>
              <w:jc w:val="center"/>
              <w:rPr>
                <w:rFonts w:ascii="宋体" w:hAnsi="宋体" w:cs="宋体"/>
                <w:color w:val="auto"/>
                <w:szCs w:val="21"/>
                <w:highlight w:val="none"/>
              </w:rPr>
            </w:pPr>
          </w:p>
        </w:tc>
        <w:tc>
          <w:tcPr>
            <w:tcW w:w="1125" w:type="dxa"/>
            <w:noWrap/>
            <w:vAlign w:val="center"/>
          </w:tcPr>
          <w:p w14:paraId="14124F21">
            <w:pPr>
              <w:jc w:val="center"/>
              <w:rPr>
                <w:rFonts w:ascii="宋体" w:hAnsi="宋体" w:cs="宋体"/>
                <w:color w:val="auto"/>
                <w:szCs w:val="21"/>
                <w:highlight w:val="none"/>
              </w:rPr>
            </w:pPr>
          </w:p>
        </w:tc>
        <w:tc>
          <w:tcPr>
            <w:tcW w:w="1485" w:type="dxa"/>
            <w:noWrap/>
            <w:vAlign w:val="center"/>
          </w:tcPr>
          <w:p w14:paraId="41D6A0A8">
            <w:pPr>
              <w:jc w:val="center"/>
              <w:rPr>
                <w:rFonts w:ascii="宋体" w:hAnsi="宋体" w:cs="宋体"/>
                <w:color w:val="auto"/>
                <w:szCs w:val="21"/>
                <w:highlight w:val="none"/>
              </w:rPr>
            </w:pPr>
          </w:p>
        </w:tc>
      </w:tr>
      <w:tr w14:paraId="68BF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 w:type="dxa"/>
            <w:noWrap/>
            <w:vAlign w:val="center"/>
          </w:tcPr>
          <w:p w14:paraId="2852C96B">
            <w:pPr>
              <w:jc w:val="center"/>
              <w:rPr>
                <w:rFonts w:ascii="宋体" w:hAnsi="宋体" w:cs="宋体"/>
                <w:color w:val="auto"/>
                <w:szCs w:val="21"/>
                <w:highlight w:val="none"/>
              </w:rPr>
            </w:pPr>
          </w:p>
        </w:tc>
        <w:tc>
          <w:tcPr>
            <w:tcW w:w="928" w:type="dxa"/>
            <w:noWrap/>
            <w:vAlign w:val="center"/>
          </w:tcPr>
          <w:p w14:paraId="2B079C14">
            <w:pPr>
              <w:jc w:val="center"/>
              <w:rPr>
                <w:rFonts w:ascii="宋体" w:hAnsi="宋体" w:cs="宋体"/>
                <w:color w:val="auto"/>
                <w:szCs w:val="21"/>
                <w:highlight w:val="none"/>
              </w:rPr>
            </w:pPr>
          </w:p>
        </w:tc>
        <w:tc>
          <w:tcPr>
            <w:tcW w:w="928" w:type="dxa"/>
            <w:noWrap/>
            <w:vAlign w:val="center"/>
          </w:tcPr>
          <w:p w14:paraId="49D6DC94">
            <w:pPr>
              <w:jc w:val="center"/>
              <w:rPr>
                <w:rFonts w:ascii="宋体" w:hAnsi="宋体" w:cs="宋体"/>
                <w:color w:val="auto"/>
                <w:szCs w:val="21"/>
                <w:highlight w:val="none"/>
              </w:rPr>
            </w:pPr>
          </w:p>
        </w:tc>
        <w:tc>
          <w:tcPr>
            <w:tcW w:w="1041" w:type="dxa"/>
            <w:noWrap/>
            <w:vAlign w:val="center"/>
          </w:tcPr>
          <w:p w14:paraId="54416BDA">
            <w:pPr>
              <w:jc w:val="center"/>
              <w:rPr>
                <w:rFonts w:ascii="宋体" w:hAnsi="宋体" w:cs="宋体"/>
                <w:color w:val="auto"/>
                <w:szCs w:val="21"/>
                <w:highlight w:val="none"/>
              </w:rPr>
            </w:pPr>
          </w:p>
        </w:tc>
        <w:tc>
          <w:tcPr>
            <w:tcW w:w="1041" w:type="dxa"/>
            <w:noWrap/>
            <w:vAlign w:val="center"/>
          </w:tcPr>
          <w:p w14:paraId="0424B621">
            <w:pPr>
              <w:jc w:val="center"/>
              <w:rPr>
                <w:rFonts w:ascii="宋体" w:hAnsi="宋体" w:cs="宋体"/>
                <w:color w:val="auto"/>
                <w:szCs w:val="21"/>
                <w:highlight w:val="none"/>
              </w:rPr>
            </w:pPr>
          </w:p>
        </w:tc>
        <w:tc>
          <w:tcPr>
            <w:tcW w:w="1041" w:type="dxa"/>
            <w:noWrap/>
            <w:vAlign w:val="center"/>
          </w:tcPr>
          <w:p w14:paraId="1B3FAB54">
            <w:pPr>
              <w:jc w:val="center"/>
              <w:rPr>
                <w:rFonts w:ascii="宋体" w:hAnsi="宋体" w:cs="宋体"/>
                <w:color w:val="auto"/>
                <w:szCs w:val="21"/>
                <w:highlight w:val="none"/>
              </w:rPr>
            </w:pPr>
          </w:p>
        </w:tc>
        <w:tc>
          <w:tcPr>
            <w:tcW w:w="1041" w:type="dxa"/>
            <w:noWrap/>
            <w:vAlign w:val="center"/>
          </w:tcPr>
          <w:p w14:paraId="4B0E35E8">
            <w:pPr>
              <w:jc w:val="center"/>
              <w:rPr>
                <w:rFonts w:ascii="宋体" w:hAnsi="宋体" w:cs="宋体"/>
                <w:color w:val="auto"/>
                <w:szCs w:val="21"/>
                <w:highlight w:val="none"/>
              </w:rPr>
            </w:pPr>
          </w:p>
        </w:tc>
        <w:tc>
          <w:tcPr>
            <w:tcW w:w="1125" w:type="dxa"/>
            <w:noWrap/>
            <w:vAlign w:val="center"/>
          </w:tcPr>
          <w:p w14:paraId="4B56BFE2">
            <w:pPr>
              <w:jc w:val="center"/>
              <w:rPr>
                <w:rFonts w:ascii="宋体" w:hAnsi="宋体" w:cs="宋体"/>
                <w:color w:val="auto"/>
                <w:szCs w:val="21"/>
                <w:highlight w:val="none"/>
              </w:rPr>
            </w:pPr>
          </w:p>
        </w:tc>
        <w:tc>
          <w:tcPr>
            <w:tcW w:w="1485" w:type="dxa"/>
            <w:noWrap/>
            <w:vAlign w:val="center"/>
          </w:tcPr>
          <w:p w14:paraId="744E01A9">
            <w:pPr>
              <w:jc w:val="center"/>
              <w:rPr>
                <w:rFonts w:ascii="宋体" w:hAnsi="宋体" w:cs="宋体"/>
                <w:color w:val="auto"/>
                <w:szCs w:val="21"/>
                <w:highlight w:val="none"/>
              </w:rPr>
            </w:pPr>
          </w:p>
        </w:tc>
      </w:tr>
      <w:tr w14:paraId="72C4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 w:type="dxa"/>
            <w:noWrap/>
            <w:vAlign w:val="center"/>
          </w:tcPr>
          <w:p w14:paraId="1FCB1EAC">
            <w:pPr>
              <w:jc w:val="center"/>
              <w:rPr>
                <w:rFonts w:ascii="宋体" w:hAnsi="宋体" w:cs="宋体"/>
                <w:color w:val="auto"/>
                <w:szCs w:val="21"/>
                <w:highlight w:val="none"/>
              </w:rPr>
            </w:pPr>
          </w:p>
        </w:tc>
        <w:tc>
          <w:tcPr>
            <w:tcW w:w="928" w:type="dxa"/>
            <w:noWrap/>
            <w:vAlign w:val="center"/>
          </w:tcPr>
          <w:p w14:paraId="2F6B4FCC">
            <w:pPr>
              <w:jc w:val="center"/>
              <w:rPr>
                <w:rFonts w:ascii="宋体" w:hAnsi="宋体" w:cs="宋体"/>
                <w:color w:val="auto"/>
                <w:szCs w:val="21"/>
                <w:highlight w:val="none"/>
              </w:rPr>
            </w:pPr>
          </w:p>
        </w:tc>
        <w:tc>
          <w:tcPr>
            <w:tcW w:w="928" w:type="dxa"/>
            <w:noWrap/>
            <w:vAlign w:val="center"/>
          </w:tcPr>
          <w:p w14:paraId="6D6768EE">
            <w:pPr>
              <w:jc w:val="center"/>
              <w:rPr>
                <w:rFonts w:ascii="宋体" w:hAnsi="宋体" w:cs="宋体"/>
                <w:color w:val="auto"/>
                <w:szCs w:val="21"/>
                <w:highlight w:val="none"/>
              </w:rPr>
            </w:pPr>
          </w:p>
        </w:tc>
        <w:tc>
          <w:tcPr>
            <w:tcW w:w="1041" w:type="dxa"/>
            <w:noWrap/>
            <w:vAlign w:val="center"/>
          </w:tcPr>
          <w:p w14:paraId="6CF82B68">
            <w:pPr>
              <w:jc w:val="center"/>
              <w:rPr>
                <w:rFonts w:ascii="宋体" w:hAnsi="宋体" w:cs="宋体"/>
                <w:color w:val="auto"/>
                <w:szCs w:val="21"/>
                <w:highlight w:val="none"/>
              </w:rPr>
            </w:pPr>
          </w:p>
        </w:tc>
        <w:tc>
          <w:tcPr>
            <w:tcW w:w="1041" w:type="dxa"/>
            <w:noWrap/>
            <w:vAlign w:val="center"/>
          </w:tcPr>
          <w:p w14:paraId="7647C917">
            <w:pPr>
              <w:jc w:val="center"/>
              <w:rPr>
                <w:rFonts w:ascii="宋体" w:hAnsi="宋体" w:cs="宋体"/>
                <w:color w:val="auto"/>
                <w:szCs w:val="21"/>
                <w:highlight w:val="none"/>
              </w:rPr>
            </w:pPr>
          </w:p>
        </w:tc>
        <w:tc>
          <w:tcPr>
            <w:tcW w:w="1041" w:type="dxa"/>
            <w:noWrap/>
            <w:vAlign w:val="center"/>
          </w:tcPr>
          <w:p w14:paraId="56CB54A3">
            <w:pPr>
              <w:jc w:val="center"/>
              <w:rPr>
                <w:rFonts w:ascii="宋体" w:hAnsi="宋体" w:cs="宋体"/>
                <w:color w:val="auto"/>
                <w:szCs w:val="21"/>
                <w:highlight w:val="none"/>
              </w:rPr>
            </w:pPr>
          </w:p>
        </w:tc>
        <w:tc>
          <w:tcPr>
            <w:tcW w:w="1041" w:type="dxa"/>
            <w:noWrap/>
            <w:vAlign w:val="center"/>
          </w:tcPr>
          <w:p w14:paraId="4C47ECE3">
            <w:pPr>
              <w:jc w:val="center"/>
              <w:rPr>
                <w:rFonts w:ascii="宋体" w:hAnsi="宋体" w:cs="宋体"/>
                <w:color w:val="auto"/>
                <w:szCs w:val="21"/>
                <w:highlight w:val="none"/>
              </w:rPr>
            </w:pPr>
          </w:p>
        </w:tc>
        <w:tc>
          <w:tcPr>
            <w:tcW w:w="1125" w:type="dxa"/>
            <w:noWrap/>
            <w:vAlign w:val="center"/>
          </w:tcPr>
          <w:p w14:paraId="0C455520">
            <w:pPr>
              <w:jc w:val="center"/>
              <w:rPr>
                <w:rFonts w:ascii="宋体" w:hAnsi="宋体" w:cs="宋体"/>
                <w:color w:val="auto"/>
                <w:szCs w:val="21"/>
                <w:highlight w:val="none"/>
              </w:rPr>
            </w:pPr>
          </w:p>
        </w:tc>
        <w:tc>
          <w:tcPr>
            <w:tcW w:w="1485" w:type="dxa"/>
            <w:noWrap/>
            <w:vAlign w:val="center"/>
          </w:tcPr>
          <w:p w14:paraId="6BEADEF5">
            <w:pPr>
              <w:jc w:val="center"/>
              <w:rPr>
                <w:rFonts w:ascii="宋体" w:hAnsi="宋体" w:cs="宋体"/>
                <w:color w:val="auto"/>
                <w:szCs w:val="21"/>
                <w:highlight w:val="none"/>
              </w:rPr>
            </w:pPr>
          </w:p>
        </w:tc>
      </w:tr>
      <w:tr w14:paraId="0FE2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 w:type="dxa"/>
            <w:noWrap/>
            <w:vAlign w:val="center"/>
          </w:tcPr>
          <w:p w14:paraId="4130A77D">
            <w:pPr>
              <w:jc w:val="center"/>
              <w:rPr>
                <w:rFonts w:ascii="宋体" w:hAnsi="宋体" w:cs="宋体"/>
                <w:color w:val="auto"/>
                <w:szCs w:val="21"/>
                <w:highlight w:val="none"/>
              </w:rPr>
            </w:pPr>
          </w:p>
        </w:tc>
        <w:tc>
          <w:tcPr>
            <w:tcW w:w="928" w:type="dxa"/>
            <w:noWrap/>
            <w:vAlign w:val="center"/>
          </w:tcPr>
          <w:p w14:paraId="03D0ED48">
            <w:pPr>
              <w:jc w:val="center"/>
              <w:rPr>
                <w:rFonts w:ascii="宋体" w:hAnsi="宋体" w:cs="宋体"/>
                <w:color w:val="auto"/>
                <w:szCs w:val="21"/>
                <w:highlight w:val="none"/>
              </w:rPr>
            </w:pPr>
          </w:p>
        </w:tc>
        <w:tc>
          <w:tcPr>
            <w:tcW w:w="928" w:type="dxa"/>
            <w:noWrap/>
            <w:vAlign w:val="center"/>
          </w:tcPr>
          <w:p w14:paraId="5DA877B1">
            <w:pPr>
              <w:jc w:val="center"/>
              <w:rPr>
                <w:rFonts w:ascii="宋体" w:hAnsi="宋体" w:cs="宋体"/>
                <w:color w:val="auto"/>
                <w:szCs w:val="21"/>
                <w:highlight w:val="none"/>
              </w:rPr>
            </w:pPr>
          </w:p>
        </w:tc>
        <w:tc>
          <w:tcPr>
            <w:tcW w:w="1041" w:type="dxa"/>
            <w:noWrap/>
            <w:vAlign w:val="center"/>
          </w:tcPr>
          <w:p w14:paraId="22C481EF">
            <w:pPr>
              <w:jc w:val="center"/>
              <w:rPr>
                <w:rFonts w:ascii="宋体" w:hAnsi="宋体" w:cs="宋体"/>
                <w:color w:val="auto"/>
                <w:szCs w:val="21"/>
                <w:highlight w:val="none"/>
              </w:rPr>
            </w:pPr>
          </w:p>
        </w:tc>
        <w:tc>
          <w:tcPr>
            <w:tcW w:w="1041" w:type="dxa"/>
            <w:noWrap/>
            <w:vAlign w:val="center"/>
          </w:tcPr>
          <w:p w14:paraId="2A8D909F">
            <w:pPr>
              <w:jc w:val="center"/>
              <w:rPr>
                <w:rFonts w:ascii="宋体" w:hAnsi="宋体" w:cs="宋体"/>
                <w:color w:val="auto"/>
                <w:szCs w:val="21"/>
                <w:highlight w:val="none"/>
              </w:rPr>
            </w:pPr>
          </w:p>
        </w:tc>
        <w:tc>
          <w:tcPr>
            <w:tcW w:w="1041" w:type="dxa"/>
            <w:noWrap/>
            <w:vAlign w:val="center"/>
          </w:tcPr>
          <w:p w14:paraId="63E4B1BD">
            <w:pPr>
              <w:jc w:val="center"/>
              <w:rPr>
                <w:rFonts w:ascii="宋体" w:hAnsi="宋体" w:cs="宋体"/>
                <w:color w:val="auto"/>
                <w:szCs w:val="21"/>
                <w:highlight w:val="none"/>
              </w:rPr>
            </w:pPr>
          </w:p>
        </w:tc>
        <w:tc>
          <w:tcPr>
            <w:tcW w:w="1041" w:type="dxa"/>
            <w:noWrap/>
            <w:vAlign w:val="center"/>
          </w:tcPr>
          <w:p w14:paraId="2C592820">
            <w:pPr>
              <w:jc w:val="center"/>
              <w:rPr>
                <w:rFonts w:ascii="宋体" w:hAnsi="宋体" w:cs="宋体"/>
                <w:color w:val="auto"/>
                <w:szCs w:val="21"/>
                <w:highlight w:val="none"/>
              </w:rPr>
            </w:pPr>
          </w:p>
        </w:tc>
        <w:tc>
          <w:tcPr>
            <w:tcW w:w="1125" w:type="dxa"/>
            <w:noWrap/>
            <w:vAlign w:val="center"/>
          </w:tcPr>
          <w:p w14:paraId="2308783B">
            <w:pPr>
              <w:jc w:val="center"/>
              <w:rPr>
                <w:rFonts w:ascii="宋体" w:hAnsi="宋体" w:cs="宋体"/>
                <w:color w:val="auto"/>
                <w:szCs w:val="21"/>
                <w:highlight w:val="none"/>
              </w:rPr>
            </w:pPr>
          </w:p>
        </w:tc>
        <w:tc>
          <w:tcPr>
            <w:tcW w:w="1485" w:type="dxa"/>
            <w:noWrap/>
            <w:vAlign w:val="center"/>
          </w:tcPr>
          <w:p w14:paraId="34C5D400">
            <w:pPr>
              <w:jc w:val="center"/>
              <w:rPr>
                <w:rFonts w:ascii="宋体" w:hAnsi="宋体" w:cs="宋体"/>
                <w:color w:val="auto"/>
                <w:szCs w:val="21"/>
                <w:highlight w:val="none"/>
              </w:rPr>
            </w:pPr>
          </w:p>
        </w:tc>
      </w:tr>
      <w:tr w14:paraId="7C98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 w:type="dxa"/>
            <w:noWrap/>
            <w:vAlign w:val="center"/>
          </w:tcPr>
          <w:p w14:paraId="30DB410E">
            <w:pPr>
              <w:jc w:val="center"/>
              <w:rPr>
                <w:rFonts w:ascii="宋体" w:hAnsi="宋体" w:cs="宋体"/>
                <w:color w:val="auto"/>
                <w:szCs w:val="21"/>
                <w:highlight w:val="none"/>
              </w:rPr>
            </w:pPr>
          </w:p>
        </w:tc>
        <w:tc>
          <w:tcPr>
            <w:tcW w:w="928" w:type="dxa"/>
            <w:noWrap/>
            <w:vAlign w:val="center"/>
          </w:tcPr>
          <w:p w14:paraId="1EADF617">
            <w:pPr>
              <w:jc w:val="center"/>
              <w:rPr>
                <w:rFonts w:ascii="宋体" w:hAnsi="宋体" w:cs="宋体"/>
                <w:color w:val="auto"/>
                <w:szCs w:val="21"/>
                <w:highlight w:val="none"/>
              </w:rPr>
            </w:pPr>
          </w:p>
        </w:tc>
        <w:tc>
          <w:tcPr>
            <w:tcW w:w="928" w:type="dxa"/>
            <w:noWrap/>
            <w:vAlign w:val="center"/>
          </w:tcPr>
          <w:p w14:paraId="2FBF729C">
            <w:pPr>
              <w:jc w:val="center"/>
              <w:rPr>
                <w:rFonts w:ascii="宋体" w:hAnsi="宋体" w:cs="宋体"/>
                <w:color w:val="auto"/>
                <w:szCs w:val="21"/>
                <w:highlight w:val="none"/>
              </w:rPr>
            </w:pPr>
          </w:p>
        </w:tc>
        <w:tc>
          <w:tcPr>
            <w:tcW w:w="1041" w:type="dxa"/>
            <w:noWrap/>
            <w:vAlign w:val="center"/>
          </w:tcPr>
          <w:p w14:paraId="1D5DDF4E">
            <w:pPr>
              <w:jc w:val="center"/>
              <w:rPr>
                <w:rFonts w:ascii="宋体" w:hAnsi="宋体" w:cs="宋体"/>
                <w:color w:val="auto"/>
                <w:szCs w:val="21"/>
                <w:highlight w:val="none"/>
              </w:rPr>
            </w:pPr>
          </w:p>
        </w:tc>
        <w:tc>
          <w:tcPr>
            <w:tcW w:w="1041" w:type="dxa"/>
            <w:noWrap/>
            <w:vAlign w:val="center"/>
          </w:tcPr>
          <w:p w14:paraId="0A953318">
            <w:pPr>
              <w:jc w:val="center"/>
              <w:rPr>
                <w:rFonts w:ascii="宋体" w:hAnsi="宋体" w:cs="宋体"/>
                <w:color w:val="auto"/>
                <w:szCs w:val="21"/>
                <w:highlight w:val="none"/>
              </w:rPr>
            </w:pPr>
          </w:p>
        </w:tc>
        <w:tc>
          <w:tcPr>
            <w:tcW w:w="1041" w:type="dxa"/>
            <w:noWrap/>
            <w:vAlign w:val="center"/>
          </w:tcPr>
          <w:p w14:paraId="28A19BBD">
            <w:pPr>
              <w:jc w:val="center"/>
              <w:rPr>
                <w:rFonts w:ascii="宋体" w:hAnsi="宋体" w:cs="宋体"/>
                <w:color w:val="auto"/>
                <w:szCs w:val="21"/>
                <w:highlight w:val="none"/>
              </w:rPr>
            </w:pPr>
          </w:p>
        </w:tc>
        <w:tc>
          <w:tcPr>
            <w:tcW w:w="1041" w:type="dxa"/>
            <w:noWrap/>
            <w:vAlign w:val="center"/>
          </w:tcPr>
          <w:p w14:paraId="32F82C79">
            <w:pPr>
              <w:jc w:val="center"/>
              <w:rPr>
                <w:rFonts w:ascii="宋体" w:hAnsi="宋体" w:cs="宋体"/>
                <w:color w:val="auto"/>
                <w:szCs w:val="21"/>
                <w:highlight w:val="none"/>
              </w:rPr>
            </w:pPr>
          </w:p>
        </w:tc>
        <w:tc>
          <w:tcPr>
            <w:tcW w:w="1125" w:type="dxa"/>
            <w:noWrap/>
            <w:vAlign w:val="center"/>
          </w:tcPr>
          <w:p w14:paraId="7067A750">
            <w:pPr>
              <w:jc w:val="center"/>
              <w:rPr>
                <w:rFonts w:ascii="宋体" w:hAnsi="宋体" w:cs="宋体"/>
                <w:color w:val="auto"/>
                <w:szCs w:val="21"/>
                <w:highlight w:val="none"/>
              </w:rPr>
            </w:pPr>
          </w:p>
        </w:tc>
        <w:tc>
          <w:tcPr>
            <w:tcW w:w="1485" w:type="dxa"/>
            <w:noWrap/>
            <w:vAlign w:val="center"/>
          </w:tcPr>
          <w:p w14:paraId="5B6600B5">
            <w:pPr>
              <w:jc w:val="center"/>
              <w:rPr>
                <w:rFonts w:ascii="宋体" w:hAnsi="宋体" w:cs="宋体"/>
                <w:color w:val="auto"/>
                <w:szCs w:val="21"/>
                <w:highlight w:val="none"/>
              </w:rPr>
            </w:pPr>
          </w:p>
        </w:tc>
      </w:tr>
      <w:tr w14:paraId="392D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 w:type="dxa"/>
            <w:noWrap/>
            <w:vAlign w:val="center"/>
          </w:tcPr>
          <w:p w14:paraId="205CC725">
            <w:pPr>
              <w:jc w:val="center"/>
              <w:rPr>
                <w:rFonts w:ascii="宋体" w:hAnsi="宋体" w:cs="宋体"/>
                <w:color w:val="auto"/>
                <w:szCs w:val="21"/>
                <w:highlight w:val="none"/>
              </w:rPr>
            </w:pPr>
          </w:p>
        </w:tc>
        <w:tc>
          <w:tcPr>
            <w:tcW w:w="928" w:type="dxa"/>
            <w:noWrap/>
            <w:vAlign w:val="center"/>
          </w:tcPr>
          <w:p w14:paraId="23885A8D">
            <w:pPr>
              <w:jc w:val="center"/>
              <w:rPr>
                <w:rFonts w:ascii="宋体" w:hAnsi="宋体" w:cs="宋体"/>
                <w:color w:val="auto"/>
                <w:szCs w:val="21"/>
                <w:highlight w:val="none"/>
              </w:rPr>
            </w:pPr>
          </w:p>
        </w:tc>
        <w:tc>
          <w:tcPr>
            <w:tcW w:w="928" w:type="dxa"/>
            <w:noWrap/>
            <w:vAlign w:val="center"/>
          </w:tcPr>
          <w:p w14:paraId="43C12A82">
            <w:pPr>
              <w:jc w:val="center"/>
              <w:rPr>
                <w:rFonts w:ascii="宋体" w:hAnsi="宋体" w:cs="宋体"/>
                <w:color w:val="auto"/>
                <w:szCs w:val="21"/>
                <w:highlight w:val="none"/>
              </w:rPr>
            </w:pPr>
          </w:p>
        </w:tc>
        <w:tc>
          <w:tcPr>
            <w:tcW w:w="1041" w:type="dxa"/>
            <w:noWrap/>
            <w:vAlign w:val="center"/>
          </w:tcPr>
          <w:p w14:paraId="6E0D592C">
            <w:pPr>
              <w:jc w:val="center"/>
              <w:rPr>
                <w:rFonts w:ascii="宋体" w:hAnsi="宋体" w:cs="宋体"/>
                <w:color w:val="auto"/>
                <w:szCs w:val="21"/>
                <w:highlight w:val="none"/>
              </w:rPr>
            </w:pPr>
          </w:p>
        </w:tc>
        <w:tc>
          <w:tcPr>
            <w:tcW w:w="1041" w:type="dxa"/>
            <w:noWrap/>
            <w:vAlign w:val="center"/>
          </w:tcPr>
          <w:p w14:paraId="5C4AFA8F">
            <w:pPr>
              <w:jc w:val="center"/>
              <w:rPr>
                <w:rFonts w:ascii="宋体" w:hAnsi="宋体" w:cs="宋体"/>
                <w:color w:val="auto"/>
                <w:szCs w:val="21"/>
                <w:highlight w:val="none"/>
              </w:rPr>
            </w:pPr>
          </w:p>
        </w:tc>
        <w:tc>
          <w:tcPr>
            <w:tcW w:w="1041" w:type="dxa"/>
            <w:noWrap/>
            <w:vAlign w:val="center"/>
          </w:tcPr>
          <w:p w14:paraId="779E4A90">
            <w:pPr>
              <w:jc w:val="center"/>
              <w:rPr>
                <w:rFonts w:ascii="宋体" w:hAnsi="宋体" w:cs="宋体"/>
                <w:color w:val="auto"/>
                <w:szCs w:val="21"/>
                <w:highlight w:val="none"/>
              </w:rPr>
            </w:pPr>
          </w:p>
        </w:tc>
        <w:tc>
          <w:tcPr>
            <w:tcW w:w="1041" w:type="dxa"/>
            <w:noWrap/>
            <w:vAlign w:val="center"/>
          </w:tcPr>
          <w:p w14:paraId="7EF63666">
            <w:pPr>
              <w:jc w:val="center"/>
              <w:rPr>
                <w:rFonts w:ascii="宋体" w:hAnsi="宋体" w:cs="宋体"/>
                <w:color w:val="auto"/>
                <w:szCs w:val="21"/>
                <w:highlight w:val="none"/>
              </w:rPr>
            </w:pPr>
          </w:p>
        </w:tc>
        <w:tc>
          <w:tcPr>
            <w:tcW w:w="1125" w:type="dxa"/>
            <w:noWrap/>
            <w:vAlign w:val="center"/>
          </w:tcPr>
          <w:p w14:paraId="13897386">
            <w:pPr>
              <w:jc w:val="center"/>
              <w:rPr>
                <w:rFonts w:ascii="宋体" w:hAnsi="宋体" w:cs="宋体"/>
                <w:color w:val="auto"/>
                <w:szCs w:val="21"/>
                <w:highlight w:val="none"/>
              </w:rPr>
            </w:pPr>
          </w:p>
        </w:tc>
        <w:tc>
          <w:tcPr>
            <w:tcW w:w="1485" w:type="dxa"/>
            <w:noWrap/>
            <w:vAlign w:val="center"/>
          </w:tcPr>
          <w:p w14:paraId="414BA618">
            <w:pPr>
              <w:jc w:val="center"/>
              <w:rPr>
                <w:rFonts w:ascii="宋体" w:hAnsi="宋体" w:cs="宋体"/>
                <w:color w:val="auto"/>
                <w:szCs w:val="21"/>
                <w:highlight w:val="none"/>
              </w:rPr>
            </w:pPr>
          </w:p>
        </w:tc>
      </w:tr>
      <w:tr w14:paraId="4446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 w:type="dxa"/>
            <w:noWrap/>
            <w:vAlign w:val="center"/>
          </w:tcPr>
          <w:p w14:paraId="5281FCED">
            <w:pPr>
              <w:jc w:val="center"/>
              <w:rPr>
                <w:rFonts w:ascii="宋体" w:hAnsi="宋体" w:cs="宋体"/>
                <w:color w:val="auto"/>
                <w:szCs w:val="21"/>
                <w:highlight w:val="none"/>
              </w:rPr>
            </w:pPr>
          </w:p>
        </w:tc>
        <w:tc>
          <w:tcPr>
            <w:tcW w:w="928" w:type="dxa"/>
            <w:noWrap/>
            <w:vAlign w:val="center"/>
          </w:tcPr>
          <w:p w14:paraId="1E9CF1DD">
            <w:pPr>
              <w:jc w:val="center"/>
              <w:rPr>
                <w:rFonts w:ascii="宋体" w:hAnsi="宋体" w:cs="宋体"/>
                <w:color w:val="auto"/>
                <w:szCs w:val="21"/>
                <w:highlight w:val="none"/>
              </w:rPr>
            </w:pPr>
          </w:p>
        </w:tc>
        <w:tc>
          <w:tcPr>
            <w:tcW w:w="928" w:type="dxa"/>
            <w:noWrap/>
            <w:vAlign w:val="center"/>
          </w:tcPr>
          <w:p w14:paraId="763E34E8">
            <w:pPr>
              <w:jc w:val="center"/>
              <w:rPr>
                <w:rFonts w:ascii="宋体" w:hAnsi="宋体" w:cs="宋体"/>
                <w:color w:val="auto"/>
                <w:szCs w:val="21"/>
                <w:highlight w:val="none"/>
              </w:rPr>
            </w:pPr>
          </w:p>
        </w:tc>
        <w:tc>
          <w:tcPr>
            <w:tcW w:w="1041" w:type="dxa"/>
            <w:noWrap/>
            <w:vAlign w:val="center"/>
          </w:tcPr>
          <w:p w14:paraId="209EA02F">
            <w:pPr>
              <w:jc w:val="center"/>
              <w:rPr>
                <w:rFonts w:ascii="宋体" w:hAnsi="宋体" w:cs="宋体"/>
                <w:color w:val="auto"/>
                <w:szCs w:val="21"/>
                <w:highlight w:val="none"/>
              </w:rPr>
            </w:pPr>
          </w:p>
        </w:tc>
        <w:tc>
          <w:tcPr>
            <w:tcW w:w="1041" w:type="dxa"/>
            <w:noWrap/>
            <w:vAlign w:val="center"/>
          </w:tcPr>
          <w:p w14:paraId="3B6A795E">
            <w:pPr>
              <w:jc w:val="center"/>
              <w:rPr>
                <w:rFonts w:ascii="宋体" w:hAnsi="宋体" w:cs="宋体"/>
                <w:color w:val="auto"/>
                <w:szCs w:val="21"/>
                <w:highlight w:val="none"/>
              </w:rPr>
            </w:pPr>
          </w:p>
        </w:tc>
        <w:tc>
          <w:tcPr>
            <w:tcW w:w="1041" w:type="dxa"/>
            <w:noWrap/>
            <w:vAlign w:val="center"/>
          </w:tcPr>
          <w:p w14:paraId="31B6C1ED">
            <w:pPr>
              <w:jc w:val="center"/>
              <w:rPr>
                <w:rFonts w:ascii="宋体" w:hAnsi="宋体" w:cs="宋体"/>
                <w:color w:val="auto"/>
                <w:szCs w:val="21"/>
                <w:highlight w:val="none"/>
              </w:rPr>
            </w:pPr>
          </w:p>
        </w:tc>
        <w:tc>
          <w:tcPr>
            <w:tcW w:w="1041" w:type="dxa"/>
            <w:noWrap/>
            <w:vAlign w:val="center"/>
          </w:tcPr>
          <w:p w14:paraId="360D882E">
            <w:pPr>
              <w:jc w:val="center"/>
              <w:rPr>
                <w:rFonts w:ascii="宋体" w:hAnsi="宋体" w:cs="宋体"/>
                <w:color w:val="auto"/>
                <w:szCs w:val="21"/>
                <w:highlight w:val="none"/>
              </w:rPr>
            </w:pPr>
          </w:p>
        </w:tc>
        <w:tc>
          <w:tcPr>
            <w:tcW w:w="1125" w:type="dxa"/>
            <w:noWrap/>
            <w:vAlign w:val="center"/>
          </w:tcPr>
          <w:p w14:paraId="4C3EFBD1">
            <w:pPr>
              <w:jc w:val="center"/>
              <w:rPr>
                <w:rFonts w:ascii="宋体" w:hAnsi="宋体" w:cs="宋体"/>
                <w:color w:val="auto"/>
                <w:szCs w:val="21"/>
                <w:highlight w:val="none"/>
              </w:rPr>
            </w:pPr>
          </w:p>
        </w:tc>
        <w:tc>
          <w:tcPr>
            <w:tcW w:w="1485" w:type="dxa"/>
            <w:noWrap/>
            <w:vAlign w:val="center"/>
          </w:tcPr>
          <w:p w14:paraId="0D58F461">
            <w:pPr>
              <w:jc w:val="center"/>
              <w:rPr>
                <w:rFonts w:ascii="宋体" w:hAnsi="宋体" w:cs="宋体"/>
                <w:color w:val="auto"/>
                <w:szCs w:val="21"/>
                <w:highlight w:val="none"/>
              </w:rPr>
            </w:pPr>
          </w:p>
        </w:tc>
      </w:tr>
      <w:tr w14:paraId="2D3B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558" w:type="dxa"/>
            <w:gridSpan w:val="9"/>
            <w:noWrap/>
            <w:vAlign w:val="center"/>
          </w:tcPr>
          <w:p w14:paraId="2A5D87FD">
            <w:pPr>
              <w:spacing w:line="480" w:lineRule="exact"/>
              <w:rPr>
                <w:rFonts w:ascii="宋体" w:hAnsi="宋体" w:cs="宋体"/>
                <w:color w:val="auto"/>
                <w:szCs w:val="21"/>
                <w:highlight w:val="none"/>
              </w:rPr>
            </w:pPr>
            <w:r>
              <w:rPr>
                <w:rFonts w:hint="eastAsia" w:ascii="宋体" w:hAnsi="宋体" w:cs="宋体"/>
                <w:color w:val="auto"/>
                <w:szCs w:val="21"/>
                <w:highlight w:val="none"/>
              </w:rPr>
              <w:t xml:space="preserve">    一旦我方成交，将实行项目经理负责制，并配备上述项目管理机构。我方保证上述填报内容真实，若不真实，愿按有关规定接受处理。项目管理班子机构设置、职责分工等情况另附资料说明。</w:t>
            </w:r>
          </w:p>
        </w:tc>
      </w:tr>
    </w:tbl>
    <w:p w14:paraId="3988979C">
      <w:pPr>
        <w:autoSpaceDE w:val="0"/>
        <w:autoSpaceDN w:val="0"/>
        <w:adjustRightInd w:val="0"/>
        <w:snapToGrid w:val="0"/>
        <w:spacing w:line="440" w:lineRule="exact"/>
        <w:jc w:val="left"/>
        <w:outlineLvl w:val="0"/>
        <w:rPr>
          <w:rFonts w:ascii="宋体" w:hAnsi="宋体" w:cs="宋体"/>
          <w:color w:val="auto"/>
          <w:kern w:val="0"/>
          <w:szCs w:val="21"/>
          <w:highlight w:val="none"/>
        </w:rPr>
      </w:pPr>
      <w:bookmarkStart w:id="1150" w:name="_Toc336079867"/>
      <w:bookmarkStart w:id="1151" w:name="_Toc277017264"/>
      <w:bookmarkStart w:id="1152" w:name="_Toc277059038"/>
      <w:bookmarkStart w:id="1153" w:name="_Toc514238703"/>
      <w:bookmarkStart w:id="1154" w:name="_Toc23046766"/>
      <w:bookmarkStart w:id="1155" w:name="_Toc23152658"/>
      <w:r>
        <w:rPr>
          <w:rFonts w:hint="eastAsia" w:ascii="宋体" w:hAnsi="宋体" w:cs="宋体"/>
          <w:color w:val="auto"/>
          <w:kern w:val="0"/>
          <w:szCs w:val="21"/>
          <w:highlight w:val="none"/>
        </w:rPr>
        <w:t>注：1、附岗位人员上岗证、职称证（如有）、安全员则须提供安全生产考核合格证、身份证</w:t>
      </w:r>
      <w:r>
        <w:rPr>
          <w:rFonts w:hint="eastAsia" w:ascii="宋体" w:hAnsi="宋体" w:cs="宋体"/>
          <w:color w:val="auto"/>
          <w:szCs w:val="21"/>
          <w:highlight w:val="none"/>
        </w:rPr>
        <w:t>复印件</w:t>
      </w:r>
      <w:r>
        <w:rPr>
          <w:rFonts w:hint="eastAsia" w:ascii="宋体" w:hAnsi="宋体" w:cs="宋体"/>
          <w:color w:val="auto"/>
          <w:kern w:val="0"/>
          <w:szCs w:val="21"/>
          <w:highlight w:val="none"/>
        </w:rPr>
        <w:t>；</w:t>
      </w:r>
      <w:bookmarkEnd w:id="1150"/>
      <w:bookmarkEnd w:id="1151"/>
      <w:bookmarkEnd w:id="1152"/>
    </w:p>
    <w:p w14:paraId="16B918AE">
      <w:pPr>
        <w:ind w:firstLine="281" w:firstLineChars="100"/>
        <w:jc w:val="center"/>
        <w:rPr>
          <w:rFonts w:ascii="宋体" w:hAnsi="宋体" w:cs="宋体"/>
          <w:b/>
          <w:color w:val="auto"/>
          <w:kern w:val="0"/>
          <w:sz w:val="28"/>
          <w:highlight w:val="none"/>
        </w:rPr>
      </w:pPr>
      <w:r>
        <w:rPr>
          <w:rFonts w:hint="eastAsia" w:ascii="宋体" w:hAnsi="宋体" w:cs="宋体"/>
          <w:b/>
          <w:color w:val="auto"/>
          <w:kern w:val="0"/>
          <w:sz w:val="28"/>
          <w:highlight w:val="none"/>
        </w:rPr>
        <w:br w:type="page"/>
      </w:r>
      <w:r>
        <w:rPr>
          <w:rFonts w:hint="eastAsia" w:ascii="宋体" w:hAnsi="宋体" w:cs="宋体"/>
          <w:b/>
          <w:color w:val="auto"/>
          <w:kern w:val="0"/>
          <w:sz w:val="28"/>
          <w:highlight w:val="none"/>
        </w:rPr>
        <w:t>（2）项目经理简历表</w:t>
      </w:r>
      <w:bookmarkEnd w:id="1153"/>
      <w:bookmarkEnd w:id="1154"/>
      <w:bookmarkEnd w:id="1155"/>
      <w:r>
        <w:rPr>
          <w:rFonts w:hint="eastAsia" w:ascii="宋体" w:hAnsi="宋体" w:cs="宋体"/>
          <w:b/>
          <w:color w:val="auto"/>
          <w:sz w:val="28"/>
          <w:highlight w:val="none"/>
        </w:rPr>
        <w:t>（格式）</w:t>
      </w:r>
    </w:p>
    <w:p w14:paraId="0228D645">
      <w:pPr>
        <w:jc w:val="left"/>
        <w:rPr>
          <w:rFonts w:hint="eastAsia" w:ascii="宋体" w:hAnsi="宋体" w:eastAsia="宋体" w:cs="宋体"/>
          <w:color w:val="auto"/>
          <w:sz w:val="21"/>
          <w:szCs w:val="21"/>
          <w:highlight w:val="none"/>
          <w:u w:val="single"/>
        </w:rPr>
      </w:pPr>
    </w:p>
    <w:p w14:paraId="7AE436A2">
      <w:pPr>
        <w:jc w:val="left"/>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 xml:space="preserve">工程                          </w:t>
      </w:r>
      <w:r>
        <w:rPr>
          <w:rFonts w:hint="eastAsia" w:ascii="宋体" w:hAnsi="宋体" w:eastAsia="宋体" w:cs="宋体"/>
          <w:b/>
          <w:color w:val="auto"/>
          <w:kern w:val="0"/>
          <w:sz w:val="21"/>
          <w:szCs w:val="21"/>
          <w:highlight w:val="none"/>
        </w:rPr>
        <w:t xml:space="preserve"> 表11.2                                                               </w:t>
      </w:r>
    </w:p>
    <w:tbl>
      <w:tblPr>
        <w:tblStyle w:val="41"/>
        <w:tblW w:w="0" w:type="auto"/>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80"/>
        <w:gridCol w:w="180"/>
        <w:gridCol w:w="1440"/>
        <w:gridCol w:w="360"/>
        <w:gridCol w:w="1080"/>
        <w:gridCol w:w="450"/>
        <w:gridCol w:w="630"/>
        <w:gridCol w:w="900"/>
        <w:gridCol w:w="1080"/>
        <w:gridCol w:w="360"/>
        <w:gridCol w:w="90"/>
        <w:gridCol w:w="1800"/>
      </w:tblGrid>
      <w:tr w14:paraId="45C2A26B">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noWrap/>
            <w:vAlign w:val="center"/>
          </w:tcPr>
          <w:p w14:paraId="3650CF3C">
            <w:pPr>
              <w:autoSpaceDE w:val="0"/>
              <w:autoSpaceDN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1980" w:type="dxa"/>
            <w:gridSpan w:val="3"/>
            <w:tcBorders>
              <w:bottom w:val="single" w:color="000000" w:sz="4" w:space="0"/>
              <w:right w:val="single" w:color="000000" w:sz="4" w:space="0"/>
            </w:tcBorders>
            <w:noWrap/>
          </w:tcPr>
          <w:p w14:paraId="6AF3CE04">
            <w:pPr>
              <w:autoSpaceDE w:val="0"/>
              <w:autoSpaceDN w:val="0"/>
              <w:jc w:val="left"/>
              <w:rPr>
                <w:rFonts w:hint="eastAsia" w:ascii="宋体" w:hAnsi="宋体" w:eastAsia="宋体" w:cs="宋体"/>
                <w:color w:val="auto"/>
                <w:kern w:val="0"/>
                <w:sz w:val="21"/>
                <w:szCs w:val="21"/>
                <w:highlight w:val="none"/>
              </w:rPr>
            </w:pPr>
          </w:p>
        </w:tc>
        <w:tc>
          <w:tcPr>
            <w:tcW w:w="1080" w:type="dxa"/>
            <w:tcBorders>
              <w:bottom w:val="single" w:color="000000" w:sz="4" w:space="0"/>
              <w:right w:val="single" w:color="000000" w:sz="4" w:space="0"/>
            </w:tcBorders>
            <w:noWrap/>
            <w:vAlign w:val="center"/>
          </w:tcPr>
          <w:p w14:paraId="60A03815">
            <w:pPr>
              <w:autoSpaceDE w:val="0"/>
              <w:autoSpaceDN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性别</w:t>
            </w:r>
          </w:p>
        </w:tc>
        <w:tc>
          <w:tcPr>
            <w:tcW w:w="1980" w:type="dxa"/>
            <w:gridSpan w:val="3"/>
            <w:tcBorders>
              <w:bottom w:val="single" w:color="000000" w:sz="4" w:space="0"/>
              <w:right w:val="single" w:color="000000" w:sz="4" w:space="0"/>
            </w:tcBorders>
            <w:noWrap/>
          </w:tcPr>
          <w:p w14:paraId="280F9992">
            <w:pPr>
              <w:autoSpaceDE w:val="0"/>
              <w:autoSpaceDN w:val="0"/>
              <w:jc w:val="left"/>
              <w:rPr>
                <w:rFonts w:hint="eastAsia" w:ascii="宋体" w:hAnsi="宋体" w:eastAsia="宋体" w:cs="宋体"/>
                <w:color w:val="auto"/>
                <w:kern w:val="0"/>
                <w:sz w:val="21"/>
                <w:szCs w:val="21"/>
                <w:highlight w:val="none"/>
              </w:rPr>
            </w:pPr>
          </w:p>
        </w:tc>
        <w:tc>
          <w:tcPr>
            <w:tcW w:w="1080" w:type="dxa"/>
            <w:tcBorders>
              <w:bottom w:val="single" w:color="000000" w:sz="4" w:space="0"/>
              <w:right w:val="single" w:color="auto" w:sz="4" w:space="0"/>
            </w:tcBorders>
            <w:noWrap/>
            <w:vAlign w:val="center"/>
          </w:tcPr>
          <w:p w14:paraId="32BEF98C">
            <w:pPr>
              <w:autoSpaceDE w:val="0"/>
              <w:autoSpaceDN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年龄</w:t>
            </w:r>
          </w:p>
        </w:tc>
        <w:tc>
          <w:tcPr>
            <w:tcW w:w="2250" w:type="dxa"/>
            <w:gridSpan w:val="3"/>
            <w:tcBorders>
              <w:left w:val="single" w:color="auto" w:sz="4" w:space="0"/>
              <w:bottom w:val="single" w:color="000000" w:sz="4" w:space="0"/>
              <w:right w:val="single" w:color="000000" w:sz="4" w:space="0"/>
            </w:tcBorders>
            <w:noWrap/>
          </w:tcPr>
          <w:p w14:paraId="0217752B">
            <w:pPr>
              <w:autoSpaceDE w:val="0"/>
              <w:autoSpaceDN w:val="0"/>
              <w:jc w:val="left"/>
              <w:rPr>
                <w:rFonts w:hint="eastAsia" w:ascii="宋体" w:hAnsi="宋体" w:eastAsia="宋体" w:cs="宋体"/>
                <w:color w:val="auto"/>
                <w:kern w:val="0"/>
                <w:sz w:val="21"/>
                <w:szCs w:val="21"/>
                <w:highlight w:val="none"/>
              </w:rPr>
            </w:pPr>
          </w:p>
        </w:tc>
      </w:tr>
      <w:tr w14:paraId="2C77E7E3">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noWrap/>
            <w:vAlign w:val="center"/>
          </w:tcPr>
          <w:p w14:paraId="428BD799">
            <w:pPr>
              <w:autoSpaceDE w:val="0"/>
              <w:autoSpaceDN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职务</w:t>
            </w:r>
          </w:p>
        </w:tc>
        <w:tc>
          <w:tcPr>
            <w:tcW w:w="1980" w:type="dxa"/>
            <w:gridSpan w:val="3"/>
            <w:tcBorders>
              <w:bottom w:val="single" w:color="000000" w:sz="4" w:space="0"/>
              <w:right w:val="single" w:color="000000" w:sz="4" w:space="0"/>
            </w:tcBorders>
            <w:noWrap/>
          </w:tcPr>
          <w:p w14:paraId="7FD62359">
            <w:pPr>
              <w:autoSpaceDE w:val="0"/>
              <w:autoSpaceDN w:val="0"/>
              <w:jc w:val="left"/>
              <w:rPr>
                <w:rFonts w:hint="eastAsia" w:ascii="宋体" w:hAnsi="宋体" w:eastAsia="宋体" w:cs="宋体"/>
                <w:color w:val="auto"/>
                <w:kern w:val="0"/>
                <w:sz w:val="21"/>
                <w:szCs w:val="21"/>
                <w:highlight w:val="none"/>
              </w:rPr>
            </w:pPr>
          </w:p>
        </w:tc>
        <w:tc>
          <w:tcPr>
            <w:tcW w:w="1080" w:type="dxa"/>
            <w:tcBorders>
              <w:bottom w:val="single" w:color="000000" w:sz="4" w:space="0"/>
              <w:right w:val="single" w:color="000000" w:sz="4" w:space="0"/>
            </w:tcBorders>
            <w:noWrap/>
            <w:vAlign w:val="center"/>
          </w:tcPr>
          <w:p w14:paraId="65A407B4">
            <w:pPr>
              <w:autoSpaceDE w:val="0"/>
              <w:autoSpaceDN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职称</w:t>
            </w:r>
          </w:p>
        </w:tc>
        <w:tc>
          <w:tcPr>
            <w:tcW w:w="1980" w:type="dxa"/>
            <w:gridSpan w:val="3"/>
            <w:tcBorders>
              <w:bottom w:val="single" w:color="000000" w:sz="4" w:space="0"/>
              <w:right w:val="single" w:color="000000" w:sz="4" w:space="0"/>
            </w:tcBorders>
            <w:noWrap/>
          </w:tcPr>
          <w:p w14:paraId="3C9EC708">
            <w:pPr>
              <w:autoSpaceDE w:val="0"/>
              <w:autoSpaceDN w:val="0"/>
              <w:jc w:val="left"/>
              <w:rPr>
                <w:rFonts w:hint="eastAsia" w:ascii="宋体" w:hAnsi="宋体" w:eastAsia="宋体" w:cs="宋体"/>
                <w:color w:val="auto"/>
                <w:kern w:val="0"/>
                <w:sz w:val="21"/>
                <w:szCs w:val="21"/>
                <w:highlight w:val="none"/>
              </w:rPr>
            </w:pPr>
          </w:p>
        </w:tc>
        <w:tc>
          <w:tcPr>
            <w:tcW w:w="1080" w:type="dxa"/>
            <w:tcBorders>
              <w:bottom w:val="single" w:color="000000" w:sz="4" w:space="0"/>
              <w:right w:val="single" w:color="auto" w:sz="4" w:space="0"/>
            </w:tcBorders>
            <w:noWrap/>
            <w:vAlign w:val="center"/>
          </w:tcPr>
          <w:p w14:paraId="66B04A1A">
            <w:pPr>
              <w:autoSpaceDE w:val="0"/>
              <w:autoSpaceDN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学历</w:t>
            </w:r>
          </w:p>
        </w:tc>
        <w:tc>
          <w:tcPr>
            <w:tcW w:w="2250" w:type="dxa"/>
            <w:gridSpan w:val="3"/>
            <w:tcBorders>
              <w:left w:val="single" w:color="auto" w:sz="4" w:space="0"/>
              <w:bottom w:val="single" w:color="000000" w:sz="4" w:space="0"/>
              <w:right w:val="single" w:color="000000" w:sz="4" w:space="0"/>
            </w:tcBorders>
            <w:noWrap/>
          </w:tcPr>
          <w:p w14:paraId="2073DC52">
            <w:pPr>
              <w:autoSpaceDE w:val="0"/>
              <w:autoSpaceDN w:val="0"/>
              <w:jc w:val="left"/>
              <w:rPr>
                <w:rFonts w:hint="eastAsia" w:ascii="宋体" w:hAnsi="宋体" w:eastAsia="宋体" w:cs="宋体"/>
                <w:color w:val="auto"/>
                <w:kern w:val="0"/>
                <w:sz w:val="21"/>
                <w:szCs w:val="21"/>
                <w:highlight w:val="none"/>
              </w:rPr>
            </w:pPr>
          </w:p>
        </w:tc>
      </w:tr>
      <w:tr w14:paraId="02B0E07A">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700" w:type="dxa"/>
            <w:gridSpan w:val="3"/>
            <w:tcBorders>
              <w:bottom w:val="single" w:color="000000" w:sz="4" w:space="0"/>
              <w:right w:val="single" w:color="auto" w:sz="4" w:space="0"/>
            </w:tcBorders>
            <w:noWrap/>
            <w:vAlign w:val="center"/>
          </w:tcPr>
          <w:p w14:paraId="5A9B4020">
            <w:pPr>
              <w:autoSpaceDE w:val="0"/>
              <w:autoSpaceDN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参加工作时间</w:t>
            </w:r>
          </w:p>
        </w:tc>
        <w:tc>
          <w:tcPr>
            <w:tcW w:w="2520" w:type="dxa"/>
            <w:gridSpan w:val="4"/>
            <w:tcBorders>
              <w:left w:val="single" w:color="auto" w:sz="4" w:space="0"/>
              <w:bottom w:val="single" w:color="000000" w:sz="4" w:space="0"/>
              <w:right w:val="single" w:color="000000" w:sz="4" w:space="0"/>
            </w:tcBorders>
            <w:noWrap/>
          </w:tcPr>
          <w:p w14:paraId="1076A7DF">
            <w:pPr>
              <w:autoSpaceDE w:val="0"/>
              <w:autoSpaceDN w:val="0"/>
              <w:jc w:val="left"/>
              <w:rPr>
                <w:rFonts w:hint="eastAsia" w:ascii="宋体" w:hAnsi="宋体" w:eastAsia="宋体" w:cs="宋体"/>
                <w:color w:val="auto"/>
                <w:kern w:val="0"/>
                <w:sz w:val="21"/>
                <w:szCs w:val="21"/>
                <w:highlight w:val="none"/>
              </w:rPr>
            </w:pPr>
          </w:p>
        </w:tc>
        <w:tc>
          <w:tcPr>
            <w:tcW w:w="2340" w:type="dxa"/>
            <w:gridSpan w:val="3"/>
            <w:tcBorders>
              <w:left w:val="single" w:color="auto" w:sz="4" w:space="0"/>
              <w:bottom w:val="single" w:color="000000" w:sz="4" w:space="0"/>
              <w:right w:val="single" w:color="000000" w:sz="4" w:space="0"/>
            </w:tcBorders>
            <w:noWrap/>
            <w:vAlign w:val="center"/>
          </w:tcPr>
          <w:p w14:paraId="4ECB1D34">
            <w:pPr>
              <w:autoSpaceDE w:val="0"/>
              <w:autoSpaceDN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担任项目经理年限</w:t>
            </w:r>
          </w:p>
        </w:tc>
        <w:tc>
          <w:tcPr>
            <w:tcW w:w="1890" w:type="dxa"/>
            <w:gridSpan w:val="2"/>
            <w:tcBorders>
              <w:left w:val="single" w:color="auto" w:sz="4" w:space="0"/>
              <w:bottom w:val="single" w:color="auto" w:sz="4" w:space="0"/>
              <w:right w:val="single" w:color="000000" w:sz="4" w:space="0"/>
            </w:tcBorders>
            <w:noWrap/>
          </w:tcPr>
          <w:p w14:paraId="10648CD3">
            <w:pPr>
              <w:autoSpaceDE w:val="0"/>
              <w:autoSpaceDN w:val="0"/>
              <w:jc w:val="left"/>
              <w:rPr>
                <w:rFonts w:hint="eastAsia" w:ascii="宋体" w:hAnsi="宋体" w:eastAsia="宋体" w:cs="宋体"/>
                <w:color w:val="auto"/>
                <w:kern w:val="0"/>
                <w:sz w:val="21"/>
                <w:szCs w:val="21"/>
                <w:highlight w:val="none"/>
              </w:rPr>
            </w:pPr>
          </w:p>
        </w:tc>
      </w:tr>
      <w:tr w14:paraId="16E9197A">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700" w:type="dxa"/>
            <w:gridSpan w:val="3"/>
            <w:tcBorders>
              <w:bottom w:val="single" w:color="000000" w:sz="4" w:space="0"/>
              <w:right w:val="single" w:color="auto" w:sz="4" w:space="0"/>
            </w:tcBorders>
            <w:noWrap/>
            <w:vAlign w:val="center"/>
          </w:tcPr>
          <w:p w14:paraId="21FAA915">
            <w:pPr>
              <w:autoSpaceDE w:val="0"/>
              <w:autoSpaceDN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项目经理资格证书编号</w:t>
            </w:r>
          </w:p>
        </w:tc>
        <w:tc>
          <w:tcPr>
            <w:tcW w:w="6750" w:type="dxa"/>
            <w:gridSpan w:val="9"/>
            <w:tcBorders>
              <w:left w:val="single" w:color="auto" w:sz="4" w:space="0"/>
              <w:bottom w:val="single" w:color="000000" w:sz="4" w:space="0"/>
              <w:right w:val="single" w:color="000000" w:sz="4" w:space="0"/>
            </w:tcBorders>
            <w:noWrap/>
          </w:tcPr>
          <w:p w14:paraId="62F39C19">
            <w:pPr>
              <w:autoSpaceDE w:val="0"/>
              <w:autoSpaceDN w:val="0"/>
              <w:jc w:val="left"/>
              <w:rPr>
                <w:rFonts w:hint="eastAsia" w:ascii="宋体" w:hAnsi="宋体" w:eastAsia="宋体" w:cs="宋体"/>
                <w:color w:val="auto"/>
                <w:kern w:val="0"/>
                <w:sz w:val="21"/>
                <w:szCs w:val="21"/>
                <w:highlight w:val="none"/>
              </w:rPr>
            </w:pPr>
          </w:p>
        </w:tc>
      </w:tr>
      <w:tr w14:paraId="371D599B">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50" w:type="dxa"/>
            <w:gridSpan w:val="12"/>
            <w:tcBorders>
              <w:bottom w:val="single" w:color="000000" w:sz="4" w:space="0"/>
              <w:right w:val="single" w:color="000000" w:sz="4" w:space="0"/>
            </w:tcBorders>
            <w:noWrap/>
            <w:vAlign w:val="center"/>
          </w:tcPr>
          <w:p w14:paraId="29A95BB4">
            <w:pPr>
              <w:autoSpaceDE w:val="0"/>
              <w:autoSpaceDN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在建和已完工程项目情况</w:t>
            </w:r>
          </w:p>
        </w:tc>
      </w:tr>
      <w:tr w14:paraId="3481AF7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noWrap/>
            <w:vAlign w:val="center"/>
          </w:tcPr>
          <w:p w14:paraId="2273F16E">
            <w:pPr>
              <w:autoSpaceDE w:val="0"/>
              <w:autoSpaceDN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建设单位</w:t>
            </w:r>
          </w:p>
        </w:tc>
        <w:tc>
          <w:tcPr>
            <w:tcW w:w="1800" w:type="dxa"/>
            <w:gridSpan w:val="2"/>
            <w:tcBorders>
              <w:bottom w:val="single" w:color="000000" w:sz="4" w:space="0"/>
              <w:right w:val="single" w:color="000000" w:sz="4" w:space="0"/>
            </w:tcBorders>
            <w:noWrap/>
            <w:vAlign w:val="center"/>
          </w:tcPr>
          <w:p w14:paraId="1078A433">
            <w:pPr>
              <w:autoSpaceDE w:val="0"/>
              <w:autoSpaceDN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1530" w:type="dxa"/>
            <w:gridSpan w:val="2"/>
            <w:tcBorders>
              <w:bottom w:val="single" w:color="000000" w:sz="4" w:space="0"/>
              <w:right w:val="single" w:color="000000" w:sz="4" w:space="0"/>
            </w:tcBorders>
            <w:noWrap/>
            <w:vAlign w:val="center"/>
          </w:tcPr>
          <w:p w14:paraId="31803798">
            <w:pPr>
              <w:autoSpaceDE w:val="0"/>
              <w:autoSpaceDN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建设规模</w:t>
            </w:r>
          </w:p>
        </w:tc>
        <w:tc>
          <w:tcPr>
            <w:tcW w:w="1530" w:type="dxa"/>
            <w:gridSpan w:val="2"/>
            <w:tcBorders>
              <w:bottom w:val="single" w:color="000000" w:sz="4" w:space="0"/>
              <w:right w:val="single" w:color="auto" w:sz="4" w:space="0"/>
            </w:tcBorders>
            <w:noWrap/>
            <w:vAlign w:val="center"/>
          </w:tcPr>
          <w:p w14:paraId="189FB36A">
            <w:pPr>
              <w:autoSpaceDE w:val="0"/>
              <w:autoSpaceDN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开、竣工日期</w:t>
            </w:r>
          </w:p>
        </w:tc>
        <w:tc>
          <w:tcPr>
            <w:tcW w:w="1530" w:type="dxa"/>
            <w:gridSpan w:val="3"/>
            <w:tcBorders>
              <w:left w:val="single" w:color="auto" w:sz="4" w:space="0"/>
              <w:bottom w:val="single" w:color="000000" w:sz="4" w:space="0"/>
              <w:right w:val="single" w:color="000000" w:sz="4" w:space="0"/>
            </w:tcBorders>
            <w:noWrap/>
            <w:vAlign w:val="center"/>
          </w:tcPr>
          <w:p w14:paraId="795DBC83">
            <w:pPr>
              <w:autoSpaceDE w:val="0"/>
              <w:autoSpaceDN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在建或已完</w:t>
            </w:r>
          </w:p>
        </w:tc>
        <w:tc>
          <w:tcPr>
            <w:tcW w:w="1800" w:type="dxa"/>
            <w:tcBorders>
              <w:bottom w:val="single" w:color="000000" w:sz="4" w:space="0"/>
              <w:right w:val="single" w:color="000000" w:sz="4" w:space="0"/>
            </w:tcBorders>
            <w:noWrap/>
            <w:vAlign w:val="center"/>
          </w:tcPr>
          <w:p w14:paraId="45DE83AD">
            <w:pPr>
              <w:autoSpaceDE w:val="0"/>
              <w:autoSpaceDN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工程质量</w:t>
            </w:r>
          </w:p>
        </w:tc>
      </w:tr>
      <w:tr w14:paraId="1C820E0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noWrap/>
          </w:tcPr>
          <w:p w14:paraId="0229ADB0">
            <w:pPr>
              <w:autoSpaceDE w:val="0"/>
              <w:autoSpaceDN w:val="0"/>
              <w:jc w:val="left"/>
              <w:rPr>
                <w:rFonts w:hint="eastAsia" w:ascii="宋体" w:hAnsi="宋体" w:eastAsia="宋体" w:cs="宋体"/>
                <w:color w:val="auto"/>
                <w:kern w:val="0"/>
                <w:sz w:val="21"/>
                <w:szCs w:val="21"/>
                <w:highlight w:val="none"/>
              </w:rPr>
            </w:pPr>
          </w:p>
        </w:tc>
        <w:tc>
          <w:tcPr>
            <w:tcW w:w="1800" w:type="dxa"/>
            <w:gridSpan w:val="2"/>
            <w:tcBorders>
              <w:bottom w:val="single" w:color="000000" w:sz="4" w:space="0"/>
              <w:right w:val="single" w:color="000000" w:sz="4" w:space="0"/>
            </w:tcBorders>
            <w:noWrap/>
          </w:tcPr>
          <w:p w14:paraId="141162C8">
            <w:pPr>
              <w:autoSpaceDE w:val="0"/>
              <w:autoSpaceDN w:val="0"/>
              <w:jc w:val="left"/>
              <w:rPr>
                <w:rFonts w:hint="eastAsia" w:ascii="宋体" w:hAnsi="宋体" w:eastAsia="宋体" w:cs="宋体"/>
                <w:color w:val="auto"/>
                <w:kern w:val="0"/>
                <w:sz w:val="21"/>
                <w:szCs w:val="21"/>
                <w:highlight w:val="none"/>
              </w:rPr>
            </w:pPr>
          </w:p>
        </w:tc>
        <w:tc>
          <w:tcPr>
            <w:tcW w:w="1530" w:type="dxa"/>
            <w:gridSpan w:val="2"/>
            <w:tcBorders>
              <w:bottom w:val="single" w:color="000000" w:sz="4" w:space="0"/>
              <w:right w:val="single" w:color="000000" w:sz="4" w:space="0"/>
            </w:tcBorders>
            <w:noWrap/>
          </w:tcPr>
          <w:p w14:paraId="586B3270">
            <w:pPr>
              <w:autoSpaceDE w:val="0"/>
              <w:autoSpaceDN w:val="0"/>
              <w:jc w:val="left"/>
              <w:rPr>
                <w:rFonts w:hint="eastAsia" w:ascii="宋体" w:hAnsi="宋体" w:eastAsia="宋体" w:cs="宋体"/>
                <w:color w:val="auto"/>
                <w:kern w:val="0"/>
                <w:sz w:val="21"/>
                <w:szCs w:val="21"/>
                <w:highlight w:val="none"/>
              </w:rPr>
            </w:pPr>
          </w:p>
        </w:tc>
        <w:tc>
          <w:tcPr>
            <w:tcW w:w="1530" w:type="dxa"/>
            <w:gridSpan w:val="2"/>
            <w:tcBorders>
              <w:bottom w:val="single" w:color="000000" w:sz="4" w:space="0"/>
              <w:right w:val="single" w:color="auto" w:sz="4" w:space="0"/>
            </w:tcBorders>
            <w:noWrap/>
          </w:tcPr>
          <w:p w14:paraId="33838C91">
            <w:pPr>
              <w:autoSpaceDE w:val="0"/>
              <w:autoSpaceDN w:val="0"/>
              <w:jc w:val="left"/>
              <w:rPr>
                <w:rFonts w:hint="eastAsia" w:ascii="宋体" w:hAnsi="宋体" w:eastAsia="宋体" w:cs="宋体"/>
                <w:color w:val="auto"/>
                <w:kern w:val="0"/>
                <w:sz w:val="21"/>
                <w:szCs w:val="21"/>
                <w:highlight w:val="none"/>
              </w:rPr>
            </w:pPr>
          </w:p>
        </w:tc>
        <w:tc>
          <w:tcPr>
            <w:tcW w:w="1530" w:type="dxa"/>
            <w:gridSpan w:val="3"/>
            <w:tcBorders>
              <w:left w:val="single" w:color="auto" w:sz="4" w:space="0"/>
              <w:bottom w:val="single" w:color="000000" w:sz="4" w:space="0"/>
              <w:right w:val="single" w:color="000000" w:sz="4" w:space="0"/>
            </w:tcBorders>
            <w:noWrap/>
          </w:tcPr>
          <w:p w14:paraId="7DAA52BE">
            <w:pPr>
              <w:autoSpaceDE w:val="0"/>
              <w:autoSpaceDN w:val="0"/>
              <w:jc w:val="left"/>
              <w:rPr>
                <w:rFonts w:hint="eastAsia" w:ascii="宋体" w:hAnsi="宋体" w:eastAsia="宋体" w:cs="宋体"/>
                <w:color w:val="auto"/>
                <w:kern w:val="0"/>
                <w:sz w:val="21"/>
                <w:szCs w:val="21"/>
                <w:highlight w:val="none"/>
              </w:rPr>
            </w:pPr>
          </w:p>
        </w:tc>
        <w:tc>
          <w:tcPr>
            <w:tcW w:w="1800" w:type="dxa"/>
            <w:tcBorders>
              <w:bottom w:val="single" w:color="000000" w:sz="4" w:space="0"/>
              <w:right w:val="single" w:color="000000" w:sz="4" w:space="0"/>
            </w:tcBorders>
            <w:noWrap/>
          </w:tcPr>
          <w:p w14:paraId="5B407216">
            <w:pPr>
              <w:autoSpaceDE w:val="0"/>
              <w:autoSpaceDN w:val="0"/>
              <w:jc w:val="left"/>
              <w:rPr>
                <w:rFonts w:hint="eastAsia" w:ascii="宋体" w:hAnsi="宋体" w:eastAsia="宋体" w:cs="宋体"/>
                <w:color w:val="auto"/>
                <w:kern w:val="0"/>
                <w:sz w:val="21"/>
                <w:szCs w:val="21"/>
                <w:highlight w:val="none"/>
              </w:rPr>
            </w:pPr>
          </w:p>
        </w:tc>
      </w:tr>
      <w:tr w14:paraId="4CAE00B9">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noWrap/>
          </w:tcPr>
          <w:p w14:paraId="7AC1AB24">
            <w:pPr>
              <w:autoSpaceDE w:val="0"/>
              <w:autoSpaceDN w:val="0"/>
              <w:jc w:val="left"/>
              <w:rPr>
                <w:rFonts w:hint="eastAsia" w:ascii="宋体" w:hAnsi="宋体" w:eastAsia="宋体" w:cs="宋体"/>
                <w:color w:val="auto"/>
                <w:kern w:val="0"/>
                <w:sz w:val="21"/>
                <w:szCs w:val="21"/>
                <w:highlight w:val="none"/>
              </w:rPr>
            </w:pPr>
          </w:p>
        </w:tc>
        <w:tc>
          <w:tcPr>
            <w:tcW w:w="1800" w:type="dxa"/>
            <w:gridSpan w:val="2"/>
            <w:tcBorders>
              <w:bottom w:val="single" w:color="000000" w:sz="4" w:space="0"/>
              <w:right w:val="single" w:color="000000" w:sz="4" w:space="0"/>
            </w:tcBorders>
            <w:noWrap/>
          </w:tcPr>
          <w:p w14:paraId="2679F555">
            <w:pPr>
              <w:autoSpaceDE w:val="0"/>
              <w:autoSpaceDN w:val="0"/>
              <w:jc w:val="left"/>
              <w:rPr>
                <w:rFonts w:hint="eastAsia" w:ascii="宋体" w:hAnsi="宋体" w:eastAsia="宋体" w:cs="宋体"/>
                <w:color w:val="auto"/>
                <w:kern w:val="0"/>
                <w:sz w:val="21"/>
                <w:szCs w:val="21"/>
                <w:highlight w:val="none"/>
              </w:rPr>
            </w:pPr>
          </w:p>
        </w:tc>
        <w:tc>
          <w:tcPr>
            <w:tcW w:w="1530" w:type="dxa"/>
            <w:gridSpan w:val="2"/>
            <w:tcBorders>
              <w:bottom w:val="single" w:color="000000" w:sz="4" w:space="0"/>
              <w:right w:val="single" w:color="000000" w:sz="4" w:space="0"/>
            </w:tcBorders>
            <w:noWrap/>
          </w:tcPr>
          <w:p w14:paraId="3E810F53">
            <w:pPr>
              <w:autoSpaceDE w:val="0"/>
              <w:autoSpaceDN w:val="0"/>
              <w:jc w:val="left"/>
              <w:rPr>
                <w:rFonts w:hint="eastAsia" w:ascii="宋体" w:hAnsi="宋体" w:eastAsia="宋体" w:cs="宋体"/>
                <w:color w:val="auto"/>
                <w:kern w:val="0"/>
                <w:sz w:val="21"/>
                <w:szCs w:val="21"/>
                <w:highlight w:val="none"/>
              </w:rPr>
            </w:pPr>
          </w:p>
        </w:tc>
        <w:tc>
          <w:tcPr>
            <w:tcW w:w="1530" w:type="dxa"/>
            <w:gridSpan w:val="2"/>
            <w:tcBorders>
              <w:bottom w:val="single" w:color="000000" w:sz="4" w:space="0"/>
              <w:right w:val="single" w:color="auto" w:sz="4" w:space="0"/>
            </w:tcBorders>
            <w:noWrap/>
          </w:tcPr>
          <w:p w14:paraId="041BEB4F">
            <w:pPr>
              <w:autoSpaceDE w:val="0"/>
              <w:autoSpaceDN w:val="0"/>
              <w:jc w:val="left"/>
              <w:rPr>
                <w:rFonts w:hint="eastAsia" w:ascii="宋体" w:hAnsi="宋体" w:eastAsia="宋体" w:cs="宋体"/>
                <w:color w:val="auto"/>
                <w:kern w:val="0"/>
                <w:sz w:val="21"/>
                <w:szCs w:val="21"/>
                <w:highlight w:val="none"/>
              </w:rPr>
            </w:pPr>
          </w:p>
        </w:tc>
        <w:tc>
          <w:tcPr>
            <w:tcW w:w="1530" w:type="dxa"/>
            <w:gridSpan w:val="3"/>
            <w:tcBorders>
              <w:left w:val="single" w:color="auto" w:sz="4" w:space="0"/>
              <w:bottom w:val="single" w:color="000000" w:sz="4" w:space="0"/>
              <w:right w:val="single" w:color="000000" w:sz="4" w:space="0"/>
            </w:tcBorders>
            <w:noWrap/>
          </w:tcPr>
          <w:p w14:paraId="0D1B1864">
            <w:pPr>
              <w:autoSpaceDE w:val="0"/>
              <w:autoSpaceDN w:val="0"/>
              <w:jc w:val="left"/>
              <w:rPr>
                <w:rFonts w:hint="eastAsia" w:ascii="宋体" w:hAnsi="宋体" w:eastAsia="宋体" w:cs="宋体"/>
                <w:color w:val="auto"/>
                <w:kern w:val="0"/>
                <w:sz w:val="21"/>
                <w:szCs w:val="21"/>
                <w:highlight w:val="none"/>
              </w:rPr>
            </w:pPr>
          </w:p>
        </w:tc>
        <w:tc>
          <w:tcPr>
            <w:tcW w:w="1800" w:type="dxa"/>
            <w:tcBorders>
              <w:bottom w:val="single" w:color="000000" w:sz="4" w:space="0"/>
              <w:right w:val="single" w:color="000000" w:sz="4" w:space="0"/>
            </w:tcBorders>
            <w:noWrap/>
          </w:tcPr>
          <w:p w14:paraId="00466B8C">
            <w:pPr>
              <w:autoSpaceDE w:val="0"/>
              <w:autoSpaceDN w:val="0"/>
              <w:jc w:val="left"/>
              <w:rPr>
                <w:rFonts w:hint="eastAsia" w:ascii="宋体" w:hAnsi="宋体" w:eastAsia="宋体" w:cs="宋体"/>
                <w:color w:val="auto"/>
                <w:kern w:val="0"/>
                <w:sz w:val="21"/>
                <w:szCs w:val="21"/>
                <w:highlight w:val="none"/>
              </w:rPr>
            </w:pPr>
          </w:p>
        </w:tc>
      </w:tr>
      <w:tr w14:paraId="083621A4">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noWrap/>
          </w:tcPr>
          <w:p w14:paraId="18364175">
            <w:pPr>
              <w:autoSpaceDE w:val="0"/>
              <w:autoSpaceDN w:val="0"/>
              <w:jc w:val="left"/>
              <w:rPr>
                <w:rFonts w:hint="eastAsia" w:ascii="宋体" w:hAnsi="宋体" w:eastAsia="宋体" w:cs="宋体"/>
                <w:color w:val="auto"/>
                <w:kern w:val="0"/>
                <w:sz w:val="21"/>
                <w:szCs w:val="21"/>
                <w:highlight w:val="none"/>
              </w:rPr>
            </w:pPr>
          </w:p>
        </w:tc>
        <w:tc>
          <w:tcPr>
            <w:tcW w:w="1800" w:type="dxa"/>
            <w:gridSpan w:val="2"/>
            <w:tcBorders>
              <w:bottom w:val="single" w:color="000000" w:sz="4" w:space="0"/>
              <w:right w:val="single" w:color="000000" w:sz="4" w:space="0"/>
            </w:tcBorders>
            <w:noWrap/>
          </w:tcPr>
          <w:p w14:paraId="2B23ABB1">
            <w:pPr>
              <w:autoSpaceDE w:val="0"/>
              <w:autoSpaceDN w:val="0"/>
              <w:jc w:val="left"/>
              <w:rPr>
                <w:rFonts w:hint="eastAsia" w:ascii="宋体" w:hAnsi="宋体" w:eastAsia="宋体" w:cs="宋体"/>
                <w:color w:val="auto"/>
                <w:kern w:val="0"/>
                <w:sz w:val="21"/>
                <w:szCs w:val="21"/>
                <w:highlight w:val="none"/>
              </w:rPr>
            </w:pPr>
          </w:p>
        </w:tc>
        <w:tc>
          <w:tcPr>
            <w:tcW w:w="1530" w:type="dxa"/>
            <w:gridSpan w:val="2"/>
            <w:tcBorders>
              <w:bottom w:val="single" w:color="000000" w:sz="4" w:space="0"/>
              <w:right w:val="single" w:color="000000" w:sz="4" w:space="0"/>
            </w:tcBorders>
            <w:noWrap/>
          </w:tcPr>
          <w:p w14:paraId="5C228B33">
            <w:pPr>
              <w:autoSpaceDE w:val="0"/>
              <w:autoSpaceDN w:val="0"/>
              <w:jc w:val="left"/>
              <w:rPr>
                <w:rFonts w:hint="eastAsia" w:ascii="宋体" w:hAnsi="宋体" w:eastAsia="宋体" w:cs="宋体"/>
                <w:color w:val="auto"/>
                <w:kern w:val="0"/>
                <w:sz w:val="21"/>
                <w:szCs w:val="21"/>
                <w:highlight w:val="none"/>
              </w:rPr>
            </w:pPr>
          </w:p>
        </w:tc>
        <w:tc>
          <w:tcPr>
            <w:tcW w:w="1530" w:type="dxa"/>
            <w:gridSpan w:val="2"/>
            <w:tcBorders>
              <w:bottom w:val="single" w:color="000000" w:sz="4" w:space="0"/>
              <w:right w:val="single" w:color="auto" w:sz="4" w:space="0"/>
            </w:tcBorders>
            <w:noWrap/>
          </w:tcPr>
          <w:p w14:paraId="33DDF98C">
            <w:pPr>
              <w:autoSpaceDE w:val="0"/>
              <w:autoSpaceDN w:val="0"/>
              <w:jc w:val="left"/>
              <w:rPr>
                <w:rFonts w:hint="eastAsia" w:ascii="宋体" w:hAnsi="宋体" w:eastAsia="宋体" w:cs="宋体"/>
                <w:color w:val="auto"/>
                <w:kern w:val="0"/>
                <w:sz w:val="21"/>
                <w:szCs w:val="21"/>
                <w:highlight w:val="none"/>
              </w:rPr>
            </w:pPr>
          </w:p>
        </w:tc>
        <w:tc>
          <w:tcPr>
            <w:tcW w:w="1530" w:type="dxa"/>
            <w:gridSpan w:val="3"/>
            <w:tcBorders>
              <w:left w:val="single" w:color="auto" w:sz="4" w:space="0"/>
              <w:bottom w:val="single" w:color="000000" w:sz="4" w:space="0"/>
              <w:right w:val="single" w:color="000000" w:sz="4" w:space="0"/>
            </w:tcBorders>
            <w:noWrap/>
          </w:tcPr>
          <w:p w14:paraId="29871B64">
            <w:pPr>
              <w:autoSpaceDE w:val="0"/>
              <w:autoSpaceDN w:val="0"/>
              <w:jc w:val="left"/>
              <w:rPr>
                <w:rFonts w:hint="eastAsia" w:ascii="宋体" w:hAnsi="宋体" w:eastAsia="宋体" w:cs="宋体"/>
                <w:color w:val="auto"/>
                <w:kern w:val="0"/>
                <w:sz w:val="21"/>
                <w:szCs w:val="21"/>
                <w:highlight w:val="none"/>
              </w:rPr>
            </w:pPr>
          </w:p>
        </w:tc>
        <w:tc>
          <w:tcPr>
            <w:tcW w:w="1800" w:type="dxa"/>
            <w:tcBorders>
              <w:bottom w:val="single" w:color="000000" w:sz="4" w:space="0"/>
              <w:right w:val="single" w:color="000000" w:sz="4" w:space="0"/>
            </w:tcBorders>
            <w:noWrap/>
          </w:tcPr>
          <w:p w14:paraId="0E865BAD">
            <w:pPr>
              <w:autoSpaceDE w:val="0"/>
              <w:autoSpaceDN w:val="0"/>
              <w:jc w:val="left"/>
              <w:rPr>
                <w:rFonts w:hint="eastAsia" w:ascii="宋体" w:hAnsi="宋体" w:eastAsia="宋体" w:cs="宋体"/>
                <w:color w:val="auto"/>
                <w:kern w:val="0"/>
                <w:sz w:val="21"/>
                <w:szCs w:val="21"/>
                <w:highlight w:val="none"/>
              </w:rPr>
            </w:pPr>
          </w:p>
        </w:tc>
      </w:tr>
      <w:tr w14:paraId="0A0DE575">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noWrap/>
          </w:tcPr>
          <w:p w14:paraId="53C99E91">
            <w:pPr>
              <w:autoSpaceDE w:val="0"/>
              <w:autoSpaceDN w:val="0"/>
              <w:jc w:val="left"/>
              <w:rPr>
                <w:rFonts w:hint="eastAsia" w:ascii="宋体" w:hAnsi="宋体" w:eastAsia="宋体" w:cs="宋体"/>
                <w:color w:val="auto"/>
                <w:kern w:val="0"/>
                <w:sz w:val="21"/>
                <w:szCs w:val="21"/>
                <w:highlight w:val="none"/>
              </w:rPr>
            </w:pPr>
          </w:p>
        </w:tc>
        <w:tc>
          <w:tcPr>
            <w:tcW w:w="1800" w:type="dxa"/>
            <w:gridSpan w:val="2"/>
            <w:tcBorders>
              <w:bottom w:val="single" w:color="000000" w:sz="4" w:space="0"/>
              <w:right w:val="single" w:color="000000" w:sz="4" w:space="0"/>
            </w:tcBorders>
            <w:noWrap/>
          </w:tcPr>
          <w:p w14:paraId="48470A13">
            <w:pPr>
              <w:autoSpaceDE w:val="0"/>
              <w:autoSpaceDN w:val="0"/>
              <w:jc w:val="left"/>
              <w:rPr>
                <w:rFonts w:hint="eastAsia" w:ascii="宋体" w:hAnsi="宋体" w:eastAsia="宋体" w:cs="宋体"/>
                <w:color w:val="auto"/>
                <w:kern w:val="0"/>
                <w:sz w:val="21"/>
                <w:szCs w:val="21"/>
                <w:highlight w:val="none"/>
              </w:rPr>
            </w:pPr>
          </w:p>
        </w:tc>
        <w:tc>
          <w:tcPr>
            <w:tcW w:w="1530" w:type="dxa"/>
            <w:gridSpan w:val="2"/>
            <w:tcBorders>
              <w:bottom w:val="single" w:color="000000" w:sz="4" w:space="0"/>
              <w:right w:val="single" w:color="000000" w:sz="4" w:space="0"/>
            </w:tcBorders>
            <w:noWrap/>
          </w:tcPr>
          <w:p w14:paraId="468284BA">
            <w:pPr>
              <w:autoSpaceDE w:val="0"/>
              <w:autoSpaceDN w:val="0"/>
              <w:jc w:val="left"/>
              <w:rPr>
                <w:rFonts w:hint="eastAsia" w:ascii="宋体" w:hAnsi="宋体" w:eastAsia="宋体" w:cs="宋体"/>
                <w:color w:val="auto"/>
                <w:kern w:val="0"/>
                <w:sz w:val="21"/>
                <w:szCs w:val="21"/>
                <w:highlight w:val="none"/>
              </w:rPr>
            </w:pPr>
          </w:p>
        </w:tc>
        <w:tc>
          <w:tcPr>
            <w:tcW w:w="1530" w:type="dxa"/>
            <w:gridSpan w:val="2"/>
            <w:tcBorders>
              <w:bottom w:val="single" w:color="000000" w:sz="4" w:space="0"/>
              <w:right w:val="single" w:color="auto" w:sz="4" w:space="0"/>
            </w:tcBorders>
            <w:noWrap/>
          </w:tcPr>
          <w:p w14:paraId="1BC9F00B">
            <w:pPr>
              <w:autoSpaceDE w:val="0"/>
              <w:autoSpaceDN w:val="0"/>
              <w:jc w:val="left"/>
              <w:rPr>
                <w:rFonts w:hint="eastAsia" w:ascii="宋体" w:hAnsi="宋体" w:eastAsia="宋体" w:cs="宋体"/>
                <w:color w:val="auto"/>
                <w:kern w:val="0"/>
                <w:sz w:val="21"/>
                <w:szCs w:val="21"/>
                <w:highlight w:val="none"/>
              </w:rPr>
            </w:pPr>
          </w:p>
        </w:tc>
        <w:tc>
          <w:tcPr>
            <w:tcW w:w="1530" w:type="dxa"/>
            <w:gridSpan w:val="3"/>
            <w:tcBorders>
              <w:left w:val="single" w:color="auto" w:sz="4" w:space="0"/>
              <w:bottom w:val="single" w:color="000000" w:sz="4" w:space="0"/>
              <w:right w:val="single" w:color="000000" w:sz="4" w:space="0"/>
            </w:tcBorders>
            <w:noWrap/>
          </w:tcPr>
          <w:p w14:paraId="2A5E2A0B">
            <w:pPr>
              <w:autoSpaceDE w:val="0"/>
              <w:autoSpaceDN w:val="0"/>
              <w:jc w:val="left"/>
              <w:rPr>
                <w:rFonts w:hint="eastAsia" w:ascii="宋体" w:hAnsi="宋体" w:eastAsia="宋体" w:cs="宋体"/>
                <w:color w:val="auto"/>
                <w:kern w:val="0"/>
                <w:sz w:val="21"/>
                <w:szCs w:val="21"/>
                <w:highlight w:val="none"/>
              </w:rPr>
            </w:pPr>
          </w:p>
        </w:tc>
        <w:tc>
          <w:tcPr>
            <w:tcW w:w="1800" w:type="dxa"/>
            <w:tcBorders>
              <w:bottom w:val="single" w:color="000000" w:sz="4" w:space="0"/>
              <w:right w:val="single" w:color="000000" w:sz="4" w:space="0"/>
            </w:tcBorders>
            <w:noWrap/>
          </w:tcPr>
          <w:p w14:paraId="433E946C">
            <w:pPr>
              <w:autoSpaceDE w:val="0"/>
              <w:autoSpaceDN w:val="0"/>
              <w:jc w:val="left"/>
              <w:rPr>
                <w:rFonts w:hint="eastAsia" w:ascii="宋体" w:hAnsi="宋体" w:eastAsia="宋体" w:cs="宋体"/>
                <w:color w:val="auto"/>
                <w:kern w:val="0"/>
                <w:sz w:val="21"/>
                <w:szCs w:val="21"/>
                <w:highlight w:val="none"/>
              </w:rPr>
            </w:pPr>
          </w:p>
        </w:tc>
      </w:tr>
      <w:tr w14:paraId="6006ED04">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noWrap/>
          </w:tcPr>
          <w:p w14:paraId="620A8196">
            <w:pPr>
              <w:autoSpaceDE w:val="0"/>
              <w:autoSpaceDN w:val="0"/>
              <w:jc w:val="left"/>
              <w:rPr>
                <w:rFonts w:hint="eastAsia" w:ascii="宋体" w:hAnsi="宋体" w:eastAsia="宋体" w:cs="宋体"/>
                <w:color w:val="auto"/>
                <w:kern w:val="0"/>
                <w:sz w:val="21"/>
                <w:szCs w:val="21"/>
                <w:highlight w:val="none"/>
              </w:rPr>
            </w:pPr>
          </w:p>
        </w:tc>
        <w:tc>
          <w:tcPr>
            <w:tcW w:w="1800" w:type="dxa"/>
            <w:gridSpan w:val="2"/>
            <w:tcBorders>
              <w:bottom w:val="single" w:color="000000" w:sz="4" w:space="0"/>
              <w:right w:val="single" w:color="000000" w:sz="4" w:space="0"/>
            </w:tcBorders>
            <w:noWrap/>
          </w:tcPr>
          <w:p w14:paraId="7800D56F">
            <w:pPr>
              <w:autoSpaceDE w:val="0"/>
              <w:autoSpaceDN w:val="0"/>
              <w:jc w:val="left"/>
              <w:rPr>
                <w:rFonts w:hint="eastAsia" w:ascii="宋体" w:hAnsi="宋体" w:eastAsia="宋体" w:cs="宋体"/>
                <w:color w:val="auto"/>
                <w:kern w:val="0"/>
                <w:sz w:val="21"/>
                <w:szCs w:val="21"/>
                <w:highlight w:val="none"/>
              </w:rPr>
            </w:pPr>
          </w:p>
        </w:tc>
        <w:tc>
          <w:tcPr>
            <w:tcW w:w="1530" w:type="dxa"/>
            <w:gridSpan w:val="2"/>
            <w:tcBorders>
              <w:bottom w:val="single" w:color="000000" w:sz="4" w:space="0"/>
              <w:right w:val="single" w:color="000000" w:sz="4" w:space="0"/>
            </w:tcBorders>
            <w:noWrap/>
          </w:tcPr>
          <w:p w14:paraId="480718E7">
            <w:pPr>
              <w:autoSpaceDE w:val="0"/>
              <w:autoSpaceDN w:val="0"/>
              <w:jc w:val="left"/>
              <w:rPr>
                <w:rFonts w:hint="eastAsia" w:ascii="宋体" w:hAnsi="宋体" w:eastAsia="宋体" w:cs="宋体"/>
                <w:color w:val="auto"/>
                <w:kern w:val="0"/>
                <w:sz w:val="21"/>
                <w:szCs w:val="21"/>
                <w:highlight w:val="none"/>
              </w:rPr>
            </w:pPr>
          </w:p>
        </w:tc>
        <w:tc>
          <w:tcPr>
            <w:tcW w:w="1530" w:type="dxa"/>
            <w:gridSpan w:val="2"/>
            <w:tcBorders>
              <w:bottom w:val="single" w:color="000000" w:sz="4" w:space="0"/>
              <w:right w:val="single" w:color="auto" w:sz="4" w:space="0"/>
            </w:tcBorders>
            <w:noWrap/>
          </w:tcPr>
          <w:p w14:paraId="3E507EC2">
            <w:pPr>
              <w:autoSpaceDE w:val="0"/>
              <w:autoSpaceDN w:val="0"/>
              <w:jc w:val="left"/>
              <w:rPr>
                <w:rFonts w:hint="eastAsia" w:ascii="宋体" w:hAnsi="宋体" w:eastAsia="宋体" w:cs="宋体"/>
                <w:color w:val="auto"/>
                <w:kern w:val="0"/>
                <w:sz w:val="21"/>
                <w:szCs w:val="21"/>
                <w:highlight w:val="none"/>
              </w:rPr>
            </w:pPr>
          </w:p>
        </w:tc>
        <w:tc>
          <w:tcPr>
            <w:tcW w:w="1530" w:type="dxa"/>
            <w:gridSpan w:val="3"/>
            <w:tcBorders>
              <w:left w:val="single" w:color="auto" w:sz="4" w:space="0"/>
              <w:bottom w:val="single" w:color="000000" w:sz="4" w:space="0"/>
              <w:right w:val="single" w:color="000000" w:sz="4" w:space="0"/>
            </w:tcBorders>
            <w:noWrap/>
          </w:tcPr>
          <w:p w14:paraId="0422312D">
            <w:pPr>
              <w:autoSpaceDE w:val="0"/>
              <w:autoSpaceDN w:val="0"/>
              <w:jc w:val="left"/>
              <w:rPr>
                <w:rFonts w:hint="eastAsia" w:ascii="宋体" w:hAnsi="宋体" w:eastAsia="宋体" w:cs="宋体"/>
                <w:color w:val="auto"/>
                <w:kern w:val="0"/>
                <w:sz w:val="21"/>
                <w:szCs w:val="21"/>
                <w:highlight w:val="none"/>
              </w:rPr>
            </w:pPr>
          </w:p>
        </w:tc>
        <w:tc>
          <w:tcPr>
            <w:tcW w:w="1800" w:type="dxa"/>
            <w:tcBorders>
              <w:bottom w:val="single" w:color="000000" w:sz="4" w:space="0"/>
              <w:right w:val="single" w:color="000000" w:sz="4" w:space="0"/>
            </w:tcBorders>
            <w:noWrap/>
          </w:tcPr>
          <w:p w14:paraId="08CF32BD">
            <w:pPr>
              <w:autoSpaceDE w:val="0"/>
              <w:autoSpaceDN w:val="0"/>
              <w:jc w:val="left"/>
              <w:rPr>
                <w:rFonts w:hint="eastAsia" w:ascii="宋体" w:hAnsi="宋体" w:eastAsia="宋体" w:cs="宋体"/>
                <w:color w:val="auto"/>
                <w:kern w:val="0"/>
                <w:sz w:val="21"/>
                <w:szCs w:val="21"/>
                <w:highlight w:val="none"/>
              </w:rPr>
            </w:pPr>
          </w:p>
        </w:tc>
      </w:tr>
      <w:tr w14:paraId="59A2F069">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noWrap/>
          </w:tcPr>
          <w:p w14:paraId="7C2F8099">
            <w:pPr>
              <w:autoSpaceDE w:val="0"/>
              <w:autoSpaceDN w:val="0"/>
              <w:jc w:val="left"/>
              <w:rPr>
                <w:rFonts w:hint="eastAsia" w:ascii="宋体" w:hAnsi="宋体" w:eastAsia="宋体" w:cs="宋体"/>
                <w:color w:val="auto"/>
                <w:kern w:val="0"/>
                <w:sz w:val="21"/>
                <w:szCs w:val="21"/>
                <w:highlight w:val="none"/>
              </w:rPr>
            </w:pPr>
          </w:p>
        </w:tc>
        <w:tc>
          <w:tcPr>
            <w:tcW w:w="1800" w:type="dxa"/>
            <w:gridSpan w:val="2"/>
            <w:tcBorders>
              <w:bottom w:val="single" w:color="000000" w:sz="4" w:space="0"/>
              <w:right w:val="single" w:color="000000" w:sz="4" w:space="0"/>
            </w:tcBorders>
            <w:noWrap/>
          </w:tcPr>
          <w:p w14:paraId="10C256BF">
            <w:pPr>
              <w:autoSpaceDE w:val="0"/>
              <w:autoSpaceDN w:val="0"/>
              <w:jc w:val="left"/>
              <w:rPr>
                <w:rFonts w:hint="eastAsia" w:ascii="宋体" w:hAnsi="宋体" w:eastAsia="宋体" w:cs="宋体"/>
                <w:color w:val="auto"/>
                <w:kern w:val="0"/>
                <w:sz w:val="21"/>
                <w:szCs w:val="21"/>
                <w:highlight w:val="none"/>
              </w:rPr>
            </w:pPr>
          </w:p>
        </w:tc>
        <w:tc>
          <w:tcPr>
            <w:tcW w:w="1530" w:type="dxa"/>
            <w:gridSpan w:val="2"/>
            <w:tcBorders>
              <w:bottom w:val="single" w:color="000000" w:sz="4" w:space="0"/>
              <w:right w:val="single" w:color="000000" w:sz="4" w:space="0"/>
            </w:tcBorders>
            <w:noWrap/>
          </w:tcPr>
          <w:p w14:paraId="435DCFA9">
            <w:pPr>
              <w:autoSpaceDE w:val="0"/>
              <w:autoSpaceDN w:val="0"/>
              <w:jc w:val="left"/>
              <w:rPr>
                <w:rFonts w:hint="eastAsia" w:ascii="宋体" w:hAnsi="宋体" w:eastAsia="宋体" w:cs="宋体"/>
                <w:color w:val="auto"/>
                <w:kern w:val="0"/>
                <w:sz w:val="21"/>
                <w:szCs w:val="21"/>
                <w:highlight w:val="none"/>
              </w:rPr>
            </w:pPr>
          </w:p>
        </w:tc>
        <w:tc>
          <w:tcPr>
            <w:tcW w:w="1530" w:type="dxa"/>
            <w:gridSpan w:val="2"/>
            <w:tcBorders>
              <w:bottom w:val="single" w:color="000000" w:sz="4" w:space="0"/>
              <w:right w:val="single" w:color="auto" w:sz="4" w:space="0"/>
            </w:tcBorders>
            <w:noWrap/>
          </w:tcPr>
          <w:p w14:paraId="5FBBA3D3">
            <w:pPr>
              <w:autoSpaceDE w:val="0"/>
              <w:autoSpaceDN w:val="0"/>
              <w:jc w:val="left"/>
              <w:rPr>
                <w:rFonts w:hint="eastAsia" w:ascii="宋体" w:hAnsi="宋体" w:eastAsia="宋体" w:cs="宋体"/>
                <w:color w:val="auto"/>
                <w:kern w:val="0"/>
                <w:sz w:val="21"/>
                <w:szCs w:val="21"/>
                <w:highlight w:val="none"/>
              </w:rPr>
            </w:pPr>
          </w:p>
        </w:tc>
        <w:tc>
          <w:tcPr>
            <w:tcW w:w="1530" w:type="dxa"/>
            <w:gridSpan w:val="3"/>
            <w:tcBorders>
              <w:left w:val="single" w:color="auto" w:sz="4" w:space="0"/>
              <w:bottom w:val="single" w:color="000000" w:sz="4" w:space="0"/>
              <w:right w:val="single" w:color="000000" w:sz="4" w:space="0"/>
            </w:tcBorders>
            <w:noWrap/>
          </w:tcPr>
          <w:p w14:paraId="75E9FB88">
            <w:pPr>
              <w:autoSpaceDE w:val="0"/>
              <w:autoSpaceDN w:val="0"/>
              <w:jc w:val="left"/>
              <w:rPr>
                <w:rFonts w:hint="eastAsia" w:ascii="宋体" w:hAnsi="宋体" w:eastAsia="宋体" w:cs="宋体"/>
                <w:color w:val="auto"/>
                <w:kern w:val="0"/>
                <w:sz w:val="21"/>
                <w:szCs w:val="21"/>
                <w:highlight w:val="none"/>
              </w:rPr>
            </w:pPr>
          </w:p>
        </w:tc>
        <w:tc>
          <w:tcPr>
            <w:tcW w:w="1800" w:type="dxa"/>
            <w:tcBorders>
              <w:bottom w:val="single" w:color="000000" w:sz="4" w:space="0"/>
              <w:right w:val="single" w:color="000000" w:sz="4" w:space="0"/>
            </w:tcBorders>
            <w:noWrap/>
          </w:tcPr>
          <w:p w14:paraId="0AA54051">
            <w:pPr>
              <w:autoSpaceDE w:val="0"/>
              <w:autoSpaceDN w:val="0"/>
              <w:jc w:val="left"/>
              <w:rPr>
                <w:rFonts w:hint="eastAsia" w:ascii="宋体" w:hAnsi="宋体" w:eastAsia="宋体" w:cs="宋体"/>
                <w:color w:val="auto"/>
                <w:kern w:val="0"/>
                <w:sz w:val="21"/>
                <w:szCs w:val="21"/>
                <w:highlight w:val="none"/>
              </w:rPr>
            </w:pPr>
          </w:p>
        </w:tc>
      </w:tr>
      <w:tr w14:paraId="1C48EB1D">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noWrap/>
          </w:tcPr>
          <w:p w14:paraId="737D622D">
            <w:pPr>
              <w:autoSpaceDE w:val="0"/>
              <w:autoSpaceDN w:val="0"/>
              <w:jc w:val="left"/>
              <w:rPr>
                <w:rFonts w:hint="eastAsia" w:ascii="宋体" w:hAnsi="宋体" w:eastAsia="宋体" w:cs="宋体"/>
                <w:color w:val="auto"/>
                <w:kern w:val="0"/>
                <w:sz w:val="21"/>
                <w:szCs w:val="21"/>
                <w:highlight w:val="none"/>
              </w:rPr>
            </w:pPr>
          </w:p>
        </w:tc>
        <w:tc>
          <w:tcPr>
            <w:tcW w:w="1800" w:type="dxa"/>
            <w:gridSpan w:val="2"/>
            <w:tcBorders>
              <w:bottom w:val="single" w:color="000000" w:sz="4" w:space="0"/>
              <w:right w:val="single" w:color="000000" w:sz="4" w:space="0"/>
            </w:tcBorders>
            <w:noWrap/>
          </w:tcPr>
          <w:p w14:paraId="4D67B8CD">
            <w:pPr>
              <w:autoSpaceDE w:val="0"/>
              <w:autoSpaceDN w:val="0"/>
              <w:jc w:val="left"/>
              <w:rPr>
                <w:rFonts w:hint="eastAsia" w:ascii="宋体" w:hAnsi="宋体" w:eastAsia="宋体" w:cs="宋体"/>
                <w:color w:val="auto"/>
                <w:kern w:val="0"/>
                <w:sz w:val="21"/>
                <w:szCs w:val="21"/>
                <w:highlight w:val="none"/>
              </w:rPr>
            </w:pPr>
          </w:p>
        </w:tc>
        <w:tc>
          <w:tcPr>
            <w:tcW w:w="1530" w:type="dxa"/>
            <w:gridSpan w:val="2"/>
            <w:tcBorders>
              <w:bottom w:val="single" w:color="000000" w:sz="4" w:space="0"/>
              <w:right w:val="single" w:color="000000" w:sz="4" w:space="0"/>
            </w:tcBorders>
            <w:noWrap/>
          </w:tcPr>
          <w:p w14:paraId="595FABD7">
            <w:pPr>
              <w:autoSpaceDE w:val="0"/>
              <w:autoSpaceDN w:val="0"/>
              <w:jc w:val="left"/>
              <w:rPr>
                <w:rFonts w:hint="eastAsia" w:ascii="宋体" w:hAnsi="宋体" w:eastAsia="宋体" w:cs="宋体"/>
                <w:color w:val="auto"/>
                <w:kern w:val="0"/>
                <w:sz w:val="21"/>
                <w:szCs w:val="21"/>
                <w:highlight w:val="none"/>
              </w:rPr>
            </w:pPr>
          </w:p>
        </w:tc>
        <w:tc>
          <w:tcPr>
            <w:tcW w:w="1530" w:type="dxa"/>
            <w:gridSpan w:val="2"/>
            <w:tcBorders>
              <w:bottom w:val="single" w:color="000000" w:sz="4" w:space="0"/>
              <w:right w:val="single" w:color="auto" w:sz="4" w:space="0"/>
            </w:tcBorders>
            <w:noWrap/>
          </w:tcPr>
          <w:p w14:paraId="51099487">
            <w:pPr>
              <w:autoSpaceDE w:val="0"/>
              <w:autoSpaceDN w:val="0"/>
              <w:jc w:val="left"/>
              <w:rPr>
                <w:rFonts w:hint="eastAsia" w:ascii="宋体" w:hAnsi="宋体" w:eastAsia="宋体" w:cs="宋体"/>
                <w:color w:val="auto"/>
                <w:kern w:val="0"/>
                <w:sz w:val="21"/>
                <w:szCs w:val="21"/>
                <w:highlight w:val="none"/>
              </w:rPr>
            </w:pPr>
          </w:p>
        </w:tc>
        <w:tc>
          <w:tcPr>
            <w:tcW w:w="1530" w:type="dxa"/>
            <w:gridSpan w:val="3"/>
            <w:tcBorders>
              <w:left w:val="single" w:color="auto" w:sz="4" w:space="0"/>
              <w:bottom w:val="single" w:color="000000" w:sz="4" w:space="0"/>
              <w:right w:val="single" w:color="000000" w:sz="4" w:space="0"/>
            </w:tcBorders>
            <w:noWrap/>
          </w:tcPr>
          <w:p w14:paraId="659CC0F4">
            <w:pPr>
              <w:autoSpaceDE w:val="0"/>
              <w:autoSpaceDN w:val="0"/>
              <w:jc w:val="left"/>
              <w:rPr>
                <w:rFonts w:hint="eastAsia" w:ascii="宋体" w:hAnsi="宋体" w:eastAsia="宋体" w:cs="宋体"/>
                <w:color w:val="auto"/>
                <w:kern w:val="0"/>
                <w:sz w:val="21"/>
                <w:szCs w:val="21"/>
                <w:highlight w:val="none"/>
              </w:rPr>
            </w:pPr>
          </w:p>
        </w:tc>
        <w:tc>
          <w:tcPr>
            <w:tcW w:w="1800" w:type="dxa"/>
            <w:tcBorders>
              <w:bottom w:val="single" w:color="000000" w:sz="4" w:space="0"/>
              <w:right w:val="single" w:color="000000" w:sz="4" w:space="0"/>
            </w:tcBorders>
            <w:noWrap/>
          </w:tcPr>
          <w:p w14:paraId="721E379D">
            <w:pPr>
              <w:pStyle w:val="15"/>
              <w:autoSpaceDE w:val="0"/>
              <w:autoSpaceDN w:val="0"/>
              <w:rPr>
                <w:rFonts w:hint="eastAsia" w:ascii="宋体" w:hAnsi="宋体" w:eastAsia="宋体" w:cs="宋体"/>
                <w:color w:val="auto"/>
                <w:sz w:val="21"/>
                <w:szCs w:val="21"/>
                <w:highlight w:val="none"/>
              </w:rPr>
            </w:pPr>
          </w:p>
        </w:tc>
      </w:tr>
      <w:tr w14:paraId="703683F5">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noWrap/>
          </w:tcPr>
          <w:p w14:paraId="000DA1BA">
            <w:pPr>
              <w:autoSpaceDE w:val="0"/>
              <w:autoSpaceDN w:val="0"/>
              <w:jc w:val="left"/>
              <w:rPr>
                <w:rFonts w:hint="eastAsia" w:ascii="宋体" w:hAnsi="宋体" w:eastAsia="宋体" w:cs="宋体"/>
                <w:color w:val="auto"/>
                <w:kern w:val="0"/>
                <w:sz w:val="21"/>
                <w:szCs w:val="21"/>
                <w:highlight w:val="none"/>
              </w:rPr>
            </w:pPr>
          </w:p>
        </w:tc>
        <w:tc>
          <w:tcPr>
            <w:tcW w:w="1800" w:type="dxa"/>
            <w:gridSpan w:val="2"/>
            <w:tcBorders>
              <w:bottom w:val="single" w:color="000000" w:sz="4" w:space="0"/>
              <w:right w:val="single" w:color="000000" w:sz="4" w:space="0"/>
            </w:tcBorders>
            <w:noWrap/>
          </w:tcPr>
          <w:p w14:paraId="5362EC65">
            <w:pPr>
              <w:autoSpaceDE w:val="0"/>
              <w:autoSpaceDN w:val="0"/>
              <w:jc w:val="left"/>
              <w:rPr>
                <w:rFonts w:hint="eastAsia" w:ascii="宋体" w:hAnsi="宋体" w:eastAsia="宋体" w:cs="宋体"/>
                <w:color w:val="auto"/>
                <w:kern w:val="0"/>
                <w:sz w:val="21"/>
                <w:szCs w:val="21"/>
                <w:highlight w:val="none"/>
              </w:rPr>
            </w:pPr>
          </w:p>
        </w:tc>
        <w:tc>
          <w:tcPr>
            <w:tcW w:w="1530" w:type="dxa"/>
            <w:gridSpan w:val="2"/>
            <w:tcBorders>
              <w:bottom w:val="single" w:color="000000" w:sz="4" w:space="0"/>
              <w:right w:val="single" w:color="000000" w:sz="4" w:space="0"/>
            </w:tcBorders>
            <w:noWrap/>
          </w:tcPr>
          <w:p w14:paraId="76EB1E01">
            <w:pPr>
              <w:autoSpaceDE w:val="0"/>
              <w:autoSpaceDN w:val="0"/>
              <w:jc w:val="left"/>
              <w:rPr>
                <w:rFonts w:hint="eastAsia" w:ascii="宋体" w:hAnsi="宋体" w:eastAsia="宋体" w:cs="宋体"/>
                <w:color w:val="auto"/>
                <w:kern w:val="0"/>
                <w:sz w:val="21"/>
                <w:szCs w:val="21"/>
                <w:highlight w:val="none"/>
              </w:rPr>
            </w:pPr>
          </w:p>
        </w:tc>
        <w:tc>
          <w:tcPr>
            <w:tcW w:w="1530" w:type="dxa"/>
            <w:gridSpan w:val="2"/>
            <w:tcBorders>
              <w:bottom w:val="single" w:color="000000" w:sz="4" w:space="0"/>
              <w:right w:val="single" w:color="auto" w:sz="4" w:space="0"/>
            </w:tcBorders>
            <w:noWrap/>
          </w:tcPr>
          <w:p w14:paraId="7C789900">
            <w:pPr>
              <w:autoSpaceDE w:val="0"/>
              <w:autoSpaceDN w:val="0"/>
              <w:jc w:val="left"/>
              <w:rPr>
                <w:rFonts w:hint="eastAsia" w:ascii="宋体" w:hAnsi="宋体" w:eastAsia="宋体" w:cs="宋体"/>
                <w:color w:val="auto"/>
                <w:kern w:val="0"/>
                <w:sz w:val="21"/>
                <w:szCs w:val="21"/>
                <w:highlight w:val="none"/>
              </w:rPr>
            </w:pPr>
          </w:p>
        </w:tc>
        <w:tc>
          <w:tcPr>
            <w:tcW w:w="1530" w:type="dxa"/>
            <w:gridSpan w:val="3"/>
            <w:tcBorders>
              <w:left w:val="single" w:color="auto" w:sz="4" w:space="0"/>
              <w:bottom w:val="single" w:color="000000" w:sz="4" w:space="0"/>
              <w:right w:val="single" w:color="000000" w:sz="4" w:space="0"/>
            </w:tcBorders>
            <w:noWrap/>
          </w:tcPr>
          <w:p w14:paraId="0A75DEA2">
            <w:pPr>
              <w:autoSpaceDE w:val="0"/>
              <w:autoSpaceDN w:val="0"/>
              <w:jc w:val="left"/>
              <w:rPr>
                <w:rFonts w:hint="eastAsia" w:ascii="宋体" w:hAnsi="宋体" w:eastAsia="宋体" w:cs="宋体"/>
                <w:color w:val="auto"/>
                <w:kern w:val="0"/>
                <w:sz w:val="21"/>
                <w:szCs w:val="21"/>
                <w:highlight w:val="none"/>
              </w:rPr>
            </w:pPr>
          </w:p>
        </w:tc>
        <w:tc>
          <w:tcPr>
            <w:tcW w:w="1800" w:type="dxa"/>
            <w:tcBorders>
              <w:bottom w:val="single" w:color="000000" w:sz="4" w:space="0"/>
              <w:right w:val="single" w:color="000000" w:sz="4" w:space="0"/>
            </w:tcBorders>
            <w:noWrap/>
          </w:tcPr>
          <w:p w14:paraId="2F6C2682">
            <w:pPr>
              <w:autoSpaceDE w:val="0"/>
              <w:autoSpaceDN w:val="0"/>
              <w:jc w:val="left"/>
              <w:rPr>
                <w:rFonts w:hint="eastAsia" w:ascii="宋体" w:hAnsi="宋体" w:eastAsia="宋体" w:cs="宋体"/>
                <w:color w:val="auto"/>
                <w:kern w:val="0"/>
                <w:sz w:val="21"/>
                <w:szCs w:val="21"/>
                <w:highlight w:val="none"/>
              </w:rPr>
            </w:pPr>
          </w:p>
        </w:tc>
      </w:tr>
    </w:tbl>
    <w:p w14:paraId="67159ACE">
      <w:pPr>
        <w:autoSpaceDE w:val="0"/>
        <w:autoSpaceDN w:val="0"/>
        <w:jc w:val="left"/>
        <w:rPr>
          <w:rFonts w:hint="eastAsia" w:ascii="宋体" w:hAnsi="宋体" w:eastAsia="宋体" w:cs="宋体"/>
          <w:color w:val="auto"/>
          <w:kern w:val="0"/>
          <w:sz w:val="21"/>
          <w:szCs w:val="21"/>
          <w:highlight w:val="none"/>
        </w:rPr>
      </w:pPr>
    </w:p>
    <w:p w14:paraId="70D191DD">
      <w:pPr>
        <w:autoSpaceDE w:val="0"/>
        <w:autoSpaceDN w:val="0"/>
        <w:adjustRightInd w:val="0"/>
        <w:snapToGrid w:val="0"/>
        <w:spacing w:line="440" w:lineRule="exact"/>
        <w:jc w:val="left"/>
        <w:outlineLvl w:val="0"/>
        <w:rPr>
          <w:rFonts w:hint="eastAsia" w:ascii="宋体" w:hAnsi="宋体" w:eastAsia="宋体" w:cs="宋体"/>
          <w:color w:val="auto"/>
          <w:kern w:val="0"/>
          <w:sz w:val="21"/>
          <w:szCs w:val="21"/>
          <w:highlight w:val="none"/>
        </w:rPr>
      </w:pPr>
      <w:bookmarkStart w:id="1156" w:name="_Toc277059039"/>
      <w:bookmarkStart w:id="1157" w:name="_Toc336079868"/>
      <w:bookmarkStart w:id="1158" w:name="_Toc277017265"/>
      <w:r>
        <w:rPr>
          <w:rFonts w:hint="eastAsia" w:ascii="宋体" w:hAnsi="宋体" w:eastAsia="宋体" w:cs="宋体"/>
          <w:color w:val="auto"/>
          <w:kern w:val="0"/>
          <w:sz w:val="21"/>
          <w:szCs w:val="21"/>
          <w:highlight w:val="none"/>
        </w:rPr>
        <w:t>注：1、附项目经理注册建造师资格证、安全生产考核合格证、身份证等复印件；</w:t>
      </w:r>
      <w:bookmarkEnd w:id="1156"/>
      <w:bookmarkEnd w:id="1157"/>
      <w:bookmarkEnd w:id="1158"/>
    </w:p>
    <w:p w14:paraId="4481CDCD">
      <w:pPr>
        <w:autoSpaceDE w:val="0"/>
        <w:autoSpaceDN w:val="0"/>
        <w:adjustRightInd w:val="0"/>
        <w:snapToGrid w:val="0"/>
        <w:spacing w:line="440" w:lineRule="exact"/>
        <w:ind w:firstLine="420" w:firstLineChars="200"/>
        <w:jc w:val="left"/>
        <w:outlineLvl w:val="0"/>
        <w:rPr>
          <w:rFonts w:ascii="宋体" w:hAnsi="宋体" w:cs="宋体"/>
          <w:color w:val="auto"/>
          <w:kern w:val="0"/>
          <w:sz w:val="21"/>
          <w:szCs w:val="21"/>
          <w:highlight w:val="none"/>
        </w:rPr>
      </w:pPr>
    </w:p>
    <w:p w14:paraId="58B437A3">
      <w:pPr>
        <w:autoSpaceDE w:val="0"/>
        <w:autoSpaceDN w:val="0"/>
        <w:adjustRightInd w:val="0"/>
        <w:spacing w:line="360" w:lineRule="auto"/>
        <w:rPr>
          <w:rFonts w:ascii="宋体" w:hAnsi="宋体" w:cs="宋体"/>
          <w:color w:val="auto"/>
          <w:kern w:val="0"/>
          <w:sz w:val="21"/>
          <w:szCs w:val="21"/>
          <w:highlight w:val="none"/>
        </w:rPr>
      </w:pPr>
    </w:p>
    <w:p w14:paraId="18264EC2">
      <w:pPr>
        <w:autoSpaceDE w:val="0"/>
        <w:autoSpaceDN w:val="0"/>
        <w:adjustRightInd w:val="0"/>
        <w:spacing w:line="360" w:lineRule="auto"/>
        <w:rPr>
          <w:rFonts w:ascii="宋体" w:hAnsi="宋体" w:cs="宋体"/>
          <w:b/>
          <w:color w:val="auto"/>
          <w:kern w:val="0"/>
          <w:sz w:val="28"/>
          <w:highlight w:val="none"/>
        </w:rPr>
      </w:pPr>
      <w:r>
        <w:rPr>
          <w:rFonts w:hint="eastAsia" w:ascii="宋体" w:hAnsi="宋体" w:cs="宋体"/>
          <w:color w:val="auto"/>
          <w:kern w:val="0"/>
          <w:sz w:val="21"/>
          <w:szCs w:val="21"/>
          <w:highlight w:val="none"/>
        </w:rPr>
        <w:br w:type="page"/>
      </w:r>
      <w:r>
        <w:rPr>
          <w:rFonts w:hint="eastAsia" w:ascii="宋体" w:hAnsi="宋体" w:cs="宋体"/>
          <w:b/>
          <w:color w:val="auto"/>
          <w:kern w:val="0"/>
          <w:sz w:val="28"/>
          <w:highlight w:val="none"/>
        </w:rPr>
        <w:t>（3）项目技术负责人简历表</w:t>
      </w:r>
      <w:r>
        <w:rPr>
          <w:rFonts w:hint="eastAsia" w:ascii="宋体" w:hAnsi="宋体" w:cs="宋体"/>
          <w:b/>
          <w:color w:val="auto"/>
          <w:sz w:val="28"/>
          <w:highlight w:val="none"/>
        </w:rPr>
        <w:t xml:space="preserve"> （格式）</w:t>
      </w:r>
    </w:p>
    <w:p w14:paraId="22B7FDD8">
      <w:pPr>
        <w:jc w:val="left"/>
        <w:rPr>
          <w:rFonts w:ascii="宋体" w:hAnsi="宋体" w:cs="宋体"/>
          <w:b/>
          <w:color w:val="auto"/>
          <w:kern w:val="0"/>
          <w:sz w:val="21"/>
          <w:szCs w:val="21"/>
          <w:highlight w:val="none"/>
        </w:rPr>
      </w:pPr>
    </w:p>
    <w:p w14:paraId="0ABDC16F">
      <w:pPr>
        <w:jc w:val="left"/>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 xml:space="preserve">工程                         </w:t>
      </w:r>
      <w:r>
        <w:rPr>
          <w:rFonts w:hint="eastAsia" w:ascii="宋体" w:hAnsi="宋体" w:eastAsia="宋体" w:cs="宋体"/>
          <w:b/>
          <w:color w:val="auto"/>
          <w:kern w:val="0"/>
          <w:sz w:val="21"/>
          <w:szCs w:val="21"/>
          <w:highlight w:val="none"/>
        </w:rPr>
        <w:t xml:space="preserve">表11.3  </w:t>
      </w:r>
    </w:p>
    <w:tbl>
      <w:tblPr>
        <w:tblStyle w:val="41"/>
        <w:tblW w:w="0" w:type="auto"/>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80"/>
        <w:gridCol w:w="180"/>
        <w:gridCol w:w="720"/>
        <w:gridCol w:w="1080"/>
        <w:gridCol w:w="1080"/>
        <w:gridCol w:w="360"/>
        <w:gridCol w:w="90"/>
        <w:gridCol w:w="1530"/>
        <w:gridCol w:w="1080"/>
        <w:gridCol w:w="450"/>
        <w:gridCol w:w="1564"/>
      </w:tblGrid>
      <w:tr w14:paraId="3A7204AE">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noWrap/>
            <w:vAlign w:val="center"/>
          </w:tcPr>
          <w:p w14:paraId="5CDC6651">
            <w:pPr>
              <w:autoSpaceDE w:val="0"/>
              <w:autoSpaceDN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1980" w:type="dxa"/>
            <w:gridSpan w:val="3"/>
            <w:tcBorders>
              <w:bottom w:val="single" w:color="000000" w:sz="4" w:space="0"/>
              <w:right w:val="single" w:color="000000" w:sz="4" w:space="0"/>
            </w:tcBorders>
            <w:noWrap/>
          </w:tcPr>
          <w:p w14:paraId="08993FAD">
            <w:pPr>
              <w:autoSpaceDE w:val="0"/>
              <w:autoSpaceDN w:val="0"/>
              <w:jc w:val="left"/>
              <w:rPr>
                <w:rFonts w:hint="eastAsia" w:ascii="宋体" w:hAnsi="宋体" w:eastAsia="宋体" w:cs="宋体"/>
                <w:color w:val="auto"/>
                <w:kern w:val="0"/>
                <w:sz w:val="21"/>
                <w:szCs w:val="21"/>
                <w:highlight w:val="none"/>
              </w:rPr>
            </w:pPr>
          </w:p>
        </w:tc>
        <w:tc>
          <w:tcPr>
            <w:tcW w:w="1080" w:type="dxa"/>
            <w:tcBorders>
              <w:bottom w:val="single" w:color="000000" w:sz="4" w:space="0"/>
              <w:right w:val="single" w:color="000000" w:sz="4" w:space="0"/>
            </w:tcBorders>
            <w:noWrap/>
            <w:vAlign w:val="center"/>
          </w:tcPr>
          <w:p w14:paraId="6B083FF3">
            <w:pPr>
              <w:autoSpaceDE w:val="0"/>
              <w:autoSpaceDN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性别</w:t>
            </w:r>
          </w:p>
        </w:tc>
        <w:tc>
          <w:tcPr>
            <w:tcW w:w="1980" w:type="dxa"/>
            <w:gridSpan w:val="3"/>
            <w:tcBorders>
              <w:bottom w:val="single" w:color="000000" w:sz="4" w:space="0"/>
              <w:right w:val="single" w:color="000000" w:sz="4" w:space="0"/>
            </w:tcBorders>
            <w:noWrap/>
          </w:tcPr>
          <w:p w14:paraId="23D7E0B9">
            <w:pPr>
              <w:autoSpaceDE w:val="0"/>
              <w:autoSpaceDN w:val="0"/>
              <w:jc w:val="left"/>
              <w:rPr>
                <w:rFonts w:hint="eastAsia" w:ascii="宋体" w:hAnsi="宋体" w:eastAsia="宋体" w:cs="宋体"/>
                <w:color w:val="auto"/>
                <w:kern w:val="0"/>
                <w:sz w:val="21"/>
                <w:szCs w:val="21"/>
                <w:highlight w:val="none"/>
              </w:rPr>
            </w:pPr>
          </w:p>
        </w:tc>
        <w:tc>
          <w:tcPr>
            <w:tcW w:w="1080" w:type="dxa"/>
            <w:tcBorders>
              <w:bottom w:val="single" w:color="000000" w:sz="4" w:space="0"/>
              <w:right w:val="single" w:color="auto" w:sz="4" w:space="0"/>
            </w:tcBorders>
            <w:noWrap/>
            <w:vAlign w:val="center"/>
          </w:tcPr>
          <w:p w14:paraId="599DE993">
            <w:pPr>
              <w:autoSpaceDE w:val="0"/>
              <w:autoSpaceDN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年龄</w:t>
            </w:r>
          </w:p>
        </w:tc>
        <w:tc>
          <w:tcPr>
            <w:tcW w:w="2014" w:type="dxa"/>
            <w:gridSpan w:val="2"/>
            <w:tcBorders>
              <w:left w:val="single" w:color="auto" w:sz="4" w:space="0"/>
              <w:bottom w:val="single" w:color="000000" w:sz="4" w:space="0"/>
              <w:right w:val="single" w:color="000000" w:sz="4" w:space="0"/>
            </w:tcBorders>
            <w:noWrap/>
          </w:tcPr>
          <w:p w14:paraId="224FBA24">
            <w:pPr>
              <w:autoSpaceDE w:val="0"/>
              <w:autoSpaceDN w:val="0"/>
              <w:jc w:val="left"/>
              <w:rPr>
                <w:rFonts w:hint="eastAsia" w:ascii="宋体" w:hAnsi="宋体" w:eastAsia="宋体" w:cs="宋体"/>
                <w:color w:val="auto"/>
                <w:kern w:val="0"/>
                <w:sz w:val="21"/>
                <w:szCs w:val="21"/>
                <w:highlight w:val="none"/>
              </w:rPr>
            </w:pPr>
          </w:p>
        </w:tc>
      </w:tr>
      <w:tr w14:paraId="68A60818">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noWrap/>
            <w:vAlign w:val="center"/>
          </w:tcPr>
          <w:p w14:paraId="3B2ED0B9">
            <w:pPr>
              <w:autoSpaceDE w:val="0"/>
              <w:autoSpaceDN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职务</w:t>
            </w:r>
          </w:p>
        </w:tc>
        <w:tc>
          <w:tcPr>
            <w:tcW w:w="1980" w:type="dxa"/>
            <w:gridSpan w:val="3"/>
            <w:tcBorders>
              <w:bottom w:val="single" w:color="000000" w:sz="4" w:space="0"/>
              <w:right w:val="single" w:color="000000" w:sz="4" w:space="0"/>
            </w:tcBorders>
            <w:noWrap/>
          </w:tcPr>
          <w:p w14:paraId="6EAB271F">
            <w:pPr>
              <w:autoSpaceDE w:val="0"/>
              <w:autoSpaceDN w:val="0"/>
              <w:jc w:val="left"/>
              <w:rPr>
                <w:rFonts w:hint="eastAsia" w:ascii="宋体" w:hAnsi="宋体" w:eastAsia="宋体" w:cs="宋体"/>
                <w:color w:val="auto"/>
                <w:kern w:val="0"/>
                <w:sz w:val="21"/>
                <w:szCs w:val="21"/>
                <w:highlight w:val="none"/>
              </w:rPr>
            </w:pPr>
          </w:p>
        </w:tc>
        <w:tc>
          <w:tcPr>
            <w:tcW w:w="1080" w:type="dxa"/>
            <w:tcBorders>
              <w:bottom w:val="single" w:color="000000" w:sz="4" w:space="0"/>
              <w:right w:val="single" w:color="000000" w:sz="4" w:space="0"/>
            </w:tcBorders>
            <w:noWrap/>
            <w:vAlign w:val="center"/>
          </w:tcPr>
          <w:p w14:paraId="5131DF88">
            <w:pPr>
              <w:autoSpaceDE w:val="0"/>
              <w:autoSpaceDN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职称</w:t>
            </w:r>
          </w:p>
        </w:tc>
        <w:tc>
          <w:tcPr>
            <w:tcW w:w="1980" w:type="dxa"/>
            <w:gridSpan w:val="3"/>
            <w:tcBorders>
              <w:bottom w:val="single" w:color="000000" w:sz="4" w:space="0"/>
              <w:right w:val="single" w:color="000000" w:sz="4" w:space="0"/>
            </w:tcBorders>
            <w:noWrap/>
          </w:tcPr>
          <w:p w14:paraId="4ED44170">
            <w:pPr>
              <w:autoSpaceDE w:val="0"/>
              <w:autoSpaceDN w:val="0"/>
              <w:jc w:val="left"/>
              <w:rPr>
                <w:rFonts w:hint="eastAsia" w:ascii="宋体" w:hAnsi="宋体" w:eastAsia="宋体" w:cs="宋体"/>
                <w:color w:val="auto"/>
                <w:kern w:val="0"/>
                <w:sz w:val="21"/>
                <w:szCs w:val="21"/>
                <w:highlight w:val="none"/>
              </w:rPr>
            </w:pPr>
          </w:p>
        </w:tc>
        <w:tc>
          <w:tcPr>
            <w:tcW w:w="1080" w:type="dxa"/>
            <w:tcBorders>
              <w:bottom w:val="single" w:color="000000" w:sz="4" w:space="0"/>
              <w:right w:val="single" w:color="auto" w:sz="4" w:space="0"/>
            </w:tcBorders>
            <w:noWrap/>
            <w:vAlign w:val="center"/>
          </w:tcPr>
          <w:p w14:paraId="353A7EB1">
            <w:pPr>
              <w:autoSpaceDE w:val="0"/>
              <w:autoSpaceDN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学历</w:t>
            </w:r>
          </w:p>
        </w:tc>
        <w:tc>
          <w:tcPr>
            <w:tcW w:w="2014" w:type="dxa"/>
            <w:gridSpan w:val="2"/>
            <w:tcBorders>
              <w:left w:val="single" w:color="auto" w:sz="4" w:space="0"/>
              <w:bottom w:val="single" w:color="000000" w:sz="4" w:space="0"/>
              <w:right w:val="single" w:color="000000" w:sz="4" w:space="0"/>
            </w:tcBorders>
            <w:noWrap/>
          </w:tcPr>
          <w:p w14:paraId="25B291B8">
            <w:pPr>
              <w:autoSpaceDE w:val="0"/>
              <w:autoSpaceDN w:val="0"/>
              <w:jc w:val="left"/>
              <w:rPr>
                <w:rFonts w:hint="eastAsia" w:ascii="宋体" w:hAnsi="宋体" w:eastAsia="宋体" w:cs="宋体"/>
                <w:color w:val="auto"/>
                <w:kern w:val="0"/>
                <w:sz w:val="21"/>
                <w:szCs w:val="21"/>
                <w:highlight w:val="none"/>
              </w:rPr>
            </w:pPr>
          </w:p>
        </w:tc>
      </w:tr>
      <w:tr w14:paraId="3B4D70E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980" w:type="dxa"/>
            <w:gridSpan w:val="3"/>
            <w:tcBorders>
              <w:bottom w:val="single" w:color="000000" w:sz="4" w:space="0"/>
              <w:right w:val="single" w:color="auto" w:sz="4" w:space="0"/>
            </w:tcBorders>
            <w:noWrap/>
            <w:vAlign w:val="center"/>
          </w:tcPr>
          <w:p w14:paraId="5148DA67">
            <w:pPr>
              <w:autoSpaceDE w:val="0"/>
              <w:autoSpaceDN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参加工作时间</w:t>
            </w:r>
          </w:p>
        </w:tc>
        <w:tc>
          <w:tcPr>
            <w:tcW w:w="2520" w:type="dxa"/>
            <w:gridSpan w:val="3"/>
            <w:tcBorders>
              <w:left w:val="single" w:color="auto" w:sz="4" w:space="0"/>
              <w:bottom w:val="single" w:color="000000" w:sz="4" w:space="0"/>
              <w:right w:val="single" w:color="000000" w:sz="4" w:space="0"/>
            </w:tcBorders>
            <w:noWrap/>
          </w:tcPr>
          <w:p w14:paraId="7BDED501">
            <w:pPr>
              <w:autoSpaceDE w:val="0"/>
              <w:autoSpaceDN w:val="0"/>
              <w:jc w:val="left"/>
              <w:rPr>
                <w:rFonts w:hint="eastAsia" w:ascii="宋体" w:hAnsi="宋体" w:eastAsia="宋体" w:cs="宋体"/>
                <w:color w:val="auto"/>
                <w:kern w:val="0"/>
                <w:sz w:val="21"/>
                <w:szCs w:val="21"/>
                <w:highlight w:val="none"/>
              </w:rPr>
            </w:pPr>
          </w:p>
        </w:tc>
        <w:tc>
          <w:tcPr>
            <w:tcW w:w="2700" w:type="dxa"/>
            <w:gridSpan w:val="3"/>
            <w:tcBorders>
              <w:left w:val="single" w:color="auto" w:sz="4" w:space="0"/>
              <w:bottom w:val="single" w:color="000000" w:sz="4" w:space="0"/>
              <w:right w:val="single" w:color="000000" w:sz="4" w:space="0"/>
            </w:tcBorders>
            <w:noWrap/>
            <w:vAlign w:val="center"/>
          </w:tcPr>
          <w:p w14:paraId="07EE3286">
            <w:pPr>
              <w:autoSpaceDE w:val="0"/>
              <w:autoSpaceDN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担任技术负责人年限</w:t>
            </w:r>
          </w:p>
        </w:tc>
        <w:tc>
          <w:tcPr>
            <w:tcW w:w="2014" w:type="dxa"/>
            <w:gridSpan w:val="2"/>
            <w:tcBorders>
              <w:left w:val="single" w:color="auto" w:sz="4" w:space="0"/>
              <w:bottom w:val="single" w:color="auto" w:sz="4" w:space="0"/>
              <w:right w:val="single" w:color="000000" w:sz="4" w:space="0"/>
            </w:tcBorders>
            <w:noWrap/>
          </w:tcPr>
          <w:p w14:paraId="0EB28CCE">
            <w:pPr>
              <w:autoSpaceDE w:val="0"/>
              <w:autoSpaceDN w:val="0"/>
              <w:jc w:val="left"/>
              <w:rPr>
                <w:rFonts w:hint="eastAsia" w:ascii="宋体" w:hAnsi="宋体" w:eastAsia="宋体" w:cs="宋体"/>
                <w:color w:val="auto"/>
                <w:kern w:val="0"/>
                <w:sz w:val="21"/>
                <w:szCs w:val="21"/>
                <w:highlight w:val="none"/>
              </w:rPr>
            </w:pPr>
          </w:p>
        </w:tc>
      </w:tr>
      <w:tr w14:paraId="14C0A7BD">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214" w:type="dxa"/>
            <w:gridSpan w:val="11"/>
            <w:tcBorders>
              <w:bottom w:val="single" w:color="000000" w:sz="4" w:space="0"/>
              <w:right w:val="single" w:color="000000" w:sz="4" w:space="0"/>
            </w:tcBorders>
            <w:noWrap/>
            <w:vAlign w:val="center"/>
          </w:tcPr>
          <w:p w14:paraId="709917E9">
            <w:pPr>
              <w:autoSpaceDE w:val="0"/>
              <w:autoSpaceDN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在建和已完工程项目情况</w:t>
            </w:r>
          </w:p>
        </w:tc>
      </w:tr>
      <w:tr w14:paraId="4C80E7B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noWrap/>
            <w:vAlign w:val="center"/>
          </w:tcPr>
          <w:p w14:paraId="5F1E7234">
            <w:pPr>
              <w:autoSpaceDE w:val="0"/>
              <w:autoSpaceDN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建设单位</w:t>
            </w:r>
          </w:p>
        </w:tc>
        <w:tc>
          <w:tcPr>
            <w:tcW w:w="1800" w:type="dxa"/>
            <w:gridSpan w:val="2"/>
            <w:tcBorders>
              <w:bottom w:val="single" w:color="000000" w:sz="4" w:space="0"/>
              <w:right w:val="single" w:color="000000" w:sz="4" w:space="0"/>
            </w:tcBorders>
            <w:noWrap/>
            <w:vAlign w:val="center"/>
          </w:tcPr>
          <w:p w14:paraId="6F4E373A">
            <w:pPr>
              <w:autoSpaceDE w:val="0"/>
              <w:autoSpaceDN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1530" w:type="dxa"/>
            <w:gridSpan w:val="3"/>
            <w:tcBorders>
              <w:bottom w:val="single" w:color="000000" w:sz="4" w:space="0"/>
              <w:right w:val="single" w:color="000000" w:sz="4" w:space="0"/>
            </w:tcBorders>
            <w:noWrap/>
            <w:vAlign w:val="center"/>
          </w:tcPr>
          <w:p w14:paraId="6A658AD4">
            <w:pPr>
              <w:autoSpaceDE w:val="0"/>
              <w:autoSpaceDN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建设规模</w:t>
            </w:r>
          </w:p>
        </w:tc>
        <w:tc>
          <w:tcPr>
            <w:tcW w:w="1530" w:type="dxa"/>
            <w:tcBorders>
              <w:bottom w:val="single" w:color="000000" w:sz="4" w:space="0"/>
              <w:right w:val="single" w:color="auto" w:sz="4" w:space="0"/>
            </w:tcBorders>
            <w:noWrap/>
            <w:vAlign w:val="center"/>
          </w:tcPr>
          <w:p w14:paraId="75C6560F">
            <w:pPr>
              <w:autoSpaceDE w:val="0"/>
              <w:autoSpaceDN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开、竣工日期</w:t>
            </w:r>
          </w:p>
        </w:tc>
        <w:tc>
          <w:tcPr>
            <w:tcW w:w="1530" w:type="dxa"/>
            <w:gridSpan w:val="2"/>
            <w:tcBorders>
              <w:left w:val="single" w:color="auto" w:sz="4" w:space="0"/>
              <w:bottom w:val="single" w:color="000000" w:sz="4" w:space="0"/>
              <w:right w:val="single" w:color="000000" w:sz="4" w:space="0"/>
            </w:tcBorders>
            <w:noWrap/>
            <w:vAlign w:val="center"/>
          </w:tcPr>
          <w:p w14:paraId="678DC03D">
            <w:pPr>
              <w:autoSpaceDE w:val="0"/>
              <w:autoSpaceDN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在建或已完</w:t>
            </w:r>
          </w:p>
        </w:tc>
        <w:tc>
          <w:tcPr>
            <w:tcW w:w="1564" w:type="dxa"/>
            <w:tcBorders>
              <w:bottom w:val="single" w:color="000000" w:sz="4" w:space="0"/>
              <w:right w:val="single" w:color="000000" w:sz="4" w:space="0"/>
            </w:tcBorders>
            <w:noWrap/>
            <w:vAlign w:val="center"/>
          </w:tcPr>
          <w:p w14:paraId="57AC2777">
            <w:pPr>
              <w:autoSpaceDE w:val="0"/>
              <w:autoSpaceDN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工程质量</w:t>
            </w:r>
          </w:p>
        </w:tc>
      </w:tr>
      <w:tr w14:paraId="0F67C0F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noWrap/>
          </w:tcPr>
          <w:p w14:paraId="1EB23F63">
            <w:pPr>
              <w:autoSpaceDE w:val="0"/>
              <w:autoSpaceDN w:val="0"/>
              <w:jc w:val="left"/>
              <w:rPr>
                <w:rFonts w:hint="eastAsia" w:ascii="宋体" w:hAnsi="宋体" w:eastAsia="宋体" w:cs="宋体"/>
                <w:color w:val="auto"/>
                <w:kern w:val="0"/>
                <w:sz w:val="21"/>
                <w:szCs w:val="21"/>
                <w:highlight w:val="none"/>
              </w:rPr>
            </w:pPr>
          </w:p>
        </w:tc>
        <w:tc>
          <w:tcPr>
            <w:tcW w:w="1800" w:type="dxa"/>
            <w:gridSpan w:val="2"/>
            <w:tcBorders>
              <w:bottom w:val="single" w:color="000000" w:sz="4" w:space="0"/>
              <w:right w:val="single" w:color="000000" w:sz="4" w:space="0"/>
            </w:tcBorders>
            <w:noWrap/>
          </w:tcPr>
          <w:p w14:paraId="62DD8F14">
            <w:pPr>
              <w:autoSpaceDE w:val="0"/>
              <w:autoSpaceDN w:val="0"/>
              <w:jc w:val="left"/>
              <w:rPr>
                <w:rFonts w:hint="eastAsia" w:ascii="宋体" w:hAnsi="宋体" w:eastAsia="宋体" w:cs="宋体"/>
                <w:color w:val="auto"/>
                <w:kern w:val="0"/>
                <w:sz w:val="21"/>
                <w:szCs w:val="21"/>
                <w:highlight w:val="none"/>
              </w:rPr>
            </w:pPr>
          </w:p>
        </w:tc>
        <w:tc>
          <w:tcPr>
            <w:tcW w:w="1530" w:type="dxa"/>
            <w:gridSpan w:val="3"/>
            <w:tcBorders>
              <w:bottom w:val="single" w:color="000000" w:sz="4" w:space="0"/>
              <w:right w:val="single" w:color="000000" w:sz="4" w:space="0"/>
            </w:tcBorders>
            <w:noWrap/>
          </w:tcPr>
          <w:p w14:paraId="57EA004A">
            <w:pPr>
              <w:autoSpaceDE w:val="0"/>
              <w:autoSpaceDN w:val="0"/>
              <w:jc w:val="left"/>
              <w:rPr>
                <w:rFonts w:hint="eastAsia" w:ascii="宋体" w:hAnsi="宋体" w:eastAsia="宋体" w:cs="宋体"/>
                <w:color w:val="auto"/>
                <w:kern w:val="0"/>
                <w:sz w:val="21"/>
                <w:szCs w:val="21"/>
                <w:highlight w:val="none"/>
              </w:rPr>
            </w:pPr>
          </w:p>
        </w:tc>
        <w:tc>
          <w:tcPr>
            <w:tcW w:w="1530" w:type="dxa"/>
            <w:tcBorders>
              <w:bottom w:val="single" w:color="000000" w:sz="4" w:space="0"/>
              <w:right w:val="single" w:color="auto" w:sz="4" w:space="0"/>
            </w:tcBorders>
            <w:noWrap/>
          </w:tcPr>
          <w:p w14:paraId="78451C0E">
            <w:pPr>
              <w:autoSpaceDE w:val="0"/>
              <w:autoSpaceDN w:val="0"/>
              <w:jc w:val="left"/>
              <w:rPr>
                <w:rFonts w:hint="eastAsia" w:ascii="宋体" w:hAnsi="宋体" w:eastAsia="宋体" w:cs="宋体"/>
                <w:color w:val="auto"/>
                <w:kern w:val="0"/>
                <w:sz w:val="21"/>
                <w:szCs w:val="21"/>
                <w:highlight w:val="none"/>
              </w:rPr>
            </w:pPr>
          </w:p>
        </w:tc>
        <w:tc>
          <w:tcPr>
            <w:tcW w:w="1530" w:type="dxa"/>
            <w:gridSpan w:val="2"/>
            <w:tcBorders>
              <w:left w:val="single" w:color="auto" w:sz="4" w:space="0"/>
              <w:bottom w:val="single" w:color="000000" w:sz="4" w:space="0"/>
              <w:right w:val="single" w:color="000000" w:sz="4" w:space="0"/>
            </w:tcBorders>
            <w:noWrap/>
          </w:tcPr>
          <w:p w14:paraId="3AEBAD4E">
            <w:pPr>
              <w:autoSpaceDE w:val="0"/>
              <w:autoSpaceDN w:val="0"/>
              <w:jc w:val="left"/>
              <w:rPr>
                <w:rFonts w:hint="eastAsia" w:ascii="宋体" w:hAnsi="宋体" w:eastAsia="宋体" w:cs="宋体"/>
                <w:color w:val="auto"/>
                <w:kern w:val="0"/>
                <w:sz w:val="21"/>
                <w:szCs w:val="21"/>
                <w:highlight w:val="none"/>
              </w:rPr>
            </w:pPr>
          </w:p>
        </w:tc>
        <w:tc>
          <w:tcPr>
            <w:tcW w:w="1564" w:type="dxa"/>
            <w:tcBorders>
              <w:bottom w:val="single" w:color="000000" w:sz="4" w:space="0"/>
              <w:right w:val="single" w:color="000000" w:sz="4" w:space="0"/>
            </w:tcBorders>
            <w:noWrap/>
          </w:tcPr>
          <w:p w14:paraId="0F67F6A7">
            <w:pPr>
              <w:autoSpaceDE w:val="0"/>
              <w:autoSpaceDN w:val="0"/>
              <w:jc w:val="left"/>
              <w:rPr>
                <w:rFonts w:hint="eastAsia" w:ascii="宋体" w:hAnsi="宋体" w:eastAsia="宋体" w:cs="宋体"/>
                <w:color w:val="auto"/>
                <w:kern w:val="0"/>
                <w:sz w:val="21"/>
                <w:szCs w:val="21"/>
                <w:highlight w:val="none"/>
              </w:rPr>
            </w:pPr>
          </w:p>
        </w:tc>
      </w:tr>
      <w:tr w14:paraId="6843D89B">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noWrap/>
          </w:tcPr>
          <w:p w14:paraId="2D0CF7B6">
            <w:pPr>
              <w:autoSpaceDE w:val="0"/>
              <w:autoSpaceDN w:val="0"/>
              <w:jc w:val="left"/>
              <w:rPr>
                <w:rFonts w:hint="eastAsia" w:ascii="宋体" w:hAnsi="宋体" w:eastAsia="宋体" w:cs="宋体"/>
                <w:color w:val="auto"/>
                <w:kern w:val="0"/>
                <w:sz w:val="21"/>
                <w:szCs w:val="21"/>
                <w:highlight w:val="none"/>
              </w:rPr>
            </w:pPr>
          </w:p>
        </w:tc>
        <w:tc>
          <w:tcPr>
            <w:tcW w:w="1800" w:type="dxa"/>
            <w:gridSpan w:val="2"/>
            <w:tcBorders>
              <w:bottom w:val="single" w:color="000000" w:sz="4" w:space="0"/>
              <w:right w:val="single" w:color="000000" w:sz="4" w:space="0"/>
            </w:tcBorders>
            <w:noWrap/>
          </w:tcPr>
          <w:p w14:paraId="6344025C">
            <w:pPr>
              <w:autoSpaceDE w:val="0"/>
              <w:autoSpaceDN w:val="0"/>
              <w:jc w:val="left"/>
              <w:rPr>
                <w:rFonts w:hint="eastAsia" w:ascii="宋体" w:hAnsi="宋体" w:eastAsia="宋体" w:cs="宋体"/>
                <w:color w:val="auto"/>
                <w:kern w:val="0"/>
                <w:sz w:val="21"/>
                <w:szCs w:val="21"/>
                <w:highlight w:val="none"/>
              </w:rPr>
            </w:pPr>
          </w:p>
        </w:tc>
        <w:tc>
          <w:tcPr>
            <w:tcW w:w="1530" w:type="dxa"/>
            <w:gridSpan w:val="3"/>
            <w:tcBorders>
              <w:bottom w:val="single" w:color="000000" w:sz="4" w:space="0"/>
              <w:right w:val="single" w:color="000000" w:sz="4" w:space="0"/>
            </w:tcBorders>
            <w:noWrap/>
          </w:tcPr>
          <w:p w14:paraId="47BE0F23">
            <w:pPr>
              <w:autoSpaceDE w:val="0"/>
              <w:autoSpaceDN w:val="0"/>
              <w:jc w:val="left"/>
              <w:rPr>
                <w:rFonts w:hint="eastAsia" w:ascii="宋体" w:hAnsi="宋体" w:eastAsia="宋体" w:cs="宋体"/>
                <w:color w:val="auto"/>
                <w:kern w:val="0"/>
                <w:sz w:val="21"/>
                <w:szCs w:val="21"/>
                <w:highlight w:val="none"/>
              </w:rPr>
            </w:pPr>
          </w:p>
        </w:tc>
        <w:tc>
          <w:tcPr>
            <w:tcW w:w="1530" w:type="dxa"/>
            <w:tcBorders>
              <w:bottom w:val="single" w:color="000000" w:sz="4" w:space="0"/>
              <w:right w:val="single" w:color="auto" w:sz="4" w:space="0"/>
            </w:tcBorders>
            <w:noWrap/>
          </w:tcPr>
          <w:p w14:paraId="6B203B06">
            <w:pPr>
              <w:autoSpaceDE w:val="0"/>
              <w:autoSpaceDN w:val="0"/>
              <w:jc w:val="left"/>
              <w:rPr>
                <w:rFonts w:hint="eastAsia" w:ascii="宋体" w:hAnsi="宋体" w:eastAsia="宋体" w:cs="宋体"/>
                <w:color w:val="auto"/>
                <w:kern w:val="0"/>
                <w:sz w:val="21"/>
                <w:szCs w:val="21"/>
                <w:highlight w:val="none"/>
              </w:rPr>
            </w:pPr>
          </w:p>
        </w:tc>
        <w:tc>
          <w:tcPr>
            <w:tcW w:w="1530" w:type="dxa"/>
            <w:gridSpan w:val="2"/>
            <w:tcBorders>
              <w:left w:val="single" w:color="auto" w:sz="4" w:space="0"/>
              <w:bottom w:val="single" w:color="000000" w:sz="4" w:space="0"/>
              <w:right w:val="single" w:color="000000" w:sz="4" w:space="0"/>
            </w:tcBorders>
            <w:noWrap/>
          </w:tcPr>
          <w:p w14:paraId="035A3FCE">
            <w:pPr>
              <w:autoSpaceDE w:val="0"/>
              <w:autoSpaceDN w:val="0"/>
              <w:jc w:val="left"/>
              <w:rPr>
                <w:rFonts w:hint="eastAsia" w:ascii="宋体" w:hAnsi="宋体" w:eastAsia="宋体" w:cs="宋体"/>
                <w:color w:val="auto"/>
                <w:kern w:val="0"/>
                <w:sz w:val="21"/>
                <w:szCs w:val="21"/>
                <w:highlight w:val="none"/>
              </w:rPr>
            </w:pPr>
          </w:p>
        </w:tc>
        <w:tc>
          <w:tcPr>
            <w:tcW w:w="1564" w:type="dxa"/>
            <w:tcBorders>
              <w:bottom w:val="single" w:color="000000" w:sz="4" w:space="0"/>
              <w:right w:val="single" w:color="000000" w:sz="4" w:space="0"/>
            </w:tcBorders>
            <w:noWrap/>
          </w:tcPr>
          <w:p w14:paraId="664A603A">
            <w:pPr>
              <w:autoSpaceDE w:val="0"/>
              <w:autoSpaceDN w:val="0"/>
              <w:jc w:val="left"/>
              <w:rPr>
                <w:rFonts w:hint="eastAsia" w:ascii="宋体" w:hAnsi="宋体" w:eastAsia="宋体" w:cs="宋体"/>
                <w:color w:val="auto"/>
                <w:kern w:val="0"/>
                <w:sz w:val="21"/>
                <w:szCs w:val="21"/>
                <w:highlight w:val="none"/>
              </w:rPr>
            </w:pPr>
          </w:p>
        </w:tc>
      </w:tr>
      <w:tr w14:paraId="724D9FF6">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noWrap/>
          </w:tcPr>
          <w:p w14:paraId="7457B75C">
            <w:pPr>
              <w:autoSpaceDE w:val="0"/>
              <w:autoSpaceDN w:val="0"/>
              <w:jc w:val="left"/>
              <w:rPr>
                <w:rFonts w:hint="eastAsia" w:ascii="宋体" w:hAnsi="宋体" w:eastAsia="宋体" w:cs="宋体"/>
                <w:color w:val="auto"/>
                <w:kern w:val="0"/>
                <w:sz w:val="21"/>
                <w:szCs w:val="21"/>
                <w:highlight w:val="none"/>
              </w:rPr>
            </w:pPr>
          </w:p>
        </w:tc>
        <w:tc>
          <w:tcPr>
            <w:tcW w:w="1800" w:type="dxa"/>
            <w:gridSpan w:val="2"/>
            <w:tcBorders>
              <w:bottom w:val="single" w:color="000000" w:sz="4" w:space="0"/>
              <w:right w:val="single" w:color="000000" w:sz="4" w:space="0"/>
            </w:tcBorders>
            <w:noWrap/>
          </w:tcPr>
          <w:p w14:paraId="2C2B128A">
            <w:pPr>
              <w:autoSpaceDE w:val="0"/>
              <w:autoSpaceDN w:val="0"/>
              <w:jc w:val="left"/>
              <w:rPr>
                <w:rFonts w:hint="eastAsia" w:ascii="宋体" w:hAnsi="宋体" w:eastAsia="宋体" w:cs="宋体"/>
                <w:color w:val="auto"/>
                <w:kern w:val="0"/>
                <w:sz w:val="21"/>
                <w:szCs w:val="21"/>
                <w:highlight w:val="none"/>
              </w:rPr>
            </w:pPr>
          </w:p>
        </w:tc>
        <w:tc>
          <w:tcPr>
            <w:tcW w:w="1530" w:type="dxa"/>
            <w:gridSpan w:val="3"/>
            <w:tcBorders>
              <w:bottom w:val="single" w:color="000000" w:sz="4" w:space="0"/>
              <w:right w:val="single" w:color="000000" w:sz="4" w:space="0"/>
            </w:tcBorders>
            <w:noWrap/>
          </w:tcPr>
          <w:p w14:paraId="561145CB">
            <w:pPr>
              <w:autoSpaceDE w:val="0"/>
              <w:autoSpaceDN w:val="0"/>
              <w:jc w:val="left"/>
              <w:rPr>
                <w:rFonts w:hint="eastAsia" w:ascii="宋体" w:hAnsi="宋体" w:eastAsia="宋体" w:cs="宋体"/>
                <w:color w:val="auto"/>
                <w:kern w:val="0"/>
                <w:sz w:val="21"/>
                <w:szCs w:val="21"/>
                <w:highlight w:val="none"/>
              </w:rPr>
            </w:pPr>
          </w:p>
        </w:tc>
        <w:tc>
          <w:tcPr>
            <w:tcW w:w="1530" w:type="dxa"/>
            <w:tcBorders>
              <w:bottom w:val="single" w:color="000000" w:sz="4" w:space="0"/>
              <w:right w:val="single" w:color="auto" w:sz="4" w:space="0"/>
            </w:tcBorders>
            <w:noWrap/>
          </w:tcPr>
          <w:p w14:paraId="1CE67AFA">
            <w:pPr>
              <w:autoSpaceDE w:val="0"/>
              <w:autoSpaceDN w:val="0"/>
              <w:jc w:val="left"/>
              <w:rPr>
                <w:rFonts w:hint="eastAsia" w:ascii="宋体" w:hAnsi="宋体" w:eastAsia="宋体" w:cs="宋体"/>
                <w:color w:val="auto"/>
                <w:kern w:val="0"/>
                <w:sz w:val="21"/>
                <w:szCs w:val="21"/>
                <w:highlight w:val="none"/>
              </w:rPr>
            </w:pPr>
          </w:p>
        </w:tc>
        <w:tc>
          <w:tcPr>
            <w:tcW w:w="1530" w:type="dxa"/>
            <w:gridSpan w:val="2"/>
            <w:tcBorders>
              <w:left w:val="single" w:color="auto" w:sz="4" w:space="0"/>
              <w:bottom w:val="single" w:color="000000" w:sz="4" w:space="0"/>
              <w:right w:val="single" w:color="000000" w:sz="4" w:space="0"/>
            </w:tcBorders>
            <w:noWrap/>
          </w:tcPr>
          <w:p w14:paraId="1153D8D2">
            <w:pPr>
              <w:autoSpaceDE w:val="0"/>
              <w:autoSpaceDN w:val="0"/>
              <w:jc w:val="left"/>
              <w:rPr>
                <w:rFonts w:hint="eastAsia" w:ascii="宋体" w:hAnsi="宋体" w:eastAsia="宋体" w:cs="宋体"/>
                <w:color w:val="auto"/>
                <w:kern w:val="0"/>
                <w:sz w:val="21"/>
                <w:szCs w:val="21"/>
                <w:highlight w:val="none"/>
              </w:rPr>
            </w:pPr>
          </w:p>
        </w:tc>
        <w:tc>
          <w:tcPr>
            <w:tcW w:w="1564" w:type="dxa"/>
            <w:tcBorders>
              <w:bottom w:val="single" w:color="000000" w:sz="4" w:space="0"/>
              <w:right w:val="single" w:color="000000" w:sz="4" w:space="0"/>
            </w:tcBorders>
            <w:noWrap/>
          </w:tcPr>
          <w:p w14:paraId="0F070716">
            <w:pPr>
              <w:autoSpaceDE w:val="0"/>
              <w:autoSpaceDN w:val="0"/>
              <w:jc w:val="left"/>
              <w:rPr>
                <w:rFonts w:hint="eastAsia" w:ascii="宋体" w:hAnsi="宋体" w:eastAsia="宋体" w:cs="宋体"/>
                <w:color w:val="auto"/>
                <w:kern w:val="0"/>
                <w:sz w:val="21"/>
                <w:szCs w:val="21"/>
                <w:highlight w:val="none"/>
              </w:rPr>
            </w:pPr>
          </w:p>
        </w:tc>
      </w:tr>
      <w:tr w14:paraId="22617446">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noWrap/>
          </w:tcPr>
          <w:p w14:paraId="578C0332">
            <w:pPr>
              <w:autoSpaceDE w:val="0"/>
              <w:autoSpaceDN w:val="0"/>
              <w:jc w:val="left"/>
              <w:rPr>
                <w:rFonts w:hint="eastAsia" w:ascii="宋体" w:hAnsi="宋体" w:eastAsia="宋体" w:cs="宋体"/>
                <w:color w:val="auto"/>
                <w:kern w:val="0"/>
                <w:sz w:val="21"/>
                <w:szCs w:val="21"/>
                <w:highlight w:val="none"/>
              </w:rPr>
            </w:pPr>
          </w:p>
        </w:tc>
        <w:tc>
          <w:tcPr>
            <w:tcW w:w="1800" w:type="dxa"/>
            <w:gridSpan w:val="2"/>
            <w:tcBorders>
              <w:bottom w:val="single" w:color="000000" w:sz="4" w:space="0"/>
              <w:right w:val="single" w:color="000000" w:sz="4" w:space="0"/>
            </w:tcBorders>
            <w:noWrap/>
          </w:tcPr>
          <w:p w14:paraId="599FD007">
            <w:pPr>
              <w:autoSpaceDE w:val="0"/>
              <w:autoSpaceDN w:val="0"/>
              <w:jc w:val="left"/>
              <w:rPr>
                <w:rFonts w:hint="eastAsia" w:ascii="宋体" w:hAnsi="宋体" w:eastAsia="宋体" w:cs="宋体"/>
                <w:color w:val="auto"/>
                <w:kern w:val="0"/>
                <w:sz w:val="21"/>
                <w:szCs w:val="21"/>
                <w:highlight w:val="none"/>
              </w:rPr>
            </w:pPr>
          </w:p>
        </w:tc>
        <w:tc>
          <w:tcPr>
            <w:tcW w:w="1530" w:type="dxa"/>
            <w:gridSpan w:val="3"/>
            <w:tcBorders>
              <w:bottom w:val="single" w:color="000000" w:sz="4" w:space="0"/>
              <w:right w:val="single" w:color="000000" w:sz="4" w:space="0"/>
            </w:tcBorders>
            <w:noWrap/>
          </w:tcPr>
          <w:p w14:paraId="0C6726F5">
            <w:pPr>
              <w:autoSpaceDE w:val="0"/>
              <w:autoSpaceDN w:val="0"/>
              <w:jc w:val="left"/>
              <w:rPr>
                <w:rFonts w:hint="eastAsia" w:ascii="宋体" w:hAnsi="宋体" w:eastAsia="宋体" w:cs="宋体"/>
                <w:color w:val="auto"/>
                <w:kern w:val="0"/>
                <w:sz w:val="21"/>
                <w:szCs w:val="21"/>
                <w:highlight w:val="none"/>
              </w:rPr>
            </w:pPr>
          </w:p>
        </w:tc>
        <w:tc>
          <w:tcPr>
            <w:tcW w:w="1530" w:type="dxa"/>
            <w:tcBorders>
              <w:bottom w:val="single" w:color="000000" w:sz="4" w:space="0"/>
              <w:right w:val="single" w:color="auto" w:sz="4" w:space="0"/>
            </w:tcBorders>
            <w:noWrap/>
          </w:tcPr>
          <w:p w14:paraId="77036CBF">
            <w:pPr>
              <w:autoSpaceDE w:val="0"/>
              <w:autoSpaceDN w:val="0"/>
              <w:jc w:val="left"/>
              <w:rPr>
                <w:rFonts w:hint="eastAsia" w:ascii="宋体" w:hAnsi="宋体" w:eastAsia="宋体" w:cs="宋体"/>
                <w:color w:val="auto"/>
                <w:kern w:val="0"/>
                <w:sz w:val="21"/>
                <w:szCs w:val="21"/>
                <w:highlight w:val="none"/>
              </w:rPr>
            </w:pPr>
          </w:p>
        </w:tc>
        <w:tc>
          <w:tcPr>
            <w:tcW w:w="1530" w:type="dxa"/>
            <w:gridSpan w:val="2"/>
            <w:tcBorders>
              <w:left w:val="single" w:color="auto" w:sz="4" w:space="0"/>
              <w:bottom w:val="single" w:color="000000" w:sz="4" w:space="0"/>
              <w:right w:val="single" w:color="000000" w:sz="4" w:space="0"/>
            </w:tcBorders>
            <w:noWrap/>
          </w:tcPr>
          <w:p w14:paraId="75DC5869">
            <w:pPr>
              <w:autoSpaceDE w:val="0"/>
              <w:autoSpaceDN w:val="0"/>
              <w:jc w:val="left"/>
              <w:rPr>
                <w:rFonts w:hint="eastAsia" w:ascii="宋体" w:hAnsi="宋体" w:eastAsia="宋体" w:cs="宋体"/>
                <w:color w:val="auto"/>
                <w:kern w:val="0"/>
                <w:sz w:val="21"/>
                <w:szCs w:val="21"/>
                <w:highlight w:val="none"/>
              </w:rPr>
            </w:pPr>
          </w:p>
        </w:tc>
        <w:tc>
          <w:tcPr>
            <w:tcW w:w="1564" w:type="dxa"/>
            <w:tcBorders>
              <w:bottom w:val="single" w:color="000000" w:sz="4" w:space="0"/>
              <w:right w:val="single" w:color="000000" w:sz="4" w:space="0"/>
            </w:tcBorders>
            <w:noWrap/>
          </w:tcPr>
          <w:p w14:paraId="37AAED57">
            <w:pPr>
              <w:autoSpaceDE w:val="0"/>
              <w:autoSpaceDN w:val="0"/>
              <w:jc w:val="left"/>
              <w:rPr>
                <w:rFonts w:hint="eastAsia" w:ascii="宋体" w:hAnsi="宋体" w:eastAsia="宋体" w:cs="宋体"/>
                <w:color w:val="auto"/>
                <w:kern w:val="0"/>
                <w:sz w:val="21"/>
                <w:szCs w:val="21"/>
                <w:highlight w:val="none"/>
              </w:rPr>
            </w:pPr>
          </w:p>
        </w:tc>
      </w:tr>
      <w:tr w14:paraId="01312C3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noWrap/>
          </w:tcPr>
          <w:p w14:paraId="407819CD">
            <w:pPr>
              <w:autoSpaceDE w:val="0"/>
              <w:autoSpaceDN w:val="0"/>
              <w:jc w:val="left"/>
              <w:rPr>
                <w:rFonts w:hint="eastAsia" w:ascii="宋体" w:hAnsi="宋体" w:eastAsia="宋体" w:cs="宋体"/>
                <w:color w:val="auto"/>
                <w:kern w:val="0"/>
                <w:sz w:val="21"/>
                <w:szCs w:val="21"/>
                <w:highlight w:val="none"/>
              </w:rPr>
            </w:pPr>
          </w:p>
        </w:tc>
        <w:tc>
          <w:tcPr>
            <w:tcW w:w="1800" w:type="dxa"/>
            <w:gridSpan w:val="2"/>
            <w:tcBorders>
              <w:bottom w:val="single" w:color="000000" w:sz="4" w:space="0"/>
              <w:right w:val="single" w:color="000000" w:sz="4" w:space="0"/>
            </w:tcBorders>
            <w:noWrap/>
          </w:tcPr>
          <w:p w14:paraId="4B5EF535">
            <w:pPr>
              <w:autoSpaceDE w:val="0"/>
              <w:autoSpaceDN w:val="0"/>
              <w:jc w:val="left"/>
              <w:rPr>
                <w:rFonts w:hint="eastAsia" w:ascii="宋体" w:hAnsi="宋体" w:eastAsia="宋体" w:cs="宋体"/>
                <w:color w:val="auto"/>
                <w:kern w:val="0"/>
                <w:sz w:val="21"/>
                <w:szCs w:val="21"/>
                <w:highlight w:val="none"/>
              </w:rPr>
            </w:pPr>
          </w:p>
        </w:tc>
        <w:tc>
          <w:tcPr>
            <w:tcW w:w="1530" w:type="dxa"/>
            <w:gridSpan w:val="3"/>
            <w:tcBorders>
              <w:bottom w:val="single" w:color="000000" w:sz="4" w:space="0"/>
              <w:right w:val="single" w:color="000000" w:sz="4" w:space="0"/>
            </w:tcBorders>
            <w:noWrap/>
          </w:tcPr>
          <w:p w14:paraId="34812A6F">
            <w:pPr>
              <w:autoSpaceDE w:val="0"/>
              <w:autoSpaceDN w:val="0"/>
              <w:jc w:val="left"/>
              <w:rPr>
                <w:rFonts w:hint="eastAsia" w:ascii="宋体" w:hAnsi="宋体" w:eastAsia="宋体" w:cs="宋体"/>
                <w:color w:val="auto"/>
                <w:kern w:val="0"/>
                <w:sz w:val="21"/>
                <w:szCs w:val="21"/>
                <w:highlight w:val="none"/>
              </w:rPr>
            </w:pPr>
          </w:p>
        </w:tc>
        <w:tc>
          <w:tcPr>
            <w:tcW w:w="1530" w:type="dxa"/>
            <w:tcBorders>
              <w:bottom w:val="single" w:color="000000" w:sz="4" w:space="0"/>
              <w:right w:val="single" w:color="auto" w:sz="4" w:space="0"/>
            </w:tcBorders>
            <w:noWrap/>
          </w:tcPr>
          <w:p w14:paraId="0932F33A">
            <w:pPr>
              <w:autoSpaceDE w:val="0"/>
              <w:autoSpaceDN w:val="0"/>
              <w:jc w:val="left"/>
              <w:rPr>
                <w:rFonts w:hint="eastAsia" w:ascii="宋体" w:hAnsi="宋体" w:eastAsia="宋体" w:cs="宋体"/>
                <w:color w:val="auto"/>
                <w:kern w:val="0"/>
                <w:sz w:val="21"/>
                <w:szCs w:val="21"/>
                <w:highlight w:val="none"/>
              </w:rPr>
            </w:pPr>
          </w:p>
        </w:tc>
        <w:tc>
          <w:tcPr>
            <w:tcW w:w="1530" w:type="dxa"/>
            <w:gridSpan w:val="2"/>
            <w:tcBorders>
              <w:left w:val="single" w:color="auto" w:sz="4" w:space="0"/>
              <w:bottom w:val="single" w:color="000000" w:sz="4" w:space="0"/>
              <w:right w:val="single" w:color="000000" w:sz="4" w:space="0"/>
            </w:tcBorders>
            <w:noWrap/>
          </w:tcPr>
          <w:p w14:paraId="10919D10">
            <w:pPr>
              <w:autoSpaceDE w:val="0"/>
              <w:autoSpaceDN w:val="0"/>
              <w:jc w:val="left"/>
              <w:rPr>
                <w:rFonts w:hint="eastAsia" w:ascii="宋体" w:hAnsi="宋体" w:eastAsia="宋体" w:cs="宋体"/>
                <w:color w:val="auto"/>
                <w:kern w:val="0"/>
                <w:sz w:val="21"/>
                <w:szCs w:val="21"/>
                <w:highlight w:val="none"/>
              </w:rPr>
            </w:pPr>
          </w:p>
        </w:tc>
        <w:tc>
          <w:tcPr>
            <w:tcW w:w="1564" w:type="dxa"/>
            <w:tcBorders>
              <w:bottom w:val="single" w:color="000000" w:sz="4" w:space="0"/>
              <w:right w:val="single" w:color="000000" w:sz="4" w:space="0"/>
            </w:tcBorders>
            <w:noWrap/>
          </w:tcPr>
          <w:p w14:paraId="7358A624">
            <w:pPr>
              <w:autoSpaceDE w:val="0"/>
              <w:autoSpaceDN w:val="0"/>
              <w:jc w:val="left"/>
              <w:rPr>
                <w:rFonts w:hint="eastAsia" w:ascii="宋体" w:hAnsi="宋体" w:eastAsia="宋体" w:cs="宋体"/>
                <w:color w:val="auto"/>
                <w:kern w:val="0"/>
                <w:sz w:val="21"/>
                <w:szCs w:val="21"/>
                <w:highlight w:val="none"/>
              </w:rPr>
            </w:pPr>
          </w:p>
        </w:tc>
      </w:tr>
      <w:tr w14:paraId="6C1A54E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noWrap/>
          </w:tcPr>
          <w:p w14:paraId="67111E93">
            <w:pPr>
              <w:autoSpaceDE w:val="0"/>
              <w:autoSpaceDN w:val="0"/>
              <w:jc w:val="left"/>
              <w:rPr>
                <w:rFonts w:hint="eastAsia" w:ascii="宋体" w:hAnsi="宋体" w:eastAsia="宋体" w:cs="宋体"/>
                <w:color w:val="auto"/>
                <w:kern w:val="0"/>
                <w:sz w:val="21"/>
                <w:szCs w:val="21"/>
                <w:highlight w:val="none"/>
              </w:rPr>
            </w:pPr>
          </w:p>
        </w:tc>
        <w:tc>
          <w:tcPr>
            <w:tcW w:w="1800" w:type="dxa"/>
            <w:gridSpan w:val="2"/>
            <w:tcBorders>
              <w:bottom w:val="single" w:color="000000" w:sz="4" w:space="0"/>
              <w:right w:val="single" w:color="000000" w:sz="4" w:space="0"/>
            </w:tcBorders>
            <w:noWrap/>
          </w:tcPr>
          <w:p w14:paraId="2A7E93B5">
            <w:pPr>
              <w:autoSpaceDE w:val="0"/>
              <w:autoSpaceDN w:val="0"/>
              <w:jc w:val="left"/>
              <w:rPr>
                <w:rFonts w:hint="eastAsia" w:ascii="宋体" w:hAnsi="宋体" w:eastAsia="宋体" w:cs="宋体"/>
                <w:color w:val="auto"/>
                <w:kern w:val="0"/>
                <w:sz w:val="21"/>
                <w:szCs w:val="21"/>
                <w:highlight w:val="none"/>
              </w:rPr>
            </w:pPr>
          </w:p>
        </w:tc>
        <w:tc>
          <w:tcPr>
            <w:tcW w:w="1530" w:type="dxa"/>
            <w:gridSpan w:val="3"/>
            <w:tcBorders>
              <w:bottom w:val="single" w:color="000000" w:sz="4" w:space="0"/>
              <w:right w:val="single" w:color="000000" w:sz="4" w:space="0"/>
            </w:tcBorders>
            <w:noWrap/>
          </w:tcPr>
          <w:p w14:paraId="1BA473A3">
            <w:pPr>
              <w:autoSpaceDE w:val="0"/>
              <w:autoSpaceDN w:val="0"/>
              <w:jc w:val="left"/>
              <w:rPr>
                <w:rFonts w:hint="eastAsia" w:ascii="宋体" w:hAnsi="宋体" w:eastAsia="宋体" w:cs="宋体"/>
                <w:color w:val="auto"/>
                <w:kern w:val="0"/>
                <w:sz w:val="21"/>
                <w:szCs w:val="21"/>
                <w:highlight w:val="none"/>
              </w:rPr>
            </w:pPr>
          </w:p>
        </w:tc>
        <w:tc>
          <w:tcPr>
            <w:tcW w:w="1530" w:type="dxa"/>
            <w:tcBorders>
              <w:bottom w:val="single" w:color="000000" w:sz="4" w:space="0"/>
              <w:right w:val="single" w:color="auto" w:sz="4" w:space="0"/>
            </w:tcBorders>
            <w:noWrap/>
          </w:tcPr>
          <w:p w14:paraId="78C829CC">
            <w:pPr>
              <w:autoSpaceDE w:val="0"/>
              <w:autoSpaceDN w:val="0"/>
              <w:jc w:val="left"/>
              <w:rPr>
                <w:rFonts w:hint="eastAsia" w:ascii="宋体" w:hAnsi="宋体" w:eastAsia="宋体" w:cs="宋体"/>
                <w:color w:val="auto"/>
                <w:kern w:val="0"/>
                <w:sz w:val="21"/>
                <w:szCs w:val="21"/>
                <w:highlight w:val="none"/>
              </w:rPr>
            </w:pPr>
          </w:p>
        </w:tc>
        <w:tc>
          <w:tcPr>
            <w:tcW w:w="1530" w:type="dxa"/>
            <w:gridSpan w:val="2"/>
            <w:tcBorders>
              <w:left w:val="single" w:color="auto" w:sz="4" w:space="0"/>
              <w:bottom w:val="single" w:color="000000" w:sz="4" w:space="0"/>
              <w:right w:val="single" w:color="000000" w:sz="4" w:space="0"/>
            </w:tcBorders>
            <w:noWrap/>
          </w:tcPr>
          <w:p w14:paraId="43693759">
            <w:pPr>
              <w:autoSpaceDE w:val="0"/>
              <w:autoSpaceDN w:val="0"/>
              <w:jc w:val="left"/>
              <w:rPr>
                <w:rFonts w:hint="eastAsia" w:ascii="宋体" w:hAnsi="宋体" w:eastAsia="宋体" w:cs="宋体"/>
                <w:color w:val="auto"/>
                <w:kern w:val="0"/>
                <w:sz w:val="21"/>
                <w:szCs w:val="21"/>
                <w:highlight w:val="none"/>
              </w:rPr>
            </w:pPr>
          </w:p>
        </w:tc>
        <w:tc>
          <w:tcPr>
            <w:tcW w:w="1564" w:type="dxa"/>
            <w:tcBorders>
              <w:bottom w:val="single" w:color="000000" w:sz="4" w:space="0"/>
              <w:right w:val="single" w:color="000000" w:sz="4" w:space="0"/>
            </w:tcBorders>
            <w:noWrap/>
          </w:tcPr>
          <w:p w14:paraId="789CDC94">
            <w:pPr>
              <w:autoSpaceDE w:val="0"/>
              <w:autoSpaceDN w:val="0"/>
              <w:jc w:val="left"/>
              <w:rPr>
                <w:rFonts w:hint="eastAsia" w:ascii="宋体" w:hAnsi="宋体" w:eastAsia="宋体" w:cs="宋体"/>
                <w:color w:val="auto"/>
                <w:kern w:val="0"/>
                <w:sz w:val="21"/>
                <w:szCs w:val="21"/>
                <w:highlight w:val="none"/>
              </w:rPr>
            </w:pPr>
          </w:p>
        </w:tc>
      </w:tr>
      <w:tr w14:paraId="3F5B20E6">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noWrap/>
          </w:tcPr>
          <w:p w14:paraId="04A70E8E">
            <w:pPr>
              <w:autoSpaceDE w:val="0"/>
              <w:autoSpaceDN w:val="0"/>
              <w:jc w:val="left"/>
              <w:rPr>
                <w:rFonts w:hint="eastAsia" w:ascii="宋体" w:hAnsi="宋体" w:eastAsia="宋体" w:cs="宋体"/>
                <w:color w:val="auto"/>
                <w:kern w:val="0"/>
                <w:sz w:val="21"/>
                <w:szCs w:val="21"/>
                <w:highlight w:val="none"/>
              </w:rPr>
            </w:pPr>
          </w:p>
        </w:tc>
        <w:tc>
          <w:tcPr>
            <w:tcW w:w="1800" w:type="dxa"/>
            <w:gridSpan w:val="2"/>
            <w:tcBorders>
              <w:bottom w:val="single" w:color="000000" w:sz="4" w:space="0"/>
              <w:right w:val="single" w:color="000000" w:sz="4" w:space="0"/>
            </w:tcBorders>
            <w:noWrap/>
          </w:tcPr>
          <w:p w14:paraId="66A00E57">
            <w:pPr>
              <w:autoSpaceDE w:val="0"/>
              <w:autoSpaceDN w:val="0"/>
              <w:jc w:val="left"/>
              <w:rPr>
                <w:rFonts w:hint="eastAsia" w:ascii="宋体" w:hAnsi="宋体" w:eastAsia="宋体" w:cs="宋体"/>
                <w:color w:val="auto"/>
                <w:kern w:val="0"/>
                <w:sz w:val="21"/>
                <w:szCs w:val="21"/>
                <w:highlight w:val="none"/>
              </w:rPr>
            </w:pPr>
          </w:p>
        </w:tc>
        <w:tc>
          <w:tcPr>
            <w:tcW w:w="1530" w:type="dxa"/>
            <w:gridSpan w:val="3"/>
            <w:tcBorders>
              <w:bottom w:val="single" w:color="000000" w:sz="4" w:space="0"/>
              <w:right w:val="single" w:color="000000" w:sz="4" w:space="0"/>
            </w:tcBorders>
            <w:noWrap/>
          </w:tcPr>
          <w:p w14:paraId="39E0835E">
            <w:pPr>
              <w:autoSpaceDE w:val="0"/>
              <w:autoSpaceDN w:val="0"/>
              <w:jc w:val="left"/>
              <w:rPr>
                <w:rFonts w:hint="eastAsia" w:ascii="宋体" w:hAnsi="宋体" w:eastAsia="宋体" w:cs="宋体"/>
                <w:color w:val="auto"/>
                <w:kern w:val="0"/>
                <w:sz w:val="21"/>
                <w:szCs w:val="21"/>
                <w:highlight w:val="none"/>
              </w:rPr>
            </w:pPr>
          </w:p>
        </w:tc>
        <w:tc>
          <w:tcPr>
            <w:tcW w:w="1530" w:type="dxa"/>
            <w:tcBorders>
              <w:bottom w:val="single" w:color="000000" w:sz="4" w:space="0"/>
              <w:right w:val="single" w:color="auto" w:sz="4" w:space="0"/>
            </w:tcBorders>
            <w:noWrap/>
          </w:tcPr>
          <w:p w14:paraId="3D4B47D1">
            <w:pPr>
              <w:autoSpaceDE w:val="0"/>
              <w:autoSpaceDN w:val="0"/>
              <w:jc w:val="left"/>
              <w:rPr>
                <w:rFonts w:hint="eastAsia" w:ascii="宋体" w:hAnsi="宋体" w:eastAsia="宋体" w:cs="宋体"/>
                <w:color w:val="auto"/>
                <w:kern w:val="0"/>
                <w:sz w:val="21"/>
                <w:szCs w:val="21"/>
                <w:highlight w:val="none"/>
              </w:rPr>
            </w:pPr>
          </w:p>
        </w:tc>
        <w:tc>
          <w:tcPr>
            <w:tcW w:w="1530" w:type="dxa"/>
            <w:gridSpan w:val="2"/>
            <w:tcBorders>
              <w:left w:val="single" w:color="auto" w:sz="4" w:space="0"/>
              <w:bottom w:val="single" w:color="000000" w:sz="4" w:space="0"/>
              <w:right w:val="single" w:color="000000" w:sz="4" w:space="0"/>
            </w:tcBorders>
            <w:noWrap/>
          </w:tcPr>
          <w:p w14:paraId="7106DC49">
            <w:pPr>
              <w:autoSpaceDE w:val="0"/>
              <w:autoSpaceDN w:val="0"/>
              <w:jc w:val="left"/>
              <w:rPr>
                <w:rFonts w:hint="eastAsia" w:ascii="宋体" w:hAnsi="宋体" w:eastAsia="宋体" w:cs="宋体"/>
                <w:color w:val="auto"/>
                <w:kern w:val="0"/>
                <w:sz w:val="21"/>
                <w:szCs w:val="21"/>
                <w:highlight w:val="none"/>
              </w:rPr>
            </w:pPr>
          </w:p>
        </w:tc>
        <w:tc>
          <w:tcPr>
            <w:tcW w:w="1564" w:type="dxa"/>
            <w:tcBorders>
              <w:bottom w:val="single" w:color="000000" w:sz="4" w:space="0"/>
              <w:right w:val="single" w:color="000000" w:sz="4" w:space="0"/>
            </w:tcBorders>
            <w:noWrap/>
          </w:tcPr>
          <w:p w14:paraId="0628D04F">
            <w:pPr>
              <w:autoSpaceDE w:val="0"/>
              <w:autoSpaceDN w:val="0"/>
              <w:jc w:val="left"/>
              <w:rPr>
                <w:rFonts w:hint="eastAsia" w:ascii="宋体" w:hAnsi="宋体" w:eastAsia="宋体" w:cs="宋体"/>
                <w:color w:val="auto"/>
                <w:kern w:val="0"/>
                <w:sz w:val="21"/>
                <w:szCs w:val="21"/>
                <w:highlight w:val="none"/>
              </w:rPr>
            </w:pPr>
          </w:p>
        </w:tc>
      </w:tr>
      <w:tr w14:paraId="5BB62667">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noWrap/>
          </w:tcPr>
          <w:p w14:paraId="18AE3FFB">
            <w:pPr>
              <w:autoSpaceDE w:val="0"/>
              <w:autoSpaceDN w:val="0"/>
              <w:jc w:val="left"/>
              <w:rPr>
                <w:rFonts w:hint="eastAsia" w:ascii="宋体" w:hAnsi="宋体" w:eastAsia="宋体" w:cs="宋体"/>
                <w:color w:val="auto"/>
                <w:kern w:val="0"/>
                <w:sz w:val="21"/>
                <w:szCs w:val="21"/>
                <w:highlight w:val="none"/>
              </w:rPr>
            </w:pPr>
          </w:p>
        </w:tc>
        <w:tc>
          <w:tcPr>
            <w:tcW w:w="1800" w:type="dxa"/>
            <w:gridSpan w:val="2"/>
            <w:tcBorders>
              <w:bottom w:val="single" w:color="000000" w:sz="4" w:space="0"/>
              <w:right w:val="single" w:color="000000" w:sz="4" w:space="0"/>
            </w:tcBorders>
            <w:noWrap/>
          </w:tcPr>
          <w:p w14:paraId="63C14A68">
            <w:pPr>
              <w:autoSpaceDE w:val="0"/>
              <w:autoSpaceDN w:val="0"/>
              <w:jc w:val="left"/>
              <w:rPr>
                <w:rFonts w:hint="eastAsia" w:ascii="宋体" w:hAnsi="宋体" w:eastAsia="宋体" w:cs="宋体"/>
                <w:color w:val="auto"/>
                <w:kern w:val="0"/>
                <w:sz w:val="21"/>
                <w:szCs w:val="21"/>
                <w:highlight w:val="none"/>
              </w:rPr>
            </w:pPr>
          </w:p>
        </w:tc>
        <w:tc>
          <w:tcPr>
            <w:tcW w:w="1530" w:type="dxa"/>
            <w:gridSpan w:val="3"/>
            <w:tcBorders>
              <w:bottom w:val="single" w:color="000000" w:sz="4" w:space="0"/>
              <w:right w:val="single" w:color="000000" w:sz="4" w:space="0"/>
            </w:tcBorders>
            <w:noWrap/>
          </w:tcPr>
          <w:p w14:paraId="4F54C91B">
            <w:pPr>
              <w:autoSpaceDE w:val="0"/>
              <w:autoSpaceDN w:val="0"/>
              <w:jc w:val="left"/>
              <w:rPr>
                <w:rFonts w:hint="eastAsia" w:ascii="宋体" w:hAnsi="宋体" w:eastAsia="宋体" w:cs="宋体"/>
                <w:color w:val="auto"/>
                <w:kern w:val="0"/>
                <w:sz w:val="21"/>
                <w:szCs w:val="21"/>
                <w:highlight w:val="none"/>
              </w:rPr>
            </w:pPr>
          </w:p>
        </w:tc>
        <w:tc>
          <w:tcPr>
            <w:tcW w:w="1530" w:type="dxa"/>
            <w:tcBorders>
              <w:bottom w:val="single" w:color="000000" w:sz="4" w:space="0"/>
              <w:right w:val="single" w:color="auto" w:sz="4" w:space="0"/>
            </w:tcBorders>
            <w:noWrap/>
          </w:tcPr>
          <w:p w14:paraId="7C966305">
            <w:pPr>
              <w:autoSpaceDE w:val="0"/>
              <w:autoSpaceDN w:val="0"/>
              <w:jc w:val="left"/>
              <w:rPr>
                <w:rFonts w:hint="eastAsia" w:ascii="宋体" w:hAnsi="宋体" w:eastAsia="宋体" w:cs="宋体"/>
                <w:color w:val="auto"/>
                <w:kern w:val="0"/>
                <w:sz w:val="21"/>
                <w:szCs w:val="21"/>
                <w:highlight w:val="none"/>
              </w:rPr>
            </w:pPr>
          </w:p>
        </w:tc>
        <w:tc>
          <w:tcPr>
            <w:tcW w:w="1530" w:type="dxa"/>
            <w:gridSpan w:val="2"/>
            <w:tcBorders>
              <w:left w:val="single" w:color="auto" w:sz="4" w:space="0"/>
              <w:bottom w:val="single" w:color="000000" w:sz="4" w:space="0"/>
              <w:right w:val="single" w:color="000000" w:sz="4" w:space="0"/>
            </w:tcBorders>
            <w:noWrap/>
          </w:tcPr>
          <w:p w14:paraId="1461B5AB">
            <w:pPr>
              <w:autoSpaceDE w:val="0"/>
              <w:autoSpaceDN w:val="0"/>
              <w:jc w:val="left"/>
              <w:rPr>
                <w:rFonts w:hint="eastAsia" w:ascii="宋体" w:hAnsi="宋体" w:eastAsia="宋体" w:cs="宋体"/>
                <w:color w:val="auto"/>
                <w:kern w:val="0"/>
                <w:sz w:val="21"/>
                <w:szCs w:val="21"/>
                <w:highlight w:val="none"/>
              </w:rPr>
            </w:pPr>
          </w:p>
        </w:tc>
        <w:tc>
          <w:tcPr>
            <w:tcW w:w="1564" w:type="dxa"/>
            <w:tcBorders>
              <w:bottom w:val="single" w:color="000000" w:sz="4" w:space="0"/>
              <w:right w:val="single" w:color="000000" w:sz="4" w:space="0"/>
            </w:tcBorders>
            <w:noWrap/>
          </w:tcPr>
          <w:p w14:paraId="1AC5380F">
            <w:pPr>
              <w:autoSpaceDE w:val="0"/>
              <w:autoSpaceDN w:val="0"/>
              <w:jc w:val="left"/>
              <w:rPr>
                <w:rFonts w:hint="eastAsia" w:ascii="宋体" w:hAnsi="宋体" w:eastAsia="宋体" w:cs="宋体"/>
                <w:color w:val="auto"/>
                <w:kern w:val="0"/>
                <w:sz w:val="21"/>
                <w:szCs w:val="21"/>
                <w:highlight w:val="none"/>
              </w:rPr>
            </w:pPr>
          </w:p>
        </w:tc>
      </w:tr>
    </w:tbl>
    <w:p w14:paraId="76697F01">
      <w:pPr>
        <w:spacing w:line="6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注：1、附职称证、身份证复印件。</w:t>
      </w:r>
    </w:p>
    <w:p w14:paraId="7C7DA56E">
      <w:pPr>
        <w:pStyle w:val="31"/>
        <w:snapToGrid w:val="0"/>
        <w:spacing w:line="440" w:lineRule="exact"/>
        <w:ind w:left="0" w:leftChars="0"/>
        <w:rPr>
          <w:rFonts w:ascii="宋体" w:hAnsi="宋体" w:cs="宋体"/>
          <w:b/>
          <w:bCs/>
          <w:color w:val="auto"/>
          <w:sz w:val="21"/>
          <w:szCs w:val="21"/>
          <w:highlight w:val="none"/>
        </w:rPr>
      </w:pPr>
      <w:bookmarkStart w:id="1159" w:name="_Toc184635141"/>
      <w:bookmarkEnd w:id="1159"/>
    </w:p>
    <w:p w14:paraId="3BE10406">
      <w:pPr>
        <w:pStyle w:val="31"/>
        <w:snapToGrid w:val="0"/>
        <w:spacing w:line="440" w:lineRule="exact"/>
        <w:ind w:left="0" w:leftChars="0"/>
        <w:rPr>
          <w:rFonts w:ascii="宋体" w:hAnsi="宋体" w:cs="宋体"/>
          <w:b/>
          <w:bCs/>
          <w:color w:val="auto"/>
          <w:sz w:val="21"/>
          <w:szCs w:val="21"/>
          <w:highlight w:val="none"/>
        </w:rPr>
      </w:pPr>
    </w:p>
    <w:p w14:paraId="4CD1D4BD">
      <w:pPr>
        <w:rPr>
          <w:rFonts w:hint="eastAsia"/>
          <w:color w:val="auto"/>
          <w:highlight w:val="none"/>
        </w:rPr>
      </w:pPr>
    </w:p>
    <w:p w14:paraId="2675E0D0">
      <w:pPr>
        <w:pStyle w:val="26"/>
        <w:rPr>
          <w:rFonts w:hint="eastAsia"/>
          <w:color w:val="auto"/>
          <w:highlight w:val="none"/>
        </w:rPr>
      </w:pPr>
    </w:p>
    <w:p w14:paraId="01EAF5F2">
      <w:pPr>
        <w:spacing w:line="300" w:lineRule="auto"/>
        <w:rPr>
          <w:rFonts w:ascii="宋体" w:hAnsi="宋体" w:cs="宋体"/>
          <w:color w:val="auto"/>
          <w:kern w:val="0"/>
          <w:szCs w:val="21"/>
          <w:highlight w:val="none"/>
        </w:rPr>
      </w:pPr>
      <w:r>
        <w:rPr>
          <w:rFonts w:hint="eastAsia" w:ascii="宋体" w:hAnsi="宋体" w:cs="宋体"/>
          <w:b/>
          <w:bCs/>
          <w:color w:val="auto"/>
          <w:sz w:val="28"/>
          <w:highlight w:val="none"/>
          <w:lang w:val="en-US" w:eastAsia="zh-CN"/>
        </w:rPr>
        <w:t>9、</w:t>
      </w:r>
      <w:r>
        <w:rPr>
          <w:rFonts w:hint="eastAsia" w:ascii="宋体" w:hAnsi="宋体" w:cs="宋体"/>
          <w:b/>
          <w:bCs/>
          <w:color w:val="auto"/>
          <w:sz w:val="28"/>
          <w:highlight w:val="none"/>
        </w:rPr>
        <w:t>供应商认为需要提供的有关资料。</w:t>
      </w:r>
    </w:p>
    <w:p w14:paraId="39E33A4E">
      <w:pPr>
        <w:spacing w:line="300" w:lineRule="auto"/>
        <w:rPr>
          <w:rFonts w:ascii="宋体" w:hAnsi="宋体" w:cs="宋体"/>
          <w:color w:val="auto"/>
          <w:kern w:val="0"/>
          <w:szCs w:val="21"/>
          <w:highlight w:val="none"/>
        </w:rPr>
      </w:pPr>
    </w:p>
    <w:p w14:paraId="6A2EA212">
      <w:pPr>
        <w:pStyle w:val="26"/>
        <w:rPr>
          <w:color w:val="auto"/>
          <w:highlight w:val="none"/>
        </w:rPr>
      </w:pPr>
    </w:p>
    <w:bookmarkEnd w:id="283"/>
    <w:bookmarkEnd w:id="284"/>
    <w:bookmarkEnd w:id="285"/>
    <w:bookmarkEnd w:id="286"/>
    <w:bookmarkEnd w:id="287"/>
    <w:p w14:paraId="3DDA4258">
      <w:pPr>
        <w:pStyle w:val="26"/>
        <w:rPr>
          <w:rFonts w:hint="eastAsia"/>
          <w:color w:val="auto"/>
          <w:highlight w:val="none"/>
        </w:rPr>
      </w:pPr>
      <w:bookmarkStart w:id="1160" w:name="_Toc244592830"/>
      <w:bookmarkStart w:id="1161" w:name="_Toc312957800"/>
      <w:bookmarkStart w:id="1162" w:name="_Toc256259996"/>
    </w:p>
    <w:p w14:paraId="098451AE">
      <w:pPr>
        <w:rPr>
          <w:rFonts w:hint="eastAsia"/>
          <w:color w:val="auto"/>
          <w:highlight w:val="none"/>
        </w:rPr>
      </w:pPr>
    </w:p>
    <w:p w14:paraId="51246D82">
      <w:pPr>
        <w:pStyle w:val="26"/>
        <w:rPr>
          <w:rFonts w:hint="eastAsia"/>
          <w:color w:val="auto"/>
          <w:highlight w:val="none"/>
        </w:rPr>
      </w:pPr>
    </w:p>
    <w:p w14:paraId="64330A58">
      <w:pPr>
        <w:pStyle w:val="3"/>
        <w:spacing w:line="600" w:lineRule="exact"/>
        <w:ind w:firstLine="1751" w:firstLineChars="545"/>
        <w:rPr>
          <w:rFonts w:ascii="宋体" w:hAnsi="宋体" w:eastAsia="宋体" w:cs="宋体"/>
          <w:b/>
          <w:color w:val="auto"/>
          <w:kern w:val="36"/>
          <w:highlight w:val="none"/>
        </w:rPr>
      </w:pPr>
      <w:bookmarkStart w:id="1163" w:name="_Toc16952"/>
      <w:r>
        <w:rPr>
          <w:rFonts w:hint="eastAsia" w:ascii="宋体" w:hAnsi="宋体" w:eastAsia="宋体" w:cs="宋体"/>
          <w:b/>
          <w:color w:val="auto"/>
          <w:kern w:val="36"/>
          <w:highlight w:val="none"/>
        </w:rPr>
        <w:t>第五章 磋商原则和定标办法（综合评分法）</w:t>
      </w:r>
      <w:bookmarkEnd w:id="1160"/>
      <w:bookmarkEnd w:id="1161"/>
      <w:bookmarkEnd w:id="1162"/>
      <w:bookmarkEnd w:id="1163"/>
    </w:p>
    <w:p w14:paraId="66D3C8C7">
      <w:pPr>
        <w:pStyle w:val="21"/>
        <w:snapToGrid w:val="0"/>
        <w:spacing w:line="340" w:lineRule="exact"/>
        <w:ind w:firstLine="105" w:firstLineChars="50"/>
        <w:rPr>
          <w:rFonts w:hint="eastAsia" w:ascii="宋体" w:hAnsi="宋体" w:eastAsia="宋体" w:cs="宋体"/>
          <w:b/>
          <w:color w:val="auto"/>
          <w:kern w:val="0"/>
          <w:sz w:val="21"/>
          <w:szCs w:val="21"/>
          <w:highlight w:val="none"/>
        </w:rPr>
      </w:pPr>
      <w:bookmarkStart w:id="1164" w:name="_Toc238542379"/>
      <w:bookmarkStart w:id="1165" w:name="_Toc244592831"/>
      <w:r>
        <w:rPr>
          <w:rFonts w:hint="eastAsia" w:ascii="宋体" w:hAnsi="宋体" w:eastAsia="宋体" w:cs="宋体"/>
          <w:b/>
          <w:color w:val="auto"/>
          <w:kern w:val="0"/>
          <w:sz w:val="21"/>
          <w:szCs w:val="21"/>
          <w:highlight w:val="none"/>
        </w:rPr>
        <w:t>一、磋商原则</w:t>
      </w:r>
    </w:p>
    <w:bookmarkEnd w:id="1164"/>
    <w:bookmarkEnd w:id="1165"/>
    <w:p w14:paraId="237E5B31">
      <w:pPr>
        <w:pStyle w:val="21"/>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(一)磋商小组构成：本采购项目的磋商小组成员分别由采购人代表和政府采购评审专家组成。成员人数应当为三人以上（含三人）单数</w:t>
      </w:r>
      <w:r>
        <w:rPr>
          <w:rFonts w:hint="eastAsia" w:hAnsi="宋体" w:cs="宋体"/>
          <w:bCs/>
          <w:color w:val="auto"/>
          <w:sz w:val="21"/>
          <w:szCs w:val="21"/>
          <w:highlight w:val="none"/>
          <w:lang w:eastAsia="zh-CN"/>
        </w:rPr>
        <w:t>，</w:t>
      </w:r>
      <w:r>
        <w:rPr>
          <w:rFonts w:hint="eastAsia" w:ascii="宋体" w:hAnsi="宋体" w:eastAsia="宋体" w:cs="宋体"/>
          <w:bCs/>
          <w:color w:val="auto"/>
          <w:sz w:val="21"/>
          <w:szCs w:val="21"/>
          <w:highlight w:val="none"/>
        </w:rPr>
        <w:t>其中技术、经济等方面的专家不得少于成员总数的三分之二。</w:t>
      </w:r>
    </w:p>
    <w:p w14:paraId="753235D6">
      <w:pPr>
        <w:pStyle w:val="21"/>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(二)评标依据：磋商小组将以竞争性磋商文件和磋商响应文件为评定依据进行评审</w:t>
      </w:r>
      <w:r>
        <w:rPr>
          <w:rFonts w:hint="eastAsia" w:ascii="宋体" w:hAnsi="宋体" w:eastAsia="宋体" w:cs="宋体"/>
          <w:color w:val="auto"/>
          <w:sz w:val="21"/>
          <w:szCs w:val="21"/>
          <w:highlight w:val="none"/>
        </w:rPr>
        <w:t>。</w:t>
      </w:r>
    </w:p>
    <w:p w14:paraId="68E4EE79">
      <w:pPr>
        <w:pStyle w:val="21"/>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(三)评标方法：</w:t>
      </w:r>
      <w:r>
        <w:rPr>
          <w:rFonts w:hint="eastAsia" w:ascii="宋体" w:hAnsi="宋体" w:eastAsia="宋体" w:cs="宋体"/>
          <w:color w:val="auto"/>
          <w:sz w:val="21"/>
          <w:szCs w:val="21"/>
          <w:highlight w:val="none"/>
        </w:rPr>
        <w:t>采用综合评分法评标</w:t>
      </w:r>
      <w:r>
        <w:rPr>
          <w:rFonts w:hint="eastAsia" w:ascii="宋体" w:hAnsi="宋体" w:eastAsia="宋体" w:cs="宋体"/>
          <w:bCs/>
          <w:color w:val="auto"/>
          <w:sz w:val="21"/>
          <w:szCs w:val="21"/>
          <w:highlight w:val="none"/>
        </w:rPr>
        <w:t>。综合评分法，是指响应文件满足磋商文件全部实质性要求且按照评审因素的量化指标评审得分最高的供应商为成交候选供应商的评审方法。</w:t>
      </w:r>
    </w:p>
    <w:p w14:paraId="1A0783B7">
      <w:pPr>
        <w:autoSpaceDE w:val="0"/>
        <w:autoSpaceDN w:val="0"/>
        <w:adjustRightInd w:val="0"/>
        <w:snapToGrid w:val="0"/>
        <w:spacing w:line="42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（四）</w:t>
      </w:r>
      <w:r>
        <w:rPr>
          <w:rFonts w:hint="eastAsia" w:ascii="宋体" w:hAnsi="宋体" w:eastAsia="宋体" w:cs="宋体"/>
          <w:b/>
          <w:bCs w:val="0"/>
          <w:color w:val="auto"/>
          <w:sz w:val="21"/>
          <w:szCs w:val="21"/>
          <w:highlight w:val="none"/>
        </w:rPr>
        <w:t>本项目采购</w:t>
      </w:r>
      <w:r>
        <w:rPr>
          <w:rFonts w:hint="eastAsia" w:ascii="宋体" w:hAnsi="宋体" w:eastAsia="宋体" w:cs="宋体"/>
          <w:b/>
          <w:bCs w:val="0"/>
          <w:color w:val="auto"/>
          <w:sz w:val="21"/>
          <w:szCs w:val="21"/>
          <w:highlight w:val="none"/>
          <w:lang w:val="en-US" w:eastAsia="zh-CN"/>
        </w:rPr>
        <w:t>最高限价</w:t>
      </w:r>
      <w:r>
        <w:rPr>
          <w:rFonts w:hint="eastAsia" w:ascii="宋体" w:hAnsi="宋体" w:eastAsia="宋体" w:cs="宋体"/>
          <w:b/>
          <w:bCs w:val="0"/>
          <w:color w:val="auto"/>
          <w:sz w:val="21"/>
          <w:szCs w:val="21"/>
          <w:highlight w:val="none"/>
        </w:rPr>
        <w:t>为：</w:t>
      </w:r>
      <w:r>
        <w:rPr>
          <w:rFonts w:hint="eastAsia" w:hAnsi="宋体" w:cs="宋体"/>
          <w:b/>
          <w:bCs/>
          <w:color w:val="auto"/>
          <w:highlight w:val="none"/>
        </w:rPr>
        <w:t>人民币</w:t>
      </w:r>
      <w:r>
        <w:rPr>
          <w:rFonts w:hint="eastAsia" w:hAnsi="宋体" w:cs="宋体"/>
          <w:b/>
          <w:bCs/>
          <w:color w:val="auto"/>
          <w:highlight w:val="none"/>
          <w:lang w:val="en-US" w:eastAsia="zh-CN"/>
        </w:rPr>
        <w:t>贰佰玖拾柒万柒仟伍佰玖拾陆元捌角肆分</w:t>
      </w:r>
      <w:r>
        <w:rPr>
          <w:rFonts w:hint="eastAsia" w:hAnsi="宋体" w:cs="宋体"/>
          <w:b/>
          <w:bCs/>
          <w:color w:val="auto"/>
          <w:highlight w:val="none"/>
        </w:rPr>
        <w:t>（￥</w:t>
      </w:r>
      <w:r>
        <w:rPr>
          <w:rFonts w:hint="eastAsia" w:hAnsi="宋体" w:cs="宋体"/>
          <w:b/>
          <w:bCs/>
          <w:color w:val="auto"/>
          <w:highlight w:val="none"/>
          <w:lang w:val="en-US" w:eastAsia="zh-CN"/>
        </w:rPr>
        <w:t>2977596.84</w:t>
      </w:r>
      <w:r>
        <w:rPr>
          <w:rFonts w:hint="eastAsia" w:hAnsi="宋体" w:cs="宋体"/>
          <w:b/>
          <w:bCs/>
          <w:color w:val="auto"/>
          <w:highlight w:val="none"/>
        </w:rPr>
        <w:t>元）</w:t>
      </w:r>
      <w:r>
        <w:rPr>
          <w:rFonts w:hint="eastAsia" w:ascii="宋体" w:hAnsi="宋体" w:eastAsia="宋体" w:cs="宋体"/>
          <w:b/>
          <w:bCs w:val="0"/>
          <w:color w:val="auto"/>
          <w:sz w:val="21"/>
          <w:szCs w:val="21"/>
          <w:highlight w:val="none"/>
          <w:lang w:eastAsia="zh-CN"/>
        </w:rPr>
        <w:t>。</w:t>
      </w:r>
      <w:r>
        <w:rPr>
          <w:rFonts w:hint="eastAsia" w:ascii="宋体" w:hAnsi="宋体" w:cs="宋体"/>
          <w:b/>
          <w:bCs/>
          <w:color w:val="auto"/>
          <w:highlight w:val="none"/>
        </w:rPr>
        <w:t>磋商报价有效报价范围为小于或等于采购最高限价</w:t>
      </w:r>
      <w:r>
        <w:rPr>
          <w:rFonts w:hint="eastAsia" w:ascii="宋体" w:hAnsi="宋体" w:cs="宋体"/>
          <w:b/>
          <w:bCs/>
          <w:color w:val="auto"/>
          <w:highlight w:val="none"/>
          <w:lang w:val="en-US" w:eastAsia="zh-CN"/>
        </w:rPr>
        <w:t>及对应的控制价单价</w:t>
      </w:r>
      <w:r>
        <w:rPr>
          <w:rFonts w:hint="eastAsia" w:ascii="宋体" w:hAnsi="宋体" w:cs="宋体"/>
          <w:b/>
          <w:bCs/>
          <w:color w:val="auto"/>
          <w:highlight w:val="none"/>
        </w:rPr>
        <w:t>，且经磋商小组审定不存在严重不平衡、不合理、不低于其企业成本的</w:t>
      </w:r>
      <w:r>
        <w:rPr>
          <w:rFonts w:hint="eastAsia" w:ascii="宋体" w:hAnsi="宋体" w:eastAsia="宋体" w:cs="宋体"/>
          <w:b/>
          <w:bCs/>
          <w:color w:val="auto"/>
          <w:highlight w:val="none"/>
        </w:rPr>
        <w:t>磋商</w:t>
      </w:r>
      <w:r>
        <w:rPr>
          <w:rFonts w:hint="eastAsia" w:ascii="宋体" w:hAnsi="宋体" w:cs="宋体"/>
          <w:b/>
          <w:bCs/>
          <w:color w:val="auto"/>
          <w:highlight w:val="none"/>
        </w:rPr>
        <w:t>报价。</w:t>
      </w:r>
      <w:r>
        <w:rPr>
          <w:rFonts w:hint="eastAsia" w:ascii="宋体" w:hAnsi="宋体" w:eastAsia="宋体" w:cs="宋体"/>
          <w:b/>
          <w:bCs/>
          <w:color w:val="auto"/>
          <w:highlight w:val="none"/>
        </w:rPr>
        <w:t>磋商</w:t>
      </w:r>
      <w:r>
        <w:rPr>
          <w:rFonts w:hint="eastAsia" w:ascii="宋体" w:hAnsi="宋体" w:cs="宋体"/>
          <w:b/>
          <w:bCs/>
          <w:color w:val="auto"/>
          <w:highlight w:val="none"/>
        </w:rPr>
        <w:t>报价超出有效报价范围，作废标处理。</w:t>
      </w:r>
    </w:p>
    <w:p w14:paraId="532B9C44">
      <w:pPr>
        <w:pStyle w:val="21"/>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五</w:t>
      </w:r>
      <w:r>
        <w:rPr>
          <w:rFonts w:hint="eastAsia" w:ascii="宋体" w:hAnsi="宋体" w:eastAsia="宋体" w:cs="宋体"/>
          <w:bCs/>
          <w:color w:val="auto"/>
          <w:sz w:val="21"/>
          <w:szCs w:val="21"/>
          <w:highlight w:val="none"/>
        </w:rPr>
        <w:t>）评审程序</w:t>
      </w:r>
    </w:p>
    <w:p w14:paraId="7A448DB7">
      <w:pPr>
        <w:pStyle w:val="21"/>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1、初步评审（包括资格性审查和符合性审查）；</w:t>
      </w:r>
    </w:p>
    <w:p w14:paraId="0EBD1A67">
      <w:pPr>
        <w:pStyle w:val="21"/>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2、磋商；</w:t>
      </w:r>
    </w:p>
    <w:p w14:paraId="1DD684D7">
      <w:pPr>
        <w:pStyle w:val="21"/>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3、重新提交响应文件（如磋商文件有实质性变动或磋商后确定最终设计解决方案）；</w:t>
      </w:r>
    </w:p>
    <w:p w14:paraId="1E5D2AC4">
      <w:pPr>
        <w:pStyle w:val="21"/>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4、最后报价；</w:t>
      </w:r>
    </w:p>
    <w:p w14:paraId="56CCD05E">
      <w:pPr>
        <w:pStyle w:val="21"/>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5、详细评审；</w:t>
      </w:r>
    </w:p>
    <w:p w14:paraId="23F150DA">
      <w:pPr>
        <w:pStyle w:val="21"/>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6、推荐成交候选供应商名单。</w:t>
      </w:r>
    </w:p>
    <w:p w14:paraId="413E5274">
      <w:pPr>
        <w:pStyle w:val="21"/>
        <w:spacing w:line="44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二、评审方法</w:t>
      </w:r>
    </w:p>
    <w:p w14:paraId="63AA1C36">
      <w:pPr>
        <w:spacing w:after="0"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（一）初步评审</w:t>
      </w:r>
    </w:p>
    <w:p w14:paraId="5E88C9E0">
      <w:pPr>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初步评审包括资格性审查及符合性审查。</w:t>
      </w:r>
    </w:p>
    <w:p w14:paraId="37887C4A">
      <w:pPr>
        <w:spacing w:after="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1、资格性审查</w:t>
      </w:r>
    </w:p>
    <w:p w14:paraId="30B90484">
      <w:pPr>
        <w:pStyle w:val="2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由磋商小组对所有供应商的响应文件进行资格审查。以确定供应商是否具备磋商资格。资格性检查</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lang w:val="en-US" w:eastAsia="zh-CN"/>
        </w:rPr>
        <w:t>第二章供应商须知“2.资格证明文件组成内容”</w:t>
      </w:r>
      <w:r>
        <w:rPr>
          <w:rFonts w:hint="eastAsia" w:ascii="宋体" w:hAnsi="宋体" w:eastAsia="宋体" w:cs="宋体"/>
          <w:color w:val="auto"/>
          <w:sz w:val="21"/>
          <w:szCs w:val="21"/>
          <w:highlight w:val="none"/>
          <w:lang w:eastAsia="zh-CN"/>
        </w:rPr>
        <w:t>要求提供</w:t>
      </w:r>
      <w:r>
        <w:rPr>
          <w:rFonts w:hint="eastAsia" w:ascii="宋体" w:hAnsi="宋体" w:eastAsia="宋体" w:cs="宋体"/>
          <w:color w:val="auto"/>
          <w:sz w:val="21"/>
          <w:szCs w:val="21"/>
          <w:highlight w:val="none"/>
        </w:rPr>
        <w:t>，缺少任何一项或有任何一项不合格者，其资格性审查视为不合格。</w:t>
      </w:r>
    </w:p>
    <w:p w14:paraId="774561E6">
      <w:pPr>
        <w:spacing w:after="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2、符合性检查 </w:t>
      </w:r>
    </w:p>
    <w:p w14:paraId="2A3DF7ED">
      <w:pPr>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性审查结束后，由磋商小组对通过资格性审查的供应商的响应文件进行符合性审查，以确定供应商是否满足磋商文件的实质性要求。符合性检查资料表如下，缺少任何一项或有任何一项不合格者，其符合性审查视为不合格。</w:t>
      </w:r>
    </w:p>
    <w:tbl>
      <w:tblPr>
        <w:tblStyle w:val="41"/>
        <w:tblW w:w="8077" w:type="dxa"/>
        <w:jc w:val="center"/>
        <w:tblLayout w:type="autofit"/>
        <w:tblCellMar>
          <w:top w:w="0" w:type="dxa"/>
          <w:left w:w="108" w:type="dxa"/>
          <w:bottom w:w="0" w:type="dxa"/>
          <w:right w:w="108" w:type="dxa"/>
        </w:tblCellMar>
      </w:tblPr>
      <w:tblGrid>
        <w:gridCol w:w="2382"/>
        <w:gridCol w:w="5695"/>
      </w:tblGrid>
      <w:tr w14:paraId="28D51ECA">
        <w:tblPrEx>
          <w:tblCellMar>
            <w:top w:w="0" w:type="dxa"/>
            <w:left w:w="108" w:type="dxa"/>
            <w:bottom w:w="0" w:type="dxa"/>
            <w:right w:w="108" w:type="dxa"/>
          </w:tblCellMar>
        </w:tblPrEx>
        <w:trPr>
          <w:trHeight w:val="527" w:hRule="atLeast"/>
          <w:tblHeader/>
          <w:jc w:val="center"/>
        </w:trPr>
        <w:tc>
          <w:tcPr>
            <w:tcW w:w="23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04C7DE">
            <w:pP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5695" w:type="dxa"/>
            <w:tcBorders>
              <w:top w:val="single" w:color="auto" w:sz="4" w:space="0"/>
              <w:left w:val="nil"/>
              <w:bottom w:val="single" w:color="auto" w:sz="4" w:space="0"/>
              <w:right w:val="single" w:color="auto" w:sz="4" w:space="0"/>
            </w:tcBorders>
            <w:shd w:val="clear" w:color="auto" w:fill="auto"/>
            <w:noWrap w:val="0"/>
            <w:vAlign w:val="center"/>
          </w:tcPr>
          <w:p w14:paraId="4E28A3E8">
            <w:pPr>
              <w:adjustRightInd/>
              <w:snapToGrid/>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评审内容及评审标准</w:t>
            </w:r>
          </w:p>
        </w:tc>
      </w:tr>
      <w:tr w14:paraId="614F825C">
        <w:tblPrEx>
          <w:tblCellMar>
            <w:top w:w="0" w:type="dxa"/>
            <w:left w:w="108" w:type="dxa"/>
            <w:bottom w:w="0" w:type="dxa"/>
            <w:right w:w="108" w:type="dxa"/>
          </w:tblCellMar>
        </w:tblPrEx>
        <w:trPr>
          <w:trHeight w:val="766" w:hRule="atLeast"/>
          <w:jc w:val="center"/>
        </w:trPr>
        <w:tc>
          <w:tcPr>
            <w:tcW w:w="2382" w:type="dxa"/>
            <w:tcBorders>
              <w:top w:val="nil"/>
              <w:left w:val="single" w:color="auto" w:sz="4" w:space="0"/>
              <w:bottom w:val="single" w:color="auto" w:sz="4" w:space="0"/>
              <w:right w:val="single" w:color="auto" w:sz="4" w:space="0"/>
            </w:tcBorders>
            <w:shd w:val="clear" w:color="auto" w:fill="auto"/>
            <w:noWrap w:val="0"/>
            <w:vAlign w:val="center"/>
          </w:tcPr>
          <w:p w14:paraId="2AD69814">
            <w:pP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响应文件签署</w:t>
            </w:r>
          </w:p>
        </w:tc>
        <w:tc>
          <w:tcPr>
            <w:tcW w:w="5695" w:type="dxa"/>
            <w:tcBorders>
              <w:top w:val="nil"/>
              <w:left w:val="nil"/>
              <w:bottom w:val="single" w:color="auto" w:sz="4" w:space="0"/>
              <w:right w:val="single" w:color="auto" w:sz="4" w:space="0"/>
            </w:tcBorders>
            <w:shd w:val="clear" w:color="auto" w:fill="auto"/>
            <w:noWrap w:val="0"/>
            <w:vAlign w:val="center"/>
          </w:tcPr>
          <w:p w14:paraId="79AA1EEC">
            <w:pP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响应文件上法定代表人或其授权代表人已按要求签字盖章。 </w:t>
            </w:r>
          </w:p>
        </w:tc>
      </w:tr>
      <w:tr w14:paraId="425ABD3B">
        <w:tblPrEx>
          <w:tblCellMar>
            <w:top w:w="0" w:type="dxa"/>
            <w:left w:w="108" w:type="dxa"/>
            <w:bottom w:w="0" w:type="dxa"/>
            <w:right w:w="108" w:type="dxa"/>
          </w:tblCellMar>
        </w:tblPrEx>
        <w:trPr>
          <w:trHeight w:val="1130" w:hRule="atLeast"/>
          <w:jc w:val="center"/>
        </w:trPr>
        <w:tc>
          <w:tcPr>
            <w:tcW w:w="2382" w:type="dxa"/>
            <w:tcBorders>
              <w:top w:val="nil"/>
              <w:left w:val="single" w:color="auto" w:sz="4" w:space="0"/>
              <w:bottom w:val="single" w:color="auto" w:sz="4" w:space="0"/>
              <w:right w:val="single" w:color="auto" w:sz="4" w:space="0"/>
            </w:tcBorders>
            <w:shd w:val="clear" w:color="auto" w:fill="auto"/>
            <w:noWrap w:val="0"/>
            <w:vAlign w:val="center"/>
          </w:tcPr>
          <w:p w14:paraId="349FEE85">
            <w:pP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w:t>
            </w:r>
          </w:p>
        </w:tc>
        <w:tc>
          <w:tcPr>
            <w:tcW w:w="5695" w:type="dxa"/>
            <w:tcBorders>
              <w:top w:val="nil"/>
              <w:left w:val="nil"/>
              <w:bottom w:val="single" w:color="auto" w:sz="4" w:space="0"/>
              <w:right w:val="single" w:color="auto" w:sz="4" w:space="0"/>
            </w:tcBorders>
            <w:shd w:val="clear" w:color="auto" w:fill="auto"/>
            <w:noWrap w:val="0"/>
            <w:vAlign w:val="center"/>
          </w:tcPr>
          <w:p w14:paraId="626B9CFF">
            <w:pPr>
              <w:adjustRightInd/>
              <w:snapToGrid/>
              <w:spacing w:after="0"/>
              <w:ind w:firstLine="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法定代表人身份证明及授权委托书须有效，符合采购文件规定的格式，签字或盖章齐全。</w:t>
            </w:r>
          </w:p>
        </w:tc>
      </w:tr>
      <w:tr w14:paraId="215964E6">
        <w:tblPrEx>
          <w:tblCellMar>
            <w:top w:w="0" w:type="dxa"/>
            <w:left w:w="108" w:type="dxa"/>
            <w:bottom w:w="0" w:type="dxa"/>
            <w:right w:w="108" w:type="dxa"/>
          </w:tblCellMar>
        </w:tblPrEx>
        <w:trPr>
          <w:trHeight w:val="856" w:hRule="atLeast"/>
          <w:jc w:val="center"/>
        </w:trPr>
        <w:tc>
          <w:tcPr>
            <w:tcW w:w="2382" w:type="dxa"/>
            <w:tcBorders>
              <w:top w:val="nil"/>
              <w:left w:val="single" w:color="auto" w:sz="4" w:space="0"/>
              <w:bottom w:val="single" w:color="auto" w:sz="4" w:space="0"/>
              <w:right w:val="single" w:color="auto" w:sz="4" w:space="0"/>
            </w:tcBorders>
            <w:shd w:val="clear" w:color="auto" w:fill="auto"/>
            <w:noWrap w:val="0"/>
            <w:vAlign w:val="center"/>
          </w:tcPr>
          <w:p w14:paraId="2383B3BE">
            <w:pP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w:t>
            </w:r>
          </w:p>
        </w:tc>
        <w:tc>
          <w:tcPr>
            <w:tcW w:w="5695" w:type="dxa"/>
            <w:tcBorders>
              <w:top w:val="nil"/>
              <w:left w:val="nil"/>
              <w:bottom w:val="single" w:color="auto" w:sz="4" w:space="0"/>
              <w:right w:val="single" w:color="auto" w:sz="4" w:space="0"/>
            </w:tcBorders>
            <w:shd w:val="clear" w:color="auto" w:fill="auto"/>
            <w:noWrap w:val="0"/>
            <w:vAlign w:val="center"/>
          </w:tcPr>
          <w:p w14:paraId="7A72A349">
            <w:pP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报价超出</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最高限价的，响应文件无效。提交有选择的或有条件的报价，响应文件无效。</w:t>
            </w:r>
          </w:p>
        </w:tc>
      </w:tr>
      <w:tr w14:paraId="65B3E764">
        <w:tblPrEx>
          <w:tblCellMar>
            <w:top w:w="0" w:type="dxa"/>
            <w:left w:w="108" w:type="dxa"/>
            <w:bottom w:w="0" w:type="dxa"/>
            <w:right w:w="108" w:type="dxa"/>
          </w:tblCellMar>
        </w:tblPrEx>
        <w:trPr>
          <w:trHeight w:val="464" w:hRule="atLeast"/>
          <w:jc w:val="center"/>
        </w:trPr>
        <w:tc>
          <w:tcPr>
            <w:tcW w:w="2382" w:type="dxa"/>
            <w:tcBorders>
              <w:top w:val="nil"/>
              <w:left w:val="single" w:color="auto" w:sz="4" w:space="0"/>
              <w:bottom w:val="single" w:color="auto" w:sz="4" w:space="0"/>
              <w:right w:val="single" w:color="auto" w:sz="4" w:space="0"/>
            </w:tcBorders>
            <w:shd w:val="clear" w:color="auto" w:fill="auto"/>
            <w:noWrap w:val="0"/>
            <w:vAlign w:val="center"/>
          </w:tcPr>
          <w:p w14:paraId="4E719E68">
            <w:pP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响应文件内容</w:t>
            </w:r>
          </w:p>
        </w:tc>
        <w:tc>
          <w:tcPr>
            <w:tcW w:w="5695" w:type="dxa"/>
            <w:tcBorders>
              <w:top w:val="nil"/>
              <w:left w:val="nil"/>
              <w:bottom w:val="single" w:color="auto" w:sz="4" w:space="0"/>
              <w:right w:val="single" w:color="auto" w:sz="4" w:space="0"/>
            </w:tcBorders>
            <w:shd w:val="clear" w:color="auto" w:fill="auto"/>
            <w:noWrap w:val="0"/>
            <w:vAlign w:val="center"/>
          </w:tcPr>
          <w:p w14:paraId="7B42B59A">
            <w:pP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响应文件内容齐全、无遗漏。</w:t>
            </w:r>
          </w:p>
        </w:tc>
      </w:tr>
      <w:tr w14:paraId="03F09884">
        <w:tblPrEx>
          <w:tblCellMar>
            <w:top w:w="0" w:type="dxa"/>
            <w:left w:w="108" w:type="dxa"/>
            <w:bottom w:w="0" w:type="dxa"/>
            <w:right w:w="108" w:type="dxa"/>
          </w:tblCellMar>
        </w:tblPrEx>
        <w:trPr>
          <w:trHeight w:val="766" w:hRule="atLeast"/>
          <w:jc w:val="center"/>
        </w:trPr>
        <w:tc>
          <w:tcPr>
            <w:tcW w:w="2382" w:type="dxa"/>
            <w:tcBorders>
              <w:top w:val="nil"/>
              <w:left w:val="single" w:color="auto" w:sz="4" w:space="0"/>
              <w:bottom w:val="single" w:color="auto" w:sz="4" w:space="0"/>
              <w:right w:val="single" w:color="auto" w:sz="4" w:space="0"/>
            </w:tcBorders>
            <w:shd w:val="clear" w:color="auto" w:fill="auto"/>
            <w:noWrap w:val="0"/>
            <w:vAlign w:val="center"/>
          </w:tcPr>
          <w:p w14:paraId="18D683F1">
            <w:pP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响应文件格式</w:t>
            </w:r>
          </w:p>
        </w:tc>
        <w:tc>
          <w:tcPr>
            <w:tcW w:w="5695" w:type="dxa"/>
            <w:tcBorders>
              <w:top w:val="nil"/>
              <w:left w:val="nil"/>
              <w:bottom w:val="single" w:color="auto" w:sz="4" w:space="0"/>
              <w:right w:val="single" w:color="auto" w:sz="4" w:space="0"/>
            </w:tcBorders>
            <w:shd w:val="clear" w:color="auto" w:fill="auto"/>
            <w:noWrap w:val="0"/>
            <w:vAlign w:val="center"/>
          </w:tcPr>
          <w:p w14:paraId="4DDC9DE1">
            <w:pPr>
              <w:adjustRightInd/>
              <w:snapToGrid/>
              <w:spacing w:after="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响应文件按</w:t>
            </w:r>
            <w:r>
              <w:rPr>
                <w:rFonts w:hint="eastAsia" w:ascii="宋体" w:hAnsi="宋体" w:eastAsia="宋体" w:cs="宋体"/>
                <w:color w:val="auto"/>
                <w:sz w:val="21"/>
                <w:szCs w:val="21"/>
                <w:highlight w:val="none"/>
                <w:lang w:eastAsia="zh-CN"/>
              </w:rPr>
              <w:t>第四章</w:t>
            </w:r>
            <w:r>
              <w:rPr>
                <w:rFonts w:hint="eastAsia" w:ascii="宋体" w:hAnsi="宋体" w:eastAsia="宋体" w:cs="宋体"/>
                <w:color w:val="auto"/>
                <w:sz w:val="21"/>
                <w:szCs w:val="21"/>
                <w:highlight w:val="none"/>
              </w:rPr>
              <w:t>“响应文件格式”的规定编写和提供。</w:t>
            </w:r>
          </w:p>
        </w:tc>
      </w:tr>
      <w:tr w14:paraId="41CDA389">
        <w:tblPrEx>
          <w:tblCellMar>
            <w:top w:w="0" w:type="dxa"/>
            <w:left w:w="108" w:type="dxa"/>
            <w:bottom w:w="0" w:type="dxa"/>
            <w:right w:w="108" w:type="dxa"/>
          </w:tblCellMar>
        </w:tblPrEx>
        <w:trPr>
          <w:trHeight w:val="777" w:hRule="atLeast"/>
          <w:jc w:val="center"/>
        </w:trPr>
        <w:tc>
          <w:tcPr>
            <w:tcW w:w="2382" w:type="dxa"/>
            <w:tcBorders>
              <w:top w:val="nil"/>
              <w:left w:val="single" w:color="auto" w:sz="4" w:space="0"/>
              <w:bottom w:val="single" w:color="auto" w:sz="4" w:space="0"/>
              <w:right w:val="single" w:color="auto" w:sz="4" w:space="0"/>
            </w:tcBorders>
            <w:shd w:val="clear" w:color="auto" w:fill="auto"/>
            <w:noWrap w:val="0"/>
            <w:vAlign w:val="center"/>
          </w:tcPr>
          <w:p w14:paraId="309C38C9">
            <w:pP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 xml:space="preserve">有效期 </w:t>
            </w:r>
          </w:p>
        </w:tc>
        <w:tc>
          <w:tcPr>
            <w:tcW w:w="5695" w:type="dxa"/>
            <w:tcBorders>
              <w:top w:val="nil"/>
              <w:left w:val="nil"/>
              <w:bottom w:val="single" w:color="auto" w:sz="4" w:space="0"/>
              <w:right w:val="single" w:color="auto" w:sz="4" w:space="0"/>
            </w:tcBorders>
            <w:shd w:val="clear" w:color="auto" w:fill="auto"/>
            <w:noWrap w:val="0"/>
            <w:vAlign w:val="center"/>
          </w:tcPr>
          <w:p w14:paraId="0CDD548F">
            <w:pPr>
              <w:adjustRightInd/>
              <w:snapToGrid/>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满足磋商文件规定并在第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章“响应文件格式”磋商书做出响应的。</w:t>
            </w:r>
          </w:p>
        </w:tc>
      </w:tr>
      <w:tr w14:paraId="1E2EA42E">
        <w:tblPrEx>
          <w:tblCellMar>
            <w:top w:w="0" w:type="dxa"/>
            <w:left w:w="108" w:type="dxa"/>
            <w:bottom w:w="0" w:type="dxa"/>
            <w:right w:w="108" w:type="dxa"/>
          </w:tblCellMar>
        </w:tblPrEx>
        <w:trPr>
          <w:trHeight w:val="777" w:hRule="atLeast"/>
          <w:jc w:val="center"/>
        </w:trPr>
        <w:tc>
          <w:tcPr>
            <w:tcW w:w="23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E1F296">
            <w:pPr>
              <w:adjustRightInd/>
              <w:snapToGrid/>
              <w:spacing w:after="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实质性响应</w:t>
            </w:r>
          </w:p>
        </w:tc>
        <w:tc>
          <w:tcPr>
            <w:tcW w:w="5695" w:type="dxa"/>
            <w:tcBorders>
              <w:top w:val="single" w:color="auto" w:sz="4" w:space="0"/>
              <w:left w:val="nil"/>
              <w:bottom w:val="single" w:color="auto" w:sz="4" w:space="0"/>
              <w:right w:val="single" w:color="auto" w:sz="4" w:space="0"/>
            </w:tcBorders>
            <w:shd w:val="clear" w:color="auto" w:fill="auto"/>
            <w:noWrap w:val="0"/>
            <w:vAlign w:val="center"/>
          </w:tcPr>
          <w:p w14:paraId="00D330F8">
            <w:pPr>
              <w:adjustRightInd/>
              <w:snapToGrid/>
              <w:spacing w:after="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文件要求</w:t>
            </w:r>
          </w:p>
        </w:tc>
      </w:tr>
    </w:tbl>
    <w:p w14:paraId="05495974">
      <w:pPr>
        <w:pStyle w:val="21"/>
        <w:spacing w:line="4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（二）详细评审</w:t>
      </w:r>
    </w:p>
    <w:p w14:paraId="31F486EB">
      <w:pPr>
        <w:pStyle w:val="2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磋商结束后磋商小组按磋商文件中规定的评审方法及评审标准对响应文件及双方磋商的书面结果，进行详细评审。具体评标标准见《评分表》。</w:t>
      </w:r>
    </w:p>
    <w:p w14:paraId="5284B64E">
      <w:pPr>
        <w:pStyle w:val="21"/>
        <w:spacing w:line="500" w:lineRule="exact"/>
        <w:ind w:firstLine="420" w:firstLineChars="200"/>
        <w:jc w:val="left"/>
        <w:rPr>
          <w:rFonts w:hAnsi="宋体" w:cs="宋体"/>
          <w:color w:val="auto"/>
          <w:highlight w:val="none"/>
        </w:rPr>
      </w:pPr>
      <w:r>
        <w:rPr>
          <w:rFonts w:hint="eastAsia" w:hAnsi="宋体" w:cs="宋体"/>
          <w:color w:val="auto"/>
          <w:highlight w:val="none"/>
        </w:rPr>
        <w:t>对进入详细评审的，采用百分制对其磋商报价、施工组织设计方面进行综合评分。</w:t>
      </w:r>
    </w:p>
    <w:p w14:paraId="4AE768A0">
      <w:pPr>
        <w:pStyle w:val="21"/>
        <w:spacing w:line="500" w:lineRule="exact"/>
        <w:ind w:firstLine="420" w:firstLineChars="200"/>
        <w:jc w:val="left"/>
        <w:rPr>
          <w:rFonts w:hAnsi="宋体" w:cs="宋体"/>
          <w:color w:val="auto"/>
          <w:highlight w:val="none"/>
        </w:rPr>
      </w:pPr>
      <w:r>
        <w:rPr>
          <w:rFonts w:hint="eastAsia" w:hAnsi="宋体" w:cs="宋体"/>
          <w:color w:val="auto"/>
          <w:highlight w:val="none"/>
        </w:rPr>
        <w:t>详细评审评审标准(满分100分，按四舍五入取至百分位两位小数)</w:t>
      </w:r>
    </w:p>
    <w:tbl>
      <w:tblPr>
        <w:tblStyle w:val="41"/>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350"/>
        <w:gridCol w:w="6245"/>
      </w:tblGrid>
      <w:tr w14:paraId="543C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447" w:type="dxa"/>
            <w:gridSpan w:val="2"/>
            <w:noWrap/>
            <w:vAlign w:val="center"/>
          </w:tcPr>
          <w:p w14:paraId="5B33845F">
            <w:pPr>
              <w:adjustRightInd w:val="0"/>
              <w:snapToGrid w:val="0"/>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评审内容和分值</w:t>
            </w:r>
          </w:p>
        </w:tc>
        <w:tc>
          <w:tcPr>
            <w:tcW w:w="6245" w:type="dxa"/>
            <w:noWrap/>
            <w:vAlign w:val="center"/>
          </w:tcPr>
          <w:p w14:paraId="70250CC3">
            <w:pPr>
              <w:adjustRightInd w:val="0"/>
              <w:snapToGrid w:val="0"/>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r>
      <w:tr w14:paraId="4352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447" w:type="dxa"/>
            <w:gridSpan w:val="2"/>
            <w:noWrap/>
            <w:vAlign w:val="center"/>
          </w:tcPr>
          <w:p w14:paraId="2CD34B62">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磋商报价分</w:t>
            </w:r>
          </w:p>
          <w:p w14:paraId="14498DD0">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（30分）</w:t>
            </w:r>
          </w:p>
        </w:tc>
        <w:tc>
          <w:tcPr>
            <w:tcW w:w="6245" w:type="dxa"/>
            <w:noWrap/>
            <w:vAlign w:val="center"/>
          </w:tcPr>
          <w:p w14:paraId="54F6D282">
            <w:pPr>
              <w:spacing w:line="360" w:lineRule="exact"/>
              <w:rPr>
                <w:rFonts w:ascii="宋体" w:hAnsi="宋体" w:cs="宋体"/>
                <w:color w:val="auto"/>
                <w:szCs w:val="21"/>
                <w:highlight w:val="none"/>
              </w:rPr>
            </w:pPr>
            <w:r>
              <w:rPr>
                <w:rFonts w:ascii="宋体" w:hAnsi="宋体" w:cs="宋体"/>
                <w:color w:val="auto"/>
                <w:szCs w:val="21"/>
                <w:highlight w:val="none"/>
              </w:rPr>
              <w:t>（1）在评审过程中，磋商小组发现供应商的报价明显低于市场价格或者低于成本的，有可能影响服务质量和不能诚信履约的，应要求该供应商在规定的期限内提供书面文件予以解释说明。否则，磋商小组可以认定该供应商以低于成本报价磋商或报价严重不平衡、不合理，其</w:t>
            </w:r>
            <w:r>
              <w:rPr>
                <w:rFonts w:hint="eastAsia" w:ascii="宋体" w:hAnsi="宋体" w:cs="宋体"/>
                <w:color w:val="auto"/>
                <w:szCs w:val="21"/>
                <w:highlight w:val="none"/>
              </w:rPr>
              <w:t>磋商</w:t>
            </w:r>
            <w:r>
              <w:rPr>
                <w:rFonts w:ascii="宋体" w:hAnsi="宋体" w:cs="宋体"/>
                <w:color w:val="auto"/>
                <w:szCs w:val="21"/>
                <w:highlight w:val="none"/>
              </w:rPr>
              <w:t>视为无效磋商。</w:t>
            </w:r>
          </w:p>
          <w:p w14:paraId="2CC01D74">
            <w:pPr>
              <w:spacing w:line="360" w:lineRule="exact"/>
              <w:rPr>
                <w:rFonts w:ascii="宋体" w:hAnsi="宋体" w:cs="宋体"/>
                <w:color w:val="auto"/>
                <w:szCs w:val="21"/>
                <w:highlight w:val="none"/>
              </w:rPr>
            </w:pPr>
            <w:r>
              <w:rPr>
                <w:rFonts w:ascii="宋体" w:hAnsi="宋体" w:cs="宋体"/>
                <w:color w:val="auto"/>
                <w:szCs w:val="21"/>
                <w:highlight w:val="none"/>
              </w:rPr>
              <w:t>（2）满足磋商文件要求且最后报价最低的供应商报价作为磋商基准价，磋商报价等于磋商基准价的得满分，其他供应商的价格分统一按照下列公式计算：</w:t>
            </w:r>
          </w:p>
          <w:p w14:paraId="285C88B7">
            <w:pPr>
              <w:spacing w:line="360" w:lineRule="exact"/>
              <w:rPr>
                <w:rFonts w:ascii="宋体" w:hAnsi="宋体" w:cs="宋体"/>
                <w:color w:val="auto"/>
                <w:szCs w:val="21"/>
                <w:highlight w:val="none"/>
              </w:rPr>
            </w:pPr>
            <w:r>
              <w:rPr>
                <w:rFonts w:ascii="宋体" w:hAnsi="宋体" w:cs="宋体"/>
                <w:color w:val="auto"/>
                <w:szCs w:val="21"/>
                <w:highlight w:val="none"/>
              </w:rPr>
              <w:t>磋商报价得分=磋商基准价/最后</w:t>
            </w:r>
            <w:r>
              <w:rPr>
                <w:rFonts w:hint="eastAsia" w:ascii="宋体" w:hAnsi="宋体" w:cs="宋体"/>
                <w:color w:val="auto"/>
                <w:szCs w:val="21"/>
                <w:highlight w:val="none"/>
              </w:rPr>
              <w:t>磋商</w:t>
            </w:r>
            <w:r>
              <w:rPr>
                <w:rFonts w:ascii="宋体" w:hAnsi="宋体" w:cs="宋体"/>
                <w:color w:val="auto"/>
                <w:szCs w:val="21"/>
                <w:highlight w:val="none"/>
              </w:rPr>
              <w:t>报价×</w:t>
            </w:r>
            <w:r>
              <w:rPr>
                <w:rFonts w:hint="eastAsia" w:ascii="宋体" w:hAnsi="宋体" w:cs="宋体"/>
                <w:color w:val="auto"/>
                <w:szCs w:val="21"/>
                <w:highlight w:val="none"/>
              </w:rPr>
              <w:t>3</w:t>
            </w:r>
            <w:r>
              <w:rPr>
                <w:rFonts w:ascii="宋体" w:hAnsi="宋体" w:cs="宋体"/>
                <w:color w:val="auto"/>
                <w:szCs w:val="21"/>
                <w:highlight w:val="none"/>
              </w:rPr>
              <w:t>0</w:t>
            </w:r>
            <w:r>
              <w:rPr>
                <w:rFonts w:hint="eastAsia" w:ascii="宋体" w:hAnsi="宋体" w:cs="宋体"/>
                <w:color w:val="auto"/>
                <w:szCs w:val="21"/>
                <w:highlight w:val="none"/>
              </w:rPr>
              <w:t>分</w:t>
            </w:r>
          </w:p>
        </w:tc>
      </w:tr>
      <w:tr w14:paraId="643D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restart"/>
            <w:noWrap/>
            <w:vAlign w:val="center"/>
          </w:tcPr>
          <w:p w14:paraId="1477B7B7">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施工组织设计分(</w:t>
            </w:r>
            <w:r>
              <w:rPr>
                <w:rFonts w:hint="eastAsia" w:ascii="宋体" w:hAnsi="宋体" w:cs="宋体"/>
                <w:color w:val="auto"/>
                <w:szCs w:val="21"/>
                <w:highlight w:val="none"/>
                <w:lang w:val="en-US" w:eastAsia="zh-CN"/>
              </w:rPr>
              <w:t>62</w:t>
            </w:r>
            <w:r>
              <w:rPr>
                <w:rFonts w:hint="eastAsia" w:ascii="宋体" w:hAnsi="宋体" w:cs="宋体"/>
                <w:color w:val="auto"/>
                <w:szCs w:val="21"/>
                <w:highlight w:val="none"/>
              </w:rPr>
              <w:t>分)</w:t>
            </w:r>
          </w:p>
        </w:tc>
        <w:tc>
          <w:tcPr>
            <w:tcW w:w="1350" w:type="dxa"/>
            <w:noWrap/>
            <w:vAlign w:val="center"/>
          </w:tcPr>
          <w:p w14:paraId="6241B087">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主要施工方法(</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w:t>
            </w:r>
            <w:r>
              <w:rPr>
                <w:rFonts w:hint="eastAsia" w:ascii="宋体" w:hAnsi="宋体" w:cs="宋体"/>
                <w:color w:val="auto"/>
                <w:szCs w:val="21"/>
                <w:highlight w:val="none"/>
              </w:rPr>
              <w:t>)</w:t>
            </w:r>
          </w:p>
        </w:tc>
        <w:tc>
          <w:tcPr>
            <w:tcW w:w="6245" w:type="dxa"/>
            <w:noWrap/>
            <w:vAlign w:val="center"/>
          </w:tcPr>
          <w:p w14:paraId="2A9195C4">
            <w:pPr>
              <w:adjustRightInd w:val="0"/>
              <w:snapToGrid w:val="0"/>
              <w:spacing w:line="360" w:lineRule="exact"/>
              <w:jc w:val="left"/>
              <w:rPr>
                <w:color w:val="auto"/>
                <w:highlight w:val="none"/>
              </w:rPr>
            </w:pPr>
            <w:r>
              <w:rPr>
                <w:rFonts w:hint="eastAsia"/>
                <w:color w:val="auto"/>
                <w:highlight w:val="none"/>
              </w:rPr>
              <w:t>优（</w:t>
            </w:r>
            <w:r>
              <w:rPr>
                <w:rFonts w:hint="eastAsia"/>
                <w:color w:val="auto"/>
                <w:highlight w:val="none"/>
                <w:lang w:val="en-US" w:eastAsia="zh-CN"/>
              </w:rPr>
              <w:t>8</w:t>
            </w:r>
            <w:r>
              <w:rPr>
                <w:rFonts w:hint="eastAsia"/>
                <w:color w:val="auto"/>
                <w:highlight w:val="none"/>
              </w:rPr>
              <w:t>分）：各主要分部施工方法完全符合项目实际，有详尽的施工技术方案，工艺先进、方法科学合理、可行；能知道具体施工并确保安全，措施先进、具体、有效、成熟；施工段划分呼应总体表述，划分清晰、合理，符合规范要求。</w:t>
            </w:r>
          </w:p>
          <w:p w14:paraId="1F7A25AF">
            <w:pPr>
              <w:adjustRightInd w:val="0"/>
              <w:snapToGrid w:val="0"/>
              <w:spacing w:line="360" w:lineRule="exact"/>
              <w:jc w:val="left"/>
              <w:rPr>
                <w:color w:val="auto"/>
                <w:highlight w:val="none"/>
              </w:rPr>
            </w:pPr>
            <w:r>
              <w:rPr>
                <w:rFonts w:hint="eastAsia"/>
                <w:color w:val="auto"/>
                <w:highlight w:val="none"/>
                <w:lang w:eastAsia="zh-CN"/>
              </w:rPr>
              <w:t>良</w:t>
            </w:r>
            <w:r>
              <w:rPr>
                <w:rFonts w:hint="eastAsia"/>
                <w:color w:val="auto"/>
                <w:highlight w:val="none"/>
              </w:rPr>
              <w:t>（</w:t>
            </w:r>
            <w:r>
              <w:rPr>
                <w:rFonts w:hint="eastAsia"/>
                <w:color w:val="auto"/>
                <w:highlight w:val="none"/>
                <w:lang w:val="en-US" w:eastAsia="zh-CN"/>
              </w:rPr>
              <w:t>6</w:t>
            </w:r>
            <w:r>
              <w:rPr>
                <w:rFonts w:hint="eastAsia"/>
                <w:color w:val="auto"/>
                <w:highlight w:val="none"/>
              </w:rPr>
              <w:t>分）：对项目总体有一定认识，表述清晰、完整，措施具体有效；施工段划分呼应总体表述，划分清晰，符合规范要求，施工技术方方案可行。</w:t>
            </w:r>
          </w:p>
          <w:p w14:paraId="32F1D5AA">
            <w:pPr>
              <w:adjustRightInd w:val="0"/>
              <w:snapToGrid w:val="0"/>
              <w:spacing w:line="360" w:lineRule="exact"/>
              <w:jc w:val="left"/>
              <w:rPr>
                <w:color w:val="auto"/>
                <w:highlight w:val="none"/>
              </w:rPr>
            </w:pPr>
            <w:r>
              <w:rPr>
                <w:rFonts w:hint="eastAsia"/>
                <w:color w:val="auto"/>
                <w:highlight w:val="none"/>
                <w:lang w:eastAsia="zh-CN"/>
              </w:rPr>
              <w:t>中</w:t>
            </w:r>
            <w:r>
              <w:rPr>
                <w:rFonts w:hint="eastAsia"/>
                <w:color w:val="auto"/>
                <w:highlight w:val="none"/>
              </w:rPr>
              <w:t>（</w:t>
            </w:r>
            <w:r>
              <w:rPr>
                <w:rFonts w:hint="eastAsia"/>
                <w:color w:val="auto"/>
                <w:highlight w:val="none"/>
                <w:lang w:val="en-US" w:eastAsia="zh-CN"/>
              </w:rPr>
              <w:t>4</w:t>
            </w:r>
            <w:r>
              <w:rPr>
                <w:rFonts w:hint="eastAsia"/>
                <w:color w:val="auto"/>
                <w:highlight w:val="none"/>
              </w:rPr>
              <w:t>分）：各主要分部施工方法基本符合项目实际，施工技术方案基本可行，工艺基本可行、方法基本可行，基本能指导具体施工并确保基本安全。</w:t>
            </w:r>
          </w:p>
          <w:p w14:paraId="6B2BC336">
            <w:pPr>
              <w:adjustRightInd w:val="0"/>
              <w:snapToGrid w:val="0"/>
              <w:spacing w:line="360" w:lineRule="exact"/>
              <w:jc w:val="left"/>
              <w:rPr>
                <w:color w:val="auto"/>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分):各主要分部施工方法针对性差，施工技术方案差，工艺落后、 方法不合理，不能指导具体施工和确保安全。</w:t>
            </w:r>
          </w:p>
        </w:tc>
      </w:tr>
      <w:tr w14:paraId="6E85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1097" w:type="dxa"/>
            <w:vMerge w:val="continue"/>
            <w:noWrap/>
            <w:vAlign w:val="center"/>
          </w:tcPr>
          <w:p w14:paraId="5B3303AA">
            <w:pPr>
              <w:adjustRightInd w:val="0"/>
              <w:snapToGrid w:val="0"/>
              <w:spacing w:line="360" w:lineRule="exact"/>
              <w:jc w:val="center"/>
              <w:rPr>
                <w:rFonts w:ascii="宋体" w:hAnsi="宋体" w:cs="宋体"/>
                <w:color w:val="auto"/>
                <w:szCs w:val="21"/>
                <w:highlight w:val="none"/>
              </w:rPr>
            </w:pPr>
          </w:p>
        </w:tc>
        <w:tc>
          <w:tcPr>
            <w:tcW w:w="1350" w:type="dxa"/>
            <w:noWrap/>
            <w:vAlign w:val="center"/>
          </w:tcPr>
          <w:p w14:paraId="1A130DC8">
            <w:pPr>
              <w:adjustRightInd w:val="0"/>
              <w:snapToGrid w:val="0"/>
              <w:spacing w:line="360" w:lineRule="exact"/>
              <w:jc w:val="center"/>
              <w:rPr>
                <w:rFonts w:ascii="宋体" w:hAnsi="宋体" w:cs="宋体"/>
                <w:color w:val="auto"/>
                <w:szCs w:val="21"/>
                <w:highlight w:val="none"/>
              </w:rPr>
            </w:pPr>
            <w:r>
              <w:rPr>
                <w:rFonts w:ascii="宋体" w:hAnsi="宋体" w:cs="宋体"/>
                <w:color w:val="auto"/>
                <w:szCs w:val="21"/>
                <w:highlight w:val="none"/>
              </w:rPr>
              <w:t>拟投入的主</w:t>
            </w:r>
          </w:p>
          <w:p w14:paraId="0568DAD8">
            <w:pPr>
              <w:adjustRightInd w:val="0"/>
              <w:snapToGrid w:val="0"/>
              <w:spacing w:line="360" w:lineRule="exact"/>
              <w:jc w:val="center"/>
              <w:rPr>
                <w:rFonts w:ascii="宋体" w:hAnsi="宋体" w:cs="宋体"/>
                <w:color w:val="auto"/>
                <w:szCs w:val="21"/>
                <w:highlight w:val="none"/>
              </w:rPr>
            </w:pPr>
            <w:r>
              <w:rPr>
                <w:rFonts w:ascii="宋体" w:hAnsi="宋体" w:cs="宋体"/>
                <w:color w:val="auto"/>
                <w:szCs w:val="21"/>
                <w:highlight w:val="none"/>
              </w:rPr>
              <w:t>要物资计划</w:t>
            </w:r>
          </w:p>
          <w:p w14:paraId="477C9EB9">
            <w:pPr>
              <w:adjustRightInd w:val="0"/>
              <w:snapToGrid w:val="0"/>
              <w:spacing w:line="360" w:lineRule="exact"/>
              <w:jc w:val="center"/>
              <w:rPr>
                <w:rFonts w:ascii="宋体" w:hAnsi="宋体" w:cs="宋体"/>
                <w:color w:val="auto"/>
                <w:szCs w:val="21"/>
                <w:highlight w:val="none"/>
              </w:rPr>
            </w:pPr>
            <w:r>
              <w:rPr>
                <w:rFonts w:ascii="宋体" w:hAnsi="宋体" w:cs="宋体"/>
                <w:color w:val="auto"/>
                <w:szCs w:val="21"/>
                <w:highlight w:val="none"/>
              </w:rPr>
              <w:t>(满分</w:t>
            </w:r>
            <w:r>
              <w:rPr>
                <w:rFonts w:hint="eastAsia" w:ascii="宋体" w:hAnsi="宋体" w:cs="宋体"/>
                <w:color w:val="auto"/>
                <w:szCs w:val="21"/>
                <w:highlight w:val="none"/>
                <w:lang w:val="en-US" w:eastAsia="zh-CN"/>
              </w:rPr>
              <w:t>7</w:t>
            </w:r>
            <w:r>
              <w:rPr>
                <w:rFonts w:ascii="宋体" w:hAnsi="宋体" w:cs="宋体"/>
                <w:color w:val="auto"/>
                <w:szCs w:val="21"/>
                <w:highlight w:val="none"/>
              </w:rPr>
              <w:t>分)</w:t>
            </w:r>
          </w:p>
          <w:p w14:paraId="79CAEB8A">
            <w:pPr>
              <w:adjustRightInd w:val="0"/>
              <w:snapToGrid w:val="0"/>
              <w:spacing w:line="360" w:lineRule="exact"/>
              <w:jc w:val="center"/>
              <w:rPr>
                <w:rFonts w:ascii="宋体" w:hAnsi="宋体" w:cs="宋体"/>
                <w:color w:val="auto"/>
                <w:szCs w:val="21"/>
                <w:highlight w:val="none"/>
              </w:rPr>
            </w:pPr>
          </w:p>
        </w:tc>
        <w:tc>
          <w:tcPr>
            <w:tcW w:w="6245" w:type="dxa"/>
            <w:noWrap/>
            <w:vAlign w:val="center"/>
          </w:tcPr>
          <w:p w14:paraId="507F0BAA">
            <w:p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 :投入的施工材料有详细的组织计划且计划周密，投入计划与进度计划呼应，完全满足施工需要，调配投入计划合理、准确、完整。</w:t>
            </w:r>
          </w:p>
          <w:p w14:paraId="202912A8">
            <w:p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分):投入的施工材料有详细的组织计划，投入计划与进度计划呼应，可以满足施工需要，调配投入计划基本合理、准确。</w:t>
            </w:r>
          </w:p>
          <w:p w14:paraId="5C40972B">
            <w:p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分):投入的施工材料有完整的组织计划，投入计划与进度计划呼应，基本满足施工需要，调配投入计划基本合理。</w:t>
            </w:r>
          </w:p>
          <w:p w14:paraId="4F66224D">
            <w:p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差(1分) :投入的施工材料的组织计划差，投入计划与进度计划不呼应，勉强满足施工需要。</w:t>
            </w:r>
          </w:p>
        </w:tc>
      </w:tr>
      <w:tr w14:paraId="7C3F9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1097" w:type="dxa"/>
            <w:vMerge w:val="continue"/>
            <w:noWrap/>
            <w:vAlign w:val="center"/>
          </w:tcPr>
          <w:p w14:paraId="757EA2AA">
            <w:pPr>
              <w:adjustRightInd w:val="0"/>
              <w:snapToGrid w:val="0"/>
              <w:spacing w:line="360" w:lineRule="exact"/>
              <w:jc w:val="center"/>
              <w:rPr>
                <w:rFonts w:ascii="宋体" w:hAnsi="宋体" w:cs="宋体"/>
                <w:color w:val="auto"/>
                <w:szCs w:val="21"/>
                <w:highlight w:val="none"/>
              </w:rPr>
            </w:pPr>
          </w:p>
        </w:tc>
        <w:tc>
          <w:tcPr>
            <w:tcW w:w="1350" w:type="dxa"/>
            <w:noWrap/>
            <w:vAlign w:val="center"/>
          </w:tcPr>
          <w:p w14:paraId="3463B233">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机械和材料投入计划及其保证措施(</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tc>
        <w:tc>
          <w:tcPr>
            <w:tcW w:w="6245" w:type="dxa"/>
            <w:noWrap/>
            <w:vAlign w:val="center"/>
          </w:tcPr>
          <w:p w14:paraId="5B0629F2">
            <w:pPr>
              <w:adjustRightInd w:val="0"/>
              <w:snapToGri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优(</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分) :投入的施工机械、设备、机具有详细的组织计划且计划周密，设备数量、选型配置、进场时间安排合理，完全满足施工需要。</w:t>
            </w:r>
          </w:p>
          <w:p w14:paraId="17BC1749">
            <w:pPr>
              <w:adjustRightInd w:val="0"/>
              <w:snapToGri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良</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 :投入的施工机械、设备、机具有详细的组织计划，设备数量、选型配置、进场投入计划与进度计划呼应，满足施工需要。</w:t>
            </w:r>
          </w:p>
          <w:p w14:paraId="49617254">
            <w:pPr>
              <w:adjustRightInd w:val="0"/>
              <w:snapToGri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中(</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 :投入的施工机械、设备、机具有组织计划，设备数量、选型配置、进场投入计划与进度计划呼应，基本满足施工需要。</w:t>
            </w:r>
          </w:p>
          <w:p w14:paraId="147904CA">
            <w:p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kern w:val="0"/>
                <w:szCs w:val="21"/>
                <w:highlight w:val="none"/>
              </w:rPr>
              <w:t>差(</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 :投入的施工机械、设备、机具组织计划差,投入计划与进度计划不呼应，勉强满足施工需要。</w:t>
            </w:r>
          </w:p>
        </w:tc>
      </w:tr>
      <w:tr w14:paraId="2F42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1097" w:type="dxa"/>
            <w:vMerge w:val="continue"/>
            <w:noWrap/>
            <w:vAlign w:val="center"/>
          </w:tcPr>
          <w:p w14:paraId="12461D8E">
            <w:pPr>
              <w:adjustRightInd w:val="0"/>
              <w:snapToGrid w:val="0"/>
              <w:spacing w:line="360" w:lineRule="exact"/>
              <w:jc w:val="center"/>
              <w:rPr>
                <w:rFonts w:ascii="宋体" w:hAnsi="宋体" w:cs="宋体"/>
                <w:color w:val="auto"/>
                <w:szCs w:val="21"/>
                <w:highlight w:val="none"/>
              </w:rPr>
            </w:pPr>
          </w:p>
        </w:tc>
        <w:tc>
          <w:tcPr>
            <w:tcW w:w="1350" w:type="dxa"/>
            <w:shd w:val="clear" w:color="auto" w:fill="auto"/>
            <w:noWrap/>
            <w:vAlign w:val="center"/>
          </w:tcPr>
          <w:p w14:paraId="6C09543D">
            <w:pPr>
              <w:adjustRightInd w:val="0"/>
              <w:snapToGrid w:val="0"/>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劳动力安排计划(</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tc>
        <w:tc>
          <w:tcPr>
            <w:tcW w:w="6245" w:type="dxa"/>
            <w:shd w:val="clear" w:color="auto" w:fill="auto"/>
            <w:noWrap/>
            <w:vAlign w:val="center"/>
          </w:tcPr>
          <w:p w14:paraId="643FAD5C">
            <w:pPr>
              <w:adjustRightInd w:val="0"/>
              <w:snapToGri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优</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分) :各主要施工工序有详细周密的劳动力安排计划，各工种劳动力安排计划齐全，劳动力投入与进度计划呼应合理，完全满足施工需要。</w:t>
            </w:r>
          </w:p>
          <w:p w14:paraId="3A45A49E">
            <w:pPr>
              <w:adjustRightInd w:val="0"/>
              <w:snapToGri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良(</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 :各主要施工工序有详细的劳动力安排计划，有各工种劳动力安排计划，劳动力投入合理，可以满足施工需要。</w:t>
            </w:r>
          </w:p>
          <w:p w14:paraId="20CC1C45">
            <w:pPr>
              <w:adjustRightInd w:val="0"/>
              <w:snapToGri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中(</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分):各主要施工工序应有劳动力安排计划，有各工种劳动力安排计划，劳动力投入基本合理，基本满足施工需要。</w:t>
            </w:r>
          </w:p>
          <w:p w14:paraId="20DD8151">
            <w:pPr>
              <w:adjustRightInd w:val="0"/>
              <w:snapToGrid w:val="0"/>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差(1分) :各主要施工工序劳动力安排计划不全，无各工种劳动力安排计划或计划不全，劳动力投入不合理，不能满足施工需求。</w:t>
            </w:r>
          </w:p>
        </w:tc>
      </w:tr>
      <w:tr w14:paraId="66E4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1097" w:type="dxa"/>
            <w:vMerge w:val="continue"/>
            <w:noWrap/>
            <w:vAlign w:val="center"/>
          </w:tcPr>
          <w:p w14:paraId="0CBBC5B1">
            <w:pPr>
              <w:adjustRightInd w:val="0"/>
              <w:snapToGrid w:val="0"/>
              <w:spacing w:line="360" w:lineRule="exact"/>
              <w:jc w:val="center"/>
              <w:rPr>
                <w:rFonts w:ascii="宋体" w:hAnsi="宋体" w:cs="宋体"/>
                <w:color w:val="auto"/>
                <w:szCs w:val="21"/>
                <w:highlight w:val="none"/>
              </w:rPr>
            </w:pPr>
          </w:p>
        </w:tc>
        <w:tc>
          <w:tcPr>
            <w:tcW w:w="1350" w:type="dxa"/>
            <w:shd w:val="clear" w:color="auto" w:fill="auto"/>
            <w:noWrap/>
            <w:vAlign w:val="center"/>
          </w:tcPr>
          <w:p w14:paraId="3C37D0A3">
            <w:pPr>
              <w:widowControl/>
              <w:spacing w:line="400" w:lineRule="exact"/>
              <w:rPr>
                <w:rFonts w:hint="eastAsia" w:ascii="宋体" w:hAnsi="宋体" w:cs="宋体"/>
                <w:color w:val="auto"/>
                <w:szCs w:val="21"/>
                <w:highlight w:val="none"/>
              </w:rPr>
            </w:pPr>
            <w:r>
              <w:rPr>
                <w:rFonts w:ascii="宋体" w:hAnsi="宋体"/>
                <w:color w:val="auto"/>
                <w:kern w:val="0"/>
                <w:szCs w:val="21"/>
                <w:highlight w:val="none"/>
              </w:rPr>
              <w:t>确保工程质量的技术组织措施</w:t>
            </w:r>
            <w:r>
              <w:rPr>
                <w:rFonts w:hint="eastAsia" w:ascii="宋体" w:hAnsi="宋体"/>
                <w:color w:val="auto"/>
                <w:spacing w:val="-10"/>
                <w:kern w:val="0"/>
                <w:szCs w:val="21"/>
                <w:highlight w:val="none"/>
              </w:rPr>
              <w:t>（</w:t>
            </w:r>
            <w:r>
              <w:rPr>
                <w:rFonts w:hint="eastAsia" w:ascii="宋体" w:hAnsi="宋体"/>
                <w:color w:val="auto"/>
                <w:spacing w:val="-10"/>
                <w:kern w:val="0"/>
                <w:szCs w:val="21"/>
                <w:highlight w:val="none"/>
                <w:lang w:val="en-US" w:eastAsia="zh-CN"/>
              </w:rPr>
              <w:t>7</w:t>
            </w:r>
            <w:r>
              <w:rPr>
                <w:rFonts w:hint="eastAsia" w:ascii="宋体" w:hAnsi="宋体"/>
                <w:color w:val="auto"/>
                <w:spacing w:val="-10"/>
                <w:kern w:val="0"/>
                <w:szCs w:val="21"/>
                <w:highlight w:val="none"/>
              </w:rPr>
              <w:t>分）</w:t>
            </w:r>
          </w:p>
        </w:tc>
        <w:tc>
          <w:tcPr>
            <w:tcW w:w="6245" w:type="dxa"/>
            <w:shd w:val="clear" w:color="auto" w:fill="auto"/>
            <w:noWrap/>
            <w:vAlign w:val="top"/>
          </w:tcPr>
          <w:p w14:paraId="3E585C72">
            <w:pPr>
              <w:widowControl/>
              <w:spacing w:line="360" w:lineRule="exact"/>
              <w:rPr>
                <w:rFonts w:ascii="宋体" w:hAnsi="宋体"/>
                <w:color w:val="auto"/>
                <w:szCs w:val="22"/>
                <w:highlight w:val="none"/>
              </w:rPr>
            </w:pPr>
            <w:r>
              <w:rPr>
                <w:rFonts w:hint="eastAsia" w:ascii="宋体" w:hAnsi="宋体" w:cs="宋体"/>
                <w:color w:val="auto"/>
                <w:szCs w:val="22"/>
                <w:highlight w:val="none"/>
              </w:rPr>
              <w:t>优（</w:t>
            </w:r>
            <w:r>
              <w:rPr>
                <w:rFonts w:hint="eastAsia" w:ascii="宋体" w:hAnsi="宋体"/>
                <w:color w:val="auto"/>
                <w:szCs w:val="22"/>
                <w:highlight w:val="none"/>
                <w:lang w:val="en-US" w:eastAsia="zh-CN"/>
              </w:rPr>
              <w:t>7</w:t>
            </w:r>
            <w:r>
              <w:rPr>
                <w:rFonts w:hint="eastAsia" w:ascii="宋体" w:hAnsi="宋体"/>
                <w:color w:val="auto"/>
                <w:szCs w:val="22"/>
                <w:highlight w:val="none"/>
              </w:rPr>
              <w:t>分</w:t>
            </w:r>
            <w:r>
              <w:rPr>
                <w:rFonts w:hint="eastAsia" w:ascii="宋体" w:hAnsi="宋体" w:cs="宋体"/>
                <w:color w:val="auto"/>
                <w:szCs w:val="22"/>
                <w:highlight w:val="none"/>
              </w:rPr>
              <w:t>）：有专门的质量技术管理班子和制度，且人员配备合理，制度健全。主要工序质量技术保证措施和手段科学合理，自控体系完整，能有效保证技术质量，达到承诺的质量标准。</w:t>
            </w:r>
            <w:r>
              <w:rPr>
                <w:rFonts w:ascii="宋体" w:hAnsi="宋体"/>
                <w:color w:val="auto"/>
                <w:szCs w:val="22"/>
                <w:highlight w:val="none"/>
              </w:rPr>
              <w:t xml:space="preserve"> </w:t>
            </w:r>
          </w:p>
          <w:p w14:paraId="03381A02">
            <w:pPr>
              <w:widowControl/>
              <w:spacing w:line="360" w:lineRule="exact"/>
              <w:rPr>
                <w:rFonts w:ascii="宋体" w:hAnsi="宋体" w:cs="宋体"/>
                <w:color w:val="auto"/>
                <w:szCs w:val="22"/>
                <w:highlight w:val="none"/>
              </w:rPr>
            </w:pPr>
            <w:r>
              <w:rPr>
                <w:rFonts w:hint="eastAsia" w:ascii="宋体" w:hAnsi="宋体" w:cs="宋体"/>
                <w:color w:val="auto"/>
                <w:szCs w:val="22"/>
                <w:highlight w:val="none"/>
              </w:rPr>
              <w:t>良</w:t>
            </w:r>
            <w:r>
              <w:rPr>
                <w:rFonts w:ascii="宋体" w:hAnsi="宋体"/>
                <w:color w:val="auto"/>
                <w:szCs w:val="22"/>
                <w:highlight w:val="none"/>
              </w:rPr>
              <w:t>(</w:t>
            </w:r>
            <w:r>
              <w:rPr>
                <w:rFonts w:hint="eastAsia" w:ascii="宋体" w:hAnsi="宋体"/>
                <w:color w:val="auto"/>
                <w:szCs w:val="22"/>
                <w:highlight w:val="none"/>
                <w:lang w:val="en-US" w:eastAsia="zh-CN"/>
              </w:rPr>
              <w:t>5</w:t>
            </w:r>
            <w:r>
              <w:rPr>
                <w:rFonts w:hint="eastAsia" w:ascii="宋体" w:hAnsi="宋体"/>
                <w:color w:val="auto"/>
                <w:szCs w:val="22"/>
                <w:highlight w:val="none"/>
              </w:rPr>
              <w:t>分</w:t>
            </w:r>
            <w:r>
              <w:rPr>
                <w:rFonts w:ascii="宋体" w:hAnsi="宋体"/>
                <w:color w:val="auto"/>
                <w:szCs w:val="22"/>
                <w:highlight w:val="none"/>
              </w:rPr>
              <w:t>)</w:t>
            </w:r>
            <w:r>
              <w:rPr>
                <w:rFonts w:hint="eastAsia" w:ascii="宋体" w:hAnsi="宋体" w:cs="宋体"/>
                <w:color w:val="auto"/>
                <w:szCs w:val="22"/>
                <w:highlight w:val="none"/>
              </w:rPr>
              <w:t>：有专门的质量技术管理班子和制度，且人员配备合理，制度健全。主要工序的质量技术保证措施和手段良好，自控体系良好，基本保证技术质量，达到承诺的质量标准。</w:t>
            </w:r>
          </w:p>
          <w:p w14:paraId="13290B52">
            <w:pPr>
              <w:widowControl/>
              <w:spacing w:line="360" w:lineRule="exact"/>
              <w:rPr>
                <w:rFonts w:ascii="宋体" w:hAnsi="宋体"/>
                <w:color w:val="auto"/>
                <w:szCs w:val="22"/>
                <w:highlight w:val="none"/>
              </w:rPr>
            </w:pPr>
            <w:r>
              <w:rPr>
                <w:rFonts w:hint="eastAsia" w:ascii="宋体" w:hAnsi="宋体" w:cs="宋体"/>
                <w:color w:val="auto"/>
                <w:szCs w:val="22"/>
                <w:highlight w:val="none"/>
              </w:rPr>
              <w:t>中</w:t>
            </w:r>
            <w:r>
              <w:rPr>
                <w:rFonts w:ascii="宋体" w:hAnsi="宋体"/>
                <w:color w:val="auto"/>
                <w:szCs w:val="22"/>
                <w:highlight w:val="none"/>
              </w:rPr>
              <w:t>(</w:t>
            </w:r>
            <w:r>
              <w:rPr>
                <w:rFonts w:hint="eastAsia" w:ascii="宋体" w:hAnsi="宋体"/>
                <w:color w:val="auto"/>
                <w:szCs w:val="22"/>
                <w:highlight w:val="none"/>
                <w:lang w:val="en-US" w:eastAsia="zh-CN"/>
              </w:rPr>
              <w:t>3</w:t>
            </w:r>
            <w:r>
              <w:rPr>
                <w:rFonts w:hint="eastAsia" w:ascii="宋体" w:hAnsi="宋体"/>
                <w:color w:val="auto"/>
                <w:szCs w:val="22"/>
                <w:highlight w:val="none"/>
              </w:rPr>
              <w:t>分</w:t>
            </w:r>
            <w:r>
              <w:rPr>
                <w:rFonts w:ascii="宋体" w:hAnsi="宋体"/>
                <w:color w:val="auto"/>
                <w:szCs w:val="22"/>
                <w:highlight w:val="none"/>
              </w:rPr>
              <w:t>)</w:t>
            </w:r>
            <w:r>
              <w:rPr>
                <w:rFonts w:hint="eastAsia" w:ascii="宋体" w:hAnsi="宋体" w:cs="宋体"/>
                <w:color w:val="auto"/>
                <w:szCs w:val="22"/>
                <w:highlight w:val="none"/>
              </w:rPr>
              <w:t>：有专门的质量技术管理班子和制度，且人员配备合理，制度健全。主要工序的质量技术保证措施和手段一般，自控体系一般，基本保证技术质量，达到承诺的质量标准。</w:t>
            </w:r>
            <w:r>
              <w:rPr>
                <w:rFonts w:ascii="宋体" w:hAnsi="宋体"/>
                <w:color w:val="auto"/>
                <w:szCs w:val="22"/>
                <w:highlight w:val="none"/>
              </w:rPr>
              <w:t xml:space="preserve"> </w:t>
            </w:r>
          </w:p>
          <w:p w14:paraId="2204248F">
            <w:pPr>
              <w:pStyle w:val="67"/>
              <w:spacing w:line="400" w:lineRule="exact"/>
              <w:rPr>
                <w:rFonts w:hint="eastAsia" w:ascii="宋体" w:hAnsi="宋体" w:cs="宋体"/>
                <w:color w:val="auto"/>
                <w:kern w:val="0"/>
                <w:szCs w:val="21"/>
                <w:highlight w:val="none"/>
              </w:rPr>
            </w:pPr>
            <w:r>
              <w:rPr>
                <w:rFonts w:hint="eastAsia" w:ascii="宋体" w:hAnsi="宋体" w:cs="宋体"/>
                <w:color w:val="auto"/>
                <w:kern w:val="2"/>
                <w:sz w:val="21"/>
                <w:szCs w:val="22"/>
                <w:highlight w:val="none"/>
              </w:rPr>
              <w:t>差</w:t>
            </w:r>
            <w:r>
              <w:rPr>
                <w:rFonts w:ascii="宋体" w:hAnsi="宋体" w:cs="Times New Roman"/>
                <w:color w:val="auto"/>
                <w:kern w:val="2"/>
                <w:sz w:val="21"/>
                <w:szCs w:val="22"/>
                <w:highlight w:val="none"/>
              </w:rPr>
              <w:t>(</w:t>
            </w:r>
            <w:r>
              <w:rPr>
                <w:rFonts w:hint="eastAsia" w:ascii="宋体" w:hAnsi="宋体" w:cs="Times New Roman"/>
                <w:color w:val="auto"/>
                <w:kern w:val="2"/>
                <w:sz w:val="21"/>
                <w:szCs w:val="22"/>
                <w:highlight w:val="none"/>
                <w:lang w:val="en-US" w:eastAsia="zh-CN"/>
              </w:rPr>
              <w:t>1</w:t>
            </w:r>
            <w:r>
              <w:rPr>
                <w:rFonts w:hint="eastAsia" w:ascii="宋体" w:hAnsi="宋体" w:cs="Times New Roman"/>
                <w:color w:val="auto"/>
                <w:kern w:val="2"/>
                <w:sz w:val="21"/>
                <w:szCs w:val="22"/>
                <w:highlight w:val="none"/>
              </w:rPr>
              <w:t>分</w:t>
            </w:r>
            <w:r>
              <w:rPr>
                <w:rFonts w:ascii="宋体" w:hAnsi="宋体" w:cs="Times New Roman"/>
                <w:color w:val="auto"/>
                <w:kern w:val="2"/>
                <w:sz w:val="21"/>
                <w:szCs w:val="22"/>
                <w:highlight w:val="none"/>
              </w:rPr>
              <w:t>)</w:t>
            </w:r>
            <w:r>
              <w:rPr>
                <w:rFonts w:hint="eastAsia" w:ascii="宋体" w:hAnsi="宋体" w:cs="宋体"/>
                <w:color w:val="auto"/>
                <w:kern w:val="2"/>
                <w:sz w:val="21"/>
                <w:szCs w:val="22"/>
                <w:highlight w:val="none"/>
              </w:rPr>
              <w:t>：有专门的质量技术管理班子和制度，人员配备不合理，制度不健全。主要工序无质量技术保证措施和手段，自控体系不完整，不能有效保证技术质量，达不到承诺的质量标准。</w:t>
            </w:r>
          </w:p>
        </w:tc>
      </w:tr>
      <w:tr w14:paraId="6187C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1097" w:type="dxa"/>
            <w:vMerge w:val="continue"/>
            <w:noWrap/>
            <w:vAlign w:val="center"/>
          </w:tcPr>
          <w:p w14:paraId="4120EA4F">
            <w:pPr>
              <w:adjustRightInd w:val="0"/>
              <w:snapToGrid w:val="0"/>
              <w:spacing w:line="360" w:lineRule="exact"/>
              <w:jc w:val="center"/>
              <w:rPr>
                <w:rFonts w:ascii="宋体" w:hAnsi="宋体" w:cs="宋体"/>
                <w:color w:val="auto"/>
                <w:szCs w:val="21"/>
                <w:highlight w:val="none"/>
              </w:rPr>
            </w:pPr>
          </w:p>
        </w:tc>
        <w:tc>
          <w:tcPr>
            <w:tcW w:w="1350" w:type="dxa"/>
            <w:shd w:val="clear" w:color="auto" w:fill="auto"/>
            <w:noWrap/>
            <w:vAlign w:val="center"/>
          </w:tcPr>
          <w:p w14:paraId="7C012BB9">
            <w:pPr>
              <w:widowControl/>
              <w:spacing w:line="400" w:lineRule="exact"/>
              <w:rPr>
                <w:rFonts w:hint="eastAsia" w:ascii="宋体" w:hAnsi="宋体" w:eastAsia="宋体" w:cs="宋体"/>
                <w:color w:val="auto"/>
                <w:kern w:val="2"/>
                <w:sz w:val="21"/>
                <w:szCs w:val="21"/>
                <w:highlight w:val="none"/>
                <w:lang w:val="en-US" w:eastAsia="zh-CN" w:bidi="ar-SA"/>
              </w:rPr>
            </w:pPr>
            <w:r>
              <w:rPr>
                <w:rFonts w:ascii="宋体" w:hAnsi="宋体"/>
                <w:color w:val="auto"/>
                <w:kern w:val="0"/>
                <w:szCs w:val="21"/>
                <w:highlight w:val="none"/>
              </w:rPr>
              <w:t>确保安全生产的技术组织措施</w:t>
            </w:r>
            <w:r>
              <w:rPr>
                <w:rFonts w:hint="eastAsia" w:ascii="宋体" w:hAnsi="宋体"/>
                <w:color w:val="auto"/>
                <w:spacing w:val="-10"/>
                <w:kern w:val="0"/>
                <w:szCs w:val="21"/>
                <w:highlight w:val="none"/>
              </w:rPr>
              <w:t>（</w:t>
            </w:r>
            <w:r>
              <w:rPr>
                <w:rFonts w:hint="eastAsia" w:ascii="宋体" w:hAnsi="宋体"/>
                <w:color w:val="auto"/>
                <w:spacing w:val="-10"/>
                <w:kern w:val="0"/>
                <w:szCs w:val="21"/>
                <w:highlight w:val="none"/>
                <w:lang w:val="en-US" w:eastAsia="zh-CN"/>
              </w:rPr>
              <w:t>7</w:t>
            </w:r>
            <w:r>
              <w:rPr>
                <w:rFonts w:hint="eastAsia" w:ascii="宋体" w:hAnsi="宋体"/>
                <w:color w:val="auto"/>
                <w:spacing w:val="-10"/>
                <w:kern w:val="0"/>
                <w:szCs w:val="21"/>
                <w:highlight w:val="none"/>
              </w:rPr>
              <w:t>分）</w:t>
            </w:r>
          </w:p>
        </w:tc>
        <w:tc>
          <w:tcPr>
            <w:tcW w:w="6245" w:type="dxa"/>
            <w:shd w:val="clear" w:color="auto" w:fill="auto"/>
            <w:noWrap/>
            <w:vAlign w:val="top"/>
          </w:tcPr>
          <w:p w14:paraId="2DF52E4B">
            <w:pPr>
              <w:pStyle w:val="202"/>
              <w:rPr>
                <w:rFonts w:ascii="宋体" w:hAnsi="宋体" w:eastAsia="宋体" w:cs="宋体"/>
                <w:color w:val="auto"/>
                <w:sz w:val="21"/>
                <w:highlight w:val="none"/>
              </w:rPr>
            </w:pPr>
            <w:r>
              <w:rPr>
                <w:rFonts w:ascii="宋体" w:hAnsi="宋体" w:eastAsia="宋体" w:cs="宋体"/>
                <w:color w:val="auto"/>
                <w:sz w:val="21"/>
                <w:highlight w:val="none"/>
              </w:rPr>
              <w:t>优（</w:t>
            </w:r>
            <w:r>
              <w:rPr>
                <w:rFonts w:hint="eastAsia" w:ascii="宋体" w:hAnsi="宋体" w:eastAsia="宋体" w:cs="宋体"/>
                <w:color w:val="auto"/>
                <w:sz w:val="21"/>
                <w:highlight w:val="none"/>
                <w:lang w:val="en-US" w:eastAsia="zh-CN"/>
              </w:rPr>
              <w:t>7</w:t>
            </w:r>
            <w:r>
              <w:rPr>
                <w:rFonts w:ascii="宋体" w:hAnsi="宋体" w:eastAsia="宋体" w:cs="宋体"/>
                <w:color w:val="auto"/>
                <w:sz w:val="21"/>
                <w:highlight w:val="none"/>
              </w:rPr>
              <w:t xml:space="preserve">分）：安全人员配备合理；有健全的安全管理制度，各道工序安全技术措施针对性强，符合实际且高于国家有关安全技术标准要求。现场防火、应急救援、社会治安安全措施得力。 </w:t>
            </w:r>
          </w:p>
          <w:p w14:paraId="0FAB21D2">
            <w:pPr>
              <w:pStyle w:val="202"/>
              <w:rPr>
                <w:rFonts w:ascii="宋体" w:hAnsi="宋体" w:eastAsia="宋体" w:cs="宋体"/>
                <w:color w:val="auto"/>
                <w:sz w:val="21"/>
                <w:highlight w:val="none"/>
              </w:rPr>
            </w:pPr>
            <w:r>
              <w:rPr>
                <w:rFonts w:ascii="宋体" w:hAnsi="宋体" w:eastAsia="宋体" w:cs="宋体"/>
                <w:color w:val="auto"/>
                <w:sz w:val="21"/>
                <w:highlight w:val="none"/>
              </w:rPr>
              <w:t>良（</w:t>
            </w:r>
            <w:r>
              <w:rPr>
                <w:rFonts w:hint="eastAsia" w:ascii="宋体" w:hAnsi="宋体" w:eastAsia="宋体" w:cs="宋体"/>
                <w:color w:val="auto"/>
                <w:sz w:val="21"/>
                <w:highlight w:val="none"/>
                <w:lang w:val="en-US" w:eastAsia="zh-CN"/>
              </w:rPr>
              <w:t>5</w:t>
            </w:r>
            <w:r>
              <w:rPr>
                <w:rFonts w:ascii="宋体" w:hAnsi="宋体" w:eastAsia="宋体" w:cs="宋体"/>
                <w:color w:val="auto"/>
                <w:sz w:val="21"/>
                <w:highlight w:val="none"/>
              </w:rPr>
              <w:t xml:space="preserve">分）：安全人员配备合理；有健全的安全管理制度，各道工序安全技术措施符合实际且满足有关安全技术标准要求。现场防火、应急救援、社会治安安全措施合理。 </w:t>
            </w:r>
          </w:p>
          <w:p w14:paraId="10302881">
            <w:pPr>
              <w:pStyle w:val="202"/>
              <w:rPr>
                <w:rFonts w:ascii="宋体" w:hAnsi="宋体" w:eastAsia="宋体" w:cs="宋体"/>
                <w:color w:val="auto"/>
                <w:sz w:val="21"/>
                <w:highlight w:val="none"/>
              </w:rPr>
            </w:pPr>
            <w:r>
              <w:rPr>
                <w:rFonts w:ascii="宋体" w:hAnsi="宋体" w:eastAsia="宋体" w:cs="宋体"/>
                <w:color w:val="auto"/>
                <w:sz w:val="21"/>
                <w:highlight w:val="none"/>
              </w:rPr>
              <w:t>中（</w:t>
            </w:r>
            <w:r>
              <w:rPr>
                <w:rFonts w:hint="eastAsia" w:ascii="宋体" w:hAnsi="宋体" w:eastAsia="宋体" w:cs="宋体"/>
                <w:color w:val="auto"/>
                <w:sz w:val="21"/>
                <w:highlight w:val="none"/>
                <w:lang w:val="en-US" w:eastAsia="zh-CN"/>
              </w:rPr>
              <w:t>3</w:t>
            </w:r>
            <w:r>
              <w:rPr>
                <w:rFonts w:ascii="宋体" w:hAnsi="宋体" w:eastAsia="宋体" w:cs="宋体"/>
                <w:color w:val="auto"/>
                <w:sz w:val="21"/>
                <w:highlight w:val="none"/>
              </w:rPr>
              <w:t xml:space="preserve">分）：安全人员配备基本合理，安全管理制度基本健全，各道工序安全技术措施基本符合实际，基本满足有关安全技术标准要求。现场防火、应急救援、社会治安安全措施基本合理。 </w:t>
            </w:r>
          </w:p>
          <w:p w14:paraId="665B02EE">
            <w:pPr>
              <w:pStyle w:val="67"/>
              <w:spacing w:line="400" w:lineRule="exact"/>
              <w:rPr>
                <w:rFonts w:hint="eastAsia" w:ascii="宋体" w:hAnsi="宋体" w:eastAsia="宋体" w:cs="宋体"/>
                <w:color w:val="auto"/>
                <w:sz w:val="24"/>
                <w:szCs w:val="21"/>
                <w:highlight w:val="none"/>
                <w:lang w:val="en-US" w:eastAsia="zh-CN" w:bidi="ar-SA"/>
              </w:rPr>
            </w:pPr>
            <w:r>
              <w:rPr>
                <w:rFonts w:ascii="宋体" w:hAnsi="宋体" w:cs="宋体"/>
                <w:color w:val="auto"/>
                <w:sz w:val="21"/>
                <w:highlight w:val="none"/>
              </w:rPr>
              <w:t>差（</w:t>
            </w:r>
            <w:r>
              <w:rPr>
                <w:rFonts w:hint="eastAsia" w:ascii="宋体" w:hAnsi="宋体" w:cs="宋体"/>
                <w:color w:val="auto"/>
                <w:sz w:val="21"/>
                <w:highlight w:val="none"/>
                <w:lang w:val="en-US" w:eastAsia="zh-CN"/>
              </w:rPr>
              <w:t>1</w:t>
            </w:r>
            <w:r>
              <w:rPr>
                <w:rFonts w:ascii="宋体" w:hAnsi="宋体" w:cs="宋体"/>
                <w:color w:val="auto"/>
                <w:sz w:val="21"/>
                <w:highlight w:val="none"/>
              </w:rPr>
              <w:t>分）：安全人员配备不合理，安全管理制度不健全，各道工序安全技术措施基本符合实际，不能满足有关安全技术标准要求。现场防火、应急救援、社会治安安全措施不合理。</w:t>
            </w:r>
          </w:p>
        </w:tc>
      </w:tr>
      <w:tr w14:paraId="5603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97" w:type="dxa"/>
            <w:vMerge w:val="continue"/>
            <w:noWrap/>
            <w:vAlign w:val="center"/>
          </w:tcPr>
          <w:p w14:paraId="4E384A80">
            <w:pPr>
              <w:adjustRightInd w:val="0"/>
              <w:snapToGrid w:val="0"/>
              <w:spacing w:line="360" w:lineRule="exact"/>
              <w:jc w:val="center"/>
              <w:rPr>
                <w:rFonts w:ascii="宋体" w:hAnsi="宋体" w:cs="宋体"/>
                <w:color w:val="auto"/>
                <w:szCs w:val="21"/>
                <w:highlight w:val="none"/>
              </w:rPr>
            </w:pPr>
          </w:p>
        </w:tc>
        <w:tc>
          <w:tcPr>
            <w:tcW w:w="1350" w:type="dxa"/>
            <w:shd w:val="clear" w:color="auto" w:fill="auto"/>
            <w:noWrap/>
            <w:vAlign w:val="center"/>
          </w:tcPr>
          <w:p w14:paraId="734D88CF">
            <w:pPr>
              <w:adjustRightInd w:val="0"/>
              <w:snapToGrid w:val="0"/>
              <w:spacing w:line="36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确保工期的技术组织措施</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tc>
        <w:tc>
          <w:tcPr>
            <w:tcW w:w="6245" w:type="dxa"/>
            <w:shd w:val="clear" w:color="auto" w:fill="auto"/>
            <w:noWrap/>
            <w:vAlign w:val="center"/>
          </w:tcPr>
          <w:p w14:paraId="399F715D">
            <w:pPr>
              <w:pStyle w:val="202"/>
              <w:rPr>
                <w:rFonts w:ascii="宋体" w:hAnsi="宋体" w:eastAsia="宋体" w:cs="宋体"/>
                <w:color w:val="auto"/>
                <w:sz w:val="21"/>
                <w:highlight w:val="none"/>
              </w:rPr>
            </w:pPr>
            <w:r>
              <w:rPr>
                <w:rFonts w:ascii="宋体" w:hAnsi="宋体" w:eastAsia="宋体" w:cs="宋体"/>
                <w:color w:val="auto"/>
                <w:sz w:val="21"/>
                <w:highlight w:val="none"/>
              </w:rPr>
              <w:t>优（</w:t>
            </w:r>
            <w:r>
              <w:rPr>
                <w:rFonts w:hint="eastAsia" w:ascii="宋体" w:hAnsi="宋体" w:eastAsia="宋体" w:cs="宋体"/>
                <w:color w:val="auto"/>
                <w:sz w:val="21"/>
                <w:highlight w:val="none"/>
                <w:lang w:val="en-US" w:eastAsia="zh-CN"/>
              </w:rPr>
              <w:t>7</w:t>
            </w:r>
            <w:r>
              <w:rPr>
                <w:rFonts w:ascii="宋体" w:hAnsi="宋体" w:eastAsia="宋体" w:cs="宋体"/>
                <w:color w:val="auto"/>
                <w:sz w:val="21"/>
                <w:highlight w:val="none"/>
              </w:rPr>
              <w:t xml:space="preserve">分）：施工工艺、施工方法、材料选用、劳动力安排、技术等方面有保证工期的具体措施且措施得当。有控制工期的施工进度计划。有施工总进度表或施工网络图，各项计划图表编制完善，安排科学合理，符合本项目施工实际要求。 </w:t>
            </w:r>
          </w:p>
          <w:p w14:paraId="2AF945AF">
            <w:pPr>
              <w:pStyle w:val="202"/>
              <w:rPr>
                <w:rFonts w:ascii="宋体" w:hAnsi="宋体" w:eastAsia="宋体" w:cs="宋体"/>
                <w:color w:val="auto"/>
                <w:sz w:val="21"/>
                <w:highlight w:val="none"/>
              </w:rPr>
            </w:pPr>
            <w:r>
              <w:rPr>
                <w:rFonts w:ascii="宋体" w:hAnsi="宋体" w:eastAsia="宋体" w:cs="宋体"/>
                <w:color w:val="auto"/>
                <w:sz w:val="21"/>
                <w:highlight w:val="none"/>
              </w:rPr>
              <w:t>良（</w:t>
            </w:r>
            <w:r>
              <w:rPr>
                <w:rFonts w:hint="eastAsia" w:ascii="宋体" w:hAnsi="宋体" w:eastAsia="宋体" w:cs="宋体"/>
                <w:color w:val="auto"/>
                <w:sz w:val="21"/>
                <w:highlight w:val="none"/>
                <w:lang w:val="en-US" w:eastAsia="zh-CN"/>
              </w:rPr>
              <w:t>5</w:t>
            </w:r>
            <w:r>
              <w:rPr>
                <w:rFonts w:ascii="宋体" w:hAnsi="宋体" w:eastAsia="宋体" w:cs="宋体"/>
                <w:color w:val="auto"/>
                <w:sz w:val="21"/>
                <w:highlight w:val="none"/>
              </w:rPr>
              <w:t xml:space="preserve">分）：施工工艺、施工方法、材料选用、劳动力安排、技术等方面有保证工期的具体措施。有施工总进度表或施工网络图，各项计划图表编制合理，安排科学合理，符合本项目施工实际要求。 </w:t>
            </w:r>
          </w:p>
          <w:p w14:paraId="6AACDBB1">
            <w:pPr>
              <w:pStyle w:val="202"/>
              <w:rPr>
                <w:rFonts w:ascii="宋体" w:hAnsi="宋体" w:eastAsia="宋体" w:cs="宋体"/>
                <w:color w:val="auto"/>
                <w:sz w:val="21"/>
                <w:highlight w:val="none"/>
              </w:rPr>
            </w:pPr>
            <w:r>
              <w:rPr>
                <w:rFonts w:ascii="宋体" w:hAnsi="宋体" w:eastAsia="宋体" w:cs="宋体"/>
                <w:color w:val="auto"/>
                <w:sz w:val="21"/>
                <w:highlight w:val="none"/>
              </w:rPr>
              <w:t>中（</w:t>
            </w:r>
            <w:r>
              <w:rPr>
                <w:rFonts w:hint="eastAsia" w:ascii="宋体" w:hAnsi="宋体" w:eastAsia="宋体" w:cs="宋体"/>
                <w:color w:val="auto"/>
                <w:sz w:val="21"/>
                <w:highlight w:val="none"/>
                <w:lang w:val="en-US" w:eastAsia="zh-CN"/>
              </w:rPr>
              <w:t>3</w:t>
            </w:r>
            <w:r>
              <w:rPr>
                <w:rFonts w:ascii="宋体" w:hAnsi="宋体" w:eastAsia="宋体" w:cs="宋体"/>
                <w:color w:val="auto"/>
                <w:sz w:val="21"/>
                <w:highlight w:val="none"/>
              </w:rPr>
              <w:t xml:space="preserve">分）：施工工艺、施工方法、材料选用、劳动力安排、技术等方面有基本的保证措施。有施工总进度表或施工网络图，符合本项目施工实际要求。 </w:t>
            </w:r>
          </w:p>
          <w:p w14:paraId="709F17A6">
            <w:pPr>
              <w:adjustRightInd w:val="0"/>
              <w:snapToGrid w:val="0"/>
              <w:spacing w:line="360" w:lineRule="exact"/>
              <w:jc w:val="left"/>
              <w:rPr>
                <w:rFonts w:ascii="宋体" w:hAnsi="宋体" w:eastAsia="宋体" w:cs="宋体"/>
                <w:color w:val="auto"/>
                <w:kern w:val="2"/>
                <w:sz w:val="21"/>
                <w:szCs w:val="21"/>
                <w:highlight w:val="none"/>
                <w:lang w:val="en-US" w:eastAsia="zh-CN" w:bidi="ar-SA"/>
              </w:rPr>
            </w:pPr>
            <w:r>
              <w:rPr>
                <w:rFonts w:ascii="宋体" w:hAnsi="宋体" w:cs="宋体"/>
                <w:color w:val="auto"/>
                <w:sz w:val="21"/>
                <w:highlight w:val="none"/>
              </w:rPr>
              <w:t>差（</w:t>
            </w:r>
            <w:r>
              <w:rPr>
                <w:rFonts w:hint="eastAsia" w:ascii="宋体" w:hAnsi="宋体" w:cs="宋体"/>
                <w:color w:val="auto"/>
                <w:sz w:val="21"/>
                <w:highlight w:val="none"/>
                <w:lang w:val="en-US" w:eastAsia="zh-CN"/>
              </w:rPr>
              <w:t>1</w:t>
            </w:r>
            <w:r>
              <w:rPr>
                <w:rFonts w:ascii="宋体" w:hAnsi="宋体" w:cs="宋体"/>
                <w:color w:val="auto"/>
                <w:sz w:val="21"/>
                <w:highlight w:val="none"/>
              </w:rPr>
              <w:t>分）：施工工艺、施工方法、材料选用、劳动力安排、技术等方面的保证措施不合理。施工总进度表或施工网络图安排不合理。</w:t>
            </w:r>
          </w:p>
        </w:tc>
      </w:tr>
      <w:tr w14:paraId="15E5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97" w:type="dxa"/>
            <w:vMerge w:val="continue"/>
            <w:noWrap/>
            <w:vAlign w:val="center"/>
          </w:tcPr>
          <w:p w14:paraId="45D18BFE">
            <w:pPr>
              <w:adjustRightInd w:val="0"/>
              <w:snapToGrid w:val="0"/>
              <w:spacing w:line="360" w:lineRule="exact"/>
              <w:jc w:val="center"/>
              <w:rPr>
                <w:rFonts w:ascii="宋体" w:hAnsi="宋体" w:cs="宋体"/>
                <w:color w:val="auto"/>
                <w:szCs w:val="21"/>
                <w:highlight w:val="none"/>
              </w:rPr>
            </w:pPr>
          </w:p>
        </w:tc>
        <w:tc>
          <w:tcPr>
            <w:tcW w:w="1350" w:type="dxa"/>
            <w:noWrap/>
            <w:vAlign w:val="center"/>
          </w:tcPr>
          <w:p w14:paraId="15893C96">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工程施工的</w:t>
            </w:r>
          </w:p>
          <w:p w14:paraId="08A45677">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重点和难点</w:t>
            </w:r>
          </w:p>
          <w:p w14:paraId="65206440">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及保证措施</w:t>
            </w:r>
          </w:p>
          <w:p w14:paraId="3DB4C06A">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(满分</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p w14:paraId="51F8C0D9">
            <w:pPr>
              <w:adjustRightInd w:val="0"/>
              <w:snapToGrid w:val="0"/>
              <w:spacing w:line="360" w:lineRule="exact"/>
              <w:jc w:val="center"/>
              <w:rPr>
                <w:rFonts w:ascii="宋体" w:hAnsi="宋体" w:cs="宋体"/>
                <w:color w:val="auto"/>
                <w:szCs w:val="21"/>
                <w:highlight w:val="none"/>
              </w:rPr>
            </w:pPr>
          </w:p>
        </w:tc>
        <w:tc>
          <w:tcPr>
            <w:tcW w:w="6245" w:type="dxa"/>
            <w:noWrap/>
            <w:vAlign w:val="center"/>
          </w:tcPr>
          <w:p w14:paraId="12833B2F">
            <w:pPr>
              <w:adjustRightInd w:val="0"/>
              <w:snapToGri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优(</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分) :针对该项目的难点、重点详细分析，重点考虑各部分施工如何相互交叉和衔接，以保证施工质量效果和设计效果的完美统一。</w:t>
            </w:r>
          </w:p>
          <w:p w14:paraId="26D69CE7">
            <w:pPr>
              <w:adjustRightInd w:val="0"/>
              <w:snapToGri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良(</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 :针对该项目的难点、重点分析到位，未重点考虑各部分施工如何相互交叉和衔接，施工质量效果基本达到设计效果。</w:t>
            </w:r>
          </w:p>
          <w:p w14:paraId="15E162A2">
            <w:pPr>
              <w:adjustRightInd w:val="0"/>
              <w:snapToGri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中(</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 :针对该项目的难点、重点分析不具体，各部分施工如何相互交叉和衔接不合理，施工质量效果和设计效果有较大差距。</w:t>
            </w:r>
          </w:p>
          <w:p w14:paraId="43527D3A">
            <w:pPr>
              <w:adjustRightInd w:val="0"/>
              <w:snapToGri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差(1分) :未针对该项目的难点、重点进行分析，未考虑各部分施工如何相互交叉和衔接，施工质量效果和设计效果的无法统一 。</w:t>
            </w:r>
          </w:p>
        </w:tc>
      </w:tr>
      <w:tr w14:paraId="02EE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1097" w:type="dxa"/>
            <w:vMerge w:val="continue"/>
            <w:noWrap/>
            <w:vAlign w:val="center"/>
          </w:tcPr>
          <w:p w14:paraId="61DFD003">
            <w:pPr>
              <w:adjustRightInd w:val="0"/>
              <w:snapToGrid w:val="0"/>
              <w:spacing w:line="360" w:lineRule="exact"/>
              <w:jc w:val="center"/>
              <w:rPr>
                <w:rFonts w:ascii="宋体" w:hAnsi="宋体" w:cs="宋体"/>
                <w:color w:val="auto"/>
                <w:szCs w:val="21"/>
                <w:highlight w:val="none"/>
              </w:rPr>
            </w:pPr>
          </w:p>
        </w:tc>
        <w:tc>
          <w:tcPr>
            <w:tcW w:w="1350" w:type="dxa"/>
            <w:noWrap/>
            <w:vAlign w:val="center"/>
          </w:tcPr>
          <w:p w14:paraId="20DA093E">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施工总平面</w:t>
            </w:r>
          </w:p>
          <w:p w14:paraId="234C471E">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布置图(满分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067D091D">
            <w:pPr>
              <w:adjustRightInd w:val="0"/>
              <w:snapToGrid w:val="0"/>
              <w:spacing w:line="360" w:lineRule="exact"/>
              <w:jc w:val="center"/>
              <w:rPr>
                <w:rFonts w:ascii="宋体" w:hAnsi="宋体" w:cs="宋体"/>
                <w:color w:val="auto"/>
                <w:szCs w:val="21"/>
                <w:highlight w:val="none"/>
              </w:rPr>
            </w:pPr>
          </w:p>
        </w:tc>
        <w:tc>
          <w:tcPr>
            <w:tcW w:w="6245" w:type="dxa"/>
            <w:noWrap/>
            <w:vAlign w:val="center"/>
          </w:tcPr>
          <w:p w14:paraId="31E1F2CC">
            <w:pPr>
              <w:adjustRightInd w:val="0"/>
              <w:snapToGri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优(</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 :总体布置有针对性、合理，完全满足施工需要，符合安全、文明生产要求。</w:t>
            </w:r>
          </w:p>
          <w:p w14:paraId="45238733">
            <w:pPr>
              <w:adjustRightInd w:val="0"/>
              <w:snapToGri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良(</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 :总体布置合理，能满足施工需要， 可以符合安全、文明生产要求。</w:t>
            </w:r>
          </w:p>
          <w:p w14:paraId="38D191E7">
            <w:pPr>
              <w:adjustRightInd w:val="0"/>
              <w:snapToGri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中(</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 :总体布置基本合理，基本满足施工需要。</w:t>
            </w:r>
          </w:p>
          <w:p w14:paraId="3A449A1C">
            <w:pPr>
              <w:adjustRightInd w:val="0"/>
              <w:snapToGri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差(1分) :总体布置不合理，不符合安全、文明生产要求。</w:t>
            </w:r>
          </w:p>
        </w:tc>
      </w:tr>
      <w:tr w14:paraId="5551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447" w:type="dxa"/>
            <w:gridSpan w:val="2"/>
            <w:noWrap/>
            <w:vAlign w:val="center"/>
          </w:tcPr>
          <w:p w14:paraId="7ABAA278">
            <w:pPr>
              <w:keepNext w:val="0"/>
              <w:keepLines w:val="0"/>
              <w:widowControl/>
              <w:suppressLineNumbers w:val="0"/>
              <w:jc w:val="left"/>
              <w:rPr>
                <w:b w:val="0"/>
                <w:bCs w:val="0"/>
                <w:color w:val="auto"/>
                <w:highlight w:val="none"/>
              </w:rPr>
            </w:pPr>
            <w:r>
              <w:rPr>
                <w:rFonts w:hint="eastAsia" w:ascii="宋体" w:hAnsi="宋体" w:eastAsia="宋体" w:cs="宋体"/>
                <w:b w:val="0"/>
                <w:bCs w:val="0"/>
                <w:color w:val="auto"/>
                <w:kern w:val="0"/>
                <w:sz w:val="20"/>
                <w:szCs w:val="20"/>
                <w:highlight w:val="none"/>
                <w:lang w:val="en-US" w:eastAsia="zh-CN" w:bidi="ar"/>
              </w:rPr>
              <w:t>企业信誉业绩综合实力分</w:t>
            </w:r>
          </w:p>
          <w:p w14:paraId="2A98F482">
            <w:pPr>
              <w:adjustRightInd w:val="0"/>
              <w:snapToGrid w:val="0"/>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（8分）</w:t>
            </w:r>
          </w:p>
        </w:tc>
        <w:tc>
          <w:tcPr>
            <w:tcW w:w="6245" w:type="dxa"/>
            <w:noWrap/>
            <w:vAlign w:val="center"/>
          </w:tcPr>
          <w:p w14:paraId="5429989F">
            <w:pPr>
              <w:snapToGrid w:val="0"/>
              <w:spacing w:line="360" w:lineRule="exact"/>
              <w:ind w:right="59" w:rightChars="28"/>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ascii="宋体" w:hAnsi="宋体"/>
                <w:color w:val="auto"/>
                <w:kern w:val="0"/>
                <w:szCs w:val="21"/>
                <w:highlight w:val="none"/>
              </w:rPr>
              <w:t>拟派任项目经理（或注册建造师）必须与资格审查合格通过的项目经理（或注册建造师）在名称、专业、资格等级等方面一致</w:t>
            </w:r>
            <w:r>
              <w:rPr>
                <w:rFonts w:hint="eastAsia" w:ascii="宋体" w:hAnsi="宋体"/>
                <w:color w:val="auto"/>
                <w:kern w:val="0"/>
                <w:szCs w:val="21"/>
                <w:highlight w:val="none"/>
                <w:lang w:eastAsia="zh-CN"/>
              </w:rPr>
              <w:t>，</w:t>
            </w:r>
            <w:r>
              <w:rPr>
                <w:rFonts w:ascii="宋体" w:hAnsi="宋体"/>
                <w:color w:val="auto"/>
                <w:szCs w:val="21"/>
                <w:highlight w:val="none"/>
              </w:rPr>
              <w:t>项目经理</w:t>
            </w:r>
            <w:r>
              <w:rPr>
                <w:rFonts w:hint="eastAsia" w:ascii="宋体" w:hAnsi="宋体"/>
                <w:color w:val="auto"/>
                <w:szCs w:val="21"/>
                <w:highlight w:val="none"/>
                <w:lang w:val="en-US" w:eastAsia="zh-CN"/>
              </w:rPr>
              <w:t>具有</w:t>
            </w:r>
            <w:r>
              <w:rPr>
                <w:rFonts w:hint="eastAsia" w:ascii="宋体" w:hAnsi="宋体" w:cs="宋体"/>
                <w:color w:val="auto"/>
                <w:szCs w:val="21"/>
                <w:highlight w:val="none"/>
                <w:lang w:val="en-US" w:eastAsia="zh-CN" w:bidi="ar"/>
              </w:rPr>
              <w:t>初级</w:t>
            </w:r>
            <w:r>
              <w:rPr>
                <w:rFonts w:hint="eastAsia" w:ascii="宋体" w:hAnsi="宋体" w:cs="宋体"/>
                <w:color w:val="auto"/>
                <w:szCs w:val="21"/>
                <w:highlight w:val="none"/>
                <w:lang w:bidi="ar"/>
              </w:rPr>
              <w:t>职称</w:t>
            </w:r>
            <w:r>
              <w:rPr>
                <w:rFonts w:hint="eastAsia" w:ascii="宋体" w:hAnsi="宋体" w:cs="宋体"/>
                <w:color w:val="auto"/>
                <w:szCs w:val="21"/>
                <w:highlight w:val="none"/>
                <w:lang w:eastAsia="zh-CN" w:bidi="ar"/>
              </w:rPr>
              <w:t>的</w:t>
            </w:r>
            <w:r>
              <w:rPr>
                <w:rFonts w:hint="eastAsia" w:ascii="宋体" w:hAnsi="宋体" w:cs="宋体"/>
                <w:color w:val="auto"/>
                <w:szCs w:val="21"/>
                <w:highlight w:val="none"/>
                <w:lang w:bidi="ar"/>
              </w:rPr>
              <w:t>得</w:t>
            </w:r>
            <w:r>
              <w:rPr>
                <w:rFonts w:hint="eastAsia" w:ascii="宋体" w:hAnsi="宋体" w:cs="宋体"/>
                <w:color w:val="auto"/>
                <w:szCs w:val="21"/>
                <w:highlight w:val="none"/>
                <w:lang w:val="en-US" w:eastAsia="zh-CN" w:bidi="ar"/>
              </w:rPr>
              <w:t>2</w:t>
            </w:r>
            <w:r>
              <w:rPr>
                <w:rFonts w:hint="eastAsia" w:ascii="宋体" w:hAnsi="宋体" w:cs="宋体"/>
                <w:color w:val="auto"/>
                <w:szCs w:val="21"/>
                <w:highlight w:val="none"/>
                <w:lang w:bidi="ar"/>
              </w:rPr>
              <w:t>分；</w:t>
            </w:r>
            <w:r>
              <w:rPr>
                <w:rFonts w:hint="eastAsia" w:ascii="宋体" w:hAnsi="宋体" w:cs="宋体"/>
                <w:color w:val="auto"/>
                <w:szCs w:val="21"/>
                <w:highlight w:val="none"/>
                <w:lang w:val="en-US" w:eastAsia="zh-CN" w:bidi="ar"/>
              </w:rPr>
              <w:t>具有中级及以上职称的得4分。</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响应文件中须提供有效证书</w:t>
            </w:r>
            <w:r>
              <w:rPr>
                <w:rFonts w:hint="eastAsia" w:ascii="宋体" w:hAnsi="宋体" w:eastAsia="宋体" w:cs="宋体"/>
                <w:color w:val="auto"/>
                <w:highlight w:val="none"/>
              </w:rPr>
              <w:t>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并加盖单位公章</w:t>
            </w:r>
            <w:r>
              <w:rPr>
                <w:rFonts w:hint="eastAsia" w:ascii="宋体" w:hAnsi="宋体" w:eastAsia="宋体" w:cs="宋体"/>
                <w:color w:val="auto"/>
                <w:highlight w:val="none"/>
              </w:rPr>
              <w:t>，否则不予得分）</w:t>
            </w:r>
          </w:p>
          <w:p w14:paraId="605A1145">
            <w:pPr>
              <w:rPr>
                <w:rFonts w:hint="default"/>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供应商</w:t>
            </w:r>
            <w:r>
              <w:rPr>
                <w:rFonts w:hint="eastAsia" w:ascii="宋体" w:hAnsi="宋体" w:cs="宋体"/>
                <w:color w:val="auto"/>
                <w:highlight w:val="none"/>
                <w:lang w:val="en-US" w:eastAsia="zh-CN"/>
              </w:rPr>
              <w:t>2021年1月1日起至磋商截止时间止</w:t>
            </w:r>
            <w:r>
              <w:rPr>
                <w:rFonts w:hint="eastAsia" w:ascii="宋体" w:hAnsi="宋体" w:eastAsia="宋体" w:cs="宋体"/>
                <w:color w:val="auto"/>
                <w:highlight w:val="none"/>
              </w:rPr>
              <w:t>完成过类似工程项目业绩的每项得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分，满分得</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响应文件中须提供</w:t>
            </w:r>
            <w:r>
              <w:rPr>
                <w:rFonts w:hint="eastAsia" w:ascii="宋体" w:hAnsi="宋体" w:eastAsia="宋体" w:cs="宋体"/>
                <w:color w:val="auto"/>
                <w:highlight w:val="none"/>
              </w:rPr>
              <w:t>施工合同复印件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并加盖单位公章</w:t>
            </w:r>
            <w:r>
              <w:rPr>
                <w:rFonts w:hint="eastAsia" w:ascii="宋体" w:hAnsi="宋体" w:eastAsia="宋体" w:cs="宋体"/>
                <w:color w:val="auto"/>
                <w:highlight w:val="none"/>
              </w:rPr>
              <w:t>，否则不予得分）</w:t>
            </w:r>
          </w:p>
        </w:tc>
      </w:tr>
      <w:tr w14:paraId="7701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447" w:type="dxa"/>
            <w:gridSpan w:val="2"/>
            <w:noWrap/>
            <w:vAlign w:val="center"/>
          </w:tcPr>
          <w:p w14:paraId="32BE355D">
            <w:pPr>
              <w:adjustRightInd w:val="0"/>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磋商供应商综合得分</w:t>
            </w:r>
          </w:p>
        </w:tc>
        <w:tc>
          <w:tcPr>
            <w:tcW w:w="6245" w:type="dxa"/>
            <w:noWrap/>
            <w:vAlign w:val="center"/>
          </w:tcPr>
          <w:p w14:paraId="692B4DDF">
            <w:pPr>
              <w:keepNext w:val="0"/>
              <w:keepLines w:val="0"/>
              <w:widowControl/>
              <w:suppressLineNumbers w:val="0"/>
              <w:jc w:val="left"/>
              <w:rPr>
                <w:rFonts w:hint="eastAsia" w:ascii="宋体" w:hAnsi="宋体" w:cs="宋体"/>
                <w:color w:val="auto"/>
                <w:szCs w:val="21"/>
                <w:highlight w:val="none"/>
              </w:rPr>
            </w:pPr>
            <w:r>
              <w:rPr>
                <w:rFonts w:hint="eastAsia" w:ascii="宋体" w:hAnsi="宋体" w:eastAsia="宋体" w:cs="宋体"/>
                <w:color w:val="auto"/>
                <w:sz w:val="21"/>
                <w:szCs w:val="21"/>
                <w:highlight w:val="none"/>
              </w:rPr>
              <w:t>磋商供应商综合得分=磋商报价分+施工组织设计分</w:t>
            </w:r>
            <w:r>
              <w:rPr>
                <w:rFonts w:hint="eastAsia" w:ascii="宋体" w:hAnsi="宋体" w:eastAsia="宋体" w:cs="宋体"/>
                <w:color w:val="auto"/>
                <w:sz w:val="21"/>
                <w:szCs w:val="21"/>
                <w:highlight w:val="none"/>
                <w:lang w:val="en-US" w:eastAsia="zh-CN"/>
              </w:rPr>
              <w:t>+企业信誉业绩综合实力分</w:t>
            </w:r>
            <w:r>
              <w:rPr>
                <w:rFonts w:hint="eastAsia" w:ascii="宋体" w:hAnsi="宋体" w:eastAsia="宋体" w:cs="宋体"/>
                <w:color w:val="auto"/>
                <w:sz w:val="21"/>
                <w:szCs w:val="21"/>
                <w:highlight w:val="none"/>
              </w:rPr>
              <w:t>。</w:t>
            </w:r>
          </w:p>
        </w:tc>
      </w:tr>
    </w:tbl>
    <w:p w14:paraId="61C1CBF4">
      <w:pPr>
        <w:pStyle w:val="21"/>
        <w:spacing w:line="360" w:lineRule="exact"/>
        <w:rPr>
          <w:rFonts w:hAnsi="宋体" w:cs="宋体"/>
          <w:b/>
          <w:color w:val="auto"/>
          <w:highlight w:val="none"/>
        </w:rPr>
      </w:pPr>
      <w:r>
        <w:rPr>
          <w:rFonts w:hint="eastAsia" w:hAnsi="宋体" w:cs="宋体"/>
          <w:b/>
          <w:color w:val="auto"/>
          <w:highlight w:val="none"/>
        </w:rPr>
        <w:t>四、成交候选人推荐和确定原则</w:t>
      </w:r>
    </w:p>
    <w:p w14:paraId="6F551908">
      <w:pPr>
        <w:widowControl/>
        <w:spacing w:line="440" w:lineRule="exact"/>
        <w:ind w:right="-162" w:rightChars="-77"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本次评标采用综合评估法。磋商小组对满足竞争性磋商文件实质性要求的磋商响应文件，按上述评标标准进行打分，在所有实质性条款、资质、工期、项目管理机构配备及施工组织设计均能满足要求的前提下，按综合得分由高到低顺序推荐成交候选人三名，但磋商报价低于其成本的除外。综合评分相等时，以磋商报价低的优先；磋商价也相等时，以企业信誉实力分高的优先；企业信誉实力分也相等的，以企业用于该项工程投标的资质高的优先；企业用于该项工程投标的资质也相等的，以技术得分高的优先；技术得分也相等的，由磋商小组采用记名投票方式确定。</w:t>
      </w:r>
    </w:p>
    <w:p w14:paraId="25FF2B33">
      <w:pPr>
        <w:widowControl/>
        <w:spacing w:line="440" w:lineRule="exact"/>
        <w:ind w:right="-162" w:rightChars="-77"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购人应当确定磋商小组推荐排名第一的成交候选供应商为成交供应商。排名第一的成交供应商放弃成交、因不可抗力提出不能履行合同，采购人可以确定排名第二的成交候选供应商为成交供应商。排名第二的成交供应商因前款规定的同样原因不能签订合同的，采购人可以确定排名第三的成交候选供应商为成交供应商，其余以此类推。</w:t>
      </w:r>
    </w:p>
    <w:sectPr>
      <w:headerReference r:id="rId9" w:type="default"/>
      <w:footerReference r:id="rId10" w:type="default"/>
      <w:pgSz w:w="11900" w:h="16838"/>
      <w:pgMar w:top="1423" w:right="1621" w:bottom="1304" w:left="1621" w:header="720" w:footer="720" w:gutter="0"/>
      <w:cols w:space="720" w:num="1"/>
      <w:docGrid w:type="lines" w:linePitch="3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Ìå">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微软雅黑 Light">
    <w:panose1 w:val="020B0502040204020203"/>
    <w:charset w:val="86"/>
    <w:family w:val="swiss"/>
    <w:pitch w:val="default"/>
    <w:sig w:usb0="80000287" w:usb1="2ACF001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Monospaced Number">
    <w:altName w:val="Times New Roman"/>
    <w:panose1 w:val="00000000000000000000"/>
    <w:charset w:val="00"/>
    <w:family w:val="auto"/>
    <w:pitch w:val="default"/>
    <w:sig w:usb0="00000000" w:usb1="00000000" w:usb2="00000000"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55953">
    <w:pPr>
      <w:pStyle w:val="26"/>
      <w:framePr w:wrap="around" w:vAnchor="text" w:hAnchor="margin" w:xAlign="center" w:y="1"/>
      <w:rPr>
        <w:rStyle w:val="45"/>
      </w:rPr>
    </w:pPr>
    <w:r>
      <w:fldChar w:fldCharType="begin"/>
    </w:r>
    <w:r>
      <w:rPr>
        <w:rStyle w:val="45"/>
      </w:rPr>
      <w:instrText xml:space="preserve">PAGE  </w:instrText>
    </w:r>
    <w:r>
      <w:fldChar w:fldCharType="separate"/>
    </w:r>
    <w:r>
      <w:rPr>
        <w:rStyle w:val="45"/>
      </w:rPr>
      <w:t>13</w:t>
    </w:r>
    <w:r>
      <w:fldChar w:fldCharType="end"/>
    </w:r>
  </w:p>
  <w:p w14:paraId="52751C79">
    <w:pPr>
      <w:pStyle w:val="26"/>
      <w:rPr>
        <w:rStyle w:val="45"/>
      </w:rPr>
    </w:pPr>
  </w:p>
  <w:p w14:paraId="36D93DB4">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B27D1">
    <w:pPr>
      <w:pStyle w:val="26"/>
      <w:ind w:left="180" w:right="-4" w:rightChars="-2" w:hanging="180" w:hangingChars="1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28E7A">
    <w:pPr>
      <w:pStyle w:val="17"/>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D08CA87">
                          <w:pPr>
                            <w:pStyle w:val="26"/>
                          </w:pPr>
                          <w:r>
                            <w:fldChar w:fldCharType="begin"/>
                          </w:r>
                          <w:r>
                            <w:instrText xml:space="preserve"> PAGE  \* MERGEFORMAT </w:instrText>
                          </w:r>
                          <w:r>
                            <w:fldChar w:fldCharType="separate"/>
                          </w:r>
                          <w:r>
                            <w:t>84</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y4P1ZzAEAAKcDAAAOAAAAAAAAAAEAIAAAAB4BAABkcnMvZTJv&#10;RG9jLnhtbFBLBQYAAAAABgAGAFkBAABcBQAAAAA=&#10;">
              <v:fill on="f" focussize="0,0"/>
              <v:stroke on="f"/>
              <v:imagedata o:title=""/>
              <o:lock v:ext="edit" aspectratio="f"/>
              <v:textbox inset="0mm,0mm,0mm,0mm" style="mso-fit-shape-to-text:t;">
                <w:txbxContent>
                  <w:p w14:paraId="3D08CA87">
                    <w:pPr>
                      <w:pStyle w:val="26"/>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F0D59">
    <w:pPr>
      <w:pStyle w:val="17"/>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1018540</wp:posOffset>
              </wp:positionH>
              <wp:positionV relativeFrom="page">
                <wp:posOffset>10012680</wp:posOffset>
              </wp:positionV>
              <wp:extent cx="219710" cy="1524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219710" cy="152400"/>
                      </a:xfrm>
                      <a:prstGeom prst="rect">
                        <a:avLst/>
                      </a:prstGeom>
                      <a:noFill/>
                      <a:ln>
                        <a:noFill/>
                      </a:ln>
                      <a:effectLst/>
                    </wps:spPr>
                    <wps:txbx>
                      <w:txbxContent>
                        <w:p w14:paraId="29CF75BF">
                          <w:pPr>
                            <w:ind w:left="40"/>
                            <w:rPr>
                              <w:sz w:val="18"/>
                            </w:rPr>
                          </w:pPr>
                          <w:r>
                            <w:fldChar w:fldCharType="begin"/>
                          </w:r>
                          <w:r>
                            <w:rPr>
                              <w:sz w:val="18"/>
                            </w:rPr>
                            <w:instrText xml:space="preserve"> PAGE </w:instrText>
                          </w:r>
                          <w:r>
                            <w:fldChar w:fldCharType="separate"/>
                          </w:r>
                          <w:r>
                            <w:rPr>
                              <w:sz w:val="18"/>
                            </w:rPr>
                            <w:t>0</w:t>
                          </w:r>
                          <w:r>
                            <w:fldChar w:fldCharType="end"/>
                          </w:r>
                        </w:p>
                      </w:txbxContent>
                    </wps:txbx>
                    <wps:bodyPr lIns="0" tIns="0" rIns="0" bIns="0" upright="1"/>
                  </wps:wsp>
                </a:graphicData>
              </a:graphic>
            </wp:anchor>
          </w:drawing>
        </mc:Choice>
        <mc:Fallback>
          <w:pict>
            <v:shape id="文本框 1026" o:spid="_x0000_s1026" o:spt="202" type="#_x0000_t202" style="position:absolute;left:0pt;margin-left:80.2pt;margin-top:788.4pt;height:12pt;width:17.3pt;mso-position-horizontal-relative:page;mso-position-vertical-relative:page;z-index:-251657216;mso-width-relative:page;mso-height-relative:page;" filled="f" stroked="f" coordsize="21600,21600" o:gfxdata="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WOSXzYAAAADQEAAA8AAAAAAAAAAQAgAAAAIgAAAGRycy9kb3ducmV2Lnht&#10;bFBLAQIUABQAAAAIAIdO4kB/6iCuwAEAAIIDAAAOAAAAAAAAAAEAIAAAACcBAABkcnMvZTJvRG9j&#10;LnhtbFBLBQYAAAAABgAGAFkBAABZBQAAAAA=&#10;">
              <v:fill on="f" focussize="0,0"/>
              <v:stroke on="f"/>
              <v:imagedata o:title=""/>
              <o:lock v:ext="edit" aspectratio="f"/>
              <v:textbox inset="0mm,0mm,0mm,0mm">
                <w:txbxContent>
                  <w:p w14:paraId="29CF75BF">
                    <w:pPr>
                      <w:ind w:left="40"/>
                      <w:rPr>
                        <w:sz w:val="18"/>
                      </w:rPr>
                    </w:pPr>
                    <w:r>
                      <w:fldChar w:fldCharType="begin"/>
                    </w:r>
                    <w:r>
                      <w:rPr>
                        <w:sz w:val="18"/>
                      </w:rPr>
                      <w:instrText xml:space="preserve"> PAGE </w:instrText>
                    </w:r>
                    <w:r>
                      <w:fldChar w:fldCharType="separate"/>
                    </w:r>
                    <w:r>
                      <w:rPr>
                        <w:sz w:val="18"/>
                      </w:rP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C396B">
    <w:pPr>
      <w:pStyle w:val="17"/>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D564CB2">
                          <w:pPr>
                            <w:pStyle w:val="26"/>
                          </w:pPr>
                          <w:r>
                            <w:fldChar w:fldCharType="begin"/>
                          </w:r>
                          <w:r>
                            <w:instrText xml:space="preserve"> PAGE  \* MERGEFORMAT </w:instrText>
                          </w:r>
                          <w:r>
                            <w:fldChar w:fldCharType="separate"/>
                          </w:r>
                          <w:r>
                            <w:t>92</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&#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Cm15M0BAACnAwAADgAAAAAAAAABACAAAAAeAQAAZHJzL2Uy&#10;b0RvYy54bWxQSwUGAAAAAAYABgBZAQAAXQUAAAAA&#10;">
              <v:fill on="f" focussize="0,0"/>
              <v:stroke on="f"/>
              <v:imagedata o:title=""/>
              <o:lock v:ext="edit" aspectratio="f"/>
              <v:textbox inset="0mm,0mm,0mm,0mm" style="mso-fit-shape-to-text:t;">
                <w:txbxContent>
                  <w:p w14:paraId="5D564CB2">
                    <w:pPr>
                      <w:pStyle w:val="26"/>
                    </w:pPr>
                    <w:r>
                      <w:fldChar w:fldCharType="begin"/>
                    </w:r>
                    <w:r>
                      <w:instrText xml:space="preserve"> PAGE  \* MERGEFORMAT </w:instrText>
                    </w:r>
                    <w:r>
                      <w:fldChar w:fldCharType="separate"/>
                    </w:r>
                    <w:r>
                      <w:t>92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686C3">
    <w:pPr>
      <w:pStyle w:val="27"/>
      <w:pBdr>
        <w:bottom w:val="none" w:color="auto" w:sz="0" w:space="1"/>
      </w:pBdr>
      <w:rPr>
        <w:rFonts w:hint="eastAsia" w:eastAsia="宋体"/>
        <w:bCs/>
        <w:szCs w:val="1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BD3D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4408B">
    <w:pPr>
      <w:pStyle w:val="27"/>
      <w:rPr>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0371358"/>
    <w:multiLevelType w:val="singleLevel"/>
    <w:tmpl w:val="30371358"/>
    <w:lvl w:ilvl="0" w:tentative="0">
      <w:start w:val="1"/>
      <w:numFmt w:val="decimal"/>
      <w:suff w:val="nothing"/>
      <w:lvlText w:val="%1、"/>
      <w:lvlJc w:val="left"/>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4EA9C144"/>
    <w:multiLevelType w:val="singleLevel"/>
    <w:tmpl w:val="4EA9C144"/>
    <w:lvl w:ilvl="0" w:tentative="0">
      <w:start w:val="6"/>
      <w:numFmt w:val="decimal"/>
      <w:suff w:val="nothing"/>
      <w:lvlText w:val="（%1）"/>
      <w:lvlJc w:val="left"/>
    </w:lvl>
  </w:abstractNum>
  <w:abstractNum w:abstractNumId="4">
    <w:nsid w:val="74774989"/>
    <w:multiLevelType w:val="multilevel"/>
    <w:tmpl w:val="74774989"/>
    <w:lvl w:ilvl="0" w:tentative="0">
      <w:start w:val="7"/>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dit="readOnly" w:enforcement="0"/>
  <w:defaultTabStop w:val="420"/>
  <w:drawingGridHorizontalSpacing w:val="210"/>
  <w:drawingGridVerticalSpacing w:val="181"/>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ZmU1YzVlYWNlM2I2N2IxZTRmYWQwNzYzZTNiMTQifQ=="/>
  </w:docVars>
  <w:rsids>
    <w:rsidRoot w:val="00172A27"/>
    <w:rsid w:val="00020935"/>
    <w:rsid w:val="00046793"/>
    <w:rsid w:val="00172A27"/>
    <w:rsid w:val="00770A32"/>
    <w:rsid w:val="008F2CC4"/>
    <w:rsid w:val="01555C91"/>
    <w:rsid w:val="019B459C"/>
    <w:rsid w:val="019D629D"/>
    <w:rsid w:val="01B068D4"/>
    <w:rsid w:val="02765598"/>
    <w:rsid w:val="0297464D"/>
    <w:rsid w:val="03801C88"/>
    <w:rsid w:val="03C01B1B"/>
    <w:rsid w:val="050A7601"/>
    <w:rsid w:val="05B273FB"/>
    <w:rsid w:val="062C3C85"/>
    <w:rsid w:val="06E86D3C"/>
    <w:rsid w:val="07E80691"/>
    <w:rsid w:val="07FF1AFC"/>
    <w:rsid w:val="081128A2"/>
    <w:rsid w:val="086A6756"/>
    <w:rsid w:val="0A48472C"/>
    <w:rsid w:val="0ABF7155"/>
    <w:rsid w:val="0B240772"/>
    <w:rsid w:val="0B6E2543"/>
    <w:rsid w:val="0C285132"/>
    <w:rsid w:val="0D291B06"/>
    <w:rsid w:val="0D6C40D7"/>
    <w:rsid w:val="0E3A112F"/>
    <w:rsid w:val="0EA87987"/>
    <w:rsid w:val="0EDE2FF2"/>
    <w:rsid w:val="0F397CE8"/>
    <w:rsid w:val="0FDC2D84"/>
    <w:rsid w:val="10CC1DA5"/>
    <w:rsid w:val="117838ED"/>
    <w:rsid w:val="11F348DB"/>
    <w:rsid w:val="141554C8"/>
    <w:rsid w:val="14542881"/>
    <w:rsid w:val="15C45365"/>
    <w:rsid w:val="161517B0"/>
    <w:rsid w:val="16D41295"/>
    <w:rsid w:val="17310603"/>
    <w:rsid w:val="173B3084"/>
    <w:rsid w:val="178766DD"/>
    <w:rsid w:val="182427C4"/>
    <w:rsid w:val="18476EA1"/>
    <w:rsid w:val="18F41B50"/>
    <w:rsid w:val="1A74641E"/>
    <w:rsid w:val="1AE10EFA"/>
    <w:rsid w:val="1B6A434C"/>
    <w:rsid w:val="1B9E0075"/>
    <w:rsid w:val="1CC12699"/>
    <w:rsid w:val="1D8D2573"/>
    <w:rsid w:val="1D9E02DC"/>
    <w:rsid w:val="1DE618C6"/>
    <w:rsid w:val="1FD43F72"/>
    <w:rsid w:val="20840C32"/>
    <w:rsid w:val="20C21C50"/>
    <w:rsid w:val="21167C0D"/>
    <w:rsid w:val="228965D3"/>
    <w:rsid w:val="230328C4"/>
    <w:rsid w:val="243C277D"/>
    <w:rsid w:val="2446522A"/>
    <w:rsid w:val="24B03018"/>
    <w:rsid w:val="24F609FE"/>
    <w:rsid w:val="250F386E"/>
    <w:rsid w:val="26C31A43"/>
    <w:rsid w:val="272C4BAB"/>
    <w:rsid w:val="27B85A08"/>
    <w:rsid w:val="28610D45"/>
    <w:rsid w:val="28B701B7"/>
    <w:rsid w:val="295F2AA5"/>
    <w:rsid w:val="2AEF189F"/>
    <w:rsid w:val="2B671CA8"/>
    <w:rsid w:val="2CEF0BF0"/>
    <w:rsid w:val="2D21710F"/>
    <w:rsid w:val="2D414D7A"/>
    <w:rsid w:val="2D575C0D"/>
    <w:rsid w:val="2DD64DFB"/>
    <w:rsid w:val="2E025B4A"/>
    <w:rsid w:val="2E17533E"/>
    <w:rsid w:val="2E1D4408"/>
    <w:rsid w:val="2E416A50"/>
    <w:rsid w:val="2E545622"/>
    <w:rsid w:val="2E9E5EEC"/>
    <w:rsid w:val="2EFC273F"/>
    <w:rsid w:val="311D0790"/>
    <w:rsid w:val="32056627"/>
    <w:rsid w:val="3273506F"/>
    <w:rsid w:val="32C94B98"/>
    <w:rsid w:val="336D65BF"/>
    <w:rsid w:val="33B86A5D"/>
    <w:rsid w:val="33F20F2A"/>
    <w:rsid w:val="372B6E00"/>
    <w:rsid w:val="376C52D5"/>
    <w:rsid w:val="379D57F0"/>
    <w:rsid w:val="37C349F9"/>
    <w:rsid w:val="37F400BB"/>
    <w:rsid w:val="389E7B9F"/>
    <w:rsid w:val="38C6559B"/>
    <w:rsid w:val="392D0B61"/>
    <w:rsid w:val="39377B43"/>
    <w:rsid w:val="393F58DB"/>
    <w:rsid w:val="39520BAC"/>
    <w:rsid w:val="3AD373D3"/>
    <w:rsid w:val="3B045F4E"/>
    <w:rsid w:val="3B0E040C"/>
    <w:rsid w:val="3BEE6038"/>
    <w:rsid w:val="3CBE71AC"/>
    <w:rsid w:val="3E2311B4"/>
    <w:rsid w:val="3E5F31F9"/>
    <w:rsid w:val="3E880610"/>
    <w:rsid w:val="3EAF3CA0"/>
    <w:rsid w:val="3ED961A1"/>
    <w:rsid w:val="3FA01B61"/>
    <w:rsid w:val="406E0FCD"/>
    <w:rsid w:val="40BF2194"/>
    <w:rsid w:val="413E4B57"/>
    <w:rsid w:val="413F350F"/>
    <w:rsid w:val="41C71526"/>
    <w:rsid w:val="428263BA"/>
    <w:rsid w:val="42D15FB7"/>
    <w:rsid w:val="430353E1"/>
    <w:rsid w:val="438808DD"/>
    <w:rsid w:val="446B1A36"/>
    <w:rsid w:val="44A03D6B"/>
    <w:rsid w:val="454C1860"/>
    <w:rsid w:val="45660C50"/>
    <w:rsid w:val="46924D28"/>
    <w:rsid w:val="47A33DBD"/>
    <w:rsid w:val="4816101A"/>
    <w:rsid w:val="48817D77"/>
    <w:rsid w:val="48D82045"/>
    <w:rsid w:val="48E72288"/>
    <w:rsid w:val="49303365"/>
    <w:rsid w:val="49AA5177"/>
    <w:rsid w:val="4B972F31"/>
    <w:rsid w:val="4BC410D8"/>
    <w:rsid w:val="4C4A597E"/>
    <w:rsid w:val="4C4B7740"/>
    <w:rsid w:val="4CEC056E"/>
    <w:rsid w:val="4D07223F"/>
    <w:rsid w:val="4D435F91"/>
    <w:rsid w:val="4E0972AE"/>
    <w:rsid w:val="4EC76DE4"/>
    <w:rsid w:val="4F570C91"/>
    <w:rsid w:val="4F716D4F"/>
    <w:rsid w:val="4F7900FB"/>
    <w:rsid w:val="50595746"/>
    <w:rsid w:val="50960866"/>
    <w:rsid w:val="515934F5"/>
    <w:rsid w:val="52552958"/>
    <w:rsid w:val="53624479"/>
    <w:rsid w:val="538D5DA5"/>
    <w:rsid w:val="53D55CF3"/>
    <w:rsid w:val="53E36913"/>
    <w:rsid w:val="53E425C2"/>
    <w:rsid w:val="57375008"/>
    <w:rsid w:val="57A2472F"/>
    <w:rsid w:val="589A51C4"/>
    <w:rsid w:val="5984547B"/>
    <w:rsid w:val="5A1023FA"/>
    <w:rsid w:val="5A115AA7"/>
    <w:rsid w:val="5CFF2E95"/>
    <w:rsid w:val="5DE74DAC"/>
    <w:rsid w:val="5E7B1E5F"/>
    <w:rsid w:val="5F077B52"/>
    <w:rsid w:val="5F3F13E3"/>
    <w:rsid w:val="5F730AA8"/>
    <w:rsid w:val="5F743D91"/>
    <w:rsid w:val="600D0FF5"/>
    <w:rsid w:val="607155F8"/>
    <w:rsid w:val="60D813E8"/>
    <w:rsid w:val="610D7D06"/>
    <w:rsid w:val="61B06B77"/>
    <w:rsid w:val="61EF04AD"/>
    <w:rsid w:val="625E0545"/>
    <w:rsid w:val="626D170E"/>
    <w:rsid w:val="627C0F4C"/>
    <w:rsid w:val="63FD3361"/>
    <w:rsid w:val="65292444"/>
    <w:rsid w:val="661C5BE6"/>
    <w:rsid w:val="662670D1"/>
    <w:rsid w:val="66561F7D"/>
    <w:rsid w:val="666E5638"/>
    <w:rsid w:val="66C37A39"/>
    <w:rsid w:val="678305F5"/>
    <w:rsid w:val="67944DFD"/>
    <w:rsid w:val="679719A7"/>
    <w:rsid w:val="686F6620"/>
    <w:rsid w:val="6877079C"/>
    <w:rsid w:val="68D07C3C"/>
    <w:rsid w:val="6A666B31"/>
    <w:rsid w:val="6B2752A7"/>
    <w:rsid w:val="6C370EE5"/>
    <w:rsid w:val="6CAD5508"/>
    <w:rsid w:val="6CB439D1"/>
    <w:rsid w:val="6CD56718"/>
    <w:rsid w:val="6D0B213A"/>
    <w:rsid w:val="6D267A5A"/>
    <w:rsid w:val="6DCA02E4"/>
    <w:rsid w:val="6DF42BCE"/>
    <w:rsid w:val="6EA921B6"/>
    <w:rsid w:val="6EB365E5"/>
    <w:rsid w:val="6F2112CA"/>
    <w:rsid w:val="6F430127"/>
    <w:rsid w:val="6FD6321B"/>
    <w:rsid w:val="71A047EF"/>
    <w:rsid w:val="71A7532D"/>
    <w:rsid w:val="74131BAE"/>
    <w:rsid w:val="741A5C22"/>
    <w:rsid w:val="74E67DEF"/>
    <w:rsid w:val="75A45F06"/>
    <w:rsid w:val="75AB44BA"/>
    <w:rsid w:val="75E0488B"/>
    <w:rsid w:val="76114A46"/>
    <w:rsid w:val="76FC49CD"/>
    <w:rsid w:val="78796283"/>
    <w:rsid w:val="793A7494"/>
    <w:rsid w:val="79CC7D34"/>
    <w:rsid w:val="7A393CF4"/>
    <w:rsid w:val="7B143675"/>
    <w:rsid w:val="7B655EDF"/>
    <w:rsid w:val="7B7A56F2"/>
    <w:rsid w:val="7B8863AA"/>
    <w:rsid w:val="7D796738"/>
    <w:rsid w:val="7DA0083C"/>
    <w:rsid w:val="7DE039EA"/>
    <w:rsid w:val="7E441344"/>
    <w:rsid w:val="7EEF01F9"/>
    <w:rsid w:val="7F7B6CAB"/>
    <w:rsid w:val="7F9C57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3"/>
    <w:qFormat/>
    <w:uiPriority w:val="0"/>
    <w:pPr>
      <w:keepNext/>
      <w:keepLines/>
      <w:adjustRightInd w:val="0"/>
      <w:snapToGrid w:val="0"/>
      <w:spacing w:line="350" w:lineRule="exact"/>
      <w:jc w:val="center"/>
      <w:outlineLvl w:val="0"/>
    </w:pPr>
    <w:rPr>
      <w:rFonts w:eastAsia="黑体"/>
      <w:kern w:val="44"/>
      <w:sz w:val="32"/>
    </w:rPr>
  </w:style>
  <w:style w:type="paragraph" w:styleId="4">
    <w:name w:val="heading 2"/>
    <w:basedOn w:val="1"/>
    <w:next w:val="1"/>
    <w:link w:val="154"/>
    <w:qFormat/>
    <w:uiPriority w:val="0"/>
    <w:pPr>
      <w:keepNext/>
      <w:keepLines/>
      <w:spacing w:line="413" w:lineRule="auto"/>
      <w:outlineLvl w:val="1"/>
    </w:pPr>
    <w:rPr>
      <w:rFonts w:ascii="Arial" w:hAnsi="Arial" w:eastAsia="黑体"/>
      <w:b/>
      <w:sz w:val="32"/>
    </w:rPr>
  </w:style>
  <w:style w:type="paragraph" w:styleId="5">
    <w:name w:val="heading 3"/>
    <w:basedOn w:val="1"/>
    <w:next w:val="1"/>
    <w:link w:val="155"/>
    <w:qFormat/>
    <w:uiPriority w:val="0"/>
    <w:pPr>
      <w:keepNext/>
      <w:keepLines/>
      <w:spacing w:line="413" w:lineRule="auto"/>
      <w:outlineLvl w:val="2"/>
    </w:pPr>
    <w:rPr>
      <w:b/>
      <w:sz w:val="32"/>
    </w:rPr>
  </w:style>
  <w:style w:type="paragraph" w:styleId="2">
    <w:name w:val="heading 4"/>
    <w:basedOn w:val="1"/>
    <w:next w:val="1"/>
    <w:link w:val="156"/>
    <w:qFormat/>
    <w:uiPriority w:val="0"/>
    <w:pPr>
      <w:keepNext/>
      <w:keepLines/>
      <w:spacing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line="376" w:lineRule="auto"/>
      <w:outlineLvl w:val="4"/>
    </w:pPr>
    <w:rPr>
      <w:b/>
      <w:bCs/>
      <w:sz w:val="28"/>
      <w:szCs w:val="28"/>
    </w:rPr>
  </w:style>
  <w:style w:type="paragraph" w:styleId="7">
    <w:name w:val="heading 6"/>
    <w:basedOn w:val="1"/>
    <w:next w:val="1"/>
    <w:link w:val="157"/>
    <w:qFormat/>
    <w:uiPriority w:val="0"/>
    <w:pPr>
      <w:keepNext/>
      <w:keepLines/>
      <w:widowControl/>
      <w:tabs>
        <w:tab w:val="left" w:pos="1440"/>
      </w:tabs>
      <w:spacing w:line="320" w:lineRule="auto"/>
      <w:ind w:left="1152" w:hanging="1152"/>
      <w:jc w:val="left"/>
      <w:outlineLvl w:val="5"/>
    </w:pPr>
    <w:rPr>
      <w:rFonts w:ascii="Arial" w:hAnsi="Arial" w:eastAsia="黑体"/>
      <w:b/>
      <w:bCs/>
      <w:kern w:val="0"/>
      <w:sz w:val="24"/>
      <w:szCs w:val="24"/>
    </w:rPr>
  </w:style>
  <w:style w:type="paragraph" w:styleId="8">
    <w:name w:val="heading 7"/>
    <w:basedOn w:val="1"/>
    <w:next w:val="1"/>
    <w:link w:val="158"/>
    <w:qFormat/>
    <w:uiPriority w:val="0"/>
    <w:pPr>
      <w:keepNext/>
      <w:keepLines/>
      <w:widowControl/>
      <w:tabs>
        <w:tab w:val="left" w:pos="2520"/>
      </w:tabs>
      <w:spacing w:line="320" w:lineRule="auto"/>
      <w:ind w:left="1296" w:hanging="1296"/>
      <w:jc w:val="left"/>
      <w:outlineLvl w:val="6"/>
    </w:pPr>
    <w:rPr>
      <w:b/>
      <w:bCs/>
      <w:kern w:val="0"/>
      <w:sz w:val="24"/>
      <w:szCs w:val="24"/>
    </w:rPr>
  </w:style>
  <w:style w:type="paragraph" w:styleId="9">
    <w:name w:val="heading 8"/>
    <w:basedOn w:val="1"/>
    <w:next w:val="1"/>
    <w:link w:val="159"/>
    <w:qFormat/>
    <w:uiPriority w:val="0"/>
    <w:pPr>
      <w:keepNext/>
      <w:keepLines/>
      <w:widowControl/>
      <w:tabs>
        <w:tab w:val="left" w:pos="1440"/>
      </w:tabs>
      <w:spacing w:line="320" w:lineRule="auto"/>
      <w:ind w:left="1440" w:hanging="1440"/>
      <w:jc w:val="left"/>
      <w:outlineLvl w:val="7"/>
    </w:pPr>
    <w:rPr>
      <w:rFonts w:ascii="Arial" w:hAnsi="Arial" w:eastAsia="黑体"/>
      <w:kern w:val="0"/>
      <w:sz w:val="24"/>
      <w:szCs w:val="24"/>
    </w:rPr>
  </w:style>
  <w:style w:type="paragraph" w:styleId="10">
    <w:name w:val="heading 9"/>
    <w:basedOn w:val="1"/>
    <w:next w:val="1"/>
    <w:link w:val="160"/>
    <w:qFormat/>
    <w:uiPriority w:val="0"/>
    <w:pPr>
      <w:keepNext/>
      <w:keepLines/>
      <w:widowControl/>
      <w:tabs>
        <w:tab w:val="left" w:pos="1584"/>
      </w:tabs>
      <w:spacing w:line="320" w:lineRule="auto"/>
      <w:ind w:left="1584" w:hanging="1584"/>
      <w:jc w:val="left"/>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index 8"/>
    <w:basedOn w:val="1"/>
    <w:next w:val="1"/>
    <w:qFormat/>
    <w:uiPriority w:val="0"/>
    <w:pPr>
      <w:ind w:left="2940"/>
    </w:pPr>
  </w:style>
  <w:style w:type="paragraph" w:styleId="13">
    <w:name w:val="Normal Indent"/>
    <w:basedOn w:val="1"/>
    <w:link w:val="161"/>
    <w:qFormat/>
    <w:uiPriority w:val="0"/>
    <w:pPr>
      <w:ind w:firstLine="420"/>
    </w:pPr>
  </w:style>
  <w:style w:type="paragraph" w:styleId="14">
    <w:name w:val="Document Map"/>
    <w:basedOn w:val="1"/>
    <w:link w:val="162"/>
    <w:semiHidden/>
    <w:qFormat/>
    <w:uiPriority w:val="0"/>
    <w:pPr>
      <w:shd w:val="clear" w:color="auto" w:fill="000080"/>
    </w:pPr>
  </w:style>
  <w:style w:type="paragraph" w:styleId="15">
    <w:name w:val="annotation text"/>
    <w:basedOn w:val="1"/>
    <w:link w:val="163"/>
    <w:semiHidden/>
    <w:qFormat/>
    <w:uiPriority w:val="0"/>
    <w:pPr>
      <w:jc w:val="left"/>
    </w:pPr>
  </w:style>
  <w:style w:type="paragraph" w:styleId="16">
    <w:name w:val="Body Text 3"/>
    <w:basedOn w:val="1"/>
    <w:link w:val="164"/>
    <w:qFormat/>
    <w:uiPriority w:val="0"/>
    <w:rPr>
      <w:sz w:val="16"/>
      <w:szCs w:val="16"/>
    </w:rPr>
  </w:style>
  <w:style w:type="paragraph" w:styleId="17">
    <w:name w:val="Body Text"/>
    <w:basedOn w:val="1"/>
    <w:next w:val="1"/>
    <w:link w:val="152"/>
    <w:qFormat/>
    <w:uiPriority w:val="0"/>
    <w:rPr>
      <w:rFonts w:ascii="金山简黑体" w:hAnsi="Courier New" w:eastAsia="金山简黑体"/>
      <w:b/>
      <w:spacing w:val="-8"/>
      <w:sz w:val="44"/>
    </w:rPr>
  </w:style>
  <w:style w:type="paragraph" w:styleId="18">
    <w:name w:val="Body Text Indent"/>
    <w:basedOn w:val="1"/>
    <w:link w:val="165"/>
    <w:qFormat/>
    <w:uiPriority w:val="0"/>
    <w:pPr>
      <w:autoSpaceDE w:val="0"/>
      <w:autoSpaceDN w:val="0"/>
      <w:adjustRightInd w:val="0"/>
      <w:ind w:firstLine="645"/>
    </w:pPr>
    <w:rPr>
      <w:rFonts w:ascii="方正仿宋简体" w:eastAsia="方正仿宋简体"/>
      <w:color w:val="000000"/>
      <w:kern w:val="0"/>
      <w:sz w:val="30"/>
    </w:rPr>
  </w:style>
  <w:style w:type="paragraph" w:styleId="19">
    <w:name w:val="toc 5"/>
    <w:basedOn w:val="1"/>
    <w:next w:val="1"/>
    <w:qFormat/>
    <w:uiPriority w:val="39"/>
    <w:pPr>
      <w:ind w:left="1680" w:leftChars="800"/>
    </w:pPr>
  </w:style>
  <w:style w:type="paragraph" w:styleId="20">
    <w:name w:val="toc 3"/>
    <w:basedOn w:val="1"/>
    <w:next w:val="1"/>
    <w:qFormat/>
    <w:uiPriority w:val="39"/>
    <w:pPr>
      <w:tabs>
        <w:tab w:val="left" w:pos="630"/>
        <w:tab w:val="right" w:leader="dot" w:pos="9344"/>
      </w:tabs>
      <w:spacing w:line="400" w:lineRule="exact"/>
      <w:jc w:val="left"/>
    </w:pPr>
    <w:rPr>
      <w:kern w:val="0"/>
      <w:sz w:val="30"/>
    </w:rPr>
  </w:style>
  <w:style w:type="paragraph" w:styleId="21">
    <w:name w:val="Plain Text"/>
    <w:basedOn w:val="1"/>
    <w:next w:val="2"/>
    <w:link w:val="166"/>
    <w:qFormat/>
    <w:uiPriority w:val="0"/>
    <w:rPr>
      <w:rFonts w:ascii="宋体" w:hAnsi="Courier New"/>
    </w:rPr>
  </w:style>
  <w:style w:type="paragraph" w:styleId="22">
    <w:name w:val="toc 8"/>
    <w:basedOn w:val="1"/>
    <w:next w:val="1"/>
    <w:qFormat/>
    <w:uiPriority w:val="39"/>
    <w:pPr>
      <w:ind w:left="2940" w:leftChars="1400"/>
    </w:pPr>
  </w:style>
  <w:style w:type="paragraph" w:styleId="23">
    <w:name w:val="Date"/>
    <w:basedOn w:val="1"/>
    <w:next w:val="1"/>
    <w:link w:val="167"/>
    <w:qFormat/>
    <w:uiPriority w:val="0"/>
    <w:rPr>
      <w:rFonts w:ascii="宋体"/>
      <w:color w:val="000000"/>
      <w:kern w:val="0"/>
      <w:sz w:val="30"/>
    </w:rPr>
  </w:style>
  <w:style w:type="paragraph" w:styleId="24">
    <w:name w:val="Body Text Indent 2"/>
    <w:basedOn w:val="1"/>
    <w:link w:val="168"/>
    <w:qFormat/>
    <w:uiPriority w:val="0"/>
    <w:pPr>
      <w:spacing w:line="360" w:lineRule="exact"/>
      <w:ind w:firstLine="562" w:firstLineChars="200"/>
    </w:pPr>
    <w:rPr>
      <w:b/>
      <w:sz w:val="28"/>
    </w:rPr>
  </w:style>
  <w:style w:type="paragraph" w:styleId="25">
    <w:name w:val="Balloon Text"/>
    <w:basedOn w:val="1"/>
    <w:link w:val="169"/>
    <w:qFormat/>
    <w:uiPriority w:val="0"/>
    <w:rPr>
      <w:sz w:val="18"/>
    </w:rPr>
  </w:style>
  <w:style w:type="paragraph" w:styleId="26">
    <w:name w:val="footer"/>
    <w:basedOn w:val="1"/>
    <w:next w:val="1"/>
    <w:link w:val="170"/>
    <w:qFormat/>
    <w:uiPriority w:val="0"/>
    <w:pPr>
      <w:tabs>
        <w:tab w:val="center" w:pos="4153"/>
        <w:tab w:val="right" w:pos="8306"/>
      </w:tabs>
      <w:snapToGrid w:val="0"/>
      <w:jc w:val="left"/>
    </w:pPr>
    <w:rPr>
      <w:rFonts w:ascii="宋体" w:hAnsi="Courier New"/>
      <w:sz w:val="18"/>
      <w:u w:val="single"/>
    </w:rPr>
  </w:style>
  <w:style w:type="paragraph" w:styleId="27">
    <w:name w:val="header"/>
    <w:basedOn w:val="1"/>
    <w:link w:val="171"/>
    <w:qFormat/>
    <w:uiPriority w:val="0"/>
    <w:pPr>
      <w:pBdr>
        <w:bottom w:val="single" w:color="auto" w:sz="6" w:space="1"/>
      </w:pBdr>
      <w:tabs>
        <w:tab w:val="center" w:pos="4153"/>
        <w:tab w:val="right" w:pos="8306"/>
      </w:tabs>
      <w:snapToGrid w:val="0"/>
      <w:jc w:val="center"/>
    </w:pPr>
    <w:rPr>
      <w:sz w:val="18"/>
    </w:rPr>
  </w:style>
  <w:style w:type="paragraph" w:styleId="28">
    <w:name w:val="toc 1"/>
    <w:basedOn w:val="1"/>
    <w:next w:val="1"/>
    <w:qFormat/>
    <w:uiPriority w:val="39"/>
    <w:pPr>
      <w:keepNext w:val="0"/>
      <w:keepLines w:val="0"/>
      <w:tabs>
        <w:tab w:val="right" w:leader="dot" w:pos="9344"/>
      </w:tabs>
      <w:spacing w:line="300" w:lineRule="exact"/>
      <w:jc w:val="left"/>
      <w:outlineLvl w:val="9"/>
    </w:pPr>
    <w:rPr>
      <w:rFonts w:ascii="宋体" w:hAnsi="宋体"/>
      <w:caps/>
      <w:kern w:val="0"/>
      <w:sz w:val="24"/>
    </w:rPr>
  </w:style>
  <w:style w:type="paragraph" w:styleId="29">
    <w:name w:val="toc 4"/>
    <w:basedOn w:val="1"/>
    <w:next w:val="1"/>
    <w:qFormat/>
    <w:uiPriority w:val="39"/>
    <w:pPr>
      <w:ind w:left="1260" w:leftChars="600"/>
    </w:pPr>
  </w:style>
  <w:style w:type="paragraph" w:styleId="30">
    <w:name w:val="toc 6"/>
    <w:basedOn w:val="1"/>
    <w:next w:val="1"/>
    <w:qFormat/>
    <w:uiPriority w:val="39"/>
    <w:pPr>
      <w:ind w:left="2100" w:leftChars="1000"/>
    </w:pPr>
  </w:style>
  <w:style w:type="paragraph" w:styleId="31">
    <w:name w:val="Body Text Indent 3"/>
    <w:basedOn w:val="1"/>
    <w:link w:val="172"/>
    <w:qFormat/>
    <w:uiPriority w:val="0"/>
    <w:pPr>
      <w:ind w:left="420" w:leftChars="200"/>
    </w:pPr>
    <w:rPr>
      <w:sz w:val="16"/>
    </w:rPr>
  </w:style>
  <w:style w:type="paragraph" w:styleId="32">
    <w:name w:val="toc 2"/>
    <w:basedOn w:val="1"/>
    <w:next w:val="1"/>
    <w:qFormat/>
    <w:uiPriority w:val="39"/>
    <w:pPr>
      <w:tabs>
        <w:tab w:val="right" w:leader="dot" w:pos="9344"/>
      </w:tabs>
      <w:spacing w:line="260" w:lineRule="exact"/>
      <w:ind w:left="-2" w:leftChars="-1" w:firstLine="1"/>
      <w:jc w:val="left"/>
    </w:pPr>
    <w:rPr>
      <w:b/>
      <w:smallCaps/>
      <w:kern w:val="0"/>
      <w:sz w:val="24"/>
    </w:rPr>
  </w:style>
  <w:style w:type="paragraph" w:styleId="33">
    <w:name w:val="toc 9"/>
    <w:basedOn w:val="1"/>
    <w:next w:val="1"/>
    <w:qFormat/>
    <w:uiPriority w:val="39"/>
    <w:pPr>
      <w:ind w:left="3360" w:leftChars="1600"/>
    </w:pPr>
  </w:style>
  <w:style w:type="paragraph" w:styleId="34">
    <w:name w:val="Body Text 2"/>
    <w:basedOn w:val="1"/>
    <w:link w:val="173"/>
    <w:qFormat/>
    <w:uiPriority w:val="0"/>
    <w:pPr>
      <w:spacing w:line="480" w:lineRule="auto"/>
    </w:pPr>
    <w:rPr>
      <w:szCs w:val="24"/>
    </w:rPr>
  </w:style>
  <w:style w:type="paragraph" w:styleId="35">
    <w:name w:val="HTML Preformatted"/>
    <w:basedOn w:val="1"/>
    <w:link w:val="1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36">
    <w:name w:val="Normal (Web)"/>
    <w:basedOn w:val="1"/>
    <w:qFormat/>
    <w:uiPriority w:val="0"/>
    <w:pPr>
      <w:widowControl/>
      <w:spacing w:beforeAutospacing="1" w:afterAutospacing="1" w:line="283" w:lineRule="atLeast"/>
      <w:jc w:val="left"/>
    </w:pPr>
    <w:rPr>
      <w:rFonts w:hint="eastAsia" w:ascii="宋体" w:hAnsi="宋体"/>
      <w:color w:val="000000"/>
      <w:kern w:val="0"/>
      <w:sz w:val="19"/>
      <w:szCs w:val="19"/>
    </w:rPr>
  </w:style>
  <w:style w:type="paragraph" w:styleId="37">
    <w:name w:val="index 1"/>
    <w:basedOn w:val="1"/>
    <w:next w:val="1"/>
    <w:qFormat/>
    <w:uiPriority w:val="0"/>
    <w:pPr>
      <w:spacing w:line="220" w:lineRule="exact"/>
      <w:jc w:val="center"/>
    </w:pPr>
    <w:rPr>
      <w:rFonts w:ascii="仿宋_GB2312" w:eastAsia="仿宋_GB2312"/>
      <w:szCs w:val="21"/>
    </w:rPr>
  </w:style>
  <w:style w:type="paragraph" w:styleId="38">
    <w:name w:val="Title"/>
    <w:basedOn w:val="1"/>
    <w:next w:val="1"/>
    <w:link w:val="175"/>
    <w:qFormat/>
    <w:uiPriority w:val="0"/>
    <w:pPr>
      <w:jc w:val="center"/>
      <w:outlineLvl w:val="0"/>
    </w:pPr>
    <w:rPr>
      <w:rFonts w:ascii="Cambria" w:hAnsi="Cambria"/>
      <w:b/>
      <w:bCs/>
      <w:sz w:val="32"/>
      <w:szCs w:val="32"/>
    </w:rPr>
  </w:style>
  <w:style w:type="paragraph" w:styleId="39">
    <w:name w:val="annotation subject"/>
    <w:basedOn w:val="15"/>
    <w:next w:val="15"/>
    <w:link w:val="176"/>
    <w:semiHidden/>
    <w:qFormat/>
    <w:uiPriority w:val="0"/>
    <w:rPr>
      <w:b/>
      <w:bCs/>
    </w:rPr>
  </w:style>
  <w:style w:type="paragraph" w:styleId="40">
    <w:name w:val="Body Text First Indent 2"/>
    <w:basedOn w:val="18"/>
    <w:qFormat/>
    <w:uiPriority w:val="0"/>
    <w:pPr>
      <w:ind w:firstLine="420" w:firstLineChars="200"/>
    </w:pPr>
  </w:style>
  <w:style w:type="table" w:styleId="42">
    <w:name w:val="Table Grid"/>
    <w:basedOn w:val="41"/>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qFormat/>
    <w:uiPriority w:val="0"/>
    <w:rPr>
      <w:b/>
    </w:rPr>
  </w:style>
  <w:style w:type="character" w:styleId="45">
    <w:name w:val="page number"/>
    <w:basedOn w:val="43"/>
    <w:qFormat/>
    <w:uiPriority w:val="0"/>
  </w:style>
  <w:style w:type="character" w:styleId="46">
    <w:name w:val="FollowedHyperlink"/>
    <w:basedOn w:val="43"/>
    <w:qFormat/>
    <w:uiPriority w:val="0"/>
    <w:rPr>
      <w:color w:val="333333"/>
      <w:u w:val="none"/>
    </w:rPr>
  </w:style>
  <w:style w:type="character" w:styleId="47">
    <w:name w:val="Emphasis"/>
    <w:qFormat/>
    <w:uiPriority w:val="0"/>
    <w:rPr>
      <w:color w:val="CC0000"/>
    </w:rPr>
  </w:style>
  <w:style w:type="character" w:styleId="48">
    <w:name w:val="HTML Definition"/>
    <w:basedOn w:val="43"/>
    <w:qFormat/>
    <w:uiPriority w:val="0"/>
  </w:style>
  <w:style w:type="character" w:styleId="49">
    <w:name w:val="HTML Typewriter"/>
    <w:basedOn w:val="43"/>
    <w:qFormat/>
    <w:uiPriority w:val="0"/>
    <w:rPr>
      <w:rFonts w:hint="default" w:ascii="monospace" w:hAnsi="monospace" w:eastAsia="monospace" w:cs="monospace"/>
      <w:sz w:val="20"/>
    </w:rPr>
  </w:style>
  <w:style w:type="character" w:styleId="50">
    <w:name w:val="HTML Acronym"/>
    <w:basedOn w:val="43"/>
    <w:qFormat/>
    <w:uiPriority w:val="0"/>
  </w:style>
  <w:style w:type="character" w:styleId="51">
    <w:name w:val="HTML Variable"/>
    <w:basedOn w:val="43"/>
    <w:qFormat/>
    <w:uiPriority w:val="0"/>
  </w:style>
  <w:style w:type="character" w:styleId="52">
    <w:name w:val="Hyperlink"/>
    <w:qFormat/>
    <w:uiPriority w:val="99"/>
    <w:rPr>
      <w:color w:val="333333"/>
      <w:u w:val="none"/>
    </w:rPr>
  </w:style>
  <w:style w:type="character" w:styleId="53">
    <w:name w:val="HTML Code"/>
    <w:basedOn w:val="43"/>
    <w:qFormat/>
    <w:uiPriority w:val="0"/>
    <w:rPr>
      <w:rFonts w:ascii="monospace" w:hAnsi="monospace" w:eastAsia="monospace" w:cs="monospace"/>
      <w:sz w:val="20"/>
    </w:rPr>
  </w:style>
  <w:style w:type="character" w:styleId="54">
    <w:name w:val="annotation reference"/>
    <w:semiHidden/>
    <w:qFormat/>
    <w:uiPriority w:val="0"/>
    <w:rPr>
      <w:sz w:val="21"/>
      <w:szCs w:val="21"/>
    </w:rPr>
  </w:style>
  <w:style w:type="character" w:styleId="55">
    <w:name w:val="HTML Cite"/>
    <w:qFormat/>
    <w:uiPriority w:val="0"/>
    <w:rPr>
      <w:color w:val="008000"/>
    </w:rPr>
  </w:style>
  <w:style w:type="character" w:styleId="56">
    <w:name w:val="HTML Keyboard"/>
    <w:basedOn w:val="43"/>
    <w:qFormat/>
    <w:uiPriority w:val="0"/>
    <w:rPr>
      <w:rFonts w:hint="default" w:ascii="monospace" w:hAnsi="monospace" w:eastAsia="monospace" w:cs="monospace"/>
      <w:sz w:val="20"/>
    </w:rPr>
  </w:style>
  <w:style w:type="character" w:styleId="57">
    <w:name w:val="HTML Sample"/>
    <w:basedOn w:val="43"/>
    <w:qFormat/>
    <w:uiPriority w:val="0"/>
    <w:rPr>
      <w:rFonts w:hint="default" w:ascii="monospace" w:hAnsi="monospace" w:eastAsia="monospace" w:cs="monospace"/>
    </w:rPr>
  </w:style>
  <w:style w:type="paragraph" w:customStyle="1" w:styleId="58">
    <w:name w:val="正文2"/>
    <w:next w:val="1"/>
    <w:qFormat/>
    <w:uiPriority w:val="0"/>
    <w:pPr>
      <w:widowControl w:val="0"/>
      <w:suppressAutoHyphens/>
      <w:jc w:val="both"/>
    </w:pPr>
    <w:rPr>
      <w:rFonts w:ascii="Calibri" w:hAnsi="Calibri" w:eastAsia="宋体" w:cs="Times New Roman"/>
      <w:kern w:val="2"/>
      <w:sz w:val="21"/>
      <w:szCs w:val="24"/>
      <w:lang w:val="en-US" w:eastAsia="zh-CN" w:bidi="ar-SA"/>
    </w:rPr>
  </w:style>
  <w:style w:type="paragraph" w:customStyle="1" w:styleId="59">
    <w:name w:val="样式 行距: 固定值 25 磅"/>
    <w:basedOn w:val="1"/>
    <w:qFormat/>
    <w:uiPriority w:val="0"/>
    <w:pPr>
      <w:spacing w:line="500" w:lineRule="exact"/>
    </w:pPr>
    <w:rPr>
      <w:rFonts w:cs="宋体"/>
      <w:sz w:val="28"/>
    </w:rPr>
  </w:style>
  <w:style w:type="paragraph" w:customStyle="1" w:styleId="60">
    <w:name w:val="head1"/>
    <w:basedOn w:val="1"/>
    <w:qFormat/>
    <w:uiPriority w:val="0"/>
    <w:pPr>
      <w:widowControl/>
      <w:tabs>
        <w:tab w:val="left" w:pos="1680"/>
      </w:tabs>
      <w:overflowPunct w:val="0"/>
      <w:autoSpaceDE w:val="0"/>
      <w:autoSpaceDN w:val="0"/>
      <w:adjustRightInd w:val="0"/>
      <w:ind w:left="1680"/>
      <w:jc w:val="left"/>
      <w:textAlignment w:val="baseline"/>
      <w:outlineLvl w:val="0"/>
    </w:pPr>
    <w:rPr>
      <w:rFonts w:ascii="黑体" w:hAnsi="¿¬Ìå" w:eastAsia="黑体"/>
      <w:kern w:val="0"/>
      <w:sz w:val="30"/>
      <w:szCs w:val="30"/>
    </w:rPr>
  </w:style>
  <w:style w:type="paragraph" w:customStyle="1" w:styleId="61">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标题 3_0"/>
    <w:basedOn w:val="63"/>
    <w:next w:val="63"/>
    <w:qFormat/>
    <w:uiPriority w:val="0"/>
    <w:pPr>
      <w:keepNext/>
      <w:keepLines/>
      <w:spacing w:line="416" w:lineRule="auto"/>
      <w:outlineLvl w:val="2"/>
    </w:pPr>
    <w:rPr>
      <w:b/>
      <w:bCs/>
      <w:sz w:val="32"/>
      <w:szCs w:val="32"/>
    </w:rPr>
  </w:style>
  <w:style w:type="paragraph" w:customStyle="1" w:styleId="63">
    <w:name w:val="正文_3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纯文本1"/>
    <w:basedOn w:val="1"/>
    <w:qFormat/>
    <w:uiPriority w:val="0"/>
    <w:pPr>
      <w:adjustRightInd w:val="0"/>
      <w:jc w:val="left"/>
      <w:textAlignment w:val="baseline"/>
    </w:pPr>
    <w:rPr>
      <w:rFonts w:ascii="宋体" w:hAnsi="Courier New"/>
    </w:rPr>
  </w:style>
  <w:style w:type="paragraph" w:customStyle="1" w:styleId="65">
    <w:name w:val="默认段落字体 Para Char Char Char Char Char Char Char Char Char Char"/>
    <w:basedOn w:val="1"/>
    <w:qFormat/>
    <w:uiPriority w:val="0"/>
    <w:rPr>
      <w:kern w:val="0"/>
    </w:rPr>
  </w:style>
  <w:style w:type="paragraph" w:customStyle="1" w:styleId="66">
    <w:name w:val="默认段落字体 Para Char Char Char Char Char Char Char"/>
    <w:basedOn w:val="1"/>
    <w:qFormat/>
    <w:uiPriority w:val="0"/>
    <w:pPr>
      <w:adjustRightInd w:val="0"/>
      <w:spacing w:line="360" w:lineRule="auto"/>
      <w:ind w:left="200" w:hanging="200" w:hangingChars="200"/>
    </w:pPr>
    <w:rPr>
      <w:kern w:val="0"/>
      <w:sz w:val="24"/>
    </w:rPr>
  </w:style>
  <w:style w:type="paragraph" w:customStyle="1" w:styleId="67">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68">
    <w:name w:val="Char Char Char"/>
    <w:basedOn w:val="1"/>
    <w:qFormat/>
    <w:uiPriority w:val="0"/>
    <w:rPr>
      <w:rFonts w:ascii="Tahoma" w:hAnsi="Tahoma"/>
      <w:sz w:val="24"/>
    </w:rPr>
  </w:style>
  <w:style w:type="paragraph" w:customStyle="1" w:styleId="69">
    <w:name w:val="标题 4_1"/>
    <w:basedOn w:val="61"/>
    <w:next w:val="61"/>
    <w:qFormat/>
    <w:uiPriority w:val="0"/>
    <w:pPr>
      <w:keepNext/>
      <w:keepLines/>
      <w:spacing w:line="372" w:lineRule="auto"/>
      <w:outlineLvl w:val="3"/>
    </w:pPr>
    <w:rPr>
      <w:rFonts w:ascii="Cambria" w:hAnsi="Cambria"/>
      <w:b/>
      <w:bCs/>
      <w:sz w:val="28"/>
      <w:szCs w:val="28"/>
    </w:rPr>
  </w:style>
  <w:style w:type="paragraph" w:customStyle="1" w:styleId="70">
    <w:name w:val="正文_3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样式 标题 2 + Times New Roman 四号 非加粗 段前: 5 磅 段后: 0 磅 行距: 固定值 20..."/>
    <w:basedOn w:val="4"/>
    <w:qFormat/>
    <w:uiPriority w:val="0"/>
    <w:pPr>
      <w:spacing w:line="400" w:lineRule="exact"/>
    </w:pPr>
    <w:rPr>
      <w:rFonts w:ascii="Times New Roman" w:hAnsi="Times New Roman" w:cs="宋体"/>
      <w:b w:val="0"/>
      <w:sz w:val="28"/>
    </w:rPr>
  </w:style>
  <w:style w:type="paragraph" w:customStyle="1" w:styleId="72">
    <w:name w:val="纯文本_0_0"/>
    <w:basedOn w:val="70"/>
    <w:qFormat/>
    <w:uiPriority w:val="0"/>
    <w:rPr>
      <w:rFonts w:ascii="宋体" w:hAnsi="Courier New"/>
      <w:szCs w:val="24"/>
    </w:rPr>
  </w:style>
  <w:style w:type="paragraph" w:customStyle="1" w:styleId="73">
    <w:name w:val="xl5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Arial Unicode MS" w:hAnsi="Arial Unicode MS"/>
      <w:kern w:val="0"/>
      <w:sz w:val="24"/>
      <w:szCs w:val="24"/>
    </w:rPr>
  </w:style>
  <w:style w:type="paragraph" w:customStyle="1" w:styleId="74">
    <w:name w:val="xl4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kern w:val="0"/>
      <w:sz w:val="24"/>
      <w:szCs w:val="24"/>
    </w:rPr>
  </w:style>
  <w:style w:type="paragraph" w:customStyle="1" w:styleId="75">
    <w:name w:val="xl31"/>
    <w:basedOn w:val="1"/>
    <w:qFormat/>
    <w:uiPriority w:val="0"/>
    <w:pPr>
      <w:widowControl/>
      <w:spacing w:beforeAutospacing="1" w:afterAutospacing="1"/>
      <w:jc w:val="center"/>
    </w:pPr>
    <w:rPr>
      <w:rFonts w:ascii="宋体" w:hAnsi="宋体"/>
      <w:kern w:val="0"/>
      <w:sz w:val="24"/>
      <w:szCs w:val="24"/>
    </w:rPr>
  </w:style>
  <w:style w:type="paragraph" w:customStyle="1" w:styleId="7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1"/>
    <w:basedOn w:val="1"/>
    <w:next w:val="1"/>
    <w:qFormat/>
    <w:uiPriority w:val="0"/>
    <w:rPr>
      <w:szCs w:val="24"/>
    </w:rPr>
  </w:style>
  <w:style w:type="paragraph" w:customStyle="1" w:styleId="78">
    <w:name w:val="xl3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Arial Unicode MS" w:hAnsi="Arial Unicode MS"/>
      <w:kern w:val="0"/>
      <w:sz w:val="28"/>
      <w:szCs w:val="28"/>
    </w:rPr>
  </w:style>
  <w:style w:type="paragraph" w:customStyle="1" w:styleId="79">
    <w:name w:val="5 Char Char Char Char Char Char Char Char Char Char"/>
    <w:basedOn w:val="1"/>
    <w:qFormat/>
    <w:uiPriority w:val="0"/>
    <w:rPr>
      <w:szCs w:val="24"/>
    </w:rPr>
  </w:style>
  <w:style w:type="paragraph" w:customStyle="1" w:styleId="80">
    <w:name w:val="xl45"/>
    <w:basedOn w:val="1"/>
    <w:qFormat/>
    <w:uiPriority w:val="0"/>
    <w:pPr>
      <w:widowControl/>
      <w:pBdr>
        <w:bottom w:val="single" w:color="auto" w:sz="4" w:space="0"/>
      </w:pBdr>
      <w:spacing w:beforeAutospacing="1" w:afterAutospacing="1"/>
      <w:jc w:val="center"/>
    </w:pPr>
    <w:rPr>
      <w:kern w:val="0"/>
      <w:sz w:val="40"/>
      <w:szCs w:val="40"/>
    </w:rPr>
  </w:style>
  <w:style w:type="paragraph" w:customStyle="1" w:styleId="8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表"/>
    <w:basedOn w:val="1"/>
    <w:qFormat/>
    <w:uiPriority w:val="0"/>
    <w:pPr>
      <w:spacing w:line="300" w:lineRule="auto"/>
    </w:pPr>
    <w:rPr>
      <w:color w:val="000000"/>
      <w:szCs w:val="21"/>
    </w:rPr>
  </w:style>
  <w:style w:type="paragraph" w:customStyle="1" w:styleId="83">
    <w:name w:val="文件目录"/>
    <w:basedOn w:val="1"/>
    <w:qFormat/>
    <w:uiPriority w:val="0"/>
    <w:pPr>
      <w:spacing w:line="600" w:lineRule="exact"/>
      <w:jc w:val="left"/>
    </w:pPr>
    <w:rPr>
      <w:b/>
      <w:sz w:val="30"/>
    </w:rPr>
  </w:style>
  <w:style w:type="paragraph" w:customStyle="1" w:styleId="84">
    <w:name w:val="xl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Arial Unicode MS" w:hAnsi="Arial Unicode MS"/>
      <w:kern w:val="0"/>
      <w:sz w:val="24"/>
      <w:szCs w:val="24"/>
    </w:rPr>
  </w:style>
  <w:style w:type="paragraph" w:customStyle="1" w:styleId="85">
    <w:name w:val="xl44"/>
    <w:basedOn w:val="1"/>
    <w:qFormat/>
    <w:uiPriority w:val="0"/>
    <w:pPr>
      <w:widowControl/>
      <w:pBdr>
        <w:bottom w:val="single" w:color="auto" w:sz="4" w:space="0"/>
      </w:pBdr>
      <w:spacing w:beforeAutospacing="1" w:afterAutospacing="1"/>
      <w:jc w:val="center"/>
    </w:pPr>
    <w:rPr>
      <w:rFonts w:ascii="Arial Unicode MS" w:hAnsi="Arial Unicode MS"/>
      <w:kern w:val="0"/>
      <w:sz w:val="24"/>
      <w:szCs w:val="24"/>
    </w:rPr>
  </w:style>
  <w:style w:type="paragraph" w:customStyle="1" w:styleId="86">
    <w:name w:val="font9"/>
    <w:basedOn w:val="1"/>
    <w:qFormat/>
    <w:uiPriority w:val="0"/>
    <w:pPr>
      <w:widowControl/>
      <w:spacing w:beforeAutospacing="1" w:afterAutospacing="1"/>
      <w:jc w:val="left"/>
    </w:pPr>
    <w:rPr>
      <w:kern w:val="0"/>
      <w:sz w:val="40"/>
      <w:szCs w:val="40"/>
    </w:rPr>
  </w:style>
  <w:style w:type="paragraph" w:customStyle="1" w:styleId="87">
    <w:name w:val="Char Char Char Char Char Char Char Char Char1 Char Char Char Char Char Char Char Char Char Char Char Char Char"/>
    <w:basedOn w:val="3"/>
    <w:qFormat/>
    <w:uiPriority w:val="0"/>
    <w:pPr>
      <w:adjustRightInd/>
      <w:spacing w:line="348" w:lineRule="auto"/>
      <w:jc w:val="both"/>
    </w:pPr>
    <w:rPr>
      <w:rFonts w:eastAsia="宋体"/>
      <w:b/>
      <w:bCs/>
      <w:sz w:val="44"/>
      <w:szCs w:val="44"/>
    </w:rPr>
  </w:style>
  <w:style w:type="paragraph" w:customStyle="1" w:styleId="88">
    <w:name w:val="正文文本 21"/>
    <w:basedOn w:val="1"/>
    <w:qFormat/>
    <w:uiPriority w:val="0"/>
    <w:pPr>
      <w:adjustRightInd w:val="0"/>
      <w:spacing w:line="460" w:lineRule="exact"/>
      <w:ind w:firstLine="635"/>
      <w:jc w:val="left"/>
      <w:textAlignment w:val="baseline"/>
    </w:pPr>
    <w:rPr>
      <w:sz w:val="28"/>
    </w:rPr>
  </w:style>
  <w:style w:type="paragraph" w:customStyle="1" w:styleId="89">
    <w:name w:val="样式 标题 3 + (中文) 黑体 小四 非加粗 段前: 7.8 磅 段后: 0 磅 行距: 固定值 20 磅"/>
    <w:basedOn w:val="5"/>
    <w:qFormat/>
    <w:uiPriority w:val="0"/>
    <w:pPr>
      <w:spacing w:line="400" w:lineRule="exact"/>
    </w:pPr>
    <w:rPr>
      <w:rFonts w:ascii="仿宋_GB2312" w:eastAsia="黑体" w:cs="宋体"/>
      <w:b w:val="0"/>
      <w:color w:val="000000"/>
      <w:sz w:val="24"/>
    </w:rPr>
  </w:style>
  <w:style w:type="paragraph" w:customStyle="1" w:styleId="90">
    <w:name w:val="xl4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kern w:val="0"/>
      <w:sz w:val="24"/>
      <w:szCs w:val="24"/>
    </w:rPr>
  </w:style>
  <w:style w:type="paragraph" w:customStyle="1" w:styleId="91">
    <w:name w:val="正文_3"/>
    <w:basedOn w:val="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xl3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Arial Unicode MS" w:hAnsi="Arial Unicode MS"/>
      <w:kern w:val="0"/>
      <w:sz w:val="24"/>
      <w:szCs w:val="24"/>
    </w:rPr>
  </w:style>
  <w:style w:type="paragraph" w:customStyle="1" w:styleId="93">
    <w:name w:val="xl34"/>
    <w:basedOn w:val="1"/>
    <w:qFormat/>
    <w:uiPriority w:val="0"/>
    <w:pPr>
      <w:widowControl/>
      <w:pBdr>
        <w:left w:val="single" w:color="auto" w:sz="4" w:space="0"/>
        <w:right w:val="single" w:color="auto" w:sz="4" w:space="0"/>
      </w:pBdr>
      <w:jc w:val="center"/>
    </w:pPr>
    <w:rPr>
      <w:rFonts w:ascii="宋体" w:hAnsi="宋体"/>
      <w:kern w:val="0"/>
      <w:sz w:val="24"/>
    </w:rPr>
  </w:style>
  <w:style w:type="paragraph" w:customStyle="1" w:styleId="94">
    <w:name w:val="Char1 Char Char Char Char Char Char Char Char Char Char Char Char Char Char Char"/>
    <w:basedOn w:val="6"/>
    <w:qFormat/>
    <w:uiPriority w:val="0"/>
    <w:pPr>
      <w:tabs>
        <w:tab w:val="left" w:pos="0"/>
        <w:tab w:val="left" w:pos="1680"/>
      </w:tabs>
      <w:adjustRightInd w:val="0"/>
      <w:spacing w:line="372" w:lineRule="auto"/>
      <w:ind w:left="1680" w:hanging="420"/>
      <w:textAlignment w:val="baseline"/>
    </w:pPr>
    <w:rPr>
      <w:bCs w:val="0"/>
      <w:szCs w:val="20"/>
    </w:rPr>
  </w:style>
  <w:style w:type="paragraph" w:customStyle="1" w:styleId="95">
    <w:name w:val="font7"/>
    <w:basedOn w:val="1"/>
    <w:qFormat/>
    <w:uiPriority w:val="0"/>
    <w:pPr>
      <w:widowControl/>
      <w:spacing w:beforeAutospacing="1" w:afterAutospacing="1"/>
      <w:jc w:val="left"/>
    </w:pPr>
    <w:rPr>
      <w:rFonts w:hint="eastAsia" w:ascii="宋体" w:hAnsi="宋体"/>
      <w:kern w:val="0"/>
      <w:sz w:val="28"/>
      <w:szCs w:val="28"/>
    </w:rPr>
  </w:style>
  <w:style w:type="paragraph" w:customStyle="1" w:styleId="96">
    <w:name w:val="xl3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Arial Unicode MS" w:hAnsi="Arial Unicode MS"/>
      <w:kern w:val="0"/>
      <w:sz w:val="24"/>
      <w:szCs w:val="24"/>
    </w:rPr>
  </w:style>
  <w:style w:type="paragraph" w:customStyle="1" w:styleId="97">
    <w:name w:val="xl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24"/>
      <w:szCs w:val="24"/>
    </w:rPr>
  </w:style>
  <w:style w:type="paragraph" w:customStyle="1" w:styleId="98">
    <w:name w:val="4"/>
    <w:basedOn w:val="1"/>
    <w:next w:val="21"/>
    <w:qFormat/>
    <w:uiPriority w:val="0"/>
    <w:rPr>
      <w:rFonts w:ascii="宋体" w:hAnsi="Courier New"/>
    </w:rPr>
  </w:style>
  <w:style w:type="paragraph" w:customStyle="1" w:styleId="99">
    <w:name w:val="font6"/>
    <w:basedOn w:val="1"/>
    <w:qFormat/>
    <w:uiPriority w:val="0"/>
    <w:pPr>
      <w:widowControl/>
      <w:spacing w:beforeAutospacing="1" w:afterAutospacing="1"/>
      <w:jc w:val="left"/>
    </w:pPr>
    <w:rPr>
      <w:kern w:val="0"/>
      <w:sz w:val="24"/>
      <w:szCs w:val="24"/>
    </w:rPr>
  </w:style>
  <w:style w:type="paragraph" w:customStyle="1" w:styleId="100">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Autospacing="1" w:afterAutospacing="1"/>
      <w:jc w:val="left"/>
    </w:pPr>
    <w:rPr>
      <w:rFonts w:ascii="Arial Unicode MS" w:hAnsi="Arial Unicode MS"/>
      <w:kern w:val="0"/>
      <w:sz w:val="24"/>
      <w:szCs w:val="24"/>
    </w:rPr>
  </w:style>
  <w:style w:type="paragraph" w:customStyle="1" w:styleId="101">
    <w:name w:val="正文文本 (2)1"/>
    <w:basedOn w:val="1"/>
    <w:qFormat/>
    <w:uiPriority w:val="0"/>
    <w:pPr>
      <w:shd w:val="clear" w:color="auto" w:fill="FFFFFF"/>
      <w:spacing w:afterAutospacing="1" w:line="439" w:lineRule="exact"/>
      <w:jc w:val="distribute"/>
    </w:pPr>
    <w:rPr>
      <w:rFonts w:ascii="微软雅黑 Light" w:hAnsi="微软雅黑 Light"/>
      <w:color w:val="000000"/>
      <w:spacing w:val="20"/>
    </w:rPr>
  </w:style>
  <w:style w:type="paragraph" w:customStyle="1" w:styleId="102">
    <w:name w:val="xl2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4"/>
      <w:szCs w:val="24"/>
    </w:rPr>
  </w:style>
  <w:style w:type="paragraph" w:customStyle="1" w:styleId="103">
    <w:name w:val="Char"/>
    <w:basedOn w:val="1"/>
    <w:qFormat/>
    <w:uiPriority w:val="0"/>
    <w:rPr>
      <w:szCs w:val="24"/>
    </w:rPr>
  </w:style>
  <w:style w:type="paragraph" w:customStyle="1" w:styleId="104">
    <w:name w:val="font5"/>
    <w:basedOn w:val="1"/>
    <w:qFormat/>
    <w:uiPriority w:val="0"/>
    <w:pPr>
      <w:widowControl/>
      <w:spacing w:beforeAutospacing="1" w:afterAutospacing="1"/>
      <w:jc w:val="left"/>
    </w:pPr>
    <w:rPr>
      <w:rFonts w:ascii="宋体" w:hAnsi="宋体"/>
      <w:kern w:val="0"/>
      <w:sz w:val="24"/>
      <w:szCs w:val="24"/>
    </w:rPr>
  </w:style>
  <w:style w:type="paragraph" w:customStyle="1" w:styleId="105">
    <w:name w:val="Char1"/>
    <w:basedOn w:val="1"/>
    <w:qFormat/>
    <w:uiPriority w:val="0"/>
    <w:rPr>
      <w:szCs w:val="24"/>
    </w:rPr>
  </w:style>
  <w:style w:type="paragraph" w:customStyle="1" w:styleId="106">
    <w:name w:val="xl3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Arial Unicode MS" w:hAnsi="Arial Unicode MS"/>
      <w:b/>
      <w:bCs/>
      <w:kern w:val="0"/>
      <w:sz w:val="24"/>
      <w:szCs w:val="24"/>
    </w:rPr>
  </w:style>
  <w:style w:type="paragraph" w:customStyle="1" w:styleId="107">
    <w:name w:val="head4"/>
    <w:basedOn w:val="1"/>
    <w:qFormat/>
    <w:uiPriority w:val="0"/>
    <w:pPr>
      <w:widowControl/>
      <w:overflowPunct w:val="0"/>
      <w:autoSpaceDE w:val="0"/>
      <w:autoSpaceDN w:val="0"/>
      <w:adjustRightInd w:val="0"/>
      <w:spacing w:line="360" w:lineRule="auto"/>
      <w:textAlignment w:val="baseline"/>
    </w:pPr>
    <w:rPr>
      <w:rFonts w:ascii="¿¬Ìå" w:hAnsi="¿¬Ìå"/>
      <w:kern w:val="0"/>
      <w:sz w:val="24"/>
      <w:szCs w:val="24"/>
    </w:rPr>
  </w:style>
  <w:style w:type="paragraph" w:customStyle="1" w:styleId="108">
    <w:name w:val="Char Char Char Char Char Char Char Char Char Char"/>
    <w:basedOn w:val="14"/>
    <w:qFormat/>
    <w:uiPriority w:val="0"/>
    <w:pPr>
      <w:keepNext/>
      <w:tabs>
        <w:tab w:val="left" w:pos="720"/>
      </w:tabs>
      <w:spacing w:beforeLines="100"/>
      <w:ind w:hanging="720"/>
    </w:pPr>
    <w:rPr>
      <w:rFonts w:ascii="Tahoma" w:hAnsi="Tahoma"/>
      <w:sz w:val="24"/>
    </w:rPr>
  </w:style>
  <w:style w:type="paragraph" w:customStyle="1" w:styleId="109">
    <w:name w:val="font8"/>
    <w:basedOn w:val="1"/>
    <w:qFormat/>
    <w:uiPriority w:val="0"/>
    <w:pPr>
      <w:widowControl/>
      <w:spacing w:beforeAutospacing="1" w:afterAutospacing="1"/>
      <w:jc w:val="left"/>
    </w:pPr>
    <w:rPr>
      <w:rFonts w:hint="eastAsia" w:ascii="宋体" w:hAnsi="宋体"/>
      <w:kern w:val="0"/>
      <w:sz w:val="40"/>
      <w:szCs w:val="40"/>
    </w:rPr>
  </w:style>
  <w:style w:type="paragraph" w:customStyle="1" w:styleId="110">
    <w:name w:val="文件标题"/>
    <w:basedOn w:val="1"/>
    <w:qFormat/>
    <w:uiPriority w:val="0"/>
    <w:pPr>
      <w:jc w:val="center"/>
    </w:pPr>
    <w:rPr>
      <w:rFonts w:ascii="仿宋_GB2312" w:eastAsia="仿宋_GB2312"/>
      <w:b/>
      <w:sz w:val="36"/>
      <w:szCs w:val="28"/>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Arial Unicode MS" w:hAnsi="Arial Unicode MS"/>
      <w:b/>
      <w:bCs/>
      <w:kern w:val="0"/>
      <w:sz w:val="24"/>
      <w:szCs w:val="24"/>
    </w:rPr>
  </w:style>
  <w:style w:type="paragraph" w:styleId="112">
    <w:name w:val="List Paragraph"/>
    <w:basedOn w:val="1"/>
    <w:qFormat/>
    <w:uiPriority w:val="1"/>
    <w:pPr>
      <w:ind w:left="424" w:firstLine="480"/>
    </w:pPr>
  </w:style>
  <w:style w:type="paragraph" w:customStyle="1" w:styleId="113">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18"/>
      <w:szCs w:val="18"/>
    </w:rPr>
  </w:style>
  <w:style w:type="paragraph" w:customStyle="1" w:styleId="114">
    <w:name w:val="xl4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Arial Unicode MS" w:hAnsi="Arial Unicode MS"/>
      <w:kern w:val="0"/>
      <w:sz w:val="24"/>
      <w:szCs w:val="24"/>
    </w:rPr>
  </w:style>
  <w:style w:type="paragraph" w:customStyle="1" w:styleId="115">
    <w:name w:val="表格标题"/>
    <w:basedOn w:val="1"/>
    <w:qFormat/>
    <w:uiPriority w:val="0"/>
    <w:pPr>
      <w:shd w:val="clear" w:color="auto" w:fill="FFFFFF"/>
      <w:spacing w:line="322" w:lineRule="exact"/>
      <w:jc w:val="distribute"/>
    </w:pPr>
    <w:rPr>
      <w:rFonts w:ascii="微软雅黑 Light" w:hAnsi="微软雅黑 Light"/>
      <w:color w:val="000000"/>
      <w:spacing w:val="10"/>
      <w:sz w:val="19"/>
      <w:szCs w:val="19"/>
    </w:rPr>
  </w:style>
  <w:style w:type="paragraph" w:customStyle="1" w:styleId="116">
    <w:name w:val="Char Char Char Char Char Char Char Char Char Char Char Char Char Char Char Char Char Char Char"/>
    <w:basedOn w:val="1"/>
    <w:semiHidden/>
    <w:qFormat/>
    <w:uiPriority w:val="0"/>
    <w:rPr>
      <w:szCs w:val="24"/>
    </w:rPr>
  </w:style>
  <w:style w:type="paragraph" w:customStyle="1" w:styleId="117">
    <w:name w:val="xl4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Arial Unicode MS" w:hAnsi="Arial Unicode MS"/>
      <w:b/>
      <w:bCs/>
      <w:kern w:val="0"/>
      <w:sz w:val="24"/>
      <w:szCs w:val="24"/>
    </w:rPr>
  </w:style>
  <w:style w:type="paragraph" w:customStyle="1" w:styleId="118">
    <w:name w:val="xl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24"/>
      <w:szCs w:val="24"/>
    </w:rPr>
  </w:style>
  <w:style w:type="paragraph" w:customStyle="1" w:styleId="119">
    <w:name w:val="表格"/>
    <w:basedOn w:val="1"/>
    <w:qFormat/>
    <w:uiPriority w:val="0"/>
    <w:pPr>
      <w:jc w:val="center"/>
      <w:textAlignment w:val="center"/>
    </w:pPr>
    <w:rPr>
      <w:rFonts w:ascii="华文细黑" w:hAnsi="华文细黑"/>
      <w:kern w:val="0"/>
    </w:rPr>
  </w:style>
  <w:style w:type="paragraph" w:customStyle="1" w:styleId="120">
    <w:name w:val="text"/>
    <w:basedOn w:val="1"/>
    <w:qFormat/>
    <w:uiPriority w:val="0"/>
    <w:pPr>
      <w:overflowPunct w:val="0"/>
      <w:autoSpaceDE w:val="0"/>
      <w:autoSpaceDN w:val="0"/>
      <w:adjustRightInd w:val="0"/>
      <w:ind w:left="864"/>
      <w:textAlignment w:val="baseline"/>
    </w:pPr>
    <w:rPr>
      <w:rFonts w:ascii="宋体"/>
      <w:spacing w:val="-14"/>
      <w:kern w:val="0"/>
      <w:sz w:val="24"/>
      <w:szCs w:val="24"/>
    </w:rPr>
  </w:style>
  <w:style w:type="paragraph" w:customStyle="1" w:styleId="121">
    <w:name w:val="简单回函地址"/>
    <w:basedOn w:val="1"/>
    <w:qFormat/>
    <w:uiPriority w:val="0"/>
    <w:rPr>
      <w:rFonts w:ascii="仿宋_GB2312" w:hAnsi="宋体" w:eastAsia="仿宋_GB2312"/>
      <w:bCs/>
      <w:sz w:val="30"/>
    </w:rPr>
  </w:style>
  <w:style w:type="paragraph" w:customStyle="1" w:styleId="122">
    <w:name w:val="表头"/>
    <w:basedOn w:val="1"/>
    <w:qFormat/>
    <w:uiPriority w:val="0"/>
    <w:pPr>
      <w:spacing w:line="300" w:lineRule="auto"/>
      <w:jc w:val="center"/>
    </w:pPr>
    <w:rPr>
      <w:rFonts w:eastAsia="黑体" w:cs="华文细黑"/>
      <w:color w:val="000000"/>
      <w:szCs w:val="24"/>
    </w:rPr>
  </w:style>
  <w:style w:type="paragraph" w:customStyle="1" w:styleId="123">
    <w:name w:val="Table Paragraph"/>
    <w:basedOn w:val="1"/>
    <w:qFormat/>
    <w:uiPriority w:val="1"/>
  </w:style>
  <w:style w:type="paragraph" w:customStyle="1" w:styleId="124">
    <w:name w:val="表格文字"/>
    <w:basedOn w:val="1"/>
    <w:qFormat/>
    <w:uiPriority w:val="0"/>
    <w:pPr>
      <w:adjustRightInd w:val="0"/>
      <w:spacing w:line="420" w:lineRule="atLeast"/>
      <w:jc w:val="left"/>
      <w:textAlignment w:val="baseline"/>
    </w:pPr>
    <w:rPr>
      <w:kern w:val="0"/>
    </w:rPr>
  </w:style>
  <w:style w:type="paragraph" w:styleId="12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24"/>
      <w:szCs w:val="24"/>
    </w:rPr>
  </w:style>
  <w:style w:type="paragraph" w:customStyle="1" w:styleId="127">
    <w:name w:val="正文1"/>
    <w:qFormat/>
    <w:uiPriority w:val="0"/>
    <w:rPr>
      <w:rFonts w:ascii="Times New Roman" w:hAnsi="Times New Roman" w:eastAsia="Times New Roman" w:cs="Times New Roman"/>
      <w:sz w:val="24"/>
      <w:szCs w:val="24"/>
      <w:lang w:val="en-US" w:eastAsia="zh-CN" w:bidi="ar-SA"/>
    </w:rPr>
  </w:style>
  <w:style w:type="paragraph" w:customStyle="1" w:styleId="128">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29">
    <w:name w:val="font0"/>
    <w:basedOn w:val="1"/>
    <w:qFormat/>
    <w:uiPriority w:val="0"/>
    <w:pPr>
      <w:widowControl/>
      <w:spacing w:beforeAutospacing="1" w:afterAutospacing="1"/>
      <w:jc w:val="left"/>
    </w:pPr>
    <w:rPr>
      <w:rFonts w:hint="eastAsia" w:ascii="宋体" w:hAnsi="宋体"/>
      <w:kern w:val="0"/>
      <w:sz w:val="24"/>
      <w:szCs w:val="24"/>
    </w:rPr>
  </w:style>
  <w:style w:type="paragraph" w:customStyle="1" w:styleId="130">
    <w:name w:val="标题 2_1"/>
    <w:basedOn w:val="63"/>
    <w:next w:val="63"/>
    <w:qFormat/>
    <w:uiPriority w:val="0"/>
    <w:pPr>
      <w:keepNext/>
      <w:keepLines/>
      <w:spacing w:line="416" w:lineRule="auto"/>
      <w:outlineLvl w:val="1"/>
    </w:pPr>
    <w:rPr>
      <w:rFonts w:ascii="Cambria" w:hAnsi="Cambria"/>
      <w:b/>
      <w:bCs/>
      <w:sz w:val="32"/>
      <w:szCs w:val="32"/>
    </w:rPr>
  </w:style>
  <w:style w:type="paragraph" w:customStyle="1" w:styleId="131">
    <w:name w:val="xl4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Arial Unicode MS" w:hAnsi="Arial Unicode MS"/>
      <w:kern w:val="0"/>
      <w:sz w:val="24"/>
      <w:szCs w:val="24"/>
    </w:rPr>
  </w:style>
  <w:style w:type="paragraph" w:customStyle="1" w:styleId="132">
    <w:name w:val="正文文本 (23)1"/>
    <w:basedOn w:val="1"/>
    <w:qFormat/>
    <w:uiPriority w:val="0"/>
    <w:pPr>
      <w:shd w:val="clear" w:color="auto" w:fill="FFFFFF"/>
      <w:spacing w:beforeAutospacing="1" w:line="0" w:lineRule="atLeast"/>
      <w:jc w:val="distribute"/>
    </w:pPr>
    <w:rPr>
      <w:rFonts w:ascii="微软雅黑 Light" w:hAnsi="微软雅黑 Light"/>
      <w:color w:val="000000"/>
    </w:rPr>
  </w:style>
  <w:style w:type="paragraph" w:customStyle="1" w:styleId="133">
    <w:name w:val="xl47"/>
    <w:basedOn w:val="1"/>
    <w:qFormat/>
    <w:uiPriority w:val="0"/>
    <w:pPr>
      <w:widowControl/>
      <w:spacing w:beforeAutospacing="1" w:afterAutospacing="1"/>
      <w:jc w:val="center"/>
    </w:pPr>
    <w:rPr>
      <w:rFonts w:ascii="宋体" w:hAnsi="宋体"/>
      <w:kern w:val="0"/>
      <w:sz w:val="28"/>
      <w:szCs w:val="28"/>
    </w:rPr>
  </w:style>
  <w:style w:type="paragraph" w:customStyle="1" w:styleId="134">
    <w:name w:val="xl4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Arial Unicode MS" w:hAnsi="Arial Unicode MS"/>
      <w:kern w:val="0"/>
      <w:sz w:val="24"/>
      <w:szCs w:val="24"/>
    </w:rPr>
  </w:style>
  <w:style w:type="paragraph" w:customStyle="1" w:styleId="135">
    <w:name w:val="表格2"/>
    <w:basedOn w:val="1"/>
    <w:qFormat/>
    <w:uiPriority w:val="0"/>
    <w:pPr>
      <w:adjustRightInd w:val="0"/>
      <w:jc w:val="center"/>
    </w:pPr>
    <w:rPr>
      <w:rFonts w:ascii="宋体"/>
      <w:color w:val="000000"/>
      <w:kern w:val="0"/>
      <w:sz w:val="24"/>
    </w:rPr>
  </w:style>
  <w:style w:type="paragraph" w:customStyle="1" w:styleId="136">
    <w:name w:val="_Style 125"/>
    <w:unhideWhenUsed/>
    <w:qFormat/>
    <w:uiPriority w:val="99"/>
    <w:rPr>
      <w:rFonts w:ascii="Times New Roman" w:hAnsi="Times New Roman" w:eastAsia="宋体" w:cs="Times New Roman"/>
      <w:kern w:val="2"/>
      <w:sz w:val="21"/>
      <w:lang w:val="en-US" w:eastAsia="zh-CN" w:bidi="ar-SA"/>
    </w:rPr>
  </w:style>
  <w:style w:type="paragraph" w:customStyle="1" w:styleId="137">
    <w:name w:val="xl3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Arial Unicode MS" w:hAnsi="Arial Unicode MS"/>
      <w:b/>
      <w:bCs/>
      <w:kern w:val="0"/>
      <w:sz w:val="24"/>
      <w:szCs w:val="24"/>
    </w:rPr>
  </w:style>
  <w:style w:type="paragraph" w:customStyle="1" w:styleId="138">
    <w:name w:val="正文文本_0"/>
    <w:basedOn w:val="61"/>
    <w:qFormat/>
    <w:uiPriority w:val="0"/>
    <w:pPr>
      <w:adjustRightInd w:val="0"/>
      <w:spacing w:line="360" w:lineRule="atLeast"/>
      <w:ind w:left="72" w:leftChars="30" w:right="30" w:rightChars="30"/>
      <w:jc w:val="center"/>
      <w:textAlignment w:val="baseline"/>
    </w:pPr>
  </w:style>
  <w:style w:type="paragraph" w:customStyle="1" w:styleId="139">
    <w:name w:val="1 Char"/>
    <w:basedOn w:val="1"/>
    <w:qFormat/>
    <w:uiPriority w:val="0"/>
    <w:rPr>
      <w:szCs w:val="24"/>
    </w:rPr>
  </w:style>
  <w:style w:type="paragraph" w:customStyle="1" w:styleId="140">
    <w:name w:val="合同正文"/>
    <w:basedOn w:val="1"/>
    <w:qFormat/>
    <w:uiPriority w:val="0"/>
    <w:pPr>
      <w:adjustRightInd w:val="0"/>
      <w:spacing w:line="580" w:lineRule="exact"/>
    </w:pPr>
    <w:rPr>
      <w:b/>
      <w:sz w:val="24"/>
    </w:rPr>
  </w:style>
  <w:style w:type="paragraph" w:customStyle="1" w:styleId="141">
    <w:name w:val="正文文本 (14)2"/>
    <w:basedOn w:val="1"/>
    <w:qFormat/>
    <w:uiPriority w:val="0"/>
    <w:pPr>
      <w:shd w:val="clear" w:color="auto" w:fill="FFFFFF"/>
      <w:spacing w:beforeAutospacing="1" w:line="0" w:lineRule="atLeast"/>
      <w:jc w:val="center"/>
    </w:pPr>
    <w:rPr>
      <w:rFonts w:ascii="微软雅黑 Light" w:hAnsi="微软雅黑 Light"/>
      <w:color w:val="000000"/>
      <w:spacing w:val="10"/>
      <w:sz w:val="19"/>
      <w:szCs w:val="19"/>
    </w:rPr>
  </w:style>
  <w:style w:type="paragraph" w:customStyle="1" w:styleId="142">
    <w:name w:val="标题2"/>
    <w:basedOn w:val="4"/>
    <w:next w:val="1"/>
    <w:qFormat/>
    <w:uiPriority w:val="0"/>
    <w:pPr>
      <w:snapToGrid w:val="0"/>
      <w:spacing w:line="240" w:lineRule="auto"/>
      <w:jc w:val="left"/>
    </w:pPr>
    <w:rPr>
      <w:b w:val="0"/>
      <w:sz w:val="21"/>
      <w:szCs w:val="21"/>
    </w:rPr>
  </w:style>
  <w:style w:type="paragraph" w:customStyle="1" w:styleId="143">
    <w:name w:val="标题 4_0"/>
    <w:basedOn w:val="91"/>
    <w:next w:val="91"/>
    <w:unhideWhenUsed/>
    <w:qFormat/>
    <w:uiPriority w:val="9"/>
    <w:pPr>
      <w:keepNext/>
      <w:keepLines/>
      <w:spacing w:line="376" w:lineRule="auto"/>
      <w:outlineLvl w:val="3"/>
    </w:pPr>
    <w:rPr>
      <w:rFonts w:ascii="Cambria" w:hAnsi="Cambria"/>
      <w:b/>
      <w:bCs/>
      <w:sz w:val="28"/>
      <w:szCs w:val="28"/>
    </w:rPr>
  </w:style>
  <w:style w:type="paragraph" w:customStyle="1" w:styleId="144">
    <w:name w:val="xl27"/>
    <w:basedOn w:val="1"/>
    <w:qFormat/>
    <w:uiPriority w:val="0"/>
    <w:pPr>
      <w:widowControl/>
      <w:pBdr>
        <w:bottom w:val="single" w:color="auto" w:sz="4" w:space="0"/>
        <w:right w:val="single" w:color="auto" w:sz="4" w:space="0"/>
      </w:pBdr>
      <w:spacing w:beforeAutospacing="1" w:afterAutospacing="1"/>
      <w:jc w:val="center"/>
    </w:pPr>
    <w:rPr>
      <w:kern w:val="0"/>
      <w:sz w:val="24"/>
      <w:szCs w:val="24"/>
    </w:rPr>
  </w:style>
  <w:style w:type="paragraph" w:customStyle="1" w:styleId="145">
    <w:name w:val="样式 标题 1 + 黑体 三号 非加粗 居中 段前: 6 磅 段后: 6 磅 行距: 固定值 20 磅"/>
    <w:basedOn w:val="3"/>
    <w:qFormat/>
    <w:uiPriority w:val="0"/>
    <w:pPr>
      <w:adjustRightInd/>
      <w:snapToGrid/>
      <w:spacing w:line="400" w:lineRule="exact"/>
    </w:pPr>
    <w:rPr>
      <w:rFonts w:ascii="黑体" w:hAnsi="黑体" w:cs="宋体"/>
    </w:rPr>
  </w:style>
  <w:style w:type="paragraph" w:customStyle="1" w:styleId="146">
    <w:name w:val="纯文本_0"/>
    <w:basedOn w:val="63"/>
    <w:qFormat/>
    <w:uiPriority w:val="0"/>
    <w:rPr>
      <w:rFonts w:ascii="宋体" w:hAnsi="Courier New"/>
      <w:szCs w:val="24"/>
    </w:rPr>
  </w:style>
  <w:style w:type="paragraph" w:customStyle="1" w:styleId="147">
    <w:name w:val="标题 #7 (2)"/>
    <w:basedOn w:val="1"/>
    <w:qFormat/>
    <w:uiPriority w:val="0"/>
    <w:pPr>
      <w:shd w:val="clear" w:color="auto" w:fill="FFFFFF"/>
      <w:spacing w:line="0" w:lineRule="atLeast"/>
      <w:jc w:val="distribute"/>
      <w:outlineLvl w:val="6"/>
    </w:pPr>
    <w:rPr>
      <w:rFonts w:ascii="微软雅黑 Light" w:hAnsi="微软雅黑 Light"/>
      <w:color w:val="000000"/>
      <w:spacing w:val="20"/>
      <w:sz w:val="28"/>
      <w:szCs w:val="28"/>
    </w:rPr>
  </w:style>
  <w:style w:type="paragraph" w:customStyle="1" w:styleId="148">
    <w:name w:val="font10"/>
    <w:basedOn w:val="1"/>
    <w:qFormat/>
    <w:uiPriority w:val="0"/>
    <w:pPr>
      <w:widowControl/>
      <w:spacing w:beforeAutospacing="1" w:afterAutospacing="1"/>
      <w:jc w:val="left"/>
    </w:pPr>
    <w:rPr>
      <w:rFonts w:hint="eastAsia" w:ascii="宋体" w:hAnsi="宋体"/>
      <w:kern w:val="0"/>
      <w:sz w:val="24"/>
      <w:szCs w:val="24"/>
    </w:rPr>
  </w:style>
  <w:style w:type="paragraph" w:customStyle="1" w:styleId="149">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Autospacing="1" w:afterAutospacing="1"/>
      <w:jc w:val="center"/>
    </w:pPr>
    <w:rPr>
      <w:rFonts w:ascii="Arial Unicode MS" w:hAnsi="Arial Unicode MS"/>
      <w:kern w:val="0"/>
      <w:sz w:val="28"/>
      <w:szCs w:val="28"/>
    </w:rPr>
  </w:style>
  <w:style w:type="paragraph" w:customStyle="1" w:styleId="15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1">
    <w:name w:val="Char Char Char Char Char Char Char"/>
    <w:basedOn w:val="1"/>
    <w:qFormat/>
    <w:uiPriority w:val="0"/>
    <w:rPr>
      <w:szCs w:val="24"/>
    </w:rPr>
  </w:style>
  <w:style w:type="character" w:customStyle="1" w:styleId="152">
    <w:name w:val="正文文本 Char"/>
    <w:link w:val="17"/>
    <w:qFormat/>
    <w:uiPriority w:val="0"/>
    <w:rPr>
      <w:rFonts w:ascii="金山简黑体" w:hAnsi="Courier New" w:eastAsia="金山简黑体"/>
      <w:b/>
      <w:spacing w:val="-8"/>
      <w:kern w:val="2"/>
      <w:sz w:val="44"/>
    </w:rPr>
  </w:style>
  <w:style w:type="character" w:customStyle="1" w:styleId="153">
    <w:name w:val="标题 1 Char"/>
    <w:link w:val="3"/>
    <w:qFormat/>
    <w:uiPriority w:val="0"/>
    <w:rPr>
      <w:rFonts w:eastAsia="黑体"/>
      <w:kern w:val="44"/>
      <w:sz w:val="32"/>
    </w:rPr>
  </w:style>
  <w:style w:type="character" w:customStyle="1" w:styleId="154">
    <w:name w:val="标题 2 Char1"/>
    <w:link w:val="4"/>
    <w:qFormat/>
    <w:uiPriority w:val="0"/>
    <w:rPr>
      <w:rFonts w:ascii="Arial" w:hAnsi="Arial" w:eastAsia="黑体"/>
      <w:b/>
      <w:kern w:val="2"/>
      <w:sz w:val="32"/>
    </w:rPr>
  </w:style>
  <w:style w:type="character" w:customStyle="1" w:styleId="155">
    <w:name w:val="标题 3 Char"/>
    <w:link w:val="5"/>
    <w:qFormat/>
    <w:uiPriority w:val="0"/>
    <w:rPr>
      <w:rFonts w:eastAsia="宋体"/>
      <w:b/>
      <w:kern w:val="2"/>
      <w:sz w:val="32"/>
      <w:lang w:val="en-US" w:eastAsia="zh-CN" w:bidi="ar-SA"/>
    </w:rPr>
  </w:style>
  <w:style w:type="character" w:customStyle="1" w:styleId="156">
    <w:name w:val="标题 4 Char"/>
    <w:link w:val="2"/>
    <w:qFormat/>
    <w:uiPriority w:val="0"/>
    <w:rPr>
      <w:rFonts w:ascii="Arial" w:hAnsi="Arial" w:eastAsia="黑体"/>
      <w:b/>
      <w:bCs/>
      <w:kern w:val="2"/>
      <w:sz w:val="28"/>
      <w:szCs w:val="28"/>
    </w:rPr>
  </w:style>
  <w:style w:type="character" w:customStyle="1" w:styleId="157">
    <w:name w:val="标题 6 Char"/>
    <w:link w:val="7"/>
    <w:qFormat/>
    <w:uiPriority w:val="0"/>
    <w:rPr>
      <w:rFonts w:ascii="Arial" w:hAnsi="Arial" w:eastAsia="黑体"/>
      <w:b/>
      <w:bCs/>
      <w:sz w:val="24"/>
      <w:szCs w:val="24"/>
    </w:rPr>
  </w:style>
  <w:style w:type="character" w:customStyle="1" w:styleId="158">
    <w:name w:val="标题 7 Char"/>
    <w:link w:val="8"/>
    <w:qFormat/>
    <w:uiPriority w:val="0"/>
    <w:rPr>
      <w:b/>
      <w:bCs/>
      <w:sz w:val="24"/>
      <w:szCs w:val="24"/>
    </w:rPr>
  </w:style>
  <w:style w:type="character" w:customStyle="1" w:styleId="159">
    <w:name w:val="标题 8 Char"/>
    <w:link w:val="9"/>
    <w:qFormat/>
    <w:uiPriority w:val="0"/>
    <w:rPr>
      <w:rFonts w:ascii="Arial" w:hAnsi="Arial" w:eastAsia="黑体"/>
      <w:sz w:val="24"/>
      <w:szCs w:val="24"/>
    </w:rPr>
  </w:style>
  <w:style w:type="character" w:customStyle="1" w:styleId="160">
    <w:name w:val="标题 9 Char"/>
    <w:link w:val="10"/>
    <w:qFormat/>
    <w:uiPriority w:val="0"/>
    <w:rPr>
      <w:rFonts w:ascii="Arial" w:hAnsi="Arial" w:eastAsia="黑体"/>
      <w:sz w:val="21"/>
      <w:szCs w:val="21"/>
    </w:rPr>
  </w:style>
  <w:style w:type="character" w:customStyle="1" w:styleId="161">
    <w:name w:val="正文缩进 Char"/>
    <w:link w:val="13"/>
    <w:qFormat/>
    <w:locked/>
    <w:uiPriority w:val="0"/>
    <w:rPr>
      <w:kern w:val="2"/>
      <w:sz w:val="21"/>
    </w:rPr>
  </w:style>
  <w:style w:type="character" w:customStyle="1" w:styleId="162">
    <w:name w:val="文档结构图 Char"/>
    <w:link w:val="14"/>
    <w:semiHidden/>
    <w:qFormat/>
    <w:uiPriority w:val="0"/>
    <w:rPr>
      <w:kern w:val="2"/>
      <w:sz w:val="21"/>
      <w:shd w:val="clear" w:color="auto" w:fill="000080"/>
    </w:rPr>
  </w:style>
  <w:style w:type="character" w:customStyle="1" w:styleId="163">
    <w:name w:val="批注文字 Char"/>
    <w:link w:val="15"/>
    <w:semiHidden/>
    <w:qFormat/>
    <w:uiPriority w:val="0"/>
    <w:rPr>
      <w:kern w:val="2"/>
      <w:sz w:val="21"/>
    </w:rPr>
  </w:style>
  <w:style w:type="character" w:customStyle="1" w:styleId="164">
    <w:name w:val="正文文本 3 Char"/>
    <w:link w:val="16"/>
    <w:qFormat/>
    <w:uiPriority w:val="0"/>
    <w:rPr>
      <w:kern w:val="2"/>
      <w:sz w:val="16"/>
      <w:szCs w:val="16"/>
    </w:rPr>
  </w:style>
  <w:style w:type="character" w:customStyle="1" w:styleId="165">
    <w:name w:val="正文文本缩进 Char"/>
    <w:link w:val="18"/>
    <w:qFormat/>
    <w:uiPriority w:val="0"/>
    <w:rPr>
      <w:rFonts w:ascii="方正仿宋简体" w:eastAsia="方正仿宋简体"/>
      <w:color w:val="000000"/>
      <w:sz w:val="30"/>
    </w:rPr>
  </w:style>
  <w:style w:type="character" w:customStyle="1" w:styleId="166">
    <w:name w:val="纯文本 Char"/>
    <w:link w:val="21"/>
    <w:qFormat/>
    <w:uiPriority w:val="0"/>
    <w:rPr>
      <w:rFonts w:ascii="宋体" w:hAnsi="Courier New" w:eastAsia="宋体"/>
      <w:kern w:val="2"/>
      <w:sz w:val="21"/>
      <w:lang w:val="en-US" w:eastAsia="zh-CN"/>
    </w:rPr>
  </w:style>
  <w:style w:type="character" w:customStyle="1" w:styleId="167">
    <w:name w:val="日期 Char"/>
    <w:link w:val="23"/>
    <w:qFormat/>
    <w:uiPriority w:val="0"/>
    <w:rPr>
      <w:rFonts w:ascii="宋体"/>
      <w:color w:val="000000"/>
      <w:sz w:val="30"/>
    </w:rPr>
  </w:style>
  <w:style w:type="character" w:customStyle="1" w:styleId="168">
    <w:name w:val="正文文本缩进 2 Char"/>
    <w:link w:val="24"/>
    <w:qFormat/>
    <w:uiPriority w:val="0"/>
    <w:rPr>
      <w:b/>
      <w:kern w:val="2"/>
      <w:sz w:val="28"/>
    </w:rPr>
  </w:style>
  <w:style w:type="character" w:customStyle="1" w:styleId="169">
    <w:name w:val="批注框文本 Char"/>
    <w:link w:val="25"/>
    <w:qFormat/>
    <w:uiPriority w:val="0"/>
    <w:rPr>
      <w:kern w:val="2"/>
      <w:sz w:val="18"/>
    </w:rPr>
  </w:style>
  <w:style w:type="character" w:customStyle="1" w:styleId="170">
    <w:name w:val="页脚 Char"/>
    <w:link w:val="26"/>
    <w:qFormat/>
    <w:uiPriority w:val="0"/>
    <w:rPr>
      <w:rFonts w:ascii="宋体" w:hAnsi="Courier New"/>
      <w:kern w:val="2"/>
      <w:sz w:val="18"/>
      <w:u w:val="single"/>
    </w:rPr>
  </w:style>
  <w:style w:type="character" w:customStyle="1" w:styleId="171">
    <w:name w:val="页眉 Char"/>
    <w:link w:val="27"/>
    <w:qFormat/>
    <w:uiPriority w:val="0"/>
    <w:rPr>
      <w:kern w:val="2"/>
      <w:sz w:val="18"/>
    </w:rPr>
  </w:style>
  <w:style w:type="character" w:customStyle="1" w:styleId="172">
    <w:name w:val="正文文本缩进 3 Char"/>
    <w:link w:val="31"/>
    <w:qFormat/>
    <w:uiPriority w:val="0"/>
    <w:rPr>
      <w:kern w:val="2"/>
      <w:sz w:val="16"/>
    </w:rPr>
  </w:style>
  <w:style w:type="character" w:customStyle="1" w:styleId="173">
    <w:name w:val="正文文本 2 Char"/>
    <w:link w:val="34"/>
    <w:qFormat/>
    <w:uiPriority w:val="0"/>
    <w:rPr>
      <w:kern w:val="2"/>
      <w:sz w:val="21"/>
      <w:szCs w:val="24"/>
    </w:rPr>
  </w:style>
  <w:style w:type="character" w:customStyle="1" w:styleId="174">
    <w:name w:val="HTML 预设格式 Char"/>
    <w:link w:val="35"/>
    <w:qFormat/>
    <w:uiPriority w:val="0"/>
    <w:rPr>
      <w:rFonts w:ascii="Arial" w:hAnsi="Arial" w:cs="Arial"/>
      <w:sz w:val="24"/>
      <w:szCs w:val="24"/>
    </w:rPr>
  </w:style>
  <w:style w:type="character" w:customStyle="1" w:styleId="175">
    <w:name w:val="标题 Char"/>
    <w:link w:val="38"/>
    <w:qFormat/>
    <w:uiPriority w:val="0"/>
    <w:rPr>
      <w:rFonts w:ascii="Cambria" w:hAnsi="Cambria" w:cs="Times New Roman"/>
      <w:b/>
      <w:bCs/>
      <w:kern w:val="2"/>
      <w:sz w:val="32"/>
      <w:szCs w:val="32"/>
    </w:rPr>
  </w:style>
  <w:style w:type="character" w:customStyle="1" w:styleId="176">
    <w:name w:val="批注主题 Char"/>
    <w:link w:val="39"/>
    <w:semiHidden/>
    <w:qFormat/>
    <w:uiPriority w:val="0"/>
    <w:rPr>
      <w:b/>
      <w:bCs/>
      <w:kern w:val="2"/>
      <w:sz w:val="21"/>
    </w:rPr>
  </w:style>
  <w:style w:type="character" w:customStyle="1" w:styleId="177">
    <w:name w:val="23"/>
    <w:qFormat/>
    <w:uiPriority w:val="0"/>
    <w:rPr>
      <w:rFonts w:hint="default" w:ascii="微软雅黑 Light" w:hAnsi="微软雅黑 Light"/>
      <w:color w:val="000000"/>
      <w:spacing w:val="0"/>
      <w:sz w:val="28"/>
      <w:szCs w:val="28"/>
    </w:rPr>
  </w:style>
  <w:style w:type="character" w:customStyle="1" w:styleId="178">
    <w:name w:val="Char Char"/>
    <w:qFormat/>
    <w:uiPriority w:val="0"/>
    <w:rPr>
      <w:rFonts w:ascii="Arial" w:hAnsi="Arial" w:eastAsia="黑体"/>
      <w:b/>
      <w:bCs/>
      <w:kern w:val="2"/>
      <w:sz w:val="32"/>
      <w:szCs w:val="32"/>
      <w:lang w:val="en-US" w:eastAsia="zh-CN" w:bidi="ar-SA"/>
    </w:rPr>
  </w:style>
  <w:style w:type="character" w:customStyle="1" w:styleId="179">
    <w:name w:val="未处理的提及"/>
    <w:unhideWhenUsed/>
    <w:qFormat/>
    <w:uiPriority w:val="99"/>
    <w:rPr>
      <w:color w:val="605E5C"/>
      <w:shd w:val="clear" w:color="auto" w:fill="E1DFDD"/>
    </w:rPr>
  </w:style>
  <w:style w:type="character" w:customStyle="1" w:styleId="180">
    <w:name w:val="font5 Char"/>
    <w:qFormat/>
    <w:uiPriority w:val="0"/>
    <w:rPr>
      <w:rFonts w:ascii="宋体" w:hAnsi="宋体" w:eastAsia="宋体"/>
      <w:sz w:val="24"/>
      <w:szCs w:val="24"/>
      <w:lang w:val="en-US" w:eastAsia="zh-CN" w:bidi="ar-SA"/>
    </w:rPr>
  </w:style>
  <w:style w:type="character" w:customStyle="1" w:styleId="181">
    <w:name w:val="21"/>
    <w:qFormat/>
    <w:uiPriority w:val="0"/>
    <w:rPr>
      <w:rFonts w:hint="default" w:ascii="微软雅黑 Light" w:hAnsi="微软雅黑 Light"/>
      <w:color w:val="000000"/>
      <w:spacing w:val="0"/>
      <w:sz w:val="22"/>
      <w:szCs w:val="22"/>
    </w:rPr>
  </w:style>
  <w:style w:type="character" w:customStyle="1" w:styleId="182">
    <w:name w:val="标题 Char1"/>
    <w:qFormat/>
    <w:uiPriority w:val="0"/>
    <w:rPr>
      <w:rFonts w:ascii="Cambria" w:hAnsi="Cambria" w:eastAsia="宋体" w:cs="Times New Roman"/>
      <w:b/>
      <w:bCs/>
      <w:sz w:val="32"/>
      <w:szCs w:val="32"/>
    </w:rPr>
  </w:style>
  <w:style w:type="character" w:customStyle="1" w:styleId="183">
    <w:name w:val="px14"/>
    <w:qFormat/>
    <w:uiPriority w:val="0"/>
  </w:style>
  <w:style w:type="character" w:customStyle="1" w:styleId="184">
    <w:name w:val="ant-form-item-children5"/>
    <w:qFormat/>
    <w:uiPriority w:val="0"/>
  </w:style>
  <w:style w:type="character" w:customStyle="1" w:styleId="185">
    <w:name w:val="c-icon14"/>
    <w:qFormat/>
    <w:uiPriority w:val="0"/>
  </w:style>
  <w:style w:type="character" w:customStyle="1" w:styleId="186">
    <w:name w:val="批注文字 字符"/>
    <w:semiHidden/>
    <w:qFormat/>
    <w:uiPriority w:val="0"/>
    <w:rPr>
      <w:kern w:val="2"/>
      <w:sz w:val="21"/>
    </w:rPr>
  </w:style>
  <w:style w:type="character" w:customStyle="1" w:styleId="187">
    <w:name w:val="页脚 Char1"/>
    <w:semiHidden/>
    <w:qFormat/>
    <w:uiPriority w:val="99"/>
    <w:rPr>
      <w:kern w:val="2"/>
      <w:sz w:val="18"/>
      <w:szCs w:val="18"/>
    </w:rPr>
  </w:style>
  <w:style w:type="character" w:customStyle="1" w:styleId="188">
    <w:name w:val="font161"/>
    <w:qFormat/>
    <w:uiPriority w:val="0"/>
    <w:rPr>
      <w:rFonts w:ascii="Arial" w:hAnsi="Arial" w:eastAsia="黑体"/>
      <w:b/>
      <w:bCs/>
      <w:kern w:val="2"/>
      <w:sz w:val="32"/>
      <w:szCs w:val="32"/>
      <w:lang w:val="en-US" w:eastAsia="zh-CN" w:bidi="ar-SA"/>
    </w:rPr>
  </w:style>
  <w:style w:type="character" w:customStyle="1" w:styleId="189">
    <w:name w:val="标题 2 Char"/>
    <w:qFormat/>
    <w:uiPriority w:val="0"/>
    <w:rPr>
      <w:rFonts w:ascii="Arial" w:hAnsi="Arial" w:eastAsia="黑体"/>
      <w:b/>
      <w:kern w:val="2"/>
      <w:sz w:val="32"/>
    </w:rPr>
  </w:style>
  <w:style w:type="character" w:customStyle="1" w:styleId="190">
    <w:name w:val="17"/>
    <w:qFormat/>
    <w:uiPriority w:val="0"/>
    <w:rPr>
      <w:rFonts w:hint="default" w:ascii="微软雅黑 Light" w:hAnsi="微软雅黑 Light"/>
      <w:color w:val="000000"/>
      <w:spacing w:val="10"/>
      <w:sz w:val="19"/>
      <w:szCs w:val="19"/>
    </w:rPr>
  </w:style>
  <w:style w:type="character" w:customStyle="1" w:styleId="191">
    <w:name w:val="纯文本 Char1"/>
    <w:qFormat/>
    <w:uiPriority w:val="99"/>
    <w:rPr>
      <w:rFonts w:ascii="宋体" w:hAnsi="Courier New" w:cs="Courier New"/>
      <w:kern w:val="2"/>
      <w:sz w:val="21"/>
      <w:szCs w:val="21"/>
    </w:rPr>
  </w:style>
  <w:style w:type="character" w:customStyle="1" w:styleId="192">
    <w:name w:val="页眉 Char1"/>
    <w:semiHidden/>
    <w:qFormat/>
    <w:uiPriority w:val="99"/>
    <w:rPr>
      <w:kern w:val="2"/>
      <w:sz w:val="18"/>
      <w:szCs w:val="18"/>
    </w:rPr>
  </w:style>
  <w:style w:type="character" w:customStyle="1" w:styleId="193">
    <w:name w:val="36"/>
    <w:qFormat/>
    <w:uiPriority w:val="0"/>
    <w:rPr>
      <w:rFonts w:hint="default" w:ascii="微软雅黑 Light" w:hAnsi="微软雅黑 Light"/>
      <w:color w:val="000000"/>
      <w:spacing w:val="0"/>
      <w:sz w:val="22"/>
      <w:szCs w:val="22"/>
    </w:rPr>
  </w:style>
  <w:style w:type="character" w:customStyle="1" w:styleId="194">
    <w:name w:val="16"/>
    <w:qFormat/>
    <w:uiPriority w:val="0"/>
    <w:rPr>
      <w:rFonts w:hint="default" w:ascii="微软雅黑 Light" w:hAnsi="微软雅黑 Light"/>
      <w:color w:val="000000"/>
      <w:spacing w:val="0"/>
      <w:sz w:val="22"/>
      <w:szCs w:val="22"/>
    </w:rPr>
  </w:style>
  <w:style w:type="character" w:customStyle="1" w:styleId="195">
    <w:name w:val="37"/>
    <w:qFormat/>
    <w:uiPriority w:val="0"/>
    <w:rPr>
      <w:rFonts w:hint="default" w:ascii="微软雅黑 Light" w:hAnsi="微软雅黑 Light"/>
      <w:color w:val="000000"/>
      <w:spacing w:val="150"/>
      <w:sz w:val="19"/>
      <w:szCs w:val="19"/>
    </w:rPr>
  </w:style>
  <w:style w:type="character" w:customStyle="1" w:styleId="196">
    <w:name w:val="正文文本缩进 3 字符"/>
    <w:qFormat/>
    <w:uiPriority w:val="0"/>
    <w:rPr>
      <w:kern w:val="2"/>
      <w:sz w:val="16"/>
    </w:rPr>
  </w:style>
  <w:style w:type="character" w:customStyle="1" w:styleId="197">
    <w:name w:val="25"/>
    <w:qFormat/>
    <w:uiPriority w:val="0"/>
    <w:rPr>
      <w:rFonts w:hint="default" w:ascii="微软雅黑 Light" w:hAnsi="微软雅黑 Light"/>
      <w:color w:val="000000"/>
      <w:spacing w:val="-10"/>
      <w:sz w:val="18"/>
      <w:szCs w:val="18"/>
    </w:rPr>
  </w:style>
  <w:style w:type="character" w:customStyle="1" w:styleId="198">
    <w:name w:val="Char Char1"/>
    <w:qFormat/>
    <w:uiPriority w:val="0"/>
    <w:rPr>
      <w:rFonts w:eastAsia="宋体"/>
      <w:b/>
      <w:bCs/>
      <w:kern w:val="44"/>
      <w:sz w:val="44"/>
      <w:szCs w:val="44"/>
      <w:lang w:val="en-US" w:eastAsia="zh-CN" w:bidi="ar-SA"/>
    </w:rPr>
  </w:style>
  <w:style w:type="paragraph" w:customStyle="1" w:styleId="199">
    <w:name w:val="正文_2_0"/>
    <w:basedOn w:val="91"/>
    <w:qFormat/>
    <w:uiPriority w:val="0"/>
    <w:rPr>
      <w:szCs w:val="21"/>
    </w:rPr>
  </w:style>
  <w:style w:type="paragraph" w:customStyle="1" w:styleId="200">
    <w:name w:val="列出段落2"/>
    <w:basedOn w:val="1"/>
    <w:qFormat/>
    <w:uiPriority w:val="99"/>
    <w:pPr>
      <w:widowControl w:val="0"/>
      <w:adjustRightInd/>
      <w:snapToGrid/>
      <w:spacing w:after="0"/>
      <w:ind w:firstLine="420" w:firstLineChars="200"/>
      <w:jc w:val="both"/>
    </w:pPr>
    <w:rPr>
      <w:rFonts w:ascii="Times New Roman" w:hAnsi="Times New Roman" w:eastAsia="宋体"/>
      <w:kern w:val="2"/>
      <w:sz w:val="21"/>
      <w:szCs w:val="24"/>
    </w:rPr>
  </w:style>
  <w:style w:type="character" w:customStyle="1" w:styleId="201">
    <w:name w:val="phone"/>
    <w:basedOn w:val="43"/>
    <w:qFormat/>
    <w:uiPriority w:val="0"/>
    <w:rPr>
      <w:b/>
      <w:bCs/>
      <w:color w:val="C20000"/>
      <w:sz w:val="23"/>
      <w:szCs w:val="23"/>
    </w:rPr>
  </w:style>
  <w:style w:type="paragraph" w:customStyle="1" w:styleId="202">
    <w:name w:val="Normal_0"/>
    <w:qFormat/>
    <w:uiPriority w:val="0"/>
    <w:rPr>
      <w:rFonts w:ascii="Times New Roman" w:hAnsi="Times New Roman" w:eastAsia="Times New Roman" w:cs="Times New Roman"/>
      <w:sz w:val="24"/>
      <w:szCs w:val="24"/>
      <w:lang w:bidi="ar-SA"/>
    </w:rPr>
  </w:style>
  <w:style w:type="character" w:customStyle="1" w:styleId="203">
    <w:name w:val="layui-layer-tabnow"/>
    <w:basedOn w:val="43"/>
    <w:qFormat/>
    <w:uiPriority w:val="0"/>
    <w:rPr>
      <w:bdr w:val="single" w:color="CCCCCC" w:sz="4" w:space="0"/>
      <w:shd w:val="clear" w:fill="FFFFFF"/>
    </w:rPr>
  </w:style>
  <w:style w:type="character" w:customStyle="1" w:styleId="204">
    <w:name w:val="first-child"/>
    <w:basedOn w:val="43"/>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wsgs</Company>
  <Pages>105</Pages>
  <Words>20455</Words>
  <Characters>21869</Characters>
  <Lines>436</Lines>
  <Paragraphs>122</Paragraphs>
  <TotalTime>2</TotalTime>
  <ScaleCrop>false</ScaleCrop>
  <LinksUpToDate>false</LinksUpToDate>
  <CharactersWithSpaces>22709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2023-07-27T09:10:00Z</dcterms:created>
  <dc:creator>ws</dc:creator>
  <cp:lastModifiedBy>Strulle</cp:lastModifiedBy>
  <cp:lastPrinted>2020-07-31T15:04:00Z</cp:lastPrinted>
  <dcterms:modified xsi:type="dcterms:W3CDTF">2025-07-23T08:08:07Z</dcterms:modified>
  <dc:title>百色市天湖山庄别墅楼室内装修工程项目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0B93FA8FF9574AC5A58C986B973FA7A5_13</vt:lpwstr>
  </property>
  <property fmtid="{D5CDD505-2E9C-101B-9397-08002B2CF9AE}" pid="4" name="commondata">
    <vt:lpwstr>eyJoZGlkIjoiYWQ5ZGNlNWUwMzhjYTk0MTM5OTY5NWMwMmZjZjljYmQifQ==</vt:lpwstr>
  </property>
  <property fmtid="{D5CDD505-2E9C-101B-9397-08002B2CF9AE}" pid="5" name="KSOTemplateDocerSaveRecord">
    <vt:lpwstr>eyJoZGlkIjoiZjVhNGJiMWVmZTg4ZjFhYWZhYWFiMzBkODkwYWRkZmUiLCJ1c2VySWQiOiI0MjkwMTM3MjUifQ==</vt:lpwstr>
  </property>
</Properties>
</file>