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94AA7">
      <w:pPr>
        <w:pStyle w:val="26"/>
        <w:jc w:val="center"/>
        <w:rPr>
          <w:rFonts w:hint="eastAsia" w:ascii="宋体" w:hAnsi="宋体" w:eastAsia="宋体" w:cs="宋体"/>
          <w:b/>
          <w:bCs/>
          <w:color w:val="000000" w:themeColor="text1"/>
          <w:spacing w:val="30"/>
          <w:kern w:val="52"/>
          <w:sz w:val="64"/>
          <w:szCs w:val="64"/>
          <w:highlight w:val="none"/>
          <w:lang w:eastAsia="zh-CN"/>
          <w14:textFill>
            <w14:solidFill>
              <w14:schemeClr w14:val="tx1"/>
            </w14:solidFill>
          </w14:textFill>
        </w:rPr>
      </w:pPr>
      <w:r>
        <w:rPr>
          <w:rFonts w:hint="eastAsia" w:ascii="宋体" w:hAnsi="宋体" w:eastAsia="宋体" w:cs="宋体"/>
          <w:b/>
          <w:bCs/>
          <w:color w:val="000000" w:themeColor="text1"/>
          <w:spacing w:val="30"/>
          <w:kern w:val="52"/>
          <w:sz w:val="64"/>
          <w:szCs w:val="64"/>
          <w:highlight w:val="none"/>
          <w:lang w:eastAsia="zh-CN"/>
          <w14:textFill>
            <w14:solidFill>
              <w14:schemeClr w14:val="tx1"/>
            </w14:solidFill>
          </w14:textFill>
        </w:rPr>
        <w:t>广西睿翼工程咨询有限公司</w:t>
      </w:r>
    </w:p>
    <w:p w14:paraId="226CBCF4">
      <w:pPr>
        <w:pStyle w:val="26"/>
        <w:jc w:val="center"/>
        <w:rPr>
          <w:rFonts w:hint="eastAsia" w:ascii="宋体" w:hAnsi="宋体" w:eastAsia="宋体" w:cs="宋体"/>
          <w:color w:val="000000" w:themeColor="text1"/>
          <w:spacing w:val="28"/>
          <w:sz w:val="64"/>
          <w:szCs w:val="64"/>
          <w:highlight w:val="none"/>
          <w14:textFill>
            <w14:solidFill>
              <w14:schemeClr w14:val="tx1"/>
            </w14:solidFill>
          </w14:textFill>
        </w:rPr>
      </w:pPr>
    </w:p>
    <w:p w14:paraId="29F2AF0A">
      <w:pPr>
        <w:pStyle w:val="2"/>
        <w:rPr>
          <w:rFonts w:hint="eastAsia"/>
        </w:rPr>
      </w:pPr>
    </w:p>
    <w:p w14:paraId="33A26032">
      <w:pPr>
        <w:keepNext w:val="0"/>
        <w:keepLines w:val="0"/>
        <w:pageBreakBefore w:val="0"/>
        <w:widowControl w:val="0"/>
        <w:kinsoku/>
        <w:wordWrap/>
        <w:overflowPunct/>
        <w:topLinePunct w:val="0"/>
        <w:autoSpaceDE/>
        <w:autoSpaceDN/>
        <w:bidi w:val="0"/>
        <w:adjustRightInd/>
        <w:snapToGrid w:val="0"/>
        <w:spacing w:before="165" w:beforeLines="50" w:line="1000" w:lineRule="exact"/>
        <w:jc w:val="center"/>
        <w:textAlignment w:val="auto"/>
        <w:rPr>
          <w:rFonts w:hint="eastAsia" w:ascii="华文新魏" w:hAnsi="宋体" w:eastAsia="华文新魏" w:cs="Times New Roman"/>
          <w:b/>
          <w:color w:val="auto"/>
          <w:sz w:val="112"/>
          <w:szCs w:val="112"/>
          <w:highlight w:val="none"/>
        </w:rPr>
      </w:pPr>
    </w:p>
    <w:p w14:paraId="6DC1CC6E">
      <w:pPr>
        <w:keepNext w:val="0"/>
        <w:keepLines w:val="0"/>
        <w:pageBreakBefore w:val="0"/>
        <w:widowControl w:val="0"/>
        <w:kinsoku/>
        <w:wordWrap/>
        <w:overflowPunct/>
        <w:topLinePunct w:val="0"/>
        <w:autoSpaceDE/>
        <w:autoSpaceDN/>
        <w:bidi w:val="0"/>
        <w:adjustRightInd/>
        <w:snapToGrid w:val="0"/>
        <w:spacing w:before="165" w:beforeLines="50" w:line="1000" w:lineRule="exact"/>
        <w:jc w:val="center"/>
        <w:textAlignment w:val="auto"/>
        <w:rPr>
          <w:rFonts w:hint="eastAsia" w:ascii="华文新魏" w:hAnsi="宋体" w:eastAsia="华文新魏" w:cs="Times New Roman"/>
          <w:b/>
          <w:color w:val="auto"/>
          <w:sz w:val="112"/>
          <w:szCs w:val="112"/>
          <w:highlight w:val="none"/>
        </w:rPr>
      </w:pPr>
      <w:r>
        <w:rPr>
          <w:rFonts w:hint="eastAsia" w:ascii="华文新魏" w:hAnsi="宋体" w:eastAsia="华文新魏" w:cs="Times New Roman"/>
          <w:b/>
          <w:color w:val="auto"/>
          <w:sz w:val="112"/>
          <w:szCs w:val="112"/>
          <w:highlight w:val="none"/>
        </w:rPr>
        <w:t>招标文件</w:t>
      </w:r>
    </w:p>
    <w:p w14:paraId="2AF5ED82">
      <w:pPr>
        <w:spacing w:beforeLines="100" w:afterLines="50" w:line="360" w:lineRule="auto"/>
        <w:jc w:val="center"/>
        <w:rPr>
          <w:rFonts w:hint="eastAsia" w:ascii="宋体" w:hAnsi="宋体" w:eastAsia="宋体" w:cs="宋体"/>
          <w:color w:val="000000" w:themeColor="text1"/>
          <w:sz w:val="28"/>
          <w:szCs w:val="21"/>
          <w:highlight w:val="none"/>
          <w14:textFill>
            <w14:solidFill>
              <w14:schemeClr w14:val="tx1"/>
            </w14:solidFill>
          </w14:textFill>
        </w:rPr>
      </w:pPr>
      <w:r>
        <w:rPr>
          <w:rFonts w:hint="eastAsia" w:ascii="宋体" w:hAnsi="宋体" w:eastAsia="宋体" w:cs="宋体"/>
          <w:color w:val="000000" w:themeColor="text1"/>
          <w:sz w:val="28"/>
          <w:szCs w:val="21"/>
          <w:highlight w:val="none"/>
          <w14:textFill>
            <w14:solidFill>
              <w14:schemeClr w14:val="tx1"/>
            </w14:solidFill>
          </w14:textFill>
        </w:rPr>
        <w:t>（全流程电子化评标）</w:t>
      </w:r>
    </w:p>
    <w:p w14:paraId="0AA4B6AE">
      <w:pPr>
        <w:pStyle w:val="26"/>
        <w:snapToGrid w:val="0"/>
        <w:spacing w:line="360" w:lineRule="auto"/>
        <w:ind w:firstLine="1977" w:firstLineChars="691"/>
        <w:rPr>
          <w:rFonts w:hint="eastAsia" w:ascii="宋体" w:hAnsi="宋体" w:eastAsia="宋体" w:cs="宋体"/>
          <w:b/>
          <w:bCs/>
          <w:color w:val="000000" w:themeColor="text1"/>
          <w:w w:val="95"/>
          <w:sz w:val="30"/>
          <w:szCs w:val="30"/>
          <w:highlight w:val="none"/>
          <w14:textFill>
            <w14:solidFill>
              <w14:schemeClr w14:val="tx1"/>
            </w14:solidFill>
          </w14:textFill>
        </w:rPr>
      </w:pPr>
    </w:p>
    <w:p w14:paraId="64FE45D8">
      <w:pPr>
        <w:pStyle w:val="26"/>
        <w:snapToGrid w:val="0"/>
        <w:spacing w:line="360" w:lineRule="auto"/>
        <w:ind w:firstLine="1977" w:firstLineChars="691"/>
        <w:rPr>
          <w:rFonts w:hint="eastAsia" w:ascii="宋体" w:hAnsi="宋体" w:eastAsia="宋体" w:cs="宋体"/>
          <w:b/>
          <w:bCs/>
          <w:color w:val="000000" w:themeColor="text1"/>
          <w:w w:val="95"/>
          <w:sz w:val="30"/>
          <w:szCs w:val="30"/>
          <w:highlight w:val="none"/>
          <w14:textFill>
            <w14:solidFill>
              <w14:schemeClr w14:val="tx1"/>
            </w14:solidFill>
          </w14:textFill>
        </w:rPr>
      </w:pPr>
    </w:p>
    <w:p w14:paraId="0A00173E">
      <w:pPr>
        <w:pStyle w:val="26"/>
        <w:snapToGrid w:val="0"/>
        <w:spacing w:line="360" w:lineRule="auto"/>
        <w:ind w:left="596" w:leftChars="284" w:firstLine="1145" w:firstLineChars="400"/>
        <w:rPr>
          <w:rFonts w:hint="eastAsia" w:ascii="宋体" w:hAnsi="宋体" w:eastAsia="宋体" w:cs="宋体"/>
          <w:b/>
          <w:bCs/>
          <w:color w:val="000000" w:themeColor="text1"/>
          <w:w w:val="95"/>
          <w:sz w:val="30"/>
          <w:szCs w:val="30"/>
          <w:highlight w:val="none"/>
          <w:lang w:eastAsia="zh-CN"/>
          <w14:textFill>
            <w14:solidFill>
              <w14:schemeClr w14:val="tx1"/>
            </w14:solidFill>
          </w14:textFill>
        </w:rPr>
      </w:pPr>
      <w:r>
        <w:rPr>
          <w:rFonts w:hint="eastAsia" w:ascii="宋体" w:hAnsi="宋体" w:eastAsia="宋体" w:cs="宋体"/>
          <w:b/>
          <w:bCs/>
          <w:color w:val="000000" w:themeColor="text1"/>
          <w:w w:val="95"/>
          <w:sz w:val="30"/>
          <w:szCs w:val="30"/>
          <w:highlight w:val="none"/>
          <w14:textFill>
            <w14:solidFill>
              <w14:schemeClr w14:val="tx1"/>
            </w14:solidFill>
          </w14:textFill>
        </w:rPr>
        <w:t>项目名称：</w:t>
      </w:r>
      <w:r>
        <w:rPr>
          <w:rFonts w:hint="eastAsia" w:ascii="宋体" w:hAnsi="宋体" w:eastAsia="宋体" w:cs="宋体"/>
          <w:b/>
          <w:bCs/>
          <w:color w:val="000000" w:themeColor="text1"/>
          <w:w w:val="95"/>
          <w:sz w:val="30"/>
          <w:szCs w:val="30"/>
          <w:highlight w:val="none"/>
          <w:lang w:eastAsia="zh-CN"/>
          <w14:textFill>
            <w14:solidFill>
              <w14:schemeClr w14:val="tx1"/>
            </w14:solidFill>
          </w14:textFill>
        </w:rPr>
        <w:t>2025年林业森林防火物资采购项目</w:t>
      </w:r>
    </w:p>
    <w:p w14:paraId="5B58C9D6">
      <w:pPr>
        <w:pStyle w:val="26"/>
        <w:snapToGrid w:val="0"/>
        <w:spacing w:line="360" w:lineRule="auto"/>
        <w:ind w:firstLine="1717" w:firstLineChars="600"/>
        <w:rPr>
          <w:rFonts w:hint="eastAsia" w:ascii="宋体" w:hAnsi="宋体" w:eastAsia="宋体" w:cs="宋体"/>
          <w:b/>
          <w:bCs/>
          <w:color w:val="000000" w:themeColor="text1"/>
          <w:w w:val="95"/>
          <w:sz w:val="30"/>
          <w:szCs w:val="30"/>
          <w:highlight w:val="none"/>
          <w:lang w:eastAsia="zh-CN"/>
          <w14:textFill>
            <w14:solidFill>
              <w14:schemeClr w14:val="tx1"/>
            </w14:solidFill>
          </w14:textFill>
        </w:rPr>
      </w:pPr>
      <w:r>
        <w:rPr>
          <w:rFonts w:hint="eastAsia" w:ascii="宋体" w:hAnsi="宋体" w:eastAsia="宋体" w:cs="宋体"/>
          <w:b/>
          <w:bCs/>
          <w:color w:val="000000" w:themeColor="text1"/>
          <w:w w:val="95"/>
          <w:sz w:val="30"/>
          <w:szCs w:val="30"/>
          <w:highlight w:val="none"/>
          <w14:textFill>
            <w14:solidFill>
              <w14:schemeClr w14:val="tx1"/>
            </w14:solidFill>
          </w14:textFill>
        </w:rPr>
        <w:t>项目编号：GXZC2025-G1-001591-GXRY</w:t>
      </w:r>
      <w:r>
        <w:rPr>
          <w:rFonts w:hint="eastAsia" w:ascii="宋体" w:hAnsi="宋体" w:eastAsia="宋体" w:cs="宋体"/>
          <w:b/>
          <w:bCs/>
          <w:color w:val="000000" w:themeColor="text1"/>
          <w:w w:val="95"/>
          <w:sz w:val="30"/>
          <w:szCs w:val="30"/>
          <w:highlight w:val="none"/>
          <w:lang w:val="en-US" w:eastAsia="zh-CN"/>
          <w14:textFill>
            <w14:solidFill>
              <w14:schemeClr w14:val="tx1"/>
            </w14:solidFill>
          </w14:textFill>
        </w:rPr>
        <w:t xml:space="preserve"> </w:t>
      </w:r>
    </w:p>
    <w:p w14:paraId="7CD7E89D">
      <w:pPr>
        <w:pStyle w:val="26"/>
        <w:snapToGrid w:val="0"/>
        <w:spacing w:line="360" w:lineRule="auto"/>
        <w:ind w:firstLine="1977" w:firstLineChars="691"/>
        <w:rPr>
          <w:rFonts w:hint="eastAsia" w:ascii="宋体" w:hAnsi="宋体" w:eastAsia="宋体" w:cs="宋体"/>
          <w:b/>
          <w:bCs/>
          <w:color w:val="000000" w:themeColor="text1"/>
          <w:w w:val="95"/>
          <w:sz w:val="30"/>
          <w:szCs w:val="30"/>
          <w:highlight w:val="none"/>
          <w14:textFill>
            <w14:solidFill>
              <w14:schemeClr w14:val="tx1"/>
            </w14:solidFill>
          </w14:textFill>
        </w:rPr>
      </w:pPr>
    </w:p>
    <w:p w14:paraId="2EEFDDF0">
      <w:pPr>
        <w:pStyle w:val="26"/>
        <w:snapToGrid w:val="0"/>
        <w:spacing w:line="360" w:lineRule="auto"/>
        <w:ind w:firstLine="1977" w:firstLineChars="691"/>
        <w:rPr>
          <w:rFonts w:hint="eastAsia" w:ascii="宋体" w:hAnsi="宋体" w:eastAsia="宋体" w:cs="宋体"/>
          <w:b/>
          <w:bCs/>
          <w:color w:val="000000" w:themeColor="text1"/>
          <w:w w:val="95"/>
          <w:sz w:val="30"/>
          <w:szCs w:val="30"/>
          <w:highlight w:val="none"/>
          <w14:textFill>
            <w14:solidFill>
              <w14:schemeClr w14:val="tx1"/>
            </w14:solidFill>
          </w14:textFill>
        </w:rPr>
      </w:pPr>
    </w:p>
    <w:p w14:paraId="3F4CD02A">
      <w:pPr>
        <w:pStyle w:val="26"/>
        <w:snapToGrid w:val="0"/>
        <w:spacing w:line="360" w:lineRule="auto"/>
        <w:ind w:firstLine="1977" w:firstLineChars="691"/>
        <w:rPr>
          <w:rFonts w:hint="eastAsia" w:ascii="宋体" w:hAnsi="宋体" w:eastAsia="宋体" w:cs="宋体"/>
          <w:b/>
          <w:bCs/>
          <w:color w:val="000000" w:themeColor="text1"/>
          <w:w w:val="95"/>
          <w:sz w:val="30"/>
          <w:szCs w:val="30"/>
          <w:highlight w:val="none"/>
          <w14:textFill>
            <w14:solidFill>
              <w14:schemeClr w14:val="tx1"/>
            </w14:solidFill>
          </w14:textFill>
        </w:rPr>
      </w:pPr>
    </w:p>
    <w:p w14:paraId="259EBD3E">
      <w:pPr>
        <w:pStyle w:val="26"/>
        <w:snapToGrid w:val="0"/>
        <w:spacing w:line="360" w:lineRule="auto"/>
        <w:ind w:firstLine="1977" w:firstLineChars="691"/>
        <w:rPr>
          <w:rFonts w:hint="eastAsia" w:ascii="宋体" w:hAnsi="宋体" w:eastAsia="宋体" w:cs="宋体"/>
          <w:b/>
          <w:bCs/>
          <w:color w:val="000000" w:themeColor="text1"/>
          <w:w w:val="95"/>
          <w:sz w:val="30"/>
          <w:szCs w:val="30"/>
          <w:highlight w:val="none"/>
          <w14:textFill>
            <w14:solidFill>
              <w14:schemeClr w14:val="tx1"/>
            </w14:solidFill>
          </w14:textFill>
        </w:rPr>
      </w:pPr>
    </w:p>
    <w:p w14:paraId="64B477C6">
      <w:pPr>
        <w:pStyle w:val="26"/>
        <w:snapToGrid w:val="0"/>
        <w:spacing w:line="360" w:lineRule="auto"/>
        <w:ind w:firstLine="1977" w:firstLineChars="691"/>
        <w:rPr>
          <w:rFonts w:hint="eastAsia" w:ascii="宋体" w:hAnsi="宋体" w:eastAsia="宋体" w:cs="宋体"/>
          <w:b/>
          <w:bCs/>
          <w:color w:val="000000" w:themeColor="text1"/>
          <w:w w:val="95"/>
          <w:sz w:val="30"/>
          <w:szCs w:val="30"/>
          <w:highlight w:val="none"/>
          <w14:textFill>
            <w14:solidFill>
              <w14:schemeClr w14:val="tx1"/>
            </w14:solidFill>
          </w14:textFill>
        </w:rPr>
      </w:pPr>
      <w:r>
        <w:rPr>
          <w:rFonts w:hint="eastAsia" w:ascii="宋体" w:hAnsi="宋体" w:eastAsia="宋体" w:cs="宋体"/>
          <w:b/>
          <w:bCs/>
          <w:color w:val="000000" w:themeColor="text1"/>
          <w:w w:val="95"/>
          <w:sz w:val="30"/>
          <w:szCs w:val="30"/>
          <w:highlight w:val="none"/>
          <w14:textFill>
            <w14:solidFill>
              <w14:schemeClr w14:val="tx1"/>
            </w14:solidFill>
          </w14:textFill>
        </w:rPr>
        <w:t>采 购 人：广西壮族自治区林业局</w:t>
      </w:r>
    </w:p>
    <w:p w14:paraId="3C0D0F7D">
      <w:pPr>
        <w:pStyle w:val="26"/>
        <w:snapToGrid w:val="0"/>
        <w:spacing w:line="360" w:lineRule="auto"/>
        <w:ind w:firstLine="1977" w:firstLineChars="691"/>
        <w:rPr>
          <w:rFonts w:hint="eastAsia" w:ascii="宋体" w:hAnsi="宋体" w:eastAsia="宋体" w:cs="宋体"/>
          <w:b/>
          <w:bCs/>
          <w:color w:val="000000" w:themeColor="text1"/>
          <w:w w:val="95"/>
          <w:sz w:val="30"/>
          <w:szCs w:val="30"/>
          <w:highlight w:val="none"/>
          <w14:textFill>
            <w14:solidFill>
              <w14:schemeClr w14:val="tx1"/>
            </w14:solidFill>
          </w14:textFill>
        </w:rPr>
      </w:pPr>
    </w:p>
    <w:p w14:paraId="019179B4">
      <w:pPr>
        <w:pStyle w:val="26"/>
        <w:snapToGrid w:val="0"/>
        <w:spacing w:line="360" w:lineRule="auto"/>
        <w:ind w:firstLine="1977" w:firstLineChars="691"/>
        <w:rPr>
          <w:rFonts w:hint="eastAsia" w:ascii="宋体" w:hAnsi="宋体" w:eastAsia="宋体" w:cs="宋体"/>
          <w:b/>
          <w:bCs/>
          <w:color w:val="000000" w:themeColor="text1"/>
          <w:w w:val="95"/>
          <w:sz w:val="30"/>
          <w:szCs w:val="30"/>
          <w:highlight w:val="none"/>
          <w:lang w:eastAsia="zh-CN"/>
          <w14:textFill>
            <w14:solidFill>
              <w14:schemeClr w14:val="tx1"/>
            </w14:solidFill>
          </w14:textFill>
        </w:rPr>
      </w:pPr>
      <w:r>
        <w:rPr>
          <w:rFonts w:hint="eastAsia" w:ascii="宋体" w:hAnsi="宋体" w:eastAsia="宋体" w:cs="宋体"/>
          <w:b/>
          <w:bCs/>
          <w:color w:val="000000" w:themeColor="text1"/>
          <w:w w:val="95"/>
          <w:sz w:val="30"/>
          <w:szCs w:val="30"/>
          <w:highlight w:val="none"/>
          <w14:textFill>
            <w14:solidFill>
              <w14:schemeClr w14:val="tx1"/>
            </w14:solidFill>
          </w14:textFill>
        </w:rPr>
        <w:t>采购代理机构：</w:t>
      </w:r>
      <w:r>
        <w:rPr>
          <w:rFonts w:hint="eastAsia" w:ascii="宋体" w:hAnsi="宋体" w:eastAsia="宋体" w:cs="宋体"/>
          <w:b/>
          <w:bCs/>
          <w:color w:val="000000" w:themeColor="text1"/>
          <w:w w:val="95"/>
          <w:sz w:val="30"/>
          <w:szCs w:val="30"/>
          <w:highlight w:val="none"/>
          <w:lang w:eastAsia="zh-CN"/>
          <w14:textFill>
            <w14:solidFill>
              <w14:schemeClr w14:val="tx1"/>
            </w14:solidFill>
          </w14:textFill>
        </w:rPr>
        <w:t>广西睿翼工程咨询有限公司</w:t>
      </w:r>
    </w:p>
    <w:p w14:paraId="24CB09FC">
      <w:pPr>
        <w:pStyle w:val="26"/>
        <w:snapToGrid w:val="0"/>
        <w:spacing w:line="360" w:lineRule="auto"/>
        <w:ind w:firstLine="1125" w:firstLineChars="393"/>
        <w:rPr>
          <w:rFonts w:hint="eastAsia" w:ascii="宋体" w:hAnsi="宋体" w:eastAsia="宋体" w:cs="宋体"/>
          <w:b/>
          <w:bCs/>
          <w:color w:val="000000" w:themeColor="text1"/>
          <w:w w:val="95"/>
          <w:sz w:val="30"/>
          <w:szCs w:val="30"/>
          <w:highlight w:val="none"/>
          <w14:textFill>
            <w14:solidFill>
              <w14:schemeClr w14:val="tx1"/>
            </w14:solidFill>
          </w14:textFill>
        </w:rPr>
      </w:pPr>
    </w:p>
    <w:p w14:paraId="225F7BF1">
      <w:pPr>
        <w:pStyle w:val="26"/>
        <w:snapToGrid w:val="0"/>
        <w:spacing w:line="360" w:lineRule="auto"/>
        <w:jc w:val="center"/>
        <w:rPr>
          <w:rFonts w:hint="eastAsia" w:ascii="宋体" w:hAnsi="宋体" w:eastAsia="宋体" w:cs="宋体"/>
          <w:color w:val="000000" w:themeColor="text1"/>
          <w:sz w:val="40"/>
          <w:highlight w:val="none"/>
          <w14:textFill>
            <w14:solidFill>
              <w14:schemeClr w14:val="tx1"/>
            </w14:solidFill>
          </w14:textFill>
        </w:rPr>
        <w:sectPr>
          <w:footerReference r:id="rId5" w:type="first"/>
          <w:headerReference r:id="rId3" w:type="default"/>
          <w:footerReference r:id="rId4" w:type="default"/>
          <w:pgSz w:w="11906" w:h="16838"/>
          <w:pgMar w:top="1361" w:right="1361" w:bottom="1361" w:left="1361" w:header="851" w:footer="567" w:gutter="0"/>
          <w:pgNumType w:fmt="decimal" w:start="1"/>
          <w:cols w:space="0" w:num="1"/>
          <w:rtlGutter w:val="0"/>
          <w:docGrid w:linePitch="312" w:charSpace="0"/>
        </w:sectPr>
      </w:pPr>
      <w:r>
        <w:rPr>
          <w:rFonts w:hint="eastAsia" w:ascii="宋体" w:hAnsi="宋体" w:eastAsia="宋体" w:cs="宋体"/>
          <w:b/>
          <w:bCs/>
          <w:color w:val="000000" w:themeColor="text1"/>
          <w:w w:val="95"/>
          <w:sz w:val="30"/>
          <w:szCs w:val="30"/>
          <w:highlight w:val="none"/>
          <w14:textFill>
            <w14:solidFill>
              <w14:schemeClr w14:val="tx1"/>
            </w14:solidFill>
          </w14:textFill>
        </w:rPr>
        <w:t>202</w:t>
      </w:r>
      <w:r>
        <w:rPr>
          <w:rFonts w:hint="eastAsia" w:ascii="宋体" w:hAnsi="宋体" w:eastAsia="宋体" w:cs="宋体"/>
          <w:b/>
          <w:bCs/>
          <w:color w:val="000000" w:themeColor="text1"/>
          <w:w w:val="95"/>
          <w:sz w:val="30"/>
          <w:szCs w:val="30"/>
          <w:highlight w:val="none"/>
          <w:lang w:val="en-US" w:eastAsia="zh-CN"/>
          <w14:textFill>
            <w14:solidFill>
              <w14:schemeClr w14:val="tx1"/>
            </w14:solidFill>
          </w14:textFill>
        </w:rPr>
        <w:t>5</w:t>
      </w:r>
      <w:r>
        <w:rPr>
          <w:rFonts w:hint="eastAsia" w:ascii="宋体" w:hAnsi="宋体" w:eastAsia="宋体" w:cs="宋体"/>
          <w:b/>
          <w:bCs/>
          <w:color w:val="000000" w:themeColor="text1"/>
          <w:w w:val="95"/>
          <w:sz w:val="30"/>
          <w:szCs w:val="30"/>
          <w:highlight w:val="none"/>
          <w14:textFill>
            <w14:solidFill>
              <w14:schemeClr w14:val="tx1"/>
            </w14:solidFill>
          </w14:textFill>
        </w:rPr>
        <w:t>年</w:t>
      </w:r>
      <w:r>
        <w:rPr>
          <w:rFonts w:hint="eastAsia" w:hAnsi="宋体" w:cs="宋体"/>
          <w:b/>
          <w:bCs/>
          <w:color w:val="000000" w:themeColor="text1"/>
          <w:w w:val="95"/>
          <w:sz w:val="30"/>
          <w:szCs w:val="30"/>
          <w:highlight w:val="none"/>
          <w:lang w:val="en-US" w:eastAsia="zh-CN"/>
          <w14:textFill>
            <w14:solidFill>
              <w14:schemeClr w14:val="tx1"/>
            </w14:solidFill>
          </w14:textFill>
        </w:rPr>
        <w:t>06</w:t>
      </w:r>
      <w:r>
        <w:rPr>
          <w:rFonts w:hint="eastAsia" w:ascii="宋体" w:hAnsi="宋体" w:eastAsia="宋体" w:cs="宋体"/>
          <w:b/>
          <w:bCs/>
          <w:color w:val="000000" w:themeColor="text1"/>
          <w:w w:val="95"/>
          <w:sz w:val="30"/>
          <w:szCs w:val="30"/>
          <w:highlight w:val="none"/>
          <w14:textFill>
            <w14:solidFill>
              <w14:schemeClr w14:val="tx1"/>
            </w14:solidFill>
          </w14:textFill>
        </w:rPr>
        <w:t>月</w:t>
      </w:r>
      <w:r>
        <w:rPr>
          <w:rFonts w:hint="eastAsia" w:hAnsi="宋体" w:cs="宋体"/>
          <w:b/>
          <w:bCs/>
          <w:color w:val="000000" w:themeColor="text1"/>
          <w:w w:val="95"/>
          <w:sz w:val="30"/>
          <w:szCs w:val="30"/>
          <w:highlight w:val="none"/>
          <w:lang w:val="en-US" w:eastAsia="zh-CN"/>
          <w14:textFill>
            <w14:solidFill>
              <w14:schemeClr w14:val="tx1"/>
            </w14:solidFill>
          </w14:textFill>
        </w:rPr>
        <w:t>23</w:t>
      </w:r>
      <w:r>
        <w:rPr>
          <w:rFonts w:hint="eastAsia" w:ascii="宋体" w:hAnsi="宋体" w:eastAsia="宋体" w:cs="宋体"/>
          <w:b/>
          <w:bCs/>
          <w:color w:val="000000" w:themeColor="text1"/>
          <w:w w:val="95"/>
          <w:sz w:val="30"/>
          <w:szCs w:val="30"/>
          <w:highlight w:val="none"/>
          <w14:textFill>
            <w14:solidFill>
              <w14:schemeClr w14:val="tx1"/>
            </w14:solidFill>
          </w14:textFill>
        </w:rPr>
        <w:t>日</w:t>
      </w:r>
    </w:p>
    <w:sdt>
      <w:sdtPr>
        <w:rPr>
          <w:rFonts w:hint="eastAsia" w:ascii="宋体" w:hAnsi="宋体" w:eastAsia="宋体" w:cs="宋体"/>
          <w:b/>
          <w:color w:val="000000" w:themeColor="text1"/>
          <w:sz w:val="44"/>
          <w:szCs w:val="44"/>
          <w:highlight w:val="none"/>
          <w:lang w:val="en-US" w:eastAsia="zh-CN"/>
          <w14:textFill>
            <w14:solidFill>
              <w14:schemeClr w14:val="tx1"/>
            </w14:solidFill>
          </w14:textFill>
        </w:rPr>
        <w:id w:val="147452744"/>
        <w15:color w:val="DBDBDB"/>
        <w:docPartObj>
          <w:docPartGallery w:val="Table of Contents"/>
          <w:docPartUnique/>
        </w:docPartObj>
      </w:sdtPr>
      <w:sdtEndPr>
        <w:rPr>
          <w:rFonts w:hint="eastAsia" w:ascii="宋体" w:hAnsi="宋体" w:eastAsia="宋体" w:cs="宋体"/>
          <w:b/>
          <w:color w:val="000000" w:themeColor="text1"/>
          <w:kern w:val="2"/>
          <w:sz w:val="21"/>
          <w:szCs w:val="24"/>
          <w:highlight w:val="none"/>
          <w:lang w:val="en-US" w:eastAsia="zh-CN" w:bidi="ar-SA"/>
          <w14:textFill>
            <w14:solidFill>
              <w14:schemeClr w14:val="tx1"/>
            </w14:solidFill>
          </w14:textFill>
        </w:rPr>
      </w:sdtEndPr>
      <w:sdtContent>
        <w:p w14:paraId="6DDACF05">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目</w:t>
          </w:r>
          <w:r>
            <w:rPr>
              <w:rFonts w:hint="eastAsia" w:ascii="宋体" w:hAnsi="宋体" w:eastAsia="宋体" w:cs="宋体"/>
              <w:b/>
              <w:color w:val="000000" w:themeColor="text1"/>
              <w:sz w:val="44"/>
              <w:szCs w:val="4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44"/>
              <w:szCs w:val="44"/>
              <w:highlight w:val="none"/>
              <w14:textFill>
                <w14:solidFill>
                  <w14:schemeClr w14:val="tx1"/>
                </w14:solidFill>
              </w14:textFill>
            </w:rPr>
            <w:t>录</w:t>
          </w:r>
        </w:p>
        <w:p w14:paraId="7D084E49">
          <w:pPr>
            <w:pStyle w:val="34"/>
            <w:tabs>
              <w:tab w:val="right" w:leader="dot" w:pos="9638"/>
              <w:tab w:val="clear" w:pos="8398"/>
            </w:tabs>
            <w:rPr>
              <w:sz w:val="28"/>
              <w:szCs w:val="28"/>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TOC \o "1-2" \h \u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_Toc25744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第一章 招标公告</w:t>
          </w:r>
          <w:r>
            <w:rPr>
              <w:sz w:val="28"/>
              <w:szCs w:val="28"/>
            </w:rPr>
            <w:tab/>
          </w:r>
          <w:r>
            <w:rPr>
              <w:sz w:val="28"/>
              <w:szCs w:val="28"/>
            </w:rPr>
            <w:fldChar w:fldCharType="begin"/>
          </w:r>
          <w:r>
            <w:rPr>
              <w:sz w:val="28"/>
              <w:szCs w:val="28"/>
            </w:rPr>
            <w:instrText xml:space="preserve"> PAGEREF _Toc25744 \h </w:instrText>
          </w:r>
          <w:r>
            <w:rPr>
              <w:sz w:val="28"/>
              <w:szCs w:val="28"/>
            </w:rPr>
            <w:fldChar w:fldCharType="separate"/>
          </w:r>
          <w:r>
            <w:rPr>
              <w:sz w:val="28"/>
              <w:szCs w:val="28"/>
            </w:rPr>
            <w:t>3</w:t>
          </w:r>
          <w:r>
            <w:rPr>
              <w:sz w:val="28"/>
              <w:szCs w:val="28"/>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34FA825C">
          <w:pPr>
            <w:pStyle w:val="34"/>
            <w:tabs>
              <w:tab w:val="right" w:leader="dot" w:pos="9638"/>
              <w:tab w:val="clear" w:pos="8398"/>
            </w:tabs>
            <w:rPr>
              <w:sz w:val="28"/>
              <w:szCs w:val="28"/>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_Toc21885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第二章  采购需求</w:t>
          </w:r>
          <w:r>
            <w:rPr>
              <w:sz w:val="28"/>
              <w:szCs w:val="28"/>
            </w:rPr>
            <w:tab/>
          </w:r>
          <w:r>
            <w:rPr>
              <w:sz w:val="28"/>
              <w:szCs w:val="28"/>
            </w:rPr>
            <w:fldChar w:fldCharType="begin"/>
          </w:r>
          <w:r>
            <w:rPr>
              <w:sz w:val="28"/>
              <w:szCs w:val="28"/>
            </w:rPr>
            <w:instrText xml:space="preserve"> PAGEREF _Toc21885 \h </w:instrText>
          </w:r>
          <w:r>
            <w:rPr>
              <w:sz w:val="28"/>
              <w:szCs w:val="28"/>
            </w:rPr>
            <w:fldChar w:fldCharType="separate"/>
          </w:r>
          <w:r>
            <w:rPr>
              <w:sz w:val="28"/>
              <w:szCs w:val="28"/>
            </w:rPr>
            <w:t>8</w:t>
          </w:r>
          <w:r>
            <w:rPr>
              <w:sz w:val="28"/>
              <w:szCs w:val="28"/>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15CBC826">
          <w:pPr>
            <w:pStyle w:val="34"/>
            <w:tabs>
              <w:tab w:val="right" w:leader="dot" w:pos="9638"/>
              <w:tab w:val="clear" w:pos="8398"/>
            </w:tabs>
            <w:rPr>
              <w:sz w:val="28"/>
              <w:szCs w:val="28"/>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_Toc18455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第三章  投标人须知</w:t>
          </w:r>
          <w:r>
            <w:rPr>
              <w:sz w:val="28"/>
              <w:szCs w:val="28"/>
            </w:rPr>
            <w:tab/>
          </w:r>
          <w:r>
            <w:rPr>
              <w:sz w:val="28"/>
              <w:szCs w:val="28"/>
            </w:rPr>
            <w:fldChar w:fldCharType="begin"/>
          </w:r>
          <w:r>
            <w:rPr>
              <w:sz w:val="28"/>
              <w:szCs w:val="28"/>
            </w:rPr>
            <w:instrText xml:space="preserve"> PAGEREF _Toc18455 \h </w:instrText>
          </w:r>
          <w:r>
            <w:rPr>
              <w:sz w:val="28"/>
              <w:szCs w:val="28"/>
            </w:rPr>
            <w:fldChar w:fldCharType="separate"/>
          </w:r>
          <w:r>
            <w:rPr>
              <w:sz w:val="28"/>
              <w:szCs w:val="28"/>
            </w:rPr>
            <w:t>35</w:t>
          </w:r>
          <w:r>
            <w:rPr>
              <w:sz w:val="28"/>
              <w:szCs w:val="28"/>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5A633F7E">
          <w:pPr>
            <w:pStyle w:val="34"/>
            <w:tabs>
              <w:tab w:val="right" w:leader="dot" w:pos="9638"/>
              <w:tab w:val="clear" w:pos="8398"/>
            </w:tabs>
            <w:rPr>
              <w:sz w:val="28"/>
              <w:szCs w:val="28"/>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_Toc6057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第四章  评标方法及评标标准</w:t>
          </w:r>
          <w:r>
            <w:rPr>
              <w:sz w:val="28"/>
              <w:szCs w:val="28"/>
            </w:rPr>
            <w:tab/>
          </w:r>
          <w:r>
            <w:rPr>
              <w:sz w:val="28"/>
              <w:szCs w:val="28"/>
            </w:rPr>
            <w:fldChar w:fldCharType="begin"/>
          </w:r>
          <w:r>
            <w:rPr>
              <w:sz w:val="28"/>
              <w:szCs w:val="28"/>
            </w:rPr>
            <w:instrText xml:space="preserve"> PAGEREF _Toc6057 \h </w:instrText>
          </w:r>
          <w:r>
            <w:rPr>
              <w:sz w:val="28"/>
              <w:szCs w:val="28"/>
            </w:rPr>
            <w:fldChar w:fldCharType="separate"/>
          </w:r>
          <w:r>
            <w:rPr>
              <w:sz w:val="28"/>
              <w:szCs w:val="28"/>
            </w:rPr>
            <w:t>59</w:t>
          </w:r>
          <w:r>
            <w:rPr>
              <w:sz w:val="28"/>
              <w:szCs w:val="28"/>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2425D805">
          <w:pPr>
            <w:pStyle w:val="34"/>
            <w:tabs>
              <w:tab w:val="right" w:leader="dot" w:pos="9638"/>
              <w:tab w:val="clear" w:pos="8398"/>
            </w:tabs>
            <w:rPr>
              <w:sz w:val="28"/>
              <w:szCs w:val="28"/>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_Toc1071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第五章  拟签订的合同文本</w:t>
          </w:r>
          <w:r>
            <w:rPr>
              <w:sz w:val="28"/>
              <w:szCs w:val="28"/>
            </w:rPr>
            <w:tab/>
          </w:r>
          <w:r>
            <w:rPr>
              <w:sz w:val="28"/>
              <w:szCs w:val="28"/>
            </w:rPr>
            <w:fldChar w:fldCharType="begin"/>
          </w:r>
          <w:r>
            <w:rPr>
              <w:sz w:val="28"/>
              <w:szCs w:val="28"/>
            </w:rPr>
            <w:instrText xml:space="preserve"> PAGEREF _Toc1071 \h </w:instrText>
          </w:r>
          <w:r>
            <w:rPr>
              <w:sz w:val="28"/>
              <w:szCs w:val="28"/>
            </w:rPr>
            <w:fldChar w:fldCharType="separate"/>
          </w:r>
          <w:r>
            <w:rPr>
              <w:sz w:val="28"/>
              <w:szCs w:val="28"/>
            </w:rPr>
            <w:t>66</w:t>
          </w:r>
          <w:r>
            <w:rPr>
              <w:sz w:val="28"/>
              <w:szCs w:val="28"/>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5656F851">
          <w:pPr>
            <w:pStyle w:val="34"/>
            <w:tabs>
              <w:tab w:val="right" w:leader="dot" w:pos="9638"/>
              <w:tab w:val="clear" w:pos="8398"/>
            </w:tabs>
            <w:rPr>
              <w:sz w:val="28"/>
              <w:szCs w:val="28"/>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_Toc10032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第六章　投标文件格式</w:t>
          </w:r>
          <w:r>
            <w:rPr>
              <w:sz w:val="28"/>
              <w:szCs w:val="28"/>
            </w:rPr>
            <w:tab/>
          </w:r>
          <w:r>
            <w:rPr>
              <w:sz w:val="28"/>
              <w:szCs w:val="28"/>
            </w:rPr>
            <w:fldChar w:fldCharType="begin"/>
          </w:r>
          <w:r>
            <w:rPr>
              <w:sz w:val="28"/>
              <w:szCs w:val="28"/>
            </w:rPr>
            <w:instrText xml:space="preserve"> PAGEREF _Toc10032 \h </w:instrText>
          </w:r>
          <w:r>
            <w:rPr>
              <w:sz w:val="28"/>
              <w:szCs w:val="28"/>
            </w:rPr>
            <w:fldChar w:fldCharType="separate"/>
          </w:r>
          <w:r>
            <w:rPr>
              <w:sz w:val="28"/>
              <w:szCs w:val="28"/>
            </w:rPr>
            <w:t>73</w:t>
          </w:r>
          <w:r>
            <w:rPr>
              <w:sz w:val="28"/>
              <w:szCs w:val="28"/>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568FD2EB">
          <w:pPr>
            <w:spacing w:beforeLines="50" w:line="480" w:lineRule="exact"/>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end"/>
          </w:r>
        </w:p>
      </w:sdtContent>
    </w:sdt>
    <w:p w14:paraId="1D7421EA">
      <w:pPr>
        <w:spacing w:beforeLines="50" w:line="480" w:lineRule="exact"/>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p>
    <w:p w14:paraId="2BF27740">
      <w:pPr>
        <w:spacing w:beforeLines="50" w:line="480" w:lineRule="exact"/>
        <w:rPr>
          <w:rFonts w:hint="eastAsia" w:ascii="宋体" w:hAnsi="宋体" w:eastAsia="宋体" w:cs="宋体"/>
          <w:color w:val="000000" w:themeColor="text1"/>
          <w:sz w:val="30"/>
          <w:highlight w:val="none"/>
          <w14:textFill>
            <w14:solidFill>
              <w14:schemeClr w14:val="tx1"/>
            </w14:solidFill>
          </w14:textFill>
        </w:rPr>
      </w:pPr>
    </w:p>
    <w:p w14:paraId="38E34C86">
      <w:pPr>
        <w:rPr>
          <w:rFonts w:hint="eastAsia" w:ascii="宋体" w:hAnsi="宋体" w:eastAsia="宋体" w:cs="宋体"/>
          <w:color w:val="000000" w:themeColor="text1"/>
          <w:highlight w:val="none"/>
          <w14:textFill>
            <w14:solidFill>
              <w14:schemeClr w14:val="tx1"/>
            </w14:solidFill>
          </w14:textFill>
        </w:rPr>
      </w:pPr>
    </w:p>
    <w:p w14:paraId="6F8B3F22">
      <w:pPr>
        <w:spacing w:beforeLines="50" w:line="480" w:lineRule="exact"/>
        <w:rPr>
          <w:rFonts w:hint="eastAsia" w:ascii="宋体" w:hAnsi="宋体" w:eastAsia="宋体" w:cs="宋体"/>
          <w:color w:val="000000" w:themeColor="text1"/>
          <w:sz w:val="30"/>
          <w:highlight w:val="none"/>
          <w14:textFill>
            <w14:solidFill>
              <w14:schemeClr w14:val="tx1"/>
            </w14:solidFill>
          </w14:textFill>
        </w:rPr>
      </w:pPr>
    </w:p>
    <w:p w14:paraId="388714EE">
      <w:pPr>
        <w:spacing w:beforeLines="50" w:line="480" w:lineRule="exact"/>
        <w:rPr>
          <w:rFonts w:hint="eastAsia" w:ascii="宋体" w:hAnsi="宋体" w:eastAsia="宋体" w:cs="宋体"/>
          <w:color w:val="000000" w:themeColor="text1"/>
          <w:sz w:val="30"/>
          <w:highlight w:val="none"/>
          <w14:textFill>
            <w14:solidFill>
              <w14:schemeClr w14:val="tx1"/>
            </w14:solidFill>
          </w14:textFill>
        </w:rPr>
      </w:pPr>
    </w:p>
    <w:p w14:paraId="349ACD2A">
      <w:pPr>
        <w:pStyle w:val="19"/>
        <w:rPr>
          <w:rFonts w:hint="eastAsia" w:ascii="宋体" w:hAnsi="宋体" w:eastAsia="宋体" w:cs="宋体"/>
          <w:b/>
          <w:bCs/>
          <w:color w:val="000000" w:themeColor="text1"/>
          <w:highlight w:val="none"/>
          <w14:textFill>
            <w14:solidFill>
              <w14:schemeClr w14:val="tx1"/>
            </w14:solidFill>
          </w14:textFill>
        </w:rPr>
      </w:pPr>
      <w:bookmarkStart w:id="0" w:name="_Toc254970630"/>
      <w:bookmarkStart w:id="1" w:name="_Toc254970489"/>
    </w:p>
    <w:p w14:paraId="24B0A9A2">
      <w:pPr>
        <w:pStyle w:val="4"/>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br w:type="page"/>
      </w:r>
      <w:bookmarkStart w:id="2" w:name="_Toc25174"/>
      <w:bookmarkStart w:id="3" w:name="_Toc25744"/>
      <w:r>
        <w:rPr>
          <w:rFonts w:hint="eastAsia" w:ascii="宋体" w:hAnsi="宋体" w:eastAsia="宋体" w:cs="宋体"/>
          <w:color w:val="000000" w:themeColor="text1"/>
          <w:sz w:val="40"/>
          <w:szCs w:val="40"/>
          <w:highlight w:val="none"/>
          <w14:textFill>
            <w14:solidFill>
              <w14:schemeClr w14:val="tx1"/>
            </w14:solidFill>
          </w14:textFill>
        </w:rPr>
        <w:t>第一章</w:t>
      </w:r>
      <w:bookmarkEnd w:id="0"/>
      <w:bookmarkEnd w:id="1"/>
      <w:bookmarkStart w:id="4" w:name="_Toc35393789"/>
      <w:bookmarkStart w:id="5" w:name="_Toc28359001"/>
      <w:r>
        <w:rPr>
          <w:rFonts w:hint="eastAsia" w:ascii="宋体" w:hAnsi="宋体" w:eastAsia="宋体" w:cs="宋体"/>
          <w:color w:val="000000" w:themeColor="text1"/>
          <w:sz w:val="40"/>
          <w:szCs w:val="40"/>
          <w:highlight w:val="none"/>
          <w14:textFill>
            <w14:solidFill>
              <w14:schemeClr w14:val="tx1"/>
            </w14:solidFill>
          </w14:textFill>
        </w:rPr>
        <w:t xml:space="preserve"> 招标公告</w:t>
      </w:r>
      <w:bookmarkEnd w:id="2"/>
      <w:bookmarkEnd w:id="3"/>
      <w:bookmarkEnd w:id="4"/>
      <w:bookmarkEnd w:id="5"/>
    </w:p>
    <w:p w14:paraId="3A1E5EC4">
      <w:pPr>
        <w:pStyle w:val="4"/>
        <w:tabs>
          <w:tab w:val="left" w:pos="0"/>
          <w:tab w:val="left" w:pos="3165"/>
          <w:tab w:val="center" w:pos="4153"/>
        </w:tabs>
        <w:autoSpaceDE w:val="0"/>
        <w:autoSpaceDN w:val="0"/>
        <w:adjustRightInd w:val="0"/>
        <w:spacing w:before="0" w:after="0" w:line="500" w:lineRule="exact"/>
        <w:jc w:val="center"/>
        <w:rPr>
          <w:rFonts w:hint="eastAsia" w:ascii="宋体" w:hAnsi="宋体" w:eastAsia="宋体" w:cs="宋体"/>
          <w:color w:val="000000" w:themeColor="text1"/>
          <w:sz w:val="36"/>
          <w:szCs w:val="21"/>
          <w:highlight w:val="none"/>
          <w14:textFill>
            <w14:solidFill>
              <w14:schemeClr w14:val="tx1"/>
            </w14:solidFill>
          </w14:textFill>
        </w:rPr>
      </w:pPr>
      <w:bookmarkStart w:id="6" w:name="_Toc32424"/>
      <w:bookmarkStart w:id="7" w:name="_Toc4263"/>
      <w:r>
        <w:rPr>
          <w:rFonts w:hint="eastAsia" w:ascii="宋体" w:hAnsi="宋体" w:eastAsia="宋体" w:cs="宋体"/>
          <w:bCs w:val="0"/>
          <w:color w:val="000000" w:themeColor="text1"/>
          <w:kern w:val="2"/>
          <w:sz w:val="28"/>
          <w:szCs w:val="36"/>
          <w:highlight w:val="none"/>
          <w:lang w:eastAsia="zh-CN"/>
          <w14:textFill>
            <w14:solidFill>
              <w14:schemeClr w14:val="tx1"/>
            </w14:solidFill>
          </w14:textFill>
        </w:rPr>
        <w:t>广西睿翼工程咨询有限公司</w:t>
      </w:r>
      <w:r>
        <w:rPr>
          <w:rFonts w:hint="eastAsia" w:ascii="宋体" w:hAnsi="宋体" w:eastAsia="宋体" w:cs="宋体"/>
          <w:bCs w:val="0"/>
          <w:color w:val="000000" w:themeColor="text1"/>
          <w:kern w:val="2"/>
          <w:sz w:val="28"/>
          <w:szCs w:val="36"/>
          <w:highlight w:val="none"/>
          <w14:textFill>
            <w14:solidFill>
              <w14:schemeClr w14:val="tx1"/>
            </w14:solidFill>
          </w14:textFill>
        </w:rPr>
        <w:t>关于</w:t>
      </w:r>
      <w:r>
        <w:rPr>
          <w:rFonts w:hint="eastAsia" w:ascii="宋体" w:hAnsi="宋体" w:eastAsia="宋体" w:cs="宋体"/>
          <w:bCs w:val="0"/>
          <w:color w:val="000000" w:themeColor="text1"/>
          <w:kern w:val="2"/>
          <w:sz w:val="28"/>
          <w:szCs w:val="36"/>
          <w:highlight w:val="none"/>
          <w:lang w:eastAsia="zh-CN"/>
          <w14:textFill>
            <w14:solidFill>
              <w14:schemeClr w14:val="tx1"/>
            </w14:solidFill>
          </w14:textFill>
        </w:rPr>
        <w:t>2025年林业森林防火物资采购项目</w:t>
      </w:r>
      <w:r>
        <w:rPr>
          <w:rFonts w:hint="eastAsia" w:ascii="宋体" w:hAnsi="宋体" w:eastAsia="宋体" w:cs="宋体"/>
          <w:bCs w:val="0"/>
          <w:color w:val="000000" w:themeColor="text1"/>
          <w:kern w:val="2"/>
          <w:sz w:val="28"/>
          <w:szCs w:val="36"/>
          <w:highlight w:val="none"/>
          <w14:textFill>
            <w14:solidFill>
              <w14:schemeClr w14:val="tx1"/>
            </w14:solidFill>
          </w14:textFill>
        </w:rPr>
        <w:t>（</w:t>
      </w:r>
      <w:r>
        <w:rPr>
          <w:rFonts w:hint="eastAsia" w:ascii="宋体" w:hAnsi="宋体" w:cs="宋体"/>
          <w:bCs w:val="0"/>
          <w:color w:val="000000" w:themeColor="text1"/>
          <w:kern w:val="2"/>
          <w:sz w:val="28"/>
          <w:szCs w:val="36"/>
          <w:highlight w:val="none"/>
          <w:lang w:val="en-US" w:eastAsia="zh-CN"/>
          <w14:textFill>
            <w14:solidFill>
              <w14:schemeClr w14:val="tx1"/>
            </w14:solidFill>
          </w14:textFill>
        </w:rPr>
        <w:t>项目编号：GXZC2025-G1-001591-GXRY</w:t>
      </w:r>
      <w:r>
        <w:rPr>
          <w:rFonts w:hint="eastAsia" w:ascii="宋体" w:hAnsi="宋体" w:eastAsia="宋体" w:cs="宋体"/>
          <w:bCs w:val="0"/>
          <w:color w:val="000000" w:themeColor="text1"/>
          <w:kern w:val="2"/>
          <w:sz w:val="28"/>
          <w:szCs w:val="36"/>
          <w:highlight w:val="none"/>
          <w14:textFill>
            <w14:solidFill>
              <w14:schemeClr w14:val="tx1"/>
            </w14:solidFill>
          </w14:textFill>
        </w:rPr>
        <w:t>）的公开招标公告</w:t>
      </w:r>
      <w:bookmarkEnd w:id="6"/>
      <w:bookmarkEnd w:id="7"/>
    </w:p>
    <w:p w14:paraId="3A706C20">
      <w:pPr>
        <w:spacing w:line="360" w:lineRule="auto"/>
        <w:rPr>
          <w:rFonts w:hint="eastAsia" w:ascii="宋体" w:hAnsi="宋体" w:eastAsia="宋体" w:cs="宋体"/>
          <w:color w:val="000000" w:themeColor="text1"/>
          <w:szCs w:val="21"/>
          <w:highlight w:val="none"/>
          <w14:textFill>
            <w14:solidFill>
              <w14:schemeClr w14:val="tx1"/>
            </w14:solidFill>
          </w14:textFill>
        </w:rPr>
      </w:pPr>
    </w:p>
    <w:p w14:paraId="7DC5D0D1">
      <w:pPr>
        <w:pBdr>
          <w:top w:val="single" w:color="auto" w:sz="4" w:space="1"/>
          <w:left w:val="single" w:color="auto" w:sz="4" w:space="4"/>
          <w:bottom w:val="single" w:color="auto" w:sz="4" w:space="1"/>
          <w:right w:val="single" w:color="auto" w:sz="4" w:space="14"/>
        </w:pBdr>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项目概况</w:t>
      </w:r>
    </w:p>
    <w:p w14:paraId="09E01487">
      <w:pPr>
        <w:pBdr>
          <w:top w:val="single" w:color="auto" w:sz="4" w:space="1"/>
          <w:left w:val="single" w:color="auto" w:sz="4" w:space="4"/>
          <w:bottom w:val="single" w:color="auto" w:sz="4" w:space="1"/>
          <w:right w:val="single" w:color="auto" w:sz="4" w:space="14"/>
        </w:pBdr>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lang w:eastAsia="zh-CN"/>
          <w14:textFill>
            <w14:solidFill>
              <w14:schemeClr w14:val="tx1"/>
            </w14:solidFill>
          </w14:textFill>
        </w:rPr>
        <w:t>2025年林业森林防火物资采购项目</w:t>
      </w:r>
      <w:r>
        <w:rPr>
          <w:rFonts w:hint="eastAsia" w:ascii="宋体" w:hAnsi="宋体" w:eastAsia="宋体" w:cs="宋体"/>
          <w:color w:val="000000" w:themeColor="text1"/>
          <w:szCs w:val="21"/>
          <w:highlight w:val="none"/>
          <w14:textFill>
            <w14:solidFill>
              <w14:schemeClr w14:val="tx1"/>
            </w14:solidFill>
          </w14:textFill>
        </w:rPr>
        <w:t>项目的潜在供应商应在广西政府采购云平台（https://www.gcy.zfcg.gxzf.gov.cn/）获取(下载)招标文件，并于</w:t>
      </w:r>
      <w:r>
        <w:rPr>
          <w:rFonts w:hint="eastAsia" w:ascii="宋体" w:hAnsi="宋体" w:eastAsia="宋体" w:cs="宋体"/>
          <w:color w:val="000000" w:themeColor="text1"/>
          <w:szCs w:val="21"/>
          <w:highlight w:val="none"/>
          <w:u w:val="single"/>
          <w:lang w:eastAsia="zh-CN"/>
          <w14:textFill>
            <w14:solidFill>
              <w14:schemeClr w14:val="tx1"/>
            </w14:solidFill>
          </w14:textFill>
        </w:rPr>
        <w:t>202</w:t>
      </w:r>
      <w:r>
        <w:rPr>
          <w:rFonts w:hint="eastAsia" w:ascii="宋体" w:hAnsi="宋体" w:eastAsia="宋体" w:cs="宋体"/>
          <w:color w:val="000000" w:themeColor="text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Cs w:val="21"/>
          <w:highlight w:val="none"/>
          <w:u w:val="single"/>
          <w:lang w:eastAsia="zh-CN"/>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07</w:t>
      </w:r>
      <w:r>
        <w:rPr>
          <w:rFonts w:hint="eastAsia" w:ascii="宋体" w:hAnsi="宋体" w:eastAsia="宋体" w:cs="宋体"/>
          <w:color w:val="000000" w:themeColor="text1"/>
          <w:szCs w:val="21"/>
          <w:highlight w:val="none"/>
          <w:u w:val="single"/>
          <w:lang w:eastAsia="zh-CN"/>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14</w:t>
      </w:r>
      <w:r>
        <w:rPr>
          <w:rFonts w:hint="eastAsia" w:ascii="宋体" w:hAnsi="宋体" w:eastAsia="宋体" w:cs="宋体"/>
          <w:color w:val="000000" w:themeColor="text1"/>
          <w:szCs w:val="21"/>
          <w:highlight w:val="none"/>
          <w:u w:val="single"/>
          <w:lang w:eastAsia="zh-CN"/>
          <w14:textFill>
            <w14:solidFill>
              <w14:schemeClr w14:val="tx1"/>
            </w14:solidFill>
          </w14:textFill>
        </w:rPr>
        <w:t>日9点30分</w:t>
      </w:r>
      <w:r>
        <w:rPr>
          <w:rFonts w:hint="eastAsia" w:ascii="宋体" w:hAnsi="宋体" w:eastAsia="宋体" w:cs="宋体"/>
          <w:color w:val="000000" w:themeColor="text1"/>
          <w:szCs w:val="21"/>
          <w:highlight w:val="none"/>
          <w14:textFill>
            <w14:solidFill>
              <w14:schemeClr w14:val="tx1"/>
            </w14:solidFill>
          </w14:textFill>
        </w:rPr>
        <w:t>（北京时间）前提交投标文件。</w:t>
      </w:r>
    </w:p>
    <w:p w14:paraId="274233F8">
      <w:pPr>
        <w:spacing w:line="360" w:lineRule="exact"/>
        <w:rPr>
          <w:rFonts w:hint="eastAsia" w:ascii="宋体" w:hAnsi="宋体" w:eastAsia="宋体" w:cs="宋体"/>
          <w:b/>
          <w:bCs/>
          <w:color w:val="000000" w:themeColor="text1"/>
          <w:szCs w:val="21"/>
          <w:highlight w:val="none"/>
          <w14:textFill>
            <w14:solidFill>
              <w14:schemeClr w14:val="tx1"/>
            </w14:solidFill>
          </w14:textFill>
        </w:rPr>
      </w:pPr>
      <w:bookmarkStart w:id="8" w:name="_Toc35393621"/>
      <w:bookmarkStart w:id="9" w:name="_Toc28359002"/>
      <w:bookmarkStart w:id="10" w:name="_Toc35393790"/>
      <w:bookmarkStart w:id="11" w:name="_Toc28359079"/>
      <w:bookmarkStart w:id="12" w:name="_Hlk24379207"/>
      <w:r>
        <w:rPr>
          <w:rFonts w:hint="eastAsia" w:ascii="宋体" w:hAnsi="宋体" w:eastAsia="宋体" w:cs="宋体"/>
          <w:b/>
          <w:bCs/>
          <w:color w:val="000000" w:themeColor="text1"/>
          <w:szCs w:val="21"/>
          <w:highlight w:val="none"/>
          <w14:textFill>
            <w14:solidFill>
              <w14:schemeClr w14:val="tx1"/>
            </w14:solidFill>
          </w14:textFill>
        </w:rPr>
        <w:t>一、项目基本情况</w:t>
      </w:r>
      <w:bookmarkEnd w:id="8"/>
      <w:bookmarkEnd w:id="9"/>
      <w:bookmarkEnd w:id="10"/>
      <w:bookmarkEnd w:id="11"/>
    </w:p>
    <w:p w14:paraId="6FC5B7ED">
      <w:pPr>
        <w:spacing w:line="360" w:lineRule="exact"/>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项目编号：GXZC2025-G1-001591-GXRY</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p w14:paraId="2D66E8C0">
      <w:pPr>
        <w:spacing w:line="360" w:lineRule="exact"/>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w:t>
      </w:r>
      <w:r>
        <w:rPr>
          <w:rFonts w:hint="eastAsia" w:ascii="宋体" w:hAnsi="宋体" w:eastAsia="宋体" w:cs="宋体"/>
          <w:bCs/>
          <w:color w:val="000000" w:themeColor="text1"/>
          <w:szCs w:val="21"/>
          <w:highlight w:val="none"/>
          <w:lang w:eastAsia="zh-CN"/>
          <w14:textFill>
            <w14:solidFill>
              <w14:schemeClr w14:val="tx1"/>
            </w14:solidFill>
          </w14:textFill>
        </w:rPr>
        <w:t>2025年林业森林防火物资采购项目</w:t>
      </w:r>
    </w:p>
    <w:bookmarkEnd w:id="12"/>
    <w:p w14:paraId="10C10647">
      <w:pPr>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预算金额：总金额</w:t>
      </w:r>
      <w:r>
        <w:rPr>
          <w:rFonts w:hint="eastAsia" w:ascii="宋体" w:hAnsi="宋体" w:eastAsia="宋体" w:cs="宋体"/>
          <w:color w:val="000000" w:themeColor="text1"/>
          <w:szCs w:val="21"/>
          <w:highlight w:val="none"/>
          <w:lang w:val="en-US" w:eastAsia="zh-CN"/>
          <w14:textFill>
            <w14:solidFill>
              <w14:schemeClr w14:val="tx1"/>
            </w14:solidFill>
          </w14:textFill>
        </w:rPr>
        <w:t>1505</w:t>
      </w:r>
      <w:r>
        <w:rPr>
          <w:rFonts w:hint="eastAsia" w:ascii="宋体" w:hAnsi="宋体" w:eastAsia="宋体" w:cs="宋体"/>
          <w:color w:val="000000" w:themeColor="text1"/>
          <w:szCs w:val="21"/>
          <w:highlight w:val="none"/>
          <w14:textFill>
            <w14:solidFill>
              <w14:schemeClr w14:val="tx1"/>
            </w14:solidFill>
          </w14:textFill>
        </w:rPr>
        <w:t xml:space="preserve"> 万元（其中1分标为640万元，2分标为349万元，3分标为166万元，4分标为350万元）</w:t>
      </w:r>
    </w:p>
    <w:p w14:paraId="770CAC2E">
      <w:pPr>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最高限价：总金额</w:t>
      </w:r>
      <w:r>
        <w:rPr>
          <w:rFonts w:hint="eastAsia" w:ascii="宋体" w:hAnsi="宋体" w:eastAsia="宋体" w:cs="宋体"/>
          <w:color w:val="000000" w:themeColor="text1"/>
          <w:szCs w:val="21"/>
          <w:highlight w:val="none"/>
          <w:lang w:val="en-US" w:eastAsia="zh-CN"/>
          <w14:textFill>
            <w14:solidFill>
              <w14:schemeClr w14:val="tx1"/>
            </w14:solidFill>
          </w14:textFill>
        </w:rPr>
        <w:t>1505</w:t>
      </w:r>
      <w:r>
        <w:rPr>
          <w:rFonts w:hint="eastAsia" w:ascii="宋体" w:hAnsi="宋体" w:eastAsia="宋体" w:cs="宋体"/>
          <w:color w:val="000000" w:themeColor="text1"/>
          <w:szCs w:val="21"/>
          <w:highlight w:val="none"/>
          <w14:textFill>
            <w14:solidFill>
              <w14:schemeClr w14:val="tx1"/>
            </w14:solidFill>
          </w14:textFill>
        </w:rPr>
        <w:t xml:space="preserve"> 万元（其中1分标为640万元，2分标为349万元，3分标为166万元，4分标为350万元）</w:t>
      </w:r>
    </w:p>
    <w:p w14:paraId="57690CFC">
      <w:pPr>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采购需求：</w:t>
      </w:r>
    </w:p>
    <w:tbl>
      <w:tblPr>
        <w:tblStyle w:val="48"/>
        <w:tblpPr w:leftFromText="180" w:rightFromText="180" w:vertAnchor="text" w:horzAnchor="page" w:tblpX="1609" w:tblpY="353"/>
        <w:tblOverlap w:val="never"/>
        <w:tblW w:w="88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
        <w:gridCol w:w="2148"/>
        <w:gridCol w:w="977"/>
        <w:gridCol w:w="973"/>
        <w:gridCol w:w="3808"/>
      </w:tblGrid>
      <w:tr w14:paraId="6D657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62" w:type="dxa"/>
            <w:vAlign w:val="center"/>
          </w:tcPr>
          <w:p w14:paraId="6FBD74AA">
            <w:pPr>
              <w:tabs>
                <w:tab w:val="left" w:pos="180"/>
                <w:tab w:val="left" w:pos="1620"/>
              </w:tabs>
              <w:spacing w:line="32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2148" w:type="dxa"/>
            <w:vAlign w:val="center"/>
          </w:tcPr>
          <w:p w14:paraId="32A757F2">
            <w:pPr>
              <w:tabs>
                <w:tab w:val="left" w:pos="180"/>
                <w:tab w:val="left" w:pos="1620"/>
              </w:tabs>
              <w:spacing w:line="32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标的的名称</w:t>
            </w:r>
          </w:p>
        </w:tc>
        <w:tc>
          <w:tcPr>
            <w:tcW w:w="977" w:type="dxa"/>
            <w:vAlign w:val="center"/>
          </w:tcPr>
          <w:p w14:paraId="1BA07CB1">
            <w:pPr>
              <w:tabs>
                <w:tab w:val="left" w:pos="180"/>
                <w:tab w:val="left" w:pos="1620"/>
              </w:tabs>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数量</w:t>
            </w:r>
          </w:p>
        </w:tc>
        <w:tc>
          <w:tcPr>
            <w:tcW w:w="973" w:type="dxa"/>
            <w:vAlign w:val="center"/>
          </w:tcPr>
          <w:p w14:paraId="23819C84">
            <w:pPr>
              <w:tabs>
                <w:tab w:val="left" w:pos="180"/>
                <w:tab w:val="left" w:pos="1620"/>
              </w:tabs>
              <w:spacing w:line="32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单位</w:t>
            </w:r>
          </w:p>
        </w:tc>
        <w:tc>
          <w:tcPr>
            <w:tcW w:w="3808" w:type="dxa"/>
            <w:vAlign w:val="center"/>
          </w:tcPr>
          <w:p w14:paraId="113096AA">
            <w:pPr>
              <w:tabs>
                <w:tab w:val="left" w:pos="180"/>
                <w:tab w:val="left" w:pos="1620"/>
              </w:tabs>
              <w:spacing w:line="32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简要技术需求或者服务要求</w:t>
            </w:r>
          </w:p>
        </w:tc>
      </w:tr>
      <w:tr w14:paraId="55DC9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trPr>
        <w:tc>
          <w:tcPr>
            <w:tcW w:w="962" w:type="dxa"/>
            <w:vAlign w:val="center"/>
          </w:tcPr>
          <w:p w14:paraId="24559E52">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1分标</w:t>
            </w:r>
          </w:p>
        </w:tc>
        <w:tc>
          <w:tcPr>
            <w:tcW w:w="2148" w:type="dxa"/>
            <w:vAlign w:val="center"/>
          </w:tcPr>
          <w:p w14:paraId="23B2E337">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便携式风力灭火机</w:t>
            </w:r>
          </w:p>
        </w:tc>
        <w:tc>
          <w:tcPr>
            <w:tcW w:w="977" w:type="dxa"/>
            <w:vAlign w:val="center"/>
          </w:tcPr>
          <w:p w14:paraId="3B603FA4">
            <w:pPr>
              <w:tabs>
                <w:tab w:val="left" w:pos="180"/>
                <w:tab w:val="left" w:pos="1620"/>
              </w:tabs>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4000</w:t>
            </w:r>
          </w:p>
        </w:tc>
        <w:tc>
          <w:tcPr>
            <w:tcW w:w="973" w:type="dxa"/>
            <w:vAlign w:val="center"/>
          </w:tcPr>
          <w:p w14:paraId="166FF439">
            <w:pPr>
              <w:tabs>
                <w:tab w:val="left" w:pos="180"/>
                <w:tab w:val="left" w:pos="1620"/>
              </w:tabs>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台</w:t>
            </w:r>
          </w:p>
        </w:tc>
        <w:tc>
          <w:tcPr>
            <w:tcW w:w="3808" w:type="dxa"/>
            <w:vAlign w:val="center"/>
          </w:tcPr>
          <w:p w14:paraId="63868BCA">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▲1、有效风力灭火距离：≥2.2m；</w:t>
            </w:r>
          </w:p>
          <w:p w14:paraId="09446E5A">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2、发动机功率：≥4kw/7000rpm；      具体详见采购文件第二章 采购需求</w:t>
            </w:r>
          </w:p>
        </w:tc>
      </w:tr>
      <w:tr w14:paraId="35631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962" w:type="dxa"/>
            <w:vMerge w:val="restart"/>
            <w:vAlign w:val="center"/>
          </w:tcPr>
          <w:p w14:paraId="2033F150">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2分标</w:t>
            </w:r>
          </w:p>
        </w:tc>
        <w:tc>
          <w:tcPr>
            <w:tcW w:w="2148" w:type="dxa"/>
            <w:vAlign w:val="center"/>
          </w:tcPr>
          <w:p w14:paraId="528178D0">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扑火战斗套装</w:t>
            </w:r>
            <w:r>
              <w:rPr>
                <w:rFonts w:hint="eastAsia" w:ascii="宋体" w:hAnsi="宋体" w:cs="宋体"/>
                <w:i w:val="0"/>
                <w:iCs w:val="0"/>
                <w:color w:val="000000"/>
                <w:kern w:val="0"/>
                <w:sz w:val="21"/>
                <w:szCs w:val="21"/>
                <w:u w:val="none"/>
                <w:lang w:val="en-US" w:eastAsia="zh-CN" w:bidi="ar"/>
              </w:rPr>
              <w:t xml:space="preserve">       （含扑火战斗服及腰带、扑火头盔及头套、扑火靴、扑火手套等）</w:t>
            </w:r>
          </w:p>
        </w:tc>
        <w:tc>
          <w:tcPr>
            <w:tcW w:w="977" w:type="dxa"/>
            <w:vAlign w:val="center"/>
          </w:tcPr>
          <w:p w14:paraId="746608CB">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300</w:t>
            </w:r>
          </w:p>
        </w:tc>
        <w:tc>
          <w:tcPr>
            <w:tcW w:w="973" w:type="dxa"/>
            <w:vAlign w:val="center"/>
          </w:tcPr>
          <w:p w14:paraId="4089FEEE">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套</w:t>
            </w:r>
          </w:p>
        </w:tc>
        <w:tc>
          <w:tcPr>
            <w:tcW w:w="3808" w:type="dxa"/>
            <w:vAlign w:val="center"/>
          </w:tcPr>
          <w:p w14:paraId="5A652803">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扑火服：1、颜色:桔红色,色号</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16-1462TPx(国际潘通色卡),色差△E≤3.5；</w:t>
            </w:r>
          </w:p>
          <w:p w14:paraId="3C699C9D">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具体详见采购文件第二章 采购需求</w:t>
            </w:r>
          </w:p>
        </w:tc>
      </w:tr>
      <w:tr w14:paraId="201B8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962" w:type="dxa"/>
            <w:vMerge w:val="continue"/>
            <w:vAlign w:val="center"/>
          </w:tcPr>
          <w:p w14:paraId="5FD589C7">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p>
        </w:tc>
        <w:tc>
          <w:tcPr>
            <w:tcW w:w="2148" w:type="dxa"/>
            <w:shd w:val="clear" w:color="auto" w:fill="auto"/>
            <w:vAlign w:val="center"/>
          </w:tcPr>
          <w:p w14:paraId="2303FE62">
            <w:pPr>
              <w:tabs>
                <w:tab w:val="left" w:pos="180"/>
                <w:tab w:val="left" w:pos="1620"/>
              </w:tabs>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背负式双动力      高压灭火水枪</w:t>
            </w:r>
          </w:p>
        </w:tc>
        <w:tc>
          <w:tcPr>
            <w:tcW w:w="977" w:type="dxa"/>
            <w:shd w:val="clear" w:color="auto" w:fill="auto"/>
            <w:vAlign w:val="center"/>
          </w:tcPr>
          <w:p w14:paraId="10260A26">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420</w:t>
            </w:r>
          </w:p>
        </w:tc>
        <w:tc>
          <w:tcPr>
            <w:tcW w:w="973" w:type="dxa"/>
            <w:shd w:val="clear" w:color="auto" w:fill="auto"/>
            <w:vAlign w:val="center"/>
          </w:tcPr>
          <w:p w14:paraId="13FE98C5">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台</w:t>
            </w:r>
          </w:p>
        </w:tc>
        <w:tc>
          <w:tcPr>
            <w:tcW w:w="3808" w:type="dxa"/>
            <w:shd w:val="clear" w:color="auto" w:fill="auto"/>
            <w:vAlign w:val="center"/>
          </w:tcPr>
          <w:p w14:paraId="076959F8">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桶装背负电动作业一体式，由电动铅酸蓄电池、枪体、连接管、水箱等部件组成；电池与电动水泵应均匀分布在水桶下面，安装有过滤网，背带应具有调节功能;</w:t>
            </w:r>
          </w:p>
          <w:p w14:paraId="256B2D65">
            <w:pPr>
              <w:tabs>
                <w:tab w:val="left" w:pos="180"/>
                <w:tab w:val="left" w:pos="1620"/>
              </w:tabs>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具体详见采购文件第二章 采购需求</w:t>
            </w:r>
          </w:p>
        </w:tc>
      </w:tr>
      <w:tr w14:paraId="010AE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962" w:type="dxa"/>
            <w:vMerge w:val="continue"/>
            <w:vAlign w:val="center"/>
          </w:tcPr>
          <w:p w14:paraId="55AECD37">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p>
        </w:tc>
        <w:tc>
          <w:tcPr>
            <w:tcW w:w="2148" w:type="dxa"/>
            <w:vAlign w:val="center"/>
          </w:tcPr>
          <w:p w14:paraId="140CAB5B">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二号工具</w:t>
            </w:r>
          </w:p>
        </w:tc>
        <w:tc>
          <w:tcPr>
            <w:tcW w:w="977" w:type="dxa"/>
            <w:vAlign w:val="center"/>
          </w:tcPr>
          <w:p w14:paraId="1E386762">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9120</w:t>
            </w:r>
          </w:p>
        </w:tc>
        <w:tc>
          <w:tcPr>
            <w:tcW w:w="973" w:type="dxa"/>
            <w:vAlign w:val="center"/>
          </w:tcPr>
          <w:p w14:paraId="08201EC8">
            <w:pPr>
              <w:tabs>
                <w:tab w:val="left" w:pos="180"/>
                <w:tab w:val="left" w:pos="1620"/>
              </w:tabs>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把</w:t>
            </w:r>
          </w:p>
        </w:tc>
        <w:tc>
          <w:tcPr>
            <w:tcW w:w="3808" w:type="dxa"/>
            <w:vAlign w:val="center"/>
          </w:tcPr>
          <w:p w14:paraId="5F8AA6C9">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手柄长度：1.5米   重量：1.25KG 手柄材质：直径约0.35cm；</w:t>
            </w:r>
          </w:p>
          <w:p w14:paraId="526542F7">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具体详见采购文件第二章 采购需求</w:t>
            </w:r>
          </w:p>
        </w:tc>
      </w:tr>
      <w:tr w14:paraId="617DD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962" w:type="dxa"/>
            <w:vMerge w:val="continue"/>
            <w:vAlign w:val="center"/>
          </w:tcPr>
          <w:p w14:paraId="1E989988">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p>
        </w:tc>
        <w:tc>
          <w:tcPr>
            <w:tcW w:w="2148" w:type="dxa"/>
            <w:vAlign w:val="center"/>
          </w:tcPr>
          <w:p w14:paraId="155EA1C6">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三号工具</w:t>
            </w:r>
          </w:p>
        </w:tc>
        <w:tc>
          <w:tcPr>
            <w:tcW w:w="977" w:type="dxa"/>
            <w:vAlign w:val="center"/>
          </w:tcPr>
          <w:p w14:paraId="347849E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973" w:type="dxa"/>
            <w:vAlign w:val="center"/>
          </w:tcPr>
          <w:p w14:paraId="3B2F116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3808" w:type="dxa"/>
            <w:vAlign w:val="center"/>
          </w:tcPr>
          <w:p w14:paraId="53BFCE71">
            <w:pPr>
              <w:widowControl/>
              <w:spacing w:line="360" w:lineRule="exact"/>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1、名称：便携式三号工具</w:t>
            </w:r>
          </w:p>
          <w:p w14:paraId="0A2409FB">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2、用途：</w:t>
            </w:r>
            <w:r>
              <w:rPr>
                <w:rFonts w:hint="eastAsia" w:ascii="宋体" w:hAnsi="宋体" w:eastAsia="宋体" w:cs="宋体"/>
                <w:color w:val="auto"/>
                <w:szCs w:val="21"/>
                <w:highlight w:val="none"/>
              </w:rPr>
              <w:t>野外拍打灭火。</w:t>
            </w:r>
          </w:p>
          <w:p w14:paraId="78EB95F1">
            <w:pPr>
              <w:tabs>
                <w:tab w:val="left" w:pos="180"/>
                <w:tab w:val="left" w:pos="1620"/>
              </w:tabs>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灭火拍:在长杆外壁套接有滑套，</w:t>
            </w:r>
          </w:p>
          <w:p w14:paraId="5CE345A0">
            <w:pPr>
              <w:tabs>
                <w:tab w:val="left" w:pos="180"/>
                <w:tab w:val="left" w:pos="1620"/>
              </w:tabs>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具体详见采购文件第二章 采购需求</w:t>
            </w:r>
          </w:p>
        </w:tc>
      </w:tr>
      <w:tr w14:paraId="071BD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962" w:type="dxa"/>
            <w:vMerge w:val="continue"/>
            <w:vAlign w:val="center"/>
          </w:tcPr>
          <w:p w14:paraId="31314118">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p>
        </w:tc>
        <w:tc>
          <w:tcPr>
            <w:tcW w:w="2148" w:type="dxa"/>
            <w:vAlign w:val="center"/>
          </w:tcPr>
          <w:p w14:paraId="276158D5">
            <w:pPr>
              <w:tabs>
                <w:tab w:val="left" w:pos="180"/>
                <w:tab w:val="left" w:pos="1620"/>
              </w:tabs>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default" w:ascii="宋体" w:hAnsi="宋体" w:eastAsia="宋体" w:cs="宋体"/>
                <w:color w:val="000000" w:themeColor="text1"/>
                <w:sz w:val="21"/>
                <w:szCs w:val="21"/>
                <w:highlight w:val="none"/>
                <w:lang w:val="en-US" w:eastAsia="zh-CN"/>
                <w14:textFill>
                  <w14:solidFill>
                    <w14:schemeClr w14:val="tx1"/>
                  </w14:solidFill>
                </w14:textFill>
              </w:rPr>
              <w:t>接力水泵</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（配水管、移动水池）</w:t>
            </w:r>
          </w:p>
        </w:tc>
        <w:tc>
          <w:tcPr>
            <w:tcW w:w="977" w:type="dxa"/>
            <w:vAlign w:val="center"/>
          </w:tcPr>
          <w:p w14:paraId="7E5107FB">
            <w:pPr>
              <w:tabs>
                <w:tab w:val="left" w:pos="180"/>
                <w:tab w:val="left" w:pos="1620"/>
              </w:tabs>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default" w:ascii="宋体" w:hAnsi="宋体" w:eastAsia="宋体" w:cs="宋体"/>
                <w:color w:val="000000" w:themeColor="text1"/>
                <w:sz w:val="21"/>
                <w:szCs w:val="21"/>
                <w:highlight w:val="none"/>
                <w:lang w:val="en-US" w:eastAsia="zh-CN"/>
                <w14:textFill>
                  <w14:solidFill>
                    <w14:schemeClr w14:val="tx1"/>
                  </w14:solidFill>
                </w14:textFill>
              </w:rPr>
              <w:t>27</w:t>
            </w:r>
          </w:p>
        </w:tc>
        <w:tc>
          <w:tcPr>
            <w:tcW w:w="973" w:type="dxa"/>
            <w:vAlign w:val="center"/>
          </w:tcPr>
          <w:p w14:paraId="61FF2A84">
            <w:pPr>
              <w:tabs>
                <w:tab w:val="left" w:pos="180"/>
                <w:tab w:val="left" w:pos="1620"/>
              </w:tabs>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default" w:ascii="宋体" w:hAnsi="宋体" w:eastAsia="宋体" w:cs="宋体"/>
                <w:color w:val="000000" w:themeColor="text1"/>
                <w:sz w:val="21"/>
                <w:szCs w:val="21"/>
                <w:highlight w:val="none"/>
                <w:lang w:val="en-US" w:eastAsia="zh-CN"/>
                <w14:textFill>
                  <w14:solidFill>
                    <w14:schemeClr w14:val="tx1"/>
                  </w14:solidFill>
                </w14:textFill>
              </w:rPr>
              <w:t>台</w:t>
            </w:r>
          </w:p>
        </w:tc>
        <w:tc>
          <w:tcPr>
            <w:tcW w:w="3808" w:type="dxa"/>
            <w:vAlign w:val="center"/>
          </w:tcPr>
          <w:p w14:paraId="326B866B">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1.发动机：二冲程水冷与空气</w:t>
            </w:r>
            <w:r>
              <w:rPr>
                <w:rFonts w:hint="eastAsia" w:ascii="宋体" w:hAnsi="宋体" w:cs="宋体"/>
                <w:color w:val="000000" w:themeColor="text1"/>
                <w:sz w:val="21"/>
                <w:szCs w:val="21"/>
                <w:highlight w:val="none"/>
                <w:lang w:eastAsia="zh-CN"/>
                <w14:textFill>
                  <w14:solidFill>
                    <w14:schemeClr w14:val="tx1"/>
                  </w14:solidFill>
                </w14:textFill>
              </w:rPr>
              <w:t>复合</w:t>
            </w:r>
            <w:r>
              <w:rPr>
                <w:rFonts w:hint="eastAsia" w:ascii="宋体" w:hAnsi="宋体" w:eastAsia="宋体" w:cs="宋体"/>
                <w:color w:val="000000" w:themeColor="text1"/>
                <w:sz w:val="21"/>
                <w:szCs w:val="21"/>
                <w:highlight w:val="none"/>
                <w14:textFill>
                  <w14:solidFill>
                    <w14:schemeClr w14:val="tx1"/>
                  </w14:solidFill>
                </w14:textFill>
              </w:rPr>
              <w:t>冷却汽油发动机，发动机排量≥110cc；</w:t>
            </w:r>
          </w:p>
          <w:p w14:paraId="6740687B">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2.整机净质量≤12kg；</w:t>
            </w:r>
          </w:p>
          <w:p w14:paraId="4DDEEDC4">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具体详见采购文件第二章 采购需求; </w:t>
            </w:r>
          </w:p>
        </w:tc>
      </w:tr>
      <w:tr w14:paraId="5E1F9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trPr>
        <w:tc>
          <w:tcPr>
            <w:tcW w:w="962" w:type="dxa"/>
            <w:vMerge w:val="restart"/>
            <w:vAlign w:val="center"/>
          </w:tcPr>
          <w:p w14:paraId="4EFD3384">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3分标</w:t>
            </w:r>
          </w:p>
        </w:tc>
        <w:tc>
          <w:tcPr>
            <w:tcW w:w="2148" w:type="dxa"/>
            <w:vAlign w:val="center"/>
          </w:tcPr>
          <w:p w14:paraId="214C5BED">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中型灭火无人机</w:t>
            </w:r>
            <w:r>
              <w:rPr>
                <w:rFonts w:hint="eastAsia" w:ascii="宋体" w:hAnsi="宋体" w:cs="宋体"/>
                <w:i w:val="0"/>
                <w:iCs w:val="0"/>
                <w:color w:val="000000"/>
                <w:kern w:val="0"/>
                <w:sz w:val="21"/>
                <w:szCs w:val="21"/>
                <w:highlight w:val="none"/>
                <w:u w:val="none"/>
                <w:lang w:val="en-US" w:eastAsia="zh-CN" w:bidi="ar"/>
              </w:rPr>
              <w:t xml:space="preserve">  （含无人机、吊装和灭火模块）</w:t>
            </w:r>
          </w:p>
        </w:tc>
        <w:tc>
          <w:tcPr>
            <w:tcW w:w="977" w:type="dxa"/>
            <w:vAlign w:val="center"/>
          </w:tcPr>
          <w:p w14:paraId="4C2C55D2">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3</w:t>
            </w:r>
          </w:p>
        </w:tc>
        <w:tc>
          <w:tcPr>
            <w:tcW w:w="973" w:type="dxa"/>
            <w:vAlign w:val="center"/>
          </w:tcPr>
          <w:p w14:paraId="1F6909DE">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套</w:t>
            </w:r>
          </w:p>
        </w:tc>
        <w:tc>
          <w:tcPr>
            <w:tcW w:w="3808" w:type="dxa"/>
            <w:vAlign w:val="center"/>
          </w:tcPr>
          <w:p w14:paraId="012773C7">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一、无人机整机</w:t>
            </w:r>
          </w:p>
          <w:p w14:paraId="74CB81DD">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1、整机重量：≤65kg（装配吊运系统)</w:t>
            </w:r>
          </w:p>
          <w:p w14:paraId="248F9EDD">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▲2、最大起飞重量：≤150 kg（装配吊运系统)</w:t>
            </w:r>
          </w:p>
          <w:p w14:paraId="7B811EE2">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具体详见采购文件第二章 采购需求</w:t>
            </w:r>
            <w:r>
              <w:rPr>
                <w:rFonts w:hint="eastAsia" w:ascii="仿宋" w:hAnsi="仿宋" w:eastAsia="仿宋" w:cs="仿宋"/>
                <w:color w:val="000000" w:themeColor="text1"/>
                <w:sz w:val="24"/>
                <w:highlight w:val="none"/>
                <w14:textFill>
                  <w14:solidFill>
                    <w14:schemeClr w14:val="tx1"/>
                  </w14:solidFill>
                </w14:textFill>
              </w:rPr>
              <w:t>;</w:t>
            </w:r>
          </w:p>
        </w:tc>
      </w:tr>
      <w:tr w14:paraId="7FEB9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trPr>
        <w:tc>
          <w:tcPr>
            <w:tcW w:w="962" w:type="dxa"/>
            <w:vMerge w:val="continue"/>
            <w:vAlign w:val="center"/>
          </w:tcPr>
          <w:p w14:paraId="360BE9EC">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p>
        </w:tc>
        <w:tc>
          <w:tcPr>
            <w:tcW w:w="2148" w:type="dxa"/>
            <w:vAlign w:val="center"/>
          </w:tcPr>
          <w:p w14:paraId="204E9ACE">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巡护无人机</w:t>
            </w:r>
            <w:r>
              <w:rPr>
                <w:rFonts w:hint="eastAsia" w:ascii="宋体" w:hAnsi="宋体" w:cs="宋体"/>
                <w:i w:val="0"/>
                <w:iCs w:val="0"/>
                <w:color w:val="000000"/>
                <w:kern w:val="0"/>
                <w:sz w:val="21"/>
                <w:szCs w:val="21"/>
                <w:highlight w:val="none"/>
                <w:u w:val="none"/>
                <w:lang w:val="en-US" w:eastAsia="zh-CN" w:bidi="ar"/>
              </w:rPr>
              <w:t xml:space="preserve">           （配备喊话器）</w:t>
            </w:r>
          </w:p>
        </w:tc>
        <w:tc>
          <w:tcPr>
            <w:tcW w:w="977" w:type="dxa"/>
            <w:vAlign w:val="center"/>
          </w:tcPr>
          <w:p w14:paraId="5DB76461">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50</w:t>
            </w:r>
          </w:p>
        </w:tc>
        <w:tc>
          <w:tcPr>
            <w:tcW w:w="973" w:type="dxa"/>
            <w:vAlign w:val="center"/>
          </w:tcPr>
          <w:p w14:paraId="4D0FB3AD">
            <w:pPr>
              <w:keepNext w:val="0"/>
              <w:keepLines w:val="0"/>
              <w:widowControl/>
              <w:suppressLineNumbers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台</w:t>
            </w:r>
          </w:p>
        </w:tc>
        <w:tc>
          <w:tcPr>
            <w:tcW w:w="3808" w:type="dxa"/>
            <w:vAlign w:val="center"/>
          </w:tcPr>
          <w:p w14:paraId="7A5F78B2">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一、飞行器</w:t>
            </w:r>
          </w:p>
          <w:p w14:paraId="697C5200">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▲1、起飞重量：≤ 1065 克</w:t>
            </w:r>
          </w:p>
          <w:p w14:paraId="57E467EA">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▲2、最大起飞重量：≤ 1265 克（机身安装桨叶保护罩、增强图传模块 3 及 microSD 卡）</w:t>
            </w:r>
          </w:p>
          <w:p w14:paraId="7C22EC3E">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具体详见采购文件第二章 采购需求</w:t>
            </w:r>
            <w:r>
              <w:rPr>
                <w:rFonts w:hint="eastAsia" w:ascii="仿宋" w:hAnsi="仿宋" w:eastAsia="仿宋" w:cs="仿宋"/>
                <w:color w:val="000000" w:themeColor="text1"/>
                <w:sz w:val="24"/>
                <w:highlight w:val="none"/>
                <w14:textFill>
                  <w14:solidFill>
                    <w14:schemeClr w14:val="tx1"/>
                  </w14:solidFill>
                </w14:textFill>
              </w:rPr>
              <w:t>;</w:t>
            </w:r>
          </w:p>
        </w:tc>
      </w:tr>
      <w:tr w14:paraId="3191F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trPr>
        <w:tc>
          <w:tcPr>
            <w:tcW w:w="962" w:type="dxa"/>
            <w:shd w:val="clear" w:color="auto" w:fill="auto"/>
            <w:vAlign w:val="center"/>
          </w:tcPr>
          <w:p w14:paraId="15A6D095">
            <w:pPr>
              <w:tabs>
                <w:tab w:val="left" w:pos="180"/>
                <w:tab w:val="left" w:pos="1620"/>
              </w:tabs>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4分标</w:t>
            </w:r>
          </w:p>
        </w:tc>
        <w:tc>
          <w:tcPr>
            <w:tcW w:w="2148" w:type="dxa"/>
            <w:shd w:val="clear" w:color="auto" w:fill="auto"/>
            <w:vAlign w:val="center"/>
          </w:tcPr>
          <w:p w14:paraId="7D58E742">
            <w:pPr>
              <w:tabs>
                <w:tab w:val="left" w:pos="180"/>
                <w:tab w:val="left" w:pos="1620"/>
              </w:tabs>
              <w:spacing w:line="38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default" w:ascii="宋体" w:hAnsi="宋体" w:eastAsia="宋体" w:cs="宋体"/>
                <w:color w:val="000000" w:themeColor="text1"/>
                <w:szCs w:val="21"/>
                <w:highlight w:val="none"/>
                <w:lang w:val="en-US" w:eastAsia="zh-CN"/>
                <w14:textFill>
                  <w14:solidFill>
                    <w14:schemeClr w14:val="tx1"/>
                  </w14:solidFill>
                </w14:textFill>
              </w:rPr>
              <w:t>日常巡护套装</w:t>
            </w:r>
            <w:r>
              <w:rPr>
                <w:rFonts w:hint="eastAsia" w:ascii="宋体" w:hAnsi="宋体" w:cs="宋体"/>
                <w:color w:val="000000" w:themeColor="text1"/>
                <w:szCs w:val="21"/>
                <w:highlight w:val="none"/>
                <w:lang w:val="en-US" w:eastAsia="zh-CN"/>
                <w14:textFill>
                  <w14:solidFill>
                    <w14:schemeClr w14:val="tx1"/>
                  </w14:solidFill>
                </w14:textFill>
              </w:rPr>
              <w:t xml:space="preserve">              （含芳纶阻燃服、帽子、迷彩鞋、挎包等）</w:t>
            </w:r>
          </w:p>
        </w:tc>
        <w:tc>
          <w:tcPr>
            <w:tcW w:w="977" w:type="dxa"/>
            <w:shd w:val="clear" w:color="auto" w:fill="auto"/>
            <w:vAlign w:val="center"/>
          </w:tcPr>
          <w:p w14:paraId="55ACAB8A">
            <w:pPr>
              <w:tabs>
                <w:tab w:val="left" w:pos="180"/>
                <w:tab w:val="left" w:pos="1620"/>
              </w:tabs>
              <w:spacing w:line="38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default" w:ascii="宋体" w:hAnsi="宋体" w:eastAsia="宋体" w:cs="宋体"/>
                <w:color w:val="000000" w:themeColor="text1"/>
                <w:szCs w:val="21"/>
                <w:highlight w:val="none"/>
                <w:lang w:val="en-US" w:eastAsia="zh-CN"/>
                <w14:textFill>
                  <w14:solidFill>
                    <w14:schemeClr w14:val="tx1"/>
                  </w14:solidFill>
                </w14:textFill>
              </w:rPr>
              <w:t>3500</w:t>
            </w:r>
          </w:p>
        </w:tc>
        <w:tc>
          <w:tcPr>
            <w:tcW w:w="973" w:type="dxa"/>
            <w:shd w:val="clear" w:color="auto" w:fill="auto"/>
            <w:vAlign w:val="center"/>
          </w:tcPr>
          <w:p w14:paraId="343F52C8">
            <w:pPr>
              <w:tabs>
                <w:tab w:val="left" w:pos="180"/>
                <w:tab w:val="left" w:pos="1620"/>
              </w:tabs>
              <w:spacing w:line="38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default" w:ascii="宋体" w:hAnsi="宋体" w:eastAsia="宋体" w:cs="宋体"/>
                <w:color w:val="000000" w:themeColor="text1"/>
                <w:szCs w:val="21"/>
                <w:highlight w:val="none"/>
                <w:lang w:val="en-US" w:eastAsia="zh-CN"/>
                <w14:textFill>
                  <w14:solidFill>
                    <w14:schemeClr w14:val="tx1"/>
                  </w14:solidFill>
                </w14:textFill>
              </w:rPr>
              <w:t>套</w:t>
            </w:r>
          </w:p>
        </w:tc>
        <w:tc>
          <w:tcPr>
            <w:tcW w:w="3808" w:type="dxa"/>
            <w:vAlign w:val="center"/>
          </w:tcPr>
          <w:p w14:paraId="769CDBF2">
            <w:pPr>
              <w:tabs>
                <w:tab w:val="left" w:pos="180"/>
                <w:tab w:val="left" w:pos="1620"/>
              </w:tabs>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b/>
                <w:bCs/>
                <w:color w:val="000000" w:themeColor="text1"/>
                <w:sz w:val="21"/>
                <w:szCs w:val="21"/>
                <w:highlight w:val="none"/>
                <w14:textFill>
                  <w14:solidFill>
                    <w14:schemeClr w14:val="tx1"/>
                  </w14:solidFill>
                </w14:textFill>
              </w:rPr>
              <w:t>芳纶阻燃服</w:t>
            </w:r>
          </w:p>
          <w:p w14:paraId="7B975BE5">
            <w:pPr>
              <w:tabs>
                <w:tab w:val="left" w:pos="180"/>
                <w:tab w:val="left" w:pos="162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1、颜色：桔红色，色号：16-1462TPx（国际潘通色卡），色差△E≤3.5；防火服面料采用100%芳纶纤维方格面料，具有阻燃、防静电、防火、防水、耐磨性能。</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t xml:space="preserve">具体详见采购文件第二章 采购需求; </w:t>
            </w:r>
          </w:p>
        </w:tc>
      </w:tr>
    </w:tbl>
    <w:p w14:paraId="159CF4F1">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000000" w:themeColor="text1"/>
          <w:szCs w:val="21"/>
          <w:highlight w:val="none"/>
          <w14:textFill>
            <w14:solidFill>
              <w14:schemeClr w14:val="tx1"/>
            </w14:solidFill>
          </w14:textFill>
        </w:rPr>
        <w:t>合同履行</w:t>
      </w:r>
      <w:r>
        <w:rPr>
          <w:rFonts w:hint="eastAsia" w:ascii="宋体" w:hAnsi="宋体" w:eastAsia="宋体" w:cs="宋体"/>
          <w:color w:val="auto"/>
          <w:szCs w:val="21"/>
          <w:highlight w:val="none"/>
        </w:rPr>
        <w:t>期限：1分标、</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分标</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4分标自合同签订之日起60天内</w:t>
      </w:r>
      <w:r>
        <w:rPr>
          <w:rFonts w:hint="eastAsia" w:ascii="宋体" w:hAnsi="宋体" w:eastAsia="宋体" w:cs="宋体"/>
          <w:color w:val="auto"/>
          <w:kern w:val="0"/>
          <w:szCs w:val="21"/>
          <w:highlight w:val="none"/>
        </w:rPr>
        <w:t>交付使用</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分标自合同签订之日起30天内</w:t>
      </w:r>
      <w:r>
        <w:rPr>
          <w:rFonts w:hint="eastAsia" w:ascii="宋体" w:hAnsi="宋体" w:eastAsia="宋体" w:cs="宋体"/>
          <w:color w:val="auto"/>
          <w:kern w:val="0"/>
          <w:szCs w:val="21"/>
          <w:highlight w:val="none"/>
        </w:rPr>
        <w:t>交付使用</w:t>
      </w:r>
      <w:r>
        <w:rPr>
          <w:rFonts w:hint="eastAsia" w:ascii="宋体" w:hAnsi="宋体" w:eastAsia="宋体" w:cs="宋体"/>
          <w:color w:val="auto"/>
          <w:szCs w:val="21"/>
          <w:highlight w:val="none"/>
        </w:rPr>
        <w:t>。</w:t>
      </w:r>
    </w:p>
    <w:p w14:paraId="1F7DA194">
      <w:pPr>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本标项（否）接受联合体投标。</w:t>
      </w:r>
    </w:p>
    <w:p w14:paraId="395FA796">
      <w:pPr>
        <w:spacing w:line="360" w:lineRule="exact"/>
        <w:rPr>
          <w:rFonts w:hint="eastAsia" w:ascii="宋体" w:hAnsi="宋体" w:eastAsia="宋体" w:cs="宋体"/>
          <w:b/>
          <w:bCs/>
          <w:color w:val="auto"/>
          <w:szCs w:val="21"/>
          <w:highlight w:val="none"/>
        </w:rPr>
      </w:pPr>
      <w:bookmarkStart w:id="13" w:name="_Toc28359080"/>
      <w:bookmarkStart w:id="14" w:name="_Toc28359003"/>
      <w:bookmarkStart w:id="15" w:name="_Toc35393622"/>
      <w:bookmarkStart w:id="16" w:name="_Toc35393791"/>
      <w:r>
        <w:rPr>
          <w:rFonts w:hint="eastAsia" w:ascii="宋体" w:hAnsi="宋体" w:eastAsia="宋体" w:cs="宋体"/>
          <w:b/>
          <w:bCs/>
          <w:color w:val="auto"/>
          <w:szCs w:val="21"/>
          <w:highlight w:val="none"/>
        </w:rPr>
        <w:t>二、申请人的资格要求：</w:t>
      </w:r>
      <w:bookmarkEnd w:id="13"/>
      <w:bookmarkEnd w:id="14"/>
      <w:bookmarkEnd w:id="15"/>
      <w:bookmarkEnd w:id="16"/>
    </w:p>
    <w:p w14:paraId="52150739">
      <w:pPr>
        <w:spacing w:line="360" w:lineRule="exact"/>
        <w:ind w:firstLine="420" w:firstLineChars="200"/>
        <w:rPr>
          <w:rFonts w:hint="eastAsia" w:ascii="宋体" w:hAnsi="宋体" w:eastAsia="宋体" w:cs="宋体"/>
          <w:color w:val="auto"/>
          <w:szCs w:val="21"/>
          <w:highlight w:val="none"/>
        </w:rPr>
      </w:pPr>
      <w:bookmarkStart w:id="17" w:name="_Hlk51746371"/>
      <w:r>
        <w:rPr>
          <w:rFonts w:hint="eastAsia" w:ascii="宋体" w:hAnsi="宋体" w:eastAsia="宋体" w:cs="宋体"/>
          <w:color w:val="auto"/>
          <w:szCs w:val="21"/>
          <w:highlight w:val="none"/>
        </w:rPr>
        <w:t>1、满足《中华人民共和国政府采购法》第二十二条规定；</w:t>
      </w:r>
    </w:p>
    <w:p w14:paraId="5C508978">
      <w:pPr>
        <w:spacing w:line="360" w:lineRule="exact"/>
        <w:ind w:firstLine="420" w:firstLineChars="200"/>
        <w:rPr>
          <w:rFonts w:hint="eastAsia" w:ascii="宋体" w:hAnsi="宋体" w:eastAsia="宋体" w:cs="宋体"/>
          <w:color w:val="auto"/>
          <w:szCs w:val="21"/>
          <w:highlight w:val="none"/>
        </w:rPr>
      </w:pPr>
      <w:bookmarkStart w:id="18" w:name="_Toc28359081"/>
      <w:bookmarkStart w:id="19" w:name="_Toc28359004"/>
      <w:r>
        <w:rPr>
          <w:rFonts w:hint="eastAsia" w:ascii="宋体" w:hAnsi="宋体" w:eastAsia="宋体" w:cs="宋体"/>
          <w:color w:val="auto"/>
          <w:szCs w:val="21"/>
          <w:highlight w:val="none"/>
        </w:rPr>
        <w:t>2、落实政府采购政策需满足的资格要求：</w:t>
      </w:r>
    </w:p>
    <w:p w14:paraId="0F883D06">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1分标、2分标、4分标专门面向中小企业采购（供应商应为中小微企业或监狱企业或残疾人福利性单位)</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分标</w:t>
      </w:r>
      <w:r>
        <w:rPr>
          <w:rFonts w:hint="eastAsia" w:ascii="宋体" w:hAnsi="宋体" w:cs="宋体"/>
          <w:color w:val="auto"/>
          <w:szCs w:val="21"/>
          <w:highlight w:val="none"/>
          <w:lang w:val="en-US" w:eastAsia="zh-CN"/>
        </w:rPr>
        <w:t>非</w:t>
      </w:r>
      <w:r>
        <w:rPr>
          <w:rFonts w:hint="eastAsia" w:ascii="宋体" w:hAnsi="宋体" w:eastAsia="宋体" w:cs="宋体"/>
          <w:color w:val="auto"/>
          <w:szCs w:val="21"/>
          <w:highlight w:val="none"/>
        </w:rPr>
        <w:t>专门面向中小企业采购</w:t>
      </w:r>
      <w:r>
        <w:rPr>
          <w:rFonts w:hint="eastAsia" w:ascii="宋体" w:hAnsi="宋体" w:cs="宋体"/>
          <w:color w:val="auto"/>
          <w:szCs w:val="21"/>
          <w:highlight w:val="none"/>
          <w:lang w:eastAsia="zh-CN"/>
        </w:rPr>
        <w:t>。</w:t>
      </w:r>
    </w:p>
    <w:p w14:paraId="46666379">
      <w:pPr>
        <w:spacing w:line="360" w:lineRule="exact"/>
        <w:ind w:firstLine="420" w:firstLineChars="200"/>
        <w:rPr>
          <w:rFonts w:hint="eastAsia" w:ascii="宋体" w:hAnsi="宋体" w:eastAsia="宋体" w:cs="宋体"/>
          <w:iCs/>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3、本项目的特定资格要求：</w:t>
      </w:r>
      <w:bookmarkEnd w:id="17"/>
      <w:bookmarkStart w:id="20" w:name="_Toc35393792"/>
      <w:bookmarkStart w:id="21" w:name="_Toc35393623"/>
      <w:r>
        <w:rPr>
          <w:rFonts w:hint="eastAsia" w:ascii="宋体" w:hAnsi="宋体" w:eastAsia="宋体" w:cs="宋体"/>
          <w:bCs/>
          <w:color w:val="000000" w:themeColor="text1"/>
          <w:kern w:val="0"/>
          <w:szCs w:val="21"/>
          <w:highlight w:val="none"/>
          <w14:textFill>
            <w14:solidFill>
              <w14:schemeClr w14:val="tx1"/>
            </w14:solidFill>
          </w14:textFill>
        </w:rPr>
        <w:t>无。 </w:t>
      </w:r>
    </w:p>
    <w:p w14:paraId="3CAA5C49">
      <w:pPr>
        <w:spacing w:line="360" w:lineRule="exac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三、获取招标文件</w:t>
      </w:r>
      <w:bookmarkEnd w:id="18"/>
      <w:bookmarkEnd w:id="19"/>
      <w:bookmarkEnd w:id="20"/>
      <w:bookmarkEnd w:id="21"/>
    </w:p>
    <w:p w14:paraId="07EC9BEB">
      <w:pPr>
        <w:spacing w:line="360" w:lineRule="exact"/>
        <w:ind w:firstLine="420" w:firstLineChars="200"/>
        <w:rPr>
          <w:rFonts w:hint="eastAsia" w:ascii="宋体" w:hAnsi="宋体" w:eastAsia="宋体" w:cs="宋体"/>
          <w:bCs/>
          <w:color w:val="000000" w:themeColor="text1"/>
          <w:kern w:val="0"/>
          <w:szCs w:val="21"/>
          <w:highlight w:val="none"/>
          <w14:textFill>
            <w14:solidFill>
              <w14:schemeClr w14:val="tx1"/>
            </w14:solidFill>
          </w14:textFill>
        </w:rPr>
      </w:pPr>
      <w:bookmarkStart w:id="22" w:name="_Toc28359005"/>
      <w:bookmarkStart w:id="23" w:name="_Toc28359082"/>
      <w:bookmarkStart w:id="24" w:name="_Toc35393624"/>
      <w:bookmarkStart w:id="25" w:name="_Toc35393793"/>
      <w:r>
        <w:rPr>
          <w:rFonts w:hint="eastAsia" w:ascii="宋体" w:hAnsi="宋体" w:eastAsia="宋体" w:cs="宋体"/>
          <w:bCs/>
          <w:color w:val="000000" w:themeColor="text1"/>
          <w:kern w:val="0"/>
          <w:szCs w:val="21"/>
          <w:highlight w:val="none"/>
          <w14:textFill>
            <w14:solidFill>
              <w14:schemeClr w14:val="tx1"/>
            </w14:solidFill>
          </w14:textFill>
        </w:rPr>
        <w:t>时间：</w:t>
      </w:r>
      <w:r>
        <w:rPr>
          <w:rFonts w:hint="eastAsia" w:ascii="宋体" w:hAnsi="宋体" w:eastAsia="宋体" w:cs="宋体"/>
          <w:color w:val="000000" w:themeColor="text1"/>
          <w:highlight w:val="none"/>
          <w:lang w:eastAsia="zh-CN"/>
          <w14:textFill>
            <w14:solidFill>
              <w14:schemeClr w14:val="tx1"/>
            </w14:solidFill>
          </w14:textFill>
        </w:rPr>
        <w:t>自本公告发布之日起至202</w:t>
      </w: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lang w:eastAsia="zh-CN"/>
          <w14:textFill>
            <w14:solidFill>
              <w14:schemeClr w14:val="tx1"/>
            </w14:solidFill>
          </w14:textFill>
        </w:rPr>
        <w:t>年</w:t>
      </w:r>
      <w:r>
        <w:rPr>
          <w:rFonts w:hint="eastAsia" w:ascii="宋体" w:hAnsi="宋体" w:cs="宋体"/>
          <w:color w:val="000000" w:themeColor="text1"/>
          <w:highlight w:val="none"/>
          <w:lang w:val="en-US" w:eastAsia="zh-CN"/>
          <w14:textFill>
            <w14:solidFill>
              <w14:schemeClr w14:val="tx1"/>
            </w14:solidFill>
          </w14:textFill>
        </w:rPr>
        <w:t>06</w:t>
      </w:r>
      <w:r>
        <w:rPr>
          <w:rFonts w:hint="eastAsia" w:ascii="宋体" w:hAnsi="宋体" w:eastAsia="宋体" w:cs="宋体"/>
          <w:color w:val="000000" w:themeColor="text1"/>
          <w:highlight w:val="none"/>
          <w:lang w:eastAsia="zh-CN"/>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30</w:t>
      </w:r>
      <w:r>
        <w:rPr>
          <w:rFonts w:hint="eastAsia" w:ascii="宋体" w:hAnsi="宋体" w:eastAsia="宋体" w:cs="宋体"/>
          <w:color w:val="000000" w:themeColor="text1"/>
          <w:highlight w:val="none"/>
          <w:lang w:eastAsia="zh-CN"/>
          <w14:textFill>
            <w14:solidFill>
              <w14:schemeClr w14:val="tx1"/>
            </w14:solidFill>
          </w14:textFill>
        </w:rPr>
        <w:t>日</w:t>
      </w:r>
      <w:r>
        <w:rPr>
          <w:rFonts w:hint="eastAsia" w:ascii="宋体" w:hAnsi="宋体" w:eastAsia="宋体" w:cs="宋体"/>
          <w:color w:val="000000" w:themeColor="text1"/>
          <w:szCs w:val="21"/>
          <w:highlight w:val="none"/>
          <w14:textFill>
            <w14:solidFill>
              <w14:schemeClr w14:val="tx1"/>
            </w14:solidFill>
          </w14:textFill>
        </w:rPr>
        <w:t>，每天上午00:00-12:00；下午1</w:t>
      </w: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00</w:t>
      </w:r>
      <w:r>
        <w:rPr>
          <w:rFonts w:hint="eastAsia" w:ascii="宋体" w:hAnsi="宋体" w:eastAsia="宋体" w:cs="宋体"/>
          <w:color w:val="000000" w:themeColor="text1"/>
          <w:szCs w:val="21"/>
          <w:highlight w:val="none"/>
          <w14:textFill>
            <w14:solidFill>
              <w14:schemeClr w14:val="tx1"/>
            </w14:solidFill>
          </w14:textFill>
        </w:rPr>
        <w:t>-23:</w:t>
      </w:r>
      <w:r>
        <w:rPr>
          <w:rFonts w:hint="eastAsia" w:ascii="宋体" w:hAnsi="宋体" w:eastAsia="宋体" w:cs="宋体"/>
          <w:color w:val="000000" w:themeColor="text1"/>
          <w:highlight w:val="none"/>
          <w14:textFill>
            <w14:solidFill>
              <w14:schemeClr w14:val="tx1"/>
            </w14:solidFill>
          </w14:textFill>
        </w:rPr>
        <w:t>59</w:t>
      </w:r>
      <w:r>
        <w:rPr>
          <w:rFonts w:hint="eastAsia" w:ascii="宋体" w:hAnsi="宋体" w:eastAsia="宋体" w:cs="宋体"/>
          <w:color w:val="000000" w:themeColor="text1"/>
          <w:szCs w:val="21"/>
          <w:highlight w:val="none"/>
          <w14:textFill>
            <w14:solidFill>
              <w14:schemeClr w14:val="tx1"/>
            </w14:solidFill>
          </w14:textFill>
        </w:rPr>
        <w:t>（北京时间）</w:t>
      </w:r>
    </w:p>
    <w:p w14:paraId="264B896D">
      <w:pPr>
        <w:spacing w:line="360" w:lineRule="exact"/>
        <w:ind w:firstLine="420" w:firstLineChars="200"/>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地点：广西政府采购云平台（https://www.gcy.zfcg.gxzf.gov.cn/）</w:t>
      </w:r>
    </w:p>
    <w:p w14:paraId="4B6D985A">
      <w:pPr>
        <w:spacing w:line="360" w:lineRule="exact"/>
        <w:ind w:firstLine="420" w:firstLineChars="200"/>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方式：网上下载。本项目不发放纸质文件，供应商应自行在</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kern w:val="0"/>
          <w:szCs w:val="21"/>
          <w:highlight w:val="none"/>
          <w14:textFill>
            <w14:solidFill>
              <w14:schemeClr w14:val="tx1"/>
            </w14:solidFill>
          </w14:textFill>
        </w:rPr>
        <w:t>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p>
    <w:p w14:paraId="3825226A">
      <w:pPr>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售价：0元。</w:t>
      </w:r>
    </w:p>
    <w:p w14:paraId="7A8EB8A0">
      <w:pPr>
        <w:spacing w:line="360" w:lineRule="exac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四、提交投标文件</w:t>
      </w:r>
      <w:bookmarkEnd w:id="22"/>
      <w:bookmarkEnd w:id="23"/>
      <w:r>
        <w:rPr>
          <w:rFonts w:hint="eastAsia" w:ascii="宋体" w:hAnsi="宋体" w:eastAsia="宋体" w:cs="宋体"/>
          <w:b/>
          <w:bCs/>
          <w:color w:val="000000" w:themeColor="text1"/>
          <w:szCs w:val="21"/>
          <w:highlight w:val="none"/>
          <w14:textFill>
            <w14:solidFill>
              <w14:schemeClr w14:val="tx1"/>
            </w14:solidFill>
          </w14:textFill>
        </w:rPr>
        <w:t>截止时间、开标时间和地点</w:t>
      </w:r>
      <w:bookmarkEnd w:id="24"/>
      <w:bookmarkEnd w:id="25"/>
    </w:p>
    <w:p w14:paraId="39B48688">
      <w:pPr>
        <w:spacing w:line="360" w:lineRule="exact"/>
        <w:ind w:firstLine="420" w:firstLineChars="200"/>
        <w:rPr>
          <w:rFonts w:hint="eastAsia" w:ascii="宋体" w:hAnsi="宋体" w:eastAsia="宋体" w:cs="宋体"/>
          <w:bCs/>
          <w:color w:val="000000" w:themeColor="text1"/>
          <w:kern w:val="0"/>
          <w:szCs w:val="21"/>
          <w:highlight w:val="none"/>
          <w14:textFill>
            <w14:solidFill>
              <w14:schemeClr w14:val="tx1"/>
            </w14:solidFill>
          </w14:textFill>
        </w:rPr>
      </w:pPr>
      <w:bookmarkStart w:id="26" w:name="_Toc35393625"/>
      <w:bookmarkStart w:id="27" w:name="_Toc28359084"/>
      <w:bookmarkStart w:id="28" w:name="_Toc35393794"/>
      <w:bookmarkStart w:id="29" w:name="_Toc28359007"/>
      <w:r>
        <w:rPr>
          <w:rFonts w:hint="eastAsia" w:ascii="宋体" w:hAnsi="宋体" w:eastAsia="宋体" w:cs="宋体"/>
          <w:bCs/>
          <w:color w:val="000000" w:themeColor="text1"/>
          <w:kern w:val="0"/>
          <w:szCs w:val="21"/>
          <w:highlight w:val="none"/>
          <w14:textFill>
            <w14:solidFill>
              <w14:schemeClr w14:val="tx1"/>
            </w14:solidFill>
          </w14:textFill>
        </w:rPr>
        <w:t>提交投标文件截止时间：2025年</w:t>
      </w:r>
      <w:r>
        <w:rPr>
          <w:rFonts w:hint="eastAsia" w:ascii="宋体" w:hAnsi="宋体" w:cs="宋体"/>
          <w:bCs/>
          <w:color w:val="000000" w:themeColor="text1"/>
          <w:kern w:val="0"/>
          <w:szCs w:val="21"/>
          <w:highlight w:val="none"/>
          <w:lang w:val="en-US" w:eastAsia="zh-CN"/>
          <w14:textFill>
            <w14:solidFill>
              <w14:schemeClr w14:val="tx1"/>
            </w14:solidFill>
          </w14:textFill>
        </w:rPr>
        <w:t>07</w:t>
      </w:r>
      <w:r>
        <w:rPr>
          <w:rFonts w:hint="eastAsia" w:ascii="宋体" w:hAnsi="宋体" w:eastAsia="宋体" w:cs="宋体"/>
          <w:bCs/>
          <w:color w:val="000000" w:themeColor="text1"/>
          <w:kern w:val="0"/>
          <w:szCs w:val="21"/>
          <w:highlight w:val="none"/>
          <w14:textFill>
            <w14:solidFill>
              <w14:schemeClr w14:val="tx1"/>
            </w14:solidFill>
          </w14:textFill>
        </w:rPr>
        <w:t>月</w:t>
      </w:r>
      <w:r>
        <w:rPr>
          <w:rFonts w:hint="eastAsia" w:ascii="宋体" w:hAnsi="宋体" w:cs="宋体"/>
          <w:bCs/>
          <w:color w:val="000000" w:themeColor="text1"/>
          <w:kern w:val="0"/>
          <w:szCs w:val="21"/>
          <w:highlight w:val="none"/>
          <w:lang w:val="en-US" w:eastAsia="zh-CN"/>
          <w14:textFill>
            <w14:solidFill>
              <w14:schemeClr w14:val="tx1"/>
            </w14:solidFill>
          </w14:textFill>
        </w:rPr>
        <w:t>14</w:t>
      </w:r>
      <w:r>
        <w:rPr>
          <w:rFonts w:hint="eastAsia" w:ascii="宋体" w:hAnsi="宋体" w:eastAsia="宋体" w:cs="宋体"/>
          <w:bCs/>
          <w:color w:val="000000" w:themeColor="text1"/>
          <w:kern w:val="0"/>
          <w:szCs w:val="21"/>
          <w:highlight w:val="none"/>
          <w14:textFill>
            <w14:solidFill>
              <w14:schemeClr w14:val="tx1"/>
            </w14:solidFill>
          </w14:textFill>
        </w:rPr>
        <w:t>日 09:30（北京时间）</w:t>
      </w:r>
    </w:p>
    <w:p w14:paraId="0489D837">
      <w:pPr>
        <w:spacing w:line="360" w:lineRule="exact"/>
        <w:ind w:firstLine="420" w:firstLineChars="200"/>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 xml:space="preserve">投标地点（网址）：本项目为全流程电子化政府采购项目，没有现场递交投标文件及现场开标环节，通过广西政府采购云平台（https://www.gcy.zfcg.gxzf.gov.cn/）实行在线电子投标，供应商应先安装广西政府采购云平台新版客户端（新版客户端下载路径：广西政府采购网（访问地址http://zfcg.gxzf.gov.cn/）—办事服务—下载专区），并按照本项目招标文件和广西政府采购云平台的要求编制、加密后在投标截止时间前通过网络上传至广西政府采购云平台，投标人在广西政府采购云平台提交电子版投标文件时，请填写参加远程开标活动经办人联系方式。 </w:t>
      </w:r>
    </w:p>
    <w:p w14:paraId="7251B1CD">
      <w:pPr>
        <w:spacing w:line="360" w:lineRule="exact"/>
        <w:ind w:firstLine="420" w:firstLineChars="200"/>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开标时间：2025年</w:t>
      </w:r>
      <w:r>
        <w:rPr>
          <w:rFonts w:hint="eastAsia" w:ascii="宋体" w:hAnsi="宋体" w:cs="宋体"/>
          <w:bCs/>
          <w:color w:val="000000" w:themeColor="text1"/>
          <w:kern w:val="0"/>
          <w:szCs w:val="21"/>
          <w:highlight w:val="none"/>
          <w:lang w:val="en-US" w:eastAsia="zh-CN"/>
          <w14:textFill>
            <w14:solidFill>
              <w14:schemeClr w14:val="tx1"/>
            </w14:solidFill>
          </w14:textFill>
        </w:rPr>
        <w:t>07</w:t>
      </w:r>
      <w:r>
        <w:rPr>
          <w:rFonts w:hint="eastAsia" w:ascii="宋体" w:hAnsi="宋体" w:eastAsia="宋体" w:cs="宋体"/>
          <w:bCs/>
          <w:color w:val="000000" w:themeColor="text1"/>
          <w:kern w:val="0"/>
          <w:szCs w:val="21"/>
          <w:highlight w:val="none"/>
          <w14:textFill>
            <w14:solidFill>
              <w14:schemeClr w14:val="tx1"/>
            </w14:solidFill>
          </w14:textFill>
        </w:rPr>
        <w:t>月</w:t>
      </w:r>
      <w:r>
        <w:rPr>
          <w:rFonts w:hint="eastAsia" w:ascii="宋体" w:hAnsi="宋体" w:cs="宋体"/>
          <w:bCs/>
          <w:color w:val="000000" w:themeColor="text1"/>
          <w:kern w:val="0"/>
          <w:szCs w:val="21"/>
          <w:highlight w:val="none"/>
          <w:lang w:val="en-US" w:eastAsia="zh-CN"/>
          <w14:textFill>
            <w14:solidFill>
              <w14:schemeClr w14:val="tx1"/>
            </w14:solidFill>
          </w14:textFill>
        </w:rPr>
        <w:t>14</w:t>
      </w:r>
      <w:r>
        <w:rPr>
          <w:rFonts w:hint="eastAsia" w:ascii="宋体" w:hAnsi="宋体" w:eastAsia="宋体" w:cs="宋体"/>
          <w:bCs/>
          <w:color w:val="000000" w:themeColor="text1"/>
          <w:kern w:val="0"/>
          <w:szCs w:val="21"/>
          <w:highlight w:val="none"/>
          <w14:textFill>
            <w14:solidFill>
              <w14:schemeClr w14:val="tx1"/>
            </w14:solidFill>
          </w14:textFill>
        </w:rPr>
        <w:t xml:space="preserve">日 09:30 </w:t>
      </w:r>
    </w:p>
    <w:p w14:paraId="1BA324EA">
      <w:pPr>
        <w:spacing w:line="360" w:lineRule="exact"/>
        <w:ind w:firstLine="420" w:firstLineChars="200"/>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 xml:space="preserve">开标地点：本项目将在广西政府采购云平台（https://www.gcy.zfcg.gxzf.gov.cn/）电子开标大厅解密、开标。 </w:t>
      </w:r>
    </w:p>
    <w:p w14:paraId="6284E471">
      <w:pPr>
        <w:spacing w:line="360" w:lineRule="exact"/>
        <w:ind w:firstLine="42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五、公告期限</w:t>
      </w:r>
      <w:bookmarkEnd w:id="26"/>
      <w:bookmarkEnd w:id="27"/>
      <w:bookmarkEnd w:id="28"/>
      <w:bookmarkEnd w:id="29"/>
    </w:p>
    <w:p w14:paraId="0E2974F9">
      <w:pPr>
        <w:spacing w:line="36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自本公告发布之日起5个工作日。</w:t>
      </w:r>
    </w:p>
    <w:p w14:paraId="301E0094">
      <w:pPr>
        <w:spacing w:line="360" w:lineRule="exact"/>
        <w:rPr>
          <w:rFonts w:hint="eastAsia" w:ascii="宋体" w:hAnsi="宋体" w:eastAsia="宋体" w:cs="宋体"/>
          <w:b/>
          <w:bCs/>
          <w:color w:val="000000" w:themeColor="text1"/>
          <w:szCs w:val="21"/>
          <w:highlight w:val="none"/>
          <w14:textFill>
            <w14:solidFill>
              <w14:schemeClr w14:val="tx1"/>
            </w14:solidFill>
          </w14:textFill>
        </w:rPr>
      </w:pPr>
      <w:bookmarkStart w:id="30" w:name="_Toc35393795"/>
      <w:bookmarkStart w:id="31" w:name="_Toc35393626"/>
      <w:r>
        <w:rPr>
          <w:rFonts w:hint="eastAsia" w:ascii="宋体" w:hAnsi="宋体" w:eastAsia="宋体" w:cs="宋体"/>
          <w:b/>
          <w:bCs/>
          <w:color w:val="000000" w:themeColor="text1"/>
          <w:szCs w:val="21"/>
          <w:highlight w:val="none"/>
          <w14:textFill>
            <w14:solidFill>
              <w14:schemeClr w14:val="tx1"/>
            </w14:solidFill>
          </w14:textFill>
        </w:rPr>
        <w:t>六、其他补充事宜</w:t>
      </w:r>
      <w:bookmarkEnd w:id="30"/>
      <w:bookmarkEnd w:id="31"/>
    </w:p>
    <w:p w14:paraId="7ECDA4F0">
      <w:pPr>
        <w:spacing w:line="360" w:lineRule="exact"/>
        <w:rPr>
          <w:rFonts w:hint="eastAsia" w:ascii="宋体" w:hAnsi="宋体" w:eastAsia="宋体" w:cs="宋体"/>
          <w:color w:val="000000" w:themeColor="text1"/>
          <w:kern w:val="0"/>
          <w:szCs w:val="21"/>
          <w:highlight w:val="none"/>
          <w:lang w:eastAsia="zh-CN"/>
          <w14:textFill>
            <w14:solidFill>
              <w14:schemeClr w14:val="tx1"/>
            </w14:solidFill>
          </w14:textFill>
        </w:rPr>
      </w:pPr>
      <w:bookmarkStart w:id="32" w:name="_Hlk37429674"/>
      <w:bookmarkStart w:id="33" w:name="_Toc35393796"/>
      <w:bookmarkStart w:id="34" w:name="_Toc28359008"/>
      <w:bookmarkStart w:id="35" w:name="_Toc35393627"/>
      <w:bookmarkStart w:id="36" w:name="_Toc28359085"/>
      <w:r>
        <w:rPr>
          <w:rFonts w:hint="eastAsia" w:ascii="宋体" w:hAnsi="宋体" w:eastAsia="宋体" w:cs="宋体"/>
          <w:color w:val="000000" w:themeColor="text1"/>
          <w:kern w:val="0"/>
          <w:szCs w:val="21"/>
          <w:highlight w:val="none"/>
          <w14:textFill>
            <w14:solidFill>
              <w14:schemeClr w14:val="tx1"/>
            </w14:solidFill>
          </w14:textFill>
        </w:rPr>
        <w:t>1、投标保证金（人民币）：</w:t>
      </w:r>
      <w:r>
        <w:rPr>
          <w:rFonts w:hint="eastAsia" w:ascii="宋体" w:hAnsi="宋体" w:eastAsia="宋体" w:cs="宋体"/>
          <w:color w:val="000000" w:themeColor="text1"/>
          <w:szCs w:val="21"/>
          <w:highlight w:val="none"/>
          <w14:textFill>
            <w14:solidFill>
              <w14:schemeClr w14:val="tx1"/>
            </w14:solidFill>
          </w14:textFill>
        </w:rPr>
        <w:t>1分标：</w:t>
      </w:r>
      <w:r>
        <w:rPr>
          <w:rFonts w:hint="eastAsia" w:ascii="宋体" w:hAnsi="宋体" w:eastAsia="宋体" w:cs="宋体"/>
          <w:color w:val="000000" w:themeColor="text1"/>
          <w:szCs w:val="21"/>
          <w:highlight w:val="none"/>
          <w:lang w:val="en-US" w:eastAsia="zh-CN"/>
          <w14:textFill>
            <w14:solidFill>
              <w14:schemeClr w14:val="tx1"/>
            </w14:solidFill>
          </w14:textFill>
        </w:rPr>
        <w:t>6.4</w:t>
      </w:r>
      <w:r>
        <w:rPr>
          <w:rFonts w:hint="eastAsia" w:ascii="宋体" w:hAnsi="宋体" w:eastAsia="宋体" w:cs="宋体"/>
          <w:color w:val="000000" w:themeColor="text1"/>
          <w:szCs w:val="21"/>
          <w:highlight w:val="none"/>
          <w14:textFill>
            <w14:solidFill>
              <w14:schemeClr w14:val="tx1"/>
            </w14:solidFill>
          </w14:textFill>
        </w:rPr>
        <w:t>万元；2分标：</w:t>
      </w:r>
      <w:r>
        <w:rPr>
          <w:rFonts w:hint="eastAsia" w:ascii="宋体" w:hAnsi="宋体" w:eastAsia="宋体" w:cs="宋体"/>
          <w:color w:val="000000" w:themeColor="text1"/>
          <w:szCs w:val="21"/>
          <w:highlight w:val="none"/>
          <w:lang w:val="en-US" w:eastAsia="zh-CN"/>
          <w14:textFill>
            <w14:solidFill>
              <w14:schemeClr w14:val="tx1"/>
            </w14:solidFill>
          </w14:textFill>
        </w:rPr>
        <w:t>3.49</w:t>
      </w:r>
      <w:r>
        <w:rPr>
          <w:rFonts w:hint="eastAsia" w:ascii="宋体" w:hAnsi="宋体" w:eastAsia="宋体" w:cs="宋体"/>
          <w:color w:val="000000" w:themeColor="text1"/>
          <w:szCs w:val="21"/>
          <w:highlight w:val="none"/>
          <w14:textFill>
            <w14:solidFill>
              <w14:schemeClr w14:val="tx1"/>
            </w14:solidFill>
          </w14:textFill>
        </w:rPr>
        <w:t>万元；3分标：</w:t>
      </w:r>
      <w:r>
        <w:rPr>
          <w:rFonts w:hint="eastAsia" w:ascii="宋体" w:hAnsi="宋体" w:eastAsia="宋体" w:cs="宋体"/>
          <w:color w:val="000000" w:themeColor="text1"/>
          <w:szCs w:val="21"/>
          <w:highlight w:val="none"/>
          <w:lang w:val="en-US" w:eastAsia="zh-CN"/>
          <w14:textFill>
            <w14:solidFill>
              <w14:schemeClr w14:val="tx1"/>
            </w14:solidFill>
          </w14:textFill>
        </w:rPr>
        <w:t>1.66</w:t>
      </w:r>
      <w:r>
        <w:rPr>
          <w:rFonts w:hint="eastAsia" w:ascii="宋体" w:hAnsi="宋体" w:eastAsia="宋体" w:cs="宋体"/>
          <w:color w:val="000000" w:themeColor="text1"/>
          <w:szCs w:val="21"/>
          <w:highlight w:val="none"/>
          <w14:textFill>
            <w14:solidFill>
              <w14:schemeClr w14:val="tx1"/>
            </w14:solidFill>
          </w14:textFill>
        </w:rPr>
        <w:t>万元；4分标：</w:t>
      </w:r>
      <w:r>
        <w:rPr>
          <w:rFonts w:hint="eastAsia" w:ascii="宋体" w:hAnsi="宋体" w:eastAsia="宋体" w:cs="宋体"/>
          <w:color w:val="000000" w:themeColor="text1"/>
          <w:szCs w:val="21"/>
          <w:highlight w:val="none"/>
          <w:lang w:val="en-US" w:eastAsia="zh-CN"/>
          <w14:textFill>
            <w14:solidFill>
              <w14:schemeClr w14:val="tx1"/>
            </w14:solidFill>
          </w14:textFill>
        </w:rPr>
        <w:t>3.5</w:t>
      </w:r>
      <w:r>
        <w:rPr>
          <w:rFonts w:hint="eastAsia" w:ascii="宋体" w:hAnsi="宋体" w:eastAsia="宋体" w:cs="宋体"/>
          <w:color w:val="000000" w:themeColor="text1"/>
          <w:szCs w:val="21"/>
          <w:highlight w:val="none"/>
          <w14:textFill>
            <w14:solidFill>
              <w14:schemeClr w14:val="tx1"/>
            </w14:solidFill>
          </w14:textFill>
        </w:rPr>
        <w:t>万元</w:t>
      </w:r>
      <w:r>
        <w:rPr>
          <w:rFonts w:hint="eastAsia" w:ascii="宋体" w:hAnsi="宋体" w:eastAsia="宋体" w:cs="宋体"/>
          <w:color w:val="000000" w:themeColor="text1"/>
          <w:kern w:val="0"/>
          <w:szCs w:val="21"/>
          <w:highlight w:val="none"/>
          <w:lang w:eastAsia="zh-CN"/>
          <w14:textFill>
            <w14:solidFill>
              <w14:schemeClr w14:val="tx1"/>
            </w14:solidFill>
          </w14:textFill>
        </w:rPr>
        <w:t>。投标保证金的缴纳方式：以银行转账、支票、汇票、本票或者金融机构、担保机构出具的保函等非现金形式提交。采用银行转账方式的，在投标截止时间前交至采购代理机构指定账户并且到账并备注XXX项目X分标（如有）投标保证金。缴纳投标保证金指定账户的信息：</w:t>
      </w:r>
    </w:p>
    <w:p w14:paraId="70D5940C">
      <w:pPr>
        <w:pStyle w:val="26"/>
        <w:snapToGrid w:val="0"/>
        <w:spacing w:line="360" w:lineRule="exact"/>
        <w:ind w:firstLine="400" w:firstLineChars="200"/>
        <w:jc w:val="left"/>
        <w:rPr>
          <w:rFonts w:hAnsi="宋体" w:cs="宋体"/>
          <w:color w:val="auto"/>
          <w:szCs w:val="21"/>
          <w:highlight w:val="none"/>
        </w:rPr>
      </w:pPr>
      <w:r>
        <w:rPr>
          <w:rFonts w:hint="eastAsia" w:hAnsi="宋体" w:cs="宋体"/>
          <w:color w:val="auto"/>
          <w:szCs w:val="21"/>
          <w:highlight w:val="none"/>
        </w:rPr>
        <w:t>开户名称：</w:t>
      </w:r>
      <w:r>
        <w:rPr>
          <w:rFonts w:hint="eastAsia" w:hAnsi="宋体" w:cs="宋体"/>
          <w:color w:val="auto"/>
          <w:szCs w:val="21"/>
          <w:highlight w:val="none"/>
          <w:lang w:eastAsia="zh-CN"/>
        </w:rPr>
        <w:t>广西睿翼工程咨询有限公司南宁分公司</w:t>
      </w:r>
    </w:p>
    <w:p w14:paraId="252C098C">
      <w:pPr>
        <w:pStyle w:val="26"/>
        <w:snapToGrid w:val="0"/>
        <w:spacing w:line="360" w:lineRule="exact"/>
        <w:ind w:firstLine="400" w:firstLineChars="200"/>
        <w:jc w:val="left"/>
        <w:rPr>
          <w:rFonts w:hint="eastAsia" w:hAnsi="宋体" w:eastAsia="宋体" w:cs="宋体"/>
          <w:color w:val="auto"/>
          <w:szCs w:val="21"/>
          <w:highlight w:val="none"/>
          <w:lang w:eastAsia="zh-CN"/>
        </w:rPr>
      </w:pPr>
      <w:r>
        <w:rPr>
          <w:rFonts w:hint="eastAsia" w:hAnsi="宋体" w:cs="宋体"/>
          <w:color w:val="auto"/>
          <w:szCs w:val="21"/>
          <w:highlight w:val="none"/>
        </w:rPr>
        <w:t>开户银行：</w:t>
      </w:r>
      <w:r>
        <w:rPr>
          <w:rFonts w:hint="eastAsia" w:hAnsi="宋体" w:cs="宋体"/>
          <w:color w:val="auto"/>
          <w:szCs w:val="21"/>
          <w:highlight w:val="none"/>
          <w:lang w:eastAsia="zh-CN"/>
        </w:rPr>
        <w:t>华夏银行股份有限公司南宁青秀支行</w:t>
      </w:r>
    </w:p>
    <w:p w14:paraId="1518F272">
      <w:pPr>
        <w:pStyle w:val="26"/>
        <w:snapToGrid w:val="0"/>
        <w:spacing w:line="360" w:lineRule="exact"/>
        <w:ind w:firstLine="400" w:firstLineChars="200"/>
        <w:jc w:val="left"/>
        <w:rPr>
          <w:rFonts w:hint="eastAsia" w:hAnsi="宋体" w:eastAsia="宋体" w:cs="宋体"/>
          <w:color w:val="auto"/>
          <w:szCs w:val="21"/>
          <w:highlight w:val="none"/>
          <w:lang w:eastAsia="zh-CN"/>
        </w:rPr>
      </w:pPr>
      <w:r>
        <w:rPr>
          <w:rFonts w:hint="eastAsia" w:hAnsi="宋体" w:cs="宋体"/>
          <w:color w:val="auto"/>
          <w:szCs w:val="21"/>
          <w:highlight w:val="none"/>
        </w:rPr>
        <w:t>银行账户：</w:t>
      </w:r>
      <w:r>
        <w:rPr>
          <w:rFonts w:hint="eastAsia" w:hAnsi="宋体" w:cs="宋体"/>
          <w:color w:val="auto"/>
          <w:szCs w:val="21"/>
          <w:highlight w:val="none"/>
          <w:lang w:eastAsia="zh-CN"/>
        </w:rPr>
        <w:t>13053000000217831</w:t>
      </w:r>
    </w:p>
    <w:p w14:paraId="1B2FEE10">
      <w:pPr>
        <w:spacing w:line="3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2、采购意向公开链接：http://www.ccgp-guangxi.gov.cn/site/detail?parentId=66601&amp;articleId=gYYbNRZoy5InLNWgAx2PgA==</w:t>
      </w:r>
    </w:p>
    <w:p w14:paraId="21F185E6">
      <w:pPr>
        <w:spacing w:line="36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3AB7AB8">
      <w:pPr>
        <w:spacing w:line="36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6D4C9EEB">
      <w:pPr>
        <w:spacing w:line="36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、网上查询地址：中国政府采购网（http://www.ccgp.gov.cn/）、广西壮族自治区政府采购网(http://zfcg.gxzf.gov.cn)、广西壮族自治区公共资源交易中心（http://gxggzy.gxzf.gov.cn/）</w:t>
      </w:r>
    </w:p>
    <w:p w14:paraId="00C5E6A4">
      <w:pPr>
        <w:spacing w:line="36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Cs w:val="21"/>
          <w:highlight w:val="none"/>
          <w14:textFill>
            <w14:solidFill>
              <w14:schemeClr w14:val="tx1"/>
            </w14:solidFill>
          </w14:textFill>
        </w:rPr>
        <w:t>、本项目需要落实的政府采购政策：</w:t>
      </w:r>
    </w:p>
    <w:p w14:paraId="224F5672">
      <w:pPr>
        <w:spacing w:line="36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（1）政府采购促进中小企业发展; </w:t>
      </w:r>
    </w:p>
    <w:p w14:paraId="301071A5">
      <w:pPr>
        <w:spacing w:line="36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（2）政府采购支持采用本国产品的政策; </w:t>
      </w:r>
    </w:p>
    <w:p w14:paraId="106FDB71">
      <w:pPr>
        <w:spacing w:line="36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（3）强制采购节能产品；优先采购节能产品、环境标志产品;</w:t>
      </w:r>
    </w:p>
    <w:p w14:paraId="0F970D20">
      <w:pPr>
        <w:spacing w:line="36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（4）政府采购促进残疾人就业政策;</w:t>
      </w:r>
    </w:p>
    <w:p w14:paraId="292608ED">
      <w:pPr>
        <w:spacing w:line="36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（5）政府采购支持监狱企业发展;</w:t>
      </w:r>
    </w:p>
    <w:p w14:paraId="3814ECC3">
      <w:pPr>
        <w:spacing w:line="36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（6）扶持不发达地区和少数民族地区政策。</w:t>
      </w:r>
    </w:p>
    <w:p w14:paraId="7AD9557F">
      <w:pPr>
        <w:widowControl/>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、投标注意事项：</w:t>
      </w:r>
    </w:p>
    <w:p w14:paraId="17B0EA41">
      <w:pPr>
        <w:widowControl/>
        <w:spacing w:line="36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投标文件提交方式：本项目为全流程电子化政府采购项目，通过广西政府采购云平台（https://www.gcy.zfcg.gxzf.gov.cn/）实行在线电子投标，供应商应先安装“广西政府采购云平台电子交易客户端”（请自行前往广西政府采购云平台进行下载），并按照本项目招标文件和广西政府采购云平台的要求编制、加密后在投标截止时间前通过网络上传至广西政府采购云平台，</w:t>
      </w:r>
      <w:r>
        <w:rPr>
          <w:rFonts w:hint="eastAsia" w:ascii="宋体" w:hAnsi="宋体" w:eastAsia="宋体" w:cs="宋体"/>
          <w:b/>
          <w:color w:val="000000" w:themeColor="text1"/>
          <w:szCs w:val="21"/>
          <w:highlight w:val="none"/>
          <w14:textFill>
            <w14:solidFill>
              <w14:schemeClr w14:val="tx1"/>
            </w14:solidFill>
          </w14:textFill>
        </w:rPr>
        <w:t>供应商在广西政府采购云平台提交电子版投标文件时，请填写参加远程开标活动经办人联系方式。</w:t>
      </w:r>
    </w:p>
    <w:p w14:paraId="27CB5356">
      <w:pPr>
        <w:widowControl/>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（2）供应商应及时熟悉掌握电子标系统操作指南（见广西政府采购云平台电子卖场首页右上角—服务中心—帮助文档—项目采购）：</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"https://service.zcygov.cn/" \l "/knowledges/tree?tag=AG1DtGwBFdiHxlNdhY0r"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https://service.zcygov.cn/#/knowledges/tree?tag=AG1DtGwBFdiHxlNdhY0r</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t>；及时完成CA申领和绑定（见广西壮族自治区政府采购网—办事服务—下载专区-政采云CA证书办理操作指南）。</w:t>
      </w:r>
    </w:p>
    <w:p w14:paraId="5DE10962">
      <w:pPr>
        <w:widowControl/>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未进行网上注册并办理数字证书（CA认证）的供应商将无法参与本项目政府采购活动，潜在供应商应当在投标截止时间前，完成电子交易平台上的CA数字证书办理及投标文件的提交。完成CA数字证书办理预计5日左右，投标人只需办理其中一家CA数字证书及签章，建议各投标人抓紧时间办理。</w:t>
      </w:r>
    </w:p>
    <w:p w14:paraId="2907F88A">
      <w:pPr>
        <w:widowControl/>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（4）为确保网上操作合法、有效和安全，请投标人确保在电子投标过程中能够对相关数据电文进行加密和使用电子签章，妥善保管CA数字证书并使用有效的CA数字证书参与整个采购活动。</w:t>
      </w:r>
    </w:p>
    <w:p w14:paraId="448583CD">
      <w:pPr>
        <w:spacing w:line="360" w:lineRule="exact"/>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0321184D">
      <w:pPr>
        <w:snapToGrid w:val="0"/>
        <w:spacing w:line="36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CA证书在线解密：供应商投标时，需携带制作投标文件时用来加密的有效数字证书（CA认证）登录广西政府采购云平台电子开标大厅现场按规定时间对加密的投标文件进行解密，否则后果自负。</w:t>
      </w:r>
    </w:p>
    <w:p w14:paraId="2FD65553">
      <w:pPr>
        <w:spacing w:line="36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Cs w:val="21"/>
          <w:highlight w:val="none"/>
          <w14:textFill>
            <w14:solidFill>
              <w14:schemeClr w14:val="tx1"/>
            </w14:solidFill>
          </w14:textFill>
        </w:rPr>
        <w:t>若对项目采购电子交易系统操作有疑问，可登录广西政府采购云平台（https://www.gcy.zfcg.gxzf.gov.cn/），点击右侧咨询小采，获取采小蜜智能服务管家帮助，或拨打广西政府采购云平台服务热线95763获取热线服务帮助。</w:t>
      </w:r>
    </w:p>
    <w:bookmarkEnd w:id="32"/>
    <w:p w14:paraId="1215AAAD">
      <w:pPr>
        <w:spacing w:line="360" w:lineRule="exac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七、对本次招标提出询问，请按以下方式联系。</w:t>
      </w:r>
      <w:bookmarkEnd w:id="33"/>
      <w:bookmarkEnd w:id="34"/>
      <w:bookmarkEnd w:id="35"/>
      <w:bookmarkEnd w:id="36"/>
    </w:p>
    <w:p w14:paraId="19A8F231">
      <w:pPr>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1.采购人信息</w:t>
      </w:r>
    </w:p>
    <w:p w14:paraId="29251D8A">
      <w:pPr>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名称：广西壮族自治区林业局</w:t>
      </w:r>
    </w:p>
    <w:p w14:paraId="52D415B9">
      <w:pPr>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地址：广西南宁市青秀区云景路21号</w:t>
      </w:r>
    </w:p>
    <w:p w14:paraId="7A81CEBB">
      <w:pPr>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项目联系人：李贤隽</w:t>
      </w:r>
    </w:p>
    <w:p w14:paraId="43352CA3">
      <w:pPr>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联系电话：0771-6783552</w:t>
      </w:r>
    </w:p>
    <w:p w14:paraId="70BCC1FD">
      <w:pPr>
        <w:spacing w:line="36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2.采购代理机构信息</w:t>
      </w:r>
    </w:p>
    <w:p w14:paraId="0677F935">
      <w:pPr>
        <w:spacing w:line="36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名 称：</w:t>
      </w:r>
      <w:r>
        <w:rPr>
          <w:rFonts w:hint="eastAsia" w:ascii="宋体" w:hAnsi="宋体" w:cs="宋体"/>
          <w:color w:val="auto"/>
          <w:kern w:val="0"/>
          <w:szCs w:val="21"/>
          <w:highlight w:val="none"/>
          <w:lang w:eastAsia="zh-CN"/>
        </w:rPr>
        <w:t>广西睿翼工程咨询有限公司</w:t>
      </w:r>
      <w:r>
        <w:rPr>
          <w:rFonts w:hint="eastAsia" w:ascii="宋体" w:hAnsi="宋体" w:cs="宋体"/>
          <w:color w:val="auto"/>
          <w:kern w:val="0"/>
          <w:szCs w:val="21"/>
          <w:highlight w:val="none"/>
        </w:rPr>
        <w:t>　　　　　　　　　　　　</w:t>
      </w:r>
    </w:p>
    <w:p w14:paraId="7E22E2A4">
      <w:pPr>
        <w:spacing w:line="36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lang w:eastAsia="zh-CN"/>
        </w:rPr>
        <w:t>南宁市青秀区民族大道32号宜尚酒店停车场内一楼</w:t>
      </w:r>
      <w:r>
        <w:rPr>
          <w:rFonts w:hint="eastAsia" w:ascii="宋体" w:hAnsi="宋体" w:cs="宋体"/>
          <w:color w:val="auto"/>
          <w:kern w:val="0"/>
          <w:szCs w:val="21"/>
          <w:highlight w:val="none"/>
        </w:rPr>
        <w:t>　　　　　　　　　　　　</w:t>
      </w:r>
    </w:p>
    <w:p w14:paraId="5CA54796">
      <w:pPr>
        <w:spacing w:line="360" w:lineRule="exact"/>
        <w:ind w:firstLine="315" w:firstLineChars="15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项目联系人：</w:t>
      </w:r>
      <w:r>
        <w:rPr>
          <w:rFonts w:hint="eastAsia" w:ascii="宋体" w:hAnsi="宋体"/>
          <w:color w:val="auto"/>
          <w:szCs w:val="21"/>
          <w:highlight w:val="none"/>
          <w:lang w:eastAsia="zh-CN"/>
        </w:rPr>
        <w:t>万永凤</w:t>
      </w:r>
    </w:p>
    <w:p w14:paraId="7A2B18A9">
      <w:pPr>
        <w:spacing w:line="36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联系电话：0771-</w:t>
      </w:r>
      <w:r>
        <w:rPr>
          <w:rFonts w:hint="eastAsia" w:ascii="宋体" w:hAnsi="宋体" w:cs="宋体"/>
          <w:color w:val="auto"/>
          <w:kern w:val="0"/>
          <w:szCs w:val="21"/>
          <w:highlight w:val="none"/>
          <w:lang w:val="en-US" w:eastAsia="zh-CN"/>
        </w:rPr>
        <w:t>5349283</w:t>
      </w:r>
      <w:r>
        <w:rPr>
          <w:rFonts w:hint="eastAsia" w:ascii="宋体" w:hAnsi="宋体" w:cs="宋体"/>
          <w:color w:val="auto"/>
          <w:kern w:val="0"/>
          <w:szCs w:val="21"/>
          <w:highlight w:val="none"/>
        </w:rPr>
        <w:t>　　　　　　　　　</w:t>
      </w:r>
    </w:p>
    <w:p w14:paraId="330DE6C2">
      <w:pPr>
        <w:spacing w:line="36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3、政府采购监督管理部门：广西壮族自治区财政厅政府采购监督管理处</w:t>
      </w:r>
    </w:p>
    <w:p w14:paraId="17144766">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电 话：0771-5331544 　　</w:t>
      </w:r>
    </w:p>
    <w:p w14:paraId="7531FDDE">
      <w:pPr>
        <w:spacing w:line="380" w:lineRule="exact"/>
        <w:ind w:firstLine="6405" w:firstLineChars="3050"/>
        <w:rPr>
          <w:rFonts w:hint="eastAsia" w:ascii="宋体" w:hAnsi="宋体" w:eastAsia="宋体" w:cs="宋体"/>
          <w:color w:val="000000" w:themeColor="text1"/>
          <w:szCs w:val="21"/>
          <w:highlight w:val="none"/>
          <w:lang w:eastAsia="zh-CN"/>
          <w14:textFill>
            <w14:solidFill>
              <w14:schemeClr w14:val="tx1"/>
            </w14:solidFill>
          </w14:textFill>
        </w:rPr>
      </w:pPr>
    </w:p>
    <w:p w14:paraId="6D958EFB">
      <w:pPr>
        <w:spacing w:line="380" w:lineRule="exact"/>
        <w:ind w:firstLine="6405" w:firstLineChars="3050"/>
        <w:rPr>
          <w:rFonts w:hint="eastAsia" w:ascii="宋体" w:hAnsi="宋体" w:eastAsia="宋体" w:cs="宋体"/>
          <w:color w:val="000000" w:themeColor="text1"/>
          <w:szCs w:val="21"/>
          <w:highlight w:val="none"/>
          <w:lang w:eastAsia="zh-CN"/>
          <w14:textFill>
            <w14:solidFill>
              <w14:schemeClr w14:val="tx1"/>
            </w14:solidFill>
          </w14:textFill>
        </w:rPr>
      </w:pPr>
    </w:p>
    <w:p w14:paraId="7A505EB6">
      <w:pPr>
        <w:spacing w:line="380" w:lineRule="exact"/>
        <w:ind w:firstLine="6405" w:firstLineChars="305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广西睿翼工程咨询有限公司</w:t>
      </w:r>
    </w:p>
    <w:p w14:paraId="7EA1F37E">
      <w:pPr>
        <w:snapToGrid w:val="0"/>
        <w:spacing w:line="380" w:lineRule="exact"/>
        <w:ind w:right="420" w:firstLine="6825" w:firstLineChars="3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202</w:t>
      </w: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lang w:val="en-US" w:eastAsia="zh-CN"/>
          <w14:textFill>
            <w14:solidFill>
              <w14:schemeClr w14:val="tx1"/>
            </w14:solidFill>
          </w14:textFill>
        </w:rPr>
        <w:t>06</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23</w:t>
      </w:r>
      <w:r>
        <w:rPr>
          <w:rFonts w:hint="eastAsia" w:ascii="宋体" w:hAnsi="宋体" w:eastAsia="宋体" w:cs="宋体"/>
          <w:color w:val="000000" w:themeColor="text1"/>
          <w:highlight w:val="none"/>
          <w14:textFill>
            <w14:solidFill>
              <w14:schemeClr w14:val="tx1"/>
            </w14:solidFill>
          </w14:textFill>
        </w:rPr>
        <w:t>日</w:t>
      </w:r>
    </w:p>
    <w:p w14:paraId="58B9FE3E">
      <w:pPr>
        <w:snapToGrid w:val="0"/>
        <w:spacing w:line="320" w:lineRule="exac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br w:type="page"/>
      </w:r>
    </w:p>
    <w:p w14:paraId="6FB13EB0">
      <w:pPr>
        <w:pStyle w:val="4"/>
        <w:jc w:val="center"/>
        <w:rPr>
          <w:rFonts w:hint="eastAsia" w:ascii="宋体" w:hAnsi="宋体" w:eastAsia="宋体" w:cs="宋体"/>
          <w:color w:val="000000" w:themeColor="text1"/>
          <w:sz w:val="40"/>
          <w:szCs w:val="40"/>
          <w:highlight w:val="none"/>
          <w14:textFill>
            <w14:solidFill>
              <w14:schemeClr w14:val="tx1"/>
            </w14:solidFill>
          </w14:textFill>
        </w:rPr>
      </w:pPr>
      <w:bookmarkStart w:id="37" w:name="_Toc21885"/>
      <w:bookmarkStart w:id="38" w:name="_Toc30322"/>
      <w:r>
        <w:rPr>
          <w:rFonts w:hint="eastAsia" w:ascii="宋体" w:hAnsi="宋体" w:eastAsia="宋体" w:cs="宋体"/>
          <w:color w:val="000000" w:themeColor="text1"/>
          <w:sz w:val="40"/>
          <w:szCs w:val="40"/>
          <w:highlight w:val="none"/>
          <w14:textFill>
            <w14:solidFill>
              <w14:schemeClr w14:val="tx1"/>
            </w14:solidFill>
          </w14:textFill>
        </w:rPr>
        <w:t>第二章  采购需求</w:t>
      </w:r>
      <w:bookmarkEnd w:id="37"/>
      <w:bookmarkEnd w:id="38"/>
    </w:p>
    <w:p w14:paraId="760F2CF3">
      <w:pPr>
        <w:spacing w:line="360" w:lineRule="auto"/>
        <w:jc w:val="left"/>
        <w:rPr>
          <w:rFonts w:hint="eastAsia" w:ascii="宋体" w:hAnsi="宋体" w:eastAsia="宋体" w:cs="宋体"/>
          <w:b/>
          <w:color w:val="000000" w:themeColor="text1"/>
          <w:szCs w:val="21"/>
          <w:highlight w:val="none"/>
          <w14:textFill>
            <w14:solidFill>
              <w14:schemeClr w14:val="tx1"/>
            </w14:solidFill>
          </w14:textFill>
        </w:rPr>
      </w:pPr>
      <w:bookmarkStart w:id="39" w:name="_Toc254970631"/>
      <w:bookmarkStart w:id="40" w:name="_Toc254970490"/>
      <w:r>
        <w:rPr>
          <w:rFonts w:hint="eastAsia" w:ascii="宋体" w:hAnsi="宋体" w:eastAsia="宋体" w:cs="宋体"/>
          <w:b/>
          <w:color w:val="000000" w:themeColor="text1"/>
          <w:szCs w:val="21"/>
          <w:highlight w:val="none"/>
          <w14:textFill>
            <w14:solidFill>
              <w14:schemeClr w14:val="tx1"/>
            </w14:solidFill>
          </w14:textFill>
        </w:rPr>
        <w:t>说明：</w:t>
      </w:r>
    </w:p>
    <w:p w14:paraId="1CFB197D">
      <w:pPr>
        <w:spacing w:line="360" w:lineRule="exact"/>
        <w:ind w:left="-10" w:leftChars="-5" w:right="2" w:rightChars="1" w:firstLine="420" w:firstLineChars="20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1、采购需求中如出现品牌、型号或者生产厂家等均仅起参考作用，不属于指定品牌、型号或者生产厂家的情形，投标人可参照或者选用其他相当的品牌、型号或者生产供应商替代。但投标人的产品实质上应相当于或优于本需求中的技术要求。</w:t>
      </w:r>
    </w:p>
    <w:p w14:paraId="53B60CE2">
      <w:pPr>
        <w:spacing w:line="360" w:lineRule="exact"/>
        <w:ind w:left="-10" w:leftChars="-5" w:right="2" w:rightChars="1" w:firstLine="420" w:firstLineChars="20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2、凡在“技术要求”中表述为“标配”或“标准配置”的设备，投标人应在投标设备性能配置清单中将其标配参数详细列明。</w:t>
      </w:r>
    </w:p>
    <w:p w14:paraId="5FBD92E6">
      <w:pPr>
        <w:spacing w:line="360" w:lineRule="exact"/>
        <w:ind w:left="-10" w:leftChars="-5" w:right="2" w:rightChars="1" w:firstLine="420" w:firstLineChars="20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3、根据《财政部 发展改革委 生态环境部 市场监管总局关于调整优化节能产品、环境标志产品政府采购执行机制的通知》（财库〔2019〕9 号）和《关于印发节能产品政府采购品目清单的通知》（财库〔2019〕19 号）的规定，采购需求中的产品属于节能产品政府采购品目清单内标注“★”的（详见本章后附的节能产品政府采购品目清单），投标人的投标货物必须使用政府强制采购的节能产品，否则投标文件作无效处理。如本项目包含的货物属于品目清单内非标注“★”的产品时，应优先采购，具体详见“第四章 评标方法和评标标准”。</w:t>
      </w:r>
    </w:p>
    <w:p w14:paraId="044B1023">
      <w:pPr>
        <w:spacing w:line="360" w:lineRule="exact"/>
        <w:ind w:left="-10" w:leftChars="-5" w:right="2" w:rightChars="1" w:firstLine="420" w:firstLineChars="20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4、如投标人投标产品存在侵犯他人的知识产权或者专利成果行为的，由投标人自行承担相应法律责任。</w:t>
      </w:r>
    </w:p>
    <w:p w14:paraId="5BA226F5">
      <w:pPr>
        <w:spacing w:line="360" w:lineRule="exact"/>
        <w:ind w:left="-10" w:leftChars="-5" w:right="2" w:rightChars="1" w:firstLine="420" w:firstLineChars="20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5、“实质性要求”是指招标文件中已经指明不满足则投标无效的条款，或者不能负偏离的条款，或者采购需求中带“▲”的条款。</w:t>
      </w:r>
    </w:p>
    <w:p w14:paraId="0320C3D8">
      <w:pPr>
        <w:spacing w:line="360" w:lineRule="exact"/>
        <w:ind w:left="-10" w:leftChars="-5" w:right="2" w:rightChars="1" w:firstLine="420" w:firstLineChars="20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6、采购需求中涉及的国家标准规范如有最新版的按最新版执行。</w:t>
      </w:r>
    </w:p>
    <w:p w14:paraId="2EEAC04B">
      <w:pPr>
        <w:spacing w:line="360" w:lineRule="exact"/>
        <w:ind w:left="-10" w:leftChars="-5" w:right="2" w:rightChars="1" w:firstLine="420" w:firstLineChars="20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7、本项目中小微企业划型标准所属行业：工业。</w:t>
      </w:r>
    </w:p>
    <w:p w14:paraId="3E8F97D3">
      <w:pPr>
        <w:spacing w:line="360" w:lineRule="exact"/>
        <w:ind w:left="-10" w:leftChars="-5" w:right="2" w:rightChars="1" w:firstLine="422" w:firstLineChars="200"/>
        <w:rPr>
          <w:rFonts w:hint="eastAsia" w:ascii="宋体" w:hAnsi="宋体" w:eastAsia="宋体" w:cs="宋体"/>
          <w:b/>
          <w:bCs/>
          <w:color w:val="000000" w:themeColor="text1"/>
          <w:highlight w:val="none"/>
          <w14:textFill>
            <w14:solidFill>
              <w14:schemeClr w14:val="tx1"/>
            </w14:solidFill>
          </w14:textFill>
        </w:rPr>
      </w:pPr>
    </w:p>
    <w:p w14:paraId="1AE31026">
      <w:pPr>
        <w:spacing w:line="360" w:lineRule="exact"/>
        <w:ind w:left="-10" w:leftChars="-5" w:right="2" w:rightChars="1" w:firstLine="422" w:firstLineChars="200"/>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1分标：</w:t>
      </w:r>
    </w:p>
    <w:bookmarkEnd w:id="39"/>
    <w:bookmarkEnd w:id="40"/>
    <w:tbl>
      <w:tblPr>
        <w:tblStyle w:val="48"/>
        <w:tblW w:w="95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8"/>
        <w:gridCol w:w="1182"/>
        <w:gridCol w:w="141"/>
        <w:gridCol w:w="534"/>
        <w:gridCol w:w="707"/>
        <w:gridCol w:w="5237"/>
        <w:gridCol w:w="1095"/>
      </w:tblGrid>
      <w:tr w14:paraId="7D5B9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9564" w:type="dxa"/>
            <w:gridSpan w:val="7"/>
            <w:noWrap w:val="0"/>
            <w:vAlign w:val="center"/>
          </w:tcPr>
          <w:p w14:paraId="10C7466F">
            <w:pPr>
              <w:tabs>
                <w:tab w:val="left" w:pos="180"/>
                <w:tab w:val="left" w:pos="1620"/>
              </w:tabs>
              <w:spacing w:line="360" w:lineRule="exact"/>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第一部分 技术要求</w:t>
            </w:r>
          </w:p>
        </w:tc>
      </w:tr>
      <w:tr w14:paraId="6E042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668" w:type="dxa"/>
            <w:noWrap w:val="0"/>
            <w:vAlign w:val="center"/>
          </w:tcPr>
          <w:p w14:paraId="752716DA">
            <w:pPr>
              <w:tabs>
                <w:tab w:val="left" w:pos="180"/>
                <w:tab w:val="left" w:pos="1620"/>
              </w:tabs>
              <w:spacing w:line="36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序号</w:t>
            </w:r>
          </w:p>
        </w:tc>
        <w:tc>
          <w:tcPr>
            <w:tcW w:w="1182" w:type="dxa"/>
            <w:noWrap w:val="0"/>
            <w:vAlign w:val="center"/>
          </w:tcPr>
          <w:p w14:paraId="02A570C6">
            <w:pPr>
              <w:tabs>
                <w:tab w:val="left" w:pos="180"/>
                <w:tab w:val="left" w:pos="1620"/>
              </w:tabs>
              <w:spacing w:line="36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标的的名称</w:t>
            </w:r>
          </w:p>
        </w:tc>
        <w:tc>
          <w:tcPr>
            <w:tcW w:w="675" w:type="dxa"/>
            <w:gridSpan w:val="2"/>
            <w:noWrap w:val="0"/>
            <w:vAlign w:val="center"/>
          </w:tcPr>
          <w:p w14:paraId="435F7F2B">
            <w:pPr>
              <w:tabs>
                <w:tab w:val="left" w:pos="180"/>
                <w:tab w:val="left" w:pos="1620"/>
              </w:tabs>
              <w:spacing w:line="36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数量</w:t>
            </w:r>
          </w:p>
        </w:tc>
        <w:tc>
          <w:tcPr>
            <w:tcW w:w="707" w:type="dxa"/>
            <w:noWrap w:val="0"/>
            <w:vAlign w:val="center"/>
          </w:tcPr>
          <w:p w14:paraId="2A36D8A5">
            <w:pPr>
              <w:tabs>
                <w:tab w:val="left" w:pos="180"/>
                <w:tab w:val="left" w:pos="1620"/>
              </w:tabs>
              <w:spacing w:line="36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单位</w:t>
            </w:r>
          </w:p>
        </w:tc>
        <w:tc>
          <w:tcPr>
            <w:tcW w:w="5237" w:type="dxa"/>
            <w:tcBorders>
              <w:right w:val="single" w:color="auto" w:sz="4" w:space="0"/>
            </w:tcBorders>
            <w:noWrap w:val="0"/>
            <w:vAlign w:val="center"/>
          </w:tcPr>
          <w:p w14:paraId="3498F64C">
            <w:pPr>
              <w:tabs>
                <w:tab w:val="left" w:pos="180"/>
                <w:tab w:val="left" w:pos="1620"/>
              </w:tabs>
              <w:spacing w:line="36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技术要求</w:t>
            </w:r>
          </w:p>
        </w:tc>
        <w:tc>
          <w:tcPr>
            <w:tcW w:w="1095" w:type="dxa"/>
            <w:tcBorders>
              <w:left w:val="single" w:color="auto" w:sz="4" w:space="0"/>
            </w:tcBorders>
            <w:noWrap w:val="0"/>
            <w:vAlign w:val="center"/>
          </w:tcPr>
          <w:p w14:paraId="1BFBE96F">
            <w:pPr>
              <w:tabs>
                <w:tab w:val="left" w:pos="180"/>
                <w:tab w:val="left" w:pos="1620"/>
              </w:tabs>
              <w:spacing w:line="360" w:lineRule="exact"/>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控制单价（元）</w:t>
            </w:r>
          </w:p>
        </w:tc>
      </w:tr>
      <w:tr w14:paraId="7D17F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668" w:type="dxa"/>
            <w:noWrap w:val="0"/>
            <w:vAlign w:val="center"/>
          </w:tcPr>
          <w:p w14:paraId="18ADA390">
            <w:pPr>
              <w:tabs>
                <w:tab w:val="left" w:pos="180"/>
                <w:tab w:val="left" w:pos="1620"/>
              </w:tabs>
              <w:spacing w:line="38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1182" w:type="dxa"/>
            <w:noWrap w:val="0"/>
            <w:vAlign w:val="center"/>
          </w:tcPr>
          <w:p w14:paraId="69AB50E8">
            <w:pPr>
              <w:tabs>
                <w:tab w:val="left" w:pos="180"/>
                <w:tab w:val="left" w:pos="1620"/>
              </w:tabs>
              <w:spacing w:line="38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便携式风力灭火机</w:t>
            </w:r>
          </w:p>
        </w:tc>
        <w:tc>
          <w:tcPr>
            <w:tcW w:w="675" w:type="dxa"/>
            <w:gridSpan w:val="2"/>
            <w:noWrap w:val="0"/>
            <w:vAlign w:val="center"/>
          </w:tcPr>
          <w:p w14:paraId="708567B0">
            <w:pPr>
              <w:tabs>
                <w:tab w:val="left" w:pos="180"/>
                <w:tab w:val="left" w:pos="1620"/>
              </w:tabs>
              <w:spacing w:line="380" w:lineRule="exact"/>
              <w:jc w:val="center"/>
              <w:rPr>
                <w:rFonts w:hint="eastAsia" w:ascii="宋体" w:hAnsi="宋体" w:eastAsia="宋体" w:cs="宋体"/>
                <w:color w:val="000000"/>
                <w:szCs w:val="21"/>
                <w:highlight w:val="none"/>
              </w:rPr>
            </w:pPr>
            <w:r>
              <w:rPr>
                <w:rFonts w:hint="default" w:ascii="宋体" w:hAnsi="宋体" w:eastAsia="宋体" w:cs="宋体"/>
                <w:color w:val="000000"/>
                <w:szCs w:val="21"/>
                <w:highlight w:val="none"/>
                <w:lang w:val="en-US" w:eastAsia="zh-CN"/>
              </w:rPr>
              <w:t>4000</w:t>
            </w:r>
          </w:p>
        </w:tc>
        <w:tc>
          <w:tcPr>
            <w:tcW w:w="707" w:type="dxa"/>
            <w:noWrap w:val="0"/>
            <w:vAlign w:val="center"/>
          </w:tcPr>
          <w:p w14:paraId="006D13B8">
            <w:pPr>
              <w:tabs>
                <w:tab w:val="left" w:pos="180"/>
                <w:tab w:val="left" w:pos="1620"/>
              </w:tabs>
              <w:spacing w:line="380" w:lineRule="exact"/>
              <w:jc w:val="center"/>
              <w:rPr>
                <w:rFonts w:hint="eastAsia" w:ascii="宋体" w:hAnsi="宋体" w:eastAsia="宋体" w:cs="宋体"/>
                <w:color w:val="000000"/>
                <w:szCs w:val="21"/>
                <w:highlight w:val="none"/>
              </w:rPr>
            </w:pPr>
            <w:r>
              <w:rPr>
                <w:rFonts w:hint="default" w:ascii="宋体" w:hAnsi="宋体" w:eastAsia="宋体" w:cs="宋体"/>
                <w:color w:val="000000"/>
                <w:szCs w:val="21"/>
                <w:highlight w:val="none"/>
                <w:lang w:val="en-US" w:eastAsia="zh-CN"/>
              </w:rPr>
              <w:t>台</w:t>
            </w:r>
          </w:p>
        </w:tc>
        <w:tc>
          <w:tcPr>
            <w:tcW w:w="5237" w:type="dxa"/>
            <w:tcBorders>
              <w:right w:val="single" w:color="auto" w:sz="4" w:space="0"/>
            </w:tcBorders>
            <w:noWrap w:val="0"/>
            <w:vAlign w:val="center"/>
          </w:tcPr>
          <w:p w14:paraId="4CBA89B6">
            <w:pPr>
              <w:spacing w:line="360" w:lineRule="exact"/>
              <w:rPr>
                <w:rFonts w:hint="eastAsia" w:ascii="宋体" w:hAnsi="宋体" w:eastAsia="宋体" w:cs="宋体"/>
                <w:color w:val="000000"/>
                <w:kern w:val="0"/>
                <w:szCs w:val="21"/>
                <w:highlight w:val="none"/>
              </w:rPr>
            </w:pPr>
            <w:r>
              <w:rPr>
                <w:rFonts w:hint="eastAsia" w:ascii="宋体" w:hAnsi="宋体" w:eastAsia="宋体" w:cs="宋体"/>
                <w:b/>
                <w:bCs/>
                <w:color w:val="000000"/>
                <w:highlight w:val="none"/>
              </w:rPr>
              <w:t>▲</w:t>
            </w:r>
            <w:r>
              <w:rPr>
                <w:rFonts w:hint="eastAsia" w:ascii="宋体" w:hAnsi="宋体" w:eastAsia="宋体" w:cs="宋体"/>
                <w:color w:val="000000"/>
                <w:kern w:val="0"/>
                <w:szCs w:val="21"/>
                <w:highlight w:val="none"/>
              </w:rPr>
              <w:t>1、有效风力灭火距离：≥2.2m；</w:t>
            </w:r>
          </w:p>
          <w:p w14:paraId="23372661">
            <w:pPr>
              <w:spacing w:line="360" w:lineRule="exac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2、发动机功率：≥4kw/7000rpm； </w:t>
            </w:r>
          </w:p>
          <w:p w14:paraId="25F45D5B">
            <w:pPr>
              <w:spacing w:line="360" w:lineRule="exact"/>
              <w:rPr>
                <w:rFonts w:hint="eastAsia" w:ascii="宋体" w:hAnsi="宋体" w:eastAsia="宋体" w:cs="宋体"/>
                <w:color w:val="000000"/>
                <w:kern w:val="0"/>
                <w:szCs w:val="21"/>
                <w:highlight w:val="none"/>
              </w:rPr>
            </w:pPr>
            <w:r>
              <w:rPr>
                <w:rFonts w:hint="eastAsia" w:ascii="宋体" w:hAnsi="宋体" w:eastAsia="宋体" w:cs="宋体"/>
                <w:b/>
                <w:bCs/>
                <w:color w:val="000000"/>
                <w:highlight w:val="none"/>
              </w:rPr>
              <w:t>▲</w:t>
            </w:r>
            <w:r>
              <w:rPr>
                <w:rFonts w:hint="eastAsia" w:ascii="宋体" w:hAnsi="宋体" w:eastAsia="宋体" w:cs="宋体"/>
                <w:color w:val="000000"/>
                <w:kern w:val="0"/>
                <w:szCs w:val="21"/>
                <w:highlight w:val="none"/>
              </w:rPr>
              <w:t>3、常温启动时间：≤3s；</w:t>
            </w:r>
          </w:p>
          <w:p w14:paraId="0A13298E">
            <w:pPr>
              <w:spacing w:line="360" w:lineRule="exac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4、标定转速下出口风量：≥0.5m3/s；</w:t>
            </w:r>
          </w:p>
          <w:p w14:paraId="002C398C">
            <w:pPr>
              <w:spacing w:line="360" w:lineRule="exac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5、一次加油连续工作时间：≥35min；</w:t>
            </w:r>
          </w:p>
          <w:p w14:paraId="13F1F94D">
            <w:pPr>
              <w:spacing w:line="360" w:lineRule="exact"/>
              <w:rPr>
                <w:rFonts w:hint="eastAsia" w:ascii="宋体" w:hAnsi="宋体" w:eastAsia="宋体" w:cs="宋体"/>
                <w:color w:val="000000"/>
                <w:kern w:val="0"/>
                <w:szCs w:val="21"/>
                <w:highlight w:val="none"/>
              </w:rPr>
            </w:pPr>
            <w:r>
              <w:rPr>
                <w:rFonts w:hint="eastAsia" w:ascii="宋体" w:hAnsi="宋体" w:eastAsia="宋体" w:cs="宋体"/>
                <w:b/>
                <w:bCs/>
                <w:color w:val="000000"/>
                <w:highlight w:val="none"/>
              </w:rPr>
              <w:t>▲</w:t>
            </w:r>
            <w:r>
              <w:rPr>
                <w:rFonts w:hint="eastAsia" w:ascii="宋体" w:hAnsi="宋体" w:eastAsia="宋体" w:cs="宋体"/>
                <w:color w:val="000000"/>
                <w:kern w:val="0"/>
                <w:szCs w:val="21"/>
                <w:highlight w:val="none"/>
              </w:rPr>
              <w:t>6、灭火机净量：≤7.5kg；</w:t>
            </w:r>
          </w:p>
          <w:p w14:paraId="4C451432">
            <w:pPr>
              <w:spacing w:line="360" w:lineRule="exac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7、启动方式：手启；</w:t>
            </w:r>
          </w:p>
          <w:p w14:paraId="6E4F4D7B">
            <w:pPr>
              <w:spacing w:line="360" w:lineRule="exac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8、运转稳定性：在标定转速下连续运转5h未出故障，转速下降小于标定转速5%时，二次启动后正常工作；</w:t>
            </w:r>
          </w:p>
          <w:p w14:paraId="2C272735">
            <w:pPr>
              <w:spacing w:line="360" w:lineRule="exac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9、翻转性能：标定转速下，自水平位置向前、后、左、右倾斜90度各一次且停留时间大于10s均能正常工作；</w:t>
            </w:r>
          </w:p>
          <w:p w14:paraId="0334B871">
            <w:pPr>
              <w:spacing w:line="360" w:lineRule="exac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10、耳旁噪声≤105dB（A）；</w:t>
            </w:r>
          </w:p>
          <w:p w14:paraId="5BA11C76">
            <w:pPr>
              <w:spacing w:line="360" w:lineRule="exac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11、手感振动≤18m/s2；</w:t>
            </w:r>
          </w:p>
          <w:p w14:paraId="47C6AD5D">
            <w:pPr>
              <w:spacing w:line="360" w:lineRule="exact"/>
              <w:rPr>
                <w:rFonts w:hint="eastAsia" w:ascii="宋体" w:hAnsi="宋体" w:eastAsia="宋体" w:cs="宋体"/>
                <w:color w:val="000000"/>
                <w:kern w:val="0"/>
                <w:szCs w:val="21"/>
                <w:highlight w:val="none"/>
              </w:rPr>
            </w:pPr>
            <w:r>
              <w:rPr>
                <w:rFonts w:hint="eastAsia" w:ascii="宋体" w:hAnsi="宋体" w:eastAsia="宋体" w:cs="宋体"/>
                <w:b/>
                <w:bCs/>
                <w:color w:val="000000"/>
                <w:highlight w:val="none"/>
              </w:rPr>
              <w:t>▲</w:t>
            </w:r>
            <w:r>
              <w:rPr>
                <w:rFonts w:hint="eastAsia" w:ascii="宋体" w:hAnsi="宋体" w:eastAsia="宋体" w:cs="宋体"/>
                <w:color w:val="000000"/>
                <w:kern w:val="0"/>
                <w:szCs w:val="21"/>
                <w:highlight w:val="none"/>
              </w:rPr>
              <w:t>12、风机蜗壳及前端吹风管采用耐高温工程塑料，末端吹风管采用金属材质；风机网罩和风机蜗壳一体式。</w:t>
            </w:r>
          </w:p>
          <w:p w14:paraId="67216D28">
            <w:pPr>
              <w:spacing w:line="360" w:lineRule="exact"/>
              <w:rPr>
                <w:rFonts w:hint="eastAsia" w:ascii="宋体" w:hAnsi="宋体" w:eastAsia="宋体" w:cs="宋体"/>
                <w:color w:val="000000"/>
                <w:kern w:val="0"/>
                <w:szCs w:val="21"/>
                <w:highlight w:val="none"/>
              </w:rPr>
            </w:pPr>
            <w:r>
              <w:rPr>
                <w:rFonts w:hint="eastAsia" w:ascii="宋体" w:hAnsi="宋体" w:eastAsia="宋体" w:cs="宋体"/>
                <w:b/>
                <w:bCs/>
                <w:color w:val="000000"/>
                <w:highlight w:val="none"/>
              </w:rPr>
              <w:t>▲</w:t>
            </w:r>
            <w:r>
              <w:rPr>
                <w:rFonts w:hint="eastAsia" w:ascii="宋体" w:hAnsi="宋体" w:eastAsia="宋体" w:cs="宋体"/>
                <w:color w:val="000000"/>
                <w:kern w:val="0"/>
                <w:szCs w:val="21"/>
                <w:highlight w:val="none"/>
              </w:rPr>
              <w:t xml:space="preserve">13、叶轮型式：塑料闭式叶轮，子母型叶片。 </w:t>
            </w:r>
          </w:p>
          <w:p w14:paraId="132F77F6">
            <w:pPr>
              <w:spacing w:line="360" w:lineRule="exac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14、背带型式：配备两套背带，作业背带和行军背带。 </w:t>
            </w:r>
          </w:p>
          <w:p w14:paraId="63A05B28">
            <w:pPr>
              <w:spacing w:line="360" w:lineRule="exac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15、油门手柄：可以实现无极调速，固定在任意转速，又可随时控制转速。 </w:t>
            </w:r>
          </w:p>
          <w:p w14:paraId="52F5F0A4">
            <w:pPr>
              <w:spacing w:line="360" w:lineRule="exac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16、后手把组合：减震手把，三点橡胶柱减震，有效降低震动。 </w:t>
            </w:r>
          </w:p>
          <w:p w14:paraId="4AD88770">
            <w:pPr>
              <w:spacing w:line="360" w:lineRule="exac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17、发动机形式：二冲程环保发动机，具有型式核准证书。</w:t>
            </w:r>
          </w:p>
          <w:p w14:paraId="338CE10B">
            <w:pPr>
              <w:spacing w:line="360" w:lineRule="exact"/>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rPr>
              <w:t>18、提供国家便携式林业机械质量监督检测中心出具的检测报告</w:t>
            </w:r>
            <w:r>
              <w:rPr>
                <w:rFonts w:hint="eastAsia" w:ascii="宋体" w:hAnsi="宋体" w:cs="宋体"/>
                <w:color w:val="000000"/>
                <w:kern w:val="0"/>
                <w:szCs w:val="21"/>
                <w:highlight w:val="none"/>
                <w:lang w:eastAsia="zh-CN"/>
              </w:rPr>
              <w:t>。</w:t>
            </w:r>
          </w:p>
        </w:tc>
        <w:tc>
          <w:tcPr>
            <w:tcW w:w="1095" w:type="dxa"/>
            <w:tcBorders>
              <w:left w:val="single" w:color="auto" w:sz="4" w:space="0"/>
            </w:tcBorders>
            <w:noWrap w:val="0"/>
            <w:vAlign w:val="center"/>
          </w:tcPr>
          <w:p w14:paraId="53B086E5">
            <w:pPr>
              <w:spacing w:line="360" w:lineRule="exact"/>
              <w:ind w:firstLine="210" w:firstLineChars="1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1600</w:t>
            </w:r>
          </w:p>
        </w:tc>
      </w:tr>
      <w:tr w14:paraId="267AF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564" w:type="dxa"/>
            <w:gridSpan w:val="7"/>
            <w:tcBorders>
              <w:top w:val="single" w:color="auto" w:sz="4" w:space="0"/>
              <w:left w:val="single" w:color="auto" w:sz="4" w:space="0"/>
              <w:bottom w:val="single" w:color="auto" w:sz="4" w:space="0"/>
              <w:right w:val="single" w:color="auto" w:sz="4" w:space="0"/>
            </w:tcBorders>
            <w:noWrap w:val="0"/>
            <w:vAlign w:val="center"/>
          </w:tcPr>
          <w:p w14:paraId="2CDEEF15">
            <w:pPr>
              <w:spacing w:line="360" w:lineRule="exact"/>
              <w:jc w:val="left"/>
              <w:rPr>
                <w:rFonts w:hint="eastAsia" w:ascii="宋体" w:hAnsi="宋体" w:eastAsia="宋体" w:cs="宋体"/>
                <w:b/>
                <w:bCs/>
                <w:color w:val="000000"/>
                <w:szCs w:val="21"/>
                <w:highlight w:val="none"/>
              </w:rPr>
            </w:pPr>
            <w:r>
              <w:rPr>
                <w:rFonts w:hint="eastAsia" w:ascii="宋体" w:hAnsi="宋体" w:eastAsia="宋体" w:cs="宋体"/>
                <w:b/>
                <w:color w:val="000000"/>
                <w:szCs w:val="21"/>
                <w:highlight w:val="none"/>
              </w:rPr>
              <w:t>第二部分 商务要求</w:t>
            </w:r>
          </w:p>
        </w:tc>
      </w:tr>
      <w:tr w14:paraId="6C064A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3344724D">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合同签订时间</w:t>
            </w:r>
          </w:p>
        </w:tc>
        <w:tc>
          <w:tcPr>
            <w:tcW w:w="7573" w:type="dxa"/>
            <w:gridSpan w:val="4"/>
            <w:tcBorders>
              <w:top w:val="single" w:color="auto" w:sz="4" w:space="0"/>
              <w:left w:val="single" w:color="auto" w:sz="4" w:space="0"/>
              <w:bottom w:val="single" w:color="auto" w:sz="4" w:space="0"/>
              <w:right w:val="single" w:color="auto" w:sz="4" w:space="0"/>
            </w:tcBorders>
            <w:noWrap w:val="0"/>
            <w:vAlign w:val="center"/>
          </w:tcPr>
          <w:p w14:paraId="36D8908E">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自中标通知书发出之日起25日内。</w:t>
            </w:r>
          </w:p>
        </w:tc>
      </w:tr>
      <w:tr w14:paraId="4D2AB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43EBD81E">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▲交付的时间和地点</w:t>
            </w:r>
          </w:p>
        </w:tc>
        <w:tc>
          <w:tcPr>
            <w:tcW w:w="7573" w:type="dxa"/>
            <w:gridSpan w:val="4"/>
            <w:tcBorders>
              <w:top w:val="single" w:color="auto" w:sz="4" w:space="0"/>
              <w:left w:val="single" w:color="auto" w:sz="4" w:space="0"/>
              <w:bottom w:val="single" w:color="auto" w:sz="4" w:space="0"/>
              <w:right w:val="single" w:color="auto" w:sz="4" w:space="0"/>
            </w:tcBorders>
            <w:noWrap w:val="0"/>
            <w:vAlign w:val="center"/>
          </w:tcPr>
          <w:p w14:paraId="0B7101C7">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交货时间：自合同签订之日起 60 天内安装合格交付使用。</w:t>
            </w:r>
          </w:p>
          <w:p w14:paraId="0FF45BAD">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地点：广西区内采购人指定地点。</w:t>
            </w:r>
          </w:p>
        </w:tc>
      </w:tr>
      <w:tr w14:paraId="482A6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57682773">
            <w:pPr>
              <w:widowControl/>
              <w:spacing w:line="360" w:lineRule="exact"/>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▲付款条件</w:t>
            </w:r>
          </w:p>
        </w:tc>
        <w:tc>
          <w:tcPr>
            <w:tcW w:w="7573" w:type="dxa"/>
            <w:gridSpan w:val="4"/>
            <w:tcBorders>
              <w:top w:val="single" w:color="auto" w:sz="4" w:space="0"/>
              <w:left w:val="single" w:color="auto" w:sz="4" w:space="0"/>
              <w:bottom w:val="single" w:color="auto" w:sz="4" w:space="0"/>
              <w:right w:val="single" w:color="auto" w:sz="4" w:space="0"/>
            </w:tcBorders>
            <w:noWrap w:val="0"/>
            <w:vAlign w:val="center"/>
          </w:tcPr>
          <w:p w14:paraId="60DF1F94">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1.签订采购合同前中标人向采购人递交合同总价2%的履约保证金，货物验收合格后，中标人向采购人开具合同金额100%的发票，</w:t>
            </w:r>
            <w:r>
              <w:rPr>
                <w:rFonts w:hint="eastAsia" w:ascii="宋体" w:hAnsi="宋体" w:eastAsia="宋体" w:cs="宋体"/>
                <w:color w:val="000000"/>
                <w:kern w:val="0"/>
                <w:szCs w:val="21"/>
                <w:highlight w:val="none"/>
                <w:lang w:eastAsia="zh-CN"/>
              </w:rPr>
              <w:t>采购人收到发票之日起10个工作日内向中标人一次性支付项目全部费用</w:t>
            </w:r>
            <w:r>
              <w:rPr>
                <w:rFonts w:hint="eastAsia" w:ascii="宋体" w:hAnsi="宋体" w:eastAsia="宋体" w:cs="宋体"/>
                <w:color w:val="000000"/>
                <w:kern w:val="0"/>
                <w:szCs w:val="21"/>
                <w:highlight w:val="none"/>
              </w:rPr>
              <w:t>。</w:t>
            </w:r>
          </w:p>
          <w:p w14:paraId="1DBF441A">
            <w:pPr>
              <w:pStyle w:val="2"/>
              <w:rPr>
                <w:rFonts w:hint="eastAsia" w:ascii="宋体" w:hAnsi="宋体" w:eastAsia="宋体" w:cs="宋体"/>
                <w:color w:val="000000"/>
                <w:highlight w:val="none"/>
              </w:rPr>
            </w:pPr>
            <w:r>
              <w:rPr>
                <w:rFonts w:hint="eastAsia" w:ascii="宋体" w:hAnsi="宋体" w:eastAsia="宋体" w:cs="宋体"/>
                <w:color w:val="000000"/>
                <w:sz w:val="21"/>
                <w:szCs w:val="21"/>
                <w:highlight w:val="none"/>
              </w:rPr>
              <w:t>2.质保期满一年后如未有任何设备使用问题，由中标人向采购人提出履约保证金退还申请，采购人接到书面申请书之日起15个工作日内向中标人退还全部履约保证金金额。</w:t>
            </w:r>
          </w:p>
        </w:tc>
      </w:tr>
      <w:tr w14:paraId="7175C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41982EE6">
            <w:pPr>
              <w:widowControl/>
              <w:spacing w:line="360" w:lineRule="exact"/>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▲质保期 </w:t>
            </w:r>
          </w:p>
        </w:tc>
        <w:tc>
          <w:tcPr>
            <w:tcW w:w="7573" w:type="dxa"/>
            <w:gridSpan w:val="4"/>
            <w:tcBorders>
              <w:top w:val="single" w:color="auto" w:sz="4" w:space="0"/>
              <w:left w:val="single" w:color="auto" w:sz="4" w:space="0"/>
              <w:bottom w:val="single" w:color="auto" w:sz="4" w:space="0"/>
              <w:right w:val="single" w:color="auto" w:sz="4" w:space="0"/>
            </w:tcBorders>
            <w:noWrap w:val="0"/>
            <w:vAlign w:val="center"/>
          </w:tcPr>
          <w:p w14:paraId="0F5490C9">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eastAsia="zh-CN"/>
              </w:rPr>
              <w:t>装备质保期</w:t>
            </w:r>
            <w:r>
              <w:rPr>
                <w:rFonts w:hint="eastAsia" w:ascii="宋体" w:hAnsi="宋体" w:eastAsia="宋体" w:cs="宋体"/>
                <w:color w:val="000000"/>
                <w:kern w:val="0"/>
                <w:szCs w:val="21"/>
                <w:highlight w:val="none"/>
              </w:rPr>
              <w:t>一年（如“技术参数及其性能（配置）要求”中另有要求，按其规定），质保期内免费维修及更换配件，终身维修（质保期外只收配件费，差旅费由厂家或中标人负责）。 质保期内非用户原因引起的质量事故中标人应负全部责任。</w:t>
            </w:r>
          </w:p>
        </w:tc>
      </w:tr>
      <w:tr w14:paraId="20A6C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01A4F272">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▲售后服务</w:t>
            </w:r>
          </w:p>
        </w:tc>
        <w:tc>
          <w:tcPr>
            <w:tcW w:w="7573" w:type="dxa"/>
            <w:gridSpan w:val="4"/>
            <w:tcBorders>
              <w:top w:val="single" w:color="auto" w:sz="4" w:space="0"/>
              <w:left w:val="single" w:color="auto" w:sz="4" w:space="0"/>
              <w:bottom w:val="single" w:color="auto" w:sz="4" w:space="0"/>
              <w:right w:val="single" w:color="auto" w:sz="4" w:space="0"/>
            </w:tcBorders>
            <w:noWrap w:val="0"/>
            <w:vAlign w:val="center"/>
          </w:tcPr>
          <w:p w14:paraId="6A7996CE">
            <w:pPr>
              <w:widowControl/>
              <w:spacing w:line="38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售后服务：（1）按国家有关规定实行产品“三包”；（2）免费送货上门、调试直至设备验收合格（期间所需器材及相关费用均由投标人承担）；（3）接到故障通知后60分钟内响应，4小时内到达现场，并在8小时内解决问题或提供备用机，以保证设备正常运行，并承担一切相关费用；（4）定期回访以及维修；（5）质保期内所有设备免费上门维修服务、免费更换零部件，免费提供应用软件升级；（6）提供终身维护；（7）其余按厂家承诺进行。</w:t>
            </w:r>
          </w:p>
          <w:p w14:paraId="043605DE">
            <w:pPr>
              <w:widowControl/>
              <w:spacing w:line="38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2、免费培训：中标人负责免费培训使用人员和维护人员，内容包括设备及软件系统操作、日常维护，确保熟练掌握全部功能为止。</w:t>
            </w:r>
          </w:p>
          <w:p w14:paraId="17871355">
            <w:pPr>
              <w:widowControl/>
              <w:spacing w:line="38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3、免费安装调试：中标人负责本项目所有货物的安装、调试及项目整体测试、联调和开通，并在试运行结束后由中标人整理验收材料提交采购人验收。</w:t>
            </w:r>
          </w:p>
          <w:p w14:paraId="2677A49B">
            <w:pPr>
              <w:widowControl/>
              <w:spacing w:line="38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4、技术支持与服务：</w:t>
            </w:r>
          </w:p>
          <w:p w14:paraId="07FA44C3">
            <w:pPr>
              <w:widowControl/>
              <w:spacing w:line="38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提供每周7×24小时技术响应服务，中标人应负责所售产品的售后服务，并提供至少一年的免费原厂保修服务；质保期内设备发生故障，维修或更换配件所需的全部费用由中标人承担；维修完毕后工程师及时填写维修报告，维修报告包括故障原因、处理情况及用户意见，维修报告由双方各持一份备案。</w:t>
            </w:r>
          </w:p>
        </w:tc>
      </w:tr>
      <w:tr w14:paraId="63E26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45504E7C">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▲投标报价要求</w:t>
            </w:r>
          </w:p>
        </w:tc>
        <w:tc>
          <w:tcPr>
            <w:tcW w:w="7573" w:type="dxa"/>
            <w:gridSpan w:val="4"/>
            <w:tcBorders>
              <w:top w:val="single" w:color="auto" w:sz="4" w:space="0"/>
              <w:left w:val="single" w:color="auto" w:sz="4" w:space="0"/>
              <w:bottom w:val="single" w:color="auto" w:sz="4" w:space="0"/>
              <w:right w:val="single" w:color="auto" w:sz="4" w:space="0"/>
            </w:tcBorders>
            <w:noWrap w:val="0"/>
            <w:vAlign w:val="center"/>
          </w:tcPr>
          <w:p w14:paraId="2A8C403B">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投标报价包含货物、货物标准附件、备品备件、专用工具、设备安装辅材、施工辅材（如有）、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税金、售后服务、技术培训及其他所有成本费用，以及合同明示或暗示的所有责任、义务和一般风险等一切费用。</w:t>
            </w:r>
          </w:p>
        </w:tc>
      </w:tr>
      <w:tr w14:paraId="01BF2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70DE7847">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▲验收标准、验收方法及方案</w:t>
            </w:r>
          </w:p>
        </w:tc>
        <w:tc>
          <w:tcPr>
            <w:tcW w:w="7573" w:type="dxa"/>
            <w:gridSpan w:val="4"/>
            <w:tcBorders>
              <w:top w:val="single" w:color="auto" w:sz="4" w:space="0"/>
              <w:left w:val="single" w:color="auto" w:sz="4" w:space="0"/>
              <w:bottom w:val="single" w:color="auto" w:sz="4" w:space="0"/>
              <w:right w:val="single" w:color="auto" w:sz="4" w:space="0"/>
            </w:tcBorders>
            <w:noWrap w:val="0"/>
            <w:vAlign w:val="center"/>
          </w:tcPr>
          <w:p w14:paraId="2AD83B61">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1、招标人对中标人提交的货物依据招标文件及投标文件上的技术规格要求和国家有关质量标准进行现场签收，外观、说明书符合采购文件技术要求的，给予签收，不合格的不予签收。</w:t>
            </w:r>
          </w:p>
          <w:p w14:paraId="1AB21596">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中标人交货前应对产品作出全面检查和对验收文件进行整理，并列出清单，作为招标人收货验收和使用的技术条件依据，检验的结果应随货物交甲方。中标人不能完整交付货物及本款规定的单证和工具的，必须负责补齐，否则视为未按合同约定交货。</w:t>
            </w:r>
          </w:p>
          <w:p w14:paraId="65AEC088">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3、招标人组织验收，中标人必须到场配合，验收合格后双方签署验收合格凭证。</w:t>
            </w:r>
          </w:p>
          <w:p w14:paraId="391F3AF9">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4、其他未尽事宜应严格按照《关于印发广西壮族自治区政府采购项目履约验收管理办法的通知》[桂财采〔2015〕22 号]以及《财政部关于进一步加强政府采购需求和履约验收管理的指导意见》[财库〔2016〕205 号]规定执行。</w:t>
            </w:r>
          </w:p>
        </w:tc>
      </w:tr>
      <w:tr w14:paraId="43BE73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03EA4AFD">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其他要求</w:t>
            </w:r>
          </w:p>
        </w:tc>
        <w:tc>
          <w:tcPr>
            <w:tcW w:w="7573" w:type="dxa"/>
            <w:gridSpan w:val="4"/>
            <w:tcBorders>
              <w:top w:val="single" w:color="auto" w:sz="4" w:space="0"/>
              <w:left w:val="single" w:color="auto" w:sz="4" w:space="0"/>
              <w:bottom w:val="single" w:color="auto" w:sz="4" w:space="0"/>
              <w:right w:val="single" w:color="auto" w:sz="4" w:space="0"/>
            </w:tcBorders>
            <w:noWrap w:val="0"/>
            <w:vAlign w:val="center"/>
          </w:tcPr>
          <w:p w14:paraId="661E00E6">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000000"/>
                <w:kern w:val="0"/>
                <w:szCs w:val="21"/>
                <w:highlight w:val="none"/>
              </w:rPr>
              <w:t>▲1</w:t>
            </w:r>
            <w:r>
              <w:rPr>
                <w:rFonts w:hint="eastAsia" w:ascii="宋体" w:hAnsi="宋体" w:eastAsia="宋体" w:cs="宋体"/>
                <w:color w:val="auto"/>
                <w:kern w:val="0"/>
                <w:szCs w:val="21"/>
                <w:highlight w:val="none"/>
              </w:rPr>
              <w:t>、投标人投标文件中必须提供本标项所投产品的公开彩页（体现参数指标）或技术说明书（对于同一参数，彩页或技术说明书标明的参数与投标人的响应不一致的，</w:t>
            </w:r>
            <w:r>
              <w:rPr>
                <w:rFonts w:hint="eastAsia" w:ascii="宋体" w:hAnsi="宋体" w:eastAsia="宋体" w:cs="宋体"/>
                <w:b/>
                <w:color w:val="auto"/>
                <w:kern w:val="0"/>
                <w:szCs w:val="21"/>
                <w:highlight w:val="none"/>
              </w:rPr>
              <w:t>视为</w:t>
            </w:r>
            <w:r>
              <w:rPr>
                <w:rFonts w:hint="eastAsia" w:ascii="宋体" w:hAnsi="宋体" w:eastAsia="宋体" w:cs="宋体"/>
                <w:b/>
                <w:color w:val="auto"/>
                <w:szCs w:val="21"/>
                <w:highlight w:val="none"/>
              </w:rPr>
              <w:t>响应与事实不符</w:t>
            </w:r>
            <w:r>
              <w:rPr>
                <w:rFonts w:hint="eastAsia" w:ascii="宋体" w:hAnsi="宋体" w:eastAsia="宋体" w:cs="宋体"/>
                <w:b/>
                <w:color w:val="auto"/>
                <w:kern w:val="0"/>
                <w:szCs w:val="21"/>
                <w:highlight w:val="none"/>
              </w:rPr>
              <w:t>，</w:t>
            </w:r>
            <w:r>
              <w:rPr>
                <w:rFonts w:hint="eastAsia" w:ascii="宋体" w:hAnsi="宋体" w:eastAsia="宋体" w:cs="宋体"/>
                <w:b/>
                <w:bCs/>
                <w:color w:val="auto"/>
                <w:kern w:val="0"/>
                <w:szCs w:val="21"/>
                <w:highlight w:val="none"/>
              </w:rPr>
              <w:t>按无效投标处理</w:t>
            </w:r>
            <w:r>
              <w:rPr>
                <w:rFonts w:hint="eastAsia" w:ascii="宋体" w:hAnsi="宋体" w:eastAsia="宋体" w:cs="宋体"/>
                <w:color w:val="auto"/>
                <w:kern w:val="0"/>
                <w:szCs w:val="21"/>
                <w:highlight w:val="none"/>
              </w:rPr>
              <w:t xml:space="preserve">）。 </w:t>
            </w:r>
          </w:p>
          <w:p w14:paraId="130F7611">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2、货物必须是全新的；货物到货后，中标人和招标人应在现场进行清点；清点过程中如果发现因包装或运输不当引起的外观或内部的损坏，中标人应负责更换；若发现错发/漏发情况，中标人应负责更换和补发。 </w:t>
            </w:r>
          </w:p>
          <w:p w14:paraId="452CC9A9">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▲3、其余按第五章《政府采购合同文本》要求。</w:t>
            </w:r>
          </w:p>
          <w:p w14:paraId="55D10F37">
            <w:pPr>
              <w:widowControl/>
              <w:spacing w:line="360" w:lineRule="exact"/>
              <w:jc w:val="left"/>
              <w:textAlignment w:val="center"/>
              <w:rPr>
                <w:rFonts w:hint="default" w:ascii="宋体" w:hAnsi="宋体" w:eastAsia="宋体" w:cs="宋体"/>
                <w:b/>
                <w:bCs/>
                <w:color w:val="000000"/>
                <w:kern w:val="0"/>
                <w:szCs w:val="21"/>
                <w:highlight w:val="none"/>
                <w:lang w:val="en-US" w:eastAsia="zh-CN"/>
              </w:rPr>
            </w:pPr>
            <w:r>
              <w:rPr>
                <w:rFonts w:hint="eastAsia" w:ascii="宋体" w:hAnsi="宋体" w:eastAsia="宋体" w:cs="宋体"/>
                <w:color w:val="000000"/>
                <w:kern w:val="0"/>
                <w:szCs w:val="21"/>
                <w:highlight w:val="none"/>
              </w:rPr>
              <w:t>▲</w:t>
            </w:r>
            <w:r>
              <w:rPr>
                <w:rFonts w:hint="eastAsia" w:ascii="宋体" w:hAnsi="宋体" w:eastAsia="宋体" w:cs="宋体"/>
                <w:b/>
                <w:bCs/>
                <w:color w:val="000000"/>
                <w:kern w:val="0"/>
                <w:szCs w:val="21"/>
                <w:highlight w:val="none"/>
                <w:lang w:val="en-US" w:eastAsia="zh-CN"/>
              </w:rPr>
              <w:t>4、</w:t>
            </w:r>
            <w:r>
              <w:rPr>
                <w:rFonts w:hint="eastAsia" w:ascii="宋体" w:hAnsi="宋体" w:cs="宋体"/>
                <w:b/>
                <w:bCs/>
                <w:color w:val="000000"/>
                <w:kern w:val="0"/>
                <w:szCs w:val="21"/>
                <w:highlight w:val="none"/>
                <w:lang w:val="en-US" w:eastAsia="zh-CN"/>
              </w:rPr>
              <w:t>供货时“便携式风力灭火机”产品均需贴上标识，标识采用PVC塑片防水标签，标签内容至少有招标人名称、项目名称、项目编号、产品名称、供货年月日等信息。</w:t>
            </w:r>
          </w:p>
          <w:p w14:paraId="6D67C0A6">
            <w:pPr>
              <w:widowControl/>
              <w:spacing w:line="360" w:lineRule="exact"/>
              <w:jc w:val="left"/>
              <w:textAlignment w:val="center"/>
              <w:rPr>
                <w:rFonts w:hint="eastAsia" w:ascii="宋体" w:hAnsi="宋体" w:eastAsia="宋体" w:cs="宋体"/>
                <w:color w:val="000000"/>
                <w:highlight w:val="none"/>
              </w:rPr>
            </w:pPr>
            <w:r>
              <w:rPr>
                <w:rFonts w:hint="eastAsia" w:ascii="宋体" w:hAnsi="宋体" w:cs="宋体"/>
                <w:color w:val="000000"/>
                <w:kern w:val="0"/>
                <w:szCs w:val="21"/>
                <w:highlight w:val="none"/>
                <w:lang w:val="en-US" w:eastAsia="zh-CN"/>
              </w:rPr>
              <w:t>5</w:t>
            </w:r>
            <w:r>
              <w:rPr>
                <w:rFonts w:hint="eastAsia" w:ascii="宋体" w:hAnsi="宋体" w:eastAsia="宋体" w:cs="宋体"/>
                <w:color w:val="000000"/>
                <w:kern w:val="0"/>
                <w:szCs w:val="21"/>
                <w:highlight w:val="none"/>
              </w:rPr>
              <w:t>、供应商可根据招标文件及评分办法的要求，在投标文件中提供产品性能、项目实施方案、售后服务方案、信誉分、人员配备等证明材料。</w:t>
            </w:r>
          </w:p>
        </w:tc>
      </w:tr>
      <w:tr w14:paraId="5A96CE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64" w:type="dxa"/>
            <w:gridSpan w:val="7"/>
            <w:tcBorders>
              <w:top w:val="single" w:color="auto" w:sz="4" w:space="0"/>
              <w:left w:val="single" w:color="auto" w:sz="4" w:space="0"/>
              <w:bottom w:val="single" w:color="auto" w:sz="4" w:space="0"/>
              <w:right w:val="single" w:color="auto" w:sz="4" w:space="0"/>
            </w:tcBorders>
            <w:noWrap w:val="0"/>
            <w:vAlign w:val="top"/>
          </w:tcPr>
          <w:p w14:paraId="21F46084">
            <w:pPr>
              <w:spacing w:line="360" w:lineRule="exact"/>
              <w:rPr>
                <w:rFonts w:hint="eastAsia" w:ascii="宋体" w:hAnsi="宋体" w:eastAsia="宋体" w:cs="宋体"/>
                <w:color w:val="000000"/>
                <w:kern w:val="0"/>
                <w:szCs w:val="21"/>
                <w:highlight w:val="none"/>
              </w:rPr>
            </w:pPr>
            <w:r>
              <w:rPr>
                <w:rFonts w:hint="eastAsia" w:ascii="宋体" w:hAnsi="宋体" w:eastAsia="宋体" w:cs="宋体"/>
                <w:b/>
                <w:color w:val="000000"/>
                <w:szCs w:val="21"/>
                <w:highlight w:val="none"/>
              </w:rPr>
              <w:t>第三部分 进口产品说明</w:t>
            </w:r>
          </w:p>
        </w:tc>
      </w:tr>
      <w:tr w14:paraId="629CE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64" w:type="dxa"/>
            <w:gridSpan w:val="7"/>
            <w:tcBorders>
              <w:top w:val="single" w:color="auto" w:sz="4" w:space="0"/>
              <w:left w:val="single" w:color="auto" w:sz="4" w:space="0"/>
              <w:bottom w:val="single" w:color="auto" w:sz="4" w:space="0"/>
              <w:right w:val="single" w:color="auto" w:sz="4" w:space="0"/>
            </w:tcBorders>
            <w:noWrap w:val="0"/>
            <w:vAlign w:val="top"/>
          </w:tcPr>
          <w:p w14:paraId="28CE1AB3">
            <w:pPr>
              <w:spacing w:line="360" w:lineRule="exact"/>
              <w:rPr>
                <w:rFonts w:hint="eastAsia" w:ascii="宋体" w:hAnsi="宋体" w:eastAsia="宋体" w:cs="宋体"/>
                <w:color w:val="000000"/>
                <w:kern w:val="0"/>
                <w:szCs w:val="21"/>
                <w:highlight w:val="none"/>
              </w:rPr>
            </w:pPr>
            <w:r>
              <w:rPr>
                <w:rFonts w:hint="eastAsia" w:ascii="宋体" w:hAnsi="宋体" w:eastAsia="宋体" w:cs="宋体"/>
                <w:color w:val="000000"/>
                <w:szCs w:val="21"/>
                <w:highlight w:val="none"/>
              </w:rPr>
              <w:t>本分标中所有产品均不接受进口产品投标。</w:t>
            </w:r>
            <w:r>
              <w:rPr>
                <w:rFonts w:hint="eastAsia" w:ascii="宋体" w:hAnsi="宋体" w:eastAsia="宋体" w:cs="宋体"/>
                <w:b/>
                <w:bCs/>
                <w:color w:val="000000"/>
                <w:szCs w:val="21"/>
                <w:highlight w:val="none"/>
              </w:rPr>
              <w:t>进口产品投标的，投标无效。</w:t>
            </w:r>
          </w:p>
        </w:tc>
      </w:tr>
      <w:tr w14:paraId="6E05A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64" w:type="dxa"/>
            <w:gridSpan w:val="7"/>
            <w:tcBorders>
              <w:top w:val="single" w:color="auto" w:sz="4" w:space="0"/>
              <w:left w:val="single" w:color="auto" w:sz="4" w:space="0"/>
              <w:bottom w:val="single" w:color="auto" w:sz="4" w:space="0"/>
              <w:right w:val="single" w:color="auto" w:sz="4" w:space="0"/>
            </w:tcBorders>
            <w:noWrap w:val="0"/>
            <w:vAlign w:val="top"/>
          </w:tcPr>
          <w:p w14:paraId="49E89D39">
            <w:pPr>
              <w:spacing w:line="360" w:lineRule="exact"/>
              <w:rPr>
                <w:rFonts w:hint="eastAsia" w:ascii="宋体" w:hAnsi="宋体" w:eastAsia="宋体" w:cs="宋体"/>
                <w:color w:val="000000"/>
                <w:szCs w:val="21"/>
                <w:highlight w:val="none"/>
              </w:rPr>
            </w:pPr>
            <w:r>
              <w:rPr>
                <w:rFonts w:hint="eastAsia" w:ascii="宋体" w:hAnsi="宋体" w:eastAsia="宋体" w:cs="宋体"/>
                <w:b/>
                <w:color w:val="000000"/>
                <w:szCs w:val="21"/>
                <w:highlight w:val="none"/>
              </w:rPr>
              <w:t>第四部分 核心产品</w:t>
            </w:r>
          </w:p>
        </w:tc>
      </w:tr>
      <w:tr w14:paraId="44243F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9564" w:type="dxa"/>
            <w:gridSpan w:val="7"/>
            <w:tcBorders>
              <w:top w:val="single" w:color="auto" w:sz="4" w:space="0"/>
              <w:left w:val="single" w:color="auto" w:sz="4" w:space="0"/>
              <w:bottom w:val="single" w:color="auto" w:sz="4" w:space="0"/>
              <w:right w:val="single" w:color="auto" w:sz="4" w:space="0"/>
            </w:tcBorders>
            <w:noWrap w:val="0"/>
            <w:vAlign w:val="top"/>
          </w:tcPr>
          <w:p w14:paraId="38986973">
            <w:pPr>
              <w:tabs>
                <w:tab w:val="left" w:pos="9660"/>
              </w:tabs>
              <w:spacing w:line="360" w:lineRule="exact"/>
              <w:ind w:right="97" w:rightChars="46"/>
              <w:jc w:val="left"/>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本分标核心产品为第1项产品“</w:t>
            </w:r>
            <w:r>
              <w:rPr>
                <w:rFonts w:hint="eastAsia" w:ascii="宋体" w:hAnsi="宋体" w:eastAsia="宋体" w:cs="宋体"/>
                <w:bCs/>
                <w:color w:val="000000"/>
                <w:szCs w:val="21"/>
                <w:highlight w:val="none"/>
                <w:u w:val="single"/>
              </w:rPr>
              <w:t>便携式风力灭火机</w:t>
            </w:r>
            <w:r>
              <w:rPr>
                <w:rFonts w:hint="eastAsia" w:ascii="宋体" w:hAnsi="宋体" w:eastAsia="宋体" w:cs="宋体"/>
                <w:bCs/>
                <w:color w:val="000000"/>
                <w:szCs w:val="21"/>
                <w:highlight w:val="none"/>
              </w:rPr>
              <w:t>”，核心产品品牌相同的，视为提供同品牌产品。</w:t>
            </w:r>
          </w:p>
          <w:p w14:paraId="5DAFAA4C">
            <w:pPr>
              <w:tabs>
                <w:tab w:val="left" w:pos="9660"/>
              </w:tabs>
              <w:spacing w:line="360" w:lineRule="exact"/>
              <w:ind w:right="-10" w:rightChars="-5"/>
              <w:jc w:val="left"/>
              <w:rPr>
                <w:rFonts w:hint="eastAsia" w:ascii="宋体" w:hAnsi="宋体" w:eastAsia="宋体" w:cs="宋体"/>
                <w:b/>
                <w:color w:val="000000"/>
                <w:szCs w:val="21"/>
                <w:highlight w:val="none"/>
              </w:rPr>
            </w:pPr>
            <w:r>
              <w:rPr>
                <w:rFonts w:hint="eastAsia" w:ascii="宋体" w:hAnsi="宋体" w:eastAsia="宋体" w:cs="宋体"/>
                <w:bCs/>
                <w:color w:val="000000"/>
                <w:szCs w:val="21"/>
                <w:highlight w:val="none"/>
              </w:rPr>
              <w:t>注：提供相同品牌产品且通过资格审查、符合性审查的不同投标人参加同一合同项下投标的，按一家投标人计算，评审后得分最高的同品牌投标人获得中标人推荐资格（评审得分相同的，以投标报价由低到高顺序排列；得分相同且投标报价相同的，按技术分由高到低的顺序排列），其他同品牌投标人不作为中标候选人。</w:t>
            </w:r>
          </w:p>
        </w:tc>
      </w:tr>
    </w:tbl>
    <w:p w14:paraId="17C917A9">
      <w:pPr>
        <w:spacing w:line="360" w:lineRule="auto"/>
        <w:ind w:firstLine="308" w:firstLineChars="147"/>
        <w:jc w:val="left"/>
        <w:rPr>
          <w:rFonts w:hint="eastAsia" w:ascii="宋体" w:hAnsi="宋体" w:eastAsia="宋体" w:cs="宋体"/>
          <w:bCs/>
          <w:color w:val="000000" w:themeColor="text1"/>
          <w:szCs w:val="21"/>
          <w:highlight w:val="none"/>
          <w:u w:val="single"/>
          <w14:textFill>
            <w14:solidFill>
              <w14:schemeClr w14:val="tx1"/>
            </w14:solidFill>
          </w14:textFill>
        </w:rPr>
      </w:pPr>
    </w:p>
    <w:p w14:paraId="1A2DEEF8">
      <w:pPr>
        <w:spacing w:line="360" w:lineRule="exact"/>
        <w:ind w:left="-10" w:leftChars="-5" w:right="2" w:rightChars="1" w:firstLine="422" w:firstLineChars="200"/>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2分标：</w:t>
      </w:r>
    </w:p>
    <w:tbl>
      <w:tblPr>
        <w:tblStyle w:val="48"/>
        <w:tblW w:w="98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8"/>
        <w:gridCol w:w="1182"/>
        <w:gridCol w:w="141"/>
        <w:gridCol w:w="534"/>
        <w:gridCol w:w="707"/>
        <w:gridCol w:w="5618"/>
        <w:gridCol w:w="5"/>
        <w:gridCol w:w="5"/>
        <w:gridCol w:w="5"/>
        <w:gridCol w:w="1000"/>
      </w:tblGrid>
      <w:tr w14:paraId="2D80D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9865" w:type="dxa"/>
            <w:gridSpan w:val="10"/>
            <w:noWrap w:val="0"/>
            <w:vAlign w:val="center"/>
          </w:tcPr>
          <w:p w14:paraId="26527511">
            <w:pPr>
              <w:tabs>
                <w:tab w:val="left" w:pos="180"/>
                <w:tab w:val="left" w:pos="1620"/>
              </w:tabs>
              <w:spacing w:line="360" w:lineRule="exac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第一部分 技术要求</w:t>
            </w:r>
          </w:p>
        </w:tc>
      </w:tr>
      <w:tr w14:paraId="6C143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668" w:type="dxa"/>
            <w:noWrap w:val="0"/>
            <w:vAlign w:val="center"/>
          </w:tcPr>
          <w:p w14:paraId="0E742605">
            <w:pPr>
              <w:tabs>
                <w:tab w:val="left" w:pos="180"/>
                <w:tab w:val="left" w:pos="1620"/>
              </w:tabs>
              <w:spacing w:line="36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序号</w:t>
            </w:r>
          </w:p>
        </w:tc>
        <w:tc>
          <w:tcPr>
            <w:tcW w:w="1182" w:type="dxa"/>
            <w:noWrap w:val="0"/>
            <w:vAlign w:val="center"/>
          </w:tcPr>
          <w:p w14:paraId="2CC79F3E">
            <w:pPr>
              <w:tabs>
                <w:tab w:val="left" w:pos="180"/>
                <w:tab w:val="left" w:pos="1620"/>
              </w:tabs>
              <w:spacing w:line="36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标的的名称</w:t>
            </w:r>
          </w:p>
        </w:tc>
        <w:tc>
          <w:tcPr>
            <w:tcW w:w="675" w:type="dxa"/>
            <w:gridSpan w:val="2"/>
            <w:noWrap w:val="0"/>
            <w:vAlign w:val="center"/>
          </w:tcPr>
          <w:p w14:paraId="1897EB99">
            <w:pPr>
              <w:tabs>
                <w:tab w:val="left" w:pos="180"/>
                <w:tab w:val="left" w:pos="1620"/>
              </w:tabs>
              <w:spacing w:line="36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数量</w:t>
            </w:r>
          </w:p>
        </w:tc>
        <w:tc>
          <w:tcPr>
            <w:tcW w:w="707" w:type="dxa"/>
            <w:noWrap w:val="0"/>
            <w:vAlign w:val="center"/>
          </w:tcPr>
          <w:p w14:paraId="70832C71">
            <w:pPr>
              <w:tabs>
                <w:tab w:val="left" w:pos="180"/>
                <w:tab w:val="left" w:pos="1620"/>
              </w:tabs>
              <w:spacing w:line="36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单位</w:t>
            </w:r>
          </w:p>
        </w:tc>
        <w:tc>
          <w:tcPr>
            <w:tcW w:w="5618" w:type="dxa"/>
            <w:tcBorders>
              <w:right w:val="single" w:color="auto" w:sz="4" w:space="0"/>
            </w:tcBorders>
            <w:noWrap w:val="0"/>
            <w:vAlign w:val="center"/>
          </w:tcPr>
          <w:p w14:paraId="21916D1A">
            <w:pPr>
              <w:tabs>
                <w:tab w:val="left" w:pos="180"/>
                <w:tab w:val="left" w:pos="1620"/>
              </w:tabs>
              <w:spacing w:line="36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技术要求</w:t>
            </w:r>
          </w:p>
        </w:tc>
        <w:tc>
          <w:tcPr>
            <w:tcW w:w="1015" w:type="dxa"/>
            <w:gridSpan w:val="4"/>
            <w:tcBorders>
              <w:left w:val="single" w:color="auto" w:sz="4" w:space="0"/>
            </w:tcBorders>
            <w:noWrap w:val="0"/>
            <w:vAlign w:val="center"/>
          </w:tcPr>
          <w:p w14:paraId="0E886F68">
            <w:pPr>
              <w:tabs>
                <w:tab w:val="left" w:pos="180"/>
                <w:tab w:val="left" w:pos="1620"/>
              </w:tabs>
              <w:spacing w:line="360" w:lineRule="exact"/>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控制单价（元）</w:t>
            </w:r>
          </w:p>
        </w:tc>
      </w:tr>
      <w:tr w14:paraId="0DD37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668" w:type="dxa"/>
            <w:noWrap w:val="0"/>
            <w:vAlign w:val="center"/>
          </w:tcPr>
          <w:p w14:paraId="3DF49E58">
            <w:pPr>
              <w:tabs>
                <w:tab w:val="left" w:pos="180"/>
                <w:tab w:val="left" w:pos="1620"/>
              </w:tabs>
              <w:spacing w:line="38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1182" w:type="dxa"/>
            <w:noWrap w:val="0"/>
            <w:vAlign w:val="center"/>
          </w:tcPr>
          <w:p w14:paraId="49C9DFA2">
            <w:pPr>
              <w:tabs>
                <w:tab w:val="left" w:pos="180"/>
                <w:tab w:val="left" w:pos="1620"/>
              </w:tabs>
              <w:spacing w:line="380" w:lineRule="exact"/>
              <w:jc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扑</w:t>
            </w:r>
            <w:r>
              <w:rPr>
                <w:rFonts w:hint="eastAsia" w:ascii="宋体" w:hAnsi="宋体" w:eastAsia="宋体" w:cs="宋体"/>
                <w:color w:val="auto"/>
                <w:szCs w:val="21"/>
                <w:highlight w:val="none"/>
              </w:rPr>
              <w:t>火战斗套装</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（含扑火战斗服及腰带、扑火头盔及头套、扑火靴、扑火手套等）</w:t>
            </w:r>
          </w:p>
        </w:tc>
        <w:tc>
          <w:tcPr>
            <w:tcW w:w="675" w:type="dxa"/>
            <w:gridSpan w:val="2"/>
            <w:noWrap w:val="0"/>
            <w:vAlign w:val="center"/>
          </w:tcPr>
          <w:p w14:paraId="548F32CE">
            <w:pPr>
              <w:tabs>
                <w:tab w:val="left" w:pos="180"/>
                <w:tab w:val="left" w:pos="1620"/>
              </w:tabs>
              <w:spacing w:line="380" w:lineRule="exact"/>
              <w:jc w:val="center"/>
              <w:rPr>
                <w:rFonts w:hint="eastAsia" w:ascii="宋体" w:hAnsi="宋体" w:eastAsia="宋体" w:cs="宋体"/>
                <w:color w:val="000000"/>
                <w:szCs w:val="21"/>
                <w:highlight w:val="none"/>
              </w:rPr>
            </w:pPr>
            <w:r>
              <w:rPr>
                <w:rFonts w:hint="default" w:ascii="宋体" w:hAnsi="宋体" w:eastAsia="宋体" w:cs="宋体"/>
                <w:color w:val="000000"/>
                <w:szCs w:val="21"/>
                <w:highlight w:val="none"/>
                <w:lang w:val="en-US" w:eastAsia="zh-CN"/>
              </w:rPr>
              <w:t>300</w:t>
            </w:r>
          </w:p>
        </w:tc>
        <w:tc>
          <w:tcPr>
            <w:tcW w:w="707" w:type="dxa"/>
            <w:noWrap w:val="0"/>
            <w:vAlign w:val="center"/>
          </w:tcPr>
          <w:p w14:paraId="184CF5FC">
            <w:pPr>
              <w:tabs>
                <w:tab w:val="left" w:pos="180"/>
                <w:tab w:val="left" w:pos="1620"/>
              </w:tabs>
              <w:spacing w:line="380" w:lineRule="exact"/>
              <w:jc w:val="center"/>
              <w:rPr>
                <w:rFonts w:hint="eastAsia" w:ascii="宋体" w:hAnsi="宋体" w:eastAsia="宋体" w:cs="宋体"/>
                <w:color w:val="000000"/>
                <w:szCs w:val="21"/>
                <w:highlight w:val="none"/>
              </w:rPr>
            </w:pPr>
            <w:r>
              <w:rPr>
                <w:rFonts w:hint="default" w:ascii="宋体" w:hAnsi="宋体" w:eastAsia="宋体" w:cs="宋体"/>
                <w:color w:val="000000"/>
                <w:szCs w:val="21"/>
                <w:highlight w:val="none"/>
                <w:lang w:val="en-US" w:eastAsia="zh-CN"/>
              </w:rPr>
              <w:t>套</w:t>
            </w:r>
          </w:p>
        </w:tc>
        <w:tc>
          <w:tcPr>
            <w:tcW w:w="5618" w:type="dxa"/>
            <w:tcBorders>
              <w:right w:val="single" w:color="auto" w:sz="4" w:space="0"/>
            </w:tcBorders>
            <w:noWrap w:val="0"/>
            <w:vAlign w:val="center"/>
          </w:tcPr>
          <w:p w14:paraId="1D30E9CB">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一、扑火服：1、颜色:桔红色,色号;16-1462TPx(国际潘通色卡),色差△E≤3.5。</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2、面料材质;采用永久阻燃100%芳纶纤维方格布料，具有防静电、防水、阻燃性能。</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3、检验判定依据：GB/T33536-2017《防护服装 森林防火服》。</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4、森林防火服面料阻燃、隔热性能、物理化性能为：</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续燃时间≤0.1s，阴燃时间≤0.1s</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损坏长度：T≤20mm;W≤20mm</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 xml:space="preserve">断裂强度：经向≥1450N、纬向≥1350N </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 xml:space="preserve">撕破强度：经向≥450N、纬向≥430N </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热洗涤50次后防护系数TPP（kw.s/m</w:t>
            </w:r>
            <w:r>
              <w:rPr>
                <w:rFonts w:hint="eastAsia" w:ascii="宋体" w:hAnsi="宋体" w:eastAsia="宋体" w:cs="宋体"/>
                <w:color w:val="000000"/>
                <w:szCs w:val="21"/>
                <w:highlight w:val="none"/>
                <w:vertAlign w:val="superscript"/>
              </w:rPr>
              <w:t>2</w:t>
            </w:r>
            <w:r>
              <w:rPr>
                <w:rFonts w:hint="eastAsia" w:ascii="宋体" w:hAnsi="宋体" w:eastAsia="宋体" w:cs="宋体"/>
                <w:color w:val="000000"/>
                <w:szCs w:val="21"/>
                <w:highlight w:val="none"/>
              </w:rPr>
              <w:t xml:space="preserve">）≥340 </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无熔融、滴落现象</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甲醛含量：≤</w:t>
            </w:r>
            <w:r>
              <w:rPr>
                <w:rFonts w:hint="eastAsia" w:ascii="宋体" w:hAnsi="宋体" w:eastAsia="宋体" w:cs="宋体"/>
                <w:color w:val="000000"/>
                <w:szCs w:val="21"/>
                <w:highlight w:val="none"/>
                <w:lang w:val="en-US" w:eastAsia="zh-CN"/>
              </w:rPr>
              <w:t>0.5</w:t>
            </w:r>
            <w:r>
              <w:rPr>
                <w:rFonts w:hint="eastAsia" w:ascii="宋体" w:hAnsi="宋体" w:eastAsia="宋体" w:cs="宋体"/>
                <w:color w:val="000000"/>
                <w:szCs w:val="21"/>
                <w:highlight w:val="none"/>
              </w:rPr>
              <w:t>mg/kg</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水洗尺寸变化率：-0.3%～0.2%</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热稳定性: 在(260℃±5):经过5min热稳定实验后,无熔融、滴落</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5、耐皂洗色牢度≥3-4级；耐光色牢度≥4级,耐水洗色牢度≥3-4级,耐摩擦色牢度≥3级,耐汗渍色牢度≥3-4级。</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6、大腿处加强面料的阻燃、隔热性能、物理化性能为：</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续燃时间≤0.1s,阴燃时间≤0.1s</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损坏长度：T≤14mm;W≤12mm</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 xml:space="preserve">断裂强度:经向≥1750N、纬向≥1650N </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 xml:space="preserve">撕破强度;经向≥480N、纬向≥450N </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热洗涤50次后防护系数TPP（kw.s/m</w:t>
            </w:r>
            <w:r>
              <w:rPr>
                <w:rFonts w:hint="eastAsia" w:ascii="宋体" w:hAnsi="宋体" w:eastAsia="宋体" w:cs="宋体"/>
                <w:color w:val="000000"/>
                <w:szCs w:val="21"/>
                <w:highlight w:val="none"/>
                <w:vertAlign w:val="superscript"/>
              </w:rPr>
              <w:t>2</w:t>
            </w:r>
            <w:r>
              <w:rPr>
                <w:rFonts w:hint="eastAsia" w:ascii="宋体" w:hAnsi="宋体" w:eastAsia="宋体" w:cs="宋体"/>
                <w:color w:val="000000"/>
                <w:szCs w:val="21"/>
                <w:highlight w:val="none"/>
              </w:rPr>
              <w:t xml:space="preserve">）≥480 </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无熔融、滴落现象</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甲醛含量：未检出</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水洗尺寸变化率：-0.2%～-0.1%</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 xml:space="preserve">热稳定性: 在(260℃±5):经过5min热稳定实验后,无熔融、滴落 </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7、缝纫线断裂强力≥17N。</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8、森林防火服成品裤后裆断裂强力≥750N,肩接缝断裂强力≥720N,单衣接缝断裂强力≥310N。</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9、反光带：</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续燃时间≤0.1s，阴燃时间≤0.1s</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损坏长度：T≤16mm;W≤15mm</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无熔融、滴落现象</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反射率系数≥370cd/(lx*m</w:t>
            </w:r>
            <w:r>
              <w:rPr>
                <w:rFonts w:hint="eastAsia" w:ascii="宋体" w:hAnsi="宋体" w:eastAsia="宋体" w:cs="宋体"/>
                <w:color w:val="000000"/>
                <w:szCs w:val="21"/>
                <w:highlight w:val="none"/>
                <w:vertAlign w:val="superscript"/>
              </w:rPr>
              <w:t>2</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10、衣服中标后印字要求:按照采购人要求印字；</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11、全套外挂标牌。</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12、左手臂处自带两块毛面魔术贴,右手臂自带1块毛面魔术贴。</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13、左前胸带悬挂袢及自由固定收紧式魔术贴。</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14、大腿面部采用耐磨菱形格加强面料加固缝制。</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15、全套收紧:领口紧(采用魔术贴收紧),袖口紧(采用魔术贴收紧),衣服腰部收紧(采用衣服内部收紧绳调节松紧),衣服下口收紧(采用衣服内部收紧绳调节松紧）,裤口双重收紧(采用魔术贴及拉链调节松紧)。</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16、裤腰自由调节大小(采用魔术贴调节大小，调节范围≥0-20cm）。</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17、衣服背部:采用风琴折凑方式制作(保证扑火队员运动时宽松）。</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18、补强处理:肩、肘、膝部应采用磨层加厚处理。</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19、全套拉链不小于5号。</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20、上衣至少具备6个包、裤采用外挂风琴包设计。</w:t>
            </w:r>
          </w:p>
          <w:p w14:paraId="2561330D">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二、头盔 </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1、头盔由盔壳和盔壳辅件组成，盔壳辅件由其盔壳上配戴的应急救援帽徽、L型导轨及下颏带、悬挂系统、减震内衬等部件组成。</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2、盔壳由轻型耐高温高弹性复合材料制成，悬挂后部有可调松紧的调节装置。</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3、下颏带、头盔悬挂系统组件完整，紧急脱扣应扣解方便，下颏带可调节。</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4、悬挂带可调节长度为505mm～580mm，悬挂带由调节装置调整到佩戴人员所需尺寸。</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5、头盔两侧设有L型导轨：L型导轨固定在护耳上方，用来固定手电、护目镜等及其他辅件。</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6、头盔成品的总重量≤800g。</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7、 冲击吸收性能：头模所受冲击力≤2450N；帽壳不得有碎片脱落。</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8、阻燃性能：续燃时间≤0.5s；帽壳不得烧穿。</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9、耐穿透性能：经低温预处理钢锥不应与头模建立接触；</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10、热稳定性能：头盔在180℃的烘箱中保持5min后，其边沿无变形；硬质附件保持功能完好；反光材料表面无碳化、脱落现象。</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11、电绝缘性能：泄漏电流≤1.0mA。</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 xml:space="preserve">12、侧向刚性：最大变形≤40mm，卸载后变形≤2mm。 </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13、下颏带抗拉强度：下颏带不应发生断裂、滑脱，其延伸长度≤15mm。</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 xml:space="preserve">三、头套 </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1、面料材质;采用永久阻燃100%芳纶纤维方格布料，具有防静电、防水、阻燃性能。</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 xml:space="preserve">2、续燃时间≤0.1s,阴燃时间≤0.1s </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 xml:space="preserve">损坏长度：T≤100mm;W≤100mm </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无熔融、滴落现象。</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3、接缝断裂强力≥1300N。</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4、甲醛含量：未检出。</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5、质量：≤200g。</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 xml:space="preserve">四、护目镜 </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1、外观：a.不存在让佩戴者感到不适和对使用者造成伤害的突出部分、尖锐边缘和其他缺陷。b.除镜片边缘5m宽的区域以外，镜片不存在气泡、水泡、划痕、凹痕、固体杂质、气体杂质、暗点、斑点、蚀损斑、霉斑、修补斑、蚀孔、碎片、裂纹、抛光缺陷和波纹等表面缺陷。</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2、质量：≤130g。</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3、光透射比：≥90%。</w:t>
            </w:r>
          </w:p>
          <w:p w14:paraId="53D29E4F">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4、检验判定依据：XF 633-2006《消防员抢险救援防护服装》。                                                                                                     五、扑火靴                                                                                                                                                                                                           1、款式：长靴款式，高≥15cm，颜色为黑色，鞋帮为U型口门系带式结构；鞋面为铬鞣黄牛头层黑色阻燃防水革,鞋里为黑色涤纶经编间隔网眼织物；鞋底为阻燃橡胶大底，帮底结合采用胶黏工艺；鞋底具有防加塞泥沙功能，防穿刺，耐磕碰性能。</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2、鞋帮抗刺穿性能≥300N；鞋底抗刺穿性能≥1200N；防滑性能：始滑角≥20°。</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3、隔热性能：在隔热性能实验中加热30min时，鞋底内表面的温升≤15℃。</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4、鞋帮抗辐射热渗透性能：鞋帮表面经辐射热通量为10Kw/㎡,辐照1min后期内表面温升≤15℃。</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5、阻燃性能：火焰离开试样各试验点后，离火自熄时间≤1s;损毁长度≤45mm；无熔融、熔滴或剥离。</w:t>
            </w:r>
          </w:p>
          <w:p w14:paraId="3F41FD1B">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6、检验判定依据：GB/T33536-2017、GB/T2703.2-2009。                                                                                                                                     六、扑火手套</w:t>
            </w:r>
          </w:p>
          <w:p w14:paraId="140C0A11">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1、款式：总长度≥40CM，带两道反光条；手腕有两道收紧设计。</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2、面料：芳纶阻燃面料，具有隔热层、防滑层和阻燃层；可以和扑火服连成一体，防止火星和灰尘进入，形成整体保护。</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3、性能参数：续燃时间≤0.1s；阴燃时间≤0.1s。</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4、损毁长度≤17mm。</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5、断裂强力（洗涤50 次后）≥2000N。</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6、撕破强力（洗涤50 次后）≥700N。</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7、甲醛含量0 mg/kg；热稳定性≤1.2%。</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8、PH值6.0-7.0。</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9、热防护系数TPP KW.S/㎡≥290N。</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10、检验判定依据：XF 633-2006《消防员抢险救援防护服装》。</w:t>
            </w:r>
          </w:p>
          <w:p w14:paraId="5F78EF01">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七、含扑火战斗服及腰带、扑火头盔及头套、扑火靴、扑火手套。</w:t>
            </w:r>
          </w:p>
          <w:p w14:paraId="299AA16A">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八、以上所有标注有“</w:t>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”参数投标时需提供具有CMA或CNAS资格的检测机构出具的检测报告复印件予以佐证，</w:t>
            </w:r>
            <w:r>
              <w:rPr>
                <w:rFonts w:hint="eastAsia" w:ascii="宋体" w:hAnsi="宋体" w:eastAsia="宋体" w:cs="宋体"/>
                <w:color w:val="000000"/>
                <w:highlight w:val="none"/>
                <w:lang w:val="en-US" w:eastAsia="zh-CN"/>
              </w:rPr>
              <w:t>检测报告需标注或批注相应的内容以便评审查找，</w:t>
            </w:r>
            <w:r>
              <w:rPr>
                <w:rFonts w:hint="eastAsia" w:ascii="宋体" w:hAnsi="宋体" w:eastAsia="宋体" w:cs="宋体"/>
                <w:color w:val="000000"/>
                <w:szCs w:val="21"/>
                <w:highlight w:val="none"/>
              </w:rPr>
              <w:t>无法佐证或检验报告未体现</w:t>
            </w:r>
            <w:r>
              <w:rPr>
                <w:rFonts w:hint="eastAsia" w:ascii="宋体" w:hAnsi="宋体" w:eastAsia="宋体" w:cs="宋体"/>
                <w:color w:val="000000"/>
                <w:szCs w:val="21"/>
                <w:highlight w:val="none"/>
                <w:lang w:eastAsia="zh-CN"/>
              </w:rPr>
              <w:t>的按无效投标处理</w:t>
            </w:r>
            <w:r>
              <w:rPr>
                <w:rFonts w:hint="eastAsia" w:ascii="宋体" w:hAnsi="宋体" w:eastAsia="宋体" w:cs="宋体"/>
                <w:color w:val="000000"/>
                <w:szCs w:val="21"/>
                <w:highlight w:val="none"/>
              </w:rPr>
              <w:t>。</w:t>
            </w:r>
          </w:p>
        </w:tc>
        <w:tc>
          <w:tcPr>
            <w:tcW w:w="1015" w:type="dxa"/>
            <w:gridSpan w:val="4"/>
            <w:tcBorders>
              <w:left w:val="single" w:color="auto" w:sz="4" w:space="0"/>
            </w:tcBorders>
            <w:noWrap w:val="0"/>
            <w:vAlign w:val="center"/>
          </w:tcPr>
          <w:p w14:paraId="013E5DB7">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3600</w:t>
            </w:r>
          </w:p>
        </w:tc>
      </w:tr>
      <w:tr w14:paraId="4D168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668" w:type="dxa"/>
            <w:noWrap w:val="0"/>
            <w:vAlign w:val="center"/>
          </w:tcPr>
          <w:p w14:paraId="423B19D1">
            <w:pPr>
              <w:tabs>
                <w:tab w:val="left" w:pos="180"/>
                <w:tab w:val="left" w:pos="1620"/>
              </w:tabs>
              <w:spacing w:line="380" w:lineRule="exact"/>
              <w:jc w:val="center"/>
              <w:rPr>
                <w:rFonts w:hint="eastAsia" w:ascii="宋体" w:hAnsi="宋体" w:eastAsia="宋体" w:cs="宋体"/>
                <w:color w:val="000000"/>
                <w:szCs w:val="21"/>
                <w:highlight w:val="none"/>
              </w:rPr>
            </w:pPr>
          </w:p>
        </w:tc>
        <w:tc>
          <w:tcPr>
            <w:tcW w:w="1182" w:type="dxa"/>
            <w:noWrap w:val="0"/>
            <w:vAlign w:val="center"/>
          </w:tcPr>
          <w:p w14:paraId="05A6AC6E">
            <w:pPr>
              <w:tabs>
                <w:tab w:val="left" w:pos="180"/>
                <w:tab w:val="left" w:pos="1620"/>
              </w:tabs>
              <w:spacing w:line="380" w:lineRule="exact"/>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Cs w:val="21"/>
                <w:highlight w:val="none"/>
              </w:rPr>
              <w:t>背负式双动力高压灭火水枪</w:t>
            </w:r>
          </w:p>
        </w:tc>
        <w:tc>
          <w:tcPr>
            <w:tcW w:w="675" w:type="dxa"/>
            <w:gridSpan w:val="2"/>
            <w:noWrap w:val="0"/>
            <w:vAlign w:val="center"/>
          </w:tcPr>
          <w:p w14:paraId="6E8EC0F9">
            <w:pPr>
              <w:tabs>
                <w:tab w:val="left" w:pos="180"/>
                <w:tab w:val="left" w:pos="1620"/>
              </w:tabs>
              <w:spacing w:line="380" w:lineRule="exact"/>
              <w:jc w:val="center"/>
              <w:rPr>
                <w:rFonts w:hint="eastAsia" w:ascii="宋体" w:hAnsi="宋体" w:eastAsia="宋体" w:cs="宋体"/>
                <w:color w:val="000000"/>
                <w:szCs w:val="21"/>
                <w:highlight w:val="none"/>
                <w:lang w:val="en-US" w:eastAsia="zh-CN"/>
              </w:rPr>
            </w:pPr>
            <w:r>
              <w:rPr>
                <w:rFonts w:hint="default" w:ascii="宋体" w:hAnsi="宋体" w:eastAsia="宋体" w:cs="宋体"/>
                <w:color w:val="000000"/>
                <w:szCs w:val="21"/>
                <w:highlight w:val="none"/>
                <w:lang w:val="en-US" w:eastAsia="zh-CN"/>
              </w:rPr>
              <w:t>420</w:t>
            </w:r>
          </w:p>
        </w:tc>
        <w:tc>
          <w:tcPr>
            <w:tcW w:w="707" w:type="dxa"/>
            <w:noWrap w:val="0"/>
            <w:vAlign w:val="center"/>
          </w:tcPr>
          <w:p w14:paraId="0E22B5CB">
            <w:pPr>
              <w:tabs>
                <w:tab w:val="left" w:pos="180"/>
                <w:tab w:val="left" w:pos="1620"/>
              </w:tabs>
              <w:spacing w:line="380" w:lineRule="exact"/>
              <w:jc w:val="center"/>
              <w:rPr>
                <w:rFonts w:hint="eastAsia" w:ascii="宋体" w:hAnsi="宋体" w:eastAsia="宋体" w:cs="宋体"/>
                <w:color w:val="000000"/>
                <w:szCs w:val="21"/>
                <w:highlight w:val="none"/>
                <w:lang w:val="en-US" w:eastAsia="zh-CN"/>
              </w:rPr>
            </w:pPr>
            <w:r>
              <w:rPr>
                <w:rFonts w:hint="default" w:ascii="宋体" w:hAnsi="宋体" w:eastAsia="宋体" w:cs="宋体"/>
                <w:color w:val="000000"/>
                <w:szCs w:val="21"/>
                <w:highlight w:val="none"/>
                <w:lang w:val="en-US" w:eastAsia="zh-CN"/>
              </w:rPr>
              <w:t>台</w:t>
            </w:r>
          </w:p>
        </w:tc>
        <w:tc>
          <w:tcPr>
            <w:tcW w:w="5623" w:type="dxa"/>
            <w:gridSpan w:val="2"/>
            <w:tcBorders>
              <w:right w:val="single" w:color="auto" w:sz="4" w:space="0"/>
            </w:tcBorders>
            <w:noWrap w:val="0"/>
            <w:vAlign w:val="center"/>
          </w:tcPr>
          <w:p w14:paraId="2CFBD542">
            <w:pPr>
              <w:widowControl/>
              <w:spacing w:line="360" w:lineRule="exact"/>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Cs w:val="21"/>
                <w:highlight w:val="none"/>
              </w:rPr>
              <w:t>1、桶装背负电动作业一体式，由电动铅酸蓄电池、枪体、连接管、水箱等部件组成；电池与电动水泵应均匀分布在水桶下面，安装有过滤网，背带应具有调节功能。</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2、同时具备手动作业和电动作业功能，背负式使用和行军。</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3、电池：电池容量:≥12AH，电压标准≥12V；充电≤12小时，能连续使用8小时以上；密封，免维护。</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4、电动作业时最大流量：≥2.5L/分钟，最大工作压力：≥0.6 MPA；射程：≥6m。</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5、容量：≥18L，净重量(含电池，不含水)≤8KG，耐压。</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6、喷头：具有六种角度的喷射方式，旋转式设计，旋转枪头时可单手操作。</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7、手电动一体式设计，在没有电时，可往复式喷水。</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8、照明系统：</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8.1符合GB/T3836.1-2021、GB/T3836.4-2021、GB 30734―2014、GB/T15211-2013、GB/T5226.1-2019标准的技术要求，防爆等级:ExibIICT4Gb Exib IIIC T130℃</w:t>
            </w:r>
            <w:r>
              <w:rPr>
                <w:rFonts w:hint="eastAsia" w:ascii="宋体" w:hAnsi="宋体" w:eastAsia="宋体" w:cs="宋体"/>
                <w:color w:val="000000"/>
                <w:szCs w:val="21"/>
                <w:highlight w:val="none"/>
                <w:lang w:val="en-US" w:eastAsia="zh-CN"/>
              </w:rPr>
              <w:t>D</w:t>
            </w:r>
            <w:r>
              <w:rPr>
                <w:rFonts w:hint="eastAsia" w:ascii="宋体" w:hAnsi="宋体" w:eastAsia="宋体" w:cs="宋体"/>
                <w:color w:val="000000"/>
                <w:szCs w:val="21"/>
                <w:highlight w:val="none"/>
              </w:rPr>
              <w:t>b;防护等级IP66/IP68，充电方式：充电口为Type-c接口，可通过各种手机及电子类产品5V充电器， 额定功率3W；额定容量：3.7V，1900mAh；强光≥4h，工作光≥8h；防护等级IP66/IP68(5M，1.5h)；</w:t>
            </w:r>
            <w:r>
              <w:rPr>
                <w:rFonts w:hint="eastAsia" w:ascii="宋体" w:hAnsi="宋体" w:eastAsia="宋体" w:cs="宋体"/>
                <w:color w:val="000000"/>
                <w:szCs w:val="21"/>
                <w:highlight w:val="none"/>
              </w:rPr>
              <w:br w:type="textWrapping"/>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 xml:space="preserve">8.2米中心照度值：强光平均照度≥2000lx,强光最低≥1500lx；弱光平均照度≥1000lx，弱最低照度≥750lx：光通量聚光强光320lm，聚光弱光160lm。 </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9、标注有“</w:t>
            </w:r>
            <w:r>
              <w:rPr>
                <w:rFonts w:hint="eastAsia" w:ascii="宋体" w:hAnsi="宋体" w:eastAsia="宋体" w:cs="宋体"/>
                <w:color w:val="000000"/>
                <w:kern w:val="0"/>
                <w:szCs w:val="21"/>
                <w:highlight w:val="none"/>
              </w:rPr>
              <w:t>▲</w:t>
            </w:r>
            <w:r>
              <w:rPr>
                <w:rFonts w:hint="eastAsia" w:ascii="宋体" w:hAnsi="宋体" w:eastAsia="宋体" w:cs="宋体"/>
                <w:color w:val="000000"/>
                <w:szCs w:val="21"/>
                <w:highlight w:val="none"/>
              </w:rPr>
              <w:t>”参数投标时需提供具有CMA或CNAS资格的检测机构出具的检测报告复印件予以佐证，</w:t>
            </w:r>
            <w:r>
              <w:rPr>
                <w:rFonts w:hint="eastAsia" w:ascii="宋体" w:hAnsi="宋体" w:eastAsia="宋体" w:cs="宋体"/>
                <w:color w:val="000000"/>
                <w:highlight w:val="none"/>
                <w:lang w:val="en-US" w:eastAsia="zh-CN"/>
              </w:rPr>
              <w:t>检测报告需标注或批注相应的内容以便评审查找，</w:t>
            </w:r>
            <w:r>
              <w:rPr>
                <w:rFonts w:hint="eastAsia" w:ascii="宋体" w:hAnsi="宋体" w:eastAsia="宋体" w:cs="宋体"/>
                <w:color w:val="000000"/>
                <w:szCs w:val="21"/>
                <w:highlight w:val="none"/>
              </w:rPr>
              <w:t>无法佐证或检验报告未体现</w:t>
            </w:r>
            <w:r>
              <w:rPr>
                <w:rFonts w:hint="eastAsia" w:ascii="宋体" w:hAnsi="宋体" w:eastAsia="宋体" w:cs="宋体"/>
                <w:color w:val="000000"/>
                <w:szCs w:val="21"/>
                <w:highlight w:val="none"/>
                <w:lang w:eastAsia="zh-CN"/>
              </w:rPr>
              <w:t>的按无效投标处理</w:t>
            </w:r>
            <w:r>
              <w:rPr>
                <w:rFonts w:hint="eastAsia" w:ascii="宋体" w:hAnsi="宋体" w:eastAsia="宋体" w:cs="宋体"/>
                <w:color w:val="000000"/>
                <w:szCs w:val="21"/>
                <w:highlight w:val="none"/>
              </w:rPr>
              <w:t>。</w:t>
            </w:r>
          </w:p>
        </w:tc>
        <w:tc>
          <w:tcPr>
            <w:tcW w:w="1010" w:type="dxa"/>
            <w:gridSpan w:val="3"/>
            <w:tcBorders>
              <w:left w:val="single" w:color="auto" w:sz="4" w:space="0"/>
            </w:tcBorders>
            <w:noWrap w:val="0"/>
            <w:vAlign w:val="center"/>
          </w:tcPr>
          <w:p w14:paraId="3CDE9817">
            <w:pPr>
              <w:widowControl/>
              <w:spacing w:line="360" w:lineRule="exact"/>
              <w:ind w:firstLine="210" w:firstLineChars="100"/>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2600</w:t>
            </w:r>
          </w:p>
        </w:tc>
      </w:tr>
      <w:tr w14:paraId="3348E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668" w:type="dxa"/>
            <w:noWrap w:val="0"/>
            <w:vAlign w:val="center"/>
          </w:tcPr>
          <w:p w14:paraId="62B550BC">
            <w:pPr>
              <w:widowControl/>
              <w:spacing w:line="360" w:lineRule="exact"/>
              <w:jc w:val="left"/>
              <w:textAlignment w:val="center"/>
              <w:rPr>
                <w:rFonts w:hint="eastAsia" w:ascii="宋体" w:hAnsi="宋体" w:eastAsia="宋体" w:cs="宋体"/>
                <w:color w:val="000000"/>
                <w:szCs w:val="21"/>
                <w:highlight w:val="none"/>
              </w:rPr>
            </w:pPr>
            <w:r>
              <w:rPr>
                <w:rFonts w:hint="default" w:ascii="宋体" w:hAnsi="宋体" w:eastAsia="宋体" w:cs="宋体"/>
                <w:color w:val="000000"/>
                <w:szCs w:val="21"/>
                <w:highlight w:val="none"/>
                <w:lang w:val="en-US" w:eastAsia="zh-CN"/>
              </w:rPr>
              <w:t>2</w:t>
            </w:r>
          </w:p>
        </w:tc>
        <w:tc>
          <w:tcPr>
            <w:tcW w:w="1182" w:type="dxa"/>
            <w:noWrap w:val="0"/>
            <w:vAlign w:val="center"/>
          </w:tcPr>
          <w:p w14:paraId="78C33CFA">
            <w:pPr>
              <w:widowControl/>
              <w:spacing w:line="360" w:lineRule="exact"/>
              <w:jc w:val="left"/>
              <w:textAlignment w:val="center"/>
              <w:rPr>
                <w:rFonts w:hint="eastAsia" w:ascii="宋体" w:hAnsi="宋体" w:eastAsia="宋体" w:cs="宋体"/>
                <w:color w:val="000000"/>
                <w:szCs w:val="21"/>
                <w:highlight w:val="none"/>
              </w:rPr>
            </w:pPr>
            <w:r>
              <w:rPr>
                <w:rFonts w:hint="default" w:ascii="宋体" w:hAnsi="宋体" w:eastAsia="宋体" w:cs="宋体"/>
                <w:color w:val="000000"/>
                <w:szCs w:val="21"/>
                <w:highlight w:val="none"/>
                <w:lang w:val="en-US" w:eastAsia="zh-CN"/>
              </w:rPr>
              <w:t>二号工具</w:t>
            </w:r>
          </w:p>
        </w:tc>
        <w:tc>
          <w:tcPr>
            <w:tcW w:w="675" w:type="dxa"/>
            <w:gridSpan w:val="2"/>
            <w:noWrap w:val="0"/>
            <w:vAlign w:val="center"/>
          </w:tcPr>
          <w:p w14:paraId="315BC5D5">
            <w:pPr>
              <w:widowControl/>
              <w:spacing w:line="360" w:lineRule="exact"/>
              <w:jc w:val="left"/>
              <w:textAlignment w:val="center"/>
              <w:rPr>
                <w:rFonts w:hint="default" w:ascii="宋体" w:hAnsi="宋体" w:eastAsia="宋体" w:cs="宋体"/>
                <w:color w:val="000000"/>
                <w:szCs w:val="21"/>
                <w:highlight w:val="none"/>
                <w:lang w:val="en-US" w:eastAsia="zh-CN"/>
              </w:rPr>
            </w:pPr>
            <w:r>
              <w:rPr>
                <w:rFonts w:hint="default" w:ascii="宋体" w:hAnsi="宋体" w:eastAsia="宋体" w:cs="宋体"/>
                <w:color w:val="000000"/>
                <w:szCs w:val="21"/>
                <w:highlight w:val="none"/>
                <w:lang w:val="en-US" w:eastAsia="zh-CN"/>
              </w:rPr>
              <w:t>9120</w:t>
            </w:r>
          </w:p>
        </w:tc>
        <w:tc>
          <w:tcPr>
            <w:tcW w:w="707" w:type="dxa"/>
            <w:noWrap w:val="0"/>
            <w:vAlign w:val="center"/>
          </w:tcPr>
          <w:p w14:paraId="75A69E78">
            <w:pPr>
              <w:widowControl/>
              <w:spacing w:line="360" w:lineRule="exact"/>
              <w:jc w:val="left"/>
              <w:textAlignment w:val="center"/>
              <w:rPr>
                <w:rFonts w:hint="default" w:ascii="宋体" w:hAnsi="宋体" w:eastAsia="宋体" w:cs="宋体"/>
                <w:color w:val="000000"/>
                <w:szCs w:val="21"/>
                <w:highlight w:val="none"/>
                <w:lang w:val="en-US" w:eastAsia="zh-CN"/>
              </w:rPr>
            </w:pPr>
            <w:r>
              <w:rPr>
                <w:rFonts w:hint="default" w:ascii="宋体" w:hAnsi="宋体" w:eastAsia="宋体" w:cs="宋体"/>
                <w:color w:val="000000"/>
                <w:szCs w:val="21"/>
                <w:highlight w:val="none"/>
                <w:lang w:val="en-US" w:eastAsia="zh-CN"/>
              </w:rPr>
              <w:t>把</w:t>
            </w:r>
          </w:p>
        </w:tc>
        <w:tc>
          <w:tcPr>
            <w:tcW w:w="5628" w:type="dxa"/>
            <w:gridSpan w:val="3"/>
            <w:tcBorders>
              <w:right w:val="single" w:color="auto" w:sz="4" w:space="0"/>
            </w:tcBorders>
            <w:noWrap w:val="0"/>
            <w:vAlign w:val="center"/>
          </w:tcPr>
          <w:p w14:paraId="30B5737F">
            <w:pPr>
              <w:widowControl/>
              <w:spacing w:line="360" w:lineRule="exact"/>
              <w:jc w:val="left"/>
              <w:textAlignment w:val="center"/>
              <w:rPr>
                <w:rFonts w:hint="eastAsia" w:ascii="宋体" w:hAnsi="宋体" w:eastAsia="宋体" w:cs="宋体"/>
                <w:color w:val="auto"/>
                <w:kern w:val="0"/>
                <w:szCs w:val="21"/>
                <w:highlight w:val="none"/>
                <w:lang w:eastAsia="zh-CN"/>
              </w:rPr>
            </w:pPr>
            <w:r>
              <w:rPr>
                <w:rFonts w:hint="eastAsia" w:ascii="宋体" w:hAnsi="宋体" w:eastAsia="宋体" w:cs="宋体"/>
                <w:color w:val="000000"/>
                <w:kern w:val="0"/>
                <w:szCs w:val="21"/>
                <w:highlight w:val="none"/>
              </w:rPr>
              <w:t>1、手柄长</w:t>
            </w:r>
            <w:r>
              <w:rPr>
                <w:rFonts w:hint="eastAsia" w:ascii="宋体" w:hAnsi="宋体" w:eastAsia="宋体" w:cs="宋体"/>
                <w:color w:val="auto"/>
                <w:kern w:val="0"/>
                <w:szCs w:val="21"/>
                <w:highlight w:val="none"/>
              </w:rPr>
              <w:t>度：1.5米</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，重量：约1.25Kg</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，直径约3.5cm</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w:t>
            </w:r>
          </w:p>
          <w:p w14:paraId="396374A5">
            <w:pPr>
              <w:widowControl/>
              <w:spacing w:line="360" w:lineRule="exact"/>
              <w:jc w:val="left"/>
              <w:textAlignment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2、优质白蜡木杆，手柄光滑无倒刺。</w:t>
            </w:r>
          </w:p>
          <w:p w14:paraId="302F2931">
            <w:pPr>
              <w:widowControl/>
              <w:spacing w:line="360" w:lineRule="exact"/>
              <w:jc w:val="left"/>
              <w:textAlignment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3、杆体挺直无裂痕和瑕疵点，无虫蛀，不易脱落，牢固耐用。 </w:t>
            </w:r>
          </w:p>
          <w:p w14:paraId="59F3AC26">
            <w:pPr>
              <w:widowControl/>
              <w:spacing w:line="360" w:lineRule="exact"/>
              <w:jc w:val="left"/>
              <w:textAlignment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4、木杆可弯曲&gt;70°。</w:t>
            </w:r>
          </w:p>
          <w:p w14:paraId="78F8DCCF">
            <w:pPr>
              <w:widowControl/>
              <w:spacing w:line="360" w:lineRule="exact"/>
              <w:jc w:val="left"/>
              <w:textAlignment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5、阻燃胶皮长（约）：长550mm</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，宽：15mm</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，厚：2mm</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w:t>
            </w:r>
          </w:p>
          <w:p w14:paraId="56CE6330">
            <w:pPr>
              <w:widowControl/>
              <w:spacing w:line="360" w:lineRule="exact"/>
              <w:jc w:val="left"/>
              <w:textAlignment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6、拍头材质：内有加强棉线的橡胶条，厚度约为0.2cm，条数为16条以上，橡胶条宽度约为1.5cm，一次性切割均匀无裂口。</w:t>
            </w:r>
          </w:p>
          <w:p w14:paraId="10FCE30E">
            <w:pPr>
              <w:widowControl/>
              <w:spacing w:line="360" w:lineRule="exact"/>
              <w:jc w:val="left"/>
              <w:textAlignment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7、橡胶条根数：</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 xml:space="preserve">20条非旧轮胎改造，2层内加阻燃棉。 </w:t>
            </w:r>
          </w:p>
          <w:p w14:paraId="4573E38D">
            <w:pPr>
              <w:widowControl/>
              <w:spacing w:line="360" w:lineRule="exact"/>
              <w:jc w:val="left"/>
              <w:textAlignment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8、橡胶条与木杆连接处2个u形钉橡胶条缠绕在手柄上用钢钉固定。</w:t>
            </w:r>
          </w:p>
          <w:p w14:paraId="15124FF5">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9、捆绑处用约1cm钢箍加固。</w:t>
            </w:r>
          </w:p>
        </w:tc>
        <w:tc>
          <w:tcPr>
            <w:tcW w:w="1005" w:type="dxa"/>
            <w:gridSpan w:val="2"/>
            <w:tcBorders>
              <w:left w:val="single" w:color="auto" w:sz="4" w:space="0"/>
            </w:tcBorders>
            <w:noWrap w:val="0"/>
            <w:vAlign w:val="center"/>
          </w:tcPr>
          <w:p w14:paraId="7662C3BA">
            <w:pPr>
              <w:widowControl/>
              <w:spacing w:line="360" w:lineRule="exact"/>
              <w:ind w:firstLine="210" w:firstLineChars="100"/>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25</w:t>
            </w:r>
          </w:p>
        </w:tc>
      </w:tr>
      <w:tr w14:paraId="0CB71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668" w:type="dxa"/>
            <w:noWrap w:val="0"/>
            <w:vAlign w:val="center"/>
          </w:tcPr>
          <w:p w14:paraId="03BFDEC0">
            <w:pPr>
              <w:widowControl/>
              <w:spacing w:line="360" w:lineRule="exact"/>
              <w:jc w:val="left"/>
              <w:textAlignment w:val="center"/>
              <w:rPr>
                <w:rFonts w:hint="eastAsia" w:ascii="宋体" w:hAnsi="宋体" w:eastAsia="宋体" w:cs="宋体"/>
                <w:color w:val="auto"/>
                <w:szCs w:val="21"/>
                <w:highlight w:val="none"/>
              </w:rPr>
            </w:pPr>
            <w:r>
              <w:rPr>
                <w:rFonts w:hint="default" w:ascii="宋体" w:hAnsi="宋体" w:eastAsia="宋体" w:cs="宋体"/>
                <w:color w:val="auto"/>
                <w:szCs w:val="21"/>
                <w:highlight w:val="none"/>
                <w:lang w:val="en-US" w:eastAsia="zh-CN"/>
              </w:rPr>
              <w:t>3</w:t>
            </w:r>
          </w:p>
        </w:tc>
        <w:tc>
          <w:tcPr>
            <w:tcW w:w="1182" w:type="dxa"/>
            <w:noWrap w:val="0"/>
            <w:vAlign w:val="center"/>
          </w:tcPr>
          <w:p w14:paraId="6FD489B6">
            <w:pPr>
              <w:widowControl/>
              <w:spacing w:line="360" w:lineRule="exact"/>
              <w:jc w:val="left"/>
              <w:textAlignment w:val="center"/>
              <w:rPr>
                <w:rFonts w:hint="eastAsia" w:ascii="宋体" w:hAnsi="宋体" w:eastAsia="宋体" w:cs="宋体"/>
                <w:color w:val="auto"/>
                <w:szCs w:val="21"/>
                <w:highlight w:val="none"/>
              </w:rPr>
            </w:pPr>
            <w:r>
              <w:rPr>
                <w:rFonts w:hint="default" w:ascii="宋体" w:hAnsi="宋体" w:eastAsia="宋体" w:cs="宋体"/>
                <w:color w:val="auto"/>
                <w:szCs w:val="21"/>
                <w:highlight w:val="none"/>
                <w:lang w:val="en-US" w:eastAsia="zh-CN"/>
              </w:rPr>
              <w:t>三号工具</w:t>
            </w:r>
          </w:p>
        </w:tc>
        <w:tc>
          <w:tcPr>
            <w:tcW w:w="675" w:type="dxa"/>
            <w:gridSpan w:val="2"/>
            <w:noWrap w:val="0"/>
            <w:vAlign w:val="center"/>
          </w:tcPr>
          <w:p w14:paraId="78A216FD">
            <w:pPr>
              <w:widowControl/>
              <w:spacing w:line="360" w:lineRule="exact"/>
              <w:jc w:val="left"/>
              <w:textAlignment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400</w:t>
            </w:r>
          </w:p>
        </w:tc>
        <w:tc>
          <w:tcPr>
            <w:tcW w:w="707" w:type="dxa"/>
            <w:noWrap w:val="0"/>
            <w:vAlign w:val="center"/>
          </w:tcPr>
          <w:p w14:paraId="71194575">
            <w:pPr>
              <w:widowControl/>
              <w:spacing w:line="360" w:lineRule="exact"/>
              <w:jc w:val="left"/>
              <w:textAlignment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把</w:t>
            </w:r>
          </w:p>
        </w:tc>
        <w:tc>
          <w:tcPr>
            <w:tcW w:w="5628" w:type="dxa"/>
            <w:gridSpan w:val="3"/>
            <w:tcBorders>
              <w:right w:val="single" w:color="auto" w:sz="4" w:space="0"/>
            </w:tcBorders>
            <w:noWrap w:val="0"/>
            <w:vAlign w:val="center"/>
          </w:tcPr>
          <w:p w14:paraId="38501AF6">
            <w:pPr>
              <w:widowControl/>
              <w:spacing w:line="360" w:lineRule="exact"/>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1、名称：便携式三号工具</w:t>
            </w:r>
          </w:p>
          <w:p w14:paraId="53E7FAF4">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2、用途：</w:t>
            </w:r>
            <w:r>
              <w:rPr>
                <w:rFonts w:hint="eastAsia" w:ascii="宋体" w:hAnsi="宋体" w:eastAsia="宋体" w:cs="宋体"/>
                <w:color w:val="auto"/>
                <w:szCs w:val="21"/>
                <w:highlight w:val="none"/>
              </w:rPr>
              <w:t>野外拍打灭火。</w:t>
            </w:r>
          </w:p>
          <w:p w14:paraId="7A03FDB5">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灭火拍:在长杆外壁套接有滑套，内壁固装有定位块，通过长杆外</w:t>
            </w:r>
          </w:p>
          <w:p w14:paraId="21B44839">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壁上设置的滑道与空腔的长杆内安装的钢丝束滑套外壁相连接，前端部位固装有≥26根钢丝，每根钢丝穿过长杆，前端部位设置有钢丝束罩，上开有钢丝绳通孔，不适用时，所有钢丝可置于工具杆管腔内，方便保管运输。打火时可通过特殊设计的滑道将拍头推出，即可进行灭火作业。</w:t>
            </w:r>
          </w:p>
          <w:p w14:paraId="7583BC68">
            <w:pPr>
              <w:widowControl/>
              <w:spacing w:line="360" w:lineRule="exact"/>
              <w:jc w:val="left"/>
              <w:textAlignment w:val="center"/>
              <w:rPr>
                <w:color w:val="auto"/>
                <w:highlight w:val="none"/>
              </w:rPr>
            </w:pPr>
            <w:r>
              <w:rPr>
                <w:rFonts w:hint="eastAsia" w:ascii="宋体" w:hAnsi="宋体" w:eastAsia="宋体" w:cs="宋体"/>
                <w:color w:val="auto"/>
                <w:szCs w:val="21"/>
                <w:highlight w:val="none"/>
              </w:rPr>
              <w:t>构成:组成部分:消防铲、集成抽拉杆、钢丝拍头。扑火带条数: ≥26根，长度: 700mm</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szCs w:val="21"/>
                <w:highlight w:val="none"/>
              </w:rPr>
              <w:t>。 杆长1200mm</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szCs w:val="21"/>
                <w:highlight w:val="none"/>
              </w:rPr>
              <w:t>,中25mm</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szCs w:val="21"/>
                <w:highlight w:val="none"/>
              </w:rPr>
              <w:t>。滑道长</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600mm</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szCs w:val="21"/>
                <w:highlight w:val="none"/>
              </w:rPr>
              <w:t>。 铲高</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35mm</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szCs w:val="21"/>
                <w:highlight w:val="none"/>
              </w:rPr>
              <w:t>， 铲宽: 100mm</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szCs w:val="21"/>
                <w:highlight w:val="none"/>
              </w:rPr>
              <w:t>。单独工具包。</w:t>
            </w:r>
          </w:p>
          <w:p w14:paraId="14C41C3A">
            <w:pPr>
              <w:widowControl/>
              <w:spacing w:line="360" w:lineRule="exact"/>
              <w:jc w:val="left"/>
              <w:textAlignment w:val="center"/>
              <w:rPr>
                <w:rFonts w:hint="eastAsia"/>
                <w:color w:val="auto"/>
                <w:highlight w:val="none"/>
              </w:rPr>
            </w:pPr>
            <w:r>
              <w:rPr>
                <w:rFonts w:hint="eastAsia"/>
                <w:color w:val="auto"/>
                <w:highlight w:val="none"/>
                <w:lang w:val="en-US" w:eastAsia="zh-CN"/>
              </w:rPr>
              <w:t>4、</w:t>
            </w:r>
            <w:r>
              <w:rPr>
                <w:rFonts w:hint="eastAsia"/>
                <w:color w:val="auto"/>
                <w:highlight w:val="none"/>
              </w:rPr>
              <w:t>灭火时，用内壁上装有的定位块，通过长杆外壁上设置的滑道将空腔内安装的根钢丝束</w:t>
            </w:r>
            <w:r>
              <w:rPr>
                <w:rFonts w:hint="eastAsia"/>
                <w:color w:val="auto"/>
                <w:highlight w:val="none"/>
                <w:lang w:eastAsia="zh-CN"/>
              </w:rPr>
              <w:t>全部</w:t>
            </w:r>
            <w:r>
              <w:rPr>
                <w:rFonts w:hint="eastAsia"/>
                <w:color w:val="auto"/>
                <w:highlight w:val="none"/>
              </w:rPr>
              <w:t>滑出。钢丝束全部滑出后，抓紧长杆进行上下扑打。</w:t>
            </w:r>
          </w:p>
          <w:p w14:paraId="5E7409B6">
            <w:pPr>
              <w:widowControl/>
              <w:spacing w:line="360" w:lineRule="exact"/>
              <w:jc w:val="left"/>
              <w:textAlignment w:val="center"/>
              <w:rPr>
                <w:rFonts w:hint="eastAsia"/>
                <w:color w:val="auto"/>
                <w:highlight w:val="none"/>
              </w:rPr>
            </w:pPr>
            <w:r>
              <w:rPr>
                <w:rFonts w:hint="eastAsia"/>
                <w:color w:val="auto"/>
                <w:highlight w:val="none"/>
                <w:lang w:val="en-US" w:eastAsia="zh-CN"/>
              </w:rPr>
              <w:t>5、</w:t>
            </w:r>
            <w:r>
              <w:rPr>
                <w:rFonts w:hint="eastAsia"/>
                <w:color w:val="auto"/>
                <w:highlight w:val="none"/>
              </w:rPr>
              <w:t>灭火工作结束后，利用内壁上的定位块将钢丝束收回，方便保管运输。</w:t>
            </w:r>
          </w:p>
        </w:tc>
        <w:tc>
          <w:tcPr>
            <w:tcW w:w="1005" w:type="dxa"/>
            <w:gridSpan w:val="2"/>
            <w:tcBorders>
              <w:left w:val="single" w:color="auto" w:sz="4" w:space="0"/>
            </w:tcBorders>
            <w:noWrap w:val="0"/>
            <w:vAlign w:val="center"/>
          </w:tcPr>
          <w:p w14:paraId="7FDD1F5C">
            <w:pPr>
              <w:widowControl/>
              <w:spacing w:line="360" w:lineRule="exact"/>
              <w:ind w:firstLine="210" w:firstLineChars="100"/>
              <w:jc w:val="left"/>
              <w:textAlignment w:val="center"/>
              <w:rPr>
                <w:rFonts w:hint="eastAsia"/>
                <w:color w:val="auto"/>
                <w:highlight w:val="none"/>
                <w:lang w:val="en-US" w:eastAsia="zh-CN"/>
              </w:rPr>
            </w:pPr>
            <w:r>
              <w:rPr>
                <w:rFonts w:hint="eastAsia"/>
                <w:color w:val="auto"/>
                <w:highlight w:val="none"/>
                <w:lang w:val="en-US" w:eastAsia="zh-CN"/>
              </w:rPr>
              <w:t>25</w:t>
            </w:r>
          </w:p>
        </w:tc>
      </w:tr>
      <w:tr w14:paraId="74264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668" w:type="dxa"/>
            <w:noWrap w:val="0"/>
            <w:vAlign w:val="center"/>
          </w:tcPr>
          <w:p w14:paraId="6878ADB8">
            <w:pPr>
              <w:widowControl/>
              <w:spacing w:line="360" w:lineRule="exact"/>
              <w:jc w:val="left"/>
              <w:textAlignment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4</w:t>
            </w:r>
          </w:p>
        </w:tc>
        <w:tc>
          <w:tcPr>
            <w:tcW w:w="1182" w:type="dxa"/>
            <w:noWrap w:val="0"/>
            <w:vAlign w:val="center"/>
          </w:tcPr>
          <w:p w14:paraId="7F248809">
            <w:pPr>
              <w:widowControl/>
              <w:spacing w:line="360" w:lineRule="exact"/>
              <w:jc w:val="left"/>
              <w:textAlignment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接力水泵</w:t>
            </w:r>
            <w:r>
              <w:rPr>
                <w:rFonts w:hint="eastAsia" w:ascii="宋体" w:hAnsi="宋体" w:cs="宋体"/>
                <w:color w:val="auto"/>
                <w:szCs w:val="21"/>
                <w:highlight w:val="none"/>
                <w:lang w:val="en-US" w:eastAsia="zh-CN"/>
              </w:rPr>
              <w:t>（配水管、移动水池）</w:t>
            </w:r>
          </w:p>
        </w:tc>
        <w:tc>
          <w:tcPr>
            <w:tcW w:w="675" w:type="dxa"/>
            <w:gridSpan w:val="2"/>
            <w:noWrap w:val="0"/>
            <w:vAlign w:val="center"/>
          </w:tcPr>
          <w:p w14:paraId="5558555B">
            <w:pPr>
              <w:widowControl/>
              <w:spacing w:line="360" w:lineRule="exact"/>
              <w:jc w:val="left"/>
              <w:textAlignment w:val="center"/>
              <w:rPr>
                <w:rFonts w:hint="default" w:ascii="宋体" w:hAnsi="宋体" w:eastAsia="宋体" w:cs="宋体"/>
                <w:color w:val="000000"/>
                <w:szCs w:val="21"/>
                <w:highlight w:val="none"/>
                <w:lang w:val="en-US" w:eastAsia="zh-CN"/>
              </w:rPr>
            </w:pPr>
            <w:r>
              <w:rPr>
                <w:rFonts w:hint="default" w:ascii="宋体" w:hAnsi="宋体" w:eastAsia="宋体" w:cs="宋体"/>
                <w:color w:val="000000"/>
                <w:szCs w:val="21"/>
                <w:highlight w:val="none"/>
                <w:lang w:val="en-US" w:eastAsia="zh-CN"/>
              </w:rPr>
              <w:t>27</w:t>
            </w:r>
          </w:p>
        </w:tc>
        <w:tc>
          <w:tcPr>
            <w:tcW w:w="707" w:type="dxa"/>
            <w:noWrap w:val="0"/>
            <w:vAlign w:val="center"/>
          </w:tcPr>
          <w:p w14:paraId="5A231FB1">
            <w:pPr>
              <w:widowControl/>
              <w:spacing w:line="360" w:lineRule="exact"/>
              <w:jc w:val="left"/>
              <w:textAlignment w:val="center"/>
              <w:rPr>
                <w:rFonts w:hint="default" w:ascii="宋体" w:hAnsi="宋体" w:eastAsia="宋体" w:cs="宋体"/>
                <w:color w:val="000000"/>
                <w:szCs w:val="21"/>
                <w:highlight w:val="none"/>
                <w:lang w:val="en-US" w:eastAsia="zh-CN"/>
              </w:rPr>
            </w:pPr>
            <w:r>
              <w:rPr>
                <w:rFonts w:hint="default" w:ascii="宋体" w:hAnsi="宋体" w:eastAsia="宋体" w:cs="宋体"/>
                <w:color w:val="000000"/>
                <w:szCs w:val="21"/>
                <w:highlight w:val="none"/>
                <w:lang w:val="en-US" w:eastAsia="zh-CN"/>
              </w:rPr>
              <w:t>台</w:t>
            </w:r>
          </w:p>
        </w:tc>
        <w:tc>
          <w:tcPr>
            <w:tcW w:w="5633" w:type="dxa"/>
            <w:gridSpan w:val="4"/>
            <w:tcBorders>
              <w:right w:val="single" w:color="auto" w:sz="4" w:space="0"/>
            </w:tcBorders>
            <w:noWrap w:val="0"/>
            <w:vAlign w:val="center"/>
          </w:tcPr>
          <w:p w14:paraId="17B5F1E1">
            <w:pPr>
              <w:widowControl/>
              <w:spacing w:line="360" w:lineRule="exact"/>
              <w:jc w:val="left"/>
              <w:textAlignment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一、高压接力消防水泵</w:t>
            </w:r>
          </w:p>
          <w:p w14:paraId="02D959AD">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1.发动机：二冲程水冷与空气</w:t>
            </w:r>
            <w:r>
              <w:rPr>
                <w:rFonts w:hint="eastAsia" w:ascii="宋体" w:hAnsi="宋体" w:cs="宋体"/>
                <w:color w:val="000000"/>
                <w:szCs w:val="21"/>
                <w:highlight w:val="none"/>
                <w:lang w:eastAsia="zh-CN"/>
              </w:rPr>
              <w:t>复合</w:t>
            </w:r>
            <w:r>
              <w:rPr>
                <w:rFonts w:hint="eastAsia" w:ascii="宋体" w:hAnsi="宋体" w:eastAsia="宋体" w:cs="宋体"/>
                <w:color w:val="000000"/>
                <w:szCs w:val="21"/>
                <w:highlight w:val="none"/>
              </w:rPr>
              <w:t>冷却汽油发动机，发动机排量≥110cc；</w:t>
            </w:r>
          </w:p>
          <w:p w14:paraId="7886AAC4">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2.整机净质量≤12kg；</w:t>
            </w:r>
          </w:p>
          <w:p w14:paraId="483C0CCE">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3、最大扬程≥285m</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 xml:space="preserve"> </w:t>
            </w:r>
          </w:p>
          <w:p w14:paraId="4F16A911">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4. 发动机功率/转速≥15HP/12000r/min；</w:t>
            </w:r>
          </w:p>
          <w:p w14:paraId="5F5105A0">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5.综合油耗≤2.5L/小时；</w:t>
            </w:r>
          </w:p>
          <w:p w14:paraId="7D95DBD3">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6.水泵型式：闭式强制三级叶轮离心泵；</w:t>
            </w:r>
          </w:p>
          <w:p w14:paraId="316AC01E">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7.叶轮材质：不锈钢或铝合金叶轮；</w:t>
            </w:r>
          </w:p>
          <w:p w14:paraId="3F3693EC">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8. 最大压力≥2.85Mpa，</w:t>
            </w:r>
          </w:p>
          <w:p w14:paraId="50F70CCB">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9.最大流量≥330L/min；</w:t>
            </w:r>
          </w:p>
          <w:p w14:paraId="22C11B0F">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10.工况1：压力≥0.5MPa时流量≥240L/min; </w:t>
            </w:r>
          </w:p>
          <w:p w14:paraId="694069B4">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工况2：压力≥1.0MPa时流量≥200L/min;</w:t>
            </w:r>
          </w:p>
          <w:p w14:paraId="4009DB1E">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工况3：压力≥1.5MPa时流量≥150L/min;</w:t>
            </w:r>
          </w:p>
          <w:p w14:paraId="769F8FE7">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工况4：压力≥2.0MPa时流量≥50L/min</w:t>
            </w:r>
          </w:p>
          <w:p w14:paraId="03519061">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11.最大射程≥35m；</w:t>
            </w:r>
          </w:p>
          <w:p w14:paraId="291FB0B9">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12.冷却方式：低压平衡管强制水冷和风冷复合式冷却方式；</w:t>
            </w:r>
          </w:p>
          <w:p w14:paraId="60B4D613">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13.启动方式：手拉启动和电启动；</w:t>
            </w:r>
          </w:p>
          <w:p w14:paraId="7D617FCA">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14.启动电源：应具备可反复充电的可拆卸式锂电池，电池质量≤500g，</w:t>
            </w:r>
          </w:p>
          <w:p w14:paraId="46C1E661">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16.保护系统：具有过热、无水保护功能，发动机高温、超速、过热时会自动熄火保护。</w:t>
            </w:r>
          </w:p>
          <w:p w14:paraId="62804845">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17.在油管充满燃油的情况下，冷启动时间≤5s。</w:t>
            </w:r>
          </w:p>
          <w:p w14:paraId="172B8BB3">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18.发电系统：自带发电系统，发电电压≥14.5V,点火电路及启动控制系统应为全防水封装，控制电路采用航空插头。</w:t>
            </w:r>
          </w:p>
          <w:p w14:paraId="6A482935">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19.水泵结构和材质：闭合式双级不锈钢叶轮离心泵，出水口自带单向阀。具有减震支撑结构、防反转保护结构，泵壳、泵体采用高强度抗腐蚀铝合金铸造，水泵部件采用抗腐蚀材料制成。</w:t>
            </w:r>
          </w:p>
          <w:p w14:paraId="1CA6D2CD">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20.过滤器：空气过滤器采用金属丝网状空气过滤器；燃油过滤器：内置燃油过滤器，油泵中装有滤网。</w:t>
            </w:r>
          </w:p>
          <w:p w14:paraId="1133494D">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背架形式：应配备全方位保护框架，具有减震支撑结构，可以使水杂在各个方向都可存放。设备应设有便于提拿的把手，可立、可卧、可侧方位存放，背架应采用不锈钢耐腐材质，框架与地面之间具有4个双层减震胶垫。</w:t>
            </w:r>
          </w:p>
          <w:p w14:paraId="73CC5AA0">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22.横、纵向倾斜性能：泵在横向、纵向倾斜 90°的条件下，在额定工况下，各连续运转 1h，泵应能正常工作。</w:t>
            </w:r>
          </w:p>
          <w:p w14:paraId="094D4CB4">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23. 携行方式：可拆卸式全包围双肩安全背包，带有夜光显示条，背包两侧有袋子可以放置配件、工具等物品。</w:t>
            </w:r>
          </w:p>
          <w:p w14:paraId="6E97A271">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23.外观要求：所有水泵部件采用高压压铸工艺，外表面光滑平整不应有麻面、结疤、气泡、砂眼等缺陷。外露的</w:t>
            </w:r>
            <w:r>
              <w:rPr>
                <w:rFonts w:hint="eastAsia" w:ascii="宋体" w:hAnsi="宋体" w:cs="宋体"/>
                <w:color w:val="000000"/>
                <w:szCs w:val="21"/>
                <w:highlight w:val="none"/>
                <w:lang w:eastAsia="zh-CN"/>
              </w:rPr>
              <w:t>塑壳</w:t>
            </w:r>
            <w:r>
              <w:rPr>
                <w:rFonts w:hint="eastAsia" w:ascii="宋体" w:hAnsi="宋体" w:eastAsia="宋体" w:cs="宋体"/>
                <w:color w:val="000000"/>
                <w:szCs w:val="21"/>
                <w:highlight w:val="none"/>
              </w:rPr>
              <w:t>、箱体涂层质量应符合 QC/T484-19991 表 1的 TQ1 甲级的规定。</w:t>
            </w:r>
          </w:p>
          <w:p w14:paraId="79961492">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24.配有水泵专用的多功能行军附件背包和机油。全套明细包含：主机一台、水泵背包一个、油箱一个、油箱背包一个、手动泵油管一个、手动引水泵一个、吸水管及卡箍一套、进水过滤底阀一套、电启动配套装置一套、直流喷头一个、雾射喷枪一个、单向阀一个、带水门开关的三通一套、维修工具包一套、月牙专用扳手两把、止水钳一把、水带修补环2个、附件背包一个、专用机油一瓶、过滤框一个（所有附件与市场上的任何森林消防水泵通用）。</w:t>
            </w:r>
          </w:p>
          <w:p w14:paraId="3EB28BA7">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25、标注有“</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”参数需提供具有国家认可的检测范围且具有CMA或CNAS资格的检测机构出具的检测报告予以佐证，</w:t>
            </w:r>
            <w:r>
              <w:rPr>
                <w:rFonts w:hint="eastAsia" w:ascii="宋体" w:hAnsi="宋体" w:eastAsia="宋体" w:cs="宋体"/>
                <w:color w:val="000000"/>
                <w:highlight w:val="none"/>
                <w:lang w:val="en-US" w:eastAsia="zh-CN"/>
              </w:rPr>
              <w:t>检测报告需标注或批注相应的内容以便评审查找，</w:t>
            </w:r>
            <w:r>
              <w:rPr>
                <w:rFonts w:hint="eastAsia" w:ascii="宋体" w:hAnsi="宋体" w:eastAsia="宋体" w:cs="宋体"/>
                <w:color w:val="000000"/>
                <w:szCs w:val="21"/>
                <w:highlight w:val="none"/>
              </w:rPr>
              <w:t>无法佐证或检验报告未体现做负偏离处理。</w:t>
            </w:r>
          </w:p>
          <w:p w14:paraId="049FDD86">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二、</w:t>
            </w:r>
            <w:r>
              <w:rPr>
                <w:rFonts w:hint="eastAsia" w:ascii="宋体" w:hAnsi="宋体" w:eastAsia="宋体" w:cs="宋体"/>
                <w:color w:val="000000"/>
                <w:szCs w:val="21"/>
                <w:highlight w:val="none"/>
              </w:rPr>
              <w:t>高压接力水带</w:t>
            </w:r>
          </w:p>
          <w:p w14:paraId="014CE374">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1、产品符合《森林高压水带检验大纲》的标准要求。标注有“</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”参数需提供具有国家认可的检测范围且具有CMA或CNAS资格的检测机构出具的检测报告予以佐证，</w:t>
            </w:r>
            <w:r>
              <w:rPr>
                <w:rFonts w:hint="eastAsia" w:ascii="宋体" w:hAnsi="宋体" w:eastAsia="宋体" w:cs="宋体"/>
                <w:color w:val="000000"/>
                <w:highlight w:val="none"/>
                <w:lang w:val="en-US" w:eastAsia="zh-CN"/>
              </w:rPr>
              <w:t>检测报告需标注或批注相应的内容以便评审查找，</w:t>
            </w:r>
            <w:r>
              <w:rPr>
                <w:rFonts w:hint="eastAsia" w:ascii="宋体" w:hAnsi="宋体" w:eastAsia="宋体" w:cs="宋体"/>
                <w:color w:val="000000"/>
                <w:szCs w:val="21"/>
                <w:highlight w:val="none"/>
              </w:rPr>
              <w:t xml:space="preserve">无法佐证或检验报告未体现做负偏离处理。    </w:t>
            </w:r>
          </w:p>
          <w:p w14:paraId="5C0B40C6">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2、水带口径为40mm，内衬材质采用聚氨酯材质，厚度均匀，表面光滑清洁，无褶皱，不渗水，不霉变，柔软轻便易卷缠，耐老化，水流阻力小，使用寿命长；</w:t>
            </w:r>
          </w:p>
          <w:p w14:paraId="1D093F1D">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3、爆破压力≥10MPa，单位长度质量≤200g/m，轴向延伸率≤2.0%，直径膨胀率≤3.0%，织物层与衬里附着强度≥55N/25MM,每卷长度为30米；</w:t>
            </w:r>
          </w:p>
          <w:p w14:paraId="171DBF9A">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4、水带两头均配有40口径的快速接；</w:t>
            </w:r>
          </w:p>
          <w:p w14:paraId="6E9CD55C">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5、外层材质采用高强度涤纶长丝线材质，工艺采用经圆织机环形编织而成，且耐压、耐磨、耐磨蚀、耐高低温、轻便柔软、易于清洗，使用寿命长；</w:t>
            </w:r>
          </w:p>
          <w:p w14:paraId="4CC06FE1">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6、水带一端清楚的标志着规格的相关信息永不掉落；</w:t>
            </w:r>
          </w:p>
          <w:p w14:paraId="437D410C">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7、包装：使用编织袋包装，包装结实牢固，便于搬运。</w:t>
            </w:r>
          </w:p>
          <w:p w14:paraId="5EA84DE4">
            <w:pPr>
              <w:widowControl/>
              <w:spacing w:line="360" w:lineRule="exact"/>
              <w:jc w:val="left"/>
              <w:textAlignment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三、移动蓄水池</w:t>
            </w:r>
          </w:p>
          <w:p w14:paraId="2D0A6A03">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一、功能</w:t>
            </w:r>
          </w:p>
          <w:p w14:paraId="1CE53404">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主要用于无水源场景，作为森林消防泵及其他以水灭火装备的临时水源点，无需捆绑固定可直接向罐内注水自立，适合斜坡地形使用。</w:t>
            </w:r>
          </w:p>
          <w:p w14:paraId="37B6FB83">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二、技术参数</w:t>
            </w:r>
          </w:p>
          <w:p w14:paraId="2588B0A3">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1、移动水池容量:2000L</w:t>
            </w:r>
          </w:p>
          <w:p w14:paraId="62D94FF6">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2、材质：基布为聚酯纤维；纱线粗细：1000D×1000D，织物密度：18×18，特点：强度高、重量轻、无毒、无味、不污染水质、耐老化性耐水性良好；涂层为达到食品级聚酯氯乙烯。</w:t>
            </w:r>
          </w:p>
          <w:p w14:paraId="37FA37E2">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3、纤维含量：100%；</w:t>
            </w:r>
          </w:p>
          <w:p w14:paraId="45A351A3">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4、断裂强力：经向≥75kN/m、纬向≥70kN/ml；</w:t>
            </w:r>
          </w:p>
          <w:p w14:paraId="520FB54C">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5、涂层剥离强力：经向≥2kN/m 、纬向≥2kN/ml；</w:t>
            </w:r>
          </w:p>
          <w:p w14:paraId="08E9A882">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6、低温冲击：无裂缝、不分层；</w:t>
            </w:r>
          </w:p>
          <w:p w14:paraId="63C7C4D6">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7、焊缝强力：≥60kN/m；</w:t>
            </w:r>
          </w:p>
          <w:p w14:paraId="159101D4">
            <w:pPr>
              <w:widowControl/>
              <w:spacing w:line="360" w:lineRule="exact"/>
              <w:jc w:val="left"/>
              <w:textAlignment w:val="center"/>
              <w:rPr>
                <w:rFonts w:hint="eastAsia" w:ascii="仿宋" w:hAnsi="仿宋" w:eastAsia="仿宋" w:cs="仿宋"/>
                <w:color w:val="000000"/>
                <w:sz w:val="24"/>
                <w:lang w:eastAsia="zh-CN"/>
              </w:rPr>
            </w:pPr>
            <w:r>
              <w:rPr>
                <w:rFonts w:hint="eastAsia" w:ascii="宋体" w:hAnsi="宋体" w:eastAsia="宋体" w:cs="宋体"/>
                <w:color w:val="000000"/>
                <w:szCs w:val="21"/>
                <w:highlight w:val="none"/>
              </w:rPr>
              <w:t>8、标注有“</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”参数需提供省级或省级以上具有CNAS或CMA资格的检测机构出具的检测报告予以佐证，</w:t>
            </w:r>
            <w:r>
              <w:rPr>
                <w:rFonts w:hint="eastAsia" w:ascii="宋体" w:hAnsi="宋体" w:eastAsia="宋体" w:cs="宋体"/>
                <w:color w:val="000000"/>
                <w:highlight w:val="none"/>
                <w:lang w:val="en-US" w:eastAsia="zh-CN"/>
              </w:rPr>
              <w:t>检测报告需标注或批注相应的内容以便评审查找，</w:t>
            </w:r>
            <w:r>
              <w:rPr>
                <w:rFonts w:hint="eastAsia" w:ascii="宋体" w:hAnsi="宋体" w:eastAsia="宋体" w:cs="宋体"/>
                <w:color w:val="000000"/>
                <w:szCs w:val="21"/>
                <w:highlight w:val="none"/>
              </w:rPr>
              <w:t>无法佐证或检验报告未体现做负偏离处理。</w:t>
            </w:r>
          </w:p>
        </w:tc>
        <w:tc>
          <w:tcPr>
            <w:tcW w:w="1000" w:type="dxa"/>
            <w:tcBorders>
              <w:left w:val="single" w:color="auto" w:sz="4" w:space="0"/>
            </w:tcBorders>
            <w:noWrap w:val="0"/>
            <w:vAlign w:val="center"/>
          </w:tcPr>
          <w:p w14:paraId="584D3D7D">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40000</w:t>
            </w:r>
          </w:p>
        </w:tc>
      </w:tr>
      <w:tr w14:paraId="26420C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65" w:type="dxa"/>
            <w:gridSpan w:val="10"/>
            <w:tcBorders>
              <w:top w:val="single" w:color="auto" w:sz="4" w:space="0"/>
              <w:left w:val="single" w:color="auto" w:sz="4" w:space="0"/>
              <w:bottom w:val="single" w:color="auto" w:sz="4" w:space="0"/>
              <w:right w:val="single" w:color="auto" w:sz="4" w:space="0"/>
            </w:tcBorders>
            <w:noWrap w:val="0"/>
            <w:vAlign w:val="center"/>
          </w:tcPr>
          <w:p w14:paraId="6D22E3C1">
            <w:pPr>
              <w:spacing w:line="360" w:lineRule="exact"/>
              <w:rPr>
                <w:rFonts w:hint="eastAsia" w:ascii="宋体" w:hAnsi="宋体" w:eastAsia="宋体" w:cs="宋体"/>
                <w:b/>
                <w:bCs/>
                <w:color w:val="000000"/>
                <w:szCs w:val="21"/>
                <w:highlight w:val="none"/>
              </w:rPr>
            </w:pPr>
            <w:r>
              <w:rPr>
                <w:rFonts w:hint="eastAsia" w:ascii="宋体" w:hAnsi="宋体" w:eastAsia="宋体" w:cs="宋体"/>
                <w:b/>
                <w:color w:val="000000"/>
                <w:szCs w:val="21"/>
                <w:highlight w:val="none"/>
              </w:rPr>
              <w:t>第二部分 商务要求</w:t>
            </w:r>
          </w:p>
        </w:tc>
      </w:tr>
      <w:tr w14:paraId="3EA48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683E7376">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合同签订时间</w:t>
            </w:r>
          </w:p>
        </w:tc>
        <w:tc>
          <w:tcPr>
            <w:tcW w:w="7874" w:type="dxa"/>
            <w:gridSpan w:val="7"/>
            <w:tcBorders>
              <w:top w:val="single" w:color="auto" w:sz="4" w:space="0"/>
              <w:left w:val="single" w:color="auto" w:sz="4" w:space="0"/>
              <w:bottom w:val="single" w:color="auto" w:sz="4" w:space="0"/>
              <w:right w:val="single" w:color="auto" w:sz="4" w:space="0"/>
            </w:tcBorders>
            <w:noWrap w:val="0"/>
            <w:vAlign w:val="center"/>
          </w:tcPr>
          <w:p w14:paraId="303BC7B7">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自中标通知书发出之日起25日内。</w:t>
            </w:r>
          </w:p>
        </w:tc>
      </w:tr>
      <w:tr w14:paraId="0BBC2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44C2B7B0">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▲交付的时间和地点</w:t>
            </w:r>
          </w:p>
        </w:tc>
        <w:tc>
          <w:tcPr>
            <w:tcW w:w="7874" w:type="dxa"/>
            <w:gridSpan w:val="7"/>
            <w:tcBorders>
              <w:top w:val="single" w:color="auto" w:sz="4" w:space="0"/>
              <w:left w:val="single" w:color="auto" w:sz="4" w:space="0"/>
              <w:bottom w:val="single" w:color="auto" w:sz="4" w:space="0"/>
              <w:right w:val="single" w:color="auto" w:sz="4" w:space="0"/>
            </w:tcBorders>
            <w:noWrap w:val="0"/>
            <w:vAlign w:val="center"/>
          </w:tcPr>
          <w:p w14:paraId="64614EE1">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交货时间：自合同签订之日起 </w:t>
            </w:r>
            <w:r>
              <w:rPr>
                <w:rFonts w:hint="eastAsia" w:ascii="宋体" w:hAnsi="宋体" w:eastAsia="宋体" w:cs="宋体"/>
                <w:color w:val="000000"/>
                <w:kern w:val="0"/>
                <w:szCs w:val="21"/>
                <w:highlight w:val="none"/>
                <w:lang w:val="en-US" w:eastAsia="zh-CN"/>
              </w:rPr>
              <w:t>6</w:t>
            </w:r>
            <w:r>
              <w:rPr>
                <w:rFonts w:hint="eastAsia" w:ascii="宋体" w:hAnsi="宋体" w:eastAsia="宋体" w:cs="宋体"/>
                <w:color w:val="000000"/>
                <w:kern w:val="0"/>
                <w:szCs w:val="21"/>
                <w:highlight w:val="none"/>
              </w:rPr>
              <w:t>0 天内安装合格交付使用。</w:t>
            </w:r>
          </w:p>
          <w:p w14:paraId="7C892509">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地点：广西区内采购人指定地点。</w:t>
            </w:r>
          </w:p>
        </w:tc>
      </w:tr>
      <w:tr w14:paraId="2530A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2EB900E4">
            <w:pPr>
              <w:widowControl/>
              <w:spacing w:line="360" w:lineRule="exact"/>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▲付款条件</w:t>
            </w:r>
          </w:p>
        </w:tc>
        <w:tc>
          <w:tcPr>
            <w:tcW w:w="7874" w:type="dxa"/>
            <w:gridSpan w:val="7"/>
            <w:tcBorders>
              <w:top w:val="single" w:color="auto" w:sz="4" w:space="0"/>
              <w:left w:val="single" w:color="auto" w:sz="4" w:space="0"/>
              <w:bottom w:val="single" w:color="auto" w:sz="4" w:space="0"/>
              <w:right w:val="single" w:color="auto" w:sz="4" w:space="0"/>
            </w:tcBorders>
            <w:noWrap w:val="0"/>
            <w:vAlign w:val="center"/>
          </w:tcPr>
          <w:p w14:paraId="2063A3AC">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1.签订采购合同前中标人向采购人递交合同总价2%的履约保证金，货物验收合格后，中标人向采购人开具合同金额100%的发票，</w:t>
            </w:r>
            <w:r>
              <w:rPr>
                <w:rFonts w:hint="eastAsia" w:ascii="宋体" w:hAnsi="宋体" w:eastAsia="宋体" w:cs="宋体"/>
                <w:color w:val="000000"/>
                <w:kern w:val="0"/>
                <w:szCs w:val="21"/>
                <w:highlight w:val="none"/>
                <w:lang w:eastAsia="zh-CN"/>
              </w:rPr>
              <w:t>采购人收到发票之日起10个工作日内向中标人一次性支付项目全部费用</w:t>
            </w:r>
            <w:r>
              <w:rPr>
                <w:rFonts w:hint="eastAsia" w:ascii="宋体" w:hAnsi="宋体" w:eastAsia="宋体" w:cs="宋体"/>
                <w:color w:val="000000"/>
                <w:kern w:val="0"/>
                <w:szCs w:val="21"/>
                <w:highlight w:val="none"/>
              </w:rPr>
              <w:t>。</w:t>
            </w:r>
          </w:p>
          <w:p w14:paraId="56DCE359">
            <w:pPr>
              <w:pStyle w:val="2"/>
              <w:rPr>
                <w:rFonts w:hint="eastAsia" w:ascii="宋体" w:hAnsi="宋体" w:eastAsia="宋体" w:cs="宋体"/>
                <w:color w:val="000000"/>
                <w:highlight w:val="none"/>
              </w:rPr>
            </w:pPr>
            <w:r>
              <w:rPr>
                <w:rFonts w:hint="eastAsia" w:ascii="宋体" w:hAnsi="宋体" w:eastAsia="宋体" w:cs="宋体"/>
                <w:color w:val="000000"/>
                <w:sz w:val="21"/>
                <w:szCs w:val="21"/>
                <w:highlight w:val="none"/>
              </w:rPr>
              <w:t>2.质保期满一年后如未有任何设备使用问题，由中标人向采购人提出履约保证金退还申请，采购人接到书面申请书之日起15个工作日内向中标人退还全部履约保证金金额。</w:t>
            </w:r>
          </w:p>
        </w:tc>
      </w:tr>
      <w:tr w14:paraId="2D85B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0B905584">
            <w:pPr>
              <w:widowControl/>
              <w:spacing w:line="360" w:lineRule="exact"/>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▲质保期 </w:t>
            </w:r>
          </w:p>
        </w:tc>
        <w:tc>
          <w:tcPr>
            <w:tcW w:w="7874" w:type="dxa"/>
            <w:gridSpan w:val="7"/>
            <w:tcBorders>
              <w:top w:val="single" w:color="auto" w:sz="4" w:space="0"/>
              <w:left w:val="single" w:color="auto" w:sz="4" w:space="0"/>
              <w:bottom w:val="single" w:color="auto" w:sz="4" w:space="0"/>
              <w:right w:val="single" w:color="auto" w:sz="4" w:space="0"/>
            </w:tcBorders>
            <w:noWrap w:val="0"/>
            <w:vAlign w:val="center"/>
          </w:tcPr>
          <w:p w14:paraId="6337B7C3">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eastAsia="zh-CN"/>
              </w:rPr>
              <w:t>装备质保期</w:t>
            </w:r>
            <w:r>
              <w:rPr>
                <w:rFonts w:hint="eastAsia" w:ascii="宋体" w:hAnsi="宋体" w:eastAsia="宋体" w:cs="宋体"/>
                <w:color w:val="000000"/>
                <w:kern w:val="0"/>
                <w:szCs w:val="21"/>
                <w:highlight w:val="none"/>
              </w:rPr>
              <w:t>一年（如“技术参数及其性能（配置）要求”中另有要求，按其规定），质保期内免费维修及更换配件，终身维修（质保期外只收配件费，差旅费由厂家或中标人负责）。 质保期内非用户原因引起的质量事故中标人应负全部责任。</w:t>
            </w:r>
          </w:p>
        </w:tc>
      </w:tr>
      <w:tr w14:paraId="275FD8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5BC6CFD2">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▲售后服务</w:t>
            </w:r>
          </w:p>
        </w:tc>
        <w:tc>
          <w:tcPr>
            <w:tcW w:w="7874" w:type="dxa"/>
            <w:gridSpan w:val="7"/>
            <w:tcBorders>
              <w:top w:val="single" w:color="auto" w:sz="4" w:space="0"/>
              <w:left w:val="single" w:color="auto" w:sz="4" w:space="0"/>
              <w:bottom w:val="single" w:color="auto" w:sz="4" w:space="0"/>
              <w:right w:val="single" w:color="auto" w:sz="4" w:space="0"/>
            </w:tcBorders>
            <w:noWrap w:val="0"/>
            <w:vAlign w:val="center"/>
          </w:tcPr>
          <w:p w14:paraId="673A081C">
            <w:pPr>
              <w:widowControl/>
              <w:spacing w:line="38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000000"/>
                <w:kern w:val="0"/>
                <w:szCs w:val="21"/>
                <w:highlight w:val="none"/>
              </w:rPr>
              <w:t>1、售后服务：（1）按国家有关规定实行产品“三包”；（2）免费送货上门、调试直至设备验收合格（期间所需器材及相关费用均由投标人承担）；（3）接到故障通知后60分钟内响应，4小时内到达现场，并在8小时内解决问题或提供备用机，以保证设备正常运行，并承担一切相关费用；（4）定期回访以及维修；（5）质保期内所有设备免费上门维修服务</w:t>
            </w:r>
            <w:r>
              <w:rPr>
                <w:rFonts w:hint="eastAsia" w:ascii="宋体" w:hAnsi="宋体" w:eastAsia="宋体" w:cs="宋体"/>
                <w:color w:val="auto"/>
                <w:kern w:val="0"/>
                <w:szCs w:val="21"/>
                <w:highlight w:val="none"/>
              </w:rPr>
              <w:t>、免费更换零部件，免费提供</w:t>
            </w:r>
            <w:r>
              <w:rPr>
                <w:rFonts w:hint="eastAsia" w:ascii="宋体" w:hAnsi="宋体" w:cs="宋体"/>
                <w:color w:val="auto"/>
                <w:kern w:val="0"/>
                <w:szCs w:val="21"/>
                <w:highlight w:val="none"/>
                <w:lang w:val="en-US" w:eastAsia="zh-CN"/>
              </w:rPr>
              <w:t>服务</w:t>
            </w:r>
            <w:r>
              <w:rPr>
                <w:rFonts w:hint="eastAsia" w:ascii="宋体" w:hAnsi="宋体" w:eastAsia="宋体" w:cs="宋体"/>
                <w:color w:val="auto"/>
                <w:kern w:val="0"/>
                <w:szCs w:val="21"/>
                <w:highlight w:val="none"/>
              </w:rPr>
              <w:t>；（6）提供终身维护；（7）其余按厂家承诺进行。</w:t>
            </w:r>
          </w:p>
          <w:p w14:paraId="304016E3">
            <w:pPr>
              <w:widowControl/>
              <w:spacing w:line="38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2、免费培训：中标人负责免费培训使用人员和维护人员，内容包括设备操作、日常维护，确保熟练掌握全部功能为止。</w:t>
            </w:r>
          </w:p>
          <w:p w14:paraId="3A547887">
            <w:pPr>
              <w:widowControl/>
              <w:spacing w:line="38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auto"/>
                <w:kern w:val="0"/>
                <w:szCs w:val="21"/>
                <w:highlight w:val="none"/>
              </w:rPr>
              <w:t>3、免费安装调试：中标人负责本项目所有货物的安装、调试及项目整体测试、联调和开通，并在试运行结束后由中标人整理验收材料提交采购人验收</w:t>
            </w:r>
            <w:r>
              <w:rPr>
                <w:rFonts w:hint="eastAsia" w:ascii="宋体" w:hAnsi="宋体" w:eastAsia="宋体" w:cs="宋体"/>
                <w:color w:val="000000"/>
                <w:kern w:val="0"/>
                <w:szCs w:val="21"/>
                <w:highlight w:val="none"/>
              </w:rPr>
              <w:t>。</w:t>
            </w:r>
          </w:p>
          <w:p w14:paraId="70A409CA">
            <w:pPr>
              <w:widowControl/>
              <w:spacing w:line="38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4、技术支持与服务：</w:t>
            </w:r>
          </w:p>
          <w:p w14:paraId="76C9F3B3">
            <w:pPr>
              <w:widowControl/>
              <w:spacing w:line="38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提供每周7×24小时技术响应服务，中标人应负责所售产品的售后服务，并提供至少一年的免费原厂保修服务；质保期内设备发生故障，维修或更换配件所需的全部费用由中标人承担；维修完毕后工程师及时填写维修报告，维修报告包括故障原因、处理情况及用户意见，维修报告由双方各持一份备案。</w:t>
            </w:r>
          </w:p>
        </w:tc>
      </w:tr>
      <w:tr w14:paraId="61DDE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4766C08E">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▲投标报价要求</w:t>
            </w:r>
          </w:p>
        </w:tc>
        <w:tc>
          <w:tcPr>
            <w:tcW w:w="7874" w:type="dxa"/>
            <w:gridSpan w:val="7"/>
            <w:tcBorders>
              <w:top w:val="single" w:color="auto" w:sz="4" w:space="0"/>
              <w:left w:val="single" w:color="auto" w:sz="4" w:space="0"/>
              <w:bottom w:val="single" w:color="auto" w:sz="4" w:space="0"/>
              <w:right w:val="single" w:color="auto" w:sz="4" w:space="0"/>
            </w:tcBorders>
            <w:noWrap w:val="0"/>
            <w:vAlign w:val="center"/>
          </w:tcPr>
          <w:p w14:paraId="068EE5FE">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投标报价包含货物、货物标准附件、备品备件、专用工具、设备安装辅材、施工辅材（如有）、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税金、售后服务、技术培训及其他所有成本费用，以及合同明示或暗示的所有责任、义务和一般风险等一切费用。</w:t>
            </w:r>
          </w:p>
        </w:tc>
      </w:tr>
      <w:tr w14:paraId="22B9B2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3AE39E2F">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▲验收标准、验收方法及方案</w:t>
            </w:r>
          </w:p>
        </w:tc>
        <w:tc>
          <w:tcPr>
            <w:tcW w:w="7874" w:type="dxa"/>
            <w:gridSpan w:val="7"/>
            <w:tcBorders>
              <w:top w:val="single" w:color="auto" w:sz="4" w:space="0"/>
              <w:left w:val="single" w:color="auto" w:sz="4" w:space="0"/>
              <w:bottom w:val="single" w:color="auto" w:sz="4" w:space="0"/>
              <w:right w:val="single" w:color="auto" w:sz="4" w:space="0"/>
            </w:tcBorders>
            <w:noWrap w:val="0"/>
            <w:vAlign w:val="center"/>
          </w:tcPr>
          <w:p w14:paraId="7F90FA01">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1、招标人对中标人提交的货物依据招标文件及投标文件上的技术规格要求和国家有关质量标准进行现场签收，外观、说明书符合采购文件技术要求的，给予签收，不合格的不予签收。</w:t>
            </w:r>
          </w:p>
          <w:p w14:paraId="6A05A254">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中标人交货前应对产品作出全面检查和对验收文件进行整理，并列出清单，作为招标人收货验收和使用的技术条件依据，检验的结果应随货物交甲方。中标人不能完整交付货物及本款规定的单证和工具的，必须负责补齐，否则视为未按合同约定交货。</w:t>
            </w:r>
          </w:p>
          <w:p w14:paraId="651477C1">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3、招标人组织验收，中标人必须到场配合，验收合格后双方签署验收合格凭证。</w:t>
            </w:r>
          </w:p>
          <w:p w14:paraId="7EEB058F">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4、其他未尽事宜应严格按照《关于印发广西壮族自治区政府采购项目履约验收管理办法的通知》[桂财采〔2015〕22 号]以及《财政部关于进一步加强政府采购需求和履约验收管理的指导意见》[财库〔2016〕205 号]规定执行。</w:t>
            </w:r>
          </w:p>
        </w:tc>
      </w:tr>
      <w:tr w14:paraId="0DFB2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589212C0">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其他要求</w:t>
            </w:r>
          </w:p>
        </w:tc>
        <w:tc>
          <w:tcPr>
            <w:tcW w:w="7874" w:type="dxa"/>
            <w:gridSpan w:val="7"/>
            <w:tcBorders>
              <w:top w:val="single" w:color="auto" w:sz="4" w:space="0"/>
              <w:left w:val="single" w:color="auto" w:sz="4" w:space="0"/>
              <w:bottom w:val="single" w:color="auto" w:sz="4" w:space="0"/>
              <w:right w:val="single" w:color="auto" w:sz="4" w:space="0"/>
            </w:tcBorders>
            <w:noWrap w:val="0"/>
            <w:vAlign w:val="center"/>
          </w:tcPr>
          <w:p w14:paraId="2CE4053D">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r>
              <w:rPr>
                <w:rFonts w:hint="eastAsia" w:ascii="宋体" w:hAnsi="宋体" w:eastAsia="宋体" w:cs="宋体"/>
                <w:color w:val="auto"/>
                <w:kern w:val="0"/>
                <w:szCs w:val="21"/>
                <w:highlight w:val="none"/>
              </w:rPr>
              <w:t>投标人投标文件中必须提供本标项所投产品的公开彩页（体现参数指标）或技术说明书（对于同一参数，彩页或技术说明书标明的参数与投标人的响应不一致的，</w:t>
            </w:r>
            <w:r>
              <w:rPr>
                <w:rFonts w:hint="eastAsia" w:ascii="宋体" w:hAnsi="宋体" w:eastAsia="宋体" w:cs="宋体"/>
                <w:b/>
                <w:color w:val="auto"/>
                <w:kern w:val="0"/>
                <w:szCs w:val="21"/>
                <w:highlight w:val="none"/>
              </w:rPr>
              <w:t>视为</w:t>
            </w:r>
            <w:r>
              <w:rPr>
                <w:rFonts w:hint="eastAsia" w:ascii="宋体" w:hAnsi="宋体" w:eastAsia="宋体" w:cs="宋体"/>
                <w:b/>
                <w:color w:val="auto"/>
                <w:szCs w:val="21"/>
                <w:highlight w:val="none"/>
              </w:rPr>
              <w:t>响应与事实不符</w:t>
            </w:r>
            <w:r>
              <w:rPr>
                <w:rFonts w:hint="eastAsia" w:ascii="宋体" w:hAnsi="宋体" w:eastAsia="宋体" w:cs="宋体"/>
                <w:b/>
                <w:color w:val="auto"/>
                <w:kern w:val="0"/>
                <w:szCs w:val="21"/>
                <w:highlight w:val="none"/>
              </w:rPr>
              <w:t>，</w:t>
            </w:r>
            <w:r>
              <w:rPr>
                <w:rFonts w:hint="eastAsia" w:ascii="宋体" w:hAnsi="宋体" w:eastAsia="宋体" w:cs="宋体"/>
                <w:b/>
                <w:bCs/>
                <w:color w:val="auto"/>
                <w:kern w:val="0"/>
                <w:szCs w:val="21"/>
                <w:highlight w:val="none"/>
              </w:rPr>
              <w:t>按无效投标处理</w:t>
            </w:r>
            <w:r>
              <w:rPr>
                <w:rFonts w:hint="eastAsia" w:ascii="宋体" w:hAnsi="宋体" w:eastAsia="宋体" w:cs="宋体"/>
                <w:color w:val="auto"/>
                <w:kern w:val="0"/>
                <w:szCs w:val="21"/>
                <w:highlight w:val="none"/>
              </w:rPr>
              <w:t xml:space="preserve">）。 </w:t>
            </w:r>
          </w:p>
          <w:p w14:paraId="4AA5460A">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2、货物必须是全新的；货物到货后，中标人和招标人应在现场进行清点；清点过程中如果发现因包装或运输不当引起的外观或内部的损坏，中标人应负责更换；若发现错发/漏发情况，中标人应负责更换和补发。 </w:t>
            </w:r>
          </w:p>
          <w:p w14:paraId="08530439">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▲3、其余按第五章《政府采购合同文本》要求。</w:t>
            </w:r>
          </w:p>
          <w:p w14:paraId="2B36214E">
            <w:pPr>
              <w:widowControl/>
              <w:spacing w:line="360" w:lineRule="exact"/>
              <w:jc w:val="left"/>
              <w:textAlignment w:val="center"/>
              <w:rPr>
                <w:rFonts w:hint="default" w:ascii="宋体" w:hAnsi="宋体" w:eastAsia="宋体" w:cs="宋体"/>
                <w:b/>
                <w:bCs/>
                <w:color w:val="000000"/>
                <w:kern w:val="0"/>
                <w:szCs w:val="21"/>
                <w:highlight w:val="none"/>
                <w:lang w:val="en-US" w:eastAsia="zh-CN"/>
              </w:rPr>
            </w:pPr>
            <w:r>
              <w:rPr>
                <w:rFonts w:hint="eastAsia" w:ascii="宋体" w:hAnsi="宋体" w:eastAsia="宋体" w:cs="宋体"/>
                <w:color w:val="000000"/>
                <w:kern w:val="0"/>
                <w:szCs w:val="21"/>
                <w:highlight w:val="none"/>
              </w:rPr>
              <w:t>▲</w:t>
            </w:r>
            <w:r>
              <w:rPr>
                <w:rFonts w:hint="eastAsia" w:ascii="宋体" w:hAnsi="宋体" w:eastAsia="宋体" w:cs="宋体"/>
                <w:b/>
                <w:bCs/>
                <w:color w:val="000000"/>
                <w:kern w:val="0"/>
                <w:szCs w:val="21"/>
                <w:highlight w:val="none"/>
                <w:lang w:val="en-US" w:eastAsia="zh-CN"/>
              </w:rPr>
              <w:t>4、</w:t>
            </w:r>
            <w:r>
              <w:rPr>
                <w:rFonts w:hint="eastAsia" w:ascii="宋体" w:hAnsi="宋体" w:cs="宋体"/>
                <w:b/>
                <w:bCs/>
                <w:color w:val="000000"/>
                <w:kern w:val="0"/>
                <w:szCs w:val="21"/>
                <w:highlight w:val="none"/>
                <w:lang w:val="en-US" w:eastAsia="zh-CN"/>
              </w:rPr>
              <w:t>供货时“背负式双动力高压灭火水枪、接力水泵”产品均需贴上标识，标识采用PVC塑片防水标签，标签内容至少有招标人名称、项目名称、项目编号、产品名称、供货年月日等信息。</w:t>
            </w:r>
          </w:p>
          <w:p w14:paraId="2A5A5BC7">
            <w:pPr>
              <w:widowControl/>
              <w:spacing w:line="360" w:lineRule="exact"/>
              <w:jc w:val="left"/>
              <w:textAlignment w:val="center"/>
              <w:rPr>
                <w:rFonts w:hint="eastAsia" w:ascii="宋体" w:hAnsi="宋体" w:eastAsia="宋体" w:cs="宋体"/>
                <w:color w:val="000000"/>
                <w:highlight w:val="none"/>
              </w:rPr>
            </w:pPr>
            <w:r>
              <w:rPr>
                <w:rFonts w:hint="eastAsia" w:ascii="宋体" w:hAnsi="宋体" w:cs="宋体"/>
                <w:color w:val="000000"/>
                <w:kern w:val="0"/>
                <w:szCs w:val="21"/>
                <w:highlight w:val="none"/>
                <w:lang w:val="en-US" w:eastAsia="zh-CN"/>
              </w:rPr>
              <w:t>5</w:t>
            </w:r>
            <w:r>
              <w:rPr>
                <w:rFonts w:hint="eastAsia" w:ascii="宋体" w:hAnsi="宋体" w:eastAsia="宋体" w:cs="宋体"/>
                <w:color w:val="000000"/>
                <w:kern w:val="0"/>
                <w:szCs w:val="21"/>
                <w:highlight w:val="none"/>
              </w:rPr>
              <w:t>、供应商可根据招标文件及评分办法的要求，在投标文件中提供产品性能、项目实施方案、售后服务方案、信誉分、人员配备等证明材料。</w:t>
            </w:r>
          </w:p>
        </w:tc>
      </w:tr>
      <w:tr w14:paraId="115F2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865" w:type="dxa"/>
            <w:gridSpan w:val="10"/>
            <w:tcBorders>
              <w:top w:val="single" w:color="auto" w:sz="4" w:space="0"/>
              <w:left w:val="single" w:color="auto" w:sz="4" w:space="0"/>
              <w:bottom w:val="single" w:color="auto" w:sz="4" w:space="0"/>
              <w:right w:val="single" w:color="auto" w:sz="4" w:space="0"/>
            </w:tcBorders>
            <w:noWrap w:val="0"/>
            <w:vAlign w:val="top"/>
          </w:tcPr>
          <w:p w14:paraId="7345C04F">
            <w:pPr>
              <w:spacing w:line="360" w:lineRule="exact"/>
              <w:rPr>
                <w:rFonts w:hint="eastAsia" w:ascii="宋体" w:hAnsi="宋体" w:eastAsia="宋体" w:cs="宋体"/>
                <w:color w:val="000000"/>
                <w:kern w:val="0"/>
                <w:szCs w:val="21"/>
                <w:highlight w:val="none"/>
              </w:rPr>
            </w:pPr>
            <w:r>
              <w:rPr>
                <w:rFonts w:hint="eastAsia" w:ascii="宋体" w:hAnsi="宋体" w:eastAsia="宋体" w:cs="宋体"/>
                <w:b/>
                <w:color w:val="000000"/>
                <w:szCs w:val="21"/>
                <w:highlight w:val="none"/>
              </w:rPr>
              <w:t>第三部分 进口产品说明</w:t>
            </w:r>
          </w:p>
        </w:tc>
      </w:tr>
      <w:tr w14:paraId="716B53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865" w:type="dxa"/>
            <w:gridSpan w:val="10"/>
            <w:tcBorders>
              <w:top w:val="single" w:color="auto" w:sz="4" w:space="0"/>
              <w:left w:val="single" w:color="auto" w:sz="4" w:space="0"/>
              <w:bottom w:val="single" w:color="auto" w:sz="4" w:space="0"/>
              <w:right w:val="single" w:color="auto" w:sz="4" w:space="0"/>
            </w:tcBorders>
            <w:noWrap w:val="0"/>
            <w:vAlign w:val="top"/>
          </w:tcPr>
          <w:p w14:paraId="019CB871">
            <w:pPr>
              <w:spacing w:line="360" w:lineRule="exac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本分标中所有产品均不接受进口产品投标。</w:t>
            </w:r>
            <w:r>
              <w:rPr>
                <w:rFonts w:hint="eastAsia" w:ascii="宋体" w:hAnsi="宋体" w:eastAsia="宋体" w:cs="宋体"/>
                <w:b/>
                <w:bCs/>
                <w:color w:val="auto"/>
                <w:szCs w:val="21"/>
                <w:highlight w:val="none"/>
              </w:rPr>
              <w:t>进口产品投标的，投标无效。</w:t>
            </w:r>
          </w:p>
        </w:tc>
      </w:tr>
      <w:tr w14:paraId="7DAE14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65" w:type="dxa"/>
            <w:gridSpan w:val="10"/>
            <w:tcBorders>
              <w:top w:val="single" w:color="auto" w:sz="4" w:space="0"/>
              <w:left w:val="single" w:color="auto" w:sz="4" w:space="0"/>
              <w:bottom w:val="single" w:color="auto" w:sz="4" w:space="0"/>
              <w:right w:val="single" w:color="auto" w:sz="4" w:space="0"/>
            </w:tcBorders>
            <w:noWrap w:val="0"/>
            <w:vAlign w:val="top"/>
          </w:tcPr>
          <w:p w14:paraId="25FDFFCC">
            <w:pPr>
              <w:spacing w:line="36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第四部分 核心产品</w:t>
            </w:r>
          </w:p>
        </w:tc>
      </w:tr>
      <w:tr w14:paraId="7539C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9865" w:type="dxa"/>
            <w:gridSpan w:val="10"/>
            <w:tcBorders>
              <w:top w:val="single" w:color="auto" w:sz="4" w:space="0"/>
              <w:left w:val="single" w:color="auto" w:sz="4" w:space="0"/>
              <w:bottom w:val="single" w:color="auto" w:sz="4" w:space="0"/>
              <w:right w:val="single" w:color="auto" w:sz="4" w:space="0"/>
            </w:tcBorders>
            <w:noWrap w:val="0"/>
            <w:vAlign w:val="top"/>
          </w:tcPr>
          <w:p w14:paraId="743198CA">
            <w:pPr>
              <w:tabs>
                <w:tab w:val="left" w:pos="9660"/>
              </w:tabs>
              <w:spacing w:line="360" w:lineRule="exact"/>
              <w:ind w:right="97" w:rightChars="46"/>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本分标核心产品为第</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项产品“</w:t>
            </w:r>
            <w:r>
              <w:rPr>
                <w:rFonts w:hint="eastAsia" w:ascii="宋体" w:hAnsi="宋体" w:eastAsia="宋体" w:cs="宋体"/>
                <w:b/>
                <w:bCs w:val="0"/>
                <w:color w:val="auto"/>
                <w:szCs w:val="21"/>
                <w:highlight w:val="none"/>
                <w:u w:val="single"/>
              </w:rPr>
              <w:t>背负式双动力高压灭火水枪</w:t>
            </w:r>
            <w:r>
              <w:rPr>
                <w:rFonts w:hint="eastAsia" w:ascii="宋体" w:hAnsi="宋体" w:eastAsia="宋体" w:cs="宋体"/>
                <w:bCs/>
                <w:color w:val="auto"/>
                <w:szCs w:val="21"/>
                <w:highlight w:val="none"/>
              </w:rPr>
              <w:t>”，核心产品品牌相同的，视为提供同品牌产品。</w:t>
            </w:r>
          </w:p>
          <w:p w14:paraId="5A390225">
            <w:pPr>
              <w:tabs>
                <w:tab w:val="left" w:pos="9660"/>
              </w:tabs>
              <w:spacing w:line="360" w:lineRule="exact"/>
              <w:ind w:right="-10" w:rightChars="-5"/>
              <w:jc w:val="left"/>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注：提供相同品牌产品且通过资格审查、符合性审查的不同投标人参加同一合同项下投标的，按一家投标人计算，评审后得分最高的同品牌投标人获得中标人推荐资格（评审得分相同的，以投标报价由低到高顺序排列；得分相同且投标报价相同的，按技术分由高到低的顺序排列），其他同品牌投标人不作为中标候选人。</w:t>
            </w:r>
          </w:p>
        </w:tc>
      </w:tr>
    </w:tbl>
    <w:p w14:paraId="31C02D66">
      <w:pPr>
        <w:pStyle w:val="2"/>
        <w:rPr>
          <w:rFonts w:hint="eastAsia" w:ascii="宋体" w:hAnsi="宋体" w:eastAsia="宋体" w:cs="宋体"/>
          <w:color w:val="000000" w:themeColor="text1"/>
          <w:highlight w:val="none"/>
          <w14:textFill>
            <w14:solidFill>
              <w14:schemeClr w14:val="tx1"/>
            </w14:solidFill>
          </w14:textFill>
        </w:rPr>
      </w:pPr>
    </w:p>
    <w:p w14:paraId="062D7A98">
      <w:pPr>
        <w:pStyle w:val="2"/>
        <w:rPr>
          <w:rFonts w:hint="eastAsia" w:ascii="宋体" w:hAnsi="宋体" w:eastAsia="宋体" w:cs="宋体"/>
          <w:color w:val="000000" w:themeColor="text1"/>
          <w:highlight w:val="none"/>
          <w14:textFill>
            <w14:solidFill>
              <w14:schemeClr w14:val="tx1"/>
            </w14:solidFill>
          </w14:textFill>
        </w:rPr>
      </w:pPr>
    </w:p>
    <w:p w14:paraId="4A473051">
      <w:pPr>
        <w:spacing w:line="360" w:lineRule="exact"/>
        <w:ind w:left="-10" w:leftChars="-5" w:right="2" w:rightChars="1" w:firstLine="422" w:firstLineChars="200"/>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3分标：</w:t>
      </w:r>
    </w:p>
    <w:tbl>
      <w:tblPr>
        <w:tblStyle w:val="48"/>
        <w:tblW w:w="98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8"/>
        <w:gridCol w:w="1182"/>
        <w:gridCol w:w="141"/>
        <w:gridCol w:w="534"/>
        <w:gridCol w:w="707"/>
        <w:gridCol w:w="5513"/>
        <w:gridCol w:w="1120"/>
      </w:tblGrid>
      <w:tr w14:paraId="343AA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9865" w:type="dxa"/>
            <w:gridSpan w:val="7"/>
            <w:noWrap w:val="0"/>
            <w:vAlign w:val="center"/>
          </w:tcPr>
          <w:p w14:paraId="23B47A3B">
            <w:pPr>
              <w:tabs>
                <w:tab w:val="left" w:pos="180"/>
                <w:tab w:val="left" w:pos="1620"/>
              </w:tabs>
              <w:spacing w:line="360" w:lineRule="exac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第一部分 技术要求</w:t>
            </w:r>
          </w:p>
        </w:tc>
      </w:tr>
      <w:tr w14:paraId="3FE9F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668" w:type="dxa"/>
            <w:noWrap w:val="0"/>
            <w:vAlign w:val="center"/>
          </w:tcPr>
          <w:p w14:paraId="345700E7">
            <w:pPr>
              <w:tabs>
                <w:tab w:val="left" w:pos="180"/>
                <w:tab w:val="left" w:pos="1620"/>
              </w:tabs>
              <w:spacing w:line="36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序号</w:t>
            </w:r>
          </w:p>
        </w:tc>
        <w:tc>
          <w:tcPr>
            <w:tcW w:w="1182" w:type="dxa"/>
            <w:noWrap w:val="0"/>
            <w:vAlign w:val="center"/>
          </w:tcPr>
          <w:p w14:paraId="0D1445C9">
            <w:pPr>
              <w:tabs>
                <w:tab w:val="left" w:pos="180"/>
                <w:tab w:val="left" w:pos="1620"/>
              </w:tabs>
              <w:spacing w:line="36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标的的名称</w:t>
            </w:r>
          </w:p>
        </w:tc>
        <w:tc>
          <w:tcPr>
            <w:tcW w:w="675" w:type="dxa"/>
            <w:gridSpan w:val="2"/>
            <w:noWrap w:val="0"/>
            <w:vAlign w:val="center"/>
          </w:tcPr>
          <w:p w14:paraId="2F547469">
            <w:pPr>
              <w:tabs>
                <w:tab w:val="left" w:pos="180"/>
                <w:tab w:val="left" w:pos="1620"/>
              </w:tabs>
              <w:spacing w:line="36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数量</w:t>
            </w:r>
          </w:p>
        </w:tc>
        <w:tc>
          <w:tcPr>
            <w:tcW w:w="707" w:type="dxa"/>
            <w:noWrap w:val="0"/>
            <w:vAlign w:val="center"/>
          </w:tcPr>
          <w:p w14:paraId="5A3C6B83">
            <w:pPr>
              <w:tabs>
                <w:tab w:val="left" w:pos="180"/>
                <w:tab w:val="left" w:pos="1620"/>
              </w:tabs>
              <w:spacing w:line="36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单位</w:t>
            </w:r>
          </w:p>
        </w:tc>
        <w:tc>
          <w:tcPr>
            <w:tcW w:w="5513" w:type="dxa"/>
            <w:tcBorders>
              <w:right w:val="single" w:color="auto" w:sz="4" w:space="0"/>
            </w:tcBorders>
            <w:noWrap w:val="0"/>
            <w:vAlign w:val="center"/>
          </w:tcPr>
          <w:p w14:paraId="5A906190">
            <w:pPr>
              <w:tabs>
                <w:tab w:val="left" w:pos="180"/>
                <w:tab w:val="left" w:pos="1620"/>
              </w:tabs>
              <w:spacing w:line="36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技术要求</w:t>
            </w:r>
          </w:p>
        </w:tc>
        <w:tc>
          <w:tcPr>
            <w:tcW w:w="1120" w:type="dxa"/>
            <w:tcBorders>
              <w:left w:val="single" w:color="auto" w:sz="4" w:space="0"/>
            </w:tcBorders>
            <w:noWrap w:val="0"/>
            <w:vAlign w:val="center"/>
          </w:tcPr>
          <w:p w14:paraId="3B62CD16">
            <w:pPr>
              <w:tabs>
                <w:tab w:val="left" w:pos="180"/>
                <w:tab w:val="left" w:pos="1620"/>
              </w:tabs>
              <w:spacing w:line="360" w:lineRule="exact"/>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控制单价（元）</w:t>
            </w:r>
          </w:p>
        </w:tc>
      </w:tr>
      <w:tr w14:paraId="177D7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668" w:type="dxa"/>
            <w:noWrap w:val="0"/>
            <w:vAlign w:val="center"/>
          </w:tcPr>
          <w:p w14:paraId="06DD6CF4">
            <w:pPr>
              <w:widowControl/>
              <w:spacing w:line="360" w:lineRule="exact"/>
              <w:jc w:val="center"/>
              <w:textAlignment w:val="center"/>
              <w:rPr>
                <w:rFonts w:hint="eastAsia" w:ascii="宋体" w:hAnsi="宋体" w:eastAsia="宋体" w:cs="宋体"/>
                <w:color w:val="000000"/>
                <w:kern w:val="0"/>
                <w:szCs w:val="21"/>
                <w:highlight w:val="yellow"/>
              </w:rPr>
            </w:pPr>
            <w:r>
              <w:rPr>
                <w:rFonts w:hint="default" w:ascii="宋体" w:hAnsi="宋体" w:eastAsia="宋体" w:cs="宋体"/>
                <w:color w:val="000000"/>
                <w:kern w:val="0"/>
                <w:szCs w:val="21"/>
                <w:highlight w:val="none"/>
                <w:lang w:val="en-US" w:eastAsia="zh-CN"/>
              </w:rPr>
              <w:t>1</w:t>
            </w:r>
          </w:p>
        </w:tc>
        <w:tc>
          <w:tcPr>
            <w:tcW w:w="1182" w:type="dxa"/>
            <w:noWrap w:val="0"/>
            <w:vAlign w:val="center"/>
          </w:tcPr>
          <w:p w14:paraId="30E90DE6">
            <w:pPr>
              <w:widowControl/>
              <w:spacing w:line="360" w:lineRule="exact"/>
              <w:jc w:val="center"/>
              <w:textAlignment w:val="center"/>
              <w:rPr>
                <w:rFonts w:hint="eastAsia"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中型灭火无人机</w:t>
            </w:r>
            <w:r>
              <w:rPr>
                <w:rFonts w:hint="eastAsia" w:ascii="宋体" w:hAnsi="宋体" w:cs="宋体"/>
                <w:color w:val="auto"/>
                <w:kern w:val="0"/>
                <w:szCs w:val="21"/>
                <w:highlight w:val="none"/>
                <w:lang w:val="en-US" w:eastAsia="zh-CN"/>
              </w:rPr>
              <w:t xml:space="preserve">       （含无人机、吊装和灭火模块）</w:t>
            </w:r>
          </w:p>
        </w:tc>
        <w:tc>
          <w:tcPr>
            <w:tcW w:w="675" w:type="dxa"/>
            <w:gridSpan w:val="2"/>
            <w:noWrap w:val="0"/>
            <w:vAlign w:val="center"/>
          </w:tcPr>
          <w:p w14:paraId="7F20A8FD">
            <w:pPr>
              <w:widowControl/>
              <w:spacing w:line="360" w:lineRule="exact"/>
              <w:jc w:val="center"/>
              <w:textAlignment w:val="center"/>
              <w:rPr>
                <w:rFonts w:hint="eastAsia"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3</w:t>
            </w:r>
          </w:p>
        </w:tc>
        <w:tc>
          <w:tcPr>
            <w:tcW w:w="707" w:type="dxa"/>
            <w:noWrap w:val="0"/>
            <w:vAlign w:val="center"/>
          </w:tcPr>
          <w:p w14:paraId="0BFA02D4">
            <w:pPr>
              <w:widowControl/>
              <w:spacing w:line="360" w:lineRule="exact"/>
              <w:jc w:val="center"/>
              <w:textAlignment w:val="center"/>
              <w:rPr>
                <w:rFonts w:hint="eastAsia"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套</w:t>
            </w:r>
          </w:p>
        </w:tc>
        <w:tc>
          <w:tcPr>
            <w:tcW w:w="5513" w:type="dxa"/>
            <w:tcBorders>
              <w:right w:val="single" w:color="auto" w:sz="4" w:space="0"/>
            </w:tcBorders>
            <w:noWrap w:val="0"/>
            <w:vAlign w:val="center"/>
          </w:tcPr>
          <w:p w14:paraId="755C67C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一、无人机整机</w:t>
            </w:r>
          </w:p>
          <w:p w14:paraId="20BEF6B6">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1、整机重量：≤65kg（装配吊运系统)</w:t>
            </w:r>
          </w:p>
          <w:p w14:paraId="5546E7B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▲2、最大起飞重量：≤150 kg（装配吊运系统)</w:t>
            </w:r>
          </w:p>
          <w:p w14:paraId="6A3D542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▲3、吊运载荷：≥85 kg</w:t>
            </w:r>
          </w:p>
          <w:p w14:paraId="21EFD700">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4、无人机轴距：≤2330 mm（对角线)</w:t>
            </w:r>
          </w:p>
          <w:p w14:paraId="1C51638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5、悬停精度，启用RTK:1cm+1ppm(水平），1.5cm+1ppm(垂直)</w:t>
            </w:r>
          </w:p>
          <w:p w14:paraId="2CEFCCF5">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6、悬停精度，未启用RTK:水平±60cm，垂直±30cm</w:t>
            </w:r>
          </w:p>
          <w:p w14:paraId="7F81323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7、无人机工作环境温度：0℃至40℃</w:t>
            </w:r>
          </w:p>
          <w:p w14:paraId="3DEC8D1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8、无人机最大可承受风速：≥6 m/s</w:t>
            </w:r>
          </w:p>
          <w:p w14:paraId="32C9762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9、电机定子尺寸：≥155 x 16 mm</w:t>
            </w:r>
          </w:p>
          <w:p w14:paraId="01D73EC7">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10、电机KV值：≥60 rpm/V</w:t>
            </w:r>
          </w:p>
          <w:p w14:paraId="00043F04">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11、螺旋桨材质：碳纤维复材</w:t>
            </w:r>
          </w:p>
          <w:p w14:paraId="106680A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12、螺旋桨尺寸：≥62英寸</w:t>
            </w:r>
          </w:p>
          <w:p w14:paraId="26486E65">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▲13、螺旋桨数量：8对</w:t>
            </w:r>
          </w:p>
          <w:p w14:paraId="5C3E91D6">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14、灭火水箱材质：HDPE</w:t>
            </w:r>
          </w:p>
          <w:p w14:paraId="55F3797A">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▲15、灭火水箱容积：≥75L</w:t>
            </w:r>
          </w:p>
          <w:p w14:paraId="1B96C97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16、灭火喷头数量：4</w:t>
            </w:r>
          </w:p>
          <w:p w14:paraId="427C7701">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17、灭火喷头间距：1834mm±5mm（四喷头最外侧)</w:t>
            </w:r>
          </w:p>
          <w:p w14:paraId="547949F3">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18、有效喷幅范围：5-11m</w:t>
            </w:r>
          </w:p>
          <w:p w14:paraId="48D44437">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19、喷头最大流量：≥40L/min（4喷头）</w:t>
            </w:r>
          </w:p>
          <w:p w14:paraId="27D30F44">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20、有源相控阵雷达有效全向辐射功率EIRP：＜20dBm(NCC/MIC/KC/CE/ FCC )</w:t>
            </w:r>
          </w:p>
          <w:p w14:paraId="0DE4FFEC">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21、雷达工作环境温度：0℃至40℃</w:t>
            </w:r>
          </w:p>
          <w:p w14:paraId="52C04E6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▲22、激光雷达工作功耗：≤7W，</w:t>
            </w:r>
          </w:p>
          <w:p w14:paraId="77C3F9D8">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▲23、前雷达工作功耗：≤20W，</w:t>
            </w:r>
          </w:p>
          <w:p w14:paraId="186ABFD3">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▲24、下视雷达工作功耗：≤5W，</w:t>
            </w:r>
          </w:p>
          <w:p w14:paraId="335B69C7">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▲25、后视雷达工作功耗：≤5W</w:t>
            </w:r>
          </w:p>
          <w:p w14:paraId="20618B0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26、激光雷达视野范围（FOV）：约垂直272°，水平60°</w:t>
            </w:r>
          </w:p>
          <w:p w14:paraId="74BDB97B">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27、前雷达视野范围（FOV）：约水平360°，垂直±45°</w:t>
            </w:r>
          </w:p>
          <w:p w14:paraId="699C7946">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28、下视雷达视野范围（FOV）：左右±12.5°，前后±22.5° </w:t>
            </w:r>
          </w:p>
          <w:p w14:paraId="47AF1A4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29、后视雷达视野范围（FOV）：左右±45°，前后±45°</w:t>
            </w:r>
          </w:p>
          <w:p w14:paraId="6CDC8A51">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30、四目视觉系统视野范围（FOV）：约水平360°，垂直180°</w:t>
            </w:r>
          </w:p>
          <w:p w14:paraId="327E34FB">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31、FPV摄像头视野范围（FOV）：约水平±86°，垂直108°</w:t>
            </w:r>
          </w:p>
          <w:p w14:paraId="6CF1163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32、测距范围：≥55m</w:t>
            </w:r>
          </w:p>
          <w:p w14:paraId="458E5788">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▲33、有效安全避障绕行速度：≥13 m/s</w:t>
            </w:r>
          </w:p>
          <w:p w14:paraId="0665DDD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▲34、有效避障高度：≥1.5m</w:t>
            </w:r>
          </w:p>
          <w:p w14:paraId="664758D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二、遥控器</w:t>
            </w:r>
          </w:p>
          <w:p w14:paraId="1446799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▲1、遥控器显示屏尺寸：≥7 英寸触控液晶显示屏</w:t>
            </w:r>
          </w:p>
          <w:p w14:paraId="5A706181">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2、遥控器显示屏分辨率：≥分辨率1920×1200，亮度1400 cd/m²</w:t>
            </w:r>
          </w:p>
          <w:p w14:paraId="135747AC">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3、遥控器显示屏存放环境温度：-30℃至45℃</w:t>
            </w:r>
          </w:p>
          <w:p w14:paraId="173C01E2">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4、遥控器显示屏充电环境温度：5℃至40℃</w:t>
            </w:r>
          </w:p>
          <w:p w14:paraId="59E5E0F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5、遥控器显示屏内置电池续航时间：≥3.5小时</w:t>
            </w:r>
          </w:p>
          <w:p w14:paraId="39933F50">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6、遥控器显示屏外置电池续航时间：≥3 小时</w:t>
            </w:r>
          </w:p>
          <w:p w14:paraId="398CC3EB">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7、遥控器显示屏充电方式：使用最大功率65W（最大电压20V）的USB-C快充充电器。</w:t>
            </w:r>
          </w:p>
          <w:p w14:paraId="21A5C16A">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8、遥控器显示屏充电时间：≤2小时。</w:t>
            </w:r>
          </w:p>
          <w:p w14:paraId="6CB5AB33">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三、智能飞行电池</w:t>
            </w:r>
          </w:p>
          <w:p w14:paraId="659B0A47">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▲1、智能飞行电池重量：14.7±0.3 kg</w:t>
            </w:r>
          </w:p>
          <w:p w14:paraId="29E2E7B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▲2、智能飞行电池容量：≥40000 mAh</w:t>
            </w:r>
          </w:p>
          <w:p w14:paraId="60F4CDB4">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▲3、智能飞行电池电压：52V</w:t>
            </w:r>
          </w:p>
          <w:p w14:paraId="03B933B3">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▲4、变频充电站输出通道：≥3通道</w:t>
            </w:r>
          </w:p>
          <w:p w14:paraId="7342C2D4">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①通道直流充电输出：42-61.6 V/11500W</w:t>
            </w:r>
          </w:p>
          <w:p w14:paraId="713FF6C1">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②通道风冷散热器供电：12 V/6A</w:t>
            </w:r>
          </w:p>
          <w:p w14:paraId="05A4D772">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③通道交流输出：220 V/1500W</w:t>
            </w:r>
          </w:p>
          <w:p w14:paraId="0555CD3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▲5、给智能飞行电池充电时间:8-9分钟（标配智能飞行电池，从30%电量充到95%电量)</w:t>
            </w:r>
          </w:p>
          <w:p w14:paraId="0F642078">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四、变频发电充电站</w:t>
            </w:r>
          </w:p>
          <w:p w14:paraId="39052662">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▲1、变频发电充电站油箱容量: ≥30L</w:t>
            </w:r>
          </w:p>
          <w:p w14:paraId="03BA01D4">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2、变频发电充电站启动方式:一键启动</w:t>
            </w:r>
          </w:p>
          <w:p w14:paraId="7D4CAC24">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3、变频发电充电站工作环境温度:0℃至40℃</w:t>
            </w:r>
          </w:p>
          <w:p w14:paraId="41EEE39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4、变频发电充电站尺寸: ≤760 mm x 705 mm x680 mm</w:t>
            </w:r>
          </w:p>
          <w:p w14:paraId="1448982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▲5、变频发电充电站重量:87±0.5 kg</w:t>
            </w:r>
          </w:p>
          <w:p w14:paraId="38CD0B9A">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6、变频发电充电站燃料类型:92#汽油或以上牌号</w:t>
            </w:r>
          </w:p>
          <w:p w14:paraId="03681ED4">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7、变频发电充电站油耗: ≤550 mL/kWh</w:t>
            </w:r>
          </w:p>
          <w:p w14:paraId="698F81D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五、智能充电器</w:t>
            </w:r>
          </w:p>
          <w:p w14:paraId="7744F8B8">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1、智能充电器外形尺寸: ≤456 mm x295 mm x 109 mm</w:t>
            </w:r>
          </w:p>
          <w:p w14:paraId="444408B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2、智能充电器重量: ≤13.2 kg</w:t>
            </w:r>
          </w:p>
          <w:p w14:paraId="45BF2F24">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六、灭火弹抛投器</w:t>
            </w:r>
          </w:p>
          <w:p w14:paraId="5B6A4B6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▲1、灭火弹抛投器尺寸：≤480mm*265mm*150mm</w:t>
            </w:r>
          </w:p>
          <w:p w14:paraId="0AF2D75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▲2、灭火弹抛投器重量：≤2990g（含测高模块）</w:t>
            </w:r>
          </w:p>
          <w:p w14:paraId="10553635">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▲3、灭火弹抛投器安装方式：快拆</w:t>
            </w:r>
          </w:p>
          <w:p w14:paraId="74C39EB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4、灭火弹抛投器工作温度：-20℃~45℃</w:t>
            </w:r>
          </w:p>
          <w:p w14:paraId="2F134F0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5、灭火弹抛投器供电电压：24V~80V（飞机电池端直接取电）</w:t>
            </w:r>
          </w:p>
          <w:p w14:paraId="17810BB7">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▲6、灭火弹抛投器峰值功率：≤50w</w:t>
            </w:r>
          </w:p>
          <w:p w14:paraId="0A155564">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▲7、灭火弹抛投器单钩最大载重：≥45Kg</w:t>
            </w:r>
          </w:p>
          <w:p w14:paraId="23E04493">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▲8、灭火弹抛投器标配挂钩数量：6个</w:t>
            </w:r>
          </w:p>
          <w:p w14:paraId="63C7ED4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▲9、灭火弹抛投器投放方式：全抛，单抛，2钩抛</w:t>
            </w:r>
          </w:p>
          <w:p w14:paraId="10ECA8A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▲10、灭火弹抛投器引爆高度信息源：外接毫米波雷达测高</w:t>
            </w:r>
          </w:p>
          <w:p w14:paraId="0EF433B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▲11、灭火弹抛投器起爆高度：app可调（3m~20m）</w:t>
            </w:r>
          </w:p>
          <w:p w14:paraId="2E2BB57C">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▲12、灭火弹抛投器测高范围：10m~100m</w:t>
            </w:r>
          </w:p>
          <w:p w14:paraId="12E4A730">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▲13、灭火弹抛投器测高精度（m）：±0.5m</w:t>
            </w:r>
          </w:p>
          <w:p w14:paraId="5FA0F733">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▲14、灭火弹抛投器安全功能：APP具备安全开关、遥控器显示弹状态。</w:t>
            </w:r>
          </w:p>
          <w:p w14:paraId="7C0B455C">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15、灭火弹抛投器通信接口：网口</w:t>
            </w:r>
          </w:p>
          <w:p w14:paraId="773B8000">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▲16灭火弹抛投器控制方式：智慧负载APP</w:t>
            </w:r>
          </w:p>
          <w:p w14:paraId="729564F1">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七、消防喷枪</w:t>
            </w:r>
          </w:p>
          <w:p w14:paraId="1BF2AA41">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▲1、消防喷枪长度：≥2010mm</w:t>
            </w:r>
          </w:p>
          <w:p w14:paraId="02A198E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▲2、消防喷枪重量：≤950g </w:t>
            </w:r>
          </w:p>
          <w:p w14:paraId="432CDDF5">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3、消防水带直径：≥40mm</w:t>
            </w:r>
          </w:p>
          <w:p w14:paraId="7A7E1D61">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4、消防喷枪安装方式：快拆</w:t>
            </w:r>
          </w:p>
          <w:p w14:paraId="5D90CA2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5、灭火剂种类：消防泡沫/消防水剂</w:t>
            </w:r>
          </w:p>
          <w:p w14:paraId="0C25BD47">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6、建议使用高度：0m~80m</w:t>
            </w:r>
          </w:p>
          <w:p w14:paraId="51B32FF0">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7、消防喷枪水带长度：≥90m                        </w:t>
            </w:r>
          </w:p>
          <w:p w14:paraId="2C381DC7">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8、喷口有效射程：10m~15m                     </w:t>
            </w:r>
          </w:p>
          <w:p w14:paraId="6BDA5103">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9、消防喷枪水带耐压：≥2.5Mpa，</w:t>
            </w:r>
          </w:p>
          <w:p w14:paraId="632E34BB">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10、消防喷枪水带爆破压力：≥3.2Mpa</w:t>
            </w:r>
          </w:p>
          <w:p w14:paraId="47E967C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11、水带连接方式：一体式锻造接头</w:t>
            </w:r>
          </w:p>
          <w:p w14:paraId="1A164ABB">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整机配套：整机1台、吊运负载器1套、变频发电充电站1台、智能充电器1台、灭火弹抛投器1套、消防喷枪1套、智能飞行电池3组、无人机整机保险1年。</w:t>
            </w:r>
          </w:p>
          <w:p w14:paraId="71CEE56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标注有“▲”参数投标时需提供具有CMA或CNAS资格的检测机构出具的检测报告复印件予以佐证，检测报告需标注或批注相应的内容以便评审查找，无法佐证或检验报告未体现的按无效投标处理。</w:t>
            </w:r>
          </w:p>
        </w:tc>
        <w:tc>
          <w:tcPr>
            <w:tcW w:w="1120" w:type="dxa"/>
            <w:tcBorders>
              <w:left w:val="single" w:color="auto" w:sz="4" w:space="0"/>
            </w:tcBorders>
            <w:noWrap w:val="0"/>
            <w:vAlign w:val="center"/>
          </w:tcPr>
          <w:p w14:paraId="3AF6C44C">
            <w:pPr>
              <w:widowControl/>
              <w:spacing w:line="360" w:lineRule="exact"/>
              <w:jc w:val="left"/>
              <w:textAlignment w:val="center"/>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220000</w:t>
            </w:r>
          </w:p>
        </w:tc>
      </w:tr>
      <w:tr w14:paraId="27C85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668" w:type="dxa"/>
            <w:noWrap w:val="0"/>
            <w:vAlign w:val="center"/>
          </w:tcPr>
          <w:p w14:paraId="5F15328F">
            <w:pPr>
              <w:widowControl/>
              <w:spacing w:line="360" w:lineRule="exact"/>
              <w:jc w:val="center"/>
              <w:textAlignment w:val="center"/>
              <w:rPr>
                <w:rFonts w:hint="eastAsia" w:ascii="宋体" w:hAnsi="宋体" w:eastAsia="宋体" w:cs="宋体"/>
                <w:color w:val="000000"/>
                <w:kern w:val="0"/>
                <w:szCs w:val="21"/>
                <w:highlight w:val="none"/>
              </w:rPr>
            </w:pPr>
            <w:r>
              <w:rPr>
                <w:rFonts w:hint="default" w:ascii="宋体" w:hAnsi="宋体" w:eastAsia="宋体" w:cs="宋体"/>
                <w:color w:val="000000"/>
                <w:kern w:val="0"/>
                <w:szCs w:val="21"/>
                <w:highlight w:val="none"/>
                <w:lang w:val="en-US" w:eastAsia="zh-CN"/>
              </w:rPr>
              <w:t>2</w:t>
            </w:r>
          </w:p>
        </w:tc>
        <w:tc>
          <w:tcPr>
            <w:tcW w:w="1182" w:type="dxa"/>
            <w:noWrap w:val="0"/>
            <w:vAlign w:val="center"/>
          </w:tcPr>
          <w:p w14:paraId="0DD0BB64">
            <w:pPr>
              <w:widowControl/>
              <w:spacing w:line="360" w:lineRule="exact"/>
              <w:jc w:val="center"/>
              <w:textAlignment w:val="center"/>
              <w:rPr>
                <w:rFonts w:hint="eastAsia"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巡护无人机</w:t>
            </w:r>
            <w:r>
              <w:rPr>
                <w:rFonts w:hint="eastAsia" w:ascii="宋体" w:hAnsi="宋体" w:cs="宋体"/>
                <w:color w:val="auto"/>
                <w:kern w:val="0"/>
                <w:szCs w:val="21"/>
                <w:highlight w:val="none"/>
                <w:lang w:val="en-US" w:eastAsia="zh-CN"/>
              </w:rPr>
              <w:t xml:space="preserve">             （配备喊话器）</w:t>
            </w:r>
          </w:p>
        </w:tc>
        <w:tc>
          <w:tcPr>
            <w:tcW w:w="675" w:type="dxa"/>
            <w:gridSpan w:val="2"/>
            <w:noWrap w:val="0"/>
            <w:vAlign w:val="center"/>
          </w:tcPr>
          <w:p w14:paraId="3BB74780">
            <w:pPr>
              <w:widowControl/>
              <w:spacing w:line="360" w:lineRule="exact"/>
              <w:jc w:val="center"/>
              <w:textAlignment w:val="center"/>
              <w:rPr>
                <w:rFonts w:hint="eastAsia"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50</w:t>
            </w:r>
          </w:p>
        </w:tc>
        <w:tc>
          <w:tcPr>
            <w:tcW w:w="707" w:type="dxa"/>
            <w:noWrap w:val="0"/>
            <w:vAlign w:val="center"/>
          </w:tcPr>
          <w:p w14:paraId="7D303283">
            <w:pPr>
              <w:widowControl/>
              <w:spacing w:line="360" w:lineRule="exact"/>
              <w:jc w:val="center"/>
              <w:textAlignment w:val="center"/>
              <w:rPr>
                <w:rFonts w:hint="eastAsia"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台</w:t>
            </w:r>
          </w:p>
        </w:tc>
        <w:tc>
          <w:tcPr>
            <w:tcW w:w="5513" w:type="dxa"/>
            <w:tcBorders>
              <w:right w:val="single" w:color="auto" w:sz="4" w:space="0"/>
            </w:tcBorders>
            <w:noWrap w:val="0"/>
            <w:vAlign w:val="center"/>
          </w:tcPr>
          <w:p w14:paraId="2AD1BC27">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一、飞行器</w:t>
            </w:r>
          </w:p>
          <w:p w14:paraId="201EE600">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▲1、起飞重量：≤ 1065 克</w:t>
            </w:r>
          </w:p>
          <w:p w14:paraId="246B0BC7">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▲2、最大起飞重量：≤ 1265 克（机身安装桨叶保护罩、增强图传模块 3 及 microSD 卡）</w:t>
            </w:r>
          </w:p>
          <w:p w14:paraId="6A1474A6">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▲3、尺寸：展开（不带桨）mm：长 328*宽 390*高 135±5</w:t>
            </w:r>
          </w:p>
          <w:p w14:paraId="317BE2C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4、最大上升速度：≥10 米/秒（运动挡）</w:t>
            </w:r>
          </w:p>
          <w:p w14:paraId="6BFF6F91">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5、最大下降速度：≥10 米/秒（运动挡）</w:t>
            </w:r>
          </w:p>
          <w:p w14:paraId="689820D1">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6、最大水平飞行速度：≥25 米/秒（运动挡）</w:t>
            </w:r>
          </w:p>
          <w:p w14:paraId="44EBEDF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7、最大起飞海拔高度：≥6000 米</w:t>
            </w:r>
          </w:p>
          <w:p w14:paraId="4445AEB2">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▲8、最长飞行时间：≥50 分钟</w:t>
            </w:r>
          </w:p>
          <w:p w14:paraId="61F0EAC4">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9、最长悬停时间：≥45 分钟</w:t>
            </w:r>
          </w:p>
          <w:p w14:paraId="2F724E86">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▲10、最大续航里程：≥40 公里</w:t>
            </w:r>
          </w:p>
          <w:p w14:paraId="6DAF591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11、最大抗风速度：≥12 米/秒</w:t>
            </w:r>
          </w:p>
          <w:p w14:paraId="7C982D36">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12、最大可倾斜角度：≥35°</w:t>
            </w:r>
          </w:p>
          <w:p w14:paraId="1503F962">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13、工作环境温度：-10℃ 至 40℃</w:t>
            </w:r>
          </w:p>
          <w:p w14:paraId="73429715">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14、卫星导航系统：GPS + Galileo + BeiDou</w:t>
            </w:r>
          </w:p>
          <w:p w14:paraId="5185589B">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15、悬停精度</w:t>
            </w:r>
          </w:p>
          <w:p w14:paraId="1E5F621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垂直：±0.1 米（视觉定位正常工作时）；±0.5 米（卫星定位正常工作时）</w:t>
            </w:r>
          </w:p>
          <w:p w14:paraId="0E87F707">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水平：±0.3 米（视觉定位正常工作时）；±0.5 米（卫星定位正常工作时）</w:t>
            </w:r>
          </w:p>
          <w:p w14:paraId="4D6AFE4A">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二、相机</w:t>
            </w:r>
          </w:p>
          <w:p w14:paraId="3EC9F06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▲1、影像传感器</w:t>
            </w:r>
          </w:p>
          <w:p w14:paraId="20F7E187">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①主要相机：不小于4/3 CMOS，有效像素 ≥9000万</w:t>
            </w:r>
          </w:p>
          <w:p w14:paraId="45AAC764">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②中长焦相机：不小于1/1.3 英寸 CMOS，有效像素≥ 4800 万</w:t>
            </w:r>
          </w:p>
          <w:p w14:paraId="5C331833">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③长焦相机：不小于1/1.5 英寸 CMOS，有效像素 ≥5000 万</w:t>
            </w:r>
          </w:p>
          <w:p w14:paraId="145598A1">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2、相机ISO 范围</w:t>
            </w:r>
          </w:p>
          <w:p w14:paraId="472470EC">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①主要相机</w:t>
            </w:r>
          </w:p>
          <w:p w14:paraId="0124A2BB">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≥2500 万像素拍照：100 至 6400</w:t>
            </w:r>
          </w:p>
          <w:p w14:paraId="1149733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≥9000万像素拍照：100 至 3200</w:t>
            </w:r>
          </w:p>
          <w:p w14:paraId="06DC13D3">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②中长焦相机</w:t>
            </w:r>
          </w:p>
          <w:p w14:paraId="4B9323DB">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≥1200 万像素拍照：100 至 6400</w:t>
            </w:r>
          </w:p>
          <w:p w14:paraId="05F8E62B">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≥4800 万像素拍照：100 至 3200</w:t>
            </w:r>
          </w:p>
          <w:p w14:paraId="4C5D6A34">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③长焦相机</w:t>
            </w:r>
          </w:p>
          <w:p w14:paraId="6F695D3C">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≥1250 万像素拍照：100 至 6400</w:t>
            </w:r>
          </w:p>
          <w:p w14:paraId="763460C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≥5000 万像素拍照：100 至 3200</w:t>
            </w:r>
          </w:p>
          <w:p w14:paraId="1048C868">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3、最大照片尺寸</w:t>
            </w:r>
          </w:p>
          <w:p w14:paraId="63749C5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①主要相机：≥12288 × 8192</w:t>
            </w:r>
          </w:p>
          <w:p w14:paraId="3BCE979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②中长焦相机：≥ 8064 × 6048</w:t>
            </w:r>
          </w:p>
          <w:p w14:paraId="7497C55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③长焦相机：≥8192 × 6144</w:t>
            </w:r>
          </w:p>
          <w:p w14:paraId="69F53D12">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4、照片拍摄模式及参数</w:t>
            </w:r>
          </w:p>
          <w:p w14:paraId="2F3DAB1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①主要相机</w:t>
            </w:r>
          </w:p>
          <w:p w14:paraId="29704D8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单张拍摄：≥9000万像素</w:t>
            </w:r>
          </w:p>
          <w:p w14:paraId="5C70B068">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多张连拍：≥9000万像素，3/5 张</w:t>
            </w:r>
          </w:p>
          <w:p w14:paraId="4AA398B8">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②中长焦相机</w:t>
            </w:r>
          </w:p>
          <w:p w14:paraId="52F35E67">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单张拍摄：≥4800 万像素</w:t>
            </w:r>
          </w:p>
          <w:p w14:paraId="5BBCB42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多张连拍：≥4800 万像素，3/5/7 张</w:t>
            </w:r>
          </w:p>
          <w:p w14:paraId="2DDFB0D1">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③长焦相机</w:t>
            </w:r>
          </w:p>
          <w:p w14:paraId="418B7F0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单张拍摄：≥5000 万像素</w:t>
            </w:r>
          </w:p>
          <w:p w14:paraId="2AAE034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多张连拍：≥5000 万像素，3/5/7 张</w:t>
            </w:r>
          </w:p>
          <w:p w14:paraId="18734CE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5、录像分辨率</w:t>
            </w:r>
          </w:p>
          <w:p w14:paraId="344CE51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①主要相机：≥6K</w:t>
            </w:r>
          </w:p>
          <w:p w14:paraId="5A4BBCB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②中长焦相机：≥4K</w:t>
            </w:r>
          </w:p>
          <w:p w14:paraId="14B82710">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③长焦相机：≥4K</w:t>
            </w:r>
          </w:p>
          <w:p w14:paraId="77744A88">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▲6、数字变焦</w:t>
            </w:r>
          </w:p>
          <w:p w14:paraId="77539CB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①主要相机：≥1 倍</w:t>
            </w:r>
          </w:p>
          <w:p w14:paraId="236B496B">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②中长焦相机：≥2.5 倍</w:t>
            </w:r>
          </w:p>
          <w:p w14:paraId="2569AD5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③长焦相机：≥6 倍</w:t>
            </w:r>
          </w:p>
          <w:p w14:paraId="103E2D30">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三、云台</w:t>
            </w:r>
          </w:p>
          <w:p w14:paraId="6F23BA92">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1、稳定系统：三轴机械云台（俯仰、横滚、偏航）</w:t>
            </w:r>
          </w:p>
          <w:p w14:paraId="40B5329B">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2、结构设计范围：俯仰：约-164° 至 160°；横滚：约-90° 至 450°；偏航：约-22° 至 22°</w:t>
            </w:r>
          </w:p>
          <w:p w14:paraId="5580C403">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3、可控转动范围：俯仰：约-90° 至 70°；横滚：约-40° 至 400°</w:t>
            </w:r>
          </w:p>
          <w:p w14:paraId="130E4AD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4、最大控制转速：俯仰轴：约100°/秒；横滚轴：约100°/秒</w:t>
            </w:r>
          </w:p>
          <w:p w14:paraId="66B2BF98">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5、角度抖动量：无风悬停：±0.001°；普通挡：±0.003°；运动挡：±0.005°</w:t>
            </w:r>
          </w:p>
          <w:p w14:paraId="0A245C5A">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四、感知系统</w:t>
            </w:r>
          </w:p>
          <w:p w14:paraId="25FBDAD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1、感知系统类型：全向双目视觉系统，辅以机身前视激光雷达和底部红外传感器</w:t>
            </w:r>
          </w:p>
          <w:p w14:paraId="1C36CE67">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▲2、前视</w:t>
            </w:r>
          </w:p>
          <w:p w14:paraId="68C00E9A">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1）测距范围：0.5 米至 24 米</w:t>
            </w:r>
          </w:p>
          <w:p w14:paraId="1BA77F5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2）可探测范围：0.5 米至 200 米</w:t>
            </w:r>
          </w:p>
          <w:p w14:paraId="1FDEF893">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3）有效避障速度：飞行速度 ≤18米/秒</w:t>
            </w:r>
          </w:p>
          <w:p w14:paraId="1B6BBA57">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4）视角（FOV）：水平 180°，垂直 180°</w:t>
            </w:r>
          </w:p>
          <w:p w14:paraId="29336EB1">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3、后视</w:t>
            </w:r>
          </w:p>
          <w:p w14:paraId="2EBC72A1">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1）测距范围：0.5 米至 22 米</w:t>
            </w:r>
          </w:p>
          <w:p w14:paraId="7339EB5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2）可探测范围：0.5 米至 200 米</w:t>
            </w:r>
          </w:p>
          <w:p w14:paraId="6A6687F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3）有效避障速度：飞行速度 ≤18米/秒</w:t>
            </w:r>
          </w:p>
          <w:p w14:paraId="4956AB45">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4）视角（FOV）：水平 180°，垂直 180°</w:t>
            </w:r>
          </w:p>
          <w:p w14:paraId="066CCC43">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4、侧视</w:t>
            </w:r>
          </w:p>
          <w:p w14:paraId="3E63AF5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1）测距范围：0.5 米至 21 米</w:t>
            </w:r>
          </w:p>
          <w:p w14:paraId="1576C108">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2）可探测范围：0.5 米至 200 米</w:t>
            </w:r>
          </w:p>
          <w:p w14:paraId="4F91FB24">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3）有效避障速度：飞行速度 ≤18米/秒</w:t>
            </w:r>
          </w:p>
          <w:p w14:paraId="0D56935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4）视角（FOV）：水平 180°，垂直 180°</w:t>
            </w:r>
          </w:p>
          <w:p w14:paraId="442A829A">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5、上视</w:t>
            </w:r>
          </w:p>
          <w:p w14:paraId="22E85211">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1）测距范围：0.5 米至 18 米</w:t>
            </w:r>
          </w:p>
          <w:p w14:paraId="6234B064">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2）有效避障速度：飞行速度 ≤6米/秒</w:t>
            </w:r>
          </w:p>
          <w:p w14:paraId="750B046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3）视角（FOV）：水平 90°，垂直 90°</w:t>
            </w:r>
          </w:p>
          <w:p w14:paraId="236A5605">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6、下视</w:t>
            </w:r>
          </w:p>
          <w:p w14:paraId="6BDABD88">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1）测距范围：0.5 米至 17 米</w:t>
            </w:r>
          </w:p>
          <w:p w14:paraId="55C02552">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2）有效避障速度：飞行速度 ≤6米/秒</w:t>
            </w:r>
          </w:p>
          <w:p w14:paraId="403D61A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3）视角（FOV）：水平 180°，垂直 180°</w:t>
            </w:r>
          </w:p>
          <w:p w14:paraId="3FCD123A">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7、三维红外传感系统</w:t>
            </w:r>
          </w:p>
          <w:p w14:paraId="6C749A17">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1）前视激光雷达测距范围：夜间 0.5 米至 25 米（反射率大于 10% ）</w:t>
            </w:r>
          </w:p>
          <w:p w14:paraId="6D4534A9">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2）下视红外测距传感器测距范围：0.3 米至 8 米（反射率大于 10% ）</w:t>
            </w:r>
          </w:p>
          <w:p w14:paraId="2743289D">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五、电池</w:t>
            </w:r>
          </w:p>
          <w:p w14:paraId="11D9C09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▲1、容量：≥6650 毫安时</w:t>
            </w:r>
          </w:p>
          <w:p w14:paraId="53760DD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▲2、重量：约 332 克</w:t>
            </w:r>
          </w:p>
          <w:p w14:paraId="442211A8">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3、标称电压：≥14伏</w:t>
            </w:r>
          </w:p>
          <w:p w14:paraId="4052F676">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4、充电限制电压：≥17 伏</w:t>
            </w:r>
          </w:p>
          <w:p w14:paraId="206E50DB">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5、电池类型：Li-ion 4S</w:t>
            </w:r>
          </w:p>
          <w:p w14:paraId="099CE4A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6、充电环境温度：5℃ 至 40℃</w:t>
            </w:r>
          </w:p>
          <w:p w14:paraId="75901546">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六、喊话器</w:t>
            </w:r>
          </w:p>
          <w:p w14:paraId="5DD9B94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1、喊话器尺寸: ≤112*88*37mm</w:t>
            </w:r>
          </w:p>
          <w:p w14:paraId="1F46E0F0">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2、喊话器录音播放功能:有</w:t>
            </w:r>
          </w:p>
          <w:p w14:paraId="5EC48380">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3、喊话器使用时长: ≥120分钟</w:t>
            </w:r>
          </w:p>
          <w:p w14:paraId="04A617FF">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4、声音分贝: ≥120分贝</w:t>
            </w:r>
          </w:p>
          <w:p w14:paraId="5CE18CD8">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5、喊话器重量: ≤97g</w:t>
            </w:r>
          </w:p>
          <w:p w14:paraId="1DF7817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6、声音覆盖: ≥200m</w:t>
            </w:r>
          </w:p>
          <w:p w14:paraId="5C164472">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配置：电池× 2、遥控器× 1、桌面充电器× 1、喊话器× 1。</w:t>
            </w:r>
          </w:p>
          <w:p w14:paraId="5E6EBB8E">
            <w:pPr>
              <w:widowControl/>
              <w:spacing w:line="360" w:lineRule="exact"/>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标注有“▲”参数投标时需提供具有CMA或CNAS资格的检测机构出具的检测报告复印件予以佐证，检测报告需标注或批注相应的内容以便评审查找，无法佐证或检验报告未体现的按无效投标处理。</w:t>
            </w:r>
          </w:p>
        </w:tc>
        <w:tc>
          <w:tcPr>
            <w:tcW w:w="1120" w:type="dxa"/>
            <w:tcBorders>
              <w:left w:val="single" w:color="auto" w:sz="4" w:space="0"/>
            </w:tcBorders>
            <w:noWrap w:val="0"/>
            <w:vAlign w:val="center"/>
          </w:tcPr>
          <w:p w14:paraId="1DB5B3E8">
            <w:pPr>
              <w:widowControl/>
              <w:spacing w:line="360" w:lineRule="exact"/>
              <w:jc w:val="left"/>
              <w:textAlignment w:val="center"/>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20000</w:t>
            </w:r>
          </w:p>
        </w:tc>
      </w:tr>
      <w:tr w14:paraId="22BD9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65" w:type="dxa"/>
            <w:gridSpan w:val="7"/>
            <w:tcBorders>
              <w:top w:val="single" w:color="auto" w:sz="4" w:space="0"/>
              <w:left w:val="single" w:color="auto" w:sz="4" w:space="0"/>
              <w:bottom w:val="single" w:color="auto" w:sz="4" w:space="0"/>
              <w:right w:val="single" w:color="auto" w:sz="4" w:space="0"/>
            </w:tcBorders>
            <w:noWrap w:val="0"/>
            <w:vAlign w:val="center"/>
          </w:tcPr>
          <w:p w14:paraId="64AFA5B0">
            <w:pPr>
              <w:spacing w:line="360" w:lineRule="exact"/>
              <w:rPr>
                <w:rFonts w:hint="eastAsia" w:ascii="宋体" w:hAnsi="宋体" w:eastAsia="宋体" w:cs="宋体"/>
                <w:b/>
                <w:bCs/>
                <w:color w:val="000000"/>
                <w:szCs w:val="21"/>
                <w:highlight w:val="none"/>
              </w:rPr>
            </w:pPr>
            <w:r>
              <w:rPr>
                <w:rFonts w:hint="eastAsia" w:ascii="宋体" w:hAnsi="宋体" w:eastAsia="宋体" w:cs="宋体"/>
                <w:b/>
                <w:color w:val="000000"/>
                <w:szCs w:val="21"/>
                <w:highlight w:val="none"/>
              </w:rPr>
              <w:t>第二部分 商务要求</w:t>
            </w:r>
          </w:p>
        </w:tc>
      </w:tr>
      <w:tr w14:paraId="6BF82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39214470">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合同签订时间</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4A01B3FE">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自中标通知书发出之日起25日内。</w:t>
            </w:r>
          </w:p>
        </w:tc>
      </w:tr>
      <w:tr w14:paraId="75CC6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5EF15EAA">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▲交付的时间和地点</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6D8579DF">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交货时间：自合同签订之日起 30 天内安装合格交付使用。</w:t>
            </w:r>
          </w:p>
          <w:p w14:paraId="7C241D66">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地点：广西区内采购人指定地点。</w:t>
            </w:r>
          </w:p>
        </w:tc>
      </w:tr>
      <w:tr w14:paraId="24368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563A02D1">
            <w:pPr>
              <w:widowControl/>
              <w:spacing w:line="360" w:lineRule="exact"/>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▲付款条件</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11F488AF">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1.签订采购合同前中标人向采购人递交合同总价2%的履约保证金，货物验收合格后，中标人向采购人开具合同金额100%的发票，</w:t>
            </w:r>
            <w:r>
              <w:rPr>
                <w:rFonts w:hint="eastAsia" w:ascii="宋体" w:hAnsi="宋体" w:eastAsia="宋体" w:cs="宋体"/>
                <w:color w:val="000000"/>
                <w:kern w:val="0"/>
                <w:szCs w:val="21"/>
                <w:highlight w:val="none"/>
                <w:lang w:eastAsia="zh-CN"/>
              </w:rPr>
              <w:t>采购人收到发票之日起10个工作日内向中标人一次性支付项目全部费用</w:t>
            </w:r>
            <w:r>
              <w:rPr>
                <w:rFonts w:hint="eastAsia" w:ascii="宋体" w:hAnsi="宋体" w:eastAsia="宋体" w:cs="宋体"/>
                <w:color w:val="000000"/>
                <w:kern w:val="0"/>
                <w:szCs w:val="21"/>
                <w:highlight w:val="none"/>
              </w:rPr>
              <w:t>。</w:t>
            </w:r>
          </w:p>
          <w:p w14:paraId="0B23C826">
            <w:pPr>
              <w:pStyle w:val="2"/>
              <w:rPr>
                <w:rFonts w:hint="eastAsia" w:ascii="宋体" w:hAnsi="宋体" w:eastAsia="宋体" w:cs="宋体"/>
                <w:color w:val="000000"/>
                <w:highlight w:val="none"/>
              </w:rPr>
            </w:pPr>
            <w:r>
              <w:rPr>
                <w:rFonts w:hint="eastAsia" w:ascii="宋体" w:hAnsi="宋体" w:eastAsia="宋体" w:cs="宋体"/>
                <w:color w:val="000000"/>
                <w:sz w:val="21"/>
                <w:szCs w:val="21"/>
                <w:highlight w:val="none"/>
              </w:rPr>
              <w:t>2.质保期满一年后如未有任何设备使用问题，由中标人向采购人提出履约保证金退还申请，采购人接到书面申请书之日起15个工作日内向中标人退还全部履约保证金金额。</w:t>
            </w:r>
          </w:p>
        </w:tc>
      </w:tr>
      <w:tr w14:paraId="09E13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5B5A15C1">
            <w:pPr>
              <w:widowControl/>
              <w:spacing w:line="360" w:lineRule="exact"/>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▲质保期 </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1ECEBEA6">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eastAsia="zh-CN"/>
              </w:rPr>
              <w:t>装备质保期</w:t>
            </w:r>
            <w:r>
              <w:rPr>
                <w:rFonts w:hint="eastAsia" w:ascii="宋体" w:hAnsi="宋体" w:eastAsia="宋体" w:cs="宋体"/>
                <w:color w:val="000000"/>
                <w:kern w:val="0"/>
                <w:szCs w:val="21"/>
                <w:highlight w:val="none"/>
              </w:rPr>
              <w:t>一年（如“技术参数及其性能（配置）要求”中另有要求，按其规定），质保期内免费维修及更换配件，终身维修（质保期外只收配件费，差旅费由厂家或中标人负责）。 质保期内非用户原因引起的质量事故中标人应负全部责任。</w:t>
            </w:r>
          </w:p>
        </w:tc>
      </w:tr>
      <w:tr w14:paraId="7CD48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0A46825A">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▲售后服务</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28D2A75C">
            <w:pPr>
              <w:widowControl/>
              <w:spacing w:line="38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售后服务：（1）按国家有关规定实行产品“三包”；（2）免费送货上门、调试直至设备验收合格（期间所需器材及相关费用均由投标人承担）；（3）接到故障通知后60分钟内响应，4小时内到达现场，并在8小时内解决问题或提供备用机，以保证设备正常运行，并承担一切相关费用；（4）定期回访以及维修；（5）质保期内所有设备免费上门维修服务、免费更换零部件，免费提供应用软件升级；（6）提供终身维护；（7）其余按厂家承诺进行。</w:t>
            </w:r>
          </w:p>
          <w:p w14:paraId="0D3362C3">
            <w:pPr>
              <w:widowControl/>
              <w:spacing w:line="38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2、免费培训：中标人负责免费培训使用人员和维护人员，内容包括设备及软件系统操作、日常维护，确保熟练掌握全部功能为止。</w:t>
            </w:r>
          </w:p>
          <w:p w14:paraId="512380B0">
            <w:pPr>
              <w:widowControl/>
              <w:spacing w:line="38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3、免费安装调试：中标人负责本项目所有货物的安装、调试及项目整体测试、联调和开通，并在试运行结束后由中标人整理验收材料提交采购人验收。</w:t>
            </w:r>
          </w:p>
          <w:p w14:paraId="516F0CE3">
            <w:pPr>
              <w:widowControl/>
              <w:spacing w:line="38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4、技术支持与服务：</w:t>
            </w:r>
          </w:p>
          <w:p w14:paraId="6A539FC6">
            <w:pPr>
              <w:widowControl/>
              <w:spacing w:line="38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提供每周7×24小时技术响应服务，中标人应负责所售产品的售后服务，并提供至少一年的免费原厂保修服务；质保期内设备发生故障，维修或更换配件所需的全部费用由中标人承担；维修完毕后工程师及时填写维修报告，维修报告包括故障原因、处理情况及用户意见，维修报告由双方各持一份备案。</w:t>
            </w:r>
          </w:p>
        </w:tc>
      </w:tr>
      <w:tr w14:paraId="7E39B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5B8BB466">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▲投标报价要求</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11B1A561">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投标报价包含货物、货物标准附件、备品备件、专用工具、设备安装辅材、施工辅材（如有）、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税金、售后服务、技术培训及其他所有成本费用，以及合同明示或暗示的所有责任、义务和一般风险等一切费用。</w:t>
            </w:r>
          </w:p>
        </w:tc>
      </w:tr>
      <w:tr w14:paraId="31E3E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52F49B1D">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▲验收标准、验收方法及方案</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14EE40E4">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1、招标人对中标人提交的货物依据招标文件及投标文件上的技术规格要求和国家有关质量标准进行现场签收，外观、说明书符合采购文件技术要求的，给予签收，不合格的不予签收。</w:t>
            </w:r>
          </w:p>
          <w:p w14:paraId="5AEC86BA">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中标人交货前应对产品作出全面检查和对验收文件进行整理，并列出清单，作为招标人收货验收和使用的技术条件依据，检验的结果应随货物交甲方。中标人不能完整交付货物及本款规定的单证和工具的，必须负责补齐，否则视为未按合同约定交货。</w:t>
            </w:r>
          </w:p>
          <w:p w14:paraId="4AB0868B">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3、招标人组织验收，中标人必须到场配合，验收合格后双方签署验收合格凭证。</w:t>
            </w:r>
          </w:p>
          <w:p w14:paraId="6D401442">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4、其他未尽事宜应严格按照《关于印发广西壮族自治区政府采购项目履约验收管理办法的通知》[桂财采〔2015〕22 号]以及《财政部关于进一步加强政府采购需求和履约验收管理的指导意见》[财库〔2016〕205 号]规定执行。</w:t>
            </w:r>
          </w:p>
        </w:tc>
      </w:tr>
      <w:tr w14:paraId="4DB84F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22BCDE75">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其他要求</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134E4783">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▲1、投标人投标文件中必须提供本标项所投产品的公开彩页（体现参数指标）或技术说明书（对于同一参数，彩页或技术说明书标明的参数与投标人的响应不一致的，</w:t>
            </w:r>
            <w:r>
              <w:rPr>
                <w:rFonts w:hint="eastAsia" w:ascii="宋体" w:hAnsi="宋体" w:eastAsia="宋体" w:cs="宋体"/>
                <w:b/>
                <w:color w:val="000000"/>
                <w:kern w:val="0"/>
                <w:szCs w:val="21"/>
                <w:highlight w:val="none"/>
              </w:rPr>
              <w:t>视为</w:t>
            </w:r>
            <w:r>
              <w:rPr>
                <w:rFonts w:hint="eastAsia" w:ascii="宋体" w:hAnsi="宋体" w:eastAsia="宋体" w:cs="宋体"/>
                <w:b/>
                <w:color w:val="000000"/>
                <w:szCs w:val="21"/>
                <w:highlight w:val="none"/>
              </w:rPr>
              <w:t>响应与事实不符</w:t>
            </w:r>
            <w:r>
              <w:rPr>
                <w:rFonts w:hint="eastAsia" w:ascii="宋体" w:hAnsi="宋体" w:eastAsia="宋体" w:cs="宋体"/>
                <w:b/>
                <w:color w:val="000000"/>
                <w:kern w:val="0"/>
                <w:szCs w:val="21"/>
                <w:highlight w:val="none"/>
              </w:rPr>
              <w:t>，</w:t>
            </w:r>
            <w:r>
              <w:rPr>
                <w:rFonts w:hint="eastAsia" w:ascii="宋体" w:hAnsi="宋体" w:eastAsia="宋体" w:cs="宋体"/>
                <w:b/>
                <w:bCs/>
                <w:color w:val="000000"/>
                <w:kern w:val="0"/>
                <w:szCs w:val="21"/>
                <w:highlight w:val="none"/>
              </w:rPr>
              <w:t>按无效投标处理</w:t>
            </w:r>
            <w:r>
              <w:rPr>
                <w:rFonts w:hint="eastAsia" w:ascii="宋体" w:hAnsi="宋体" w:eastAsia="宋体" w:cs="宋体"/>
                <w:color w:val="000000"/>
                <w:kern w:val="0"/>
                <w:szCs w:val="21"/>
                <w:highlight w:val="none"/>
              </w:rPr>
              <w:t xml:space="preserve">）。 </w:t>
            </w:r>
          </w:p>
          <w:p w14:paraId="3CDC72B8">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2、货物必须是全新的；货物到货后，中标人和招标人应在现场进行清点；清点过程中如果发现因包装或运输不当引起的外观或内部的损坏，中标人应负责更换；若发现错发/漏发情况，中标人应负责更换和补发。 </w:t>
            </w:r>
          </w:p>
          <w:p w14:paraId="48EC19A4">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▲3、其余按第五章《政府采购合同文本》要求。</w:t>
            </w:r>
          </w:p>
          <w:p w14:paraId="210FC152">
            <w:pPr>
              <w:widowControl/>
              <w:spacing w:line="360" w:lineRule="exact"/>
              <w:jc w:val="left"/>
              <w:textAlignment w:val="center"/>
              <w:rPr>
                <w:rFonts w:hint="default" w:ascii="宋体" w:hAnsi="宋体" w:eastAsia="宋体" w:cs="宋体"/>
                <w:b/>
                <w:bCs/>
                <w:color w:val="000000"/>
                <w:kern w:val="0"/>
                <w:szCs w:val="21"/>
                <w:highlight w:val="none"/>
                <w:lang w:val="en-US" w:eastAsia="zh-CN"/>
              </w:rPr>
            </w:pPr>
            <w:r>
              <w:rPr>
                <w:rFonts w:hint="eastAsia" w:ascii="宋体" w:hAnsi="宋体" w:eastAsia="宋体" w:cs="宋体"/>
                <w:color w:val="000000"/>
                <w:kern w:val="0"/>
                <w:szCs w:val="21"/>
                <w:highlight w:val="none"/>
              </w:rPr>
              <w:t>▲</w:t>
            </w:r>
            <w:r>
              <w:rPr>
                <w:rFonts w:hint="eastAsia" w:ascii="宋体" w:hAnsi="宋体" w:eastAsia="宋体" w:cs="宋体"/>
                <w:b/>
                <w:bCs/>
                <w:color w:val="000000"/>
                <w:kern w:val="0"/>
                <w:szCs w:val="21"/>
                <w:highlight w:val="none"/>
                <w:lang w:val="en-US" w:eastAsia="zh-CN"/>
              </w:rPr>
              <w:t>4、</w:t>
            </w:r>
            <w:r>
              <w:rPr>
                <w:rFonts w:hint="eastAsia" w:ascii="宋体" w:hAnsi="宋体" w:cs="宋体"/>
                <w:b/>
                <w:bCs/>
                <w:color w:val="000000"/>
                <w:kern w:val="0"/>
                <w:szCs w:val="21"/>
                <w:highlight w:val="none"/>
                <w:lang w:val="en-US" w:eastAsia="zh-CN"/>
              </w:rPr>
              <w:t>供货时，“中型灭火无人机、巡护无人机”产品均需贴上标识，标识采用PVC塑片防水标签，标签内容至少有招标人名称、项目名称、项目编号、产品名称、供货年月日等信息。</w:t>
            </w:r>
          </w:p>
          <w:p w14:paraId="7E81A5B9">
            <w:pPr>
              <w:widowControl/>
              <w:spacing w:line="360" w:lineRule="exact"/>
              <w:jc w:val="left"/>
              <w:textAlignment w:val="center"/>
              <w:rPr>
                <w:rFonts w:hint="eastAsia" w:ascii="宋体" w:hAnsi="宋体" w:eastAsia="宋体" w:cs="宋体"/>
                <w:color w:val="000000"/>
                <w:highlight w:val="none"/>
              </w:rPr>
            </w:pPr>
            <w:r>
              <w:rPr>
                <w:rFonts w:hint="eastAsia" w:ascii="宋体" w:hAnsi="宋体" w:cs="宋体"/>
                <w:color w:val="000000"/>
                <w:kern w:val="0"/>
                <w:szCs w:val="21"/>
                <w:highlight w:val="none"/>
                <w:lang w:val="en-US" w:eastAsia="zh-CN"/>
              </w:rPr>
              <w:t>5</w:t>
            </w:r>
            <w:r>
              <w:rPr>
                <w:rFonts w:hint="eastAsia" w:ascii="宋体" w:hAnsi="宋体" w:eastAsia="宋体" w:cs="宋体"/>
                <w:color w:val="000000"/>
                <w:kern w:val="0"/>
                <w:szCs w:val="21"/>
                <w:highlight w:val="none"/>
              </w:rPr>
              <w:t>、供应商可根据招标文件及评分办法的要求，在投标文件中提供产品性能、项目实施方案、售后服务方案、信誉分、人员配备等证明材料。</w:t>
            </w:r>
          </w:p>
        </w:tc>
      </w:tr>
      <w:tr w14:paraId="58C3B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865" w:type="dxa"/>
            <w:gridSpan w:val="7"/>
            <w:tcBorders>
              <w:top w:val="single" w:color="auto" w:sz="4" w:space="0"/>
              <w:left w:val="single" w:color="auto" w:sz="4" w:space="0"/>
              <w:bottom w:val="single" w:color="auto" w:sz="4" w:space="0"/>
              <w:right w:val="single" w:color="auto" w:sz="4" w:space="0"/>
            </w:tcBorders>
            <w:noWrap w:val="0"/>
            <w:vAlign w:val="top"/>
          </w:tcPr>
          <w:p w14:paraId="58F0A60A">
            <w:pPr>
              <w:spacing w:line="360" w:lineRule="exact"/>
              <w:rPr>
                <w:rFonts w:hint="eastAsia" w:ascii="宋体" w:hAnsi="宋体" w:eastAsia="宋体" w:cs="宋体"/>
                <w:color w:val="000000"/>
                <w:kern w:val="0"/>
                <w:szCs w:val="21"/>
                <w:highlight w:val="none"/>
              </w:rPr>
            </w:pPr>
            <w:r>
              <w:rPr>
                <w:rFonts w:hint="eastAsia" w:ascii="宋体" w:hAnsi="宋体" w:eastAsia="宋体" w:cs="宋体"/>
                <w:b/>
                <w:color w:val="000000"/>
                <w:szCs w:val="21"/>
                <w:highlight w:val="none"/>
              </w:rPr>
              <w:t>第三部分 进口产品说明</w:t>
            </w:r>
          </w:p>
        </w:tc>
      </w:tr>
      <w:tr w14:paraId="4DFAF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865" w:type="dxa"/>
            <w:gridSpan w:val="7"/>
            <w:tcBorders>
              <w:top w:val="single" w:color="auto" w:sz="4" w:space="0"/>
              <w:left w:val="single" w:color="auto" w:sz="4" w:space="0"/>
              <w:bottom w:val="single" w:color="auto" w:sz="4" w:space="0"/>
              <w:right w:val="single" w:color="auto" w:sz="4" w:space="0"/>
            </w:tcBorders>
            <w:noWrap w:val="0"/>
            <w:vAlign w:val="top"/>
          </w:tcPr>
          <w:p w14:paraId="25A070E2">
            <w:pPr>
              <w:spacing w:line="360" w:lineRule="exact"/>
              <w:rPr>
                <w:rFonts w:hint="eastAsia" w:ascii="宋体" w:hAnsi="宋体" w:eastAsia="宋体" w:cs="宋体"/>
                <w:color w:val="000000"/>
                <w:kern w:val="0"/>
                <w:szCs w:val="21"/>
                <w:highlight w:val="none"/>
              </w:rPr>
            </w:pPr>
            <w:r>
              <w:rPr>
                <w:rFonts w:hint="eastAsia" w:ascii="宋体" w:hAnsi="宋体" w:eastAsia="宋体" w:cs="宋体"/>
                <w:color w:val="000000"/>
                <w:szCs w:val="21"/>
                <w:highlight w:val="none"/>
              </w:rPr>
              <w:t>本分标中所有产品均不接受进口产品投标。</w:t>
            </w:r>
            <w:r>
              <w:rPr>
                <w:rFonts w:hint="eastAsia" w:ascii="宋体" w:hAnsi="宋体" w:eastAsia="宋体" w:cs="宋体"/>
                <w:b/>
                <w:bCs/>
                <w:color w:val="000000"/>
                <w:szCs w:val="21"/>
                <w:highlight w:val="none"/>
              </w:rPr>
              <w:t>进口产品投标的，投标无效。</w:t>
            </w:r>
          </w:p>
        </w:tc>
      </w:tr>
      <w:tr w14:paraId="37625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65" w:type="dxa"/>
            <w:gridSpan w:val="7"/>
            <w:tcBorders>
              <w:top w:val="single" w:color="auto" w:sz="4" w:space="0"/>
              <w:left w:val="single" w:color="auto" w:sz="4" w:space="0"/>
              <w:bottom w:val="single" w:color="auto" w:sz="4" w:space="0"/>
              <w:right w:val="single" w:color="auto" w:sz="4" w:space="0"/>
            </w:tcBorders>
            <w:noWrap w:val="0"/>
            <w:vAlign w:val="top"/>
          </w:tcPr>
          <w:p w14:paraId="686DF92E">
            <w:pPr>
              <w:spacing w:line="360" w:lineRule="exact"/>
              <w:rPr>
                <w:rFonts w:hint="eastAsia" w:ascii="宋体" w:hAnsi="宋体" w:eastAsia="宋体" w:cs="宋体"/>
                <w:color w:val="000000"/>
                <w:szCs w:val="21"/>
                <w:highlight w:val="none"/>
              </w:rPr>
            </w:pPr>
            <w:r>
              <w:rPr>
                <w:rFonts w:hint="eastAsia" w:ascii="宋体" w:hAnsi="宋体" w:eastAsia="宋体" w:cs="宋体"/>
                <w:b/>
                <w:color w:val="000000"/>
                <w:szCs w:val="21"/>
                <w:highlight w:val="none"/>
              </w:rPr>
              <w:t>第四部分 核心产品</w:t>
            </w:r>
          </w:p>
        </w:tc>
      </w:tr>
      <w:tr w14:paraId="38524C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9865" w:type="dxa"/>
            <w:gridSpan w:val="7"/>
            <w:tcBorders>
              <w:top w:val="single" w:color="auto" w:sz="4" w:space="0"/>
              <w:left w:val="single" w:color="auto" w:sz="4" w:space="0"/>
              <w:bottom w:val="single" w:color="auto" w:sz="4" w:space="0"/>
              <w:right w:val="single" w:color="auto" w:sz="4" w:space="0"/>
            </w:tcBorders>
            <w:noWrap w:val="0"/>
            <w:vAlign w:val="top"/>
          </w:tcPr>
          <w:p w14:paraId="2532A45B">
            <w:pPr>
              <w:tabs>
                <w:tab w:val="left" w:pos="9660"/>
              </w:tabs>
              <w:spacing w:line="360" w:lineRule="exact"/>
              <w:ind w:right="97" w:rightChars="46"/>
              <w:jc w:val="left"/>
              <w:rPr>
                <w:rFonts w:hint="eastAsia" w:ascii="宋体" w:hAnsi="宋体" w:eastAsia="宋体" w:cs="宋体"/>
                <w:bCs/>
                <w:color w:val="auto"/>
                <w:szCs w:val="21"/>
                <w:highlight w:val="none"/>
              </w:rPr>
            </w:pPr>
            <w:r>
              <w:rPr>
                <w:rFonts w:hint="eastAsia" w:ascii="宋体" w:hAnsi="宋体" w:eastAsia="宋体" w:cs="宋体"/>
                <w:bCs/>
                <w:color w:val="000000"/>
                <w:szCs w:val="21"/>
                <w:highlight w:val="none"/>
              </w:rPr>
              <w:t>本分标核心产</w:t>
            </w:r>
            <w:r>
              <w:rPr>
                <w:rFonts w:hint="eastAsia" w:ascii="宋体" w:hAnsi="宋体" w:eastAsia="宋体" w:cs="宋体"/>
                <w:bCs/>
                <w:color w:val="auto"/>
                <w:szCs w:val="21"/>
                <w:highlight w:val="none"/>
              </w:rPr>
              <w:t>品为第</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项产品</w:t>
            </w:r>
            <w:r>
              <w:rPr>
                <w:rFonts w:hint="eastAsia" w:ascii="宋体" w:hAnsi="宋体" w:eastAsia="宋体" w:cs="宋体"/>
                <w:b/>
                <w:bCs w:val="0"/>
                <w:color w:val="auto"/>
                <w:szCs w:val="21"/>
                <w:highlight w:val="none"/>
                <w:u w:val="single"/>
              </w:rPr>
              <w:t>“巡护无人机</w:t>
            </w:r>
            <w:r>
              <w:rPr>
                <w:rFonts w:hint="eastAsia" w:ascii="宋体" w:hAnsi="宋体" w:eastAsia="宋体" w:cs="宋体"/>
                <w:bCs/>
                <w:color w:val="auto"/>
                <w:szCs w:val="21"/>
                <w:highlight w:val="none"/>
              </w:rPr>
              <w:t>”，核心产品品牌相同的，视为提供同品牌产品。</w:t>
            </w:r>
          </w:p>
          <w:p w14:paraId="1AB1BFB5">
            <w:pPr>
              <w:tabs>
                <w:tab w:val="left" w:pos="9660"/>
              </w:tabs>
              <w:spacing w:line="360" w:lineRule="exact"/>
              <w:ind w:right="-10" w:rightChars="-5"/>
              <w:jc w:val="left"/>
              <w:rPr>
                <w:rFonts w:hint="eastAsia" w:ascii="宋体" w:hAnsi="宋体" w:eastAsia="宋体" w:cs="宋体"/>
                <w:b/>
                <w:color w:val="000000"/>
                <w:szCs w:val="21"/>
                <w:highlight w:val="none"/>
              </w:rPr>
            </w:pPr>
            <w:r>
              <w:rPr>
                <w:rFonts w:hint="eastAsia" w:ascii="宋体" w:hAnsi="宋体" w:eastAsia="宋体" w:cs="宋体"/>
                <w:bCs/>
                <w:color w:val="auto"/>
                <w:szCs w:val="21"/>
                <w:highlight w:val="none"/>
              </w:rPr>
              <w:t>注：提供</w:t>
            </w:r>
            <w:r>
              <w:rPr>
                <w:rFonts w:hint="eastAsia" w:ascii="宋体" w:hAnsi="宋体" w:eastAsia="宋体" w:cs="宋体"/>
                <w:bCs/>
                <w:color w:val="000000"/>
                <w:szCs w:val="21"/>
                <w:highlight w:val="none"/>
              </w:rPr>
              <w:t>相同品牌产品且通过资格审查、符合性审查的不同投标人参加同一合同项下投标的，按一家投标人计算，评审后得分最高的同品牌投标人获得中标人推荐资格（评审得分相同的，以投标报价由低到高顺序排列；得分相同且投标报价相同的，按技术分由高到低的顺序排列），其他同品牌投标人不作为中标候选人。</w:t>
            </w:r>
          </w:p>
        </w:tc>
      </w:tr>
    </w:tbl>
    <w:p w14:paraId="5661D9D5">
      <w:pPr>
        <w:spacing w:line="360" w:lineRule="auto"/>
        <w:ind w:firstLine="308" w:firstLineChars="147"/>
        <w:jc w:val="left"/>
        <w:rPr>
          <w:rFonts w:hint="eastAsia" w:ascii="宋体" w:hAnsi="宋体" w:eastAsia="宋体" w:cs="宋体"/>
          <w:bCs/>
          <w:color w:val="000000" w:themeColor="text1"/>
          <w:szCs w:val="21"/>
          <w:highlight w:val="none"/>
          <w:u w:val="single"/>
          <w14:textFill>
            <w14:solidFill>
              <w14:schemeClr w14:val="tx1"/>
            </w14:solidFill>
          </w14:textFill>
        </w:rPr>
      </w:pPr>
    </w:p>
    <w:p w14:paraId="24010F41">
      <w:pPr>
        <w:spacing w:line="360" w:lineRule="exact"/>
        <w:ind w:left="-10" w:leftChars="-5" w:right="2" w:rightChars="1" w:firstLine="422" w:firstLineChars="200"/>
        <w:rPr>
          <w:rFonts w:hint="eastAsia" w:ascii="宋体" w:hAnsi="宋体" w:eastAsia="宋体" w:cs="宋体"/>
          <w:b/>
          <w:bCs/>
          <w:color w:val="000000" w:themeColor="text1"/>
          <w:highlight w:val="none"/>
          <w14:textFill>
            <w14:solidFill>
              <w14:schemeClr w14:val="tx1"/>
            </w14:solidFill>
          </w14:textFill>
        </w:rPr>
      </w:pPr>
    </w:p>
    <w:p w14:paraId="2E5F9DA8">
      <w:pPr>
        <w:spacing w:line="360" w:lineRule="exact"/>
        <w:ind w:left="-10" w:leftChars="-5" w:right="2" w:rightChars="1" w:firstLine="422" w:firstLineChars="200"/>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4分标：</w:t>
      </w:r>
    </w:p>
    <w:tbl>
      <w:tblPr>
        <w:tblStyle w:val="48"/>
        <w:tblW w:w="98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8"/>
        <w:gridCol w:w="1182"/>
        <w:gridCol w:w="141"/>
        <w:gridCol w:w="534"/>
        <w:gridCol w:w="707"/>
        <w:gridCol w:w="5543"/>
        <w:gridCol w:w="1090"/>
      </w:tblGrid>
      <w:tr w14:paraId="0ADAD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9865" w:type="dxa"/>
            <w:gridSpan w:val="7"/>
            <w:noWrap w:val="0"/>
            <w:vAlign w:val="center"/>
          </w:tcPr>
          <w:p w14:paraId="6090B7EB">
            <w:pPr>
              <w:tabs>
                <w:tab w:val="left" w:pos="180"/>
                <w:tab w:val="left" w:pos="1620"/>
              </w:tabs>
              <w:spacing w:line="360" w:lineRule="exac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第一部分 技术要求</w:t>
            </w:r>
          </w:p>
        </w:tc>
      </w:tr>
      <w:tr w14:paraId="4EFDF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668" w:type="dxa"/>
            <w:noWrap w:val="0"/>
            <w:vAlign w:val="center"/>
          </w:tcPr>
          <w:p w14:paraId="24F22343">
            <w:pPr>
              <w:tabs>
                <w:tab w:val="left" w:pos="180"/>
                <w:tab w:val="left" w:pos="1620"/>
              </w:tabs>
              <w:spacing w:line="36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序号</w:t>
            </w:r>
          </w:p>
        </w:tc>
        <w:tc>
          <w:tcPr>
            <w:tcW w:w="1182" w:type="dxa"/>
            <w:noWrap w:val="0"/>
            <w:vAlign w:val="center"/>
          </w:tcPr>
          <w:p w14:paraId="17FFB0B1">
            <w:pPr>
              <w:tabs>
                <w:tab w:val="left" w:pos="180"/>
                <w:tab w:val="left" w:pos="1620"/>
              </w:tabs>
              <w:spacing w:line="36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标的的名称</w:t>
            </w:r>
          </w:p>
        </w:tc>
        <w:tc>
          <w:tcPr>
            <w:tcW w:w="675" w:type="dxa"/>
            <w:gridSpan w:val="2"/>
            <w:noWrap w:val="0"/>
            <w:vAlign w:val="center"/>
          </w:tcPr>
          <w:p w14:paraId="7594DACF">
            <w:pPr>
              <w:tabs>
                <w:tab w:val="left" w:pos="180"/>
                <w:tab w:val="left" w:pos="1620"/>
              </w:tabs>
              <w:spacing w:line="36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数量</w:t>
            </w:r>
          </w:p>
        </w:tc>
        <w:tc>
          <w:tcPr>
            <w:tcW w:w="707" w:type="dxa"/>
            <w:noWrap w:val="0"/>
            <w:vAlign w:val="center"/>
          </w:tcPr>
          <w:p w14:paraId="4922D3A7">
            <w:pPr>
              <w:tabs>
                <w:tab w:val="left" w:pos="180"/>
                <w:tab w:val="left" w:pos="1620"/>
              </w:tabs>
              <w:spacing w:line="36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单位</w:t>
            </w:r>
          </w:p>
        </w:tc>
        <w:tc>
          <w:tcPr>
            <w:tcW w:w="5543" w:type="dxa"/>
            <w:tcBorders>
              <w:right w:val="single" w:color="auto" w:sz="4" w:space="0"/>
            </w:tcBorders>
            <w:noWrap w:val="0"/>
            <w:vAlign w:val="center"/>
          </w:tcPr>
          <w:p w14:paraId="35620476">
            <w:pPr>
              <w:tabs>
                <w:tab w:val="left" w:pos="180"/>
                <w:tab w:val="left" w:pos="1620"/>
              </w:tabs>
              <w:spacing w:line="36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技术要求</w:t>
            </w:r>
          </w:p>
        </w:tc>
        <w:tc>
          <w:tcPr>
            <w:tcW w:w="1090" w:type="dxa"/>
            <w:tcBorders>
              <w:left w:val="single" w:color="auto" w:sz="4" w:space="0"/>
            </w:tcBorders>
            <w:noWrap w:val="0"/>
            <w:vAlign w:val="center"/>
          </w:tcPr>
          <w:p w14:paraId="37743A11">
            <w:pPr>
              <w:tabs>
                <w:tab w:val="left" w:pos="180"/>
                <w:tab w:val="left" w:pos="1620"/>
              </w:tabs>
              <w:spacing w:line="360" w:lineRule="exact"/>
              <w:jc w:val="center"/>
              <w:rPr>
                <w:rFonts w:hint="default"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控制单价（元）</w:t>
            </w:r>
          </w:p>
        </w:tc>
      </w:tr>
      <w:tr w14:paraId="0E284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668" w:type="dxa"/>
            <w:noWrap w:val="0"/>
            <w:vAlign w:val="center"/>
          </w:tcPr>
          <w:p w14:paraId="159D320B">
            <w:pPr>
              <w:tabs>
                <w:tab w:val="left" w:pos="180"/>
                <w:tab w:val="left" w:pos="1620"/>
              </w:tabs>
              <w:spacing w:line="38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1182" w:type="dxa"/>
            <w:noWrap w:val="0"/>
            <w:vAlign w:val="center"/>
          </w:tcPr>
          <w:p w14:paraId="614849BB">
            <w:pPr>
              <w:tabs>
                <w:tab w:val="left" w:pos="180"/>
                <w:tab w:val="left" w:pos="1620"/>
              </w:tabs>
              <w:spacing w:line="380" w:lineRule="exact"/>
              <w:jc w:val="center"/>
              <w:rPr>
                <w:rFonts w:hint="eastAsia" w:ascii="宋体" w:hAnsi="宋体" w:eastAsia="宋体" w:cs="宋体"/>
                <w:color w:val="000000"/>
                <w:szCs w:val="21"/>
                <w:highlight w:val="none"/>
              </w:rPr>
            </w:pPr>
            <w:r>
              <w:rPr>
                <w:rFonts w:hint="default" w:ascii="宋体" w:hAnsi="宋体" w:eastAsia="宋体" w:cs="宋体"/>
                <w:color w:val="000000"/>
                <w:szCs w:val="21"/>
                <w:highlight w:val="none"/>
                <w:lang w:val="en-US" w:eastAsia="zh-CN"/>
              </w:rPr>
              <w:t>日常巡护套装</w:t>
            </w:r>
            <w:r>
              <w:rPr>
                <w:rFonts w:hint="eastAsia" w:ascii="宋体" w:hAnsi="宋体" w:cs="宋体"/>
                <w:color w:val="000000"/>
                <w:szCs w:val="21"/>
                <w:highlight w:val="none"/>
                <w:lang w:val="en-US" w:eastAsia="zh-CN"/>
              </w:rPr>
              <w:t xml:space="preserve">              （含芳纶阻燃服、帽子、迷彩鞋、挎包等）</w:t>
            </w:r>
          </w:p>
        </w:tc>
        <w:tc>
          <w:tcPr>
            <w:tcW w:w="675" w:type="dxa"/>
            <w:gridSpan w:val="2"/>
            <w:noWrap w:val="0"/>
            <w:vAlign w:val="center"/>
          </w:tcPr>
          <w:p w14:paraId="6E3CC1F6">
            <w:pPr>
              <w:tabs>
                <w:tab w:val="left" w:pos="180"/>
                <w:tab w:val="left" w:pos="1620"/>
              </w:tabs>
              <w:spacing w:line="380" w:lineRule="exact"/>
              <w:jc w:val="center"/>
              <w:rPr>
                <w:rFonts w:hint="eastAsia" w:ascii="宋体" w:hAnsi="宋体" w:eastAsia="宋体" w:cs="宋体"/>
                <w:color w:val="000000"/>
                <w:szCs w:val="21"/>
                <w:highlight w:val="none"/>
              </w:rPr>
            </w:pPr>
            <w:r>
              <w:rPr>
                <w:rFonts w:hint="default" w:ascii="宋体" w:hAnsi="宋体" w:eastAsia="宋体" w:cs="宋体"/>
                <w:color w:val="000000"/>
                <w:szCs w:val="21"/>
                <w:highlight w:val="none"/>
                <w:lang w:val="en-US" w:eastAsia="zh-CN"/>
              </w:rPr>
              <w:t>3500</w:t>
            </w:r>
          </w:p>
        </w:tc>
        <w:tc>
          <w:tcPr>
            <w:tcW w:w="707" w:type="dxa"/>
            <w:noWrap w:val="0"/>
            <w:vAlign w:val="center"/>
          </w:tcPr>
          <w:p w14:paraId="4AB72A0B">
            <w:pPr>
              <w:tabs>
                <w:tab w:val="left" w:pos="180"/>
                <w:tab w:val="left" w:pos="1620"/>
              </w:tabs>
              <w:spacing w:line="380" w:lineRule="exact"/>
              <w:jc w:val="center"/>
              <w:rPr>
                <w:rFonts w:hint="eastAsia" w:ascii="宋体" w:hAnsi="宋体" w:eastAsia="宋体" w:cs="宋体"/>
                <w:color w:val="000000"/>
                <w:szCs w:val="21"/>
                <w:highlight w:val="none"/>
              </w:rPr>
            </w:pPr>
            <w:r>
              <w:rPr>
                <w:rFonts w:hint="default" w:ascii="宋体" w:hAnsi="宋体" w:eastAsia="宋体" w:cs="宋体"/>
                <w:color w:val="000000"/>
                <w:szCs w:val="21"/>
                <w:highlight w:val="none"/>
                <w:lang w:val="en-US" w:eastAsia="zh-CN"/>
              </w:rPr>
              <w:t>套</w:t>
            </w:r>
          </w:p>
        </w:tc>
        <w:tc>
          <w:tcPr>
            <w:tcW w:w="5543" w:type="dxa"/>
            <w:tcBorders>
              <w:right w:val="single" w:color="auto" w:sz="4" w:space="0"/>
            </w:tcBorders>
            <w:noWrap w:val="0"/>
            <w:vAlign w:val="center"/>
          </w:tcPr>
          <w:p w14:paraId="2DA70630">
            <w:pPr>
              <w:tabs>
                <w:tab w:val="left" w:pos="180"/>
                <w:tab w:val="left" w:pos="1620"/>
              </w:tabs>
              <w:rPr>
                <w:rFonts w:hint="eastAsia" w:ascii="宋体" w:hAnsi="宋体" w:eastAsia="宋体" w:cs="宋体"/>
                <w:b/>
                <w:bCs/>
                <w:color w:val="000000"/>
                <w:sz w:val="21"/>
                <w:szCs w:val="21"/>
                <w:highlight w:val="none"/>
              </w:rPr>
            </w:pPr>
            <w:r>
              <w:rPr>
                <w:rFonts w:hint="eastAsia" w:ascii="宋体" w:hAnsi="宋体" w:cs="宋体"/>
                <w:b/>
                <w:bCs/>
                <w:color w:val="000000"/>
                <w:sz w:val="21"/>
                <w:szCs w:val="21"/>
                <w:highlight w:val="none"/>
                <w:lang w:val="en-US" w:eastAsia="zh-CN"/>
              </w:rPr>
              <w:t>一、</w:t>
            </w:r>
            <w:r>
              <w:rPr>
                <w:rFonts w:hint="eastAsia" w:ascii="宋体" w:hAnsi="宋体" w:eastAsia="宋体" w:cs="宋体"/>
                <w:b/>
                <w:bCs/>
                <w:color w:val="000000"/>
                <w:sz w:val="21"/>
                <w:szCs w:val="21"/>
                <w:highlight w:val="none"/>
              </w:rPr>
              <w:t>芳纶阻燃服</w:t>
            </w:r>
          </w:p>
          <w:p w14:paraId="0747BEF5">
            <w:pPr>
              <w:tabs>
                <w:tab w:val="left" w:pos="180"/>
                <w:tab w:val="left" w:pos="1620"/>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1、颜色：桔红色，色号：16-1462TPx（国际潘通色卡），色差△E≤3.5；防火服面料采用100%芳纶纤维方格面料，具有阻燃、防静电、防火、防水、耐磨性能。</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2、产品符合GB/T 33536-2017《防护服装 森林防火服》标准要求。</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3、服装的结构:上衣“袖口紧、领口紧”，裤子“脚口紧”。明衣袋应有袋盖，袋盖对称覆盖袋口，每边袋口长度≥2cm。服装的上衣长度应符合穿着时盖住裤子上端≥25cm，裤子两侧口袋设计能避免明省，活褶向上倒。</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4、上衣有四个口袋设计，裤腿两侧有两个斜插口袋设计，有隔热和存储物品作用。</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5、上衣裤子采用金属拉链，胸围、袖口、裤腿膝盖以下有360°可视醒目芳纶阻燃反光带设计，左臂有“森林消防”专用臂章，前胸有“中国森林消防”胸标。</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▲6、面料阻燃性能：续燃时间≤0.0s，阴燃时间≤0.0s；损毁长度：T≤15mm；W≤17mm。</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▲7、断裂强力：经向≥2300N，纬向≥2100N，撕破强力：经向≥700N,纬向≥700N。</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▲8、热洗涤50次后防护系数TPP(kW.s/㎡)≥500 kW.s/㎡。</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▲9、热稳定性：在（260℃±5）：经过5min热稳定试验后，无熔融，无滴落。</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▲10、甲醛含量：0mg/kg；PH值：5.0-7.0。</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11、防火服色牢度：耐水洗色牢度≥3-4级；耐光色牢度≥4级；耐摩擦色牢度≥3-4级；耐汗渍色牢度≥3-4级；耐皂洗色牢度≥3-4级。</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▲12、反光带阻燃性能：续燃时间≤0.0s，阴燃时间≤0.0s；损毁长度：T≤15mm；W≤18mm；热稳定性能：无熔融、滴落；反射率系数值≥400cd/(1x*㎡）。</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13、后档断裂强力≥800N;肩缝接缝强力≥800N；单片接缝强力≥800N。</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14、缝纫线断裂强力≥18N。</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15、衣服中标后印字要求：按照采购人要求印字。</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16、标注有“</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”参数需提供具有CMA或CNAS资格的检测机构出具的检测报告予以佐证，</w:t>
            </w:r>
            <w:r>
              <w:rPr>
                <w:rFonts w:hint="eastAsia" w:ascii="宋体" w:hAnsi="宋体" w:eastAsia="宋体" w:cs="宋体"/>
                <w:color w:val="000000"/>
                <w:highlight w:val="none"/>
                <w:lang w:val="en-US" w:eastAsia="zh-CN"/>
              </w:rPr>
              <w:t>检测报告需标注或批注相应的内容以便评审查找，</w:t>
            </w:r>
            <w:r>
              <w:rPr>
                <w:rFonts w:hint="eastAsia" w:ascii="宋体" w:hAnsi="宋体" w:eastAsia="宋体" w:cs="宋体"/>
                <w:color w:val="000000"/>
                <w:sz w:val="21"/>
                <w:szCs w:val="21"/>
                <w:highlight w:val="none"/>
              </w:rPr>
              <w:t>无法佐证或检验报告未体现做负偏离处理。</w:t>
            </w:r>
          </w:p>
          <w:p w14:paraId="4AD9B6FC">
            <w:pPr>
              <w:tabs>
                <w:tab w:val="left" w:pos="180"/>
                <w:tab w:val="left" w:pos="1620"/>
              </w:tabs>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二、</w:t>
            </w:r>
            <w:r>
              <w:rPr>
                <w:rFonts w:hint="eastAsia" w:ascii="宋体" w:hAnsi="宋体" w:eastAsia="宋体" w:cs="宋体"/>
                <w:color w:val="000000"/>
                <w:sz w:val="21"/>
                <w:szCs w:val="21"/>
                <w:highlight w:val="none"/>
              </w:rPr>
              <w:t>帽子</w:t>
            </w:r>
          </w:p>
          <w:p w14:paraId="24EE8D6C">
            <w:pPr>
              <w:tabs>
                <w:tab w:val="left" w:pos="180"/>
                <w:tab w:val="left" w:pos="1620"/>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1、执行标准：GB/T33536-2017；</w:t>
            </w:r>
          </w:p>
          <w:p w14:paraId="2E068C9F">
            <w:pPr>
              <w:tabs>
                <w:tab w:val="left" w:pos="180"/>
                <w:tab w:val="left" w:pos="1620"/>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 xml:space="preserve">2、面料洗涤50次后阻燃、隔热性能、物理化性能为: </w:t>
            </w:r>
          </w:p>
          <w:p w14:paraId="647A1B53">
            <w:pPr>
              <w:tabs>
                <w:tab w:val="left" w:pos="180"/>
                <w:tab w:val="left" w:pos="1620"/>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(1)、续燃时间:径向≤0.1s、纬向≤0.1s；</w:t>
            </w:r>
          </w:p>
          <w:p w14:paraId="56FA00CB">
            <w:pPr>
              <w:tabs>
                <w:tab w:val="left" w:pos="180"/>
                <w:tab w:val="left" w:pos="1620"/>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(2）、阴燃时间:经向≤0.1s、纬向:≤0.1s；</w:t>
            </w:r>
          </w:p>
          <w:p w14:paraId="00A2EB86">
            <w:pPr>
              <w:tabs>
                <w:tab w:val="left" w:pos="180"/>
                <w:tab w:val="left" w:pos="1620"/>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(3)、损毁长度:径向≤17mm、纬向≤18mm；</w:t>
            </w:r>
          </w:p>
          <w:p w14:paraId="54BF8253">
            <w:pPr>
              <w:tabs>
                <w:tab w:val="left" w:pos="180"/>
                <w:tab w:val="left" w:pos="1620"/>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(4)、热防护系数TPP≥430 kW.s/㎡；</w:t>
            </w:r>
          </w:p>
          <w:p w14:paraId="17DE6659">
            <w:pPr>
              <w:tabs>
                <w:tab w:val="left" w:pos="180"/>
                <w:tab w:val="left" w:pos="1620"/>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(5）、断裂强度:经向≥180ON、纬向≥150ON；</w:t>
            </w:r>
          </w:p>
          <w:p w14:paraId="557F6A99">
            <w:pPr>
              <w:tabs>
                <w:tab w:val="left" w:pos="180"/>
                <w:tab w:val="left" w:pos="1620"/>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(6)、撕破强力:经向≥400N，纬向≥460N；</w:t>
            </w:r>
          </w:p>
          <w:p w14:paraId="71D2E71A">
            <w:pPr>
              <w:tabs>
                <w:tab w:val="left" w:pos="180"/>
                <w:tab w:val="left" w:pos="1620"/>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(7)、耐洗色牢度:≥4级；</w:t>
            </w:r>
          </w:p>
          <w:p w14:paraId="2F25C059">
            <w:pPr>
              <w:tabs>
                <w:tab w:val="left" w:pos="180"/>
                <w:tab w:val="left" w:pos="1620"/>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3、耐水色牢度≥4级；耐摩擦色牢度≥4级；耐酸汗渍色牢度≥4级；耐碱汗渍色牢度级:≥4级；单位面积质量:≤210g/m2；</w:t>
            </w:r>
          </w:p>
          <w:p w14:paraId="19696D29">
            <w:pPr>
              <w:tabs>
                <w:tab w:val="left" w:pos="180"/>
                <w:tab w:val="left" w:pos="1620"/>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4、缝纫线单线断裂强力:≥18N；</w:t>
            </w:r>
          </w:p>
          <w:p w14:paraId="57E6D8E5">
            <w:pPr>
              <w:tabs>
                <w:tab w:val="left" w:pos="180"/>
                <w:tab w:val="left" w:pos="1620"/>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5、甲醛含量:未检出；PH值:6.0-7.0；</w:t>
            </w:r>
          </w:p>
          <w:p w14:paraId="467E762A">
            <w:pPr>
              <w:tabs>
                <w:tab w:val="left" w:pos="180"/>
                <w:tab w:val="left" w:pos="1620"/>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6、款式：帽子透气性能:帽子应制有4个透气孔；</w:t>
            </w:r>
          </w:p>
          <w:p w14:paraId="07611DF8">
            <w:pPr>
              <w:tabs>
                <w:tab w:val="left" w:pos="180"/>
                <w:tab w:val="left" w:pos="1620"/>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7、纤维含量:芳纶100%。</w:t>
            </w:r>
          </w:p>
          <w:p w14:paraId="72C5A865">
            <w:pPr>
              <w:tabs>
                <w:tab w:val="left" w:pos="180"/>
                <w:tab w:val="left" w:pos="1620"/>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8、标注有“</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”参数需提供具有CMA或CNAS资格的检测机构出具的检测报告予以佐证，</w:t>
            </w:r>
            <w:r>
              <w:rPr>
                <w:rFonts w:hint="eastAsia" w:ascii="宋体" w:hAnsi="宋体" w:eastAsia="宋体" w:cs="宋体"/>
                <w:color w:val="000000"/>
                <w:highlight w:val="none"/>
                <w:lang w:val="en-US" w:eastAsia="zh-CN"/>
              </w:rPr>
              <w:t>检测报告需标注或批注相应的内容以便评审查找，</w:t>
            </w:r>
            <w:r>
              <w:rPr>
                <w:rFonts w:hint="eastAsia" w:ascii="宋体" w:hAnsi="宋体" w:eastAsia="宋体" w:cs="宋体"/>
                <w:color w:val="000000"/>
                <w:sz w:val="21"/>
                <w:szCs w:val="21"/>
                <w:highlight w:val="none"/>
              </w:rPr>
              <w:t>无法佐证或检验报告未体现做负偏离处理。</w:t>
            </w:r>
          </w:p>
          <w:p w14:paraId="65CD8E52">
            <w:pPr>
              <w:tabs>
                <w:tab w:val="left" w:pos="180"/>
                <w:tab w:val="left" w:pos="1620"/>
              </w:tabs>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三、</w:t>
            </w:r>
            <w:r>
              <w:rPr>
                <w:rFonts w:hint="eastAsia" w:ascii="宋体" w:hAnsi="宋体" w:eastAsia="宋体" w:cs="宋体"/>
                <w:color w:val="000000"/>
                <w:sz w:val="21"/>
                <w:szCs w:val="21"/>
                <w:highlight w:val="none"/>
              </w:rPr>
              <w:t>迷彩鞋</w:t>
            </w:r>
          </w:p>
          <w:p w14:paraId="5253DD3C">
            <w:pPr>
              <w:tabs>
                <w:tab w:val="left" w:pos="180"/>
                <w:tab w:val="left" w:pos="1620"/>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1、鞋面材质:迷彩帆布;</w:t>
            </w:r>
          </w:p>
          <w:p w14:paraId="12300488">
            <w:pPr>
              <w:tabs>
                <w:tab w:val="left" w:pos="180"/>
                <w:tab w:val="left" w:pos="1620"/>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2、鞋底材质:橡胶;</w:t>
            </w:r>
          </w:p>
          <w:p w14:paraId="583F4145">
            <w:pPr>
              <w:tabs>
                <w:tab w:val="left" w:pos="180"/>
                <w:tab w:val="left" w:pos="1620"/>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3、鞋帮高度:低帮;</w:t>
            </w:r>
          </w:p>
          <w:p w14:paraId="70C9EB1D">
            <w:pPr>
              <w:tabs>
                <w:tab w:val="left" w:pos="180"/>
                <w:tab w:val="left" w:pos="1620"/>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4、功能:耐磨、防滑、透气、减震;</w:t>
            </w:r>
          </w:p>
          <w:p w14:paraId="555D1E9C">
            <w:pPr>
              <w:tabs>
                <w:tab w:val="left" w:pos="180"/>
                <w:tab w:val="left" w:pos="1620"/>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5、颜色:迷彩;</w:t>
            </w:r>
          </w:p>
          <w:p w14:paraId="744B8D8A">
            <w:pPr>
              <w:tabs>
                <w:tab w:val="left" w:pos="180"/>
                <w:tab w:val="left" w:pos="1620"/>
              </w:tabs>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四、</w:t>
            </w:r>
            <w:r>
              <w:rPr>
                <w:rFonts w:hint="eastAsia" w:ascii="宋体" w:hAnsi="宋体" w:eastAsia="宋体" w:cs="宋体"/>
                <w:color w:val="000000"/>
                <w:sz w:val="21"/>
                <w:szCs w:val="21"/>
                <w:highlight w:val="none"/>
              </w:rPr>
              <w:t>挎包</w:t>
            </w:r>
          </w:p>
          <w:p w14:paraId="494E7DCD">
            <w:pPr>
              <w:tabs>
                <w:tab w:val="left" w:pos="180"/>
                <w:tab w:val="left" w:pos="1620"/>
              </w:tabs>
              <w:rPr>
                <w:rFonts w:hint="eastAsia" w:ascii="宋体" w:hAnsi="宋体" w:eastAsia="宋体" w:cs="宋体"/>
                <w:color w:val="000000"/>
                <w:sz w:val="21"/>
                <w:szCs w:val="21"/>
                <w:highlight w:val="none"/>
              </w:rPr>
            </w:pPr>
            <w:r>
              <w:rPr>
                <w:rFonts w:hint="default"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材质：防水牛津布，军绿色；</w:t>
            </w:r>
          </w:p>
          <w:p w14:paraId="2DE534CE">
            <w:pPr>
              <w:tabs>
                <w:tab w:val="left" w:pos="180"/>
                <w:tab w:val="left" w:pos="1620"/>
              </w:tabs>
              <w:rPr>
                <w:rFonts w:hint="eastAsia" w:ascii="宋体" w:hAnsi="宋体" w:eastAsia="宋体" w:cs="宋体"/>
                <w:color w:val="000000"/>
                <w:sz w:val="21"/>
                <w:szCs w:val="21"/>
                <w:highlight w:val="none"/>
              </w:rPr>
            </w:pPr>
            <w:r>
              <w:rPr>
                <w:rFonts w:hint="default"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尺寸：长约30cm，高≥22cm,厚≥8cm，肩带放开全长≥140cm；</w:t>
            </w:r>
          </w:p>
          <w:p w14:paraId="77D1EFD2">
            <w:pPr>
              <w:widowControl/>
              <w:spacing w:line="360" w:lineRule="exact"/>
              <w:jc w:val="left"/>
              <w:textAlignment w:val="center"/>
              <w:rPr>
                <w:rFonts w:hint="eastAsia" w:ascii="宋体" w:hAnsi="宋体" w:eastAsia="宋体" w:cs="宋体"/>
                <w:color w:val="000000"/>
                <w:szCs w:val="21"/>
                <w:highlight w:val="yellow"/>
              </w:rPr>
            </w:pPr>
            <w:r>
              <w:rPr>
                <w:rFonts w:hint="default"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单肩挎包，休闲，时尚，是体现人性化和现代化的具体表现，设计简约大方，新款的挎包，做工扎实，携带方便。设计有单兵信息袋。</w:t>
            </w:r>
          </w:p>
        </w:tc>
        <w:tc>
          <w:tcPr>
            <w:tcW w:w="1090" w:type="dxa"/>
            <w:tcBorders>
              <w:left w:val="single" w:color="auto" w:sz="4" w:space="0"/>
            </w:tcBorders>
            <w:noWrap w:val="0"/>
            <w:vAlign w:val="center"/>
          </w:tcPr>
          <w:p w14:paraId="40719D65">
            <w:pPr>
              <w:widowControl/>
              <w:spacing w:line="360" w:lineRule="exact"/>
              <w:ind w:firstLine="210" w:firstLineChars="100"/>
              <w:jc w:val="left"/>
              <w:textAlignment w:val="center"/>
              <w:rPr>
                <w:rFonts w:hint="default" w:ascii="宋体" w:hAnsi="宋体" w:eastAsia="宋体" w:cs="宋体"/>
                <w:color w:val="000000"/>
                <w:sz w:val="21"/>
                <w:szCs w:val="21"/>
                <w:highlight w:val="none"/>
                <w:lang w:val="en-US" w:eastAsia="zh-CN"/>
              </w:rPr>
            </w:pPr>
            <w:r>
              <w:rPr>
                <w:rFonts w:hint="default" w:ascii="宋体" w:hAnsi="宋体" w:eastAsia="宋体" w:cs="宋体"/>
                <w:color w:val="000000"/>
                <w:sz w:val="21"/>
                <w:szCs w:val="21"/>
                <w:highlight w:val="none"/>
                <w:lang w:val="en-US" w:eastAsia="zh-CN"/>
              </w:rPr>
              <w:t>1000</w:t>
            </w:r>
          </w:p>
        </w:tc>
      </w:tr>
      <w:tr w14:paraId="7544B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65" w:type="dxa"/>
            <w:gridSpan w:val="7"/>
            <w:tcBorders>
              <w:top w:val="single" w:color="auto" w:sz="4" w:space="0"/>
              <w:left w:val="single" w:color="auto" w:sz="4" w:space="0"/>
              <w:bottom w:val="single" w:color="auto" w:sz="4" w:space="0"/>
              <w:right w:val="single" w:color="auto" w:sz="4" w:space="0"/>
            </w:tcBorders>
            <w:noWrap w:val="0"/>
            <w:vAlign w:val="center"/>
          </w:tcPr>
          <w:p w14:paraId="04EB7AE1">
            <w:pPr>
              <w:spacing w:line="360" w:lineRule="exact"/>
              <w:rPr>
                <w:rFonts w:hint="eastAsia" w:ascii="宋体" w:hAnsi="宋体" w:eastAsia="宋体" w:cs="宋体"/>
                <w:b/>
                <w:bCs/>
                <w:color w:val="000000"/>
                <w:szCs w:val="21"/>
                <w:highlight w:val="none"/>
              </w:rPr>
            </w:pPr>
            <w:r>
              <w:rPr>
                <w:rFonts w:hint="eastAsia" w:ascii="宋体" w:hAnsi="宋体" w:eastAsia="宋体" w:cs="宋体"/>
                <w:b/>
                <w:color w:val="000000"/>
                <w:szCs w:val="21"/>
                <w:highlight w:val="none"/>
              </w:rPr>
              <w:t>第二部分 商务要求</w:t>
            </w:r>
          </w:p>
        </w:tc>
      </w:tr>
      <w:tr w14:paraId="224FB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4C516E81">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合同签订时间</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54D5689B">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自中标通知书发出之日起25日内。</w:t>
            </w:r>
          </w:p>
        </w:tc>
      </w:tr>
      <w:tr w14:paraId="164259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5869E9E2">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▲交付的时间和地点</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782F9E5A">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交货时间：自合同签订之日起 60 天内安装合格交付使用。</w:t>
            </w:r>
          </w:p>
          <w:p w14:paraId="2539FE6A">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地点：广西区内采购人指定地点。</w:t>
            </w:r>
          </w:p>
        </w:tc>
      </w:tr>
      <w:tr w14:paraId="1E6F7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74A9524D">
            <w:pPr>
              <w:widowControl/>
              <w:spacing w:line="360" w:lineRule="exact"/>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▲付款条件</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65787A9A">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1.签订采购合同前中标人向采购人递交合同总价2%的履约保证金，货物验收合格后，中标人向采购人开具合同金额100%的发票，</w:t>
            </w:r>
            <w:r>
              <w:rPr>
                <w:rFonts w:hint="eastAsia" w:ascii="宋体" w:hAnsi="宋体" w:eastAsia="宋体" w:cs="宋体"/>
                <w:color w:val="000000"/>
                <w:kern w:val="0"/>
                <w:szCs w:val="21"/>
                <w:highlight w:val="none"/>
                <w:lang w:eastAsia="zh-CN"/>
              </w:rPr>
              <w:t>采购人收到发票之日起10个工作日内向中标人一次性支付项目全部费用</w:t>
            </w:r>
            <w:r>
              <w:rPr>
                <w:rFonts w:hint="eastAsia" w:ascii="宋体" w:hAnsi="宋体" w:eastAsia="宋体" w:cs="宋体"/>
                <w:color w:val="000000"/>
                <w:kern w:val="0"/>
                <w:szCs w:val="21"/>
                <w:highlight w:val="none"/>
              </w:rPr>
              <w:t>。</w:t>
            </w:r>
          </w:p>
          <w:p w14:paraId="40B0113E">
            <w:pPr>
              <w:widowControl/>
              <w:spacing w:line="360" w:lineRule="exact"/>
              <w:jc w:val="left"/>
              <w:textAlignment w:val="center"/>
              <w:rPr>
                <w:rFonts w:hint="eastAsia" w:ascii="宋体" w:hAnsi="宋体" w:eastAsia="宋体" w:cs="宋体"/>
                <w:color w:val="000000"/>
                <w:highlight w:val="none"/>
              </w:rPr>
            </w:pPr>
            <w:r>
              <w:rPr>
                <w:rFonts w:hint="eastAsia" w:ascii="宋体" w:hAnsi="宋体" w:eastAsia="宋体" w:cs="宋体"/>
                <w:color w:val="000000"/>
                <w:kern w:val="0"/>
                <w:szCs w:val="21"/>
                <w:highlight w:val="none"/>
              </w:rPr>
              <w:t>2.质保期满一年后如未有任何设备使用问题，由中标人向采购人提出履约保证金退还申请，采购人接到书面申请书之日起15个工作日内向中标人退还全部履约保证金金额。</w:t>
            </w:r>
          </w:p>
        </w:tc>
      </w:tr>
      <w:tr w14:paraId="46EB2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0B5BD3B2">
            <w:pPr>
              <w:widowControl/>
              <w:spacing w:line="360" w:lineRule="exact"/>
              <w:jc w:val="center"/>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▲质保期 </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1864F7F7">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eastAsia="zh-CN"/>
              </w:rPr>
              <w:t>装备质保期</w:t>
            </w:r>
            <w:r>
              <w:rPr>
                <w:rFonts w:hint="eastAsia" w:ascii="宋体" w:hAnsi="宋体" w:eastAsia="宋体" w:cs="宋体"/>
                <w:color w:val="000000"/>
                <w:kern w:val="0"/>
                <w:szCs w:val="21"/>
                <w:highlight w:val="none"/>
              </w:rPr>
              <w:t>一年（如“技术参数及其性能（配置）要求”中另有要求，按其规定），质保期内免费维修及更换配件，终身维修（质保期外只收配件费，差旅费由厂家或中标人负责）。 质保期内非用户原因引起的质量事故中标人应负全部责任。</w:t>
            </w:r>
          </w:p>
        </w:tc>
      </w:tr>
      <w:tr w14:paraId="5AE53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6E7D255D">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▲售后服务</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799BFE26">
            <w:pPr>
              <w:widowControl/>
              <w:spacing w:line="38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售后服务：（1）按国家有关规定实行产品“三包”；（2）免费送货上门、调试直至设备验收合格（期间所需器材及相关费用均由投标人承担）；（3）接到故障通知后60分钟内响应，4小时内到达现场，并在8小时内解决问题，以保证设备正常运行，并承担一切相关费用；（4）定期回访以及维修；（5）质保期内所有设备免费上门维修服务；（</w:t>
            </w:r>
            <w:r>
              <w:rPr>
                <w:rFonts w:hint="eastAsia" w:ascii="宋体" w:hAnsi="宋体" w:cs="宋体"/>
                <w:color w:val="000000"/>
                <w:kern w:val="0"/>
                <w:szCs w:val="21"/>
                <w:highlight w:val="none"/>
                <w:lang w:val="en-US" w:eastAsia="zh-CN"/>
              </w:rPr>
              <w:t>6</w:t>
            </w:r>
            <w:r>
              <w:rPr>
                <w:rFonts w:hint="eastAsia" w:ascii="宋体" w:hAnsi="宋体" w:eastAsia="宋体" w:cs="宋体"/>
                <w:color w:val="000000"/>
                <w:kern w:val="0"/>
                <w:szCs w:val="21"/>
                <w:highlight w:val="none"/>
              </w:rPr>
              <w:t>）其余按厂家承诺进行。</w:t>
            </w:r>
          </w:p>
          <w:p w14:paraId="4CFB866D">
            <w:pPr>
              <w:widowControl/>
              <w:spacing w:line="38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2、免费培训：中标人负责免费培训使用人员和维护人员。</w:t>
            </w:r>
          </w:p>
          <w:p w14:paraId="2DC746A4">
            <w:pP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3、免费安装调试：中标人负责本项目所有货物的安装、调试及项目整体测试，并在试运行结束后由中标人整理验收材料提交采购人验收。</w:t>
            </w:r>
          </w:p>
        </w:tc>
      </w:tr>
      <w:tr w14:paraId="79E56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2260649B">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▲投标报价要求</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46BDDF04">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投标报价包含货物、货物标准附件、备品备件、专用工具、设备安装辅材、施工辅材（如有）、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税金、售后服务、技术培训及其他所有成本费用，以及合同明示或暗示的所有责任、义务和一般风险等一切费用。</w:t>
            </w:r>
          </w:p>
        </w:tc>
      </w:tr>
      <w:tr w14:paraId="342FA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0D0FCD63">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▲验收标准、验收方法及方案</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5D12B8C6">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1、招标人对中标人提交的货物依据招标文件及投标文件上的技术规格要求和国家有关质量标准进行现场签收，外观、说明书符合采购文件技术要求的，给予签收，不合格的不予签收。</w:t>
            </w:r>
          </w:p>
          <w:p w14:paraId="3F8AFE97">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中标人交货前应对产品作出全面检查和对验收文件进行整理，并列出清单，作为招标人收货验收和使用的技术条件依据，检验的结果应随货物交甲方。中标人不能完整交付货物及本款规定的单证和工具的，必须负责补齐，否则视为未按合同约定交货。</w:t>
            </w:r>
          </w:p>
          <w:p w14:paraId="297178F6">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3、招标人组织验收，中标人必须到场配合，验收合格后双方签署验收合格凭证。</w:t>
            </w:r>
          </w:p>
          <w:p w14:paraId="22FF959D">
            <w:pPr>
              <w:widowControl/>
              <w:spacing w:line="360" w:lineRule="exact"/>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4、其他未尽事宜应严格按照《关于印发广西壮族自治区政府采购项目履约验收管理办法的通知》[桂财采〔2015〕22 号]以及《财政部关于进一步加强政府采购需求和履约验收管理的指导意见》[财库〔2016〕205 号]规定执行。</w:t>
            </w:r>
          </w:p>
        </w:tc>
      </w:tr>
      <w:tr w14:paraId="128683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1942BC4F">
            <w:pPr>
              <w:widowControl/>
              <w:spacing w:line="360" w:lineRule="exact"/>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其他要求</w:t>
            </w:r>
          </w:p>
        </w:tc>
        <w:tc>
          <w:tcPr>
            <w:tcW w:w="7874" w:type="dxa"/>
            <w:gridSpan w:val="4"/>
            <w:tcBorders>
              <w:top w:val="single" w:color="auto" w:sz="4" w:space="0"/>
              <w:left w:val="single" w:color="auto" w:sz="4" w:space="0"/>
              <w:bottom w:val="single" w:color="auto" w:sz="4" w:space="0"/>
              <w:right w:val="single" w:color="auto" w:sz="4" w:space="0"/>
            </w:tcBorders>
            <w:noWrap w:val="0"/>
            <w:vAlign w:val="center"/>
          </w:tcPr>
          <w:p w14:paraId="2B787259">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000000"/>
                <w:kern w:val="0"/>
                <w:szCs w:val="21"/>
                <w:highlight w:val="none"/>
              </w:rPr>
              <w:t>▲1、</w:t>
            </w:r>
            <w:r>
              <w:rPr>
                <w:rFonts w:hint="eastAsia" w:ascii="宋体" w:hAnsi="宋体" w:eastAsia="宋体" w:cs="宋体"/>
                <w:color w:val="auto"/>
                <w:kern w:val="0"/>
                <w:szCs w:val="21"/>
                <w:highlight w:val="none"/>
              </w:rPr>
              <w:t>投标人投标文件中必须提供本标项所投产品的公开彩页（体现参数指标）或技术说明书（对于同一参数，彩页或技术说明书标明的参数与投标人的响应不一致的，</w:t>
            </w:r>
            <w:r>
              <w:rPr>
                <w:rFonts w:hint="eastAsia" w:ascii="宋体" w:hAnsi="宋体" w:eastAsia="宋体" w:cs="宋体"/>
                <w:b/>
                <w:color w:val="auto"/>
                <w:kern w:val="0"/>
                <w:szCs w:val="21"/>
                <w:highlight w:val="none"/>
              </w:rPr>
              <w:t>视为</w:t>
            </w:r>
            <w:r>
              <w:rPr>
                <w:rFonts w:hint="eastAsia" w:ascii="宋体" w:hAnsi="宋体" w:eastAsia="宋体" w:cs="宋体"/>
                <w:b/>
                <w:color w:val="auto"/>
                <w:szCs w:val="21"/>
                <w:highlight w:val="none"/>
              </w:rPr>
              <w:t>响应与事实不符</w:t>
            </w:r>
            <w:r>
              <w:rPr>
                <w:rFonts w:hint="eastAsia" w:ascii="宋体" w:hAnsi="宋体" w:eastAsia="宋体" w:cs="宋体"/>
                <w:b/>
                <w:color w:val="auto"/>
                <w:kern w:val="0"/>
                <w:szCs w:val="21"/>
                <w:highlight w:val="none"/>
              </w:rPr>
              <w:t>，</w:t>
            </w:r>
            <w:r>
              <w:rPr>
                <w:rFonts w:hint="eastAsia" w:ascii="宋体" w:hAnsi="宋体" w:eastAsia="宋体" w:cs="宋体"/>
                <w:b/>
                <w:bCs/>
                <w:color w:val="auto"/>
                <w:kern w:val="0"/>
                <w:szCs w:val="21"/>
                <w:highlight w:val="none"/>
              </w:rPr>
              <w:t>按无效投标处理</w:t>
            </w:r>
            <w:r>
              <w:rPr>
                <w:rFonts w:hint="eastAsia" w:ascii="宋体" w:hAnsi="宋体" w:eastAsia="宋体" w:cs="宋体"/>
                <w:color w:val="auto"/>
                <w:kern w:val="0"/>
                <w:szCs w:val="21"/>
                <w:highlight w:val="none"/>
              </w:rPr>
              <w:t xml:space="preserve">）。 </w:t>
            </w:r>
          </w:p>
          <w:p w14:paraId="61296804">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auto"/>
                <w:kern w:val="0"/>
                <w:szCs w:val="21"/>
                <w:highlight w:val="none"/>
              </w:rPr>
              <w:t>▲2、货物必须是全新的；货物到货后，中标</w:t>
            </w:r>
            <w:r>
              <w:rPr>
                <w:rFonts w:hint="eastAsia" w:ascii="宋体" w:hAnsi="宋体" w:eastAsia="宋体" w:cs="宋体"/>
                <w:color w:val="000000"/>
                <w:kern w:val="0"/>
                <w:szCs w:val="21"/>
                <w:highlight w:val="none"/>
              </w:rPr>
              <w:t xml:space="preserve">人和招标人应在现场进行清点；清点过程中如果发现因包装或运输不当引起的外观或内部的损坏，中标人应负责更换；若发现错发/漏发情况，中标人应负责更换和补发。 </w:t>
            </w:r>
          </w:p>
          <w:p w14:paraId="524C5481">
            <w:pPr>
              <w:widowControl/>
              <w:spacing w:line="360" w:lineRule="exact"/>
              <w:jc w:val="left"/>
              <w:textAlignment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▲3、其余按第五章《政府采购合同文本》要求。</w:t>
            </w:r>
          </w:p>
          <w:p w14:paraId="727BB7EE">
            <w:pPr>
              <w:widowControl/>
              <w:spacing w:line="360" w:lineRule="exact"/>
              <w:jc w:val="left"/>
              <w:textAlignment w:val="center"/>
              <w:rPr>
                <w:rFonts w:hint="eastAsia" w:ascii="宋体" w:hAnsi="宋体" w:eastAsia="宋体" w:cs="宋体"/>
                <w:color w:val="000000"/>
                <w:highlight w:val="none"/>
              </w:rPr>
            </w:pPr>
            <w:r>
              <w:rPr>
                <w:rFonts w:hint="eastAsia" w:ascii="宋体" w:hAnsi="宋体" w:cs="宋体"/>
                <w:color w:val="000000"/>
                <w:kern w:val="0"/>
                <w:szCs w:val="21"/>
                <w:highlight w:val="none"/>
                <w:lang w:val="en-US" w:eastAsia="zh-CN"/>
              </w:rPr>
              <w:t>4</w:t>
            </w:r>
            <w:r>
              <w:rPr>
                <w:rFonts w:hint="eastAsia" w:ascii="宋体" w:hAnsi="宋体" w:eastAsia="宋体" w:cs="宋体"/>
                <w:color w:val="000000"/>
                <w:kern w:val="0"/>
                <w:szCs w:val="21"/>
                <w:highlight w:val="none"/>
              </w:rPr>
              <w:t>、供应商可根据招标文件及评分办法的要求，在投标文件中提供产品性能、项目实施方案、售后服务方案、信誉分、人员配备等证明材料。</w:t>
            </w:r>
          </w:p>
        </w:tc>
      </w:tr>
      <w:tr w14:paraId="10DBE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865" w:type="dxa"/>
            <w:gridSpan w:val="7"/>
            <w:tcBorders>
              <w:top w:val="single" w:color="auto" w:sz="4" w:space="0"/>
              <w:left w:val="single" w:color="auto" w:sz="4" w:space="0"/>
              <w:bottom w:val="single" w:color="auto" w:sz="4" w:space="0"/>
              <w:right w:val="single" w:color="auto" w:sz="4" w:space="0"/>
            </w:tcBorders>
            <w:noWrap w:val="0"/>
            <w:vAlign w:val="top"/>
          </w:tcPr>
          <w:p w14:paraId="46565ACE">
            <w:pPr>
              <w:spacing w:line="360" w:lineRule="exact"/>
              <w:rPr>
                <w:rFonts w:hint="eastAsia" w:ascii="宋体" w:hAnsi="宋体" w:eastAsia="宋体" w:cs="宋体"/>
                <w:color w:val="000000"/>
                <w:kern w:val="0"/>
                <w:szCs w:val="21"/>
                <w:highlight w:val="none"/>
              </w:rPr>
            </w:pPr>
            <w:r>
              <w:rPr>
                <w:rFonts w:hint="eastAsia" w:ascii="宋体" w:hAnsi="宋体" w:eastAsia="宋体" w:cs="宋体"/>
                <w:b/>
                <w:color w:val="000000"/>
                <w:szCs w:val="21"/>
                <w:highlight w:val="none"/>
              </w:rPr>
              <w:t>第三部分 进口产品说明</w:t>
            </w:r>
          </w:p>
        </w:tc>
      </w:tr>
      <w:tr w14:paraId="153BA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865" w:type="dxa"/>
            <w:gridSpan w:val="7"/>
            <w:tcBorders>
              <w:top w:val="single" w:color="auto" w:sz="4" w:space="0"/>
              <w:left w:val="single" w:color="auto" w:sz="4" w:space="0"/>
              <w:bottom w:val="single" w:color="auto" w:sz="4" w:space="0"/>
              <w:right w:val="single" w:color="auto" w:sz="4" w:space="0"/>
            </w:tcBorders>
            <w:noWrap w:val="0"/>
            <w:vAlign w:val="top"/>
          </w:tcPr>
          <w:p w14:paraId="3E58C009">
            <w:pPr>
              <w:spacing w:line="360" w:lineRule="exact"/>
              <w:rPr>
                <w:rFonts w:hint="eastAsia" w:ascii="宋体" w:hAnsi="宋体" w:eastAsia="宋体" w:cs="宋体"/>
                <w:color w:val="000000"/>
                <w:kern w:val="0"/>
                <w:szCs w:val="21"/>
                <w:highlight w:val="none"/>
              </w:rPr>
            </w:pPr>
            <w:r>
              <w:rPr>
                <w:rFonts w:hint="eastAsia" w:ascii="宋体" w:hAnsi="宋体" w:eastAsia="宋体" w:cs="宋体"/>
                <w:color w:val="000000"/>
                <w:szCs w:val="21"/>
                <w:highlight w:val="none"/>
              </w:rPr>
              <w:t>本分标中所有产品均不接受进口产品投标。</w:t>
            </w:r>
            <w:r>
              <w:rPr>
                <w:rFonts w:hint="eastAsia" w:ascii="宋体" w:hAnsi="宋体" w:eastAsia="宋体" w:cs="宋体"/>
                <w:b/>
                <w:bCs/>
                <w:color w:val="000000"/>
                <w:szCs w:val="21"/>
                <w:highlight w:val="none"/>
              </w:rPr>
              <w:t>进口产品投标的，投标无效。</w:t>
            </w:r>
          </w:p>
        </w:tc>
      </w:tr>
      <w:tr w14:paraId="77D06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65" w:type="dxa"/>
            <w:gridSpan w:val="7"/>
            <w:tcBorders>
              <w:top w:val="single" w:color="auto" w:sz="4" w:space="0"/>
              <w:left w:val="single" w:color="auto" w:sz="4" w:space="0"/>
              <w:bottom w:val="single" w:color="auto" w:sz="4" w:space="0"/>
              <w:right w:val="single" w:color="auto" w:sz="4" w:space="0"/>
            </w:tcBorders>
            <w:noWrap w:val="0"/>
            <w:vAlign w:val="top"/>
          </w:tcPr>
          <w:p w14:paraId="64A0361F">
            <w:pPr>
              <w:spacing w:line="360" w:lineRule="exact"/>
              <w:rPr>
                <w:rFonts w:hint="eastAsia" w:ascii="宋体" w:hAnsi="宋体" w:eastAsia="宋体" w:cs="宋体"/>
                <w:color w:val="000000"/>
                <w:szCs w:val="21"/>
                <w:highlight w:val="none"/>
              </w:rPr>
            </w:pPr>
            <w:r>
              <w:rPr>
                <w:rFonts w:hint="eastAsia" w:ascii="宋体" w:hAnsi="宋体" w:eastAsia="宋体" w:cs="宋体"/>
                <w:b/>
                <w:color w:val="000000"/>
                <w:szCs w:val="21"/>
                <w:highlight w:val="none"/>
              </w:rPr>
              <w:t>第四部分 核心产品</w:t>
            </w:r>
          </w:p>
        </w:tc>
      </w:tr>
      <w:tr w14:paraId="56F7C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9865" w:type="dxa"/>
            <w:gridSpan w:val="7"/>
            <w:tcBorders>
              <w:top w:val="single" w:color="auto" w:sz="4" w:space="0"/>
              <w:left w:val="single" w:color="auto" w:sz="4" w:space="0"/>
              <w:bottom w:val="single" w:color="auto" w:sz="4" w:space="0"/>
              <w:right w:val="single" w:color="auto" w:sz="4" w:space="0"/>
            </w:tcBorders>
            <w:noWrap w:val="0"/>
            <w:vAlign w:val="top"/>
          </w:tcPr>
          <w:p w14:paraId="5F5BE231">
            <w:pPr>
              <w:tabs>
                <w:tab w:val="left" w:pos="9660"/>
              </w:tabs>
              <w:spacing w:line="360" w:lineRule="exact"/>
              <w:ind w:right="97" w:rightChars="46"/>
              <w:jc w:val="left"/>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本分标核心产品为第1项产品“</w:t>
            </w:r>
            <w:r>
              <w:rPr>
                <w:rFonts w:hint="default" w:ascii="宋体" w:hAnsi="宋体" w:eastAsia="宋体" w:cs="宋体"/>
                <w:b/>
                <w:bCs/>
                <w:color w:val="000000"/>
                <w:szCs w:val="21"/>
                <w:highlight w:val="none"/>
                <w:u w:val="single"/>
                <w:lang w:val="en-US" w:eastAsia="zh-CN"/>
              </w:rPr>
              <w:t>日常巡护套装</w:t>
            </w:r>
            <w:r>
              <w:rPr>
                <w:rFonts w:hint="eastAsia" w:ascii="宋体" w:hAnsi="宋体" w:eastAsia="宋体" w:cs="宋体"/>
                <w:bCs/>
                <w:color w:val="000000"/>
                <w:szCs w:val="21"/>
                <w:highlight w:val="none"/>
              </w:rPr>
              <w:t>”，核心产品品牌相同的，视为提供同品牌产品。</w:t>
            </w:r>
          </w:p>
          <w:p w14:paraId="599BBD47">
            <w:pPr>
              <w:tabs>
                <w:tab w:val="left" w:pos="9660"/>
              </w:tabs>
              <w:spacing w:line="360" w:lineRule="exact"/>
              <w:ind w:right="-10" w:rightChars="-5"/>
              <w:jc w:val="left"/>
              <w:rPr>
                <w:rFonts w:hint="eastAsia" w:ascii="宋体" w:hAnsi="宋体" w:eastAsia="宋体" w:cs="宋体"/>
                <w:b/>
                <w:color w:val="000000"/>
                <w:szCs w:val="21"/>
                <w:highlight w:val="none"/>
              </w:rPr>
            </w:pPr>
            <w:r>
              <w:rPr>
                <w:rFonts w:hint="eastAsia" w:ascii="宋体" w:hAnsi="宋体" w:eastAsia="宋体" w:cs="宋体"/>
                <w:bCs/>
                <w:color w:val="000000"/>
                <w:szCs w:val="21"/>
                <w:highlight w:val="none"/>
              </w:rPr>
              <w:t>注：提供相同品牌产品且通过资格审查、符合性审查的不同投标人参加同一合同项下投标的，按一家投标人计算，评审后得分最高的同品牌投标人获得中标人推荐资格（评审得分相同的，以投标报价由低到高顺序排列；得分相同且投标报价相同的，按技术分由高到低的顺序排列），其他同品牌投标人不作为中标候选人。</w:t>
            </w:r>
          </w:p>
        </w:tc>
      </w:tr>
    </w:tbl>
    <w:p w14:paraId="5377C21E">
      <w:pP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br w:type="page"/>
      </w:r>
    </w:p>
    <w:p w14:paraId="2C9C304B">
      <w:pPr>
        <w:spacing w:line="428" w:lineRule="exact"/>
        <w:ind w:left="119"/>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附件：</w:t>
      </w:r>
    </w:p>
    <w:p w14:paraId="5DEF6EC8">
      <w:pPr>
        <w:spacing w:before="7"/>
        <w:rPr>
          <w:rFonts w:hint="eastAsia" w:ascii="宋体" w:hAnsi="宋体" w:eastAsia="宋体" w:cs="宋体"/>
          <w:color w:val="000000" w:themeColor="text1"/>
          <w:sz w:val="17"/>
          <w:szCs w:val="17"/>
          <w:highlight w:val="none"/>
          <w14:textFill>
            <w14:solidFill>
              <w14:schemeClr w14:val="tx1"/>
            </w14:solidFill>
          </w14:textFill>
        </w:rPr>
      </w:pPr>
    </w:p>
    <w:p w14:paraId="13592F79">
      <w:pPr>
        <w:spacing w:line="528" w:lineRule="exact"/>
        <w:ind w:left="1871"/>
        <w:rPr>
          <w:rFonts w:hint="eastAsia" w:ascii="宋体" w:hAnsi="宋体" w:eastAsia="宋体" w:cs="宋体"/>
          <w:color w:val="000000" w:themeColor="text1"/>
          <w:sz w:val="40"/>
          <w:szCs w:val="40"/>
          <w:highlight w:val="none"/>
          <w14:textFill>
            <w14:solidFill>
              <w14:schemeClr w14:val="tx1"/>
            </w14:solidFill>
          </w14:textFill>
        </w:rPr>
      </w:pPr>
      <w:r>
        <w:rPr>
          <w:rFonts w:hint="eastAsia" w:ascii="宋体" w:hAnsi="宋体" w:eastAsia="宋体" w:cs="宋体"/>
          <w:color w:val="000000" w:themeColor="text1"/>
          <w:sz w:val="40"/>
          <w:szCs w:val="40"/>
          <w:highlight w:val="none"/>
          <w14:textFill>
            <w14:solidFill>
              <w14:schemeClr w14:val="tx1"/>
            </w14:solidFill>
          </w14:textFill>
        </w:rPr>
        <w:t>节能产品政府采购品目清单</w:t>
      </w:r>
    </w:p>
    <w:tbl>
      <w:tblPr>
        <w:tblStyle w:val="48"/>
        <w:tblW w:w="9220" w:type="dxa"/>
        <w:tblInd w:w="93" w:type="dxa"/>
        <w:tblLayout w:type="fixed"/>
        <w:tblCellMar>
          <w:top w:w="0" w:type="dxa"/>
          <w:left w:w="108" w:type="dxa"/>
          <w:bottom w:w="0" w:type="dxa"/>
          <w:right w:w="108" w:type="dxa"/>
        </w:tblCellMar>
      </w:tblPr>
      <w:tblGrid>
        <w:gridCol w:w="769"/>
        <w:gridCol w:w="1023"/>
        <w:gridCol w:w="1581"/>
        <w:gridCol w:w="1615"/>
        <w:gridCol w:w="4232"/>
      </w:tblGrid>
      <w:tr w14:paraId="56276BF7">
        <w:tblPrEx>
          <w:tblCellMar>
            <w:top w:w="0" w:type="dxa"/>
            <w:left w:w="108" w:type="dxa"/>
            <w:bottom w:w="0" w:type="dxa"/>
            <w:right w:w="108" w:type="dxa"/>
          </w:tblCellMar>
        </w:tblPrEx>
        <w:trPr>
          <w:trHeight w:val="555" w:hRule="atLeast"/>
        </w:trPr>
        <w:tc>
          <w:tcPr>
            <w:tcW w:w="769" w:type="dxa"/>
            <w:tcBorders>
              <w:top w:val="single" w:color="000000" w:sz="8" w:space="0"/>
              <w:left w:val="single" w:color="000000" w:sz="8" w:space="0"/>
              <w:bottom w:val="single" w:color="000000" w:sz="8" w:space="0"/>
              <w:right w:val="single" w:color="000000" w:sz="8" w:space="0"/>
            </w:tcBorders>
          </w:tcPr>
          <w:p w14:paraId="5346B499">
            <w:pPr>
              <w:widowControl/>
              <w:jc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品目序号</w:t>
            </w:r>
          </w:p>
        </w:tc>
        <w:tc>
          <w:tcPr>
            <w:tcW w:w="4219" w:type="dxa"/>
            <w:gridSpan w:val="3"/>
            <w:tcBorders>
              <w:top w:val="single" w:color="000000" w:sz="8" w:space="0"/>
              <w:left w:val="nil"/>
              <w:bottom w:val="single" w:color="000000" w:sz="8" w:space="0"/>
              <w:right w:val="single" w:color="000000" w:sz="8" w:space="0"/>
            </w:tcBorders>
            <w:vAlign w:val="center"/>
          </w:tcPr>
          <w:p w14:paraId="41E2F5BB">
            <w:pPr>
              <w:widowControl/>
              <w:jc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名称</w:t>
            </w:r>
          </w:p>
        </w:tc>
        <w:tc>
          <w:tcPr>
            <w:tcW w:w="4232" w:type="dxa"/>
            <w:tcBorders>
              <w:top w:val="single" w:color="000000" w:sz="8" w:space="0"/>
              <w:left w:val="nil"/>
              <w:bottom w:val="single" w:color="000000" w:sz="8" w:space="0"/>
              <w:right w:val="single" w:color="000000" w:sz="8" w:space="0"/>
            </w:tcBorders>
            <w:vAlign w:val="center"/>
          </w:tcPr>
          <w:p w14:paraId="3AA0C41A">
            <w:pPr>
              <w:widowControl/>
              <w:jc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依据的标准</w:t>
            </w:r>
          </w:p>
        </w:tc>
      </w:tr>
      <w:tr w14:paraId="0404EF21">
        <w:tblPrEx>
          <w:tblCellMar>
            <w:top w:w="0" w:type="dxa"/>
            <w:left w:w="108" w:type="dxa"/>
            <w:bottom w:w="0" w:type="dxa"/>
            <w:right w:w="108" w:type="dxa"/>
          </w:tblCellMar>
        </w:tblPrEx>
        <w:trPr>
          <w:trHeight w:val="495" w:hRule="atLeast"/>
        </w:trPr>
        <w:tc>
          <w:tcPr>
            <w:tcW w:w="769" w:type="dxa"/>
            <w:vMerge w:val="restart"/>
            <w:tcBorders>
              <w:top w:val="nil"/>
              <w:left w:val="single" w:color="000000" w:sz="8" w:space="0"/>
              <w:bottom w:val="single" w:color="000000" w:sz="8" w:space="0"/>
              <w:right w:val="single" w:color="000000" w:sz="8" w:space="0"/>
            </w:tcBorders>
            <w:vAlign w:val="center"/>
          </w:tcPr>
          <w:p w14:paraId="58A35ECA">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1023" w:type="dxa"/>
            <w:vMerge w:val="restart"/>
            <w:tcBorders>
              <w:top w:val="nil"/>
              <w:left w:val="single" w:color="000000" w:sz="8" w:space="0"/>
              <w:bottom w:val="single" w:color="000000" w:sz="8" w:space="0"/>
              <w:right w:val="single" w:color="000000" w:sz="8" w:space="0"/>
            </w:tcBorders>
            <w:vAlign w:val="center"/>
          </w:tcPr>
          <w:p w14:paraId="3499A786">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A020101计算机设备</w:t>
            </w:r>
          </w:p>
        </w:tc>
        <w:tc>
          <w:tcPr>
            <w:tcW w:w="1581" w:type="dxa"/>
            <w:tcBorders>
              <w:top w:val="nil"/>
              <w:left w:val="nil"/>
              <w:bottom w:val="single" w:color="000000" w:sz="8" w:space="0"/>
              <w:right w:val="single" w:color="000000" w:sz="8" w:space="0"/>
            </w:tcBorders>
            <w:vAlign w:val="center"/>
          </w:tcPr>
          <w:p w14:paraId="49E7D9F0">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★A02010104台式计算机</w:t>
            </w:r>
          </w:p>
        </w:tc>
        <w:tc>
          <w:tcPr>
            <w:tcW w:w="1615" w:type="dxa"/>
            <w:tcBorders>
              <w:top w:val="nil"/>
              <w:left w:val="nil"/>
              <w:bottom w:val="single" w:color="000000" w:sz="8" w:space="0"/>
              <w:right w:val="single" w:color="000000" w:sz="8" w:space="0"/>
            </w:tcBorders>
            <w:vAlign w:val="center"/>
          </w:tcPr>
          <w:p w14:paraId="29DB1E5B">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4232" w:type="dxa"/>
            <w:tcBorders>
              <w:top w:val="nil"/>
              <w:left w:val="nil"/>
              <w:bottom w:val="single" w:color="000000" w:sz="8" w:space="0"/>
              <w:right w:val="single" w:color="000000" w:sz="8" w:space="0"/>
            </w:tcBorders>
            <w:vAlign w:val="center"/>
          </w:tcPr>
          <w:p w14:paraId="7104A24D">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《微型计算机能效限定值及能效等级》（GB28380）</w:t>
            </w:r>
          </w:p>
        </w:tc>
      </w:tr>
      <w:tr w14:paraId="49B74088">
        <w:tblPrEx>
          <w:tblCellMar>
            <w:top w:w="0" w:type="dxa"/>
            <w:left w:w="108" w:type="dxa"/>
            <w:bottom w:w="0" w:type="dxa"/>
            <w:right w:w="108" w:type="dxa"/>
          </w:tblCellMar>
        </w:tblPrEx>
        <w:trPr>
          <w:trHeight w:val="495" w:hRule="atLeast"/>
        </w:trPr>
        <w:tc>
          <w:tcPr>
            <w:tcW w:w="769" w:type="dxa"/>
            <w:vMerge w:val="continue"/>
            <w:tcBorders>
              <w:top w:val="nil"/>
              <w:left w:val="single" w:color="000000" w:sz="8" w:space="0"/>
              <w:bottom w:val="single" w:color="000000" w:sz="8" w:space="0"/>
              <w:right w:val="single" w:color="000000" w:sz="8" w:space="0"/>
            </w:tcBorders>
            <w:vAlign w:val="center"/>
          </w:tcPr>
          <w:p w14:paraId="2FDEC026">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05A06DC9">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tcBorders>
              <w:top w:val="nil"/>
              <w:left w:val="nil"/>
              <w:bottom w:val="single" w:color="000000" w:sz="8" w:space="0"/>
              <w:right w:val="single" w:color="000000" w:sz="8" w:space="0"/>
            </w:tcBorders>
            <w:vAlign w:val="center"/>
          </w:tcPr>
          <w:p w14:paraId="65DB91F0">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★A02010105便携式计算机</w:t>
            </w:r>
          </w:p>
        </w:tc>
        <w:tc>
          <w:tcPr>
            <w:tcW w:w="1615" w:type="dxa"/>
            <w:tcBorders>
              <w:top w:val="nil"/>
              <w:left w:val="nil"/>
              <w:bottom w:val="single" w:color="000000" w:sz="8" w:space="0"/>
              <w:right w:val="single" w:color="000000" w:sz="8" w:space="0"/>
            </w:tcBorders>
            <w:vAlign w:val="center"/>
          </w:tcPr>
          <w:p w14:paraId="61361F98">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4232" w:type="dxa"/>
            <w:tcBorders>
              <w:top w:val="nil"/>
              <w:left w:val="nil"/>
              <w:bottom w:val="single" w:color="000000" w:sz="8" w:space="0"/>
              <w:right w:val="single" w:color="000000" w:sz="8" w:space="0"/>
            </w:tcBorders>
            <w:vAlign w:val="center"/>
          </w:tcPr>
          <w:p w14:paraId="5D34181B">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《微型计算机能效限定值及能效等级》（GB28380）</w:t>
            </w:r>
          </w:p>
        </w:tc>
      </w:tr>
      <w:tr w14:paraId="54CBF2D7">
        <w:tblPrEx>
          <w:tblCellMar>
            <w:top w:w="0" w:type="dxa"/>
            <w:left w:w="108" w:type="dxa"/>
            <w:bottom w:w="0" w:type="dxa"/>
            <w:right w:w="108" w:type="dxa"/>
          </w:tblCellMar>
        </w:tblPrEx>
        <w:trPr>
          <w:trHeight w:val="735" w:hRule="atLeast"/>
        </w:trPr>
        <w:tc>
          <w:tcPr>
            <w:tcW w:w="769" w:type="dxa"/>
            <w:vMerge w:val="continue"/>
            <w:tcBorders>
              <w:top w:val="nil"/>
              <w:left w:val="single" w:color="000000" w:sz="8" w:space="0"/>
              <w:bottom w:val="single" w:color="000000" w:sz="8" w:space="0"/>
              <w:right w:val="single" w:color="000000" w:sz="8" w:space="0"/>
            </w:tcBorders>
            <w:vAlign w:val="center"/>
          </w:tcPr>
          <w:p w14:paraId="0AFC67DD">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52858E23">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tcBorders>
              <w:top w:val="nil"/>
              <w:left w:val="nil"/>
              <w:bottom w:val="single" w:color="000000" w:sz="8" w:space="0"/>
              <w:right w:val="single" w:color="000000" w:sz="8" w:space="0"/>
            </w:tcBorders>
            <w:vAlign w:val="center"/>
          </w:tcPr>
          <w:p w14:paraId="7574A96E">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★A02010107平板式微型计算机</w:t>
            </w:r>
          </w:p>
        </w:tc>
        <w:tc>
          <w:tcPr>
            <w:tcW w:w="1615" w:type="dxa"/>
            <w:tcBorders>
              <w:top w:val="nil"/>
              <w:left w:val="nil"/>
              <w:bottom w:val="single" w:color="000000" w:sz="8" w:space="0"/>
              <w:right w:val="single" w:color="000000" w:sz="8" w:space="0"/>
            </w:tcBorders>
            <w:vAlign w:val="center"/>
          </w:tcPr>
          <w:p w14:paraId="420D2E0B">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4232" w:type="dxa"/>
            <w:tcBorders>
              <w:top w:val="nil"/>
              <w:left w:val="nil"/>
              <w:bottom w:val="single" w:color="000000" w:sz="8" w:space="0"/>
              <w:right w:val="single" w:color="000000" w:sz="8" w:space="0"/>
            </w:tcBorders>
            <w:vAlign w:val="center"/>
          </w:tcPr>
          <w:p w14:paraId="32C73D99">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《微型计算机能效限定值及能效等级》（GB28380）</w:t>
            </w:r>
          </w:p>
        </w:tc>
      </w:tr>
      <w:tr w14:paraId="0B91A310">
        <w:tblPrEx>
          <w:tblCellMar>
            <w:top w:w="0" w:type="dxa"/>
            <w:left w:w="108" w:type="dxa"/>
            <w:bottom w:w="0" w:type="dxa"/>
            <w:right w:w="108" w:type="dxa"/>
          </w:tblCellMar>
        </w:tblPrEx>
        <w:trPr>
          <w:trHeight w:val="495" w:hRule="atLeast"/>
        </w:trPr>
        <w:tc>
          <w:tcPr>
            <w:tcW w:w="769" w:type="dxa"/>
            <w:vMerge w:val="restart"/>
            <w:tcBorders>
              <w:top w:val="nil"/>
              <w:left w:val="single" w:color="000000" w:sz="8" w:space="0"/>
              <w:bottom w:val="single" w:color="000000" w:sz="8" w:space="0"/>
              <w:right w:val="single" w:color="000000" w:sz="8" w:space="0"/>
            </w:tcBorders>
            <w:vAlign w:val="center"/>
          </w:tcPr>
          <w:p w14:paraId="6C4C786C">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p>
        </w:tc>
        <w:tc>
          <w:tcPr>
            <w:tcW w:w="1023" w:type="dxa"/>
            <w:vMerge w:val="restart"/>
            <w:tcBorders>
              <w:top w:val="nil"/>
              <w:left w:val="single" w:color="000000" w:sz="8" w:space="0"/>
              <w:bottom w:val="single" w:color="000000" w:sz="8" w:space="0"/>
              <w:right w:val="single" w:color="000000" w:sz="8" w:space="0"/>
            </w:tcBorders>
            <w:vAlign w:val="center"/>
          </w:tcPr>
          <w:p w14:paraId="2B514D77">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A020106输入输出设备</w:t>
            </w:r>
          </w:p>
        </w:tc>
        <w:tc>
          <w:tcPr>
            <w:tcW w:w="1581" w:type="dxa"/>
            <w:vMerge w:val="restart"/>
            <w:tcBorders>
              <w:top w:val="nil"/>
              <w:left w:val="single" w:color="000000" w:sz="8" w:space="0"/>
              <w:bottom w:val="single" w:color="000000" w:sz="8" w:space="0"/>
              <w:right w:val="single" w:color="000000" w:sz="8" w:space="0"/>
            </w:tcBorders>
            <w:vAlign w:val="center"/>
          </w:tcPr>
          <w:p w14:paraId="762567FC">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A02010601打印设备</w:t>
            </w:r>
          </w:p>
        </w:tc>
        <w:tc>
          <w:tcPr>
            <w:tcW w:w="1615" w:type="dxa"/>
            <w:tcBorders>
              <w:top w:val="nil"/>
              <w:left w:val="nil"/>
              <w:bottom w:val="single" w:color="000000" w:sz="8" w:space="0"/>
              <w:right w:val="single" w:color="000000" w:sz="8" w:space="0"/>
            </w:tcBorders>
            <w:vAlign w:val="center"/>
          </w:tcPr>
          <w:p w14:paraId="7BD12CFD">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A0201060101喷墨打印机</w:t>
            </w:r>
          </w:p>
        </w:tc>
        <w:tc>
          <w:tcPr>
            <w:tcW w:w="4232" w:type="dxa"/>
            <w:tcBorders>
              <w:top w:val="nil"/>
              <w:left w:val="nil"/>
              <w:bottom w:val="single" w:color="000000" w:sz="8" w:space="0"/>
              <w:right w:val="single" w:color="000000" w:sz="8" w:space="0"/>
            </w:tcBorders>
            <w:vAlign w:val="center"/>
          </w:tcPr>
          <w:p w14:paraId="1E07A450">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《复印机、打印机和传真机能效限定值及能效等级》（GB21521）</w:t>
            </w:r>
          </w:p>
        </w:tc>
      </w:tr>
      <w:tr w14:paraId="55D212E6">
        <w:tblPrEx>
          <w:tblCellMar>
            <w:top w:w="0" w:type="dxa"/>
            <w:left w:w="108" w:type="dxa"/>
            <w:bottom w:w="0" w:type="dxa"/>
            <w:right w:w="108" w:type="dxa"/>
          </w:tblCellMar>
        </w:tblPrEx>
        <w:trPr>
          <w:trHeight w:val="495" w:hRule="atLeast"/>
        </w:trPr>
        <w:tc>
          <w:tcPr>
            <w:tcW w:w="769" w:type="dxa"/>
            <w:vMerge w:val="continue"/>
            <w:tcBorders>
              <w:top w:val="nil"/>
              <w:left w:val="single" w:color="000000" w:sz="8" w:space="0"/>
              <w:bottom w:val="single" w:color="000000" w:sz="8" w:space="0"/>
              <w:right w:val="single" w:color="000000" w:sz="8" w:space="0"/>
            </w:tcBorders>
            <w:vAlign w:val="center"/>
          </w:tcPr>
          <w:p w14:paraId="5C2363F4">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4AC00FD9">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vMerge w:val="continue"/>
            <w:tcBorders>
              <w:top w:val="nil"/>
              <w:left w:val="single" w:color="000000" w:sz="8" w:space="0"/>
              <w:bottom w:val="single" w:color="000000" w:sz="8" w:space="0"/>
              <w:right w:val="single" w:color="000000" w:sz="8" w:space="0"/>
            </w:tcBorders>
            <w:vAlign w:val="center"/>
          </w:tcPr>
          <w:p w14:paraId="6B812AEE">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615" w:type="dxa"/>
            <w:tcBorders>
              <w:top w:val="nil"/>
              <w:left w:val="nil"/>
              <w:bottom w:val="single" w:color="000000" w:sz="8" w:space="0"/>
              <w:right w:val="single" w:color="000000" w:sz="8" w:space="0"/>
            </w:tcBorders>
            <w:vAlign w:val="center"/>
          </w:tcPr>
          <w:p w14:paraId="5D314A70">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★A0201060102激光打印机</w:t>
            </w:r>
          </w:p>
        </w:tc>
        <w:tc>
          <w:tcPr>
            <w:tcW w:w="4232" w:type="dxa"/>
            <w:tcBorders>
              <w:top w:val="nil"/>
              <w:left w:val="nil"/>
              <w:bottom w:val="single" w:color="000000" w:sz="8" w:space="0"/>
              <w:right w:val="single" w:color="000000" w:sz="8" w:space="0"/>
            </w:tcBorders>
            <w:vAlign w:val="center"/>
          </w:tcPr>
          <w:p w14:paraId="792D7785">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《复印机、打印机和传真机能效限定值及能效等级》（GB21521）</w:t>
            </w:r>
          </w:p>
        </w:tc>
      </w:tr>
      <w:tr w14:paraId="06CED08B">
        <w:tblPrEx>
          <w:tblCellMar>
            <w:top w:w="0" w:type="dxa"/>
            <w:left w:w="108" w:type="dxa"/>
            <w:bottom w:w="0" w:type="dxa"/>
            <w:right w:w="108" w:type="dxa"/>
          </w:tblCellMar>
        </w:tblPrEx>
        <w:trPr>
          <w:trHeight w:val="495" w:hRule="atLeast"/>
        </w:trPr>
        <w:tc>
          <w:tcPr>
            <w:tcW w:w="769" w:type="dxa"/>
            <w:vMerge w:val="continue"/>
            <w:tcBorders>
              <w:top w:val="nil"/>
              <w:left w:val="single" w:color="000000" w:sz="8" w:space="0"/>
              <w:bottom w:val="single" w:color="000000" w:sz="8" w:space="0"/>
              <w:right w:val="single" w:color="000000" w:sz="8" w:space="0"/>
            </w:tcBorders>
            <w:vAlign w:val="center"/>
          </w:tcPr>
          <w:p w14:paraId="14038F7F">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63B04071">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vMerge w:val="continue"/>
            <w:tcBorders>
              <w:top w:val="nil"/>
              <w:left w:val="single" w:color="000000" w:sz="8" w:space="0"/>
              <w:bottom w:val="single" w:color="000000" w:sz="8" w:space="0"/>
              <w:right w:val="single" w:color="000000" w:sz="8" w:space="0"/>
            </w:tcBorders>
            <w:vAlign w:val="center"/>
          </w:tcPr>
          <w:p w14:paraId="044170A3">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615" w:type="dxa"/>
            <w:tcBorders>
              <w:top w:val="nil"/>
              <w:left w:val="nil"/>
              <w:bottom w:val="single" w:color="000000" w:sz="8" w:space="0"/>
              <w:right w:val="single" w:color="000000" w:sz="8" w:space="0"/>
            </w:tcBorders>
            <w:vAlign w:val="center"/>
          </w:tcPr>
          <w:p w14:paraId="59BCEFCE">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★A0201060104针式打印机</w:t>
            </w:r>
          </w:p>
        </w:tc>
        <w:tc>
          <w:tcPr>
            <w:tcW w:w="4232" w:type="dxa"/>
            <w:tcBorders>
              <w:top w:val="nil"/>
              <w:left w:val="nil"/>
              <w:bottom w:val="single" w:color="000000" w:sz="8" w:space="0"/>
              <w:right w:val="single" w:color="000000" w:sz="8" w:space="0"/>
            </w:tcBorders>
            <w:vAlign w:val="center"/>
          </w:tcPr>
          <w:p w14:paraId="5AACF25B">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《复印机、打印机和传真机能效限定值及能效等级》（GB21521）</w:t>
            </w:r>
          </w:p>
        </w:tc>
      </w:tr>
      <w:tr w14:paraId="496C03A0">
        <w:tblPrEx>
          <w:tblCellMar>
            <w:top w:w="0" w:type="dxa"/>
            <w:left w:w="108" w:type="dxa"/>
            <w:bottom w:w="0" w:type="dxa"/>
            <w:right w:w="108" w:type="dxa"/>
          </w:tblCellMar>
        </w:tblPrEx>
        <w:trPr>
          <w:trHeight w:val="495" w:hRule="atLeast"/>
        </w:trPr>
        <w:tc>
          <w:tcPr>
            <w:tcW w:w="769" w:type="dxa"/>
            <w:vMerge w:val="continue"/>
            <w:tcBorders>
              <w:top w:val="nil"/>
              <w:left w:val="single" w:color="000000" w:sz="8" w:space="0"/>
              <w:bottom w:val="single" w:color="000000" w:sz="8" w:space="0"/>
              <w:right w:val="single" w:color="000000" w:sz="8" w:space="0"/>
            </w:tcBorders>
            <w:vAlign w:val="center"/>
          </w:tcPr>
          <w:p w14:paraId="3956E619">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260C0795">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tcBorders>
              <w:top w:val="nil"/>
              <w:left w:val="nil"/>
              <w:bottom w:val="single" w:color="000000" w:sz="8" w:space="0"/>
              <w:right w:val="single" w:color="000000" w:sz="8" w:space="0"/>
            </w:tcBorders>
            <w:vAlign w:val="center"/>
          </w:tcPr>
          <w:p w14:paraId="1AC1FF81">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A02010604显示设备</w:t>
            </w:r>
          </w:p>
        </w:tc>
        <w:tc>
          <w:tcPr>
            <w:tcW w:w="1615" w:type="dxa"/>
            <w:tcBorders>
              <w:top w:val="nil"/>
              <w:left w:val="nil"/>
              <w:bottom w:val="single" w:color="000000" w:sz="8" w:space="0"/>
              <w:right w:val="single" w:color="000000" w:sz="8" w:space="0"/>
            </w:tcBorders>
            <w:vAlign w:val="center"/>
          </w:tcPr>
          <w:p w14:paraId="4969CF6F">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★A0201060401液晶显示器</w:t>
            </w:r>
          </w:p>
        </w:tc>
        <w:tc>
          <w:tcPr>
            <w:tcW w:w="4232" w:type="dxa"/>
            <w:tcBorders>
              <w:top w:val="nil"/>
              <w:left w:val="nil"/>
              <w:bottom w:val="single" w:color="000000" w:sz="8" w:space="0"/>
              <w:right w:val="single" w:color="000000" w:sz="8" w:space="0"/>
            </w:tcBorders>
            <w:vAlign w:val="center"/>
          </w:tcPr>
          <w:p w14:paraId="2A804699">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《计算机显示器能效限定值及能效等级》（GB21520）</w:t>
            </w:r>
          </w:p>
        </w:tc>
      </w:tr>
      <w:tr w14:paraId="7C5E9178">
        <w:tblPrEx>
          <w:tblCellMar>
            <w:top w:w="0" w:type="dxa"/>
            <w:left w:w="108" w:type="dxa"/>
            <w:bottom w:w="0" w:type="dxa"/>
            <w:right w:w="108" w:type="dxa"/>
          </w:tblCellMar>
        </w:tblPrEx>
        <w:trPr>
          <w:trHeight w:val="975" w:hRule="atLeast"/>
        </w:trPr>
        <w:tc>
          <w:tcPr>
            <w:tcW w:w="769" w:type="dxa"/>
            <w:vMerge w:val="continue"/>
            <w:tcBorders>
              <w:top w:val="nil"/>
              <w:left w:val="single" w:color="000000" w:sz="8" w:space="0"/>
              <w:bottom w:val="single" w:color="000000" w:sz="8" w:space="0"/>
              <w:right w:val="single" w:color="000000" w:sz="8" w:space="0"/>
            </w:tcBorders>
            <w:vAlign w:val="center"/>
          </w:tcPr>
          <w:p w14:paraId="297122AE">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44771D7F">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tcBorders>
              <w:top w:val="nil"/>
              <w:left w:val="nil"/>
              <w:bottom w:val="single" w:color="000000" w:sz="8" w:space="0"/>
              <w:right w:val="single" w:color="000000" w:sz="8" w:space="0"/>
            </w:tcBorders>
            <w:vAlign w:val="center"/>
          </w:tcPr>
          <w:p w14:paraId="00979DB4">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A02010609图形图像输入设备</w:t>
            </w:r>
          </w:p>
        </w:tc>
        <w:tc>
          <w:tcPr>
            <w:tcW w:w="1615" w:type="dxa"/>
            <w:tcBorders>
              <w:top w:val="nil"/>
              <w:left w:val="nil"/>
              <w:bottom w:val="single" w:color="000000" w:sz="8" w:space="0"/>
              <w:right w:val="single" w:color="000000" w:sz="8" w:space="0"/>
            </w:tcBorders>
            <w:vAlign w:val="center"/>
          </w:tcPr>
          <w:p w14:paraId="5C2F474A">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A0201060901扫描仪</w:t>
            </w:r>
          </w:p>
        </w:tc>
        <w:tc>
          <w:tcPr>
            <w:tcW w:w="4232" w:type="dxa"/>
            <w:tcBorders>
              <w:top w:val="nil"/>
              <w:left w:val="nil"/>
              <w:bottom w:val="single" w:color="000000" w:sz="8" w:space="0"/>
              <w:right w:val="single" w:color="000000" w:sz="8" w:space="0"/>
            </w:tcBorders>
            <w:vAlign w:val="center"/>
          </w:tcPr>
          <w:p w14:paraId="1C034E51">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参照《复印机、打印机和传真机能效限定值及能效等级》（GB21521中打印速度为15页/分的针式打印机相关要求中打印速度为15页/分的针式打印机相关要求</w:t>
            </w:r>
          </w:p>
        </w:tc>
      </w:tr>
      <w:tr w14:paraId="21BDCE5B">
        <w:tblPrEx>
          <w:tblCellMar>
            <w:top w:w="0" w:type="dxa"/>
            <w:left w:w="108" w:type="dxa"/>
            <w:bottom w:w="0" w:type="dxa"/>
            <w:right w:w="108" w:type="dxa"/>
          </w:tblCellMar>
        </w:tblPrEx>
        <w:trPr>
          <w:trHeight w:val="495" w:hRule="atLeast"/>
        </w:trPr>
        <w:tc>
          <w:tcPr>
            <w:tcW w:w="769" w:type="dxa"/>
            <w:tcBorders>
              <w:top w:val="nil"/>
              <w:left w:val="single" w:color="000000" w:sz="8" w:space="0"/>
              <w:bottom w:val="single" w:color="000000" w:sz="8" w:space="0"/>
              <w:right w:val="single" w:color="000000" w:sz="8" w:space="0"/>
            </w:tcBorders>
            <w:vAlign w:val="center"/>
          </w:tcPr>
          <w:p w14:paraId="7B07773A">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w:t>
            </w:r>
          </w:p>
        </w:tc>
        <w:tc>
          <w:tcPr>
            <w:tcW w:w="1023" w:type="dxa"/>
            <w:tcBorders>
              <w:top w:val="nil"/>
              <w:left w:val="nil"/>
              <w:bottom w:val="single" w:color="000000" w:sz="8" w:space="0"/>
              <w:right w:val="single" w:color="000000" w:sz="8" w:space="0"/>
            </w:tcBorders>
            <w:vAlign w:val="center"/>
          </w:tcPr>
          <w:p w14:paraId="3F30847E">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A020202投影仪</w:t>
            </w:r>
          </w:p>
        </w:tc>
        <w:tc>
          <w:tcPr>
            <w:tcW w:w="1581" w:type="dxa"/>
            <w:tcBorders>
              <w:top w:val="nil"/>
              <w:left w:val="nil"/>
              <w:bottom w:val="single" w:color="000000" w:sz="8" w:space="0"/>
              <w:right w:val="single" w:color="000000" w:sz="8" w:space="0"/>
            </w:tcBorders>
            <w:vAlign w:val="center"/>
          </w:tcPr>
          <w:p w14:paraId="621357B7">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1615" w:type="dxa"/>
            <w:tcBorders>
              <w:top w:val="nil"/>
              <w:left w:val="nil"/>
              <w:bottom w:val="single" w:color="000000" w:sz="8" w:space="0"/>
              <w:right w:val="single" w:color="000000" w:sz="8" w:space="0"/>
            </w:tcBorders>
            <w:vAlign w:val="center"/>
          </w:tcPr>
          <w:p w14:paraId="67FD33BD">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4232" w:type="dxa"/>
            <w:tcBorders>
              <w:top w:val="nil"/>
              <w:left w:val="nil"/>
              <w:bottom w:val="single" w:color="000000" w:sz="8" w:space="0"/>
              <w:right w:val="single" w:color="000000" w:sz="8" w:space="0"/>
            </w:tcBorders>
            <w:vAlign w:val="center"/>
          </w:tcPr>
          <w:p w14:paraId="106A56AB">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《投影机能效限定值及能效等级》（GB32028）</w:t>
            </w:r>
          </w:p>
        </w:tc>
      </w:tr>
      <w:tr w14:paraId="305ABE46">
        <w:tblPrEx>
          <w:tblCellMar>
            <w:top w:w="0" w:type="dxa"/>
            <w:left w:w="108" w:type="dxa"/>
            <w:bottom w:w="0" w:type="dxa"/>
            <w:right w:w="108" w:type="dxa"/>
          </w:tblCellMar>
        </w:tblPrEx>
        <w:trPr>
          <w:trHeight w:val="495" w:hRule="atLeast"/>
        </w:trPr>
        <w:tc>
          <w:tcPr>
            <w:tcW w:w="769" w:type="dxa"/>
            <w:tcBorders>
              <w:top w:val="nil"/>
              <w:left w:val="single" w:color="000000" w:sz="8" w:space="0"/>
              <w:bottom w:val="single" w:color="000000" w:sz="8" w:space="0"/>
              <w:right w:val="single" w:color="000000" w:sz="8" w:space="0"/>
            </w:tcBorders>
            <w:vAlign w:val="center"/>
          </w:tcPr>
          <w:p w14:paraId="54A76F29">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w:t>
            </w:r>
          </w:p>
        </w:tc>
        <w:tc>
          <w:tcPr>
            <w:tcW w:w="1023" w:type="dxa"/>
            <w:tcBorders>
              <w:top w:val="nil"/>
              <w:left w:val="nil"/>
              <w:bottom w:val="single" w:color="000000" w:sz="8" w:space="0"/>
              <w:right w:val="single" w:color="000000" w:sz="8" w:space="0"/>
            </w:tcBorders>
            <w:vAlign w:val="center"/>
          </w:tcPr>
          <w:p w14:paraId="711301F5">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A020204多功能一体机</w:t>
            </w:r>
          </w:p>
        </w:tc>
        <w:tc>
          <w:tcPr>
            <w:tcW w:w="1581" w:type="dxa"/>
            <w:tcBorders>
              <w:top w:val="nil"/>
              <w:left w:val="nil"/>
              <w:bottom w:val="single" w:color="000000" w:sz="8" w:space="0"/>
              <w:right w:val="single" w:color="000000" w:sz="8" w:space="0"/>
            </w:tcBorders>
            <w:vAlign w:val="center"/>
          </w:tcPr>
          <w:p w14:paraId="42056A05">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1615" w:type="dxa"/>
            <w:tcBorders>
              <w:top w:val="nil"/>
              <w:left w:val="nil"/>
              <w:bottom w:val="single" w:color="000000" w:sz="8" w:space="0"/>
              <w:right w:val="single" w:color="000000" w:sz="8" w:space="0"/>
            </w:tcBorders>
            <w:vAlign w:val="center"/>
          </w:tcPr>
          <w:p w14:paraId="2328A87B">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4232" w:type="dxa"/>
            <w:tcBorders>
              <w:top w:val="nil"/>
              <w:left w:val="nil"/>
              <w:bottom w:val="single" w:color="000000" w:sz="8" w:space="0"/>
              <w:right w:val="single" w:color="000000" w:sz="8" w:space="0"/>
            </w:tcBorders>
            <w:vAlign w:val="center"/>
          </w:tcPr>
          <w:p w14:paraId="35E511AA">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《复印机、打印机和传真机能效限定值及能效等级》（GB21521）</w:t>
            </w:r>
          </w:p>
        </w:tc>
      </w:tr>
      <w:tr w14:paraId="45BC3164">
        <w:tblPrEx>
          <w:tblCellMar>
            <w:top w:w="0" w:type="dxa"/>
            <w:left w:w="108" w:type="dxa"/>
            <w:bottom w:w="0" w:type="dxa"/>
            <w:right w:w="108" w:type="dxa"/>
          </w:tblCellMar>
        </w:tblPrEx>
        <w:trPr>
          <w:trHeight w:val="495" w:hRule="atLeast"/>
        </w:trPr>
        <w:tc>
          <w:tcPr>
            <w:tcW w:w="769" w:type="dxa"/>
            <w:tcBorders>
              <w:top w:val="nil"/>
              <w:left w:val="single" w:color="000000" w:sz="8" w:space="0"/>
              <w:bottom w:val="single" w:color="000000" w:sz="8" w:space="0"/>
              <w:right w:val="single" w:color="000000" w:sz="8" w:space="0"/>
            </w:tcBorders>
            <w:vAlign w:val="center"/>
          </w:tcPr>
          <w:p w14:paraId="45A8D1FE">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w:t>
            </w:r>
          </w:p>
        </w:tc>
        <w:tc>
          <w:tcPr>
            <w:tcW w:w="1023" w:type="dxa"/>
            <w:tcBorders>
              <w:top w:val="nil"/>
              <w:left w:val="nil"/>
              <w:bottom w:val="single" w:color="000000" w:sz="8" w:space="0"/>
              <w:right w:val="single" w:color="000000" w:sz="8" w:space="0"/>
            </w:tcBorders>
            <w:vAlign w:val="center"/>
          </w:tcPr>
          <w:p w14:paraId="02A24625">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A020519泵</w:t>
            </w:r>
          </w:p>
        </w:tc>
        <w:tc>
          <w:tcPr>
            <w:tcW w:w="1581" w:type="dxa"/>
            <w:tcBorders>
              <w:top w:val="nil"/>
              <w:left w:val="nil"/>
              <w:bottom w:val="single" w:color="000000" w:sz="8" w:space="0"/>
              <w:right w:val="single" w:color="000000" w:sz="8" w:space="0"/>
            </w:tcBorders>
            <w:vAlign w:val="center"/>
          </w:tcPr>
          <w:p w14:paraId="1FD46332">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A02051901离心泵</w:t>
            </w:r>
          </w:p>
        </w:tc>
        <w:tc>
          <w:tcPr>
            <w:tcW w:w="1615" w:type="dxa"/>
            <w:tcBorders>
              <w:top w:val="nil"/>
              <w:left w:val="nil"/>
              <w:bottom w:val="single" w:color="000000" w:sz="8" w:space="0"/>
              <w:right w:val="single" w:color="000000" w:sz="8" w:space="0"/>
            </w:tcBorders>
            <w:vAlign w:val="center"/>
          </w:tcPr>
          <w:p w14:paraId="057721FB">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4232" w:type="dxa"/>
            <w:tcBorders>
              <w:top w:val="nil"/>
              <w:left w:val="nil"/>
              <w:bottom w:val="single" w:color="000000" w:sz="8" w:space="0"/>
              <w:right w:val="single" w:color="000000" w:sz="8" w:space="0"/>
            </w:tcBorders>
            <w:vAlign w:val="center"/>
          </w:tcPr>
          <w:p w14:paraId="11E371B6">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《清水离心泵能效限定值及节能评价值》（GB19762）</w:t>
            </w:r>
          </w:p>
        </w:tc>
      </w:tr>
      <w:tr w14:paraId="540551CA">
        <w:tblPrEx>
          <w:tblCellMar>
            <w:top w:w="0" w:type="dxa"/>
            <w:left w:w="108" w:type="dxa"/>
            <w:bottom w:w="0" w:type="dxa"/>
            <w:right w:w="108" w:type="dxa"/>
          </w:tblCellMar>
        </w:tblPrEx>
        <w:trPr>
          <w:trHeight w:val="735" w:hRule="atLeast"/>
        </w:trPr>
        <w:tc>
          <w:tcPr>
            <w:tcW w:w="769" w:type="dxa"/>
            <w:vMerge w:val="restart"/>
            <w:tcBorders>
              <w:top w:val="nil"/>
              <w:left w:val="single" w:color="000000" w:sz="8" w:space="0"/>
              <w:bottom w:val="single" w:color="000000" w:sz="8" w:space="0"/>
              <w:right w:val="single" w:color="000000" w:sz="8" w:space="0"/>
            </w:tcBorders>
            <w:vAlign w:val="center"/>
          </w:tcPr>
          <w:p w14:paraId="7DC9A4FA">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6</w:t>
            </w:r>
          </w:p>
        </w:tc>
        <w:tc>
          <w:tcPr>
            <w:tcW w:w="1023" w:type="dxa"/>
            <w:vMerge w:val="restart"/>
            <w:tcBorders>
              <w:top w:val="nil"/>
              <w:left w:val="single" w:color="000000" w:sz="8" w:space="0"/>
              <w:bottom w:val="single" w:color="000000" w:sz="8" w:space="0"/>
              <w:right w:val="single" w:color="000000" w:sz="8" w:space="0"/>
            </w:tcBorders>
            <w:vAlign w:val="center"/>
          </w:tcPr>
          <w:p w14:paraId="7315D121">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A020523制冷空调设备</w:t>
            </w:r>
          </w:p>
        </w:tc>
        <w:tc>
          <w:tcPr>
            <w:tcW w:w="1581" w:type="dxa"/>
            <w:vMerge w:val="restart"/>
            <w:tcBorders>
              <w:top w:val="nil"/>
              <w:left w:val="single" w:color="000000" w:sz="8" w:space="0"/>
              <w:bottom w:val="single" w:color="000000" w:sz="8" w:space="0"/>
              <w:right w:val="single" w:color="000000" w:sz="8" w:space="0"/>
            </w:tcBorders>
            <w:vAlign w:val="center"/>
          </w:tcPr>
          <w:p w14:paraId="5D0AB92A">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★A02052301制冷压缩机</w:t>
            </w:r>
          </w:p>
        </w:tc>
        <w:tc>
          <w:tcPr>
            <w:tcW w:w="1615" w:type="dxa"/>
            <w:tcBorders>
              <w:top w:val="nil"/>
              <w:left w:val="nil"/>
              <w:bottom w:val="single" w:color="000000" w:sz="8" w:space="0"/>
              <w:right w:val="single" w:color="000000" w:sz="8" w:space="0"/>
            </w:tcBorders>
            <w:vAlign w:val="center"/>
          </w:tcPr>
          <w:p w14:paraId="366AD4A8">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冷水机组</w:t>
            </w:r>
          </w:p>
        </w:tc>
        <w:tc>
          <w:tcPr>
            <w:tcW w:w="4232" w:type="dxa"/>
            <w:tcBorders>
              <w:top w:val="nil"/>
              <w:left w:val="nil"/>
              <w:bottom w:val="single" w:color="000000" w:sz="8" w:space="0"/>
              <w:right w:val="single" w:color="000000" w:sz="8" w:space="0"/>
            </w:tcBorders>
            <w:vAlign w:val="center"/>
          </w:tcPr>
          <w:p w14:paraId="79FAA956">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《冷水机组能效限定值及能效等级》（GB19577），《低环境温度空气源热泵（冷水）机组能效限定值及能效等级》（GB37480）</w:t>
            </w:r>
          </w:p>
        </w:tc>
      </w:tr>
      <w:tr w14:paraId="6A374ED5">
        <w:tblPrEx>
          <w:tblCellMar>
            <w:top w:w="0" w:type="dxa"/>
            <w:left w:w="108" w:type="dxa"/>
            <w:bottom w:w="0" w:type="dxa"/>
            <w:right w:w="108" w:type="dxa"/>
          </w:tblCellMar>
        </w:tblPrEx>
        <w:trPr>
          <w:trHeight w:val="495" w:hRule="atLeast"/>
        </w:trPr>
        <w:tc>
          <w:tcPr>
            <w:tcW w:w="769" w:type="dxa"/>
            <w:vMerge w:val="continue"/>
            <w:tcBorders>
              <w:top w:val="nil"/>
              <w:left w:val="single" w:color="000000" w:sz="8" w:space="0"/>
              <w:bottom w:val="single" w:color="000000" w:sz="8" w:space="0"/>
              <w:right w:val="single" w:color="000000" w:sz="8" w:space="0"/>
            </w:tcBorders>
            <w:vAlign w:val="center"/>
          </w:tcPr>
          <w:p w14:paraId="3493A48D">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05613036">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vMerge w:val="continue"/>
            <w:tcBorders>
              <w:top w:val="nil"/>
              <w:left w:val="single" w:color="000000" w:sz="8" w:space="0"/>
              <w:bottom w:val="single" w:color="000000" w:sz="8" w:space="0"/>
              <w:right w:val="single" w:color="000000" w:sz="8" w:space="0"/>
            </w:tcBorders>
            <w:vAlign w:val="center"/>
          </w:tcPr>
          <w:p w14:paraId="4329285D">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615" w:type="dxa"/>
            <w:tcBorders>
              <w:top w:val="nil"/>
              <w:left w:val="nil"/>
              <w:bottom w:val="single" w:color="000000" w:sz="8" w:space="0"/>
              <w:right w:val="single" w:color="000000" w:sz="8" w:space="0"/>
            </w:tcBorders>
            <w:vAlign w:val="center"/>
          </w:tcPr>
          <w:p w14:paraId="2619521E">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水源热泵机组</w:t>
            </w:r>
          </w:p>
        </w:tc>
        <w:tc>
          <w:tcPr>
            <w:tcW w:w="4232" w:type="dxa"/>
            <w:tcBorders>
              <w:top w:val="nil"/>
              <w:left w:val="nil"/>
              <w:bottom w:val="single" w:color="000000" w:sz="8" w:space="0"/>
              <w:right w:val="single" w:color="000000" w:sz="8" w:space="0"/>
            </w:tcBorders>
            <w:vAlign w:val="center"/>
          </w:tcPr>
          <w:p w14:paraId="7F5FEEAB">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《水（地）源热泵机组能效限定值及能效等级》（GB30721）</w:t>
            </w:r>
          </w:p>
        </w:tc>
      </w:tr>
      <w:tr w14:paraId="4EA86B27">
        <w:tblPrEx>
          <w:tblCellMar>
            <w:top w:w="0" w:type="dxa"/>
            <w:left w:w="108" w:type="dxa"/>
            <w:bottom w:w="0" w:type="dxa"/>
            <w:right w:w="108" w:type="dxa"/>
          </w:tblCellMar>
        </w:tblPrEx>
        <w:trPr>
          <w:trHeight w:val="495" w:hRule="atLeast"/>
        </w:trPr>
        <w:tc>
          <w:tcPr>
            <w:tcW w:w="769" w:type="dxa"/>
            <w:vMerge w:val="continue"/>
            <w:tcBorders>
              <w:top w:val="nil"/>
              <w:left w:val="single" w:color="000000" w:sz="8" w:space="0"/>
              <w:bottom w:val="single" w:color="000000" w:sz="8" w:space="0"/>
              <w:right w:val="single" w:color="000000" w:sz="8" w:space="0"/>
            </w:tcBorders>
            <w:vAlign w:val="center"/>
          </w:tcPr>
          <w:p w14:paraId="424B79AC">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2E27B8B9">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vMerge w:val="continue"/>
            <w:tcBorders>
              <w:top w:val="nil"/>
              <w:left w:val="single" w:color="000000" w:sz="8" w:space="0"/>
              <w:bottom w:val="single" w:color="000000" w:sz="8" w:space="0"/>
              <w:right w:val="single" w:color="000000" w:sz="8" w:space="0"/>
            </w:tcBorders>
            <w:vAlign w:val="center"/>
          </w:tcPr>
          <w:p w14:paraId="7B82367F">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615" w:type="dxa"/>
            <w:tcBorders>
              <w:top w:val="nil"/>
              <w:left w:val="nil"/>
              <w:bottom w:val="single" w:color="000000" w:sz="8" w:space="0"/>
              <w:right w:val="single" w:color="000000" w:sz="8" w:space="0"/>
            </w:tcBorders>
            <w:vAlign w:val="center"/>
          </w:tcPr>
          <w:p w14:paraId="24B35F88">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溴化锂吸收式冷水机组</w:t>
            </w:r>
          </w:p>
        </w:tc>
        <w:tc>
          <w:tcPr>
            <w:tcW w:w="4232" w:type="dxa"/>
            <w:tcBorders>
              <w:top w:val="nil"/>
              <w:left w:val="nil"/>
              <w:bottom w:val="single" w:color="000000" w:sz="8" w:space="0"/>
              <w:right w:val="single" w:color="000000" w:sz="8" w:space="0"/>
            </w:tcBorders>
            <w:vAlign w:val="center"/>
          </w:tcPr>
          <w:p w14:paraId="59C04E60">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《溴化锂吸收式冷水机组能效限定值及能效等级》（GB29540）</w:t>
            </w:r>
          </w:p>
        </w:tc>
      </w:tr>
      <w:tr w14:paraId="0EBA6BEA">
        <w:tblPrEx>
          <w:tblCellMar>
            <w:top w:w="0" w:type="dxa"/>
            <w:left w:w="108" w:type="dxa"/>
            <w:bottom w:w="0" w:type="dxa"/>
            <w:right w:w="108" w:type="dxa"/>
          </w:tblCellMar>
        </w:tblPrEx>
        <w:trPr>
          <w:trHeight w:val="735" w:hRule="atLeast"/>
        </w:trPr>
        <w:tc>
          <w:tcPr>
            <w:tcW w:w="769" w:type="dxa"/>
            <w:vMerge w:val="continue"/>
            <w:tcBorders>
              <w:top w:val="nil"/>
              <w:left w:val="single" w:color="000000" w:sz="8" w:space="0"/>
              <w:bottom w:val="single" w:color="000000" w:sz="8" w:space="0"/>
              <w:right w:val="single" w:color="000000" w:sz="8" w:space="0"/>
            </w:tcBorders>
            <w:vAlign w:val="center"/>
          </w:tcPr>
          <w:p w14:paraId="6632DC27">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36B5B253">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vMerge w:val="restart"/>
            <w:tcBorders>
              <w:top w:val="nil"/>
              <w:left w:val="single" w:color="000000" w:sz="8" w:space="0"/>
              <w:bottom w:val="single" w:color="000000" w:sz="8" w:space="0"/>
              <w:right w:val="single" w:color="000000" w:sz="8" w:space="0"/>
            </w:tcBorders>
            <w:vAlign w:val="center"/>
          </w:tcPr>
          <w:p w14:paraId="2565EFFB">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★A02052305空调机组</w:t>
            </w:r>
          </w:p>
        </w:tc>
        <w:tc>
          <w:tcPr>
            <w:tcW w:w="1615" w:type="dxa"/>
            <w:tcBorders>
              <w:top w:val="nil"/>
              <w:left w:val="nil"/>
              <w:bottom w:val="single" w:color="000000" w:sz="8" w:space="0"/>
              <w:right w:val="single" w:color="000000" w:sz="8" w:space="0"/>
            </w:tcBorders>
            <w:vAlign w:val="center"/>
          </w:tcPr>
          <w:p w14:paraId="11994029">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多联式空调（热泵）机组(制冷量&gt;14000W)</w:t>
            </w:r>
          </w:p>
        </w:tc>
        <w:tc>
          <w:tcPr>
            <w:tcW w:w="4232" w:type="dxa"/>
            <w:tcBorders>
              <w:top w:val="nil"/>
              <w:left w:val="nil"/>
              <w:bottom w:val="single" w:color="000000" w:sz="8" w:space="0"/>
              <w:right w:val="single" w:color="000000" w:sz="8" w:space="0"/>
            </w:tcBorders>
            <w:vAlign w:val="center"/>
          </w:tcPr>
          <w:p w14:paraId="0715EE8F">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《多联式空调（热泵）机组能效限定值及能源效率等级》（GB21454）</w:t>
            </w:r>
          </w:p>
        </w:tc>
      </w:tr>
      <w:tr w14:paraId="2BFBF66D">
        <w:tblPrEx>
          <w:tblCellMar>
            <w:top w:w="0" w:type="dxa"/>
            <w:left w:w="108" w:type="dxa"/>
            <w:bottom w:w="0" w:type="dxa"/>
            <w:right w:w="108" w:type="dxa"/>
          </w:tblCellMar>
        </w:tblPrEx>
        <w:trPr>
          <w:trHeight w:val="735" w:hRule="atLeast"/>
        </w:trPr>
        <w:tc>
          <w:tcPr>
            <w:tcW w:w="769" w:type="dxa"/>
            <w:vMerge w:val="continue"/>
            <w:tcBorders>
              <w:top w:val="nil"/>
              <w:left w:val="single" w:color="000000" w:sz="8" w:space="0"/>
              <w:bottom w:val="single" w:color="000000" w:sz="8" w:space="0"/>
              <w:right w:val="single" w:color="000000" w:sz="8" w:space="0"/>
            </w:tcBorders>
            <w:vAlign w:val="center"/>
          </w:tcPr>
          <w:p w14:paraId="2FC09EDA">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2E2D29D3">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vMerge w:val="continue"/>
            <w:tcBorders>
              <w:top w:val="nil"/>
              <w:left w:val="single" w:color="000000" w:sz="8" w:space="0"/>
              <w:bottom w:val="single" w:color="000000" w:sz="8" w:space="0"/>
              <w:right w:val="single" w:color="000000" w:sz="8" w:space="0"/>
            </w:tcBorders>
            <w:vAlign w:val="center"/>
          </w:tcPr>
          <w:p w14:paraId="0CED4670">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615" w:type="dxa"/>
            <w:tcBorders>
              <w:top w:val="nil"/>
              <w:left w:val="nil"/>
              <w:bottom w:val="single" w:color="000000" w:sz="8" w:space="0"/>
              <w:right w:val="single" w:color="000000" w:sz="8" w:space="0"/>
            </w:tcBorders>
            <w:vAlign w:val="center"/>
          </w:tcPr>
          <w:p w14:paraId="535E217A">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单元式空气调节机(制冷量&gt;14000W</w:t>
            </w:r>
          </w:p>
        </w:tc>
        <w:tc>
          <w:tcPr>
            <w:tcW w:w="4232" w:type="dxa"/>
            <w:tcBorders>
              <w:top w:val="nil"/>
              <w:left w:val="nil"/>
              <w:bottom w:val="single" w:color="000000" w:sz="8" w:space="0"/>
              <w:right w:val="single" w:color="000000" w:sz="8" w:space="0"/>
            </w:tcBorders>
            <w:vAlign w:val="center"/>
          </w:tcPr>
          <w:p w14:paraId="2A48239B">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《单元式空气调节机能效限定值及能效等级》（GB19576）《风管送风式空调机组能效限定值及能效等级》（GB37479）</w:t>
            </w:r>
          </w:p>
        </w:tc>
      </w:tr>
      <w:tr w14:paraId="58127507">
        <w:tblPrEx>
          <w:tblCellMar>
            <w:top w:w="0" w:type="dxa"/>
            <w:left w:w="108" w:type="dxa"/>
            <w:bottom w:w="0" w:type="dxa"/>
            <w:right w:w="108" w:type="dxa"/>
          </w:tblCellMar>
        </w:tblPrEx>
        <w:trPr>
          <w:trHeight w:val="735" w:hRule="atLeast"/>
        </w:trPr>
        <w:tc>
          <w:tcPr>
            <w:tcW w:w="769" w:type="dxa"/>
            <w:vMerge w:val="continue"/>
            <w:tcBorders>
              <w:top w:val="nil"/>
              <w:left w:val="single" w:color="000000" w:sz="8" w:space="0"/>
              <w:bottom w:val="single" w:color="000000" w:sz="8" w:space="0"/>
              <w:right w:val="single" w:color="000000" w:sz="8" w:space="0"/>
            </w:tcBorders>
            <w:vAlign w:val="center"/>
          </w:tcPr>
          <w:p w14:paraId="50CDC43D">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3AAD9C7C">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tcBorders>
              <w:top w:val="nil"/>
              <w:left w:val="nil"/>
              <w:bottom w:val="single" w:color="000000" w:sz="8" w:space="0"/>
              <w:right w:val="single" w:color="000000" w:sz="8" w:space="0"/>
            </w:tcBorders>
            <w:vAlign w:val="center"/>
          </w:tcPr>
          <w:p w14:paraId="4BE3D8A8">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★A02052309专用制冷、空调设备</w:t>
            </w:r>
          </w:p>
        </w:tc>
        <w:tc>
          <w:tcPr>
            <w:tcW w:w="1615" w:type="dxa"/>
            <w:tcBorders>
              <w:top w:val="nil"/>
              <w:left w:val="nil"/>
              <w:bottom w:val="single" w:color="000000" w:sz="8" w:space="0"/>
              <w:right w:val="single" w:color="000000" w:sz="8" w:space="0"/>
            </w:tcBorders>
            <w:vAlign w:val="center"/>
          </w:tcPr>
          <w:p w14:paraId="270EE8C7">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机房空调</w:t>
            </w:r>
          </w:p>
        </w:tc>
        <w:tc>
          <w:tcPr>
            <w:tcW w:w="4232" w:type="dxa"/>
            <w:tcBorders>
              <w:top w:val="nil"/>
              <w:left w:val="nil"/>
              <w:bottom w:val="single" w:color="000000" w:sz="8" w:space="0"/>
              <w:right w:val="single" w:color="000000" w:sz="8" w:space="0"/>
            </w:tcBorders>
            <w:vAlign w:val="center"/>
          </w:tcPr>
          <w:p w14:paraId="11DB6F48">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《单元式空气调节机能效限定值及能效等级》（GB19576）</w:t>
            </w:r>
          </w:p>
        </w:tc>
      </w:tr>
      <w:tr w14:paraId="68D2A17F">
        <w:tblPrEx>
          <w:tblCellMar>
            <w:top w:w="0" w:type="dxa"/>
            <w:left w:w="108" w:type="dxa"/>
            <w:bottom w:w="0" w:type="dxa"/>
            <w:right w:w="108" w:type="dxa"/>
          </w:tblCellMar>
        </w:tblPrEx>
        <w:trPr>
          <w:trHeight w:val="735" w:hRule="atLeast"/>
        </w:trPr>
        <w:tc>
          <w:tcPr>
            <w:tcW w:w="769" w:type="dxa"/>
            <w:vMerge w:val="continue"/>
            <w:tcBorders>
              <w:top w:val="nil"/>
              <w:left w:val="single" w:color="000000" w:sz="8" w:space="0"/>
              <w:bottom w:val="single" w:color="000000" w:sz="8" w:space="0"/>
              <w:right w:val="single" w:color="000000" w:sz="8" w:space="0"/>
            </w:tcBorders>
            <w:vAlign w:val="center"/>
          </w:tcPr>
          <w:p w14:paraId="7F4CF519">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4A3E4593">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tcBorders>
              <w:top w:val="nil"/>
              <w:left w:val="nil"/>
              <w:bottom w:val="single" w:color="000000" w:sz="8" w:space="0"/>
              <w:right w:val="single" w:color="000000" w:sz="8" w:space="0"/>
            </w:tcBorders>
            <w:vAlign w:val="center"/>
          </w:tcPr>
          <w:p w14:paraId="051D8BA8">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A02052399其他制冷空调设备</w:t>
            </w:r>
          </w:p>
        </w:tc>
        <w:tc>
          <w:tcPr>
            <w:tcW w:w="1615" w:type="dxa"/>
            <w:tcBorders>
              <w:top w:val="nil"/>
              <w:left w:val="nil"/>
              <w:bottom w:val="single" w:color="000000" w:sz="8" w:space="0"/>
              <w:right w:val="single" w:color="000000" w:sz="8" w:space="0"/>
            </w:tcBorders>
            <w:vAlign w:val="center"/>
          </w:tcPr>
          <w:p w14:paraId="5A56CE2A">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冷却塔</w:t>
            </w:r>
          </w:p>
        </w:tc>
        <w:tc>
          <w:tcPr>
            <w:tcW w:w="4232" w:type="dxa"/>
            <w:tcBorders>
              <w:top w:val="nil"/>
              <w:left w:val="nil"/>
              <w:bottom w:val="single" w:color="000000" w:sz="8" w:space="0"/>
              <w:right w:val="single" w:color="000000" w:sz="8" w:space="0"/>
            </w:tcBorders>
            <w:vAlign w:val="center"/>
          </w:tcPr>
          <w:p w14:paraId="0D989F5C">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《机械通风冷却塔第1部分：中小型开式冷却塔》（GB/T7190.1）；《机械通风冷却塔第2部分：大型开式冷却塔》（GB/T7190.2）</w:t>
            </w:r>
          </w:p>
        </w:tc>
      </w:tr>
      <w:tr w14:paraId="266CFF78">
        <w:tblPrEx>
          <w:tblCellMar>
            <w:top w:w="0" w:type="dxa"/>
            <w:left w:w="108" w:type="dxa"/>
            <w:bottom w:w="0" w:type="dxa"/>
            <w:right w:w="108" w:type="dxa"/>
          </w:tblCellMar>
        </w:tblPrEx>
        <w:trPr>
          <w:trHeight w:val="495" w:hRule="atLeast"/>
        </w:trPr>
        <w:tc>
          <w:tcPr>
            <w:tcW w:w="769" w:type="dxa"/>
            <w:tcBorders>
              <w:top w:val="single" w:color="000000" w:sz="8" w:space="0"/>
              <w:left w:val="single" w:color="000000" w:sz="8" w:space="0"/>
              <w:bottom w:val="single" w:color="000000" w:sz="8" w:space="0"/>
              <w:right w:val="single" w:color="000000" w:sz="8" w:space="0"/>
            </w:tcBorders>
            <w:vAlign w:val="center"/>
          </w:tcPr>
          <w:p w14:paraId="61F5D708">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7</w:t>
            </w:r>
          </w:p>
        </w:tc>
        <w:tc>
          <w:tcPr>
            <w:tcW w:w="1023" w:type="dxa"/>
            <w:tcBorders>
              <w:top w:val="single" w:color="000000" w:sz="8" w:space="0"/>
              <w:left w:val="single" w:color="000000" w:sz="8" w:space="0"/>
              <w:bottom w:val="single" w:color="000000" w:sz="8" w:space="0"/>
              <w:right w:val="single" w:color="000000" w:sz="8" w:space="0"/>
            </w:tcBorders>
            <w:vAlign w:val="center"/>
          </w:tcPr>
          <w:p w14:paraId="0798CC59">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A020601电机</w:t>
            </w:r>
          </w:p>
        </w:tc>
        <w:tc>
          <w:tcPr>
            <w:tcW w:w="1581" w:type="dxa"/>
            <w:tcBorders>
              <w:top w:val="single" w:color="000000" w:sz="8" w:space="0"/>
              <w:left w:val="single" w:color="000000" w:sz="8" w:space="0"/>
              <w:bottom w:val="single" w:color="000000" w:sz="8" w:space="0"/>
              <w:right w:val="single" w:color="000000" w:sz="8" w:space="0"/>
            </w:tcBorders>
            <w:vAlign w:val="center"/>
          </w:tcPr>
          <w:p w14:paraId="040EDC2C">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1615" w:type="dxa"/>
            <w:tcBorders>
              <w:top w:val="single" w:color="000000" w:sz="8" w:space="0"/>
              <w:left w:val="single" w:color="000000" w:sz="8" w:space="0"/>
              <w:bottom w:val="single" w:color="000000" w:sz="8" w:space="0"/>
              <w:right w:val="single" w:color="000000" w:sz="8" w:space="0"/>
            </w:tcBorders>
            <w:vAlign w:val="center"/>
          </w:tcPr>
          <w:p w14:paraId="1DC66F1B">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4232" w:type="dxa"/>
            <w:tcBorders>
              <w:top w:val="single" w:color="000000" w:sz="8" w:space="0"/>
              <w:left w:val="single" w:color="000000" w:sz="8" w:space="0"/>
              <w:bottom w:val="single" w:color="000000" w:sz="8" w:space="0"/>
              <w:right w:val="single" w:color="000000" w:sz="8" w:space="0"/>
            </w:tcBorders>
            <w:vAlign w:val="center"/>
          </w:tcPr>
          <w:p w14:paraId="112D15B3">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《中小型三相异步电动机能效限定值及能效等级》（GB18613）</w:t>
            </w:r>
          </w:p>
        </w:tc>
      </w:tr>
      <w:tr w14:paraId="14412360">
        <w:tblPrEx>
          <w:tblCellMar>
            <w:top w:w="0" w:type="dxa"/>
            <w:left w:w="108" w:type="dxa"/>
            <w:bottom w:w="0" w:type="dxa"/>
            <w:right w:w="108" w:type="dxa"/>
          </w:tblCellMar>
        </w:tblPrEx>
        <w:trPr>
          <w:trHeight w:val="495" w:hRule="atLeast"/>
        </w:trPr>
        <w:tc>
          <w:tcPr>
            <w:tcW w:w="769" w:type="dxa"/>
            <w:tcBorders>
              <w:top w:val="single" w:color="000000" w:sz="8" w:space="0"/>
              <w:left w:val="single" w:color="000000" w:sz="8" w:space="0"/>
              <w:bottom w:val="single" w:color="000000" w:sz="8" w:space="0"/>
              <w:right w:val="single" w:color="000000" w:sz="8" w:space="0"/>
            </w:tcBorders>
            <w:vAlign w:val="center"/>
          </w:tcPr>
          <w:p w14:paraId="1BBC8E40">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8</w:t>
            </w:r>
          </w:p>
        </w:tc>
        <w:tc>
          <w:tcPr>
            <w:tcW w:w="1023" w:type="dxa"/>
            <w:tcBorders>
              <w:top w:val="single" w:color="000000" w:sz="8" w:space="0"/>
              <w:left w:val="nil"/>
              <w:bottom w:val="single" w:color="000000" w:sz="8" w:space="0"/>
              <w:right w:val="single" w:color="000000" w:sz="8" w:space="0"/>
            </w:tcBorders>
            <w:vAlign w:val="center"/>
          </w:tcPr>
          <w:p w14:paraId="46552266">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A020602变压器</w:t>
            </w:r>
          </w:p>
        </w:tc>
        <w:tc>
          <w:tcPr>
            <w:tcW w:w="1581" w:type="dxa"/>
            <w:tcBorders>
              <w:top w:val="single" w:color="000000" w:sz="8" w:space="0"/>
              <w:left w:val="nil"/>
              <w:bottom w:val="single" w:color="000000" w:sz="8" w:space="0"/>
              <w:right w:val="single" w:color="000000" w:sz="8" w:space="0"/>
            </w:tcBorders>
            <w:vAlign w:val="center"/>
          </w:tcPr>
          <w:p w14:paraId="2B263781">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配电变压器</w:t>
            </w:r>
          </w:p>
        </w:tc>
        <w:tc>
          <w:tcPr>
            <w:tcW w:w="1615" w:type="dxa"/>
            <w:tcBorders>
              <w:top w:val="single" w:color="000000" w:sz="8" w:space="0"/>
              <w:left w:val="nil"/>
              <w:bottom w:val="single" w:color="000000" w:sz="8" w:space="0"/>
              <w:right w:val="single" w:color="000000" w:sz="8" w:space="0"/>
            </w:tcBorders>
            <w:vAlign w:val="center"/>
          </w:tcPr>
          <w:p w14:paraId="3FB187F5">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4232" w:type="dxa"/>
            <w:tcBorders>
              <w:top w:val="single" w:color="000000" w:sz="8" w:space="0"/>
              <w:left w:val="nil"/>
              <w:bottom w:val="single" w:color="000000" w:sz="8" w:space="0"/>
              <w:right w:val="single" w:color="000000" w:sz="8" w:space="0"/>
            </w:tcBorders>
            <w:vAlign w:val="center"/>
          </w:tcPr>
          <w:p w14:paraId="48C064D7">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《三相配电变压器能效限定值及能效等级》（GB20052）</w:t>
            </w:r>
          </w:p>
        </w:tc>
      </w:tr>
      <w:tr w14:paraId="3D70B01D">
        <w:tblPrEx>
          <w:tblCellMar>
            <w:top w:w="0" w:type="dxa"/>
            <w:left w:w="108" w:type="dxa"/>
            <w:bottom w:w="0" w:type="dxa"/>
            <w:right w:w="108" w:type="dxa"/>
          </w:tblCellMar>
        </w:tblPrEx>
        <w:trPr>
          <w:trHeight w:val="495" w:hRule="atLeast"/>
        </w:trPr>
        <w:tc>
          <w:tcPr>
            <w:tcW w:w="769" w:type="dxa"/>
            <w:tcBorders>
              <w:top w:val="nil"/>
              <w:left w:val="single" w:color="000000" w:sz="8" w:space="0"/>
              <w:bottom w:val="single" w:color="000000" w:sz="8" w:space="0"/>
              <w:right w:val="single" w:color="000000" w:sz="8" w:space="0"/>
            </w:tcBorders>
            <w:vAlign w:val="center"/>
          </w:tcPr>
          <w:p w14:paraId="0412494D">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9</w:t>
            </w:r>
          </w:p>
        </w:tc>
        <w:tc>
          <w:tcPr>
            <w:tcW w:w="1023" w:type="dxa"/>
            <w:tcBorders>
              <w:top w:val="nil"/>
              <w:left w:val="nil"/>
              <w:bottom w:val="single" w:color="000000" w:sz="8" w:space="0"/>
              <w:right w:val="single" w:color="000000" w:sz="8" w:space="0"/>
            </w:tcBorders>
            <w:vAlign w:val="center"/>
          </w:tcPr>
          <w:p w14:paraId="00B4BAE8">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★A020609镇流器</w:t>
            </w:r>
          </w:p>
        </w:tc>
        <w:tc>
          <w:tcPr>
            <w:tcW w:w="1581" w:type="dxa"/>
            <w:tcBorders>
              <w:top w:val="nil"/>
              <w:left w:val="nil"/>
              <w:bottom w:val="single" w:color="000000" w:sz="8" w:space="0"/>
              <w:right w:val="single" w:color="000000" w:sz="8" w:space="0"/>
            </w:tcBorders>
            <w:vAlign w:val="center"/>
          </w:tcPr>
          <w:p w14:paraId="6C8B291E">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管型荧光灯镇流器</w:t>
            </w:r>
          </w:p>
        </w:tc>
        <w:tc>
          <w:tcPr>
            <w:tcW w:w="1615" w:type="dxa"/>
            <w:tcBorders>
              <w:top w:val="nil"/>
              <w:left w:val="nil"/>
              <w:bottom w:val="single" w:color="000000" w:sz="8" w:space="0"/>
              <w:right w:val="single" w:color="000000" w:sz="8" w:space="0"/>
            </w:tcBorders>
            <w:vAlign w:val="center"/>
          </w:tcPr>
          <w:p w14:paraId="1FE48D69">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4232" w:type="dxa"/>
            <w:tcBorders>
              <w:top w:val="nil"/>
              <w:left w:val="nil"/>
              <w:bottom w:val="single" w:color="000000" w:sz="8" w:space="0"/>
              <w:right w:val="single" w:color="000000" w:sz="8" w:space="0"/>
            </w:tcBorders>
            <w:vAlign w:val="center"/>
          </w:tcPr>
          <w:p w14:paraId="68BF78A1">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《管形荧光灯镇流器能效限定值及能效等级》（GB17896）</w:t>
            </w:r>
          </w:p>
        </w:tc>
      </w:tr>
      <w:tr w14:paraId="7ED26524">
        <w:tblPrEx>
          <w:tblCellMar>
            <w:top w:w="0" w:type="dxa"/>
            <w:left w:w="108" w:type="dxa"/>
            <w:bottom w:w="0" w:type="dxa"/>
            <w:right w:w="108" w:type="dxa"/>
          </w:tblCellMar>
        </w:tblPrEx>
        <w:trPr>
          <w:trHeight w:val="495" w:hRule="atLeast"/>
        </w:trPr>
        <w:tc>
          <w:tcPr>
            <w:tcW w:w="769" w:type="dxa"/>
            <w:vMerge w:val="restart"/>
            <w:tcBorders>
              <w:top w:val="nil"/>
              <w:left w:val="single" w:color="000000" w:sz="8" w:space="0"/>
              <w:bottom w:val="single" w:color="000000" w:sz="8" w:space="0"/>
              <w:right w:val="single" w:color="000000" w:sz="8" w:space="0"/>
            </w:tcBorders>
            <w:vAlign w:val="center"/>
          </w:tcPr>
          <w:p w14:paraId="7A3596B0">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10</w:t>
            </w:r>
          </w:p>
        </w:tc>
        <w:tc>
          <w:tcPr>
            <w:tcW w:w="1023" w:type="dxa"/>
            <w:vMerge w:val="restart"/>
            <w:tcBorders>
              <w:top w:val="nil"/>
              <w:left w:val="single" w:color="000000" w:sz="8" w:space="0"/>
              <w:bottom w:val="single" w:color="000000" w:sz="8" w:space="0"/>
              <w:right w:val="single" w:color="000000" w:sz="8" w:space="0"/>
            </w:tcBorders>
            <w:vAlign w:val="center"/>
          </w:tcPr>
          <w:p w14:paraId="41A3998F">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A020618生活用电器</w:t>
            </w:r>
          </w:p>
        </w:tc>
        <w:tc>
          <w:tcPr>
            <w:tcW w:w="1581" w:type="dxa"/>
            <w:tcBorders>
              <w:top w:val="nil"/>
              <w:left w:val="nil"/>
              <w:bottom w:val="single" w:color="000000" w:sz="8" w:space="0"/>
              <w:right w:val="single" w:color="000000" w:sz="8" w:space="0"/>
            </w:tcBorders>
            <w:vAlign w:val="center"/>
          </w:tcPr>
          <w:p w14:paraId="5B473F0F">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A0206180101电冰箱</w:t>
            </w:r>
          </w:p>
        </w:tc>
        <w:tc>
          <w:tcPr>
            <w:tcW w:w="1615" w:type="dxa"/>
            <w:tcBorders>
              <w:top w:val="nil"/>
              <w:left w:val="nil"/>
              <w:bottom w:val="single" w:color="000000" w:sz="8" w:space="0"/>
              <w:right w:val="single" w:color="000000" w:sz="8" w:space="0"/>
            </w:tcBorders>
            <w:vAlign w:val="center"/>
          </w:tcPr>
          <w:p w14:paraId="5CDD6036">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4232" w:type="dxa"/>
            <w:tcBorders>
              <w:top w:val="nil"/>
              <w:left w:val="nil"/>
              <w:bottom w:val="single" w:color="000000" w:sz="8" w:space="0"/>
              <w:right w:val="single" w:color="000000" w:sz="8" w:space="0"/>
            </w:tcBorders>
            <w:vAlign w:val="center"/>
          </w:tcPr>
          <w:p w14:paraId="302C06A9">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《家用电冰箱耗电量限定值及能效等级》（GB 12021.2）</w:t>
            </w:r>
          </w:p>
        </w:tc>
      </w:tr>
      <w:tr w14:paraId="64C7B31B">
        <w:tblPrEx>
          <w:tblCellMar>
            <w:top w:w="0" w:type="dxa"/>
            <w:left w:w="108" w:type="dxa"/>
            <w:bottom w:w="0" w:type="dxa"/>
            <w:right w:w="108" w:type="dxa"/>
          </w:tblCellMar>
        </w:tblPrEx>
        <w:trPr>
          <w:trHeight w:val="975" w:hRule="atLeast"/>
        </w:trPr>
        <w:tc>
          <w:tcPr>
            <w:tcW w:w="769" w:type="dxa"/>
            <w:vMerge w:val="continue"/>
            <w:tcBorders>
              <w:top w:val="nil"/>
              <w:left w:val="single" w:color="000000" w:sz="8" w:space="0"/>
              <w:bottom w:val="single" w:color="000000" w:sz="8" w:space="0"/>
              <w:right w:val="single" w:color="000000" w:sz="8" w:space="0"/>
            </w:tcBorders>
            <w:vAlign w:val="center"/>
          </w:tcPr>
          <w:p w14:paraId="6DEAA262">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606CDC76">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vMerge w:val="restart"/>
            <w:tcBorders>
              <w:top w:val="nil"/>
              <w:left w:val="single" w:color="000000" w:sz="8" w:space="0"/>
              <w:bottom w:val="single" w:color="000000" w:sz="8" w:space="0"/>
              <w:right w:val="single" w:color="000000" w:sz="8" w:space="0"/>
            </w:tcBorders>
            <w:vAlign w:val="center"/>
          </w:tcPr>
          <w:p w14:paraId="63AFEFA5">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★A0206180203空调机</w:t>
            </w:r>
          </w:p>
        </w:tc>
        <w:tc>
          <w:tcPr>
            <w:tcW w:w="1615" w:type="dxa"/>
            <w:tcBorders>
              <w:top w:val="nil"/>
              <w:left w:val="nil"/>
              <w:bottom w:val="single" w:color="000000" w:sz="8" w:space="0"/>
              <w:right w:val="single" w:color="000000" w:sz="8" w:space="0"/>
            </w:tcBorders>
            <w:vAlign w:val="center"/>
          </w:tcPr>
          <w:p w14:paraId="71EA0EC5">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房间空气调节器</w:t>
            </w:r>
          </w:p>
        </w:tc>
        <w:tc>
          <w:tcPr>
            <w:tcW w:w="4232" w:type="dxa"/>
            <w:tcBorders>
              <w:top w:val="nil"/>
              <w:left w:val="nil"/>
              <w:bottom w:val="single" w:color="000000" w:sz="8" w:space="0"/>
              <w:right w:val="single" w:color="000000" w:sz="8" w:space="0"/>
            </w:tcBorders>
            <w:vAlign w:val="center"/>
          </w:tcPr>
          <w:p w14:paraId="4A98A852">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《转速可控型房间空气调节器能效限定值及能效等级》（GB21455-2013），待2019年修订发布后，按《房间空气调节器能效限定值及能效等级》（GB21455-2019实施。</w:t>
            </w:r>
          </w:p>
        </w:tc>
      </w:tr>
      <w:tr w14:paraId="0D313D98">
        <w:tblPrEx>
          <w:tblCellMar>
            <w:top w:w="0" w:type="dxa"/>
            <w:left w:w="108" w:type="dxa"/>
            <w:bottom w:w="0" w:type="dxa"/>
            <w:right w:w="108" w:type="dxa"/>
          </w:tblCellMar>
        </w:tblPrEx>
        <w:trPr>
          <w:trHeight w:val="735" w:hRule="atLeast"/>
        </w:trPr>
        <w:tc>
          <w:tcPr>
            <w:tcW w:w="769" w:type="dxa"/>
            <w:vMerge w:val="continue"/>
            <w:tcBorders>
              <w:top w:val="nil"/>
              <w:left w:val="single" w:color="000000" w:sz="8" w:space="0"/>
              <w:bottom w:val="single" w:color="000000" w:sz="8" w:space="0"/>
              <w:right w:val="single" w:color="000000" w:sz="8" w:space="0"/>
            </w:tcBorders>
            <w:vAlign w:val="center"/>
          </w:tcPr>
          <w:p w14:paraId="78842668">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344E5CDC">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vMerge w:val="continue"/>
            <w:tcBorders>
              <w:top w:val="nil"/>
              <w:left w:val="single" w:color="000000" w:sz="8" w:space="0"/>
              <w:bottom w:val="single" w:color="000000" w:sz="8" w:space="0"/>
              <w:right w:val="single" w:color="000000" w:sz="8" w:space="0"/>
            </w:tcBorders>
            <w:vAlign w:val="center"/>
          </w:tcPr>
          <w:p w14:paraId="65A891E2">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615" w:type="dxa"/>
            <w:tcBorders>
              <w:top w:val="nil"/>
              <w:left w:val="nil"/>
              <w:bottom w:val="single" w:color="000000" w:sz="8" w:space="0"/>
              <w:right w:val="single" w:color="000000" w:sz="8" w:space="0"/>
            </w:tcBorders>
            <w:vAlign w:val="center"/>
          </w:tcPr>
          <w:p w14:paraId="427735FD">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多联式空调（热泵）机组（制冷量≤ 14000W）</w:t>
            </w:r>
          </w:p>
        </w:tc>
        <w:tc>
          <w:tcPr>
            <w:tcW w:w="4232" w:type="dxa"/>
            <w:tcBorders>
              <w:top w:val="nil"/>
              <w:left w:val="nil"/>
              <w:bottom w:val="single" w:color="000000" w:sz="8" w:space="0"/>
              <w:right w:val="single" w:color="000000" w:sz="8" w:space="0"/>
            </w:tcBorders>
            <w:vAlign w:val="center"/>
          </w:tcPr>
          <w:p w14:paraId="496F5AB9">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《多联式空调（热泵）机组能效限定值及能源效率等级》（GB21454）</w:t>
            </w:r>
          </w:p>
        </w:tc>
      </w:tr>
      <w:tr w14:paraId="383B3C1F">
        <w:tblPrEx>
          <w:tblCellMar>
            <w:top w:w="0" w:type="dxa"/>
            <w:left w:w="108" w:type="dxa"/>
            <w:bottom w:w="0" w:type="dxa"/>
            <w:right w:w="108" w:type="dxa"/>
          </w:tblCellMar>
        </w:tblPrEx>
        <w:trPr>
          <w:trHeight w:val="735" w:hRule="atLeast"/>
        </w:trPr>
        <w:tc>
          <w:tcPr>
            <w:tcW w:w="769" w:type="dxa"/>
            <w:vMerge w:val="continue"/>
            <w:tcBorders>
              <w:top w:val="nil"/>
              <w:left w:val="single" w:color="000000" w:sz="8" w:space="0"/>
              <w:bottom w:val="single" w:color="000000" w:sz="8" w:space="0"/>
              <w:right w:val="single" w:color="000000" w:sz="8" w:space="0"/>
            </w:tcBorders>
            <w:vAlign w:val="center"/>
          </w:tcPr>
          <w:p w14:paraId="2C8BE36A">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002473CF">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vMerge w:val="continue"/>
            <w:tcBorders>
              <w:top w:val="nil"/>
              <w:left w:val="single" w:color="000000" w:sz="8" w:space="0"/>
              <w:bottom w:val="single" w:color="000000" w:sz="8" w:space="0"/>
              <w:right w:val="single" w:color="000000" w:sz="8" w:space="0"/>
            </w:tcBorders>
            <w:vAlign w:val="center"/>
          </w:tcPr>
          <w:p w14:paraId="0FBDD982">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615" w:type="dxa"/>
            <w:tcBorders>
              <w:top w:val="nil"/>
              <w:left w:val="nil"/>
              <w:bottom w:val="single" w:color="000000" w:sz="8" w:space="0"/>
              <w:right w:val="single" w:color="000000" w:sz="8" w:space="0"/>
            </w:tcBorders>
            <w:vAlign w:val="center"/>
          </w:tcPr>
          <w:p w14:paraId="3DC8F9CD">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单元式空气调节机(制冷量≤14000W)</w:t>
            </w:r>
          </w:p>
        </w:tc>
        <w:tc>
          <w:tcPr>
            <w:tcW w:w="4232" w:type="dxa"/>
            <w:tcBorders>
              <w:top w:val="nil"/>
              <w:left w:val="nil"/>
              <w:bottom w:val="single" w:color="000000" w:sz="8" w:space="0"/>
              <w:right w:val="single" w:color="000000" w:sz="8" w:space="0"/>
            </w:tcBorders>
            <w:vAlign w:val="center"/>
          </w:tcPr>
          <w:p w14:paraId="08FD87CA">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《单元式空气调节机能效限定值及能源效率等级》（GB19576）《风管送风式空调机组能效限定值及能效等级》（GB37479）</w:t>
            </w:r>
          </w:p>
        </w:tc>
      </w:tr>
      <w:tr w14:paraId="63ABE4EE">
        <w:tblPrEx>
          <w:tblCellMar>
            <w:top w:w="0" w:type="dxa"/>
            <w:left w:w="108" w:type="dxa"/>
            <w:bottom w:w="0" w:type="dxa"/>
            <w:right w:w="108" w:type="dxa"/>
          </w:tblCellMar>
        </w:tblPrEx>
        <w:trPr>
          <w:trHeight w:val="495" w:hRule="atLeast"/>
        </w:trPr>
        <w:tc>
          <w:tcPr>
            <w:tcW w:w="769" w:type="dxa"/>
            <w:vMerge w:val="continue"/>
            <w:tcBorders>
              <w:top w:val="nil"/>
              <w:left w:val="single" w:color="000000" w:sz="8" w:space="0"/>
              <w:bottom w:val="single" w:color="000000" w:sz="8" w:space="0"/>
              <w:right w:val="single" w:color="000000" w:sz="8" w:space="0"/>
            </w:tcBorders>
            <w:vAlign w:val="center"/>
          </w:tcPr>
          <w:p w14:paraId="0D7D7C31">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6BC1A14B">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tcBorders>
              <w:top w:val="nil"/>
              <w:left w:val="nil"/>
              <w:bottom w:val="single" w:color="000000" w:sz="8" w:space="0"/>
              <w:right w:val="single" w:color="000000" w:sz="8" w:space="0"/>
            </w:tcBorders>
            <w:vAlign w:val="center"/>
          </w:tcPr>
          <w:p w14:paraId="199ACA76">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A0206180301洗衣机</w:t>
            </w:r>
          </w:p>
        </w:tc>
        <w:tc>
          <w:tcPr>
            <w:tcW w:w="1615" w:type="dxa"/>
            <w:tcBorders>
              <w:top w:val="nil"/>
              <w:left w:val="nil"/>
              <w:bottom w:val="single" w:color="000000" w:sz="8" w:space="0"/>
              <w:right w:val="single" w:color="000000" w:sz="8" w:space="0"/>
            </w:tcBorders>
            <w:vAlign w:val="center"/>
          </w:tcPr>
          <w:p w14:paraId="2A7ADE1B">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4232" w:type="dxa"/>
            <w:tcBorders>
              <w:top w:val="nil"/>
              <w:left w:val="nil"/>
              <w:bottom w:val="single" w:color="000000" w:sz="8" w:space="0"/>
              <w:right w:val="single" w:color="000000" w:sz="8" w:space="0"/>
            </w:tcBorders>
            <w:vAlign w:val="center"/>
          </w:tcPr>
          <w:p w14:paraId="6BCE2FC8">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《电动洗衣机能效水效限定值及等级》（GB12021.4）</w:t>
            </w:r>
          </w:p>
        </w:tc>
      </w:tr>
      <w:tr w14:paraId="764FE12A">
        <w:tblPrEx>
          <w:tblCellMar>
            <w:top w:w="0" w:type="dxa"/>
            <w:left w:w="108" w:type="dxa"/>
            <w:bottom w:w="0" w:type="dxa"/>
            <w:right w:w="108" w:type="dxa"/>
          </w:tblCellMar>
        </w:tblPrEx>
        <w:trPr>
          <w:trHeight w:val="495" w:hRule="atLeast"/>
        </w:trPr>
        <w:tc>
          <w:tcPr>
            <w:tcW w:w="769" w:type="dxa"/>
            <w:vMerge w:val="continue"/>
            <w:tcBorders>
              <w:top w:val="nil"/>
              <w:left w:val="single" w:color="000000" w:sz="8" w:space="0"/>
              <w:bottom w:val="single" w:color="000000" w:sz="8" w:space="0"/>
              <w:right w:val="single" w:color="000000" w:sz="8" w:space="0"/>
            </w:tcBorders>
            <w:vAlign w:val="center"/>
          </w:tcPr>
          <w:p w14:paraId="34963380">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36447270">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vMerge w:val="restart"/>
            <w:tcBorders>
              <w:top w:val="nil"/>
              <w:left w:val="single" w:color="000000" w:sz="8" w:space="0"/>
              <w:bottom w:val="single" w:color="000000" w:sz="8" w:space="0"/>
              <w:right w:val="single" w:color="000000" w:sz="8" w:space="0"/>
            </w:tcBorders>
            <w:vAlign w:val="center"/>
          </w:tcPr>
          <w:p w14:paraId="13E3A8C7">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A02061808热水器</w:t>
            </w:r>
          </w:p>
        </w:tc>
        <w:tc>
          <w:tcPr>
            <w:tcW w:w="1615" w:type="dxa"/>
            <w:tcBorders>
              <w:top w:val="nil"/>
              <w:left w:val="nil"/>
              <w:bottom w:val="single" w:color="000000" w:sz="8" w:space="0"/>
              <w:right w:val="single" w:color="000000" w:sz="8" w:space="0"/>
            </w:tcBorders>
            <w:vAlign w:val="center"/>
          </w:tcPr>
          <w:p w14:paraId="61A1C31A">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★电热水器</w:t>
            </w:r>
          </w:p>
        </w:tc>
        <w:tc>
          <w:tcPr>
            <w:tcW w:w="4232" w:type="dxa"/>
            <w:tcBorders>
              <w:top w:val="nil"/>
              <w:left w:val="nil"/>
              <w:bottom w:val="single" w:color="000000" w:sz="8" w:space="0"/>
              <w:right w:val="single" w:color="000000" w:sz="8" w:space="0"/>
            </w:tcBorders>
            <w:vAlign w:val="center"/>
          </w:tcPr>
          <w:p w14:paraId="0733C0D3">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《储水式电热水器能效限定值及能效等级》（GB21519）</w:t>
            </w:r>
          </w:p>
        </w:tc>
      </w:tr>
      <w:tr w14:paraId="1B95EC37">
        <w:tblPrEx>
          <w:tblCellMar>
            <w:top w:w="0" w:type="dxa"/>
            <w:left w:w="108" w:type="dxa"/>
            <w:bottom w:w="0" w:type="dxa"/>
            <w:right w:w="108" w:type="dxa"/>
          </w:tblCellMar>
        </w:tblPrEx>
        <w:trPr>
          <w:trHeight w:val="495" w:hRule="atLeast"/>
        </w:trPr>
        <w:tc>
          <w:tcPr>
            <w:tcW w:w="769" w:type="dxa"/>
            <w:vMerge w:val="continue"/>
            <w:tcBorders>
              <w:top w:val="nil"/>
              <w:left w:val="single" w:color="000000" w:sz="8" w:space="0"/>
              <w:bottom w:val="single" w:color="000000" w:sz="8" w:space="0"/>
              <w:right w:val="single" w:color="000000" w:sz="8" w:space="0"/>
            </w:tcBorders>
            <w:vAlign w:val="center"/>
          </w:tcPr>
          <w:p w14:paraId="470483F1">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7F35274A">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vMerge w:val="continue"/>
            <w:tcBorders>
              <w:top w:val="nil"/>
              <w:left w:val="single" w:color="000000" w:sz="8" w:space="0"/>
              <w:bottom w:val="single" w:color="000000" w:sz="8" w:space="0"/>
              <w:right w:val="single" w:color="000000" w:sz="8" w:space="0"/>
            </w:tcBorders>
            <w:vAlign w:val="center"/>
          </w:tcPr>
          <w:p w14:paraId="15D8187A">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615" w:type="dxa"/>
            <w:tcBorders>
              <w:top w:val="nil"/>
              <w:left w:val="nil"/>
              <w:bottom w:val="single" w:color="000000" w:sz="8" w:space="0"/>
              <w:right w:val="single" w:color="000000" w:sz="8" w:space="0"/>
            </w:tcBorders>
            <w:vAlign w:val="center"/>
          </w:tcPr>
          <w:p w14:paraId="006C2177">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燃气热水器</w:t>
            </w:r>
          </w:p>
        </w:tc>
        <w:tc>
          <w:tcPr>
            <w:tcW w:w="4232" w:type="dxa"/>
            <w:tcBorders>
              <w:top w:val="nil"/>
              <w:left w:val="nil"/>
              <w:bottom w:val="single" w:color="000000" w:sz="8" w:space="0"/>
              <w:right w:val="single" w:color="000000" w:sz="8" w:space="0"/>
            </w:tcBorders>
            <w:vAlign w:val="center"/>
          </w:tcPr>
          <w:p w14:paraId="4418CD29">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《家用燃气快速热水器和燃气采暖热水炉能效限定值及能效等级》（GB20665）</w:t>
            </w:r>
          </w:p>
        </w:tc>
      </w:tr>
      <w:tr w14:paraId="11CA2302">
        <w:tblPrEx>
          <w:tblCellMar>
            <w:top w:w="0" w:type="dxa"/>
            <w:left w:w="108" w:type="dxa"/>
            <w:bottom w:w="0" w:type="dxa"/>
            <w:right w:w="108" w:type="dxa"/>
          </w:tblCellMar>
        </w:tblPrEx>
        <w:trPr>
          <w:trHeight w:val="495" w:hRule="atLeast"/>
        </w:trPr>
        <w:tc>
          <w:tcPr>
            <w:tcW w:w="769" w:type="dxa"/>
            <w:vMerge w:val="continue"/>
            <w:tcBorders>
              <w:top w:val="nil"/>
              <w:left w:val="single" w:color="000000" w:sz="8" w:space="0"/>
              <w:bottom w:val="single" w:color="000000" w:sz="8" w:space="0"/>
              <w:right w:val="single" w:color="000000" w:sz="8" w:space="0"/>
            </w:tcBorders>
            <w:vAlign w:val="center"/>
          </w:tcPr>
          <w:p w14:paraId="0DF94FB1">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12E7EA85">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vMerge w:val="continue"/>
            <w:tcBorders>
              <w:top w:val="nil"/>
              <w:left w:val="single" w:color="000000" w:sz="8" w:space="0"/>
              <w:bottom w:val="single" w:color="000000" w:sz="8" w:space="0"/>
              <w:right w:val="single" w:color="000000" w:sz="8" w:space="0"/>
            </w:tcBorders>
            <w:vAlign w:val="center"/>
          </w:tcPr>
          <w:p w14:paraId="14469BA7">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615" w:type="dxa"/>
            <w:tcBorders>
              <w:top w:val="nil"/>
              <w:left w:val="nil"/>
              <w:bottom w:val="single" w:color="000000" w:sz="8" w:space="0"/>
              <w:right w:val="single" w:color="000000" w:sz="8" w:space="0"/>
            </w:tcBorders>
            <w:vAlign w:val="center"/>
          </w:tcPr>
          <w:p w14:paraId="0A45978C">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热泵热水器</w:t>
            </w:r>
          </w:p>
        </w:tc>
        <w:tc>
          <w:tcPr>
            <w:tcW w:w="4232" w:type="dxa"/>
            <w:tcBorders>
              <w:top w:val="nil"/>
              <w:left w:val="nil"/>
              <w:bottom w:val="single" w:color="000000" w:sz="8" w:space="0"/>
              <w:right w:val="single" w:color="000000" w:sz="8" w:space="0"/>
            </w:tcBorders>
            <w:vAlign w:val="center"/>
          </w:tcPr>
          <w:p w14:paraId="2A16005F">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《热泵热水机（器）能效限定值及能效等级》（GB29541）</w:t>
            </w:r>
          </w:p>
        </w:tc>
      </w:tr>
      <w:tr w14:paraId="19C59651">
        <w:tblPrEx>
          <w:tblCellMar>
            <w:top w:w="0" w:type="dxa"/>
            <w:left w:w="108" w:type="dxa"/>
            <w:bottom w:w="0" w:type="dxa"/>
            <w:right w:w="108" w:type="dxa"/>
          </w:tblCellMar>
        </w:tblPrEx>
        <w:trPr>
          <w:trHeight w:val="495" w:hRule="atLeast"/>
        </w:trPr>
        <w:tc>
          <w:tcPr>
            <w:tcW w:w="769" w:type="dxa"/>
            <w:vMerge w:val="continue"/>
            <w:tcBorders>
              <w:top w:val="nil"/>
              <w:left w:val="single" w:color="000000" w:sz="8" w:space="0"/>
              <w:bottom w:val="single" w:color="000000" w:sz="8" w:space="0"/>
              <w:right w:val="single" w:color="000000" w:sz="8" w:space="0"/>
            </w:tcBorders>
            <w:vAlign w:val="center"/>
          </w:tcPr>
          <w:p w14:paraId="5504E148">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516C530D">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vMerge w:val="continue"/>
            <w:tcBorders>
              <w:top w:val="nil"/>
              <w:left w:val="single" w:color="000000" w:sz="8" w:space="0"/>
              <w:bottom w:val="single" w:color="000000" w:sz="8" w:space="0"/>
              <w:right w:val="single" w:color="000000" w:sz="8" w:space="0"/>
            </w:tcBorders>
            <w:vAlign w:val="center"/>
          </w:tcPr>
          <w:p w14:paraId="69BF5E49">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615" w:type="dxa"/>
            <w:tcBorders>
              <w:top w:val="nil"/>
              <w:left w:val="nil"/>
              <w:bottom w:val="single" w:color="000000" w:sz="8" w:space="0"/>
              <w:right w:val="single" w:color="000000" w:sz="8" w:space="0"/>
            </w:tcBorders>
            <w:vAlign w:val="center"/>
          </w:tcPr>
          <w:p w14:paraId="41F9D254">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太阳能热水系统</w:t>
            </w:r>
          </w:p>
        </w:tc>
        <w:tc>
          <w:tcPr>
            <w:tcW w:w="4232" w:type="dxa"/>
            <w:tcBorders>
              <w:top w:val="nil"/>
              <w:left w:val="nil"/>
              <w:bottom w:val="single" w:color="000000" w:sz="8" w:space="0"/>
              <w:right w:val="single" w:color="000000" w:sz="8" w:space="0"/>
            </w:tcBorders>
            <w:vAlign w:val="center"/>
          </w:tcPr>
          <w:p w14:paraId="38A910F7">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《家用太阳能热水系统能效限定值及能效等级》（GB26969）</w:t>
            </w:r>
          </w:p>
        </w:tc>
      </w:tr>
      <w:tr w14:paraId="6C745BCB">
        <w:tblPrEx>
          <w:tblCellMar>
            <w:top w:w="0" w:type="dxa"/>
            <w:left w:w="108" w:type="dxa"/>
            <w:bottom w:w="0" w:type="dxa"/>
            <w:right w:w="108" w:type="dxa"/>
          </w:tblCellMar>
        </w:tblPrEx>
        <w:trPr>
          <w:trHeight w:val="495" w:hRule="atLeast"/>
        </w:trPr>
        <w:tc>
          <w:tcPr>
            <w:tcW w:w="769" w:type="dxa"/>
            <w:vMerge w:val="restart"/>
            <w:tcBorders>
              <w:top w:val="nil"/>
              <w:left w:val="single" w:color="000000" w:sz="8" w:space="0"/>
              <w:bottom w:val="single" w:color="000000" w:sz="8" w:space="0"/>
              <w:right w:val="single" w:color="000000" w:sz="8" w:space="0"/>
            </w:tcBorders>
            <w:vAlign w:val="center"/>
          </w:tcPr>
          <w:p w14:paraId="5120174B">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11</w:t>
            </w:r>
          </w:p>
        </w:tc>
        <w:tc>
          <w:tcPr>
            <w:tcW w:w="1023" w:type="dxa"/>
            <w:vMerge w:val="restart"/>
            <w:tcBorders>
              <w:top w:val="nil"/>
              <w:left w:val="single" w:color="000000" w:sz="8" w:space="0"/>
              <w:bottom w:val="single" w:color="000000" w:sz="8" w:space="0"/>
              <w:right w:val="single" w:color="000000" w:sz="8" w:space="0"/>
            </w:tcBorders>
            <w:vAlign w:val="center"/>
          </w:tcPr>
          <w:p w14:paraId="34B9D207">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A020619照明设备</w:t>
            </w:r>
          </w:p>
        </w:tc>
        <w:tc>
          <w:tcPr>
            <w:tcW w:w="1581" w:type="dxa"/>
            <w:tcBorders>
              <w:top w:val="nil"/>
              <w:left w:val="nil"/>
              <w:bottom w:val="single" w:color="000000" w:sz="8" w:space="0"/>
              <w:right w:val="single" w:color="000000" w:sz="8" w:space="0"/>
            </w:tcBorders>
            <w:vAlign w:val="center"/>
          </w:tcPr>
          <w:p w14:paraId="2668A2D4">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★普通照明用双端荧光灯</w:t>
            </w:r>
          </w:p>
        </w:tc>
        <w:tc>
          <w:tcPr>
            <w:tcW w:w="1615" w:type="dxa"/>
            <w:tcBorders>
              <w:top w:val="nil"/>
              <w:left w:val="nil"/>
              <w:bottom w:val="single" w:color="000000" w:sz="8" w:space="0"/>
              <w:right w:val="single" w:color="000000" w:sz="8" w:space="0"/>
            </w:tcBorders>
            <w:vAlign w:val="center"/>
          </w:tcPr>
          <w:p w14:paraId="73253D82">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4232" w:type="dxa"/>
            <w:tcBorders>
              <w:top w:val="nil"/>
              <w:left w:val="nil"/>
              <w:bottom w:val="single" w:color="000000" w:sz="8" w:space="0"/>
              <w:right w:val="single" w:color="000000" w:sz="8" w:space="0"/>
            </w:tcBorders>
            <w:vAlign w:val="center"/>
          </w:tcPr>
          <w:p w14:paraId="12A39DE5">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《普通照明用双端荧光灯能效限定值及能效等级》（GB19043）</w:t>
            </w:r>
          </w:p>
        </w:tc>
      </w:tr>
      <w:tr w14:paraId="56D8D340">
        <w:tblPrEx>
          <w:tblCellMar>
            <w:top w:w="0" w:type="dxa"/>
            <w:left w:w="108" w:type="dxa"/>
            <w:bottom w:w="0" w:type="dxa"/>
            <w:right w:w="108" w:type="dxa"/>
          </w:tblCellMar>
        </w:tblPrEx>
        <w:trPr>
          <w:trHeight w:val="495" w:hRule="atLeast"/>
        </w:trPr>
        <w:tc>
          <w:tcPr>
            <w:tcW w:w="769" w:type="dxa"/>
            <w:vMerge w:val="continue"/>
            <w:tcBorders>
              <w:top w:val="nil"/>
              <w:left w:val="single" w:color="000000" w:sz="8" w:space="0"/>
              <w:bottom w:val="single" w:color="000000" w:sz="8" w:space="0"/>
              <w:right w:val="single" w:color="000000" w:sz="8" w:space="0"/>
            </w:tcBorders>
            <w:vAlign w:val="center"/>
          </w:tcPr>
          <w:p w14:paraId="4C23DB0A">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49051E2D">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tcBorders>
              <w:top w:val="nil"/>
              <w:left w:val="nil"/>
              <w:bottom w:val="single" w:color="000000" w:sz="8" w:space="0"/>
              <w:right w:val="single" w:color="000000" w:sz="8" w:space="0"/>
            </w:tcBorders>
            <w:vAlign w:val="center"/>
          </w:tcPr>
          <w:p w14:paraId="5952620C">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LED道路/隧道照明产品</w:t>
            </w:r>
          </w:p>
        </w:tc>
        <w:tc>
          <w:tcPr>
            <w:tcW w:w="1615" w:type="dxa"/>
            <w:tcBorders>
              <w:top w:val="nil"/>
              <w:left w:val="nil"/>
              <w:bottom w:val="single" w:color="000000" w:sz="8" w:space="0"/>
              <w:right w:val="single" w:color="000000" w:sz="8" w:space="0"/>
            </w:tcBorders>
            <w:vAlign w:val="center"/>
          </w:tcPr>
          <w:p w14:paraId="5650030D">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4232" w:type="dxa"/>
            <w:tcBorders>
              <w:top w:val="nil"/>
              <w:left w:val="nil"/>
              <w:bottom w:val="single" w:color="000000" w:sz="8" w:space="0"/>
              <w:right w:val="single" w:color="000000" w:sz="8" w:space="0"/>
            </w:tcBorders>
            <w:vAlign w:val="center"/>
          </w:tcPr>
          <w:p w14:paraId="138170B7">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《道路和隧道照明用LED灯具能效限定值及能效等级》（GB37478）</w:t>
            </w:r>
          </w:p>
        </w:tc>
      </w:tr>
      <w:tr w14:paraId="4649DF6D">
        <w:tblPrEx>
          <w:tblCellMar>
            <w:top w:w="0" w:type="dxa"/>
            <w:left w:w="108" w:type="dxa"/>
            <w:bottom w:w="0" w:type="dxa"/>
            <w:right w:w="108" w:type="dxa"/>
          </w:tblCellMar>
        </w:tblPrEx>
        <w:trPr>
          <w:trHeight w:val="495" w:hRule="atLeast"/>
        </w:trPr>
        <w:tc>
          <w:tcPr>
            <w:tcW w:w="769" w:type="dxa"/>
            <w:vMerge w:val="continue"/>
            <w:tcBorders>
              <w:top w:val="nil"/>
              <w:left w:val="single" w:color="000000" w:sz="8" w:space="0"/>
              <w:bottom w:val="single" w:color="000000" w:sz="8" w:space="0"/>
              <w:right w:val="single" w:color="000000" w:sz="8" w:space="0"/>
            </w:tcBorders>
            <w:vAlign w:val="center"/>
          </w:tcPr>
          <w:p w14:paraId="0A9A8EE3">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52343B7A">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tcBorders>
              <w:top w:val="nil"/>
              <w:left w:val="nil"/>
              <w:bottom w:val="single" w:color="000000" w:sz="8" w:space="0"/>
              <w:right w:val="single" w:color="000000" w:sz="8" w:space="0"/>
            </w:tcBorders>
            <w:vAlign w:val="center"/>
          </w:tcPr>
          <w:p w14:paraId="64A51AEA">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LED筒灯</w:t>
            </w:r>
          </w:p>
        </w:tc>
        <w:tc>
          <w:tcPr>
            <w:tcW w:w="1615" w:type="dxa"/>
            <w:tcBorders>
              <w:top w:val="nil"/>
              <w:left w:val="nil"/>
              <w:bottom w:val="single" w:color="000000" w:sz="8" w:space="0"/>
              <w:right w:val="single" w:color="000000" w:sz="8" w:space="0"/>
            </w:tcBorders>
            <w:vAlign w:val="center"/>
          </w:tcPr>
          <w:p w14:paraId="226ECB84">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4232" w:type="dxa"/>
            <w:tcBorders>
              <w:top w:val="nil"/>
              <w:left w:val="nil"/>
              <w:bottom w:val="single" w:color="000000" w:sz="8" w:space="0"/>
              <w:right w:val="single" w:color="000000" w:sz="8" w:space="0"/>
            </w:tcBorders>
            <w:vAlign w:val="center"/>
          </w:tcPr>
          <w:p w14:paraId="54B86A9F">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《室内照明用LED产品能效限定值及能效等级》（GB30255）</w:t>
            </w:r>
          </w:p>
        </w:tc>
      </w:tr>
      <w:tr w14:paraId="5895A7B3">
        <w:tblPrEx>
          <w:tblCellMar>
            <w:top w:w="0" w:type="dxa"/>
            <w:left w:w="108" w:type="dxa"/>
            <w:bottom w:w="0" w:type="dxa"/>
            <w:right w:w="108" w:type="dxa"/>
          </w:tblCellMar>
        </w:tblPrEx>
        <w:trPr>
          <w:trHeight w:val="735" w:hRule="atLeast"/>
        </w:trPr>
        <w:tc>
          <w:tcPr>
            <w:tcW w:w="769" w:type="dxa"/>
            <w:vMerge w:val="continue"/>
            <w:tcBorders>
              <w:top w:val="nil"/>
              <w:left w:val="single" w:color="000000" w:sz="8" w:space="0"/>
              <w:bottom w:val="single" w:color="000000" w:sz="8" w:space="0"/>
              <w:right w:val="single" w:color="000000" w:sz="8" w:space="0"/>
            </w:tcBorders>
            <w:vAlign w:val="center"/>
          </w:tcPr>
          <w:p w14:paraId="5393EF26">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5BC60EA2">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tcBorders>
              <w:top w:val="nil"/>
              <w:left w:val="nil"/>
              <w:bottom w:val="single" w:color="000000" w:sz="8" w:space="0"/>
              <w:right w:val="single" w:color="000000" w:sz="8" w:space="0"/>
            </w:tcBorders>
            <w:vAlign w:val="center"/>
          </w:tcPr>
          <w:p w14:paraId="55A36ABB">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普通照明用非定向自镇流LED灯</w:t>
            </w:r>
          </w:p>
        </w:tc>
        <w:tc>
          <w:tcPr>
            <w:tcW w:w="1615" w:type="dxa"/>
            <w:tcBorders>
              <w:top w:val="nil"/>
              <w:left w:val="nil"/>
              <w:bottom w:val="single" w:color="000000" w:sz="8" w:space="0"/>
              <w:right w:val="single" w:color="000000" w:sz="8" w:space="0"/>
            </w:tcBorders>
            <w:vAlign w:val="center"/>
          </w:tcPr>
          <w:p w14:paraId="198F921B">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4232" w:type="dxa"/>
            <w:tcBorders>
              <w:top w:val="nil"/>
              <w:left w:val="nil"/>
              <w:bottom w:val="single" w:color="000000" w:sz="8" w:space="0"/>
              <w:right w:val="single" w:color="000000" w:sz="8" w:space="0"/>
            </w:tcBorders>
            <w:vAlign w:val="center"/>
          </w:tcPr>
          <w:p w14:paraId="1A2E6632">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《室内照明用LED产品能效限定值及能效等级》（GB30255）</w:t>
            </w:r>
          </w:p>
        </w:tc>
      </w:tr>
      <w:tr w14:paraId="7DAFBAB3">
        <w:tblPrEx>
          <w:tblCellMar>
            <w:top w:w="0" w:type="dxa"/>
            <w:left w:w="108" w:type="dxa"/>
            <w:bottom w:w="0" w:type="dxa"/>
            <w:right w:w="108" w:type="dxa"/>
          </w:tblCellMar>
        </w:tblPrEx>
        <w:trPr>
          <w:trHeight w:val="735" w:hRule="atLeast"/>
        </w:trPr>
        <w:tc>
          <w:tcPr>
            <w:tcW w:w="769" w:type="dxa"/>
            <w:tcBorders>
              <w:top w:val="nil"/>
              <w:left w:val="single" w:color="000000" w:sz="8" w:space="0"/>
              <w:bottom w:val="single" w:color="000000" w:sz="8" w:space="0"/>
              <w:right w:val="single" w:color="000000" w:sz="8" w:space="0"/>
            </w:tcBorders>
            <w:vAlign w:val="center"/>
          </w:tcPr>
          <w:p w14:paraId="5D6E03D3">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12</w:t>
            </w:r>
          </w:p>
        </w:tc>
        <w:tc>
          <w:tcPr>
            <w:tcW w:w="1023" w:type="dxa"/>
            <w:tcBorders>
              <w:top w:val="nil"/>
              <w:left w:val="nil"/>
              <w:bottom w:val="single" w:color="000000" w:sz="8" w:space="0"/>
              <w:right w:val="single" w:color="000000" w:sz="8" w:space="0"/>
            </w:tcBorders>
            <w:vAlign w:val="center"/>
          </w:tcPr>
          <w:p w14:paraId="3A2EBE40">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★A020910电视设备</w:t>
            </w:r>
          </w:p>
        </w:tc>
        <w:tc>
          <w:tcPr>
            <w:tcW w:w="1581" w:type="dxa"/>
            <w:tcBorders>
              <w:top w:val="nil"/>
              <w:left w:val="nil"/>
              <w:bottom w:val="single" w:color="000000" w:sz="8" w:space="0"/>
              <w:right w:val="single" w:color="000000" w:sz="8" w:space="0"/>
            </w:tcBorders>
            <w:vAlign w:val="center"/>
          </w:tcPr>
          <w:p w14:paraId="4B126F7B">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A02091001普通电视设备（电视机）</w:t>
            </w:r>
          </w:p>
        </w:tc>
        <w:tc>
          <w:tcPr>
            <w:tcW w:w="1615" w:type="dxa"/>
            <w:tcBorders>
              <w:top w:val="nil"/>
              <w:left w:val="nil"/>
              <w:bottom w:val="single" w:color="000000" w:sz="8" w:space="0"/>
              <w:right w:val="single" w:color="000000" w:sz="8" w:space="0"/>
            </w:tcBorders>
            <w:vAlign w:val="center"/>
          </w:tcPr>
          <w:p w14:paraId="2932BD7E">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4232" w:type="dxa"/>
            <w:tcBorders>
              <w:top w:val="nil"/>
              <w:left w:val="nil"/>
              <w:bottom w:val="single" w:color="000000" w:sz="8" w:space="0"/>
              <w:right w:val="single" w:color="000000" w:sz="8" w:space="0"/>
            </w:tcBorders>
            <w:vAlign w:val="center"/>
          </w:tcPr>
          <w:p w14:paraId="1F3CF0FA">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《平板电视能效限定值及能效等级》（GB24850）</w:t>
            </w:r>
          </w:p>
        </w:tc>
      </w:tr>
      <w:tr w14:paraId="14E32CD7">
        <w:tblPrEx>
          <w:tblCellMar>
            <w:top w:w="0" w:type="dxa"/>
            <w:left w:w="108" w:type="dxa"/>
            <w:bottom w:w="0" w:type="dxa"/>
            <w:right w:w="108" w:type="dxa"/>
          </w:tblCellMar>
        </w:tblPrEx>
        <w:trPr>
          <w:trHeight w:val="975" w:hRule="atLeast"/>
        </w:trPr>
        <w:tc>
          <w:tcPr>
            <w:tcW w:w="769" w:type="dxa"/>
            <w:tcBorders>
              <w:top w:val="nil"/>
              <w:left w:val="single" w:color="000000" w:sz="8" w:space="0"/>
              <w:bottom w:val="single" w:color="000000" w:sz="8" w:space="0"/>
              <w:right w:val="single" w:color="000000" w:sz="8" w:space="0"/>
            </w:tcBorders>
            <w:vAlign w:val="center"/>
          </w:tcPr>
          <w:p w14:paraId="123AE356">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13</w:t>
            </w:r>
          </w:p>
        </w:tc>
        <w:tc>
          <w:tcPr>
            <w:tcW w:w="1023" w:type="dxa"/>
            <w:tcBorders>
              <w:top w:val="nil"/>
              <w:left w:val="nil"/>
              <w:bottom w:val="single" w:color="000000" w:sz="8" w:space="0"/>
              <w:right w:val="single" w:color="000000" w:sz="8" w:space="0"/>
            </w:tcBorders>
            <w:vAlign w:val="center"/>
          </w:tcPr>
          <w:p w14:paraId="54584758">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★A020911视频设备</w:t>
            </w:r>
          </w:p>
        </w:tc>
        <w:tc>
          <w:tcPr>
            <w:tcW w:w="1581" w:type="dxa"/>
            <w:tcBorders>
              <w:top w:val="nil"/>
              <w:left w:val="nil"/>
              <w:bottom w:val="single" w:color="000000" w:sz="8" w:space="0"/>
              <w:right w:val="single" w:color="000000" w:sz="8" w:space="0"/>
            </w:tcBorders>
            <w:vAlign w:val="center"/>
          </w:tcPr>
          <w:p w14:paraId="44924D87">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A02091107视频监控设备</w:t>
            </w:r>
          </w:p>
        </w:tc>
        <w:tc>
          <w:tcPr>
            <w:tcW w:w="1615" w:type="dxa"/>
            <w:tcBorders>
              <w:top w:val="nil"/>
              <w:left w:val="nil"/>
              <w:bottom w:val="single" w:color="000000" w:sz="8" w:space="0"/>
              <w:right w:val="single" w:color="000000" w:sz="8" w:space="0"/>
            </w:tcBorders>
            <w:vAlign w:val="center"/>
          </w:tcPr>
          <w:p w14:paraId="6AF500BF">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监视器</w:t>
            </w:r>
          </w:p>
        </w:tc>
        <w:tc>
          <w:tcPr>
            <w:tcW w:w="4232" w:type="dxa"/>
            <w:tcBorders>
              <w:top w:val="nil"/>
              <w:left w:val="nil"/>
              <w:bottom w:val="single" w:color="000000" w:sz="8" w:space="0"/>
              <w:right w:val="single" w:color="000000" w:sz="8" w:space="0"/>
            </w:tcBorders>
            <w:vAlign w:val="center"/>
          </w:tcPr>
          <w:p w14:paraId="33C0E700">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以射频信号为主要信号输入的监视器应符合《平板电视能效限定值及能效等级》（GB24850），以数字信号为主要信号输入的监视器应符合《计算机显示器能效限定值及能效等级》（GB21520）</w:t>
            </w:r>
          </w:p>
        </w:tc>
      </w:tr>
      <w:tr w14:paraId="66023179">
        <w:tblPrEx>
          <w:tblCellMar>
            <w:top w:w="0" w:type="dxa"/>
            <w:left w:w="108" w:type="dxa"/>
            <w:bottom w:w="0" w:type="dxa"/>
            <w:right w:w="108" w:type="dxa"/>
          </w:tblCellMar>
        </w:tblPrEx>
        <w:trPr>
          <w:trHeight w:val="495" w:hRule="atLeast"/>
        </w:trPr>
        <w:tc>
          <w:tcPr>
            <w:tcW w:w="769" w:type="dxa"/>
            <w:tcBorders>
              <w:top w:val="nil"/>
              <w:left w:val="single" w:color="000000" w:sz="8" w:space="0"/>
              <w:bottom w:val="single" w:color="000000" w:sz="8" w:space="0"/>
              <w:right w:val="single" w:color="000000" w:sz="8" w:space="0"/>
            </w:tcBorders>
            <w:vAlign w:val="center"/>
          </w:tcPr>
          <w:p w14:paraId="232CC531">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14</w:t>
            </w:r>
          </w:p>
        </w:tc>
        <w:tc>
          <w:tcPr>
            <w:tcW w:w="1023" w:type="dxa"/>
            <w:tcBorders>
              <w:top w:val="nil"/>
              <w:left w:val="nil"/>
              <w:bottom w:val="single" w:color="000000" w:sz="8" w:space="0"/>
              <w:right w:val="single" w:color="000000" w:sz="8" w:space="0"/>
            </w:tcBorders>
            <w:vAlign w:val="center"/>
          </w:tcPr>
          <w:p w14:paraId="7AB056F2">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A031210饮食炊事机械</w:t>
            </w:r>
          </w:p>
        </w:tc>
        <w:tc>
          <w:tcPr>
            <w:tcW w:w="1581" w:type="dxa"/>
            <w:tcBorders>
              <w:top w:val="nil"/>
              <w:left w:val="nil"/>
              <w:bottom w:val="single" w:color="000000" w:sz="8" w:space="0"/>
              <w:right w:val="single" w:color="000000" w:sz="8" w:space="0"/>
            </w:tcBorders>
            <w:vAlign w:val="center"/>
          </w:tcPr>
          <w:p w14:paraId="43D09F67">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商用燃气灶具</w:t>
            </w:r>
          </w:p>
        </w:tc>
        <w:tc>
          <w:tcPr>
            <w:tcW w:w="1615" w:type="dxa"/>
            <w:tcBorders>
              <w:top w:val="nil"/>
              <w:left w:val="nil"/>
              <w:bottom w:val="single" w:color="000000" w:sz="8" w:space="0"/>
              <w:right w:val="single" w:color="000000" w:sz="8" w:space="0"/>
            </w:tcBorders>
            <w:vAlign w:val="center"/>
          </w:tcPr>
          <w:p w14:paraId="65F0357A">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4232" w:type="dxa"/>
            <w:tcBorders>
              <w:top w:val="nil"/>
              <w:left w:val="nil"/>
              <w:bottom w:val="single" w:color="000000" w:sz="8" w:space="0"/>
              <w:right w:val="single" w:color="000000" w:sz="8" w:space="0"/>
            </w:tcBorders>
            <w:vAlign w:val="center"/>
          </w:tcPr>
          <w:p w14:paraId="03CB84C7">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《商用燃气灶具能效限定值及能效等级》（GB30531）</w:t>
            </w:r>
          </w:p>
        </w:tc>
      </w:tr>
      <w:tr w14:paraId="0FE7140D">
        <w:tblPrEx>
          <w:tblCellMar>
            <w:top w:w="0" w:type="dxa"/>
            <w:left w:w="108" w:type="dxa"/>
            <w:bottom w:w="0" w:type="dxa"/>
            <w:right w:w="108" w:type="dxa"/>
          </w:tblCellMar>
        </w:tblPrEx>
        <w:trPr>
          <w:trHeight w:val="285" w:hRule="atLeast"/>
        </w:trPr>
        <w:tc>
          <w:tcPr>
            <w:tcW w:w="769" w:type="dxa"/>
            <w:vMerge w:val="restart"/>
            <w:tcBorders>
              <w:top w:val="nil"/>
              <w:left w:val="single" w:color="000000" w:sz="8" w:space="0"/>
              <w:bottom w:val="single" w:color="000000" w:sz="8" w:space="0"/>
              <w:right w:val="single" w:color="000000" w:sz="8" w:space="0"/>
            </w:tcBorders>
            <w:vAlign w:val="center"/>
          </w:tcPr>
          <w:p w14:paraId="67F577E3">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15</w:t>
            </w:r>
          </w:p>
        </w:tc>
        <w:tc>
          <w:tcPr>
            <w:tcW w:w="1023" w:type="dxa"/>
            <w:vMerge w:val="restart"/>
            <w:tcBorders>
              <w:top w:val="nil"/>
              <w:left w:val="single" w:color="000000" w:sz="8" w:space="0"/>
              <w:bottom w:val="single" w:color="000000" w:sz="8" w:space="0"/>
              <w:right w:val="single" w:color="000000" w:sz="8" w:space="0"/>
            </w:tcBorders>
            <w:vAlign w:val="center"/>
          </w:tcPr>
          <w:p w14:paraId="5515C9CD">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★A060805便器</w:t>
            </w:r>
          </w:p>
        </w:tc>
        <w:tc>
          <w:tcPr>
            <w:tcW w:w="1581" w:type="dxa"/>
            <w:tcBorders>
              <w:top w:val="nil"/>
              <w:left w:val="nil"/>
              <w:bottom w:val="single" w:color="000000" w:sz="8" w:space="0"/>
              <w:right w:val="single" w:color="000000" w:sz="8" w:space="0"/>
            </w:tcBorders>
            <w:vAlign w:val="center"/>
          </w:tcPr>
          <w:p w14:paraId="02F90BC4">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坐便器</w:t>
            </w:r>
          </w:p>
        </w:tc>
        <w:tc>
          <w:tcPr>
            <w:tcW w:w="1615" w:type="dxa"/>
            <w:tcBorders>
              <w:top w:val="nil"/>
              <w:left w:val="nil"/>
              <w:bottom w:val="single" w:color="000000" w:sz="8" w:space="0"/>
              <w:right w:val="single" w:color="000000" w:sz="8" w:space="0"/>
            </w:tcBorders>
            <w:vAlign w:val="center"/>
          </w:tcPr>
          <w:p w14:paraId="6932B630">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4232" w:type="dxa"/>
            <w:tcBorders>
              <w:top w:val="nil"/>
              <w:left w:val="nil"/>
              <w:bottom w:val="single" w:color="000000" w:sz="8" w:space="0"/>
              <w:right w:val="single" w:color="000000" w:sz="8" w:space="0"/>
            </w:tcBorders>
            <w:vAlign w:val="center"/>
          </w:tcPr>
          <w:p w14:paraId="04CE5431">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《坐便器水效限定值及水效等级》（GB25502）</w:t>
            </w:r>
          </w:p>
        </w:tc>
      </w:tr>
      <w:tr w14:paraId="204D445A">
        <w:tblPrEx>
          <w:tblCellMar>
            <w:top w:w="0" w:type="dxa"/>
            <w:left w:w="108" w:type="dxa"/>
            <w:bottom w:w="0" w:type="dxa"/>
            <w:right w:w="108" w:type="dxa"/>
          </w:tblCellMar>
        </w:tblPrEx>
        <w:trPr>
          <w:trHeight w:val="495" w:hRule="atLeast"/>
        </w:trPr>
        <w:tc>
          <w:tcPr>
            <w:tcW w:w="769" w:type="dxa"/>
            <w:vMerge w:val="continue"/>
            <w:tcBorders>
              <w:top w:val="nil"/>
              <w:left w:val="single" w:color="000000" w:sz="8" w:space="0"/>
              <w:bottom w:val="single" w:color="000000" w:sz="8" w:space="0"/>
              <w:right w:val="single" w:color="000000" w:sz="8" w:space="0"/>
            </w:tcBorders>
            <w:vAlign w:val="center"/>
          </w:tcPr>
          <w:p w14:paraId="150D0793">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757362C7">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tcBorders>
              <w:top w:val="nil"/>
              <w:left w:val="nil"/>
              <w:bottom w:val="single" w:color="000000" w:sz="8" w:space="0"/>
              <w:right w:val="single" w:color="000000" w:sz="8" w:space="0"/>
            </w:tcBorders>
            <w:vAlign w:val="center"/>
          </w:tcPr>
          <w:p w14:paraId="11896024">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蹲便器</w:t>
            </w:r>
          </w:p>
        </w:tc>
        <w:tc>
          <w:tcPr>
            <w:tcW w:w="1615" w:type="dxa"/>
            <w:tcBorders>
              <w:top w:val="nil"/>
              <w:left w:val="nil"/>
              <w:bottom w:val="single" w:color="000000" w:sz="8" w:space="0"/>
              <w:right w:val="single" w:color="000000" w:sz="8" w:space="0"/>
            </w:tcBorders>
            <w:vAlign w:val="center"/>
          </w:tcPr>
          <w:p w14:paraId="4492DF9C">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4232" w:type="dxa"/>
            <w:tcBorders>
              <w:top w:val="nil"/>
              <w:left w:val="nil"/>
              <w:bottom w:val="single" w:color="000000" w:sz="8" w:space="0"/>
              <w:right w:val="single" w:color="000000" w:sz="8" w:space="0"/>
            </w:tcBorders>
            <w:vAlign w:val="center"/>
          </w:tcPr>
          <w:p w14:paraId="72E18845">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《蹲便器用水效率限定值及用水效率等级》（GB30717）</w:t>
            </w:r>
          </w:p>
        </w:tc>
      </w:tr>
      <w:tr w14:paraId="11ABFB1C">
        <w:tblPrEx>
          <w:tblCellMar>
            <w:top w:w="0" w:type="dxa"/>
            <w:left w:w="108" w:type="dxa"/>
            <w:bottom w:w="0" w:type="dxa"/>
            <w:right w:w="108" w:type="dxa"/>
          </w:tblCellMar>
        </w:tblPrEx>
        <w:trPr>
          <w:trHeight w:val="495" w:hRule="atLeast"/>
        </w:trPr>
        <w:tc>
          <w:tcPr>
            <w:tcW w:w="769" w:type="dxa"/>
            <w:vMerge w:val="continue"/>
            <w:tcBorders>
              <w:top w:val="nil"/>
              <w:left w:val="single" w:color="000000" w:sz="8" w:space="0"/>
              <w:bottom w:val="single" w:color="000000" w:sz="8" w:space="0"/>
              <w:right w:val="single" w:color="000000" w:sz="8" w:space="0"/>
            </w:tcBorders>
            <w:vAlign w:val="center"/>
          </w:tcPr>
          <w:p w14:paraId="15A6AB20">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023" w:type="dxa"/>
            <w:vMerge w:val="continue"/>
            <w:tcBorders>
              <w:top w:val="nil"/>
              <w:left w:val="single" w:color="000000" w:sz="8" w:space="0"/>
              <w:bottom w:val="single" w:color="000000" w:sz="8" w:space="0"/>
              <w:right w:val="single" w:color="000000" w:sz="8" w:space="0"/>
            </w:tcBorders>
            <w:vAlign w:val="center"/>
          </w:tcPr>
          <w:p w14:paraId="4FD7C564">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1581" w:type="dxa"/>
            <w:tcBorders>
              <w:top w:val="nil"/>
              <w:left w:val="nil"/>
              <w:bottom w:val="single" w:color="000000" w:sz="8" w:space="0"/>
              <w:right w:val="single" w:color="000000" w:sz="8" w:space="0"/>
            </w:tcBorders>
            <w:vAlign w:val="center"/>
          </w:tcPr>
          <w:p w14:paraId="15586804">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小便器</w:t>
            </w:r>
          </w:p>
        </w:tc>
        <w:tc>
          <w:tcPr>
            <w:tcW w:w="1615" w:type="dxa"/>
            <w:tcBorders>
              <w:top w:val="nil"/>
              <w:left w:val="nil"/>
              <w:bottom w:val="single" w:color="000000" w:sz="8" w:space="0"/>
              <w:right w:val="single" w:color="000000" w:sz="8" w:space="0"/>
            </w:tcBorders>
            <w:vAlign w:val="center"/>
          </w:tcPr>
          <w:p w14:paraId="16AA72B6">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4232" w:type="dxa"/>
            <w:tcBorders>
              <w:top w:val="nil"/>
              <w:left w:val="nil"/>
              <w:bottom w:val="single" w:color="000000" w:sz="8" w:space="0"/>
              <w:right w:val="single" w:color="000000" w:sz="8" w:space="0"/>
            </w:tcBorders>
            <w:vAlign w:val="center"/>
          </w:tcPr>
          <w:p w14:paraId="59C3D07A">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《小便器用水效率限定值及用水效率等级》（GB28377）</w:t>
            </w:r>
          </w:p>
        </w:tc>
      </w:tr>
      <w:tr w14:paraId="6DAF30B2">
        <w:tblPrEx>
          <w:tblCellMar>
            <w:top w:w="0" w:type="dxa"/>
            <w:left w:w="108" w:type="dxa"/>
            <w:bottom w:w="0" w:type="dxa"/>
            <w:right w:w="108" w:type="dxa"/>
          </w:tblCellMar>
        </w:tblPrEx>
        <w:trPr>
          <w:trHeight w:val="495" w:hRule="atLeast"/>
        </w:trPr>
        <w:tc>
          <w:tcPr>
            <w:tcW w:w="769" w:type="dxa"/>
            <w:tcBorders>
              <w:top w:val="nil"/>
              <w:left w:val="single" w:color="000000" w:sz="8" w:space="0"/>
              <w:bottom w:val="single" w:color="000000" w:sz="8" w:space="0"/>
              <w:right w:val="single" w:color="000000" w:sz="8" w:space="0"/>
            </w:tcBorders>
            <w:vAlign w:val="center"/>
          </w:tcPr>
          <w:p w14:paraId="1987DD9A">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16</w:t>
            </w:r>
          </w:p>
        </w:tc>
        <w:tc>
          <w:tcPr>
            <w:tcW w:w="1023" w:type="dxa"/>
            <w:tcBorders>
              <w:top w:val="nil"/>
              <w:left w:val="nil"/>
              <w:bottom w:val="single" w:color="000000" w:sz="8" w:space="0"/>
              <w:right w:val="single" w:color="000000" w:sz="8" w:space="0"/>
            </w:tcBorders>
            <w:vAlign w:val="center"/>
          </w:tcPr>
          <w:p w14:paraId="607FE3BD">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★A060806水嘴</w:t>
            </w:r>
          </w:p>
        </w:tc>
        <w:tc>
          <w:tcPr>
            <w:tcW w:w="1581" w:type="dxa"/>
            <w:tcBorders>
              <w:top w:val="nil"/>
              <w:left w:val="nil"/>
              <w:bottom w:val="single" w:color="000000" w:sz="8" w:space="0"/>
              <w:right w:val="single" w:color="000000" w:sz="8" w:space="0"/>
            </w:tcBorders>
            <w:vAlign w:val="center"/>
          </w:tcPr>
          <w:p w14:paraId="27A4CCD5">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1615" w:type="dxa"/>
            <w:tcBorders>
              <w:top w:val="nil"/>
              <w:left w:val="nil"/>
              <w:bottom w:val="single" w:color="000000" w:sz="8" w:space="0"/>
              <w:right w:val="single" w:color="000000" w:sz="8" w:space="0"/>
            </w:tcBorders>
            <w:vAlign w:val="center"/>
          </w:tcPr>
          <w:p w14:paraId="307BC34B">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4232" w:type="dxa"/>
            <w:tcBorders>
              <w:top w:val="nil"/>
              <w:left w:val="nil"/>
              <w:bottom w:val="single" w:color="000000" w:sz="8" w:space="0"/>
              <w:right w:val="single" w:color="000000" w:sz="8" w:space="0"/>
            </w:tcBorders>
            <w:vAlign w:val="center"/>
          </w:tcPr>
          <w:p w14:paraId="33BCD291">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《水嘴用水效率限定值及用水效率等级》（GB 25501）</w:t>
            </w:r>
          </w:p>
        </w:tc>
      </w:tr>
      <w:tr w14:paraId="4CD8D70D">
        <w:tblPrEx>
          <w:tblCellMar>
            <w:top w:w="0" w:type="dxa"/>
            <w:left w:w="108" w:type="dxa"/>
            <w:bottom w:w="0" w:type="dxa"/>
            <w:right w:w="108" w:type="dxa"/>
          </w:tblCellMar>
        </w:tblPrEx>
        <w:trPr>
          <w:trHeight w:val="495" w:hRule="atLeast"/>
        </w:trPr>
        <w:tc>
          <w:tcPr>
            <w:tcW w:w="769" w:type="dxa"/>
            <w:tcBorders>
              <w:top w:val="single" w:color="000000" w:sz="8" w:space="0"/>
              <w:left w:val="single" w:color="000000" w:sz="8" w:space="0"/>
              <w:bottom w:val="single" w:color="000000" w:sz="8" w:space="0"/>
              <w:right w:val="single" w:color="000000" w:sz="8" w:space="0"/>
            </w:tcBorders>
            <w:vAlign w:val="center"/>
          </w:tcPr>
          <w:p w14:paraId="405B3BA8">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17</w:t>
            </w:r>
          </w:p>
        </w:tc>
        <w:tc>
          <w:tcPr>
            <w:tcW w:w="1023" w:type="dxa"/>
            <w:tcBorders>
              <w:top w:val="single" w:color="000000" w:sz="8" w:space="0"/>
              <w:left w:val="single" w:color="000000" w:sz="8" w:space="0"/>
              <w:bottom w:val="single" w:color="000000" w:sz="8" w:space="0"/>
              <w:right w:val="single" w:color="000000" w:sz="8" w:space="0"/>
            </w:tcBorders>
            <w:vAlign w:val="center"/>
          </w:tcPr>
          <w:p w14:paraId="07D45D29">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A060807便器冲洗阀</w:t>
            </w:r>
          </w:p>
        </w:tc>
        <w:tc>
          <w:tcPr>
            <w:tcW w:w="1581" w:type="dxa"/>
            <w:tcBorders>
              <w:top w:val="single" w:color="000000" w:sz="8" w:space="0"/>
              <w:left w:val="single" w:color="000000" w:sz="8" w:space="0"/>
              <w:bottom w:val="single" w:color="000000" w:sz="8" w:space="0"/>
              <w:right w:val="single" w:color="000000" w:sz="8" w:space="0"/>
            </w:tcBorders>
            <w:vAlign w:val="center"/>
          </w:tcPr>
          <w:p w14:paraId="5ED513E6">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1615" w:type="dxa"/>
            <w:tcBorders>
              <w:top w:val="single" w:color="000000" w:sz="8" w:space="0"/>
              <w:left w:val="single" w:color="000000" w:sz="8" w:space="0"/>
              <w:bottom w:val="single" w:color="000000" w:sz="8" w:space="0"/>
              <w:right w:val="single" w:color="000000" w:sz="8" w:space="0"/>
            </w:tcBorders>
            <w:vAlign w:val="center"/>
          </w:tcPr>
          <w:p w14:paraId="0B73BA70">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4232" w:type="dxa"/>
            <w:tcBorders>
              <w:top w:val="single" w:color="000000" w:sz="8" w:space="0"/>
              <w:left w:val="single" w:color="000000" w:sz="8" w:space="0"/>
              <w:bottom w:val="single" w:color="000000" w:sz="8" w:space="0"/>
              <w:right w:val="single" w:color="000000" w:sz="8" w:space="0"/>
            </w:tcBorders>
            <w:vAlign w:val="center"/>
          </w:tcPr>
          <w:p w14:paraId="151667CA">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《便器冲洗阀用水效率限定值及用水效率等级》（GB28379）</w:t>
            </w:r>
          </w:p>
        </w:tc>
      </w:tr>
      <w:tr w14:paraId="7069AF27">
        <w:tblPrEx>
          <w:tblCellMar>
            <w:top w:w="0" w:type="dxa"/>
            <w:left w:w="108" w:type="dxa"/>
            <w:bottom w:w="0" w:type="dxa"/>
            <w:right w:w="108" w:type="dxa"/>
          </w:tblCellMar>
        </w:tblPrEx>
        <w:trPr>
          <w:trHeight w:val="495" w:hRule="atLeast"/>
        </w:trPr>
        <w:tc>
          <w:tcPr>
            <w:tcW w:w="769" w:type="dxa"/>
            <w:tcBorders>
              <w:top w:val="single" w:color="000000" w:sz="8" w:space="0"/>
              <w:left w:val="single" w:color="000000" w:sz="8" w:space="0"/>
              <w:bottom w:val="single" w:color="000000" w:sz="8" w:space="0"/>
              <w:right w:val="single" w:color="000000" w:sz="8" w:space="0"/>
            </w:tcBorders>
            <w:vAlign w:val="center"/>
          </w:tcPr>
          <w:p w14:paraId="645A5C97">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18</w:t>
            </w:r>
          </w:p>
        </w:tc>
        <w:tc>
          <w:tcPr>
            <w:tcW w:w="1023" w:type="dxa"/>
            <w:tcBorders>
              <w:top w:val="single" w:color="000000" w:sz="8" w:space="0"/>
              <w:left w:val="nil"/>
              <w:bottom w:val="single" w:color="000000" w:sz="8" w:space="0"/>
              <w:right w:val="single" w:color="000000" w:sz="8" w:space="0"/>
            </w:tcBorders>
            <w:vAlign w:val="center"/>
          </w:tcPr>
          <w:p w14:paraId="1F361230">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A060810淋浴器</w:t>
            </w:r>
          </w:p>
        </w:tc>
        <w:tc>
          <w:tcPr>
            <w:tcW w:w="1581" w:type="dxa"/>
            <w:tcBorders>
              <w:top w:val="single" w:color="000000" w:sz="8" w:space="0"/>
              <w:left w:val="nil"/>
              <w:bottom w:val="single" w:color="000000" w:sz="8" w:space="0"/>
              <w:right w:val="single" w:color="000000" w:sz="8" w:space="0"/>
            </w:tcBorders>
            <w:vAlign w:val="center"/>
          </w:tcPr>
          <w:p w14:paraId="410E8DED">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1615" w:type="dxa"/>
            <w:tcBorders>
              <w:top w:val="single" w:color="000000" w:sz="8" w:space="0"/>
              <w:left w:val="nil"/>
              <w:bottom w:val="single" w:color="000000" w:sz="8" w:space="0"/>
              <w:right w:val="single" w:color="000000" w:sz="8" w:space="0"/>
            </w:tcBorders>
            <w:vAlign w:val="center"/>
          </w:tcPr>
          <w:p w14:paraId="36B445E0">
            <w:pPr>
              <w:widowControl/>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w:t>
            </w:r>
          </w:p>
        </w:tc>
        <w:tc>
          <w:tcPr>
            <w:tcW w:w="4232" w:type="dxa"/>
            <w:tcBorders>
              <w:top w:val="single" w:color="000000" w:sz="8" w:space="0"/>
              <w:left w:val="nil"/>
              <w:bottom w:val="single" w:color="000000" w:sz="8" w:space="0"/>
              <w:right w:val="single" w:color="000000" w:sz="8" w:space="0"/>
            </w:tcBorders>
            <w:vAlign w:val="center"/>
          </w:tcPr>
          <w:p w14:paraId="0259ADA6">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《淋浴器用水效率限定值及用水效率等级》（GB28378）</w:t>
            </w:r>
          </w:p>
        </w:tc>
      </w:tr>
    </w:tbl>
    <w:p w14:paraId="6C993A33">
      <w:pPr>
        <w:jc w:val="left"/>
        <w:rPr>
          <w:rFonts w:hint="eastAsia" w:ascii="宋体" w:hAnsi="宋体" w:eastAsia="宋体" w:cs="宋体"/>
          <w:color w:val="auto"/>
          <w:sz w:val="18"/>
          <w:szCs w:val="18"/>
          <w:highlight w:val="none"/>
        </w:rPr>
      </w:pPr>
    </w:p>
    <w:p w14:paraId="6C7E61F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注：1.节能产品认证应依据相关国家标准的最新版本，依据国家标准中二级能效（水效）指标。</w:t>
      </w:r>
    </w:p>
    <w:p w14:paraId="2FF606F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 xml:space="preserve">    2.以“★”标注的为政府强制采购产品。</w:t>
      </w:r>
    </w:p>
    <w:p w14:paraId="706692CC">
      <w:pPr>
        <w:pStyle w:val="2"/>
        <w:spacing w:line="360" w:lineRule="auto"/>
        <w:rPr>
          <w:rFonts w:hint="eastAsia" w:ascii="宋体" w:hAnsi="宋体" w:eastAsia="宋体" w:cs="宋体"/>
          <w:color w:val="000000" w:themeColor="text1"/>
          <w:szCs w:val="21"/>
          <w:highlight w:val="none"/>
          <w14:textFill>
            <w14:solidFill>
              <w14:schemeClr w14:val="tx1"/>
            </w14:solidFill>
          </w14:textFill>
        </w:rPr>
      </w:pPr>
    </w:p>
    <w:p w14:paraId="5365B7E8">
      <w:pPr>
        <w:widowControl/>
        <w:jc w:val="left"/>
        <w:rPr>
          <w:rFonts w:hint="eastAsia" w:ascii="宋体" w:hAnsi="宋体" w:eastAsia="宋体" w:cs="宋体"/>
          <w:color w:val="000000" w:themeColor="text1"/>
          <w:sz w:val="20"/>
          <w:szCs w:val="20"/>
          <w:highlight w:val="none"/>
          <w14:textFill>
            <w14:solidFill>
              <w14:schemeClr w14:val="tx1"/>
            </w14:solidFill>
          </w14:textFill>
        </w:rPr>
      </w:pPr>
    </w:p>
    <w:p w14:paraId="5B93FEE4">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6FA10846">
      <w:pPr>
        <w:pStyle w:val="4"/>
        <w:keepNext/>
        <w:keepLines/>
        <w:pageBreakBefore w:val="0"/>
        <w:widowControl w:val="0"/>
        <w:kinsoku/>
        <w:wordWrap/>
        <w:overflowPunct/>
        <w:topLinePunct w:val="0"/>
        <w:autoSpaceDE/>
        <w:autoSpaceDN/>
        <w:bidi w:val="0"/>
        <w:adjustRightInd/>
        <w:snapToGrid/>
        <w:spacing w:before="313" w:beforeLines="100" w:after="313" w:afterLines="100" w:line="700" w:lineRule="exact"/>
        <w:jc w:val="center"/>
        <w:textAlignment w:val="auto"/>
        <w:rPr>
          <w:rFonts w:hint="eastAsia" w:ascii="宋体" w:hAnsi="宋体" w:eastAsia="宋体" w:cs="宋体"/>
          <w:color w:val="000000" w:themeColor="text1"/>
          <w:highlight w:val="none"/>
          <w14:textFill>
            <w14:solidFill>
              <w14:schemeClr w14:val="tx1"/>
            </w14:solidFill>
          </w14:textFill>
        </w:rPr>
      </w:pPr>
      <w:bookmarkStart w:id="41" w:name="_Toc18455"/>
      <w:bookmarkStart w:id="42" w:name="_Toc392"/>
      <w:r>
        <w:rPr>
          <w:rFonts w:hint="eastAsia" w:ascii="宋体" w:hAnsi="宋体" w:eastAsia="宋体" w:cs="宋体"/>
          <w:color w:val="000000" w:themeColor="text1"/>
          <w:highlight w:val="none"/>
          <w14:textFill>
            <w14:solidFill>
              <w14:schemeClr w14:val="tx1"/>
            </w14:solidFill>
          </w14:textFill>
        </w:rPr>
        <w:t>第三章  投标人须知</w:t>
      </w:r>
      <w:bookmarkEnd w:id="41"/>
      <w:bookmarkEnd w:id="42"/>
    </w:p>
    <w:p w14:paraId="0F986E32">
      <w:pPr>
        <w:jc w:val="center"/>
        <w:rPr>
          <w:rFonts w:hint="eastAsia" w:ascii="宋体" w:hAnsi="宋体" w:eastAsia="宋体" w:cs="宋体"/>
          <w:color w:val="000000" w:themeColor="text1"/>
          <w:sz w:val="36"/>
          <w:szCs w:val="36"/>
          <w:highlight w:val="none"/>
          <w14:textFill>
            <w14:solidFill>
              <w14:schemeClr w14:val="tx1"/>
            </w14:solidFill>
          </w14:textFill>
        </w:rPr>
      </w:pPr>
      <w:bookmarkStart w:id="43" w:name="_Toc254970667"/>
      <w:bookmarkStart w:id="44" w:name="_Toc254970526"/>
      <w:r>
        <w:rPr>
          <w:rFonts w:hint="eastAsia" w:ascii="宋体" w:hAnsi="宋体" w:eastAsia="宋体" w:cs="宋体"/>
          <w:color w:val="000000" w:themeColor="text1"/>
          <w:sz w:val="36"/>
          <w:szCs w:val="36"/>
          <w:highlight w:val="none"/>
          <w14:textFill>
            <w14:solidFill>
              <w14:schemeClr w14:val="tx1"/>
            </w14:solidFill>
          </w14:textFill>
        </w:rPr>
        <w:t>投标人须知前附表</w:t>
      </w:r>
      <w:bookmarkEnd w:id="43"/>
      <w:bookmarkEnd w:id="44"/>
    </w:p>
    <w:tbl>
      <w:tblPr>
        <w:tblStyle w:val="48"/>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708"/>
      </w:tblGrid>
      <w:tr w14:paraId="5553D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06DDF0B">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条款号</w:t>
            </w:r>
          </w:p>
        </w:tc>
        <w:tc>
          <w:tcPr>
            <w:tcW w:w="8708" w:type="dxa"/>
            <w:tcBorders>
              <w:top w:val="single" w:color="auto" w:sz="4" w:space="0"/>
              <w:left w:val="single" w:color="auto" w:sz="4" w:space="0"/>
              <w:bottom w:val="single" w:color="auto" w:sz="4" w:space="0"/>
              <w:right w:val="single" w:color="auto" w:sz="4" w:space="0"/>
            </w:tcBorders>
            <w:vAlign w:val="center"/>
          </w:tcPr>
          <w:p w14:paraId="50A8197E">
            <w:pPr>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编列内容</w:t>
            </w:r>
          </w:p>
        </w:tc>
      </w:tr>
      <w:tr w14:paraId="04A04D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C67627D">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8708" w:type="dxa"/>
            <w:tcBorders>
              <w:top w:val="single" w:color="auto" w:sz="4" w:space="0"/>
              <w:left w:val="single" w:color="auto" w:sz="4" w:space="0"/>
              <w:bottom w:val="single" w:color="auto" w:sz="4" w:space="0"/>
              <w:right w:val="single" w:color="auto" w:sz="4" w:space="0"/>
            </w:tcBorders>
            <w:vAlign w:val="center"/>
          </w:tcPr>
          <w:p w14:paraId="0BD172C1">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投标人的资格要求：详见招标公告。</w:t>
            </w:r>
          </w:p>
        </w:tc>
      </w:tr>
      <w:tr w14:paraId="561BC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822113E">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bookmarkStart w:id="45" w:name="_5"/>
            <w:bookmarkEnd w:id="45"/>
            <w:bookmarkStart w:id="46" w:name="_9.2"/>
            <w:bookmarkEnd w:id="46"/>
            <w:bookmarkStart w:id="47" w:name="_8.1"/>
            <w:bookmarkEnd w:id="47"/>
            <w:r>
              <w:rPr>
                <w:rFonts w:hint="eastAsia" w:ascii="宋体" w:hAnsi="宋体" w:eastAsia="宋体" w:cs="宋体"/>
                <w:color w:val="000000" w:themeColor="text1"/>
                <w:szCs w:val="21"/>
                <w:highlight w:val="none"/>
                <w14:textFill>
                  <w14:solidFill>
                    <w14:schemeClr w14:val="tx1"/>
                  </w14:solidFill>
                </w14:textFill>
              </w:rPr>
              <w:t>6.1</w:t>
            </w:r>
          </w:p>
        </w:tc>
        <w:tc>
          <w:tcPr>
            <w:tcW w:w="8708" w:type="dxa"/>
            <w:tcBorders>
              <w:top w:val="single" w:color="auto" w:sz="4" w:space="0"/>
              <w:left w:val="single" w:color="auto" w:sz="4" w:space="0"/>
              <w:bottom w:val="single" w:color="auto" w:sz="4" w:space="0"/>
              <w:right w:val="single" w:color="auto" w:sz="4" w:space="0"/>
            </w:tcBorders>
            <w:vAlign w:val="center"/>
          </w:tcPr>
          <w:p w14:paraId="34FB0ABF">
            <w:pPr>
              <w:pStyle w:val="19"/>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本项目是否接受联合体投标：详见招标公告。</w:t>
            </w:r>
          </w:p>
        </w:tc>
      </w:tr>
      <w:tr w14:paraId="24025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A5EB538">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6.2</w:t>
            </w:r>
          </w:p>
        </w:tc>
        <w:tc>
          <w:tcPr>
            <w:tcW w:w="8708" w:type="dxa"/>
            <w:tcBorders>
              <w:top w:val="single" w:color="auto" w:sz="4" w:space="0"/>
              <w:left w:val="single" w:color="auto" w:sz="4" w:space="0"/>
              <w:bottom w:val="single" w:color="auto" w:sz="4" w:space="0"/>
              <w:right w:val="single" w:color="auto" w:sz="4" w:space="0"/>
            </w:tcBorders>
            <w:vAlign w:val="center"/>
          </w:tcPr>
          <w:p w14:paraId="2F553C95">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bookmarkStart w:id="48" w:name="_Hlk54105293"/>
            <w:r>
              <w:rPr>
                <w:rFonts w:hint="eastAsia" w:ascii="宋体" w:hAnsi="宋体" w:eastAsia="宋体" w:cs="宋体"/>
                <w:color w:val="000000" w:themeColor="text1"/>
                <w:szCs w:val="21"/>
                <w:highlight w:val="none"/>
                <w14:textFill>
                  <w14:solidFill>
                    <w14:schemeClr w14:val="tx1"/>
                  </w14:solidFill>
                </w14:textFill>
              </w:rPr>
              <w:t>如接受联合体投标，</w:t>
            </w:r>
            <w:bookmarkEnd w:id="48"/>
            <w:r>
              <w:rPr>
                <w:rFonts w:hint="eastAsia" w:ascii="宋体" w:hAnsi="宋体" w:eastAsia="宋体" w:cs="宋体"/>
                <w:color w:val="000000" w:themeColor="text1"/>
                <w:szCs w:val="21"/>
                <w:highlight w:val="none"/>
                <w14:textFill>
                  <w14:solidFill>
                    <w14:schemeClr w14:val="tx1"/>
                  </w14:solidFill>
                </w14:textFill>
              </w:rPr>
              <w:t>联合体投标要求如下：</w:t>
            </w:r>
          </w:p>
          <w:p w14:paraId="2B9D9728">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1、两个以上投标人可以组成一个投标联合体，以一个投标人的身份共同参加投标，联合体投标人的名称应统一按“XXX 公司与 XXX 公司的联合体”的规则填写。</w:t>
            </w:r>
            <w:r>
              <w:rPr>
                <w:rFonts w:hint="eastAsia" w:ascii="宋体" w:hAnsi="宋体" w:eastAsia="宋体" w:cs="宋体"/>
                <w:color w:val="000000" w:themeColor="text1"/>
                <w:szCs w:val="21"/>
                <w:highlight w:val="none"/>
                <w14:textFill>
                  <w14:solidFill>
                    <w14:schemeClr w14:val="tx1"/>
                  </w14:solidFill>
                </w14:textFill>
              </w:rPr>
              <w:tab/>
            </w:r>
          </w:p>
          <w:p w14:paraId="128982D4">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 “3、本项目的特定资格要求”的要求。</w:t>
            </w:r>
          </w:p>
          <w:p w14:paraId="0C067C7D">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r>
              <w:rPr>
                <w:rFonts w:hint="eastAsia" w:ascii="宋体" w:hAnsi="宋体" w:eastAsia="宋体" w:cs="宋体"/>
                <w:color w:val="000000" w:themeColor="text1"/>
                <w:szCs w:val="21"/>
                <w:highlight w:val="none"/>
                <w14:textFill>
                  <w14:solidFill>
                    <w14:schemeClr w14:val="tx1"/>
                  </w14:solidFill>
                </w14:textFill>
              </w:rPr>
              <w:tab/>
            </w:r>
          </w:p>
          <w:p w14:paraId="31687609">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4、以联合体形式参加政府采购活动的，联合体各方不得再单独参加或者与其他投标人另外组成联合体参加同一合同项下的政府采购活动，否则与之相关的投标文件作废。</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ab/>
            </w:r>
          </w:p>
          <w:p w14:paraId="101CAAB2">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5、联合体中有同类资质的投标人按照联合体分工承担相同工作的，应当按照资质等级较低的投标人确定资质等级。</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ab/>
            </w:r>
          </w:p>
          <w:p w14:paraId="3B45A747">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6、联合体投标业绩、履约能力按照联合体各方其中较高的一方认定并计算（招标文件另有规定的除外）。</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ab/>
            </w:r>
          </w:p>
          <w:p w14:paraId="6F68B0E0">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7、联合体各方均应按照招标文件的规定提交资格证明文件。</w:t>
            </w:r>
          </w:p>
        </w:tc>
      </w:tr>
      <w:tr w14:paraId="03F7D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4F5806A">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7.2</w:t>
            </w:r>
          </w:p>
        </w:tc>
        <w:tc>
          <w:tcPr>
            <w:tcW w:w="8708" w:type="dxa"/>
            <w:tcBorders>
              <w:top w:val="single" w:color="auto" w:sz="4" w:space="0"/>
              <w:left w:val="single" w:color="auto" w:sz="4" w:space="0"/>
              <w:bottom w:val="single" w:color="auto" w:sz="4" w:space="0"/>
              <w:right w:val="single" w:color="auto" w:sz="4" w:space="0"/>
            </w:tcBorders>
            <w:vAlign w:val="center"/>
          </w:tcPr>
          <w:p w14:paraId="48747C7F">
            <w:pPr>
              <w:pStyle w:val="19"/>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☑本项目不允许分包。</w:t>
            </w:r>
          </w:p>
          <w:p w14:paraId="5EC94113">
            <w:pPr>
              <w:pStyle w:val="19"/>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□本项目允许分包：</w:t>
            </w:r>
          </w:p>
          <w:p w14:paraId="732B4D69">
            <w:pPr>
              <w:pStyle w:val="19"/>
              <w:spacing w:line="400" w:lineRule="exac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分包内容：</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0F0BF52A">
            <w:pPr>
              <w:pStyle w:val="19"/>
              <w:spacing w:line="400" w:lineRule="exact"/>
              <w:jc w:val="both"/>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分包金额或者比例：</w:t>
            </w:r>
            <w:r>
              <w:rPr>
                <w:rFonts w:hint="eastAsia" w:ascii="宋体" w:hAnsi="宋体" w:eastAsia="宋体" w:cs="宋体"/>
                <w:color w:val="000000" w:themeColor="text1"/>
                <w:szCs w:val="21"/>
                <w:highlight w:val="none"/>
                <w:u w:val="single"/>
                <w14:textFill>
                  <w14:solidFill>
                    <w14:schemeClr w14:val="tx1"/>
                  </w14:solidFill>
                </w14:textFill>
              </w:rPr>
              <w:t xml:space="preserve">                                     。</w:t>
            </w:r>
          </w:p>
        </w:tc>
      </w:tr>
      <w:tr w14:paraId="6A6C1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4FDCD460">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8.1</w:t>
            </w:r>
          </w:p>
        </w:tc>
        <w:tc>
          <w:tcPr>
            <w:tcW w:w="8708" w:type="dxa"/>
            <w:tcBorders>
              <w:top w:val="single" w:color="auto" w:sz="4" w:space="0"/>
              <w:left w:val="single" w:color="auto" w:sz="4" w:space="0"/>
              <w:bottom w:val="single" w:color="auto" w:sz="4" w:space="0"/>
              <w:right w:val="single" w:color="auto" w:sz="4" w:space="0"/>
            </w:tcBorders>
            <w:vAlign w:val="center"/>
          </w:tcPr>
          <w:p w14:paraId="7D2D72B3">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采用最低评标价法的采购项目，提供相同品牌产品（非单一产品采购项目的，指核心产品）的不同投标人评标价相同时，按照下列方式确定一个投标人获得中标人推荐资格：评标委员会随机抽取/按投标报价低的原则确定，投标报价相同的按节能环保优先、技术指标高优先、质保期长优先、交货期短优先、故障响应时间短优先的顺序依次确定。</w:t>
            </w:r>
          </w:p>
          <w:p w14:paraId="6BA7B15D">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采用综合评分法的采购项目，提供相同品牌产品（非单一产品采购项目的，指核心产品）的不同投标人评审得分相同时，按照下列方式确定一个投标人获得中标人推荐资格：评标委员会随机抽取/按投标报价低的原则确定，投标报价相同的按综合评分中技术水平、售后服务、履约能力、政策功能得分高低依次确定。</w:t>
            </w:r>
          </w:p>
        </w:tc>
      </w:tr>
      <w:tr w14:paraId="45707C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895" w:type="dxa"/>
            <w:vMerge w:val="restart"/>
            <w:tcBorders>
              <w:top w:val="single" w:color="auto" w:sz="4" w:space="0"/>
              <w:left w:val="single" w:color="auto" w:sz="4" w:space="0"/>
              <w:right w:val="single" w:color="auto" w:sz="4" w:space="0"/>
            </w:tcBorders>
            <w:vAlign w:val="center"/>
          </w:tcPr>
          <w:p w14:paraId="6299A1AB">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11.5</w:t>
            </w:r>
          </w:p>
        </w:tc>
        <w:tc>
          <w:tcPr>
            <w:tcW w:w="8708" w:type="dxa"/>
            <w:tcBorders>
              <w:top w:val="single" w:color="auto" w:sz="4" w:space="0"/>
              <w:left w:val="single" w:color="auto" w:sz="4" w:space="0"/>
              <w:bottom w:val="single" w:color="auto" w:sz="4" w:space="0"/>
              <w:right w:val="single" w:color="auto" w:sz="4" w:space="0"/>
            </w:tcBorders>
            <w:vAlign w:val="center"/>
          </w:tcPr>
          <w:p w14:paraId="1347221B">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本项目不组织现场考察。</w:t>
            </w:r>
          </w:p>
        </w:tc>
      </w:tr>
      <w:tr w14:paraId="4C8146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95" w:type="dxa"/>
            <w:vMerge w:val="continue"/>
            <w:tcBorders>
              <w:left w:val="single" w:color="auto" w:sz="4" w:space="0"/>
              <w:bottom w:val="single" w:color="auto" w:sz="4" w:space="0"/>
              <w:right w:val="single" w:color="auto" w:sz="4" w:space="0"/>
            </w:tcBorders>
            <w:vAlign w:val="center"/>
          </w:tcPr>
          <w:p w14:paraId="53F8B7EF">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8708" w:type="dxa"/>
            <w:tcBorders>
              <w:top w:val="single" w:color="auto" w:sz="4" w:space="0"/>
              <w:left w:val="single" w:color="auto" w:sz="4" w:space="0"/>
              <w:bottom w:val="single" w:color="auto" w:sz="4" w:space="0"/>
              <w:right w:val="single" w:color="auto" w:sz="4" w:space="0"/>
            </w:tcBorders>
            <w:vAlign w:val="center"/>
          </w:tcPr>
          <w:p w14:paraId="1F2A0B78">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☑本项目不组织召开开标前答疑会/□组织召开开标前答疑会</w:t>
            </w:r>
          </w:p>
          <w:p w14:paraId="1E4D77E1">
            <w:pPr>
              <w:snapToGrid w:val="0"/>
              <w:spacing w:line="400" w:lineRule="exac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会议开始时间：年月日 时</w:t>
            </w:r>
            <w:r>
              <w:rPr>
                <w:rFonts w:hint="eastAsia" w:ascii="宋体" w:hAnsi="宋体" w:eastAsia="宋体" w:cs="宋体"/>
                <w:color w:val="000000" w:themeColor="text1"/>
                <w:szCs w:val="21"/>
                <w:highlight w:val="none"/>
                <w:u w:val="none"/>
                <w14:textFill>
                  <w14:solidFill>
                    <w14:schemeClr w14:val="tx1"/>
                  </w14:solidFill>
                </w14:textFill>
              </w:rPr>
              <w:t xml:space="preserve">  分</w:t>
            </w:r>
            <w:r>
              <w:rPr>
                <w:rFonts w:hint="eastAsia" w:ascii="宋体" w:hAnsi="宋体" w:eastAsia="宋体" w:cs="宋体"/>
                <w:color w:val="000000" w:themeColor="text1"/>
                <w:szCs w:val="21"/>
                <w:highlight w:val="none"/>
                <w14:textFill>
                  <w14:solidFill>
                    <w14:schemeClr w14:val="tx1"/>
                  </w14:solidFill>
                </w14:textFill>
              </w:rPr>
              <w:t>，逾期后果自负。会议地点：</w:t>
            </w:r>
          </w:p>
          <w:p w14:paraId="32DECF23">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联系人：；联系电话：</w:t>
            </w:r>
          </w:p>
        </w:tc>
      </w:tr>
      <w:tr w14:paraId="41AAD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restart"/>
            <w:tcBorders>
              <w:top w:val="single" w:color="auto" w:sz="4" w:space="0"/>
              <w:left w:val="single" w:color="auto" w:sz="4" w:space="0"/>
              <w:right w:val="single" w:color="auto" w:sz="4" w:space="0"/>
            </w:tcBorders>
            <w:vAlign w:val="center"/>
          </w:tcPr>
          <w:p w14:paraId="728FCAA6">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bookmarkStart w:id="49" w:name="_13.1"/>
            <w:bookmarkEnd w:id="49"/>
            <w:r>
              <w:rPr>
                <w:rFonts w:hint="eastAsia" w:ascii="宋体" w:hAnsi="宋体" w:eastAsia="宋体" w:cs="宋体"/>
                <w:color w:val="000000" w:themeColor="text1"/>
                <w:szCs w:val="21"/>
                <w:highlight w:val="none"/>
                <w14:textFill>
                  <w14:solidFill>
                    <w14:schemeClr w14:val="tx1"/>
                  </w14:solidFill>
                </w14:textFill>
              </w:rPr>
              <w:t>13.</w:t>
            </w:r>
            <w:bookmarkStart w:id="50" w:name="_Hlt19632543"/>
            <w:r>
              <w:rPr>
                <w:rFonts w:hint="eastAsia" w:ascii="宋体" w:hAnsi="宋体" w:eastAsia="宋体" w:cs="宋体"/>
                <w:color w:val="000000" w:themeColor="text1"/>
                <w:szCs w:val="21"/>
                <w:highlight w:val="none"/>
                <w14:textFill>
                  <w14:solidFill>
                    <w14:schemeClr w14:val="tx1"/>
                  </w14:solidFill>
                </w14:textFill>
              </w:rPr>
              <w:t>1</w:t>
            </w:r>
            <w:bookmarkEnd w:id="50"/>
          </w:p>
        </w:tc>
        <w:tc>
          <w:tcPr>
            <w:tcW w:w="8708" w:type="dxa"/>
            <w:tcBorders>
              <w:top w:val="single" w:color="auto" w:sz="4" w:space="0"/>
              <w:left w:val="single" w:color="auto" w:sz="4" w:space="0"/>
              <w:bottom w:val="single" w:color="auto" w:sz="4" w:space="0"/>
              <w:right w:val="single" w:color="auto" w:sz="4" w:space="0"/>
            </w:tcBorders>
            <w:vAlign w:val="center"/>
          </w:tcPr>
          <w:p w14:paraId="3296BD95">
            <w:pPr>
              <w:snapToGrid w:val="0"/>
              <w:spacing w:line="400" w:lineRule="exact"/>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报价文件：</w:t>
            </w:r>
          </w:p>
          <w:p w14:paraId="49EB9694">
            <w:pPr>
              <w:tabs>
                <w:tab w:val="left" w:pos="459"/>
              </w:tabs>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1、投标函（格式后附）；</w:t>
            </w:r>
            <w:r>
              <w:rPr>
                <w:rFonts w:hint="eastAsia" w:ascii="宋体" w:hAnsi="宋体" w:eastAsia="宋体" w:cs="宋体"/>
                <w:b/>
                <w:color w:val="000000" w:themeColor="text1"/>
                <w:szCs w:val="21"/>
                <w:highlight w:val="none"/>
                <w14:textFill>
                  <w14:solidFill>
                    <w14:schemeClr w14:val="tx1"/>
                  </w14:solidFill>
                </w14:textFill>
              </w:rPr>
              <w:t>（必须提供，否则按无效投标处理）</w:t>
            </w:r>
          </w:p>
          <w:p w14:paraId="67D6965C">
            <w:pPr>
              <w:tabs>
                <w:tab w:val="left" w:pos="459"/>
              </w:tabs>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bookmarkStart w:id="51" w:name="_Hlk71299233"/>
            <w:r>
              <w:rPr>
                <w:rFonts w:hint="eastAsia" w:ascii="宋体" w:hAnsi="宋体" w:eastAsia="宋体" w:cs="宋体"/>
                <w:color w:val="000000" w:themeColor="text1"/>
                <w:szCs w:val="21"/>
                <w:highlight w:val="none"/>
                <w14:textFill>
                  <w14:solidFill>
                    <w14:schemeClr w14:val="tx1"/>
                  </w14:solidFill>
                </w14:textFill>
              </w:rPr>
              <w:t>2、开标一览表</w:t>
            </w:r>
            <w:bookmarkEnd w:id="51"/>
            <w:r>
              <w:rPr>
                <w:rFonts w:hint="eastAsia" w:ascii="宋体" w:hAnsi="宋体" w:eastAsia="宋体" w:cs="宋体"/>
                <w:color w:val="000000" w:themeColor="text1"/>
                <w:szCs w:val="21"/>
                <w:highlight w:val="none"/>
                <w14:textFill>
                  <w14:solidFill>
                    <w14:schemeClr w14:val="tx1"/>
                  </w14:solidFill>
                </w14:textFill>
              </w:rPr>
              <w:t>（格式后附）； （</w:t>
            </w:r>
            <w:r>
              <w:rPr>
                <w:rFonts w:hint="eastAsia" w:ascii="宋体" w:hAnsi="宋体" w:eastAsia="宋体" w:cs="宋体"/>
                <w:b/>
                <w:color w:val="000000" w:themeColor="text1"/>
                <w:szCs w:val="21"/>
                <w:highlight w:val="none"/>
                <w14:textFill>
                  <w14:solidFill>
                    <w14:schemeClr w14:val="tx1"/>
                  </w14:solidFill>
                </w14:textFill>
              </w:rPr>
              <w:t>必须提供，否则按无效投标处理</w:t>
            </w:r>
            <w:r>
              <w:rPr>
                <w:rFonts w:hint="eastAsia" w:ascii="宋体" w:hAnsi="宋体" w:eastAsia="宋体" w:cs="宋体"/>
                <w:color w:val="000000" w:themeColor="text1"/>
                <w:szCs w:val="21"/>
                <w:highlight w:val="none"/>
                <w14:textFill>
                  <w14:solidFill>
                    <w14:schemeClr w14:val="tx1"/>
                  </w14:solidFill>
                </w14:textFill>
              </w:rPr>
              <w:t>）</w:t>
            </w:r>
          </w:p>
          <w:p w14:paraId="1B07A58D">
            <w:pPr>
              <w:tabs>
                <w:tab w:val="left" w:pos="459"/>
              </w:tabs>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3、中小企业或残疾企业或监狱企业申明函</w:t>
            </w:r>
            <w:r>
              <w:rPr>
                <w:rFonts w:hint="eastAsia" w:ascii="宋体" w:hAnsi="宋体" w:eastAsia="宋体" w:cs="宋体"/>
                <w:color w:val="000000" w:themeColor="text1"/>
                <w:szCs w:val="21"/>
                <w:highlight w:val="none"/>
                <w:lang w:eastAsia="zh-CN"/>
                <w14:textFill>
                  <w14:solidFill>
                    <w14:schemeClr w14:val="tx1"/>
                  </w14:solidFill>
                </w14:textFill>
              </w:rPr>
              <w:t>或残疾人福利声明函</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FF"/>
                <w:szCs w:val="21"/>
                <w:highlight w:val="none"/>
              </w:rPr>
              <w:t>(</w:t>
            </w:r>
            <w:r>
              <w:rPr>
                <w:rFonts w:hint="eastAsia" w:ascii="宋体" w:hAnsi="宋体" w:eastAsia="宋体" w:cs="宋体"/>
                <w:b/>
                <w:color w:val="0000FF"/>
                <w:szCs w:val="21"/>
                <w:highlight w:val="none"/>
                <w:lang w:eastAsia="zh-CN"/>
              </w:rPr>
              <w:t>按格式</w:t>
            </w:r>
            <w:r>
              <w:rPr>
                <w:rFonts w:hint="eastAsia" w:ascii="宋体" w:hAnsi="宋体" w:cs="宋体"/>
                <w:b/>
                <w:color w:val="0000FF"/>
                <w:szCs w:val="21"/>
                <w:highlight w:val="none"/>
                <w:lang w:val="en-US" w:eastAsia="zh-CN"/>
              </w:rPr>
              <w:t>要求，如有提供</w:t>
            </w:r>
            <w:r>
              <w:rPr>
                <w:rFonts w:hint="eastAsia" w:ascii="宋体" w:hAnsi="宋体" w:eastAsia="宋体" w:cs="宋体"/>
                <w:b/>
                <w:color w:val="0000FF"/>
                <w:szCs w:val="21"/>
                <w:highlight w:val="none"/>
              </w:rPr>
              <w:t>)</w:t>
            </w:r>
          </w:p>
          <w:p w14:paraId="1D168558">
            <w:pPr>
              <w:tabs>
                <w:tab w:val="left" w:pos="459"/>
              </w:tabs>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4、投标人针对报价需要说明的其他文件和说明（格式自拟）。</w:t>
            </w:r>
          </w:p>
          <w:p w14:paraId="7B130DB7">
            <w:pPr>
              <w:snapToGrid w:val="0"/>
              <w:spacing w:line="400" w:lineRule="exact"/>
              <w:ind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注：投标函、开标一览表必须由法定代表人或者委托代理人在规定签章处逐一签字（章）并加盖投标人公章，否则按无效投标</w:t>
            </w:r>
            <w:r>
              <w:rPr>
                <w:rFonts w:hint="eastAsia" w:ascii="宋体" w:hAnsi="宋体" w:eastAsia="宋体" w:cs="宋体"/>
                <w:b/>
                <w:color w:val="000000" w:themeColor="text1"/>
                <w:szCs w:val="21"/>
                <w:highlight w:val="none"/>
                <w14:textFill>
                  <w14:solidFill>
                    <w14:schemeClr w14:val="tx1"/>
                  </w14:solidFill>
                </w14:textFill>
              </w:rPr>
              <w:t>处理</w:t>
            </w:r>
            <w:r>
              <w:rPr>
                <w:rFonts w:hint="eastAsia" w:ascii="宋体" w:hAnsi="宋体" w:eastAsia="宋体" w:cs="宋体"/>
                <w:b/>
                <w:bCs/>
                <w:color w:val="000000" w:themeColor="text1"/>
                <w:szCs w:val="21"/>
                <w:highlight w:val="none"/>
                <w14:textFill>
                  <w14:solidFill>
                    <w14:schemeClr w14:val="tx1"/>
                  </w14:solidFill>
                </w14:textFill>
              </w:rPr>
              <w:t>。</w:t>
            </w:r>
          </w:p>
        </w:tc>
      </w:tr>
      <w:tr w14:paraId="56E23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524FE20F">
            <w:pPr>
              <w:spacing w:line="400" w:lineRule="exact"/>
              <w:rPr>
                <w:rFonts w:hint="eastAsia" w:ascii="宋体" w:hAnsi="宋体" w:eastAsia="宋体" w:cs="宋体"/>
                <w:color w:val="000000" w:themeColor="text1"/>
                <w:szCs w:val="21"/>
                <w:highlight w:val="none"/>
                <w14:textFill>
                  <w14:solidFill>
                    <w14:schemeClr w14:val="tx1"/>
                  </w14:solidFill>
                </w14:textFill>
              </w:rPr>
            </w:pPr>
            <w:bookmarkStart w:id="52" w:name="_13.2"/>
            <w:bookmarkEnd w:id="52"/>
          </w:p>
        </w:tc>
        <w:tc>
          <w:tcPr>
            <w:tcW w:w="8708" w:type="dxa"/>
            <w:tcBorders>
              <w:top w:val="single" w:color="auto" w:sz="4" w:space="0"/>
              <w:left w:val="single" w:color="auto" w:sz="4" w:space="0"/>
              <w:bottom w:val="single" w:color="auto" w:sz="4" w:space="0"/>
              <w:right w:val="single" w:color="auto" w:sz="4" w:space="0"/>
            </w:tcBorders>
            <w:vAlign w:val="center"/>
          </w:tcPr>
          <w:p w14:paraId="7F9A59D7">
            <w:pPr>
              <w:snapToGrid w:val="0"/>
              <w:spacing w:line="400" w:lineRule="exact"/>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资格证明文件：</w:t>
            </w:r>
          </w:p>
          <w:p w14:paraId="062CB91D">
            <w:pPr>
              <w:autoSpaceDE w:val="0"/>
              <w:autoSpaceDN w:val="0"/>
              <w:snapToGrid w:val="0"/>
              <w:spacing w:line="400" w:lineRule="exact"/>
              <w:textAlignment w:val="bottom"/>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1、供应商为法人或者其他组织的，证明文件为其营业执照复印件（如营业执照或者事业单位法人证书或者执业许可证等）；供应商为自然人的，证明文件为其身份证复印件；</w:t>
            </w:r>
            <w:r>
              <w:rPr>
                <w:rFonts w:hint="eastAsia" w:ascii="宋体" w:hAnsi="宋体" w:eastAsia="宋体" w:cs="宋体"/>
                <w:b/>
                <w:color w:val="000000" w:themeColor="text1"/>
                <w:szCs w:val="21"/>
                <w:highlight w:val="none"/>
                <w14:textFill>
                  <w14:solidFill>
                    <w14:schemeClr w14:val="tx1"/>
                  </w14:solidFill>
                </w14:textFill>
              </w:rPr>
              <w:t>（必须提供，否则按无效投标处理）</w:t>
            </w:r>
          </w:p>
          <w:p w14:paraId="1520B670">
            <w:pPr>
              <w:autoSpaceDE w:val="0"/>
              <w:autoSpaceDN w:val="0"/>
              <w:snapToGrid w:val="0"/>
              <w:spacing w:line="400" w:lineRule="exact"/>
              <w:textAlignment w:val="bottom"/>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2、投标人依法缴纳税收的相关材料（</w:t>
            </w:r>
            <w:r>
              <w:rPr>
                <w:rFonts w:hint="eastAsia" w:ascii="宋体" w:hAnsi="宋体" w:eastAsia="宋体" w:cs="宋体"/>
                <w:color w:val="000000" w:themeColor="text1"/>
                <w:szCs w:val="21"/>
                <w:highlight w:val="none"/>
                <w:lang w:eastAsia="zh-CN"/>
                <w14:textFill>
                  <w14:solidFill>
                    <w14:schemeClr w14:val="tx1"/>
                  </w14:solidFill>
                </w14:textFill>
              </w:rPr>
              <w:t>202</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eastAsia="zh-CN"/>
                <w14:textFill>
                  <w14:solidFill>
                    <w14:schemeClr w14:val="tx1"/>
                  </w14:solidFill>
                </w14:textFill>
              </w:rPr>
              <w:t>年1</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月至202</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eastAsia="zh-CN"/>
                <w14:textFill>
                  <w14:solidFill>
                    <w14:schemeClr w14:val="tx1"/>
                  </w14:solidFill>
                </w14:textFill>
              </w:rPr>
              <w:t>年</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月期间任意连续3个月的依法缴纳税收的凭据复印件；依法免税的供应商，必须提供相应文件证明其依法免税。从成立之日起到投标文件提交截止时间止不足要求月数的，只需提供从成立之日起的依法缴纳税收相应证明文件）；</w:t>
            </w:r>
            <w:r>
              <w:rPr>
                <w:rFonts w:hint="eastAsia" w:ascii="宋体" w:hAnsi="宋体" w:eastAsia="宋体" w:cs="宋体"/>
                <w:b/>
                <w:color w:val="000000" w:themeColor="text1"/>
                <w:szCs w:val="21"/>
                <w:highlight w:val="none"/>
                <w14:textFill>
                  <w14:solidFill>
                    <w14:schemeClr w14:val="tx1"/>
                  </w14:solidFill>
                </w14:textFill>
              </w:rPr>
              <w:t>（必须提供，否则按无效投标处理）</w:t>
            </w:r>
          </w:p>
          <w:p w14:paraId="312874A4">
            <w:pPr>
              <w:autoSpaceDE w:val="0"/>
              <w:autoSpaceDN w:val="0"/>
              <w:snapToGrid w:val="0"/>
              <w:spacing w:line="400" w:lineRule="exact"/>
              <w:textAlignment w:val="bottom"/>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3、投标人依法缴纳社会保障资金的相关材料[</w:t>
            </w:r>
            <w:r>
              <w:rPr>
                <w:rFonts w:hint="eastAsia" w:ascii="宋体" w:hAnsi="宋体" w:eastAsia="宋体" w:cs="宋体"/>
                <w:color w:val="000000" w:themeColor="text1"/>
                <w:szCs w:val="21"/>
                <w:highlight w:val="none"/>
                <w:lang w:eastAsia="zh-CN"/>
                <w14:textFill>
                  <w14:solidFill>
                    <w14:schemeClr w14:val="tx1"/>
                  </w14:solidFill>
                </w14:textFill>
              </w:rPr>
              <w:t>202</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eastAsia="zh-CN"/>
                <w14:textFill>
                  <w14:solidFill>
                    <w14:schemeClr w14:val="tx1"/>
                  </w14:solidFill>
                </w14:textFill>
              </w:rPr>
              <w:t>年1</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月至202</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eastAsia="zh-CN"/>
                <w14:textFill>
                  <w14:solidFill>
                    <w14:schemeClr w14:val="tx1"/>
                  </w14:solidFill>
                </w14:textFill>
              </w:rPr>
              <w:t>年</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月期间任意连续3个月的依法缴纳社会保障资金的缴费凭证（专用收据或者社会保险缴纳清单）复印件；依法不需要缴纳社会保障资金的供应商，必须提供相应文件证明不需要缴纳社会保障资金。从成立之日起到投标文件提交截止时间止不足要求月数的只需提供从成立之日起的依法缴纳社会保障资金的相应证明文件]；</w:t>
            </w:r>
            <w:r>
              <w:rPr>
                <w:rFonts w:hint="eastAsia" w:ascii="宋体" w:hAnsi="宋体" w:eastAsia="宋体" w:cs="宋体"/>
                <w:b/>
                <w:color w:val="000000" w:themeColor="text1"/>
                <w:szCs w:val="21"/>
                <w:highlight w:val="none"/>
                <w14:textFill>
                  <w14:solidFill>
                    <w14:schemeClr w14:val="tx1"/>
                  </w14:solidFill>
                </w14:textFill>
              </w:rPr>
              <w:t>（必须提供，否则按无效投标处理）</w:t>
            </w:r>
          </w:p>
          <w:p w14:paraId="3B6D14B4">
            <w:pPr>
              <w:snapToGrid w:val="0"/>
              <w:spacing w:line="400" w:lineRule="exact"/>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4、投标人财务状况报告</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2023年度</w:t>
            </w:r>
            <w:r>
              <w:rPr>
                <w:rFonts w:hint="eastAsia" w:ascii="宋体" w:hAnsi="宋体" w:eastAsia="宋体" w:cs="宋体"/>
                <w:color w:val="000000" w:themeColor="text1"/>
                <w:szCs w:val="21"/>
                <w:highlight w:val="none"/>
                <w:lang w:val="en-US" w:eastAsia="zh-CN"/>
                <w14:textFill>
                  <w14:solidFill>
                    <w14:schemeClr w14:val="tx1"/>
                  </w14:solidFill>
                </w14:textFill>
              </w:rPr>
              <w:t>或2024年度</w:t>
            </w:r>
            <w:r>
              <w:rPr>
                <w:rFonts w:hint="eastAsia" w:ascii="宋体" w:hAnsi="宋体" w:eastAsia="宋体" w:cs="宋体"/>
                <w:color w:val="000000" w:themeColor="text1"/>
                <w:szCs w:val="21"/>
                <w:highlight w:val="none"/>
                <w14:textFill>
                  <w14:solidFill>
                    <w14:schemeClr w14:val="tx1"/>
                  </w14:solidFill>
                </w14:textFill>
              </w:rPr>
              <w:t>财务报表复印件</w:t>
            </w:r>
            <w:r>
              <w:rPr>
                <w:rFonts w:hint="eastAsia" w:ascii="宋体" w:hAnsi="宋体" w:eastAsia="宋体" w:cs="宋体"/>
                <w:color w:val="000000" w:themeColor="text1"/>
                <w:szCs w:val="21"/>
                <w:highlight w:val="none"/>
                <w:lang w:val="en-US" w:eastAsia="zh-CN"/>
                <w14:textFill>
                  <w14:solidFill>
                    <w14:schemeClr w14:val="tx1"/>
                  </w14:solidFill>
                </w14:textFill>
              </w:rPr>
              <w:t>,附</w:t>
            </w:r>
            <w:r>
              <w:rPr>
                <w:rFonts w:hint="eastAsia" w:ascii="宋体" w:hAnsi="宋体" w:eastAsia="宋体" w:cs="宋体"/>
                <w:color w:val="000000" w:themeColor="text1"/>
                <w:szCs w:val="21"/>
                <w:highlight w:val="none"/>
                <w14:textFill>
                  <w14:solidFill>
                    <w14:schemeClr w14:val="tx1"/>
                  </w14:solidFill>
                </w14:textFill>
              </w:rPr>
              <w:t>资产负债表、利润表、现金流量表、所有者权益变动表（如有）</w:t>
            </w:r>
            <w:r>
              <w:rPr>
                <w:rFonts w:hint="eastAsia" w:ascii="宋体" w:hAnsi="宋体" w:eastAsia="宋体" w:cs="宋体"/>
                <w:color w:val="000000" w:themeColor="text1"/>
                <w:szCs w:val="21"/>
                <w:highlight w:val="none"/>
                <w:lang w:eastAsia="zh-CN"/>
                <w14:textFill>
                  <w14:solidFill>
                    <w14:schemeClr w14:val="tx1"/>
                  </w14:solidFill>
                </w14:textFill>
              </w:rPr>
              <w:t>；</w:t>
            </w:r>
            <w:r>
              <w:rPr>
                <w:color w:val="auto"/>
                <w:highlight w:val="none"/>
              </w:rPr>
              <w:t>供应商成立不满一年的应按提供上一个月的财务状况报告复印件</w:t>
            </w:r>
            <w:r>
              <w:rPr>
                <w:rFonts w:hint="eastAsia" w:ascii="宋体" w:hAnsi="宋体" w:eastAsia="宋体" w:cs="宋体"/>
                <w:color w:val="000000" w:themeColor="text1"/>
                <w:szCs w:val="21"/>
                <w:highlight w:val="none"/>
                <w:lang w:val="en-US" w:eastAsia="zh-CN"/>
                <w14:textFill>
                  <w14:solidFill>
                    <w14:schemeClr w14:val="tx1"/>
                  </w14:solidFill>
                </w14:textFill>
              </w:rPr>
              <w:t>]或者</w:t>
            </w:r>
            <w:r>
              <w:rPr>
                <w:rFonts w:hint="eastAsia" w:ascii="宋体" w:hAnsi="宋体" w:eastAsia="宋体" w:cs="宋体"/>
                <w:color w:val="000000" w:themeColor="text1"/>
                <w:szCs w:val="21"/>
                <w:highlight w:val="none"/>
                <w14:textFill>
                  <w14:solidFill>
                    <w14:schemeClr w14:val="tx1"/>
                  </w14:solidFill>
                </w14:textFill>
              </w:rPr>
              <w:t>银行出具的资信证明</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投标人属于成立时间在规定年度之后的法人或其他组织，需提供成立之日起至投标截止时间前的月报表或银行出具的资信证明；资信证明应在有效期内，未注明有效期的，银行出具时间至投标截止时间不超过一年）；</w:t>
            </w:r>
            <w:r>
              <w:rPr>
                <w:rFonts w:hint="eastAsia" w:ascii="宋体" w:hAnsi="宋体" w:eastAsia="宋体" w:cs="宋体"/>
                <w:b/>
                <w:color w:val="000000" w:themeColor="text1"/>
                <w:szCs w:val="21"/>
                <w:highlight w:val="none"/>
                <w14:textFill>
                  <w14:solidFill>
                    <w14:schemeClr w14:val="tx1"/>
                  </w14:solidFill>
                </w14:textFill>
              </w:rPr>
              <w:t>（除自然人外必须提供，否则按无效投标处理）</w:t>
            </w:r>
          </w:p>
          <w:p w14:paraId="181AEAC0">
            <w:pPr>
              <w:autoSpaceDE w:val="0"/>
              <w:autoSpaceDN w:val="0"/>
              <w:snapToGrid w:val="0"/>
              <w:spacing w:line="400" w:lineRule="exact"/>
              <w:textAlignment w:val="bottom"/>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5、投标人直接控股、管理关系信息表（格式后附）；</w:t>
            </w:r>
            <w:r>
              <w:rPr>
                <w:rFonts w:hint="eastAsia" w:ascii="宋体" w:hAnsi="宋体" w:eastAsia="宋体" w:cs="宋体"/>
                <w:b/>
                <w:color w:val="000000" w:themeColor="text1"/>
                <w:szCs w:val="21"/>
                <w:highlight w:val="none"/>
                <w14:textFill>
                  <w14:solidFill>
                    <w14:schemeClr w14:val="tx1"/>
                  </w14:solidFill>
                </w14:textFill>
              </w:rPr>
              <w:t>（必须提供，否则按无效投标处理）</w:t>
            </w:r>
          </w:p>
          <w:p w14:paraId="76E96EE6">
            <w:pPr>
              <w:autoSpaceDE w:val="0"/>
              <w:autoSpaceDN w:val="0"/>
              <w:snapToGrid w:val="0"/>
              <w:spacing w:line="400" w:lineRule="exact"/>
              <w:textAlignment w:val="bottom"/>
              <w:rPr>
                <w:rFonts w:hint="eastAsia" w:ascii="宋体" w:hAnsi="宋体" w:eastAsia="宋体" w:cs="宋体"/>
                <w:b/>
                <w:color w:val="auto"/>
                <w:szCs w:val="21"/>
                <w:highlight w:val="none"/>
              </w:rPr>
            </w:pPr>
            <w:r>
              <w:rPr>
                <w:rFonts w:hint="eastAsia" w:ascii="宋体" w:hAnsi="宋体" w:eastAsia="宋体" w:cs="宋体"/>
                <w:color w:val="000000" w:themeColor="text1"/>
                <w:szCs w:val="21"/>
                <w:highlight w:val="none"/>
                <w14:textFill>
                  <w14:solidFill>
                    <w14:schemeClr w14:val="tx1"/>
                  </w14:solidFill>
                </w14:textFill>
              </w:rPr>
              <w:t>6、投标声明（格式后附）；</w:t>
            </w:r>
            <w:r>
              <w:rPr>
                <w:rFonts w:hint="eastAsia" w:ascii="宋体" w:hAnsi="宋体" w:eastAsia="宋体" w:cs="宋体"/>
                <w:b/>
                <w:color w:val="000000" w:themeColor="text1"/>
                <w:szCs w:val="21"/>
                <w:highlight w:val="none"/>
                <w14:textFill>
                  <w14:solidFill>
                    <w14:schemeClr w14:val="tx1"/>
                  </w14:solidFill>
                </w14:textFill>
              </w:rPr>
              <w:t>（必须提供，否则按无效</w:t>
            </w:r>
            <w:r>
              <w:rPr>
                <w:rFonts w:hint="eastAsia" w:ascii="宋体" w:hAnsi="宋体" w:eastAsia="宋体" w:cs="宋体"/>
                <w:b/>
                <w:color w:val="auto"/>
                <w:szCs w:val="21"/>
                <w:highlight w:val="none"/>
              </w:rPr>
              <w:t>投标处理）</w:t>
            </w:r>
          </w:p>
          <w:p w14:paraId="25C7B064">
            <w:pPr>
              <w:autoSpaceDE w:val="0"/>
              <w:autoSpaceDN w:val="0"/>
              <w:snapToGrid w:val="0"/>
              <w:spacing w:line="400" w:lineRule="exact"/>
              <w:textAlignment w:val="bottom"/>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7、联合体协议书（格式后附）；</w:t>
            </w:r>
            <w:r>
              <w:rPr>
                <w:rFonts w:hint="eastAsia" w:ascii="宋体" w:hAnsi="宋体" w:eastAsia="宋体" w:cs="宋体"/>
                <w:b/>
                <w:color w:val="auto"/>
                <w:szCs w:val="21"/>
                <w:highlight w:val="none"/>
              </w:rPr>
              <w:t>（联合体投标时必须提供，否则按无效投标处理）</w:t>
            </w:r>
          </w:p>
          <w:p w14:paraId="6F4EF224">
            <w:pPr>
              <w:pStyle w:val="59"/>
              <w:ind w:left="0" w:leftChars="0" w:firstLine="0" w:firstLineChars="0"/>
              <w:rPr>
                <w:rFonts w:hint="eastAsia" w:ascii="宋体" w:hAnsi="宋体" w:eastAsia="宋体" w:cs="宋体"/>
                <w:color w:val="auto"/>
                <w:lang w:val="en-US" w:eastAsia="zh-CN"/>
              </w:rPr>
            </w:pPr>
            <w:r>
              <w:rPr>
                <w:rFonts w:hint="eastAsia" w:ascii="宋体" w:hAnsi="宋体" w:eastAsia="宋体" w:cs="宋体"/>
                <w:bCs w:val="0"/>
                <w:color w:val="auto"/>
                <w:spacing w:val="0"/>
                <w:kern w:val="2"/>
                <w:sz w:val="21"/>
                <w:szCs w:val="21"/>
                <w:highlight w:val="none"/>
                <w:lang w:val="en-US" w:eastAsia="zh-CN" w:bidi="ar-SA"/>
              </w:rPr>
              <w:t>8、中小企业或残疾企业或监狱企业申明函或残疾人福利性单位声明函；</w:t>
            </w:r>
            <w:r>
              <w:rPr>
                <w:rFonts w:hint="eastAsia" w:ascii="宋体" w:hAnsi="宋体" w:eastAsia="宋体" w:cs="宋体"/>
                <w:b/>
                <w:color w:val="auto"/>
                <w:szCs w:val="21"/>
                <w:highlight w:val="none"/>
                <w:lang w:val="en-US" w:eastAsia="zh-CN"/>
              </w:rPr>
              <w:t>(</w:t>
            </w:r>
            <w:r>
              <w:rPr>
                <w:rFonts w:hint="eastAsia" w:ascii="宋体" w:hAnsi="宋体" w:eastAsia="宋体" w:cs="宋体"/>
                <w:b/>
                <w:bCs w:val="0"/>
                <w:color w:val="auto"/>
                <w:spacing w:val="0"/>
                <w:kern w:val="2"/>
                <w:sz w:val="21"/>
                <w:szCs w:val="21"/>
                <w:highlight w:val="none"/>
                <w:lang w:val="en-US" w:eastAsia="zh-CN" w:bidi="ar-SA"/>
              </w:rPr>
              <w:t>按格式，</w:t>
            </w:r>
            <w:r>
              <w:rPr>
                <w:rFonts w:hint="eastAsia" w:ascii="宋体" w:hAnsi="宋体" w:cs="宋体"/>
                <w:b/>
                <w:bCs w:val="0"/>
                <w:color w:val="auto"/>
                <w:spacing w:val="0"/>
                <w:kern w:val="2"/>
                <w:sz w:val="21"/>
                <w:szCs w:val="21"/>
                <w:highlight w:val="none"/>
                <w:lang w:val="en-US" w:eastAsia="zh-CN" w:bidi="ar-SA"/>
              </w:rPr>
              <w:t>专门面向中小企业的分标</w:t>
            </w:r>
            <w:r>
              <w:rPr>
                <w:rFonts w:hint="eastAsia" w:ascii="宋体" w:hAnsi="宋体" w:eastAsia="宋体" w:cs="宋体"/>
                <w:b/>
                <w:bCs w:val="0"/>
                <w:color w:val="auto"/>
                <w:spacing w:val="0"/>
                <w:kern w:val="2"/>
                <w:sz w:val="21"/>
                <w:szCs w:val="21"/>
                <w:highlight w:val="none"/>
                <w:lang w:val="en-US" w:eastAsia="zh-CN" w:bidi="ar-SA"/>
              </w:rPr>
              <w:t>必须提供，否则按无效投标处理)</w:t>
            </w:r>
          </w:p>
          <w:p w14:paraId="042C3094">
            <w:pPr>
              <w:autoSpaceDE w:val="0"/>
              <w:autoSpaceDN w:val="0"/>
              <w:snapToGrid w:val="0"/>
              <w:spacing w:line="400" w:lineRule="exact"/>
              <w:textAlignment w:val="bottom"/>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、项目人员根据公开招标公告对应的特定资格要求设置供应商提供的资格证明材</w:t>
            </w:r>
            <w:r>
              <w:rPr>
                <w:rFonts w:hint="eastAsia" w:ascii="宋体" w:hAnsi="宋体" w:eastAsia="宋体" w:cs="宋体"/>
                <w:color w:val="000000" w:themeColor="text1"/>
                <w:szCs w:val="21"/>
                <w:highlight w:val="none"/>
                <w14:textFill>
                  <w14:solidFill>
                    <w14:schemeClr w14:val="tx1"/>
                  </w14:solidFill>
                </w14:textFill>
              </w:rPr>
              <w:t>料：无。</w:t>
            </w:r>
            <w:r>
              <w:rPr>
                <w:rFonts w:hint="eastAsia" w:ascii="宋体" w:hAnsi="宋体" w:eastAsia="宋体" w:cs="宋体"/>
                <w:b/>
                <w:color w:val="000000" w:themeColor="text1"/>
                <w:szCs w:val="21"/>
                <w:highlight w:val="none"/>
                <w14:textFill>
                  <w14:solidFill>
                    <w14:schemeClr w14:val="tx1"/>
                  </w14:solidFill>
                </w14:textFill>
              </w:rPr>
              <w:t>（有要求时必须提供，否则按无效投标处理）</w:t>
            </w:r>
          </w:p>
          <w:p w14:paraId="2D190D64">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10</w:t>
            </w:r>
            <w:r>
              <w:rPr>
                <w:rFonts w:hint="eastAsia" w:ascii="宋体" w:hAnsi="宋体" w:eastAsia="宋体" w:cs="宋体"/>
                <w:color w:val="000000" w:themeColor="text1"/>
                <w:szCs w:val="21"/>
                <w:highlight w:val="none"/>
                <w14:textFill>
                  <w14:solidFill>
                    <w14:schemeClr w14:val="tx1"/>
                  </w14:solidFill>
                </w14:textFill>
              </w:rPr>
              <w:t>、除招标文件规定必须提供以外，投标人认为需要提供的其他证明材料。</w:t>
            </w:r>
          </w:p>
          <w:p w14:paraId="6CCF3321">
            <w:pPr>
              <w:snapToGrid w:val="0"/>
              <w:spacing w:line="400" w:lineRule="exact"/>
              <w:ind w:firstLine="422" w:firstLineChars="20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注：</w:t>
            </w:r>
          </w:p>
          <w:p w14:paraId="6F95BE19">
            <w:pPr>
              <w:snapToGrid w:val="0"/>
              <w:spacing w:line="400" w:lineRule="exact"/>
              <w:ind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1、以上标明“必须提供”的材料属于复印件的，必须加盖投标人公章，否则按无效投标</w:t>
            </w:r>
            <w:r>
              <w:rPr>
                <w:rFonts w:hint="eastAsia" w:ascii="宋体" w:hAnsi="宋体" w:eastAsia="宋体" w:cs="宋体"/>
                <w:b/>
                <w:color w:val="000000" w:themeColor="text1"/>
                <w:szCs w:val="21"/>
                <w:highlight w:val="none"/>
                <w14:textFill>
                  <w14:solidFill>
                    <w14:schemeClr w14:val="tx1"/>
                  </w14:solidFill>
                </w14:textFill>
              </w:rPr>
              <w:t>处理。</w:t>
            </w:r>
          </w:p>
          <w:p w14:paraId="5DA697B6">
            <w:pPr>
              <w:snapToGrid w:val="0"/>
              <w:spacing w:line="400" w:lineRule="exact"/>
              <w:ind w:firstLine="422" w:firstLineChars="20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投标声明必须由法定代表人在规定签章处签章并加盖投标人公章，否则按无效投标处理。</w:t>
            </w:r>
          </w:p>
          <w:p w14:paraId="5BA67B05">
            <w:pPr>
              <w:snapToGrid w:val="0"/>
              <w:spacing w:line="400" w:lineRule="exact"/>
              <w:ind w:firstLine="422" w:firstLineChars="20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3、投标人直接控股、管理关系信息表必须由法定代表人或者委托代理人在规定签章处签字并加盖投标人公章，否则按无效投标</w:t>
            </w:r>
            <w:r>
              <w:rPr>
                <w:rFonts w:hint="eastAsia" w:ascii="宋体" w:hAnsi="宋体" w:eastAsia="宋体" w:cs="宋体"/>
                <w:b/>
                <w:color w:val="000000" w:themeColor="text1"/>
                <w:szCs w:val="21"/>
                <w:highlight w:val="none"/>
                <w14:textFill>
                  <w14:solidFill>
                    <w14:schemeClr w14:val="tx1"/>
                  </w14:solidFill>
                </w14:textFill>
              </w:rPr>
              <w:t>处理</w:t>
            </w:r>
            <w:r>
              <w:rPr>
                <w:rFonts w:hint="eastAsia" w:ascii="宋体" w:hAnsi="宋体" w:eastAsia="宋体" w:cs="宋体"/>
                <w:b/>
                <w:bCs/>
                <w:color w:val="000000" w:themeColor="text1"/>
                <w:szCs w:val="21"/>
                <w:highlight w:val="none"/>
                <w14:textFill>
                  <w14:solidFill>
                    <w14:schemeClr w14:val="tx1"/>
                  </w14:solidFill>
                </w14:textFill>
              </w:rPr>
              <w:t>。</w:t>
            </w:r>
          </w:p>
          <w:p w14:paraId="3C8D53BA">
            <w:pPr>
              <w:snapToGrid w:val="0"/>
              <w:spacing w:line="400" w:lineRule="exact"/>
              <w:ind w:firstLine="422" w:firstLineChars="20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4、联合体投标时，第1-5项资格证明文件联合体各方均必须分别提供，联合体各方分别盖章和签字，否则按无效投标</w:t>
            </w:r>
            <w:r>
              <w:rPr>
                <w:rFonts w:hint="eastAsia" w:ascii="宋体" w:hAnsi="宋体" w:eastAsia="宋体" w:cs="宋体"/>
                <w:b/>
                <w:color w:val="000000" w:themeColor="text1"/>
                <w:szCs w:val="21"/>
                <w:highlight w:val="none"/>
                <w14:textFill>
                  <w14:solidFill>
                    <w14:schemeClr w14:val="tx1"/>
                  </w14:solidFill>
                </w14:textFill>
              </w:rPr>
              <w:t>处理</w:t>
            </w:r>
            <w:r>
              <w:rPr>
                <w:rFonts w:hint="eastAsia" w:ascii="宋体" w:hAnsi="宋体" w:eastAsia="宋体" w:cs="宋体"/>
                <w:b/>
                <w:bCs/>
                <w:color w:val="000000" w:themeColor="text1"/>
                <w:szCs w:val="21"/>
                <w:highlight w:val="none"/>
                <w14:textFill>
                  <w14:solidFill>
                    <w14:schemeClr w14:val="tx1"/>
                  </w14:solidFill>
                </w14:textFill>
              </w:rPr>
              <w:t>。</w:t>
            </w:r>
          </w:p>
        </w:tc>
      </w:tr>
      <w:tr w14:paraId="41158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224A0086">
            <w:pPr>
              <w:spacing w:line="400" w:lineRule="exact"/>
              <w:rPr>
                <w:rFonts w:hint="eastAsia" w:ascii="宋体" w:hAnsi="宋体" w:eastAsia="宋体" w:cs="宋体"/>
                <w:color w:val="000000" w:themeColor="text1"/>
                <w:szCs w:val="21"/>
                <w:highlight w:val="none"/>
                <w14:textFill>
                  <w14:solidFill>
                    <w14:schemeClr w14:val="tx1"/>
                  </w14:solidFill>
                </w14:textFill>
              </w:rPr>
            </w:pPr>
            <w:bookmarkStart w:id="53" w:name="_13.3"/>
            <w:bookmarkEnd w:id="53"/>
          </w:p>
        </w:tc>
        <w:tc>
          <w:tcPr>
            <w:tcW w:w="8708" w:type="dxa"/>
            <w:tcBorders>
              <w:top w:val="single" w:color="auto" w:sz="4" w:space="0"/>
              <w:left w:val="single" w:color="auto" w:sz="4" w:space="0"/>
              <w:bottom w:val="single" w:color="auto" w:sz="4" w:space="0"/>
              <w:right w:val="single" w:color="auto" w:sz="4" w:space="0"/>
            </w:tcBorders>
            <w:vAlign w:val="center"/>
          </w:tcPr>
          <w:p w14:paraId="3318B7C4">
            <w:pPr>
              <w:snapToGrid w:val="0"/>
              <w:spacing w:line="400" w:lineRule="exact"/>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商务文件：</w:t>
            </w:r>
          </w:p>
          <w:p w14:paraId="50926D2C">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1、无串通投标行为的承诺函（格式后附）；（</w:t>
            </w:r>
            <w:r>
              <w:rPr>
                <w:rFonts w:hint="eastAsia" w:ascii="宋体" w:hAnsi="宋体" w:eastAsia="宋体" w:cs="宋体"/>
                <w:b/>
                <w:color w:val="000000" w:themeColor="text1"/>
                <w:szCs w:val="21"/>
                <w:highlight w:val="none"/>
                <w14:textFill>
                  <w14:solidFill>
                    <w14:schemeClr w14:val="tx1"/>
                  </w14:solidFill>
                </w14:textFill>
              </w:rPr>
              <w:t>必须提供，否则按无效投标处理</w:t>
            </w:r>
            <w:r>
              <w:rPr>
                <w:rFonts w:hint="eastAsia" w:ascii="宋体" w:hAnsi="宋体" w:eastAsia="宋体" w:cs="宋体"/>
                <w:color w:val="000000" w:themeColor="text1"/>
                <w:szCs w:val="21"/>
                <w:highlight w:val="none"/>
                <w14:textFill>
                  <w14:solidFill>
                    <w14:schemeClr w14:val="tx1"/>
                  </w14:solidFill>
                </w14:textFill>
              </w:rPr>
              <w:t>）</w:t>
            </w:r>
          </w:p>
          <w:p w14:paraId="3A688862">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2、投标人廉洁承诺（格式后附）；（</w:t>
            </w:r>
            <w:r>
              <w:rPr>
                <w:rFonts w:hint="eastAsia" w:ascii="宋体" w:hAnsi="宋体" w:eastAsia="宋体" w:cs="宋体"/>
                <w:b/>
                <w:color w:val="000000" w:themeColor="text1"/>
                <w:szCs w:val="21"/>
                <w:highlight w:val="none"/>
                <w14:textFill>
                  <w14:solidFill>
                    <w14:schemeClr w14:val="tx1"/>
                  </w14:solidFill>
                </w14:textFill>
              </w:rPr>
              <w:t>必须提供，否则按无效投标处理</w:t>
            </w:r>
            <w:r>
              <w:rPr>
                <w:rFonts w:hint="eastAsia" w:ascii="宋体" w:hAnsi="宋体" w:eastAsia="宋体" w:cs="宋体"/>
                <w:color w:val="000000" w:themeColor="text1"/>
                <w:szCs w:val="21"/>
                <w:highlight w:val="none"/>
                <w14:textFill>
                  <w14:solidFill>
                    <w14:schemeClr w14:val="tx1"/>
                  </w14:solidFill>
                </w14:textFill>
              </w:rPr>
              <w:t>）</w:t>
            </w:r>
          </w:p>
          <w:p w14:paraId="7437A18D">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3、投标保证金缴纳凭证复印件；（</w:t>
            </w:r>
            <w:r>
              <w:rPr>
                <w:rFonts w:hint="eastAsia" w:ascii="宋体" w:hAnsi="宋体" w:eastAsia="宋体" w:cs="宋体"/>
                <w:b/>
                <w:color w:val="000000" w:themeColor="text1"/>
                <w:szCs w:val="21"/>
                <w:highlight w:val="none"/>
                <w14:textFill>
                  <w14:solidFill>
                    <w14:schemeClr w14:val="tx1"/>
                  </w14:solidFill>
                </w14:textFill>
              </w:rPr>
              <w:t>必须提供，否则按无效投标处理</w:t>
            </w:r>
            <w:r>
              <w:rPr>
                <w:rFonts w:hint="eastAsia" w:ascii="宋体" w:hAnsi="宋体" w:eastAsia="宋体" w:cs="宋体"/>
                <w:color w:val="000000" w:themeColor="text1"/>
                <w:szCs w:val="21"/>
                <w:highlight w:val="none"/>
                <w14:textFill>
                  <w14:solidFill>
                    <w14:schemeClr w14:val="tx1"/>
                  </w14:solidFill>
                </w14:textFill>
              </w:rPr>
              <w:t>）</w:t>
            </w:r>
          </w:p>
          <w:p w14:paraId="418BF411">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4、法定代表人身份证明及法定代表人有效身份证正反面复印件（格式后附）；（</w:t>
            </w:r>
            <w:r>
              <w:rPr>
                <w:rFonts w:hint="eastAsia" w:ascii="宋体" w:hAnsi="宋体" w:eastAsia="宋体" w:cs="宋体"/>
                <w:b/>
                <w:bCs/>
                <w:color w:val="000000" w:themeColor="text1"/>
                <w:szCs w:val="21"/>
                <w:highlight w:val="none"/>
                <w14:textFill>
                  <w14:solidFill>
                    <w14:schemeClr w14:val="tx1"/>
                  </w14:solidFill>
                </w14:textFill>
              </w:rPr>
              <w:t>除自然人投标外</w:t>
            </w:r>
            <w:r>
              <w:rPr>
                <w:rFonts w:hint="eastAsia" w:ascii="宋体" w:hAnsi="宋体" w:eastAsia="宋体" w:cs="宋体"/>
                <w:b/>
                <w:color w:val="000000" w:themeColor="text1"/>
                <w:szCs w:val="21"/>
                <w:highlight w:val="none"/>
                <w14:textFill>
                  <w14:solidFill>
                    <w14:schemeClr w14:val="tx1"/>
                  </w14:solidFill>
                </w14:textFill>
              </w:rPr>
              <w:t>必须提供，否则按无效投标处理</w:t>
            </w:r>
            <w:r>
              <w:rPr>
                <w:rFonts w:hint="eastAsia" w:ascii="宋体" w:hAnsi="宋体" w:eastAsia="宋体" w:cs="宋体"/>
                <w:color w:val="000000" w:themeColor="text1"/>
                <w:szCs w:val="21"/>
                <w:highlight w:val="none"/>
                <w14:textFill>
                  <w14:solidFill>
                    <w14:schemeClr w14:val="tx1"/>
                  </w14:solidFill>
                </w14:textFill>
              </w:rPr>
              <w:t>）</w:t>
            </w:r>
          </w:p>
          <w:p w14:paraId="2CF04528">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5、授权委托书及委托代理人有效身份证正反面复印件（格式后附）；（</w:t>
            </w:r>
            <w:r>
              <w:rPr>
                <w:rFonts w:hint="eastAsia" w:ascii="宋体" w:hAnsi="宋体" w:eastAsia="宋体" w:cs="宋体"/>
                <w:b/>
                <w:color w:val="000000" w:themeColor="text1"/>
                <w:szCs w:val="21"/>
                <w:highlight w:val="none"/>
                <w14:textFill>
                  <w14:solidFill>
                    <w14:schemeClr w14:val="tx1"/>
                  </w14:solidFill>
                </w14:textFill>
              </w:rPr>
              <w:t>委托时必须提供，否则按无效投标处理</w:t>
            </w:r>
            <w:r>
              <w:rPr>
                <w:rFonts w:hint="eastAsia" w:ascii="宋体" w:hAnsi="宋体" w:eastAsia="宋体" w:cs="宋体"/>
                <w:color w:val="000000" w:themeColor="text1"/>
                <w:szCs w:val="21"/>
                <w:highlight w:val="none"/>
                <w14:textFill>
                  <w14:solidFill>
                    <w14:schemeClr w14:val="tx1"/>
                  </w14:solidFill>
                </w14:textFill>
              </w:rPr>
              <w:t>）</w:t>
            </w:r>
          </w:p>
          <w:p w14:paraId="29F66656">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6、商务要求偏离表（格式后附）；（</w:t>
            </w:r>
            <w:r>
              <w:rPr>
                <w:rFonts w:hint="eastAsia" w:ascii="宋体" w:hAnsi="宋体" w:eastAsia="宋体" w:cs="宋体"/>
                <w:b/>
                <w:color w:val="000000" w:themeColor="text1"/>
                <w:szCs w:val="21"/>
                <w:highlight w:val="none"/>
                <w14:textFill>
                  <w14:solidFill>
                    <w14:schemeClr w14:val="tx1"/>
                  </w14:solidFill>
                </w14:textFill>
              </w:rPr>
              <w:t>必须提供，否则按无效投标处理</w:t>
            </w:r>
            <w:r>
              <w:rPr>
                <w:rFonts w:hint="eastAsia" w:ascii="宋体" w:hAnsi="宋体" w:eastAsia="宋体" w:cs="宋体"/>
                <w:color w:val="000000" w:themeColor="text1"/>
                <w:szCs w:val="21"/>
                <w:highlight w:val="none"/>
                <w14:textFill>
                  <w14:solidFill>
                    <w14:schemeClr w14:val="tx1"/>
                  </w14:solidFill>
                </w14:textFill>
              </w:rPr>
              <w:t>）</w:t>
            </w:r>
          </w:p>
          <w:p w14:paraId="7ADDD0FD">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7、售后服务承诺及方案（格式自拟）；（</w:t>
            </w:r>
            <w:r>
              <w:rPr>
                <w:rFonts w:hint="eastAsia" w:ascii="宋体" w:hAnsi="宋体" w:eastAsia="宋体" w:cs="宋体"/>
                <w:b/>
                <w:bCs/>
                <w:color w:val="000000" w:themeColor="text1"/>
                <w:szCs w:val="21"/>
                <w:highlight w:val="none"/>
                <w14:textFill>
                  <w14:solidFill>
                    <w14:schemeClr w14:val="tx1"/>
                  </w14:solidFill>
                </w14:textFill>
              </w:rPr>
              <w:t>售后服务承诺</w:t>
            </w:r>
            <w:r>
              <w:rPr>
                <w:rFonts w:hint="eastAsia" w:ascii="宋体" w:hAnsi="宋体" w:eastAsia="宋体" w:cs="宋体"/>
                <w:b/>
                <w:color w:val="000000" w:themeColor="text1"/>
                <w:szCs w:val="21"/>
                <w:highlight w:val="none"/>
                <w14:textFill>
                  <w14:solidFill>
                    <w14:schemeClr w14:val="tx1"/>
                  </w14:solidFill>
                </w14:textFill>
              </w:rPr>
              <w:t>必须提供，否则按无效投标处理</w:t>
            </w:r>
            <w:r>
              <w:rPr>
                <w:rFonts w:hint="eastAsia" w:ascii="宋体" w:hAnsi="宋体" w:eastAsia="宋体" w:cs="宋体"/>
                <w:color w:val="000000" w:themeColor="text1"/>
                <w:szCs w:val="21"/>
                <w:highlight w:val="none"/>
                <w14:textFill>
                  <w14:solidFill>
                    <w14:schemeClr w14:val="tx1"/>
                  </w14:solidFill>
                </w14:textFill>
              </w:rPr>
              <w:t>）</w:t>
            </w:r>
          </w:p>
          <w:p w14:paraId="2AA5C1C5">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8、投标人情况介绍（格式自拟）；</w:t>
            </w:r>
          </w:p>
          <w:p w14:paraId="3217C536">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9、联合体协议书（格式后附）；（</w:t>
            </w:r>
            <w:r>
              <w:rPr>
                <w:rFonts w:hint="eastAsia" w:ascii="宋体" w:hAnsi="宋体" w:eastAsia="宋体" w:cs="宋体"/>
                <w:b/>
                <w:color w:val="000000" w:themeColor="text1"/>
                <w:szCs w:val="21"/>
                <w:highlight w:val="none"/>
                <w14:textFill>
                  <w14:solidFill>
                    <w14:schemeClr w14:val="tx1"/>
                  </w14:solidFill>
                </w14:textFill>
              </w:rPr>
              <w:t>联合体投标时必须提供，否则按无效投标处理</w:t>
            </w:r>
            <w:r>
              <w:rPr>
                <w:rFonts w:hint="eastAsia" w:ascii="宋体" w:hAnsi="宋体" w:eastAsia="宋体" w:cs="宋体"/>
                <w:color w:val="000000" w:themeColor="text1"/>
                <w:szCs w:val="21"/>
                <w:highlight w:val="none"/>
                <w14:textFill>
                  <w14:solidFill>
                    <w14:schemeClr w14:val="tx1"/>
                  </w14:solidFill>
                </w14:textFill>
              </w:rPr>
              <w:t>）</w:t>
            </w:r>
          </w:p>
          <w:p w14:paraId="10683622">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10、除招标文件规定必须提供以外，投标人认为需要提供的其他证明材料（格式自拟）。（投标人根据“第二章 采购需求”及“第四章 评标方法及评标标准”提供有关证明材料）。</w:t>
            </w:r>
          </w:p>
          <w:p w14:paraId="7CF18B6E">
            <w:pPr>
              <w:snapToGrid w:val="0"/>
              <w:spacing w:line="400" w:lineRule="exact"/>
              <w:ind w:firstLine="422"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注：以上标明“必须提供”的材料属于复印件的，必须加盖投标人公章，否则按无效投标</w:t>
            </w:r>
            <w:r>
              <w:rPr>
                <w:rFonts w:hint="eastAsia" w:ascii="宋体" w:hAnsi="宋体" w:eastAsia="宋体" w:cs="宋体"/>
                <w:b/>
                <w:color w:val="000000" w:themeColor="text1"/>
                <w:szCs w:val="21"/>
                <w:highlight w:val="none"/>
                <w14:textFill>
                  <w14:solidFill>
                    <w14:schemeClr w14:val="tx1"/>
                  </w14:solidFill>
                </w14:textFill>
              </w:rPr>
              <w:t>处理</w:t>
            </w:r>
            <w:r>
              <w:rPr>
                <w:rFonts w:hint="eastAsia" w:ascii="宋体" w:hAnsi="宋体" w:eastAsia="宋体" w:cs="宋体"/>
                <w:b/>
                <w:bCs/>
                <w:color w:val="000000" w:themeColor="text1"/>
                <w:szCs w:val="21"/>
                <w:highlight w:val="none"/>
                <w14:textFill>
                  <w14:solidFill>
                    <w14:schemeClr w14:val="tx1"/>
                  </w14:solidFill>
                </w14:textFill>
              </w:rPr>
              <w:t>。</w:t>
            </w:r>
          </w:p>
        </w:tc>
      </w:tr>
      <w:tr w14:paraId="2E447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bottom w:val="single" w:color="auto" w:sz="4" w:space="0"/>
              <w:right w:val="single" w:color="auto" w:sz="4" w:space="0"/>
            </w:tcBorders>
            <w:vAlign w:val="center"/>
          </w:tcPr>
          <w:p w14:paraId="452CE050">
            <w:pPr>
              <w:spacing w:line="400" w:lineRule="exact"/>
              <w:rPr>
                <w:rFonts w:hint="eastAsia" w:ascii="宋体" w:hAnsi="宋体" w:eastAsia="宋体" w:cs="宋体"/>
                <w:color w:val="000000" w:themeColor="text1"/>
                <w:szCs w:val="21"/>
                <w:highlight w:val="none"/>
                <w14:textFill>
                  <w14:solidFill>
                    <w14:schemeClr w14:val="tx1"/>
                  </w14:solidFill>
                </w14:textFill>
              </w:rPr>
            </w:pPr>
            <w:bookmarkStart w:id="54" w:name="_13.4"/>
            <w:bookmarkEnd w:id="54"/>
          </w:p>
        </w:tc>
        <w:tc>
          <w:tcPr>
            <w:tcW w:w="8708" w:type="dxa"/>
            <w:tcBorders>
              <w:top w:val="single" w:color="auto" w:sz="4" w:space="0"/>
              <w:left w:val="single" w:color="auto" w:sz="4" w:space="0"/>
              <w:bottom w:val="single" w:color="auto" w:sz="4" w:space="0"/>
              <w:right w:val="single" w:color="auto" w:sz="4" w:space="0"/>
            </w:tcBorders>
            <w:vAlign w:val="center"/>
          </w:tcPr>
          <w:p w14:paraId="09F15EB4">
            <w:pPr>
              <w:snapToGrid w:val="0"/>
              <w:spacing w:line="400" w:lineRule="exact"/>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 xml:space="preserve">技术文件： </w:t>
            </w:r>
          </w:p>
          <w:p w14:paraId="0C06725D">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1、设备性能配置清单（格式后附）；（</w:t>
            </w:r>
            <w:r>
              <w:rPr>
                <w:rFonts w:hint="eastAsia" w:ascii="宋体" w:hAnsi="宋体" w:eastAsia="宋体" w:cs="宋体"/>
                <w:b/>
                <w:color w:val="000000" w:themeColor="text1"/>
                <w:szCs w:val="21"/>
                <w:highlight w:val="none"/>
                <w14:textFill>
                  <w14:solidFill>
                    <w14:schemeClr w14:val="tx1"/>
                  </w14:solidFill>
                </w14:textFill>
              </w:rPr>
              <w:t>必须提供，否则按无效投标处理</w:t>
            </w:r>
            <w:r>
              <w:rPr>
                <w:rFonts w:hint="eastAsia" w:ascii="宋体" w:hAnsi="宋体" w:eastAsia="宋体" w:cs="宋体"/>
                <w:color w:val="000000" w:themeColor="text1"/>
                <w:szCs w:val="21"/>
                <w:highlight w:val="none"/>
                <w14:textFill>
                  <w14:solidFill>
                    <w14:schemeClr w14:val="tx1"/>
                  </w14:solidFill>
                </w14:textFill>
              </w:rPr>
              <w:t>）</w:t>
            </w:r>
          </w:p>
          <w:p w14:paraId="51CB31B9">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2、技术要求偏离表（格式后附）；（</w:t>
            </w:r>
            <w:r>
              <w:rPr>
                <w:rFonts w:hint="eastAsia" w:ascii="宋体" w:hAnsi="宋体" w:eastAsia="宋体" w:cs="宋体"/>
                <w:b/>
                <w:color w:val="000000" w:themeColor="text1"/>
                <w:szCs w:val="21"/>
                <w:highlight w:val="none"/>
                <w14:textFill>
                  <w14:solidFill>
                    <w14:schemeClr w14:val="tx1"/>
                  </w14:solidFill>
                </w14:textFill>
              </w:rPr>
              <w:t>必须提供，否则按无效投标处理</w:t>
            </w:r>
            <w:r>
              <w:rPr>
                <w:rFonts w:hint="eastAsia" w:ascii="宋体" w:hAnsi="宋体" w:eastAsia="宋体" w:cs="宋体"/>
                <w:color w:val="000000" w:themeColor="text1"/>
                <w:szCs w:val="21"/>
                <w:highlight w:val="none"/>
                <w14:textFill>
                  <w14:solidFill>
                    <w14:schemeClr w14:val="tx1"/>
                  </w14:solidFill>
                </w14:textFill>
              </w:rPr>
              <w:t>）</w:t>
            </w:r>
          </w:p>
          <w:p w14:paraId="38AEF627">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3、项目实施方案（格式自拟）[项目前期准备、项目实施计划（项目实施人员一览表（格式后附）、技术服务、技术培训的内容和措施、</w:t>
            </w:r>
            <w:r>
              <w:rPr>
                <w:rFonts w:hint="eastAsia" w:ascii="宋体" w:hAnsi="宋体" w:eastAsia="宋体" w:cs="宋体"/>
                <w:bCs/>
                <w:color w:val="000000" w:themeColor="text1"/>
                <w:szCs w:val="21"/>
                <w:highlight w:val="none"/>
                <w14:textFill>
                  <w14:solidFill>
                    <w14:schemeClr w14:val="tx1"/>
                  </w14:solidFill>
                </w14:textFill>
              </w:rPr>
              <w:t>质量保证措施</w:t>
            </w:r>
            <w:r>
              <w:rPr>
                <w:rFonts w:hint="eastAsia" w:ascii="宋体" w:hAnsi="宋体" w:eastAsia="宋体" w:cs="宋体"/>
                <w:color w:val="000000" w:themeColor="text1"/>
                <w:szCs w:val="21"/>
                <w:highlight w:val="none"/>
                <w14:textFill>
                  <w14:solidFill>
                    <w14:schemeClr w14:val="tx1"/>
                  </w14:solidFill>
                </w14:textFill>
              </w:rPr>
              <w:t>）]；</w:t>
            </w:r>
          </w:p>
          <w:p w14:paraId="06C8E1ED">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4、对本项目系统总体要求的理解。包括：功能说明、性能指标及设备选型说明（质量、性能、价格、外观、体积等方面进行比较和选择的理由及过程，格式自拟）；</w:t>
            </w:r>
          </w:p>
          <w:p w14:paraId="6F5F099F">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5、产品出厂标准、质量检测报告[其中有精度要求的仪器设备类政府采购项目，应当要求投标人提供精度数据（</w:t>
            </w:r>
            <w:r>
              <w:rPr>
                <w:rFonts w:hint="eastAsia" w:ascii="宋体" w:hAnsi="宋体" w:eastAsia="宋体" w:cs="宋体"/>
                <w:color w:val="000000" w:themeColor="text1"/>
                <w:highlight w:val="none"/>
                <w14:textFill>
                  <w14:solidFill>
                    <w14:schemeClr w14:val="tx1"/>
                  </w14:solidFill>
                </w14:textFill>
              </w:rPr>
              <w:t>国家认可的有资质的第三方检测机构出具的检测报告复印件</w:t>
            </w:r>
            <w:r>
              <w:rPr>
                <w:rFonts w:hint="eastAsia" w:ascii="宋体" w:hAnsi="宋体" w:eastAsia="宋体" w:cs="宋体"/>
                <w:color w:val="000000" w:themeColor="text1"/>
                <w:szCs w:val="21"/>
                <w:highlight w:val="none"/>
                <w14:textFill>
                  <w14:solidFill>
                    <w14:schemeClr w14:val="tx1"/>
                  </w14:solidFill>
                </w14:textFill>
              </w:rPr>
              <w:t>或者由采购人在投标前组织的实测获得）]；（</w:t>
            </w:r>
            <w:r>
              <w:rPr>
                <w:rFonts w:hint="eastAsia" w:ascii="宋体" w:hAnsi="宋体" w:eastAsia="宋体" w:cs="宋体"/>
                <w:b/>
                <w:color w:val="000000" w:themeColor="text1"/>
                <w:szCs w:val="21"/>
                <w:highlight w:val="none"/>
                <w14:textFill>
                  <w14:solidFill>
                    <w14:schemeClr w14:val="tx1"/>
                  </w14:solidFill>
                </w14:textFill>
              </w:rPr>
              <w:t>采购需求中</w:t>
            </w:r>
            <w:r>
              <w:rPr>
                <w:rFonts w:hint="eastAsia" w:ascii="宋体" w:hAnsi="宋体" w:eastAsia="宋体" w:cs="宋体"/>
                <w:b/>
                <w:color w:val="000000" w:themeColor="text1"/>
                <w:szCs w:val="21"/>
                <w:highlight w:val="none"/>
                <w:lang w:val="en-US" w:eastAsia="zh-CN"/>
                <w14:textFill>
                  <w14:solidFill>
                    <w14:schemeClr w14:val="tx1"/>
                  </w14:solidFill>
                </w14:textFill>
              </w:rPr>
              <w:t>如</w:t>
            </w:r>
            <w:r>
              <w:rPr>
                <w:rFonts w:hint="eastAsia" w:ascii="宋体" w:hAnsi="宋体" w:eastAsia="宋体" w:cs="宋体"/>
                <w:b/>
                <w:color w:val="000000" w:themeColor="text1"/>
                <w:szCs w:val="21"/>
                <w:highlight w:val="none"/>
                <w14:textFill>
                  <w14:solidFill>
                    <w14:schemeClr w14:val="tx1"/>
                  </w14:solidFill>
                </w14:textFill>
              </w:rPr>
              <w:t>要求必须提供时必须提供，否则按无效投标处理</w:t>
            </w:r>
            <w:r>
              <w:rPr>
                <w:rFonts w:hint="eastAsia" w:ascii="宋体" w:hAnsi="宋体" w:eastAsia="宋体" w:cs="宋体"/>
                <w:color w:val="000000" w:themeColor="text1"/>
                <w:szCs w:val="21"/>
                <w:highlight w:val="none"/>
                <w14:textFill>
                  <w14:solidFill>
                    <w14:schemeClr w14:val="tx1"/>
                  </w14:solidFill>
                </w14:textFill>
              </w:rPr>
              <w:t>）</w:t>
            </w:r>
          </w:p>
          <w:p w14:paraId="3CE3CBDD">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6、优惠条件：投标人承诺给予招标人的各种优惠条件，包括售后服务、备品备件、专用耗材等方面的优惠；投标人不得给予赠品或者与采购无关的其他商品、服务；</w:t>
            </w:r>
          </w:p>
          <w:p w14:paraId="0A21D6DF">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7、投标人对本项目的合理化建议和改进措施（格式自拟）；</w:t>
            </w:r>
          </w:p>
          <w:p w14:paraId="592C2234">
            <w:pPr>
              <w:snapToGrid w:val="0"/>
              <w:spacing w:line="400" w:lineRule="exact"/>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8、除招标文件规定必须提供以外，投标人需要说明的其他文件和说明（格式自拟）。</w:t>
            </w:r>
          </w:p>
          <w:p w14:paraId="6E1512C5">
            <w:pPr>
              <w:snapToGrid w:val="0"/>
              <w:spacing w:line="400" w:lineRule="exact"/>
              <w:ind w:firstLine="422" w:firstLineChars="20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注：以上标明“必须提供”的材料属于复印件的，必须加盖投标人公章，否则按无效投标</w:t>
            </w:r>
            <w:r>
              <w:rPr>
                <w:rFonts w:hint="eastAsia" w:ascii="宋体" w:hAnsi="宋体" w:eastAsia="宋体" w:cs="宋体"/>
                <w:b/>
                <w:color w:val="000000" w:themeColor="text1"/>
                <w:szCs w:val="21"/>
                <w:highlight w:val="none"/>
                <w14:textFill>
                  <w14:solidFill>
                    <w14:schemeClr w14:val="tx1"/>
                  </w14:solidFill>
                </w14:textFill>
              </w:rPr>
              <w:t>处理</w:t>
            </w:r>
            <w:r>
              <w:rPr>
                <w:rFonts w:hint="eastAsia" w:ascii="宋体" w:hAnsi="宋体" w:eastAsia="宋体" w:cs="宋体"/>
                <w:b/>
                <w:bCs/>
                <w:color w:val="000000" w:themeColor="text1"/>
                <w:szCs w:val="21"/>
                <w:highlight w:val="none"/>
                <w14:textFill>
                  <w14:solidFill>
                    <w14:schemeClr w14:val="tx1"/>
                  </w14:solidFill>
                </w14:textFill>
              </w:rPr>
              <w:t>。</w:t>
            </w:r>
          </w:p>
        </w:tc>
      </w:tr>
      <w:tr w14:paraId="2C4EA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ADF6D59">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bookmarkStart w:id="55" w:name="_16.2"/>
            <w:bookmarkEnd w:id="55"/>
            <w:bookmarkStart w:id="56" w:name="_13.5"/>
            <w:bookmarkEnd w:id="56"/>
            <w:r>
              <w:rPr>
                <w:rFonts w:hint="eastAsia" w:ascii="宋体" w:hAnsi="宋体" w:eastAsia="宋体" w:cs="宋体"/>
                <w:color w:val="000000" w:themeColor="text1"/>
                <w:szCs w:val="21"/>
                <w:highlight w:val="none"/>
                <w14:textFill>
                  <w14:solidFill>
                    <w14:schemeClr w14:val="tx1"/>
                  </w14:solidFill>
                </w14:textFill>
              </w:rPr>
              <w:t>16</w:t>
            </w:r>
            <w:bookmarkStart w:id="57" w:name="_Hlt19693759"/>
            <w:bookmarkStart w:id="58" w:name="_Hlt19693758"/>
            <w:bookmarkStart w:id="59" w:name="_Hlt19194066"/>
            <w:bookmarkStart w:id="60" w:name="_Hlt19194067"/>
            <w:r>
              <w:rPr>
                <w:rFonts w:hint="eastAsia" w:ascii="宋体" w:hAnsi="宋体" w:eastAsia="宋体" w:cs="宋体"/>
                <w:color w:val="000000" w:themeColor="text1"/>
                <w:szCs w:val="21"/>
                <w:highlight w:val="none"/>
                <w14:textFill>
                  <w14:solidFill>
                    <w14:schemeClr w14:val="tx1"/>
                  </w14:solidFill>
                </w14:textFill>
              </w:rPr>
              <w:t>.</w:t>
            </w:r>
            <w:bookmarkEnd w:id="57"/>
            <w:bookmarkEnd w:id="58"/>
            <w:bookmarkEnd w:id="59"/>
            <w:bookmarkEnd w:id="60"/>
            <w:r>
              <w:rPr>
                <w:rFonts w:hint="eastAsia" w:ascii="宋体" w:hAnsi="宋体" w:eastAsia="宋体" w:cs="宋体"/>
                <w:color w:val="000000" w:themeColor="text1"/>
                <w:szCs w:val="21"/>
                <w:highlight w:val="none"/>
                <w14:textFill>
                  <w14:solidFill>
                    <w14:schemeClr w14:val="tx1"/>
                  </w14:solidFill>
                </w14:textFill>
              </w:rPr>
              <w:t>2</w:t>
            </w:r>
          </w:p>
        </w:tc>
        <w:tc>
          <w:tcPr>
            <w:tcW w:w="8708" w:type="dxa"/>
            <w:tcBorders>
              <w:top w:val="single" w:color="auto" w:sz="4" w:space="0"/>
              <w:left w:val="single" w:color="auto" w:sz="4" w:space="0"/>
              <w:bottom w:val="single" w:color="auto" w:sz="4" w:space="0"/>
              <w:right w:val="single" w:color="auto" w:sz="4" w:space="0"/>
            </w:tcBorders>
            <w:vAlign w:val="center"/>
          </w:tcPr>
          <w:p w14:paraId="037347E0">
            <w:pPr>
              <w:snapToGrid w:val="0"/>
              <w:spacing w:line="400" w:lineRule="exac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报价是履行合同的最终价格，包括投标货物（包括备品备件、专用工具等）的价格，投标货物运输（含保险）、安装（如有）、调试、检验、技术服务、培训和招标文件要求提供的所有伴随服务、工程等费用和税费。</w:t>
            </w:r>
            <w:r>
              <w:rPr>
                <w:rFonts w:hint="eastAsia" w:ascii="宋体" w:hAnsi="宋体" w:eastAsia="宋体" w:cs="宋体"/>
                <w:b/>
                <w:color w:val="000000" w:themeColor="text1"/>
                <w:szCs w:val="21"/>
                <w:highlight w:val="none"/>
                <w14:textFill>
                  <w14:solidFill>
                    <w14:schemeClr w14:val="tx1"/>
                  </w14:solidFill>
                </w14:textFill>
              </w:rPr>
              <w:t>（采购需求另有约定的，从其约定）</w:t>
            </w:r>
          </w:p>
        </w:tc>
      </w:tr>
      <w:tr w14:paraId="430DF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E5188D0">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bookmarkStart w:id="61" w:name="_17.1"/>
            <w:bookmarkEnd w:id="61"/>
            <w:r>
              <w:rPr>
                <w:rFonts w:hint="eastAsia" w:ascii="宋体" w:hAnsi="宋体" w:eastAsia="宋体" w:cs="宋体"/>
                <w:color w:val="000000" w:themeColor="text1"/>
                <w:szCs w:val="21"/>
                <w:highlight w:val="none"/>
                <w14:textFill>
                  <w14:solidFill>
                    <w14:schemeClr w14:val="tx1"/>
                  </w14:solidFill>
                </w14:textFill>
              </w:rPr>
              <w:t>17.2</w:t>
            </w:r>
          </w:p>
        </w:tc>
        <w:tc>
          <w:tcPr>
            <w:tcW w:w="8708" w:type="dxa"/>
            <w:tcBorders>
              <w:top w:val="single" w:color="auto" w:sz="4" w:space="0"/>
              <w:left w:val="single" w:color="auto" w:sz="4" w:space="0"/>
              <w:bottom w:val="single" w:color="auto" w:sz="4" w:space="0"/>
              <w:right w:val="single" w:color="auto" w:sz="4" w:space="0"/>
            </w:tcBorders>
            <w:vAlign w:val="center"/>
          </w:tcPr>
          <w:p w14:paraId="75AD9C5B">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投标有效期：投标截止之日起60天内。</w:t>
            </w:r>
          </w:p>
        </w:tc>
      </w:tr>
      <w:tr w14:paraId="0A4244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7BA4619">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bookmarkStart w:id="62" w:name="_18"/>
            <w:bookmarkEnd w:id="62"/>
            <w:r>
              <w:rPr>
                <w:rFonts w:hint="eastAsia" w:ascii="宋体" w:hAnsi="宋体" w:eastAsia="宋体" w:cs="宋体"/>
                <w:color w:val="000000" w:themeColor="text1"/>
                <w:szCs w:val="21"/>
                <w:highlight w:val="none"/>
                <w14:textFill>
                  <w14:solidFill>
                    <w14:schemeClr w14:val="tx1"/>
                  </w14:solidFill>
                </w14:textFill>
              </w:rPr>
              <w:t>18.1</w:t>
            </w:r>
          </w:p>
        </w:tc>
        <w:tc>
          <w:tcPr>
            <w:tcW w:w="8708" w:type="dxa"/>
            <w:tcBorders>
              <w:top w:val="single" w:color="auto" w:sz="4" w:space="0"/>
              <w:left w:val="single" w:color="auto" w:sz="4" w:space="0"/>
              <w:bottom w:val="single" w:color="auto" w:sz="4" w:space="0"/>
              <w:right w:val="single" w:color="auto" w:sz="4" w:space="0"/>
            </w:tcBorders>
            <w:vAlign w:val="center"/>
          </w:tcPr>
          <w:p w14:paraId="27430F8C">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√本项目收取投标保证金，具体规定如下：</w:t>
            </w:r>
          </w:p>
          <w:p w14:paraId="3F6E3E13">
            <w:pPr>
              <w:spacing w:line="360" w:lineRule="exac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保证金金额：</w:t>
            </w:r>
            <w:r>
              <w:rPr>
                <w:rFonts w:hint="eastAsia" w:ascii="宋体" w:hAnsi="宋体" w:eastAsia="宋体" w:cs="宋体"/>
                <w:color w:val="000000" w:themeColor="text1"/>
                <w:szCs w:val="21"/>
                <w:highlight w:val="none"/>
                <w14:textFill>
                  <w14:solidFill>
                    <w14:schemeClr w14:val="tx1"/>
                  </w14:solidFill>
                </w14:textFill>
              </w:rPr>
              <w:t>1分标：</w:t>
            </w:r>
            <w:r>
              <w:rPr>
                <w:rFonts w:hint="eastAsia" w:ascii="宋体" w:hAnsi="宋体" w:eastAsia="宋体" w:cs="宋体"/>
                <w:color w:val="000000" w:themeColor="text1"/>
                <w:szCs w:val="21"/>
                <w:highlight w:val="none"/>
                <w:lang w:val="en-US" w:eastAsia="zh-CN"/>
                <w14:textFill>
                  <w14:solidFill>
                    <w14:schemeClr w14:val="tx1"/>
                  </w14:solidFill>
                </w14:textFill>
              </w:rPr>
              <w:t>6.4</w:t>
            </w:r>
            <w:r>
              <w:rPr>
                <w:rFonts w:hint="eastAsia" w:ascii="宋体" w:hAnsi="宋体" w:eastAsia="宋体" w:cs="宋体"/>
                <w:color w:val="000000" w:themeColor="text1"/>
                <w:szCs w:val="21"/>
                <w:highlight w:val="none"/>
                <w14:textFill>
                  <w14:solidFill>
                    <w14:schemeClr w14:val="tx1"/>
                  </w14:solidFill>
                </w14:textFill>
              </w:rPr>
              <w:t>万元；2分标：</w:t>
            </w:r>
            <w:r>
              <w:rPr>
                <w:rFonts w:hint="eastAsia" w:ascii="宋体" w:hAnsi="宋体" w:eastAsia="宋体" w:cs="宋体"/>
                <w:color w:val="000000" w:themeColor="text1"/>
                <w:szCs w:val="21"/>
                <w:highlight w:val="none"/>
                <w:lang w:val="en-US" w:eastAsia="zh-CN"/>
                <w14:textFill>
                  <w14:solidFill>
                    <w14:schemeClr w14:val="tx1"/>
                  </w14:solidFill>
                </w14:textFill>
              </w:rPr>
              <w:t>3.49</w:t>
            </w:r>
            <w:r>
              <w:rPr>
                <w:rFonts w:hint="eastAsia" w:ascii="宋体" w:hAnsi="宋体" w:eastAsia="宋体" w:cs="宋体"/>
                <w:color w:val="000000" w:themeColor="text1"/>
                <w:szCs w:val="21"/>
                <w:highlight w:val="none"/>
                <w14:textFill>
                  <w14:solidFill>
                    <w14:schemeClr w14:val="tx1"/>
                  </w14:solidFill>
                </w14:textFill>
              </w:rPr>
              <w:t>万元；3分标：</w:t>
            </w:r>
            <w:r>
              <w:rPr>
                <w:rFonts w:hint="eastAsia" w:ascii="宋体" w:hAnsi="宋体" w:eastAsia="宋体" w:cs="宋体"/>
                <w:color w:val="000000" w:themeColor="text1"/>
                <w:szCs w:val="21"/>
                <w:highlight w:val="none"/>
                <w:lang w:val="en-US" w:eastAsia="zh-CN"/>
                <w14:textFill>
                  <w14:solidFill>
                    <w14:schemeClr w14:val="tx1"/>
                  </w14:solidFill>
                </w14:textFill>
              </w:rPr>
              <w:t>1.66</w:t>
            </w:r>
            <w:r>
              <w:rPr>
                <w:rFonts w:hint="eastAsia" w:ascii="宋体" w:hAnsi="宋体" w:eastAsia="宋体" w:cs="宋体"/>
                <w:color w:val="000000" w:themeColor="text1"/>
                <w:szCs w:val="21"/>
                <w:highlight w:val="none"/>
                <w14:textFill>
                  <w14:solidFill>
                    <w14:schemeClr w14:val="tx1"/>
                  </w14:solidFill>
                </w14:textFill>
              </w:rPr>
              <w:t>万元；4分标：</w:t>
            </w:r>
            <w:r>
              <w:rPr>
                <w:rFonts w:hint="eastAsia" w:ascii="宋体" w:hAnsi="宋体" w:eastAsia="宋体" w:cs="宋体"/>
                <w:color w:val="000000" w:themeColor="text1"/>
                <w:szCs w:val="21"/>
                <w:highlight w:val="none"/>
                <w:lang w:val="en-US" w:eastAsia="zh-CN"/>
                <w14:textFill>
                  <w14:solidFill>
                    <w14:schemeClr w14:val="tx1"/>
                  </w14:solidFill>
                </w14:textFill>
              </w:rPr>
              <w:t>3.5</w:t>
            </w:r>
            <w:r>
              <w:rPr>
                <w:rFonts w:hint="eastAsia" w:ascii="宋体" w:hAnsi="宋体" w:eastAsia="宋体" w:cs="宋体"/>
                <w:color w:val="000000" w:themeColor="text1"/>
                <w:szCs w:val="21"/>
                <w:highlight w:val="none"/>
                <w14:textFill>
                  <w14:solidFill>
                    <w14:schemeClr w14:val="tx1"/>
                  </w14:solidFill>
                </w14:textFill>
              </w:rPr>
              <w:t>万元</w:t>
            </w:r>
            <w:r>
              <w:rPr>
                <w:rFonts w:hint="eastAsia" w:ascii="宋体" w:hAnsi="宋体" w:eastAsia="宋体" w:cs="宋体"/>
                <w:color w:val="000000" w:themeColor="text1"/>
                <w:kern w:val="0"/>
                <w:szCs w:val="21"/>
                <w:highlight w:val="none"/>
                <w:lang w:eastAsia="zh-CN"/>
                <w14:textFill>
                  <w14:solidFill>
                    <w14:schemeClr w14:val="tx1"/>
                  </w14:solidFill>
                </w14:textFill>
              </w:rPr>
              <w:t>。投标保证金的缴纳方式：</w:t>
            </w:r>
            <w:r>
              <w:rPr>
                <w:rFonts w:hint="eastAsia" w:ascii="宋体" w:hAnsi="宋体" w:eastAsia="宋体" w:cs="宋体"/>
                <w:color w:val="000000" w:themeColor="text1"/>
                <w:kern w:val="0"/>
                <w:szCs w:val="21"/>
                <w:highlight w:val="none"/>
                <w:lang w:val="en-US" w:eastAsia="zh-CN"/>
                <w14:textFill>
                  <w14:solidFill>
                    <w14:schemeClr w14:val="tx1"/>
                  </w14:solidFill>
                </w14:textFill>
              </w:rPr>
              <w:t>须</w:t>
            </w:r>
            <w:r>
              <w:rPr>
                <w:rFonts w:hint="eastAsia" w:ascii="宋体" w:hAnsi="宋体" w:eastAsia="宋体" w:cs="宋体"/>
                <w:color w:val="000000" w:themeColor="text1"/>
                <w:kern w:val="0"/>
                <w:szCs w:val="21"/>
                <w:highlight w:val="none"/>
                <w:lang w:eastAsia="zh-CN"/>
                <w14:textFill>
                  <w14:solidFill>
                    <w14:schemeClr w14:val="tx1"/>
                  </w14:solidFill>
                </w14:textFill>
              </w:rPr>
              <w:t>足额交纳，以银行转账、支票、汇票、本票或者金融机构、担保机构出具的保函等非现金形式提交。采用银行转账方式的，在投标截止时间前交至采购代理机构指定账户并且到账并备注XXX项目X分标（如有）投标保证金。缴纳投标保证金指定账户的信息：</w:t>
            </w:r>
          </w:p>
          <w:p w14:paraId="3CB7FFA6">
            <w:pPr>
              <w:pStyle w:val="26"/>
              <w:snapToGrid w:val="0"/>
              <w:spacing w:line="360" w:lineRule="exact"/>
              <w:jc w:val="left"/>
              <w:rPr>
                <w:rFonts w:hAnsi="宋体" w:cs="宋体"/>
                <w:color w:val="auto"/>
                <w:szCs w:val="21"/>
                <w:highlight w:val="none"/>
              </w:rPr>
            </w:pPr>
            <w:r>
              <w:rPr>
                <w:rFonts w:hint="eastAsia" w:hAnsi="宋体" w:cs="宋体"/>
                <w:color w:val="auto"/>
                <w:szCs w:val="21"/>
                <w:highlight w:val="none"/>
              </w:rPr>
              <w:t>开户名称：</w:t>
            </w:r>
            <w:r>
              <w:rPr>
                <w:rFonts w:hint="eastAsia" w:hAnsi="宋体" w:cs="宋体"/>
                <w:color w:val="auto"/>
                <w:szCs w:val="21"/>
                <w:highlight w:val="none"/>
                <w:lang w:eastAsia="zh-CN"/>
              </w:rPr>
              <w:t>广西睿翼工程咨询有限公司南宁分公司</w:t>
            </w:r>
          </w:p>
          <w:p w14:paraId="3B70C865">
            <w:pPr>
              <w:pStyle w:val="26"/>
              <w:snapToGrid w:val="0"/>
              <w:spacing w:line="360" w:lineRule="exact"/>
              <w:jc w:val="left"/>
              <w:rPr>
                <w:rFonts w:hint="eastAsia" w:hAnsi="宋体" w:eastAsia="宋体" w:cs="宋体"/>
                <w:color w:val="auto"/>
                <w:szCs w:val="21"/>
                <w:highlight w:val="none"/>
                <w:lang w:eastAsia="zh-CN"/>
              </w:rPr>
            </w:pPr>
            <w:r>
              <w:rPr>
                <w:rFonts w:hint="eastAsia" w:hAnsi="宋体" w:cs="宋体"/>
                <w:color w:val="auto"/>
                <w:szCs w:val="21"/>
                <w:highlight w:val="none"/>
              </w:rPr>
              <w:t>开户银行：</w:t>
            </w:r>
            <w:r>
              <w:rPr>
                <w:rFonts w:hint="eastAsia" w:hAnsi="宋体" w:cs="宋体"/>
                <w:color w:val="auto"/>
                <w:szCs w:val="21"/>
                <w:highlight w:val="none"/>
                <w:lang w:eastAsia="zh-CN"/>
              </w:rPr>
              <w:t>华夏银行股份有限公司南宁青秀支行</w:t>
            </w:r>
          </w:p>
          <w:p w14:paraId="3E4AB216">
            <w:pPr>
              <w:pStyle w:val="26"/>
              <w:snapToGrid w:val="0"/>
              <w:spacing w:line="360" w:lineRule="exact"/>
              <w:jc w:val="left"/>
              <w:rPr>
                <w:rFonts w:hint="eastAsia" w:hAnsi="宋体" w:eastAsia="宋体" w:cs="宋体"/>
                <w:color w:val="auto"/>
                <w:szCs w:val="21"/>
                <w:highlight w:val="none"/>
                <w:lang w:eastAsia="zh-CN"/>
              </w:rPr>
            </w:pPr>
            <w:r>
              <w:rPr>
                <w:rFonts w:hint="eastAsia" w:hAnsi="宋体" w:cs="宋体"/>
                <w:color w:val="auto"/>
                <w:szCs w:val="21"/>
                <w:highlight w:val="none"/>
              </w:rPr>
              <w:t>银行账户：</w:t>
            </w:r>
            <w:r>
              <w:rPr>
                <w:rFonts w:hint="eastAsia" w:hAnsi="宋体" w:cs="宋体"/>
                <w:color w:val="auto"/>
                <w:szCs w:val="21"/>
                <w:highlight w:val="none"/>
                <w:lang w:eastAsia="zh-CN"/>
              </w:rPr>
              <w:t>13053000000217831</w:t>
            </w:r>
          </w:p>
          <w:p w14:paraId="7C1C1AAF">
            <w:pPr>
              <w:pStyle w:val="19"/>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相关要求：</w:t>
            </w:r>
          </w:p>
          <w:p w14:paraId="6374EF0C">
            <w:pPr>
              <w:pStyle w:val="19"/>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1、投标保证金采用银行转账交纳方式</w:t>
            </w:r>
            <w:r>
              <w:rPr>
                <w:rFonts w:hint="eastAsia" w:ascii="宋体" w:hAnsi="宋体" w:eastAsia="宋体" w:cs="宋体"/>
                <w:b w:val="0"/>
                <w:bCs w:val="0"/>
                <w:color w:val="000000" w:themeColor="text1"/>
                <w:szCs w:val="21"/>
                <w:highlight w:val="none"/>
                <w14:textFill>
                  <w14:solidFill>
                    <w14:schemeClr w14:val="tx1"/>
                  </w14:solidFill>
                </w14:textFill>
              </w:rPr>
              <w:t>的</w:t>
            </w:r>
            <w:r>
              <w:rPr>
                <w:rFonts w:hint="eastAsia" w:ascii="宋体" w:hAnsi="宋体" w:cs="宋体"/>
                <w:b w:val="0"/>
                <w:bCs w:val="0"/>
                <w:color w:val="auto"/>
                <w:szCs w:val="21"/>
                <w:highlight w:val="none"/>
              </w:rPr>
              <w:t>，</w:t>
            </w:r>
            <w:r>
              <w:rPr>
                <w:rFonts w:hint="eastAsia" w:ascii="宋体" w:hAnsi="宋体" w:eastAsia="宋体" w:cs="宋体"/>
                <w:b w:val="0"/>
                <w:bCs w:val="0"/>
                <w:color w:val="000000" w:themeColor="text1"/>
                <w:szCs w:val="21"/>
                <w:highlight w:val="none"/>
                <w14:textFill>
                  <w14:solidFill>
                    <w14:schemeClr w14:val="tx1"/>
                  </w14:solidFill>
                </w14:textFill>
              </w:rPr>
              <w:t>在</w:t>
            </w:r>
            <w:r>
              <w:rPr>
                <w:rFonts w:hint="eastAsia" w:ascii="宋体" w:hAnsi="宋体" w:eastAsia="宋体" w:cs="宋体"/>
                <w:color w:val="000000" w:themeColor="text1"/>
                <w:szCs w:val="21"/>
                <w:highlight w:val="none"/>
                <w14:textFill>
                  <w14:solidFill>
                    <w14:schemeClr w14:val="tx1"/>
                  </w14:solidFill>
                </w14:textFill>
              </w:rPr>
              <w:t>投标截止时间前交至指定账户并且到账，投标人应将银行转账底单的复印件作为投标保证金提交凭证，放置于商务文件中，</w:t>
            </w:r>
            <w:r>
              <w:rPr>
                <w:rFonts w:hint="eastAsia" w:ascii="宋体" w:hAnsi="宋体" w:eastAsia="宋体" w:cs="宋体"/>
                <w:b/>
                <w:color w:val="000000" w:themeColor="text1"/>
                <w:szCs w:val="21"/>
                <w:highlight w:val="none"/>
                <w14:textFill>
                  <w14:solidFill>
                    <w14:schemeClr w14:val="tx1"/>
                  </w14:solidFill>
                </w14:textFill>
              </w:rPr>
              <w:t>否则投标无</w:t>
            </w:r>
            <w:r>
              <w:rPr>
                <w:rFonts w:hint="eastAsia" w:ascii="宋体" w:hAnsi="宋体" w:eastAsia="宋体" w:cs="宋体"/>
                <w:b/>
                <w:bCs w:val="0"/>
                <w:color w:val="000000" w:themeColor="text1"/>
                <w:szCs w:val="21"/>
                <w:highlight w:val="none"/>
                <w14:textFill>
                  <w14:solidFill>
                    <w14:schemeClr w14:val="tx1"/>
                  </w14:solidFill>
                </w14:textFill>
              </w:rPr>
              <w:t>效。</w:t>
            </w:r>
          </w:p>
          <w:p w14:paraId="68D89D91">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2、投标保证金采用支票、汇票、本票或者金融、担保机构出具的保函交纳方式的，投标人应将支票、汇票、本票或者金融、担保机构出具的保函的复印件作为投标保证金提交凭证，放置于商务文件中，</w:t>
            </w:r>
            <w:r>
              <w:rPr>
                <w:rFonts w:hint="eastAsia" w:ascii="宋体" w:hAnsi="宋体" w:eastAsia="宋体" w:cs="宋体"/>
                <w:b/>
                <w:color w:val="000000" w:themeColor="text1"/>
                <w:szCs w:val="21"/>
                <w:highlight w:val="none"/>
                <w14:textFill>
                  <w14:solidFill>
                    <w14:schemeClr w14:val="tx1"/>
                  </w14:solidFill>
                </w14:textFill>
              </w:rPr>
              <w:t>否则投标无效</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投标人必须在投标截止时间前将支票、汇票、本票或者金融、担保机构出具的保函原件提交给采购代理机构，由采购代理机构向投标人出具回执，并妥善保管。</w:t>
            </w:r>
          </w:p>
          <w:p w14:paraId="1C8085AC">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3、投标人为联合体的，可以由联合体中的一方或者多方共同交纳投标保证金，其交纳的保证金对联合体各方均具有约束力。</w:t>
            </w:r>
          </w:p>
          <w:p w14:paraId="027505E0">
            <w:pPr>
              <w:snapToGrid w:val="0"/>
              <w:spacing w:line="400" w:lineRule="exac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 xml:space="preserve">备注： </w:t>
            </w:r>
          </w:p>
          <w:p w14:paraId="3104FF58">
            <w:pPr>
              <w:snapToGrid w:val="0"/>
              <w:spacing w:line="400" w:lineRule="exac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1、投标保证金在投标截止时间后提交的，或者不按规定交纳方式交纳的，或者未足额交纳的（包含保函额度不足的），视为无效投标保证金。</w:t>
            </w:r>
          </w:p>
          <w:p w14:paraId="136F72A2">
            <w:pPr>
              <w:snapToGrid w:val="0"/>
              <w:spacing w:line="400" w:lineRule="exac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2、投标人采用现钞方式或者从个人账户（自然人投标除外）转出的投标保证金，视为无效投标保证金。</w:t>
            </w:r>
          </w:p>
          <w:p w14:paraId="2C4698C9">
            <w:pPr>
              <w:snapToGrid w:val="0"/>
              <w:spacing w:line="400" w:lineRule="exac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3、支票、汇票或者本票出现无效或者背书情形的，视为无效投标保证金。</w:t>
            </w:r>
          </w:p>
          <w:p w14:paraId="46FB7B18">
            <w:pPr>
              <w:snapToGrid w:val="0"/>
              <w:spacing w:line="400" w:lineRule="exac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4、保函有效期低于投标有效期的，视为无效投标保证金。</w:t>
            </w:r>
          </w:p>
          <w:p w14:paraId="53F76FAB">
            <w:pPr>
              <w:autoSpaceDE w:val="0"/>
              <w:autoSpaceDN w:val="0"/>
              <w:snapToGrid w:val="0"/>
              <w:spacing w:line="400" w:lineRule="exact"/>
              <w:textAlignment w:val="bottom"/>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5、采用金融、担保机构出具保函的，必须为无条件保函，否则视为无效投标保证金。</w:t>
            </w:r>
          </w:p>
          <w:p w14:paraId="67843E6F">
            <w:pPr>
              <w:snapToGrid w:val="0"/>
              <w:spacing w:line="400" w:lineRule="exac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6</w:t>
            </w:r>
            <w:r>
              <w:rPr>
                <w:rFonts w:hint="eastAsia" w:ascii="宋体" w:hAnsi="宋体" w:eastAsia="宋体" w:cs="宋体"/>
                <w:b/>
                <w:color w:val="000000" w:themeColor="text1"/>
                <w:szCs w:val="21"/>
                <w:highlight w:val="none"/>
                <w14:textFill>
                  <w14:solidFill>
                    <w14:schemeClr w14:val="tx1"/>
                  </w14:solidFill>
                </w14:textFill>
              </w:rPr>
              <w:t>、办理投标保证金手续时，请务必在保证金凭据上注明或写明项目名称及项目编号及分标号（如有），以免耽误投标。</w:t>
            </w:r>
          </w:p>
          <w:p w14:paraId="648561F0">
            <w:pPr>
              <w:snapToGrid w:val="0"/>
              <w:spacing w:line="400" w:lineRule="exac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7</w:t>
            </w:r>
            <w:r>
              <w:rPr>
                <w:rFonts w:hint="eastAsia" w:ascii="宋体" w:hAnsi="宋体" w:eastAsia="宋体" w:cs="宋体"/>
                <w:b/>
                <w:color w:val="000000" w:themeColor="text1"/>
                <w:szCs w:val="21"/>
                <w:highlight w:val="none"/>
                <w14:textFill>
                  <w14:solidFill>
                    <w14:schemeClr w14:val="tx1"/>
                  </w14:solidFill>
                </w14:textFill>
              </w:rPr>
              <w:t>、未中标供应商的投标保证金在中标通知书发出后</w:t>
            </w:r>
            <w:r>
              <w:rPr>
                <w:rFonts w:hint="eastAsia" w:ascii="宋体" w:hAnsi="宋体" w:eastAsia="宋体" w:cs="宋体"/>
                <w:b/>
                <w:color w:val="000000" w:themeColor="text1"/>
                <w:szCs w:val="21"/>
                <w:highlight w:val="none"/>
                <w:lang w:val="en-US" w:eastAsia="zh-CN"/>
                <w14:textFill>
                  <w14:solidFill>
                    <w14:schemeClr w14:val="tx1"/>
                  </w14:solidFill>
                </w14:textFill>
              </w:rPr>
              <w:t>5</w:t>
            </w:r>
            <w:r>
              <w:rPr>
                <w:rFonts w:hint="eastAsia" w:ascii="宋体" w:hAnsi="宋体" w:eastAsia="宋体" w:cs="宋体"/>
                <w:b/>
                <w:color w:val="000000" w:themeColor="text1"/>
                <w:szCs w:val="21"/>
                <w:highlight w:val="none"/>
                <w14:textFill>
                  <w14:solidFill>
                    <w14:schemeClr w14:val="tx1"/>
                  </w14:solidFill>
                </w14:textFill>
              </w:rPr>
              <w:t>个工作日内退还，中标供应商的投标保证金在中标供应商与采购人签订合同后</w:t>
            </w:r>
            <w:r>
              <w:rPr>
                <w:rFonts w:hint="eastAsia" w:ascii="宋体" w:hAnsi="宋体" w:eastAsia="宋体" w:cs="宋体"/>
                <w:b/>
                <w:color w:val="000000" w:themeColor="text1"/>
                <w:szCs w:val="21"/>
                <w:highlight w:val="none"/>
                <w:lang w:val="en-US" w:eastAsia="zh-CN"/>
                <w14:textFill>
                  <w14:solidFill>
                    <w14:schemeClr w14:val="tx1"/>
                  </w14:solidFill>
                </w14:textFill>
              </w:rPr>
              <w:t>5</w:t>
            </w:r>
            <w:r>
              <w:rPr>
                <w:rFonts w:hint="eastAsia" w:ascii="宋体" w:hAnsi="宋体" w:eastAsia="宋体" w:cs="宋体"/>
                <w:b/>
                <w:color w:val="000000" w:themeColor="text1"/>
                <w:szCs w:val="21"/>
                <w:highlight w:val="none"/>
                <w14:textFill>
                  <w14:solidFill>
                    <w14:schemeClr w14:val="tx1"/>
                  </w14:solidFill>
                </w14:textFill>
              </w:rPr>
              <w:t>个工作日内退还，投标保证金不计息。</w:t>
            </w:r>
          </w:p>
          <w:p w14:paraId="6D951C75">
            <w:pPr>
              <w:snapToGrid w:val="0"/>
              <w:spacing w:line="400" w:lineRule="exac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8</w:t>
            </w:r>
            <w:r>
              <w:rPr>
                <w:rFonts w:hint="eastAsia" w:ascii="宋体" w:hAnsi="宋体" w:eastAsia="宋体" w:cs="宋体"/>
                <w:b/>
                <w:color w:val="000000" w:themeColor="text1"/>
                <w:szCs w:val="21"/>
                <w:highlight w:val="none"/>
                <w14:textFill>
                  <w14:solidFill>
                    <w14:schemeClr w14:val="tx1"/>
                  </w14:solidFill>
                </w14:textFill>
              </w:rPr>
              <w:t>、供应商有下列情形之一的，保证金将不予退还：</w:t>
            </w:r>
          </w:p>
          <w:p w14:paraId="26DC0BC9">
            <w:pPr>
              <w:snapToGrid w:val="0"/>
              <w:spacing w:line="400" w:lineRule="exact"/>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（1）供应商在提交响应文件截止时间后撤回响应文件的；</w:t>
            </w:r>
          </w:p>
          <w:p w14:paraId="73872738">
            <w:pPr>
              <w:snapToGrid w:val="0"/>
              <w:spacing w:line="400" w:lineRule="exact"/>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（2）供应商在响应文件中提供虚假材料的；</w:t>
            </w:r>
          </w:p>
          <w:p w14:paraId="634CA67A">
            <w:pPr>
              <w:snapToGrid w:val="0"/>
              <w:spacing w:line="400" w:lineRule="exact"/>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（3）除因不可抗力或者招标文件认可的情形以外，成交供应商不与采购人签订合同的；</w:t>
            </w:r>
          </w:p>
          <w:p w14:paraId="09ACF9B2">
            <w:pPr>
              <w:snapToGrid w:val="0"/>
              <w:spacing w:line="400" w:lineRule="exact"/>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（4）供应商与采购人、其他供应商或者采购代理机构恶意串通的。</w:t>
            </w:r>
          </w:p>
          <w:p w14:paraId="30D5EA6D">
            <w:pPr>
              <w:snapToGrid w:val="0"/>
              <w:spacing w:line="400" w:lineRule="exact"/>
              <w:rPr>
                <w:rFonts w:hint="eastAsia"/>
              </w:rPr>
            </w:pPr>
            <w:r>
              <w:rPr>
                <w:rFonts w:hint="eastAsia" w:ascii="宋体" w:hAnsi="宋体" w:eastAsia="宋体" w:cs="宋体"/>
                <w:b w:val="0"/>
                <w:bCs/>
                <w:color w:val="000000" w:themeColor="text1"/>
                <w:szCs w:val="21"/>
                <w:highlight w:val="none"/>
                <w14:textFill>
                  <w14:solidFill>
                    <w14:schemeClr w14:val="tx1"/>
                  </w14:solidFill>
                </w14:textFill>
              </w:rPr>
              <w:t>（5）招标文件规定的其他情形。</w:t>
            </w:r>
          </w:p>
        </w:tc>
      </w:tr>
      <w:tr w14:paraId="79C13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5CC5DB5">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bookmarkStart w:id="63" w:name="_19.2"/>
            <w:bookmarkEnd w:id="63"/>
            <w:r>
              <w:rPr>
                <w:rFonts w:hint="eastAsia" w:ascii="宋体" w:hAnsi="宋体" w:eastAsia="宋体" w:cs="宋体"/>
                <w:color w:val="000000" w:themeColor="text1"/>
                <w:szCs w:val="21"/>
                <w:highlight w:val="none"/>
                <w14:textFill>
                  <w14:solidFill>
                    <w14:schemeClr w14:val="tx1"/>
                  </w14:solidFill>
                </w14:textFill>
              </w:rPr>
              <w:t>19.2</w:t>
            </w:r>
          </w:p>
        </w:tc>
        <w:tc>
          <w:tcPr>
            <w:tcW w:w="8708" w:type="dxa"/>
            <w:tcBorders>
              <w:top w:val="single" w:color="auto" w:sz="4" w:space="0"/>
              <w:left w:val="single" w:color="auto" w:sz="4" w:space="0"/>
              <w:bottom w:val="single" w:color="auto" w:sz="4" w:space="0"/>
              <w:right w:val="single" w:color="auto" w:sz="4" w:space="0"/>
            </w:tcBorders>
            <w:vAlign w:val="center"/>
          </w:tcPr>
          <w:p w14:paraId="77C49288">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投标文件应按报价文件、资格证明文件、商务文件、技术文件分别编制，并按广西政府采购云平台的要求编制、加密、上传。</w:t>
            </w:r>
          </w:p>
          <w:p w14:paraId="4011BB8F">
            <w:pPr>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特别说明：因项目存档需要，须按以下要求提供纸质投标响应文件：</w:t>
            </w:r>
          </w:p>
          <w:p w14:paraId="67A16002">
            <w:pPr>
              <w:spacing w:line="360" w:lineRule="exact"/>
              <w:rPr>
                <w:rFonts w:hint="eastAsia" w:ascii="宋体" w:hAnsi="宋体" w:cs="宋体"/>
                <w:b/>
                <w:bCs/>
                <w:color w:val="auto"/>
                <w:szCs w:val="21"/>
                <w:highlight w:val="none"/>
              </w:rPr>
            </w:pPr>
            <w:r>
              <w:rPr>
                <w:rFonts w:hint="eastAsia" w:ascii="宋体" w:hAnsi="宋体" w:cs="宋体"/>
                <w:b/>
                <w:bCs/>
                <w:color w:val="auto"/>
                <w:szCs w:val="21"/>
                <w:highlight w:val="none"/>
              </w:rPr>
              <w:t>中标供应商在中标通知书发出后5天内须提交</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套纸质版投标响应文件（含报价文件、资格证明文件、商务文件、技术文件。按要求加盖公章）给招标代理机构，一正</w:t>
            </w:r>
            <w:r>
              <w:rPr>
                <w:rFonts w:hint="eastAsia" w:ascii="宋体" w:hAnsi="宋体" w:cs="宋体"/>
                <w:b/>
                <w:bCs/>
                <w:color w:val="auto"/>
                <w:szCs w:val="21"/>
                <w:highlight w:val="none"/>
                <w:lang w:eastAsia="zh-CN"/>
              </w:rPr>
              <w:t>二</w:t>
            </w:r>
            <w:r>
              <w:rPr>
                <w:rFonts w:hint="eastAsia" w:ascii="宋体" w:hAnsi="宋体" w:cs="宋体"/>
                <w:b/>
                <w:bCs/>
                <w:color w:val="auto"/>
                <w:szCs w:val="21"/>
                <w:highlight w:val="none"/>
              </w:rPr>
              <w:t>副。</w:t>
            </w:r>
          </w:p>
          <w:p w14:paraId="220D7416">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b/>
                <w:color w:val="auto"/>
                <w:szCs w:val="21"/>
                <w:highlight w:val="none"/>
                <w:u w:val="single"/>
              </w:rPr>
              <w:t>提交的纸质版投标文件文本必须与其上传“广西政府采购云平台”的电子投标文件内容一致，不允许有篡改。如项目验收时因所提供的纸质投标文件与评标的投标文件不一致造成纠纷时，所有责任由中标人承担。</w:t>
            </w:r>
          </w:p>
        </w:tc>
      </w:tr>
      <w:tr w14:paraId="085E26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F1F13E5">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20.1</w:t>
            </w:r>
          </w:p>
        </w:tc>
        <w:tc>
          <w:tcPr>
            <w:tcW w:w="8708" w:type="dxa"/>
            <w:tcBorders>
              <w:top w:val="single" w:color="auto" w:sz="4" w:space="0"/>
              <w:left w:val="single" w:color="auto" w:sz="4" w:space="0"/>
              <w:bottom w:val="single" w:color="auto" w:sz="4" w:space="0"/>
              <w:right w:val="single" w:color="auto" w:sz="4" w:space="0"/>
            </w:tcBorders>
            <w:vAlign w:val="center"/>
          </w:tcPr>
          <w:p w14:paraId="5E2B6A5D">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电子投标文件应在制作完成后，投标人应按广西政府采购云平台的要求进行加密，并在规定时间内解密，否则，由此产生的后果由投标人自行负责。</w:t>
            </w:r>
          </w:p>
        </w:tc>
      </w:tr>
      <w:tr w14:paraId="0FC7CD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1D661CB2">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bookmarkStart w:id="64" w:name="_21.1"/>
            <w:bookmarkEnd w:id="64"/>
            <w:r>
              <w:rPr>
                <w:rFonts w:hint="eastAsia" w:ascii="宋体" w:hAnsi="宋体" w:eastAsia="宋体" w:cs="宋体"/>
                <w:color w:val="000000" w:themeColor="text1"/>
                <w:szCs w:val="21"/>
                <w:highlight w:val="none"/>
                <w14:textFill>
                  <w14:solidFill>
                    <w14:schemeClr w14:val="tx1"/>
                  </w14:solidFill>
                </w14:textFill>
              </w:rPr>
              <w:t>21.1</w:t>
            </w:r>
          </w:p>
        </w:tc>
        <w:tc>
          <w:tcPr>
            <w:tcW w:w="8708" w:type="dxa"/>
            <w:tcBorders>
              <w:top w:val="single" w:color="auto" w:sz="4" w:space="0"/>
              <w:left w:val="single" w:color="auto" w:sz="4" w:space="0"/>
              <w:bottom w:val="single" w:color="auto" w:sz="4" w:space="0"/>
              <w:right w:val="single" w:color="auto" w:sz="4" w:space="0"/>
            </w:tcBorders>
            <w:vAlign w:val="center"/>
          </w:tcPr>
          <w:p w14:paraId="03EFD4E0">
            <w:pPr>
              <w:snapToGrid w:val="0"/>
              <w:spacing w:line="400" w:lineRule="exac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1、投标截止时间：详见招标公告</w:t>
            </w:r>
          </w:p>
          <w:p w14:paraId="746962D5">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2、投标地点：详见招标公告</w:t>
            </w:r>
          </w:p>
        </w:tc>
      </w:tr>
      <w:tr w14:paraId="7F78A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C2296B0">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bookmarkStart w:id="65" w:name="_23"/>
            <w:bookmarkEnd w:id="65"/>
            <w:r>
              <w:rPr>
                <w:rFonts w:hint="eastAsia" w:ascii="宋体" w:hAnsi="宋体" w:eastAsia="宋体" w:cs="宋体"/>
                <w:color w:val="000000" w:themeColor="text1"/>
                <w:szCs w:val="21"/>
                <w:highlight w:val="none"/>
                <w14:textFill>
                  <w14:solidFill>
                    <w14:schemeClr w14:val="tx1"/>
                  </w14:solidFill>
                </w14:textFill>
              </w:rPr>
              <w:t>23</w:t>
            </w:r>
          </w:p>
        </w:tc>
        <w:tc>
          <w:tcPr>
            <w:tcW w:w="8708" w:type="dxa"/>
            <w:tcBorders>
              <w:top w:val="single" w:color="auto" w:sz="4" w:space="0"/>
              <w:left w:val="single" w:color="auto" w:sz="4" w:space="0"/>
              <w:bottom w:val="single" w:color="auto" w:sz="4" w:space="0"/>
              <w:right w:val="single" w:color="auto" w:sz="4" w:space="0"/>
            </w:tcBorders>
            <w:vAlign w:val="center"/>
          </w:tcPr>
          <w:p w14:paraId="18C2DAFF">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1、开标时间：详见招标公告</w:t>
            </w:r>
          </w:p>
          <w:p w14:paraId="781985AB">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2、开标地点：详见招标公告</w:t>
            </w:r>
          </w:p>
        </w:tc>
      </w:tr>
      <w:tr w14:paraId="3E951B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B5D701D">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24.2</w:t>
            </w:r>
          </w:p>
        </w:tc>
        <w:tc>
          <w:tcPr>
            <w:tcW w:w="8708" w:type="dxa"/>
            <w:tcBorders>
              <w:top w:val="single" w:color="auto" w:sz="4" w:space="0"/>
              <w:left w:val="single" w:color="auto" w:sz="4" w:space="0"/>
              <w:bottom w:val="single" w:color="auto" w:sz="4" w:space="0"/>
              <w:right w:val="single" w:color="auto" w:sz="4" w:space="0"/>
            </w:tcBorders>
            <w:vAlign w:val="center"/>
          </w:tcPr>
          <w:p w14:paraId="61BCEFCB">
            <w:pPr>
              <w:autoSpaceDE w:val="0"/>
              <w:autoSpaceDN w:val="0"/>
              <w:adjustRightIn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eastAsia="宋体" w:cs="宋体"/>
                <w:b/>
                <w:bCs/>
                <w:color w:val="000000" w:themeColor="text1"/>
                <w:szCs w:val="21"/>
                <w:highlight w:val="none"/>
                <w14:textFill>
                  <w14:solidFill>
                    <w14:schemeClr w14:val="tx1"/>
                  </w14:solidFill>
                </w14:textFill>
              </w:rPr>
              <w:t>投标人的法定代表人或其委托代理人须携带加密时所用的CA锁准时登录到广西政府采购云平台电子开标大厅签到</w:t>
            </w:r>
            <w:r>
              <w:rPr>
                <w:rFonts w:hint="eastAsia" w:ascii="宋体" w:hAnsi="宋体" w:eastAsia="宋体" w:cs="宋体"/>
                <w:b/>
                <w:color w:val="000000" w:themeColor="text1"/>
                <w:szCs w:val="21"/>
                <w:highlight w:val="none"/>
                <w14:textFill>
                  <w14:solidFill>
                    <w14:schemeClr w14:val="tx1"/>
                  </w14:solidFill>
                </w14:textFill>
              </w:rPr>
              <w:t>并在发起解密</w:t>
            </w:r>
            <w:r>
              <w:rPr>
                <w:rFonts w:hint="eastAsia" w:ascii="宋体" w:hAnsi="宋体" w:eastAsia="宋体" w:cs="宋体"/>
                <w:b/>
                <w:bCs/>
                <w:color w:val="000000" w:themeColor="text1"/>
                <w:szCs w:val="21"/>
                <w:highlight w:val="none"/>
                <w14:textFill>
                  <w14:solidFill>
                    <w14:schemeClr w14:val="tx1"/>
                  </w14:solidFill>
                </w14:textFill>
              </w:rPr>
              <w:t>通知</w:t>
            </w:r>
            <w:r>
              <w:rPr>
                <w:rFonts w:hint="eastAsia" w:ascii="宋体" w:hAnsi="宋体" w:eastAsia="宋体" w:cs="宋体"/>
                <w:b/>
                <w:color w:val="000000" w:themeColor="text1"/>
                <w:szCs w:val="21"/>
                <w:highlight w:val="none"/>
                <w14:textFill>
                  <w14:solidFill>
                    <w14:schemeClr w14:val="tx1"/>
                  </w14:solidFill>
                </w14:textFill>
              </w:rPr>
              <w:t>之时起30分钟内完成</w:t>
            </w:r>
            <w:r>
              <w:rPr>
                <w:rFonts w:hint="eastAsia" w:ascii="宋体" w:hAnsi="宋体" w:eastAsia="宋体" w:cs="宋体"/>
                <w:b/>
                <w:bCs/>
                <w:color w:val="000000" w:themeColor="text1"/>
                <w:szCs w:val="21"/>
                <w:highlight w:val="none"/>
                <w14:textFill>
                  <w14:solidFill>
                    <w14:schemeClr w14:val="tx1"/>
                  </w14:solidFill>
                </w14:textFill>
              </w:rPr>
              <w:t>对电子投标文件解密。投标文件未按时解密的，视为无效投标。</w:t>
            </w:r>
          </w:p>
        </w:tc>
      </w:tr>
      <w:tr w14:paraId="524112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D33AF39">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bookmarkStart w:id="66" w:name="_25.3"/>
            <w:bookmarkEnd w:id="66"/>
            <w:r>
              <w:rPr>
                <w:rFonts w:hint="eastAsia" w:ascii="宋体" w:hAnsi="宋体" w:eastAsia="宋体" w:cs="宋体"/>
                <w:color w:val="000000" w:themeColor="text1"/>
                <w:szCs w:val="21"/>
                <w:highlight w:val="none"/>
                <w14:textFill>
                  <w14:solidFill>
                    <w14:schemeClr w14:val="tx1"/>
                  </w14:solidFill>
                </w14:textFill>
              </w:rPr>
              <w:t>25.3（3）</w:t>
            </w:r>
          </w:p>
        </w:tc>
        <w:tc>
          <w:tcPr>
            <w:tcW w:w="8708" w:type="dxa"/>
            <w:tcBorders>
              <w:top w:val="single" w:color="auto" w:sz="4" w:space="0"/>
              <w:left w:val="single" w:color="auto" w:sz="4" w:space="0"/>
              <w:bottom w:val="single" w:color="auto" w:sz="4" w:space="0"/>
              <w:right w:val="single" w:color="auto" w:sz="4" w:space="0"/>
            </w:tcBorders>
            <w:vAlign w:val="center"/>
          </w:tcPr>
          <w:p w14:paraId="675B7C0E">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采购人或者采购代理机构在资格审查结束前，对投标人进行信用查询。</w:t>
            </w:r>
          </w:p>
          <w:p w14:paraId="1961BB4F">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查询渠道：“信用中国”网站（www.creditchina.gov.cn）、中国政府采购网（</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"http://www.ccgp.gov.cn"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55"/>
                <w:rFonts w:hint="eastAsia" w:ascii="宋体" w:hAnsi="宋体" w:eastAsia="宋体" w:cs="宋体"/>
                <w:color w:val="000000" w:themeColor="text1"/>
                <w:szCs w:val="21"/>
                <w:highlight w:val="none"/>
                <w14:textFill>
                  <w14:solidFill>
                    <w14:schemeClr w14:val="tx1"/>
                  </w14:solidFill>
                </w14:textFill>
              </w:rPr>
              <w:t>www.ccgp.gov.cn</w:t>
            </w:r>
            <w:r>
              <w:rPr>
                <w:rStyle w:val="55"/>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t>）。</w:t>
            </w:r>
          </w:p>
          <w:p w14:paraId="31CC68A2">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信用查询截止时点：资格审查结束前。</w:t>
            </w:r>
          </w:p>
          <w:p w14:paraId="0FECED27">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查询记录和证据留存方式：将查询网站中的查询记录截图并作为评审资料保存。</w:t>
            </w:r>
          </w:p>
          <w:p w14:paraId="7EDDDC0A">
            <w:pPr>
              <w:snapToGrid w:val="0"/>
              <w:spacing w:line="400" w:lineRule="exac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信用信息使用规则：根据财政部《关于在政府采购活动中查询及使用信用记录有关问题的通知》（财库〔2016〕125号）的规定，对在“信用中国”网站(www.creditchina.gov.cn)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6DA68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A210632">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bookmarkStart w:id="67" w:name="_26"/>
            <w:bookmarkEnd w:id="67"/>
            <w:r>
              <w:rPr>
                <w:rFonts w:hint="eastAsia" w:ascii="宋体" w:hAnsi="宋体" w:eastAsia="宋体" w:cs="宋体"/>
                <w:color w:val="000000" w:themeColor="text1"/>
                <w:szCs w:val="21"/>
                <w:highlight w:val="none"/>
                <w14:textFill>
                  <w14:solidFill>
                    <w14:schemeClr w14:val="tx1"/>
                  </w14:solidFill>
                </w14:textFill>
              </w:rPr>
              <w:t>26</w:t>
            </w:r>
          </w:p>
        </w:tc>
        <w:tc>
          <w:tcPr>
            <w:tcW w:w="8708" w:type="dxa"/>
            <w:tcBorders>
              <w:top w:val="single" w:color="auto" w:sz="4" w:space="0"/>
              <w:left w:val="single" w:color="auto" w:sz="4" w:space="0"/>
              <w:bottom w:val="single" w:color="auto" w:sz="4" w:space="0"/>
              <w:right w:val="single" w:color="auto" w:sz="4" w:space="0"/>
            </w:tcBorders>
            <w:vAlign w:val="center"/>
          </w:tcPr>
          <w:p w14:paraId="59B1A877">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评标委员会的人数：</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人</w:t>
            </w:r>
            <w:r>
              <w:rPr>
                <w:rFonts w:hint="eastAsia" w:ascii="宋体" w:hAnsi="宋体" w:eastAsia="宋体" w:cs="宋体"/>
                <w:color w:val="000000" w:themeColor="text1"/>
                <w:highlight w:val="none"/>
                <w14:textFill>
                  <w14:solidFill>
                    <w14:schemeClr w14:val="tx1"/>
                  </w14:solidFill>
                </w14:textFill>
              </w:rPr>
              <w:t>。（采购项目符合下列情形之一的，评标委员会成员人数应当为7人以上单数：1.采购预算金额在1000万元以上；2.技术复杂；3.社会影响较大。）</w:t>
            </w:r>
          </w:p>
        </w:tc>
      </w:tr>
      <w:tr w14:paraId="67FA3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61AD1E2">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bookmarkStart w:id="68" w:name="_28.3"/>
            <w:bookmarkEnd w:id="68"/>
            <w:r>
              <w:rPr>
                <w:rFonts w:hint="eastAsia" w:ascii="宋体" w:hAnsi="宋体" w:eastAsia="宋体" w:cs="宋体"/>
                <w:color w:val="000000" w:themeColor="text1"/>
                <w:szCs w:val="21"/>
                <w:highlight w:val="none"/>
                <w14:textFill>
                  <w14:solidFill>
                    <w14:schemeClr w14:val="tx1"/>
                  </w14:solidFill>
                </w14:textFill>
              </w:rPr>
              <w:t>29.1</w:t>
            </w:r>
          </w:p>
        </w:tc>
        <w:tc>
          <w:tcPr>
            <w:tcW w:w="8708" w:type="dxa"/>
            <w:tcBorders>
              <w:top w:val="single" w:color="auto" w:sz="4" w:space="0"/>
              <w:left w:val="single" w:color="auto" w:sz="4" w:space="0"/>
              <w:bottom w:val="single" w:color="auto" w:sz="4" w:space="0"/>
              <w:right w:val="single" w:color="auto" w:sz="4" w:space="0"/>
            </w:tcBorders>
            <w:vAlign w:val="center"/>
          </w:tcPr>
          <w:p w14:paraId="3D80879A">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评标方法：</w:t>
            </w:r>
          </w:p>
          <w:p w14:paraId="44A0D914">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综合评分法</w:t>
            </w:r>
          </w:p>
          <w:p w14:paraId="6D19CC49">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□最低评标价法</w:t>
            </w:r>
          </w:p>
        </w:tc>
      </w:tr>
      <w:tr w14:paraId="0E19D6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228B2C6">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29.2</w:t>
            </w:r>
          </w:p>
        </w:tc>
        <w:tc>
          <w:tcPr>
            <w:tcW w:w="8708" w:type="dxa"/>
            <w:tcBorders>
              <w:top w:val="single" w:color="auto" w:sz="4" w:space="0"/>
              <w:left w:val="single" w:color="auto" w:sz="4" w:space="0"/>
              <w:bottom w:val="single" w:color="auto" w:sz="4" w:space="0"/>
              <w:right w:val="single" w:color="auto" w:sz="4" w:space="0"/>
            </w:tcBorders>
            <w:vAlign w:val="center"/>
          </w:tcPr>
          <w:p w14:paraId="45BC7EB5">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中标候选人推荐数量：3家</w:t>
            </w:r>
          </w:p>
        </w:tc>
      </w:tr>
      <w:tr w14:paraId="1A5A8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4655FCC">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bookmarkStart w:id="69" w:name="_29.2.2（2）"/>
            <w:bookmarkEnd w:id="69"/>
            <w:r>
              <w:rPr>
                <w:rFonts w:hint="eastAsia" w:ascii="宋体" w:hAnsi="宋体" w:eastAsia="宋体" w:cs="宋体"/>
                <w:color w:val="000000" w:themeColor="text1"/>
                <w:szCs w:val="21"/>
                <w:highlight w:val="none"/>
                <w14:textFill>
                  <w14:solidFill>
                    <w14:schemeClr w14:val="tx1"/>
                  </w14:solidFill>
                </w14:textFill>
              </w:rPr>
              <w:t>30.1</w:t>
            </w:r>
          </w:p>
        </w:tc>
        <w:tc>
          <w:tcPr>
            <w:tcW w:w="8708" w:type="dxa"/>
            <w:tcBorders>
              <w:top w:val="single" w:color="auto" w:sz="4" w:space="0"/>
              <w:left w:val="single" w:color="auto" w:sz="4" w:space="0"/>
              <w:bottom w:val="single" w:color="auto" w:sz="4" w:space="0"/>
              <w:right w:val="single" w:color="auto" w:sz="4" w:space="0"/>
            </w:tcBorders>
            <w:vAlign w:val="center"/>
          </w:tcPr>
          <w:p w14:paraId="5AE3C080">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采用综合评分法的采购项目，采购人确定中标人时，出现中标候选人并列的情形，采购人按以下的方式确定中标人：按综合评分中技术水平、售后服务、履约能力、政策功能得分高低依次确定。</w:t>
            </w:r>
          </w:p>
        </w:tc>
      </w:tr>
      <w:tr w14:paraId="2B2F6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1EFFB519">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bookmarkStart w:id="70" w:name="_39.1"/>
            <w:bookmarkEnd w:id="70"/>
            <w:r>
              <w:rPr>
                <w:rFonts w:hint="eastAsia" w:ascii="宋体" w:hAnsi="宋体" w:eastAsia="宋体" w:cs="宋体"/>
                <w:color w:val="000000" w:themeColor="text1"/>
                <w:szCs w:val="21"/>
                <w:highlight w:val="none"/>
                <w14:textFill>
                  <w14:solidFill>
                    <w14:schemeClr w14:val="tx1"/>
                  </w14:solidFill>
                </w14:textFill>
              </w:rPr>
              <w:t>35.1</w:t>
            </w:r>
          </w:p>
        </w:tc>
        <w:tc>
          <w:tcPr>
            <w:tcW w:w="8708" w:type="dxa"/>
            <w:tcBorders>
              <w:top w:val="single" w:color="auto" w:sz="4" w:space="0"/>
              <w:left w:val="single" w:color="auto" w:sz="4" w:space="0"/>
              <w:bottom w:val="single" w:color="auto" w:sz="4" w:space="0"/>
              <w:right w:val="single" w:color="auto" w:sz="4" w:space="0"/>
            </w:tcBorders>
            <w:vAlign w:val="center"/>
          </w:tcPr>
          <w:p w14:paraId="04062CD9">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本项目不收取履约保证金。</w:t>
            </w:r>
          </w:p>
          <w:p w14:paraId="381DA82E">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本项目收取履约保证金，具体规定如下：</w:t>
            </w:r>
          </w:p>
          <w:p w14:paraId="29959CE7">
            <w:pPr>
              <w:snapToGrid w:val="0"/>
              <w:spacing w:line="400" w:lineRule="exact"/>
              <w:contextualSpacing/>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履约保证金金额：</w:t>
            </w:r>
            <w:r>
              <w:rPr>
                <w:rFonts w:hint="eastAsia" w:ascii="宋体" w:hAnsi="宋体" w:eastAsia="宋体" w:cs="宋体"/>
                <w:color w:val="000000" w:themeColor="text1"/>
                <w:highlight w:val="none"/>
                <w14:textFill>
                  <w14:solidFill>
                    <w14:schemeClr w14:val="tx1"/>
                  </w14:solidFill>
                </w14:textFill>
              </w:rPr>
              <w:t>政府采购合同金额的</w:t>
            </w:r>
            <w:r>
              <w:rPr>
                <w:rFonts w:hint="eastAsia" w:ascii="宋体" w:hAnsi="宋体" w:eastAsia="宋体" w:cs="宋体"/>
                <w:color w:val="000000" w:themeColor="text1"/>
                <w:szCs w:val="21"/>
                <w:highlight w:val="none"/>
                <w:u w:val="single"/>
                <w14:textFill>
                  <w14:solidFill>
                    <w14:schemeClr w14:val="tx1"/>
                  </w14:solidFill>
                </w14:textFill>
              </w:rPr>
              <w:t xml:space="preserve"> 2 </w:t>
            </w:r>
            <w:r>
              <w:rPr>
                <w:rFonts w:hint="eastAsia" w:ascii="宋体" w:hAnsi="宋体" w:eastAsia="宋体" w:cs="宋体"/>
                <w:color w:val="000000" w:themeColor="text1"/>
                <w:szCs w:val="21"/>
                <w:highlight w:val="none"/>
                <w14:textFill>
                  <w14:solidFill>
                    <w14:schemeClr w14:val="tx1"/>
                  </w14:solidFill>
                </w14:textFill>
              </w:rPr>
              <w:t>%（供应商为中小微企业的，履约保证金为</w:t>
            </w:r>
            <w:r>
              <w:rPr>
                <w:rFonts w:hint="eastAsia" w:ascii="宋体" w:hAnsi="宋体" w:eastAsia="宋体" w:cs="宋体"/>
                <w:color w:val="000000" w:themeColor="text1"/>
                <w:highlight w:val="none"/>
                <w14:textFill>
                  <w14:solidFill>
                    <w14:schemeClr w14:val="tx1"/>
                  </w14:solidFill>
                </w14:textFill>
              </w:rPr>
              <w:t>政府采购合同金额的</w:t>
            </w:r>
            <w:r>
              <w:rPr>
                <w:rFonts w:hint="eastAsia" w:ascii="宋体" w:hAnsi="宋体" w:eastAsia="宋体" w:cs="宋体"/>
                <w:color w:val="000000" w:themeColor="text1"/>
                <w:szCs w:val="21"/>
                <w:highlight w:val="none"/>
                <w14:textFill>
                  <w14:solidFill>
                    <w14:schemeClr w14:val="tx1"/>
                  </w14:solidFill>
                </w14:textFill>
              </w:rPr>
              <w:t>2%，供应商提供声明函或证明材料）。</w:t>
            </w:r>
          </w:p>
          <w:p w14:paraId="6EB2F7BD">
            <w:pPr>
              <w:snapToGrid w:val="0"/>
              <w:spacing w:line="400" w:lineRule="exact"/>
              <w:contextualSpacing/>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履约保证金提交方式：银行转账、支票、汇票、本票或者金融、担保机构出具的保函等非现金方式。</w:t>
            </w:r>
          </w:p>
          <w:p w14:paraId="14837F71">
            <w:pPr>
              <w:snapToGrid w:val="0"/>
              <w:spacing w:line="400" w:lineRule="exact"/>
              <w:contextualSpacing/>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履约保证金退付方式、时间及条件：</w:t>
            </w:r>
            <w:r>
              <w:rPr>
                <w:rFonts w:hint="eastAsia" w:ascii="宋体" w:hAnsi="宋体" w:eastAsia="宋体" w:cs="宋体"/>
                <w:color w:val="000000" w:themeColor="text1"/>
                <w:szCs w:val="21"/>
                <w:highlight w:val="none"/>
                <w:u w:val="single"/>
                <w14:textFill>
                  <w14:solidFill>
                    <w14:schemeClr w14:val="tx1"/>
                  </w14:solidFill>
                </w14:textFill>
              </w:rPr>
              <w:t>供应商若不能完全履行合同，履约保证金不返还；供应商若完全履行合同，按合同履行相关售后服务和配套服务，并对项目出现的质量及安全问题负责处理解决并承当一切费用，项目竣工验收合格质保期满后，供应商提交《广西壮族自治区政府采购项目合同验收书》及《政府采购项目履约保证金退付意见书》到采购人财务部门在收到合格材料后办理无息退还手续（不计利息）。</w:t>
            </w:r>
          </w:p>
          <w:p w14:paraId="27112663">
            <w:pPr>
              <w:snapToGrid w:val="0"/>
              <w:spacing w:line="400" w:lineRule="exact"/>
              <w:contextualSpacing/>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履约保证金指定账户：</w:t>
            </w:r>
          </w:p>
          <w:p w14:paraId="7A270032">
            <w:pPr>
              <w:snapToGrid w:val="0"/>
              <w:spacing w:line="400" w:lineRule="exact"/>
              <w:contextualSpacing/>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中标后提供</w:t>
            </w:r>
          </w:p>
          <w:p w14:paraId="1F0327BC">
            <w:pPr>
              <w:snapToGrid w:val="0"/>
              <w:spacing w:line="400" w:lineRule="exact"/>
              <w:contextualSpacing/>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备注：</w:t>
            </w:r>
          </w:p>
          <w:p w14:paraId="4378E4EF">
            <w:pPr>
              <w:snapToGrid w:val="0"/>
              <w:spacing w:line="400" w:lineRule="exact"/>
              <w:contextualSpacing/>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p>
          <w:p w14:paraId="416FF407">
            <w:pPr>
              <w:snapToGrid w:val="0"/>
              <w:spacing w:line="400" w:lineRule="exact"/>
              <w:contextualSpacing/>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2、履约保证金不足额缴纳的，或者金融、担保机构出具的保函额度不足的或者保函有效期低于合同履行期限（即签订采购合同之日起至履行完合同约定的权利及义务之日止）的，不予签订合同。</w:t>
            </w:r>
          </w:p>
          <w:p w14:paraId="4DDBD93F">
            <w:pPr>
              <w:snapToGrid w:val="0"/>
              <w:spacing w:line="400" w:lineRule="exact"/>
              <w:contextualSpacing/>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3、采用金融、担保机构出具的保函的，必须为无条件保函，否则不予签订合同。</w:t>
            </w:r>
          </w:p>
          <w:p w14:paraId="6430FE8B">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4、供应商为联合体的，由联合体任意一方按规定提交的履约保证金，视为有效履约保证金。</w:t>
            </w:r>
          </w:p>
        </w:tc>
      </w:tr>
      <w:tr w14:paraId="58D254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5721210">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bookmarkStart w:id="71" w:name="_40.1"/>
            <w:bookmarkEnd w:id="71"/>
            <w:r>
              <w:rPr>
                <w:rFonts w:hint="eastAsia" w:ascii="宋体" w:hAnsi="宋体" w:eastAsia="宋体" w:cs="宋体"/>
                <w:color w:val="000000" w:themeColor="text1"/>
                <w:szCs w:val="21"/>
                <w:highlight w:val="none"/>
                <w14:textFill>
                  <w14:solidFill>
                    <w14:schemeClr w14:val="tx1"/>
                  </w14:solidFill>
                </w14:textFill>
              </w:rPr>
              <w:t>36.1</w:t>
            </w:r>
          </w:p>
        </w:tc>
        <w:tc>
          <w:tcPr>
            <w:tcW w:w="8708" w:type="dxa"/>
            <w:tcBorders>
              <w:top w:val="single" w:color="auto" w:sz="4" w:space="0"/>
              <w:left w:val="single" w:color="auto" w:sz="4" w:space="0"/>
              <w:bottom w:val="single" w:color="auto" w:sz="4" w:space="0"/>
              <w:right w:val="single" w:color="auto" w:sz="4" w:space="0"/>
            </w:tcBorders>
            <w:vAlign w:val="center"/>
          </w:tcPr>
          <w:p w14:paraId="26307B1C">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签订合同携带的证明材料： </w:t>
            </w:r>
          </w:p>
          <w:p w14:paraId="388569FA">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1、委托代理人负责签订合同的，须携带授权委托书及委托代理人身份证原件等其他资格证件。</w:t>
            </w:r>
          </w:p>
          <w:p w14:paraId="5551F0CC">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2、法定代表人负责签订合同的，须携带法定代表人身份证明原件及身份证原件等其他证明材料。</w:t>
            </w:r>
          </w:p>
        </w:tc>
      </w:tr>
      <w:tr w14:paraId="011457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C9EDE6A">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38.2</w:t>
            </w:r>
          </w:p>
        </w:tc>
        <w:tc>
          <w:tcPr>
            <w:tcW w:w="8708" w:type="dxa"/>
            <w:tcBorders>
              <w:top w:val="single" w:color="auto" w:sz="4" w:space="0"/>
              <w:left w:val="single" w:color="auto" w:sz="4" w:space="0"/>
              <w:bottom w:val="single" w:color="auto" w:sz="4" w:space="0"/>
              <w:right w:val="single" w:color="auto" w:sz="4" w:space="0"/>
            </w:tcBorders>
            <w:vAlign w:val="center"/>
          </w:tcPr>
          <w:p w14:paraId="4852801B">
            <w:pPr>
              <w:snapToGrid w:val="0"/>
              <w:spacing w:line="380" w:lineRule="exact"/>
              <w:rPr>
                <w:rFonts w:ascii="宋体" w:hAnsi="宋体"/>
                <w:color w:val="auto"/>
                <w:szCs w:val="21"/>
                <w:highlight w:val="none"/>
              </w:rPr>
            </w:pPr>
            <w:r>
              <w:rPr>
                <w:rFonts w:hint="eastAsia" w:ascii="宋体" w:hAnsi="宋体"/>
                <w:color w:val="auto"/>
                <w:szCs w:val="21"/>
                <w:highlight w:val="none"/>
              </w:rPr>
              <w:t>质疑：供应商认为采购文件、采购过程、中标或者中标结果使自己的权益受到损害的，可以在知道或者应知其权益受到损害之日起7个工作日内，以书面形式（须按照招标文件要求格式）向采购人、采购代理机构提出质疑。供应商针对同一采购程序环节的质疑应在法定质疑期内一次性提出。</w:t>
            </w:r>
          </w:p>
          <w:p w14:paraId="0B254E89">
            <w:pPr>
              <w:snapToGrid w:val="0"/>
              <w:spacing w:line="380" w:lineRule="exact"/>
              <w:rPr>
                <w:rFonts w:ascii="宋体" w:hAnsi="宋体"/>
                <w:color w:val="auto"/>
                <w:szCs w:val="21"/>
                <w:highlight w:val="none"/>
              </w:rPr>
            </w:pPr>
            <w:r>
              <w:rPr>
                <w:rFonts w:hint="eastAsia" w:ascii="宋体" w:hAnsi="宋体"/>
                <w:color w:val="auto"/>
                <w:szCs w:val="21"/>
                <w:highlight w:val="none"/>
              </w:rPr>
              <w:t>质疑材料接收要求：质疑供应商须按照招标文件“第七章  质疑材料格式”要求，提供相应完整材料内容才受理。材料缺项或未按照质疑材料格式提供的，不予受理，为此造成的后果由供应商自行承担。</w:t>
            </w:r>
          </w:p>
          <w:p w14:paraId="302382D4">
            <w:pPr>
              <w:snapToGrid w:val="0"/>
              <w:spacing w:line="380" w:lineRule="exact"/>
              <w:rPr>
                <w:rFonts w:ascii="宋体" w:hAnsi="宋体"/>
                <w:color w:val="auto"/>
                <w:szCs w:val="21"/>
                <w:highlight w:val="none"/>
              </w:rPr>
            </w:pPr>
            <w:r>
              <w:rPr>
                <w:rFonts w:hint="eastAsia" w:ascii="宋体" w:hAnsi="宋体"/>
                <w:color w:val="auto"/>
                <w:szCs w:val="21"/>
                <w:highlight w:val="none"/>
              </w:rPr>
              <w:t>接收质疑函方式：以书面形式（原件）（须按照招标文件要求格式）提交</w:t>
            </w:r>
          </w:p>
          <w:p w14:paraId="2BBC180F">
            <w:pPr>
              <w:snapToGrid w:val="0"/>
              <w:spacing w:line="380" w:lineRule="exact"/>
              <w:rPr>
                <w:rFonts w:hint="eastAsia" w:ascii="宋体" w:hAnsi="宋体" w:eastAsia="宋体"/>
                <w:color w:val="auto"/>
                <w:szCs w:val="21"/>
                <w:highlight w:val="none"/>
                <w:lang w:eastAsia="zh-CN"/>
              </w:rPr>
            </w:pPr>
            <w:r>
              <w:rPr>
                <w:rFonts w:hint="eastAsia" w:ascii="宋体" w:hAnsi="宋体"/>
                <w:color w:val="auto"/>
                <w:szCs w:val="21"/>
                <w:highlight w:val="none"/>
              </w:rPr>
              <w:t>质疑联系部门及联系方式：</w:t>
            </w:r>
            <w:r>
              <w:rPr>
                <w:rFonts w:hint="eastAsia" w:ascii="宋体" w:hAnsi="宋体"/>
                <w:color w:val="auto"/>
                <w:szCs w:val="21"/>
                <w:highlight w:val="none"/>
                <w:lang w:eastAsia="zh-CN"/>
              </w:rPr>
              <w:t>广西睿翼工程咨询有限公司</w:t>
            </w:r>
            <w:r>
              <w:rPr>
                <w:rFonts w:hint="eastAsia" w:ascii="宋体" w:hAnsi="宋体"/>
                <w:color w:val="auto"/>
                <w:szCs w:val="21"/>
                <w:highlight w:val="none"/>
              </w:rPr>
              <w:t>，联系电话：</w:t>
            </w:r>
            <w:r>
              <w:rPr>
                <w:rFonts w:hint="eastAsia" w:ascii="宋体" w:hAnsi="宋体"/>
                <w:color w:val="auto"/>
                <w:szCs w:val="21"/>
                <w:highlight w:val="none"/>
                <w:lang w:eastAsia="zh-CN"/>
              </w:rPr>
              <w:t>0771-5349283</w:t>
            </w:r>
          </w:p>
          <w:p w14:paraId="707990E1">
            <w:pPr>
              <w:snapToGrid w:val="0"/>
              <w:spacing w:line="380" w:lineRule="exact"/>
              <w:rPr>
                <w:rFonts w:hint="eastAsia" w:ascii="宋体" w:hAnsi="宋体" w:eastAsia="宋体"/>
                <w:color w:val="auto"/>
                <w:szCs w:val="21"/>
                <w:highlight w:val="none"/>
                <w:lang w:eastAsia="zh-CN"/>
              </w:rPr>
            </w:pPr>
            <w:r>
              <w:rPr>
                <w:rFonts w:hint="eastAsia" w:ascii="宋体" w:hAnsi="宋体"/>
                <w:color w:val="auto"/>
                <w:szCs w:val="21"/>
                <w:highlight w:val="none"/>
              </w:rPr>
              <w:t>通讯地址：</w:t>
            </w:r>
            <w:r>
              <w:rPr>
                <w:rFonts w:hint="eastAsia" w:ascii="宋体" w:hAnsi="宋体"/>
                <w:color w:val="auto"/>
                <w:szCs w:val="21"/>
                <w:highlight w:val="none"/>
                <w:lang w:eastAsia="zh-CN"/>
              </w:rPr>
              <w:t>南宁市青秀区民族大道32号宜尚酒店停车场内一楼</w:t>
            </w:r>
          </w:p>
          <w:p w14:paraId="1789D08B">
            <w:pPr>
              <w:autoSpaceDE w:val="0"/>
              <w:autoSpaceDN w:val="0"/>
              <w:snapToGrid w:val="0"/>
              <w:spacing w:line="400" w:lineRule="exac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olor w:val="auto"/>
                <w:szCs w:val="21"/>
                <w:highlight w:val="none"/>
              </w:rPr>
              <w:t>业务时间：每天上午</w:t>
            </w:r>
            <w:r>
              <w:rPr>
                <w:rFonts w:hint="eastAsia" w:ascii="宋体" w:hAnsi="宋体"/>
                <w:color w:val="auto"/>
                <w:szCs w:val="21"/>
                <w:highlight w:val="none"/>
                <w:lang w:val="en-US" w:eastAsia="zh-CN"/>
              </w:rPr>
              <w:t>9</w:t>
            </w:r>
            <w:r>
              <w:rPr>
                <w:rFonts w:hint="eastAsia" w:ascii="宋体" w:hAnsi="宋体"/>
                <w:color w:val="auto"/>
                <w:szCs w:val="21"/>
                <w:highlight w:val="none"/>
              </w:rPr>
              <w:t>时</w:t>
            </w:r>
            <w:r>
              <w:rPr>
                <w:rFonts w:hint="eastAsia" w:ascii="宋体" w:hAnsi="宋体"/>
                <w:color w:val="auto"/>
                <w:szCs w:val="21"/>
                <w:highlight w:val="none"/>
                <w:lang w:val="en-US" w:eastAsia="zh-CN"/>
              </w:rPr>
              <w:t>0</w:t>
            </w:r>
            <w:r>
              <w:rPr>
                <w:rFonts w:hint="eastAsia" w:ascii="宋体" w:hAnsi="宋体"/>
                <w:color w:val="auto"/>
                <w:szCs w:val="21"/>
                <w:highlight w:val="none"/>
              </w:rPr>
              <w:t>0分到12时00分，1</w:t>
            </w:r>
            <w:r>
              <w:rPr>
                <w:rFonts w:hint="eastAsia" w:ascii="宋体" w:hAnsi="宋体"/>
                <w:color w:val="auto"/>
                <w:szCs w:val="21"/>
                <w:highlight w:val="none"/>
                <w:lang w:val="en-US" w:eastAsia="zh-CN"/>
              </w:rPr>
              <w:t>5</w:t>
            </w:r>
            <w:r>
              <w:rPr>
                <w:rFonts w:hint="eastAsia" w:ascii="宋体" w:hAnsi="宋体"/>
                <w:color w:val="auto"/>
                <w:szCs w:val="21"/>
                <w:highlight w:val="none"/>
              </w:rPr>
              <w:t>时</w:t>
            </w:r>
            <w:r>
              <w:rPr>
                <w:rFonts w:hint="eastAsia" w:ascii="宋体" w:hAnsi="宋体"/>
                <w:color w:val="auto"/>
                <w:szCs w:val="21"/>
                <w:highlight w:val="none"/>
                <w:lang w:val="en-US" w:eastAsia="zh-CN"/>
              </w:rPr>
              <w:t>0</w:t>
            </w:r>
            <w:r>
              <w:rPr>
                <w:rFonts w:hint="eastAsia" w:ascii="宋体" w:hAnsi="宋体"/>
                <w:color w:val="auto"/>
                <w:szCs w:val="21"/>
                <w:highlight w:val="none"/>
              </w:rPr>
              <w:t>0分到17时30分，双休日和法定节假日不办理业务。</w:t>
            </w:r>
          </w:p>
        </w:tc>
      </w:tr>
      <w:tr w14:paraId="12733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B21313E">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bookmarkStart w:id="72" w:name="_41"/>
            <w:bookmarkEnd w:id="72"/>
            <w:bookmarkStart w:id="73" w:name="_42"/>
            <w:bookmarkEnd w:id="73"/>
            <w:bookmarkStart w:id="74" w:name="_Hlt17709148"/>
            <w:r>
              <w:rPr>
                <w:rFonts w:hint="eastAsia" w:ascii="宋体" w:hAnsi="宋体" w:eastAsia="宋体" w:cs="宋体"/>
                <w:color w:val="000000" w:themeColor="text1"/>
                <w:szCs w:val="21"/>
                <w:highlight w:val="none"/>
                <w14:textFill>
                  <w14:solidFill>
                    <w14:schemeClr w14:val="tx1"/>
                  </w14:solidFill>
                </w14:textFill>
              </w:rPr>
              <w:t>3</w:t>
            </w:r>
            <w:bookmarkEnd w:id="74"/>
            <w:r>
              <w:rPr>
                <w:rFonts w:hint="eastAsia" w:ascii="宋体" w:hAnsi="宋体" w:eastAsia="宋体" w:cs="宋体"/>
                <w:color w:val="000000" w:themeColor="text1"/>
                <w:szCs w:val="21"/>
                <w:highlight w:val="none"/>
                <w14:textFill>
                  <w14:solidFill>
                    <w14:schemeClr w14:val="tx1"/>
                  </w14:solidFill>
                </w14:textFill>
              </w:rPr>
              <w:t>9.1</w:t>
            </w:r>
          </w:p>
        </w:tc>
        <w:tc>
          <w:tcPr>
            <w:tcW w:w="8708" w:type="dxa"/>
            <w:tcBorders>
              <w:top w:val="single" w:color="auto" w:sz="4" w:space="0"/>
              <w:left w:val="single" w:color="auto" w:sz="4" w:space="0"/>
              <w:bottom w:val="single" w:color="auto" w:sz="4" w:space="0"/>
              <w:right w:val="single" w:color="auto" w:sz="4" w:space="0"/>
            </w:tcBorders>
            <w:vAlign w:val="center"/>
          </w:tcPr>
          <w:p w14:paraId="3B9AF951">
            <w:pPr>
              <w:pStyle w:val="26"/>
              <w:snapToGrid w:val="0"/>
              <w:spacing w:line="400" w:lineRule="exact"/>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1、采购代理服务费支付方式：</w:t>
            </w:r>
            <w:r>
              <w:rPr>
                <w:rFonts w:hint="eastAsia" w:ascii="宋体" w:hAnsi="宋体" w:eastAsia="宋体" w:cs="宋体"/>
                <w:color w:val="000000" w:themeColor="text1"/>
                <w:highlight w:val="none"/>
                <w14:textFill>
                  <w14:solidFill>
                    <w14:schemeClr w14:val="tx1"/>
                  </w14:solidFill>
                </w14:textFill>
              </w:rPr>
              <w:t>本项目的招标代理服务费按以下收费标准向中标人收取，领取中标通知书前，中标人应向采购代理机构一次付清招标代理服务费，否则采购代理机构有权不予以办理。</w:t>
            </w:r>
          </w:p>
          <w:p w14:paraId="6CA3DE96">
            <w:pPr>
              <w:pStyle w:val="26"/>
              <w:snapToGrid w:val="0"/>
              <w:spacing w:line="400" w:lineRule="exact"/>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2、采购代理服务费收取标准：</w:t>
            </w:r>
          </w:p>
          <w:p w14:paraId="2EBD09B9">
            <w:pPr>
              <w:pStyle w:val="26"/>
              <w:snapToGrid w:val="0"/>
              <w:spacing w:line="400" w:lineRule="exact"/>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以分标（中标金额）为计费金额，按本须知正文第39.2条规定的收费计算标准（货物招标）采用差额定率累进法计算出收费基准价格，采购代理服务费以收费基准价格收取。</w:t>
            </w:r>
          </w:p>
          <w:p w14:paraId="2D28B4FE">
            <w:pPr>
              <w:pStyle w:val="26"/>
              <w:snapToGrid w:val="0"/>
              <w:spacing w:line="400" w:lineRule="exact"/>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3、采购代理费收取银行账户：</w:t>
            </w:r>
          </w:p>
          <w:p w14:paraId="5CA2D818">
            <w:pPr>
              <w:pStyle w:val="26"/>
              <w:snapToGrid w:val="0"/>
              <w:spacing w:line="400" w:lineRule="exact"/>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账户名称：广西睿翼工程咨询有限公司南宁分公司  </w:t>
            </w:r>
          </w:p>
          <w:p w14:paraId="62F7AD41">
            <w:pPr>
              <w:pStyle w:val="26"/>
              <w:snapToGrid w:val="0"/>
              <w:spacing w:line="400" w:lineRule="exact"/>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开户银行：华夏银行股份有限公司南宁青秀支行 </w:t>
            </w:r>
          </w:p>
          <w:p w14:paraId="2D23BB85">
            <w:pPr>
              <w:pStyle w:val="26"/>
              <w:snapToGrid w:val="0"/>
              <w:spacing w:line="400" w:lineRule="exact"/>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银行账号：13053000000217831  </w:t>
            </w:r>
          </w:p>
        </w:tc>
      </w:tr>
      <w:tr w14:paraId="4C99C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226D992C">
            <w:pPr>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40.1</w:t>
            </w:r>
          </w:p>
        </w:tc>
        <w:tc>
          <w:tcPr>
            <w:tcW w:w="8708" w:type="dxa"/>
            <w:tcBorders>
              <w:top w:val="single" w:color="auto" w:sz="4" w:space="0"/>
              <w:left w:val="single" w:color="auto" w:sz="4" w:space="0"/>
              <w:bottom w:val="single" w:color="auto" w:sz="4" w:space="0"/>
              <w:right w:val="single" w:color="auto" w:sz="4" w:space="0"/>
            </w:tcBorders>
            <w:vAlign w:val="center"/>
          </w:tcPr>
          <w:p w14:paraId="03FF7EDC">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p w14:paraId="364A16E6">
            <w:pPr>
              <w:snapToGrid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b/>
                <w:color w:val="auto"/>
                <w:szCs w:val="21"/>
                <w:highlight w:val="none"/>
              </w:rPr>
              <w:t>法律责任：</w:t>
            </w:r>
            <w:r>
              <w:rPr>
                <w:rFonts w:hint="eastAsia" w:ascii="宋体" w:hAnsi="宋体"/>
                <w:color w:val="auto"/>
                <w:szCs w:val="21"/>
                <w:highlight w:val="none"/>
              </w:rPr>
              <w:t>本采购文件根据《中华人民共和国政府采购法》、《中华人民共和国民法典》；《中华人民共和国政府采购法实施条例》等有关法律、法规编制，参与本项目的各政府采购当事人依法享有上述法律法规所赋予的权利与义务。</w:t>
            </w:r>
          </w:p>
        </w:tc>
      </w:tr>
      <w:tr w14:paraId="6987B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43C1314">
            <w:pPr>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40.2</w:t>
            </w:r>
          </w:p>
        </w:tc>
        <w:tc>
          <w:tcPr>
            <w:tcW w:w="8708" w:type="dxa"/>
            <w:tcBorders>
              <w:top w:val="single" w:color="auto" w:sz="4" w:space="0"/>
              <w:left w:val="single" w:color="auto" w:sz="4" w:space="0"/>
              <w:bottom w:val="single" w:color="auto" w:sz="4" w:space="0"/>
              <w:right w:val="single" w:color="auto" w:sz="4" w:space="0"/>
            </w:tcBorders>
            <w:vAlign w:val="center"/>
          </w:tcPr>
          <w:p w14:paraId="630D3B73">
            <w:pPr>
              <w:pStyle w:val="26"/>
              <w:snapToGrid w:val="0"/>
              <w:spacing w:line="400" w:lineRule="exact"/>
              <w:rPr>
                <w:rFonts w:hint="eastAsia" w:ascii="宋体" w:hAnsi="宋体" w:eastAsia="宋体" w:cs="宋体"/>
                <w:bCs/>
                <w:color w:val="000000" w:themeColor="text1"/>
                <w:sz w:val="21"/>
                <w:highlight w:val="none"/>
                <w14:textFill>
                  <w14:solidFill>
                    <w14:schemeClr w14:val="tx1"/>
                  </w14:solidFill>
                </w14:textFill>
              </w:rPr>
            </w:pPr>
            <w:r>
              <w:rPr>
                <w:rFonts w:hint="eastAsia" w:ascii="宋体" w:hAnsi="宋体" w:eastAsia="宋体" w:cs="宋体"/>
                <w:bCs/>
                <w:color w:val="000000" w:themeColor="text1"/>
                <w:sz w:val="21"/>
                <w:highlight w:val="none"/>
                <w14:textFill>
                  <w14:solidFill>
                    <w14:schemeClr w14:val="tx1"/>
                  </w14:solidFill>
                </w14:textFill>
              </w:rPr>
              <w:t>1、本招标文件中描述投标人的“公章”是指根据我国对公章的管理规定，用投标人法定主体行为名称制作的印章</w:t>
            </w:r>
            <w:r>
              <w:rPr>
                <w:rFonts w:hint="eastAsia" w:ascii="宋体" w:hAnsi="宋体" w:eastAsia="宋体" w:cs="宋体"/>
                <w:color w:val="000000" w:themeColor="text1"/>
                <w:sz w:val="21"/>
                <w:highlight w:val="none"/>
                <w14:textFill>
                  <w14:solidFill>
                    <w14:schemeClr w14:val="tx1"/>
                  </w14:solidFill>
                </w14:textFill>
              </w:rPr>
              <w:t>（含电子印章）</w:t>
            </w:r>
            <w:r>
              <w:rPr>
                <w:rFonts w:hint="eastAsia" w:ascii="宋体" w:hAnsi="宋体" w:eastAsia="宋体" w:cs="宋体"/>
                <w:bCs/>
                <w:color w:val="000000" w:themeColor="text1"/>
                <w:sz w:val="21"/>
                <w:highlight w:val="none"/>
                <w14:textFill>
                  <w14:solidFill>
                    <w14:schemeClr w14:val="tx1"/>
                  </w14:solidFill>
                </w14:textFill>
              </w:rPr>
              <w:t>，除本招标文件有特殊规定外，投标人的财务章、部门章、分公司章、工会章、合同章、投标专用章、业务专用章及银行的转账章、现金收讫章、现金付讫章等其他形式印章均不能代替公章。</w:t>
            </w:r>
          </w:p>
          <w:p w14:paraId="128BE6EF">
            <w:pPr>
              <w:pStyle w:val="26"/>
              <w:snapToGrid w:val="0"/>
              <w:spacing w:line="400" w:lineRule="exact"/>
              <w:rPr>
                <w:rFonts w:hint="eastAsia" w:ascii="宋体" w:hAnsi="宋体" w:eastAsia="宋体" w:cs="宋体"/>
                <w:bCs/>
                <w:color w:val="000000" w:themeColor="text1"/>
                <w:sz w:val="21"/>
                <w:highlight w:val="none"/>
                <w14:textFill>
                  <w14:solidFill>
                    <w14:schemeClr w14:val="tx1"/>
                  </w14:solidFill>
                </w14:textFill>
              </w:rPr>
            </w:pPr>
            <w:r>
              <w:rPr>
                <w:rFonts w:hint="eastAsia" w:ascii="宋体" w:hAnsi="宋体" w:eastAsia="宋体" w:cs="宋体"/>
                <w:bCs/>
                <w:color w:val="000000" w:themeColor="text1"/>
                <w:sz w:val="21"/>
                <w:highlight w:val="none"/>
                <w14:textFill>
                  <w14:solidFill>
                    <w14:schemeClr w14:val="tx1"/>
                  </w14:solidFill>
                </w14:textFill>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2ECAAA29">
            <w:pPr>
              <w:pStyle w:val="26"/>
              <w:snapToGrid w:val="0"/>
              <w:spacing w:line="400" w:lineRule="exact"/>
              <w:rPr>
                <w:rFonts w:hint="eastAsia" w:ascii="宋体" w:hAnsi="宋体" w:eastAsia="宋体" w:cs="宋体"/>
                <w:bCs/>
                <w:color w:val="000000" w:themeColor="text1"/>
                <w:sz w:val="21"/>
                <w:highlight w:val="none"/>
                <w14:textFill>
                  <w14:solidFill>
                    <w14:schemeClr w14:val="tx1"/>
                  </w14:solidFill>
                </w14:textFill>
              </w:rPr>
            </w:pPr>
            <w:r>
              <w:rPr>
                <w:rFonts w:hint="eastAsia" w:ascii="宋体" w:hAnsi="宋体" w:eastAsia="宋体" w:cs="宋体"/>
                <w:bCs/>
                <w:color w:val="000000" w:themeColor="text1"/>
                <w:sz w:val="21"/>
                <w:highlight w:val="none"/>
                <w14:textFill>
                  <w14:solidFill>
                    <w14:schemeClr w14:val="tx1"/>
                  </w14:solidFill>
                </w14:textFill>
              </w:rPr>
              <w:t>3、本招标文件中描述投标人的“签字”是指投标人的法定代表人或者委托代理人</w:t>
            </w:r>
            <w:r>
              <w:rPr>
                <w:rFonts w:hint="eastAsia" w:ascii="宋体" w:hAnsi="宋体" w:eastAsia="宋体" w:cs="宋体"/>
                <w:color w:val="000000" w:themeColor="text1"/>
                <w:sz w:val="21"/>
                <w:highlight w:val="none"/>
                <w14:textFill>
                  <w14:solidFill>
                    <w14:schemeClr w14:val="tx1"/>
                  </w14:solidFill>
                </w14:textFill>
              </w:rPr>
              <w:t>在文件规定签署处签名（含电子签名）的行为，私章、印鉴等其他形式均不能代替签字</w:t>
            </w:r>
            <w:r>
              <w:rPr>
                <w:rFonts w:hint="eastAsia" w:ascii="宋体" w:hAnsi="宋体" w:eastAsia="宋体" w:cs="宋体"/>
                <w:bCs/>
                <w:color w:val="000000" w:themeColor="text1"/>
                <w:sz w:val="21"/>
                <w:highlight w:val="none"/>
                <w14:textFill>
                  <w14:solidFill>
                    <w14:schemeClr w14:val="tx1"/>
                  </w14:solidFill>
                </w14:textFill>
              </w:rPr>
              <w:t>。</w:t>
            </w:r>
          </w:p>
          <w:p w14:paraId="0583F51F">
            <w:pPr>
              <w:pStyle w:val="26"/>
              <w:snapToGrid w:val="0"/>
              <w:spacing w:line="400" w:lineRule="exact"/>
              <w:rPr>
                <w:rFonts w:hint="eastAsia" w:ascii="宋体" w:hAnsi="宋体" w:eastAsia="宋体" w:cs="宋体"/>
                <w:bCs/>
                <w:color w:val="000000" w:themeColor="text1"/>
                <w:sz w:val="21"/>
                <w:highlight w:val="none"/>
                <w14:textFill>
                  <w14:solidFill>
                    <w14:schemeClr w14:val="tx1"/>
                  </w14:solidFill>
                </w14:textFill>
              </w:rPr>
            </w:pPr>
            <w:r>
              <w:rPr>
                <w:rFonts w:hint="eastAsia" w:ascii="宋体" w:hAnsi="宋体" w:eastAsia="宋体" w:cs="宋体"/>
                <w:bCs/>
                <w:color w:val="000000" w:themeColor="text1"/>
                <w:sz w:val="21"/>
                <w:highlight w:val="none"/>
                <w14:textFill>
                  <w14:solidFill>
                    <w14:schemeClr w14:val="tx1"/>
                  </w14:solidFill>
                </w14:textFill>
              </w:rPr>
              <w:t>4、自然人投标的，招标文件规定盖公章处由自然人摁手指指印。</w:t>
            </w:r>
          </w:p>
          <w:p w14:paraId="0F06348D">
            <w:pPr>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5、本招标文件所称的“以上”“以下”“以内”“届满”，包括本数；所称的“不满”“超过”“以外”，不包括本数。</w:t>
            </w:r>
          </w:p>
        </w:tc>
      </w:tr>
    </w:tbl>
    <w:p w14:paraId="23F2CA59">
      <w:pPr>
        <w:snapToGrid w:val="0"/>
        <w:rPr>
          <w:rFonts w:hint="eastAsia" w:ascii="宋体" w:hAnsi="宋体" w:eastAsia="宋体" w:cs="宋体"/>
          <w:color w:val="000000" w:themeColor="text1"/>
          <w:sz w:val="24"/>
          <w:szCs w:val="20"/>
          <w:highlight w:val="none"/>
          <w14:textFill>
            <w14:solidFill>
              <w14:schemeClr w14:val="tx1"/>
            </w14:solidFill>
          </w14:textFill>
        </w:rPr>
      </w:pPr>
    </w:p>
    <w:p w14:paraId="5E5A320E">
      <w:pPr>
        <w:pStyle w:val="6"/>
        <w:keepNext w:val="0"/>
        <w:keepLines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r>
        <w:rPr>
          <w:rFonts w:hint="eastAsia" w:ascii="宋体" w:hAnsi="宋体" w:eastAsia="宋体" w:cs="宋体"/>
          <w:color w:val="000000" w:themeColor="text1"/>
          <w:highlight w:val="none"/>
          <w14:textFill>
            <w14:solidFill>
              <w14:schemeClr w14:val="tx1"/>
            </w14:solidFill>
          </w14:textFill>
        </w:rPr>
        <w:t>投标人须知正文</w:t>
      </w:r>
    </w:p>
    <w:p w14:paraId="5567EABC">
      <w:pPr>
        <w:pStyle w:val="6"/>
        <w:keepNext w:val="0"/>
        <w:keepLines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一、总  则</w:t>
      </w:r>
    </w:p>
    <w:p w14:paraId="481243B4">
      <w:pPr>
        <w:pStyle w:val="8"/>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bookmarkStart w:id="75" w:name="_Toc254970527"/>
      <w:bookmarkStart w:id="76" w:name="_Toc254970668"/>
      <w:r>
        <w:rPr>
          <w:rFonts w:hint="eastAsia" w:ascii="宋体" w:hAnsi="宋体" w:eastAsia="宋体" w:cs="宋体"/>
          <w:color w:val="000000" w:themeColor="text1"/>
          <w:sz w:val="24"/>
          <w:highlight w:val="none"/>
          <w14:textFill>
            <w14:solidFill>
              <w14:schemeClr w14:val="tx1"/>
            </w14:solidFill>
          </w14:textFill>
        </w:rPr>
        <w:t>1.适用范围</w:t>
      </w:r>
      <w:bookmarkEnd w:id="75"/>
      <w:bookmarkEnd w:id="76"/>
    </w:p>
    <w:p w14:paraId="0A8D6D21">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3450C0A1">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1.2本招标文件</w:t>
      </w:r>
      <w:r>
        <w:rPr>
          <w:rFonts w:hint="eastAsia" w:ascii="宋体" w:hAnsi="宋体" w:eastAsia="宋体" w:cs="宋体"/>
          <w:color w:val="000000" w:themeColor="text1"/>
          <w:spacing w:val="-6"/>
          <w:szCs w:val="21"/>
          <w:highlight w:val="none"/>
          <w14:textFill>
            <w14:solidFill>
              <w14:schemeClr w14:val="tx1"/>
            </w14:solidFill>
          </w14:textFill>
        </w:rPr>
        <w:t>适用于本项目的所有采购程序和环节（法律、法规另有规定的，从其规定）。</w:t>
      </w:r>
    </w:p>
    <w:p w14:paraId="06B22438">
      <w:pPr>
        <w:pStyle w:val="8"/>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bookmarkStart w:id="77" w:name="_Toc254970669"/>
      <w:bookmarkStart w:id="78" w:name="_Toc254970528"/>
      <w:r>
        <w:rPr>
          <w:rFonts w:hint="eastAsia" w:ascii="宋体" w:hAnsi="宋体" w:eastAsia="宋体" w:cs="宋体"/>
          <w:color w:val="000000" w:themeColor="text1"/>
          <w:sz w:val="24"/>
          <w:highlight w:val="none"/>
          <w14:textFill>
            <w14:solidFill>
              <w14:schemeClr w14:val="tx1"/>
            </w14:solidFill>
          </w14:textFill>
        </w:rPr>
        <w:t>2.定义</w:t>
      </w:r>
      <w:bookmarkEnd w:id="77"/>
      <w:bookmarkEnd w:id="78"/>
    </w:p>
    <w:p w14:paraId="755D8F40">
      <w:pPr>
        <w:pStyle w:val="8"/>
        <w:keepNext w:val="0"/>
        <w:keepLines w:val="0"/>
        <w:spacing w:before="0" w:after="0" w:line="360" w:lineRule="auto"/>
        <w:ind w:left="420" w:left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2.1“采购人”是指依法进行政府采购的国家机关、事业单位、团体组织。</w:t>
      </w:r>
    </w:p>
    <w:p w14:paraId="74503791">
      <w:pPr>
        <w:pStyle w:val="8"/>
        <w:keepNext w:val="0"/>
        <w:keepLines w:val="0"/>
        <w:spacing w:before="0" w:after="0" w:line="360" w:lineRule="auto"/>
        <w:ind w:left="420" w:left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2.2“采购代理机构”是指政府采购集中采购机构和集中采购机构以外的采购代理机构。</w:t>
      </w:r>
    </w:p>
    <w:p w14:paraId="5F84A9A7">
      <w:pPr>
        <w:pStyle w:val="8"/>
        <w:keepNext w:val="0"/>
        <w:keepLines w:val="0"/>
        <w:spacing w:before="0" w:after="0" w:line="360" w:lineRule="auto"/>
        <w:ind w:left="420" w:left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2.3“供应商”是指向采购人提供货物、工程或者服务的法人、其他组织或者自然人。</w:t>
      </w:r>
    </w:p>
    <w:p w14:paraId="5A4E7862">
      <w:pPr>
        <w:pStyle w:val="9"/>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2.4“投标人”是指响应招标、参加投标竞争的法人、其他组织或者自然人。</w:t>
      </w:r>
    </w:p>
    <w:p w14:paraId="0D80A792">
      <w:pPr>
        <w:pStyle w:val="8"/>
        <w:keepNext w:val="0"/>
        <w:keepLines w:val="0"/>
        <w:spacing w:before="0" w:after="0"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2.5“货物”是指各种形态和种类的物品，包括原材料、燃料、设备、产品等。</w:t>
      </w:r>
    </w:p>
    <w:p w14:paraId="04090EF7">
      <w:pPr>
        <w:pStyle w:val="8"/>
        <w:keepNext w:val="0"/>
        <w:keepLines w:val="0"/>
        <w:spacing w:before="0" w:after="0"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2.6“售后服务” 是指商品出售以后所提供的各种服务，包含但不限于投标人须承担的备品备件、包装、运输、装卸、保险、货到就位以及安装、调试、培训、保修以及其他各种服务。</w:t>
      </w:r>
    </w:p>
    <w:p w14:paraId="66E152F7">
      <w:pPr>
        <w:pStyle w:val="8"/>
        <w:keepNext w:val="0"/>
        <w:keepLines w:val="0"/>
        <w:spacing w:before="0" w:after="0" w:line="360" w:lineRule="auto"/>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2.7“书面形式”是指合同书、信件和数据电文（包括电报、电传、传真、电子数据交换和电子邮件）等可以有形地表现所载内容的形式。</w:t>
      </w:r>
    </w:p>
    <w:p w14:paraId="557567A1">
      <w:pPr>
        <w:pStyle w:val="8"/>
        <w:keepNext w:val="0"/>
        <w:keepLines w:val="0"/>
        <w:spacing w:before="0" w:after="0"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2.8“实质性要求”是指招标文件中已经指明不满足则投标无效的条款，或者不能负偏离的条款，或者采购需求中带“▲”的条款。</w:t>
      </w:r>
    </w:p>
    <w:p w14:paraId="12B4E5EE">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 “正偏离”，是指投标文件对招标文件“采购需求”中有关条款作出的响应优于条款要求并有利于采购人的情形。</w:t>
      </w:r>
    </w:p>
    <w:p w14:paraId="7B8F1CAE">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2.10“负偏离”，是指投标文件对招标文件“采购需求”中有关条款作出的响应不满足条款要求，导致采购人要求不能得到满足的情形。</w:t>
      </w:r>
    </w:p>
    <w:p w14:paraId="748A1C05">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2.11“允许负偏离的条款”是指采购需求中的不属于“实质性要求”的条款。</w:t>
      </w:r>
      <w:bookmarkStart w:id="79" w:name="_Toc254970670"/>
      <w:bookmarkStart w:id="80" w:name="_Toc254970529"/>
    </w:p>
    <w:p w14:paraId="24E1D4A7">
      <w:pPr>
        <w:pStyle w:val="8"/>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bookmarkEnd w:id="79"/>
      <w:bookmarkEnd w:id="80"/>
      <w:r>
        <w:rPr>
          <w:rFonts w:hint="eastAsia" w:ascii="宋体" w:hAnsi="宋体" w:eastAsia="宋体" w:cs="宋体"/>
          <w:color w:val="000000" w:themeColor="text1"/>
          <w:sz w:val="24"/>
          <w:highlight w:val="none"/>
          <w14:textFill>
            <w14:solidFill>
              <w14:schemeClr w14:val="tx1"/>
            </w14:solidFill>
          </w14:textFill>
        </w:rPr>
        <w:t>投标人的资格要求</w:t>
      </w:r>
    </w:p>
    <w:p w14:paraId="5CCB465F">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投标人的资格要求详见“投标人须知前附表”。</w:t>
      </w:r>
    </w:p>
    <w:p w14:paraId="61A77F62">
      <w:pPr>
        <w:pStyle w:val="8"/>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bookmarkStart w:id="81" w:name="_Toc254970530"/>
      <w:bookmarkStart w:id="82" w:name="_Toc254970671"/>
      <w:r>
        <w:rPr>
          <w:rFonts w:hint="eastAsia" w:ascii="宋体" w:hAnsi="宋体" w:eastAsia="宋体" w:cs="宋体"/>
          <w:color w:val="000000" w:themeColor="text1"/>
          <w:sz w:val="24"/>
          <w:highlight w:val="none"/>
          <w14:textFill>
            <w14:solidFill>
              <w14:schemeClr w14:val="tx1"/>
            </w14:solidFill>
          </w14:textFill>
        </w:rPr>
        <w:t>4.投标委托</w:t>
      </w:r>
      <w:bookmarkEnd w:id="81"/>
      <w:bookmarkEnd w:id="82"/>
    </w:p>
    <w:p w14:paraId="7B7547E4">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投标人代表参加投标活动过程中必须携带个人有效身份证件。如投标人代表不是法定代表人，须持有授权委托书（按第六章要求格式填写）。</w:t>
      </w:r>
    </w:p>
    <w:p w14:paraId="434F3EAA">
      <w:pPr>
        <w:pStyle w:val="8"/>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bookmarkStart w:id="83" w:name="_5.投标费用"/>
      <w:bookmarkEnd w:id="83"/>
      <w:bookmarkStart w:id="84" w:name="_Toc254970531"/>
      <w:bookmarkStart w:id="85" w:name="_Toc254970672"/>
      <w:r>
        <w:rPr>
          <w:rFonts w:hint="eastAsia" w:ascii="宋体" w:hAnsi="宋体" w:eastAsia="宋体" w:cs="宋体"/>
          <w:color w:val="000000" w:themeColor="text1"/>
          <w:sz w:val="24"/>
          <w:highlight w:val="none"/>
          <w14:textFill>
            <w14:solidFill>
              <w14:schemeClr w14:val="tx1"/>
            </w14:solidFill>
          </w14:textFill>
        </w:rPr>
        <w:t>5.投标费用</w:t>
      </w:r>
      <w:bookmarkEnd w:id="84"/>
      <w:bookmarkEnd w:id="85"/>
    </w:p>
    <w:p w14:paraId="03DA71F2">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投标费用：投标人应承担参与本次采购活动有关的所有费用，包括但不限于获取招标文件、勘查现场、编制和提交投标文件、参加澄清说明、签订合同等，不论投标结果如何，均应自行承担。</w:t>
      </w:r>
    </w:p>
    <w:p w14:paraId="5B916672">
      <w:pPr>
        <w:pStyle w:val="8"/>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6.联合体投标</w:t>
      </w:r>
    </w:p>
    <w:p w14:paraId="7FEBE7B7">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6.1本项目是否接受联合体投标，详见“投标人须知前附表”。</w:t>
      </w:r>
    </w:p>
    <w:p w14:paraId="2A0526FA">
      <w:pPr>
        <w:snapToGrid w:val="0"/>
        <w:spacing w:line="360" w:lineRule="auto"/>
        <w:ind w:firstLine="420" w:firstLine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6.2如接受联合体投标，联合体投标要求详见“投标人须知前附表”。</w:t>
      </w:r>
    </w:p>
    <w:p w14:paraId="46685CBE">
      <w:pPr>
        <w:pStyle w:val="8"/>
        <w:keepNext w:val="0"/>
        <w:keepLines w:val="0"/>
        <w:spacing w:before="0" w:after="0" w:line="360" w:lineRule="auto"/>
        <w:ind w:firstLine="424" w:firstLineChars="20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6.3</w:t>
      </w:r>
      <w:bookmarkStart w:id="86" w:name="_Hlk65857072"/>
      <w:r>
        <w:rPr>
          <w:rFonts w:hint="eastAsia" w:ascii="宋体" w:hAnsi="宋体" w:eastAsia="宋体" w:cs="宋体"/>
          <w:b w:val="0"/>
          <w:bCs/>
          <w:color w:val="000000" w:themeColor="text1"/>
          <w:sz w:val="21"/>
          <w:szCs w:val="21"/>
          <w:highlight w:val="none"/>
          <w14:textFill>
            <w14:solidFill>
              <w14:schemeClr w14:val="tx1"/>
            </w14:solidFill>
          </w14:textFill>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86"/>
    </w:p>
    <w:p w14:paraId="586E17A3">
      <w:pPr>
        <w:pStyle w:val="8"/>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7.转包与分包             </w:t>
      </w:r>
    </w:p>
    <w:p w14:paraId="196EB382">
      <w:pPr>
        <w:pStyle w:val="8"/>
        <w:keepNext w:val="0"/>
        <w:keepLines w:val="0"/>
        <w:spacing w:before="0" w:after="0" w:line="360" w:lineRule="auto"/>
        <w:ind w:left="420" w:left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7.1本项目不允许转包。</w:t>
      </w:r>
    </w:p>
    <w:p w14:paraId="1E601AAF">
      <w:pPr>
        <w:pStyle w:val="8"/>
        <w:keepNext w:val="0"/>
        <w:keepLines w:val="0"/>
        <w:spacing w:before="0" w:after="0" w:line="360" w:lineRule="auto"/>
        <w:ind w:firstLine="315" w:firstLineChars="15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1FD94E0E">
      <w:pPr>
        <w:pStyle w:val="8"/>
        <w:keepNext w:val="0"/>
        <w:keepLines w:val="0"/>
        <w:spacing w:before="0" w:after="0" w:line="360" w:lineRule="auto"/>
        <w:ind w:firstLine="315" w:firstLineChars="15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430FC9C2">
      <w:pPr>
        <w:pStyle w:val="8"/>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bookmarkStart w:id="87" w:name="_Toc254970532"/>
      <w:bookmarkStart w:id="88" w:name="_Toc254970673"/>
      <w:r>
        <w:rPr>
          <w:rFonts w:hint="eastAsia" w:ascii="宋体" w:hAnsi="宋体" w:eastAsia="宋体" w:cs="宋体"/>
          <w:color w:val="000000" w:themeColor="text1"/>
          <w:sz w:val="24"/>
          <w:highlight w:val="none"/>
          <w14:textFill>
            <w14:solidFill>
              <w14:schemeClr w14:val="tx1"/>
            </w14:solidFill>
          </w14:textFill>
        </w:rPr>
        <w:t>8.特别说明</w:t>
      </w:r>
      <w:bookmarkEnd w:id="87"/>
      <w:bookmarkEnd w:id="88"/>
    </w:p>
    <w:p w14:paraId="727CF8BC">
      <w:pPr>
        <w:pStyle w:val="8"/>
        <w:keepNext w:val="0"/>
        <w:keepLines w:val="0"/>
        <w:spacing w:before="0" w:after="0"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bookmarkStart w:id="89" w:name="_8.1提供相同品牌产品且通过资格审查、符合性审查的不同投标人参加同一合"/>
      <w:bookmarkEnd w:id="89"/>
      <w:r>
        <w:rPr>
          <w:rFonts w:hint="eastAsia" w:ascii="宋体" w:hAnsi="宋体" w:eastAsia="宋体" w:cs="宋体"/>
          <w:b w:val="0"/>
          <w:color w:val="000000" w:themeColor="text1"/>
          <w:sz w:val="21"/>
          <w:szCs w:val="21"/>
          <w:highlight w:val="none"/>
          <w14:textFill>
            <w14:solidFill>
              <w14:schemeClr w14:val="tx1"/>
            </w14:solidFill>
          </w14:textFill>
        </w:rPr>
        <w:fldChar w:fldCharType="begin"/>
      </w:r>
      <w:r>
        <w:rPr>
          <w:rFonts w:hint="eastAsia" w:ascii="宋体" w:hAnsi="宋体" w:eastAsia="宋体" w:cs="宋体"/>
          <w:b w:val="0"/>
          <w:color w:val="000000" w:themeColor="text1"/>
          <w:sz w:val="21"/>
          <w:szCs w:val="21"/>
          <w:highlight w:val="none"/>
          <w14:textFill>
            <w14:solidFill>
              <w14:schemeClr w14:val="tx1"/>
            </w14:solidFill>
          </w14:textFill>
        </w:rPr>
        <w:instrText xml:space="preserve"> HYPERLINK  \l "_8.1"</w:instrText>
      </w:r>
      <w:r>
        <w:rPr>
          <w:rFonts w:hint="eastAsia" w:ascii="宋体" w:hAnsi="宋体" w:eastAsia="宋体" w:cs="宋体"/>
          <w:b w:val="0"/>
          <w:color w:val="000000" w:themeColor="text1"/>
          <w:sz w:val="21"/>
          <w:szCs w:val="21"/>
          <w:highlight w:val="none"/>
          <w14:textFill>
            <w14:solidFill>
              <w14:schemeClr w14:val="tx1"/>
            </w14:solidFill>
          </w14:textFill>
        </w:rPr>
        <w:fldChar w:fldCharType="separate"/>
      </w:r>
      <w:r>
        <w:rPr>
          <w:rFonts w:hint="eastAsia" w:ascii="宋体" w:hAnsi="宋体" w:eastAsia="宋体" w:cs="宋体"/>
          <w:b w:val="0"/>
          <w:color w:val="000000" w:themeColor="text1"/>
          <w:sz w:val="21"/>
          <w:szCs w:val="21"/>
          <w:highlight w:val="none"/>
          <w14:textFill>
            <w14:solidFill>
              <w14:schemeClr w14:val="tx1"/>
            </w14:solidFill>
          </w14:textFill>
        </w:rPr>
        <w:t>8.1</w:t>
      </w:r>
      <w:r>
        <w:rPr>
          <w:rFonts w:hint="eastAsia" w:ascii="宋体" w:hAnsi="宋体" w:eastAsia="宋体" w:cs="宋体"/>
          <w:b w:val="0"/>
          <w:color w:val="000000" w:themeColor="text1"/>
          <w:sz w:val="21"/>
          <w:szCs w:val="21"/>
          <w:highlight w:val="none"/>
          <w14:textFill>
            <w14:solidFill>
              <w14:schemeClr w14:val="tx1"/>
            </w14:solidFill>
          </w14:textFill>
        </w:rPr>
        <w:fldChar w:fldCharType="end"/>
      </w:r>
      <w:r>
        <w:rPr>
          <w:rFonts w:hint="eastAsia" w:ascii="宋体" w:hAnsi="宋体" w:eastAsia="宋体" w:cs="宋体"/>
          <w:b w:val="0"/>
          <w:color w:val="000000" w:themeColor="text1"/>
          <w:sz w:val="21"/>
          <w:szCs w:val="21"/>
          <w:highlight w:val="none"/>
          <w14:textFill>
            <w14:solidFill>
              <w14:schemeClr w14:val="tx1"/>
            </w14:solidFill>
          </w14:textFill>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eastAsia="宋体" w:cs="宋体"/>
          <w:color w:val="000000" w:themeColor="text1"/>
          <w:sz w:val="22"/>
          <w:szCs w:val="22"/>
          <w:highlight w:val="none"/>
          <w14:textFill>
            <w14:solidFill>
              <w14:schemeClr w14:val="tx1"/>
            </w14:solidFill>
          </w14:textFill>
        </w:rPr>
        <w:t>其他投标无效。</w:t>
      </w:r>
    </w:p>
    <w:p w14:paraId="2C0BB8B4">
      <w:pPr>
        <w:pStyle w:val="8"/>
        <w:keepNext w:val="0"/>
        <w:keepLines w:val="0"/>
        <w:spacing w:before="0" w:after="0"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319DA793">
      <w:pPr>
        <w:pStyle w:val="26"/>
        <w:snapToGrid w:val="0"/>
        <w:spacing w:line="360" w:lineRule="auto"/>
        <w:ind w:left="2" w:leftChars="1" w:firstLine="420" w:firstLineChars="200"/>
        <w:rPr>
          <w:rFonts w:hint="eastAsia" w:ascii="宋体" w:hAnsi="宋体" w:eastAsia="宋体" w:cs="宋体"/>
          <w:color w:val="000000" w:themeColor="text1"/>
          <w:kern w:val="2"/>
          <w:sz w:val="21"/>
          <w:highlight w:val="none"/>
          <w14:textFill>
            <w14:solidFill>
              <w14:schemeClr w14:val="tx1"/>
            </w14:solidFill>
          </w14:textFill>
        </w:rPr>
      </w:pPr>
      <w:r>
        <w:rPr>
          <w:rFonts w:hint="eastAsia" w:ascii="宋体" w:hAnsi="宋体" w:eastAsia="宋体" w:cs="宋体"/>
          <w:color w:val="000000" w:themeColor="text1"/>
          <w:kern w:val="2"/>
          <w:sz w:val="21"/>
          <w:highlight w:val="none"/>
          <w14:textFill>
            <w14:solidFill>
              <w14:schemeClr w14:val="tx1"/>
            </w14:solidFill>
          </w14:textFill>
        </w:rPr>
        <w:t>非单一产品采购项目，多家投标人提供的核心产品品牌相同的，</w:t>
      </w:r>
      <w:r>
        <w:rPr>
          <w:rFonts w:hint="eastAsia" w:ascii="宋体" w:hAnsi="宋体" w:eastAsia="宋体" w:cs="宋体"/>
          <w:color w:val="000000" w:themeColor="text1"/>
          <w:sz w:val="22"/>
          <w:szCs w:val="22"/>
          <w:highlight w:val="none"/>
          <w14:textFill>
            <w14:solidFill>
              <w14:schemeClr w14:val="tx1"/>
            </w14:solidFill>
          </w14:textFill>
        </w:rPr>
        <w:t>按前两款规定处理</w:t>
      </w:r>
      <w:r>
        <w:rPr>
          <w:rFonts w:hint="eastAsia" w:ascii="宋体" w:hAnsi="宋体" w:eastAsia="宋体" w:cs="宋体"/>
          <w:color w:val="000000" w:themeColor="text1"/>
          <w:kern w:val="2"/>
          <w:sz w:val="21"/>
          <w:highlight w:val="none"/>
          <w14:textFill>
            <w14:solidFill>
              <w14:schemeClr w14:val="tx1"/>
            </w14:solidFill>
          </w14:textFill>
        </w:rPr>
        <w:t>。</w:t>
      </w:r>
    </w:p>
    <w:p w14:paraId="180B6F91">
      <w:pPr>
        <w:pStyle w:val="8"/>
        <w:keepNext w:val="0"/>
        <w:keepLines w:val="0"/>
        <w:spacing w:before="0" w:after="0" w:line="360" w:lineRule="auto"/>
        <w:ind w:firstLine="367" w:firstLineChars="175"/>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8.2如果本招标文件要求提供投标人或制造商的资格、信誉、荣誉、业绩与企业认证等材料的，资格、信誉、荣誉、业绩与企业认证等必须为投标人或者制造商所拥有或自身获得 。</w:t>
      </w:r>
    </w:p>
    <w:p w14:paraId="1B82C802">
      <w:pPr>
        <w:pStyle w:val="8"/>
        <w:keepNext w:val="0"/>
        <w:keepLines w:val="0"/>
        <w:spacing w:before="0" w:after="0" w:line="360" w:lineRule="auto"/>
        <w:ind w:firstLine="367" w:firstLineChars="175"/>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8.3投标人应仔细阅读招标文件的所有内容，按照招标文件的要求提交投标文件，并对所提供的全部资料的真实性承担法律责任。</w:t>
      </w:r>
    </w:p>
    <w:p w14:paraId="517C052F">
      <w:pPr>
        <w:pStyle w:val="8"/>
        <w:keepNext w:val="0"/>
        <w:keepLines w:val="0"/>
        <w:spacing w:before="0" w:after="0" w:line="360" w:lineRule="auto"/>
        <w:ind w:firstLine="367" w:firstLineChars="175"/>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8.4投标人在投标活动中提供任何虚假材料，将报监管部门查处；中标后发现的，中标人须依法赔偿采购人，且民事赔偿并不免除违法投标人的行政与刑事责任。</w:t>
      </w:r>
    </w:p>
    <w:p w14:paraId="1BBEA9BD">
      <w:pPr>
        <w:pStyle w:val="8"/>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9.回避与串通投标</w:t>
      </w:r>
    </w:p>
    <w:p w14:paraId="40B2B9F0">
      <w:pPr>
        <w:pStyle w:val="8"/>
        <w:keepNext w:val="0"/>
        <w:keepLines w:val="0"/>
        <w:spacing w:before="0" w:after="0" w:line="360" w:lineRule="auto"/>
        <w:ind w:firstLine="367" w:firstLineChars="175"/>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9.1在政府采购活动中，采购人员及相关人员与供应商有下列利害关系之一的，应当回避：</w:t>
      </w:r>
    </w:p>
    <w:p w14:paraId="02741ECF">
      <w:pPr>
        <w:pStyle w:val="26"/>
        <w:snapToGrid w:val="0"/>
        <w:spacing w:line="360" w:lineRule="auto"/>
        <w:ind w:left="2" w:leftChars="1" w:firstLine="420" w:firstLineChars="200"/>
        <w:rPr>
          <w:rFonts w:hint="eastAsia" w:ascii="宋体" w:hAnsi="宋体" w:eastAsia="宋体" w:cs="宋体"/>
          <w:color w:val="000000" w:themeColor="text1"/>
          <w:kern w:val="2"/>
          <w:sz w:val="21"/>
          <w:highlight w:val="none"/>
          <w14:textFill>
            <w14:solidFill>
              <w14:schemeClr w14:val="tx1"/>
            </w14:solidFill>
          </w14:textFill>
        </w:rPr>
      </w:pPr>
      <w:r>
        <w:rPr>
          <w:rFonts w:hint="eastAsia" w:ascii="宋体" w:hAnsi="宋体" w:eastAsia="宋体" w:cs="宋体"/>
          <w:color w:val="000000" w:themeColor="text1"/>
          <w:kern w:val="2"/>
          <w:sz w:val="21"/>
          <w:highlight w:val="none"/>
          <w14:textFill>
            <w14:solidFill>
              <w14:schemeClr w14:val="tx1"/>
            </w14:solidFill>
          </w14:textFill>
        </w:rPr>
        <w:t>（1）参加采购活动前3年内与供应商存在劳动关系；</w:t>
      </w:r>
    </w:p>
    <w:p w14:paraId="1CAEE2AD">
      <w:pPr>
        <w:pStyle w:val="26"/>
        <w:snapToGrid w:val="0"/>
        <w:spacing w:line="360" w:lineRule="auto"/>
        <w:ind w:left="2" w:leftChars="1" w:firstLine="420" w:firstLineChars="200"/>
        <w:rPr>
          <w:rFonts w:hint="eastAsia" w:ascii="宋体" w:hAnsi="宋体" w:eastAsia="宋体" w:cs="宋体"/>
          <w:color w:val="000000" w:themeColor="text1"/>
          <w:kern w:val="2"/>
          <w:sz w:val="21"/>
          <w:highlight w:val="none"/>
          <w14:textFill>
            <w14:solidFill>
              <w14:schemeClr w14:val="tx1"/>
            </w14:solidFill>
          </w14:textFill>
        </w:rPr>
      </w:pPr>
      <w:r>
        <w:rPr>
          <w:rFonts w:hint="eastAsia" w:ascii="宋体" w:hAnsi="宋体" w:eastAsia="宋体" w:cs="宋体"/>
          <w:color w:val="000000" w:themeColor="text1"/>
          <w:kern w:val="2"/>
          <w:sz w:val="21"/>
          <w:highlight w:val="none"/>
          <w14:textFill>
            <w14:solidFill>
              <w14:schemeClr w14:val="tx1"/>
            </w14:solidFill>
          </w14:textFill>
        </w:rPr>
        <w:t>（2）参加采购活动前3年内担任供应商的董事、监事；</w:t>
      </w:r>
    </w:p>
    <w:p w14:paraId="40009CAD">
      <w:pPr>
        <w:pStyle w:val="26"/>
        <w:snapToGrid w:val="0"/>
        <w:spacing w:line="360" w:lineRule="auto"/>
        <w:ind w:left="2" w:leftChars="1" w:firstLine="420" w:firstLineChars="200"/>
        <w:rPr>
          <w:rFonts w:hint="eastAsia" w:ascii="宋体" w:hAnsi="宋体" w:eastAsia="宋体" w:cs="宋体"/>
          <w:color w:val="000000" w:themeColor="text1"/>
          <w:kern w:val="2"/>
          <w:sz w:val="21"/>
          <w:highlight w:val="none"/>
          <w14:textFill>
            <w14:solidFill>
              <w14:schemeClr w14:val="tx1"/>
            </w14:solidFill>
          </w14:textFill>
        </w:rPr>
      </w:pPr>
      <w:r>
        <w:rPr>
          <w:rFonts w:hint="eastAsia" w:ascii="宋体" w:hAnsi="宋体" w:eastAsia="宋体" w:cs="宋体"/>
          <w:color w:val="000000" w:themeColor="text1"/>
          <w:kern w:val="2"/>
          <w:sz w:val="21"/>
          <w:highlight w:val="none"/>
          <w14:textFill>
            <w14:solidFill>
              <w14:schemeClr w14:val="tx1"/>
            </w14:solidFill>
          </w14:textFill>
        </w:rPr>
        <w:t>（3）参加采购活动前3年内是供应商的控股股东或者实际控制人；</w:t>
      </w:r>
    </w:p>
    <w:p w14:paraId="63AF0233">
      <w:pPr>
        <w:pStyle w:val="26"/>
        <w:snapToGrid w:val="0"/>
        <w:spacing w:line="360" w:lineRule="auto"/>
        <w:ind w:left="2" w:leftChars="1" w:firstLine="420" w:firstLineChars="200"/>
        <w:rPr>
          <w:rFonts w:hint="eastAsia" w:ascii="宋体" w:hAnsi="宋体" w:eastAsia="宋体" w:cs="宋体"/>
          <w:color w:val="000000" w:themeColor="text1"/>
          <w:kern w:val="2"/>
          <w:sz w:val="21"/>
          <w:highlight w:val="none"/>
          <w14:textFill>
            <w14:solidFill>
              <w14:schemeClr w14:val="tx1"/>
            </w14:solidFill>
          </w14:textFill>
        </w:rPr>
      </w:pPr>
      <w:r>
        <w:rPr>
          <w:rFonts w:hint="eastAsia" w:ascii="宋体" w:hAnsi="宋体" w:eastAsia="宋体" w:cs="宋体"/>
          <w:color w:val="000000" w:themeColor="text1"/>
          <w:kern w:val="2"/>
          <w:sz w:val="21"/>
          <w:highlight w:val="none"/>
          <w14:textFill>
            <w14:solidFill>
              <w14:schemeClr w14:val="tx1"/>
            </w14:solidFill>
          </w14:textFill>
        </w:rPr>
        <w:t>（4）与供应商的法定代表人或者负责人有夫妻、直系血亲、三代以内旁系血亲或者近姻亲关系；</w:t>
      </w:r>
    </w:p>
    <w:p w14:paraId="50D4336A">
      <w:pPr>
        <w:pStyle w:val="26"/>
        <w:snapToGrid w:val="0"/>
        <w:spacing w:line="360" w:lineRule="auto"/>
        <w:ind w:left="2" w:leftChars="1" w:firstLine="420" w:firstLineChars="200"/>
        <w:rPr>
          <w:rFonts w:hint="eastAsia" w:ascii="宋体" w:hAnsi="宋体" w:eastAsia="宋体" w:cs="宋体"/>
          <w:color w:val="000000" w:themeColor="text1"/>
          <w:kern w:val="2"/>
          <w:sz w:val="21"/>
          <w:highlight w:val="none"/>
          <w14:textFill>
            <w14:solidFill>
              <w14:schemeClr w14:val="tx1"/>
            </w14:solidFill>
          </w14:textFill>
        </w:rPr>
      </w:pPr>
      <w:r>
        <w:rPr>
          <w:rFonts w:hint="eastAsia" w:ascii="宋体" w:hAnsi="宋体" w:eastAsia="宋体" w:cs="宋体"/>
          <w:color w:val="000000" w:themeColor="text1"/>
          <w:kern w:val="2"/>
          <w:sz w:val="21"/>
          <w:highlight w:val="none"/>
          <w14:textFill>
            <w14:solidFill>
              <w14:schemeClr w14:val="tx1"/>
            </w14:solidFill>
          </w14:textFill>
        </w:rPr>
        <w:t>（5）与供应商有其他可能影响政府采购活动公平、公正进行的关系。</w:t>
      </w:r>
    </w:p>
    <w:p w14:paraId="6563E0CD">
      <w:pPr>
        <w:pStyle w:val="26"/>
        <w:snapToGrid w:val="0"/>
        <w:spacing w:line="360" w:lineRule="auto"/>
        <w:ind w:left="2" w:leftChars="1" w:firstLine="420" w:firstLineChars="200"/>
        <w:rPr>
          <w:rFonts w:hint="eastAsia" w:ascii="宋体" w:hAnsi="宋体" w:eastAsia="宋体" w:cs="宋体"/>
          <w:color w:val="000000" w:themeColor="text1"/>
          <w:kern w:val="2"/>
          <w:sz w:val="21"/>
          <w:highlight w:val="none"/>
          <w14:textFill>
            <w14:solidFill>
              <w14:schemeClr w14:val="tx1"/>
            </w14:solidFill>
          </w14:textFill>
        </w:rPr>
      </w:pPr>
      <w:r>
        <w:rPr>
          <w:rFonts w:hint="eastAsia" w:ascii="宋体" w:hAnsi="宋体" w:eastAsia="宋体" w:cs="宋体"/>
          <w:color w:val="000000" w:themeColor="text1"/>
          <w:kern w:val="2"/>
          <w:sz w:val="21"/>
          <w:highlight w:val="none"/>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FA7A1B8">
      <w:pPr>
        <w:pStyle w:val="8"/>
        <w:keepNext w:val="0"/>
        <w:keepLines w:val="0"/>
        <w:spacing w:before="0" w:after="0" w:line="360" w:lineRule="auto"/>
        <w:ind w:left="420" w:left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9.2有下列情形之一的视为投标人相互串通投标，投标文件将被视为无效：</w:t>
      </w:r>
    </w:p>
    <w:p w14:paraId="24C8F861">
      <w:pPr>
        <w:pStyle w:val="26"/>
        <w:snapToGrid w:val="0"/>
        <w:spacing w:line="360" w:lineRule="auto"/>
        <w:ind w:left="2" w:leftChars="1" w:firstLine="422" w:firstLineChars="200"/>
        <w:rPr>
          <w:rFonts w:hint="eastAsia" w:ascii="宋体" w:hAnsi="宋体" w:eastAsia="宋体" w:cs="宋体"/>
          <w:b/>
          <w:color w:val="000000" w:themeColor="text1"/>
          <w:kern w:val="2"/>
          <w:sz w:val="21"/>
          <w:highlight w:val="none"/>
          <w14:textFill>
            <w14:solidFill>
              <w14:schemeClr w14:val="tx1"/>
            </w14:solidFill>
          </w14:textFill>
        </w:rPr>
      </w:pPr>
      <w:r>
        <w:rPr>
          <w:rFonts w:hint="eastAsia" w:ascii="宋体" w:hAnsi="宋体" w:eastAsia="宋体" w:cs="宋体"/>
          <w:b/>
          <w:color w:val="000000" w:themeColor="text1"/>
          <w:kern w:val="2"/>
          <w:sz w:val="21"/>
          <w:highlight w:val="none"/>
          <w14:textFill>
            <w14:solidFill>
              <w14:schemeClr w14:val="tx1"/>
            </w14:solidFill>
          </w14:textFill>
        </w:rPr>
        <w:t xml:space="preserve">（1）不同投标人的投标文件由同一单位或者个人编制； </w:t>
      </w:r>
    </w:p>
    <w:p w14:paraId="46AE5236">
      <w:pPr>
        <w:pStyle w:val="26"/>
        <w:snapToGrid w:val="0"/>
        <w:spacing w:line="360" w:lineRule="auto"/>
        <w:ind w:left="2" w:leftChars="1" w:firstLine="422" w:firstLineChars="200"/>
        <w:rPr>
          <w:rFonts w:hint="eastAsia" w:ascii="宋体" w:hAnsi="宋体" w:eastAsia="宋体" w:cs="宋体"/>
          <w:b/>
          <w:color w:val="000000" w:themeColor="text1"/>
          <w:kern w:val="2"/>
          <w:sz w:val="21"/>
          <w:highlight w:val="none"/>
          <w14:textFill>
            <w14:solidFill>
              <w14:schemeClr w14:val="tx1"/>
            </w14:solidFill>
          </w14:textFill>
        </w:rPr>
      </w:pPr>
      <w:r>
        <w:rPr>
          <w:rFonts w:hint="eastAsia" w:ascii="宋体" w:hAnsi="宋体" w:eastAsia="宋体" w:cs="宋体"/>
          <w:b/>
          <w:color w:val="000000" w:themeColor="text1"/>
          <w:kern w:val="2"/>
          <w:sz w:val="21"/>
          <w:highlight w:val="none"/>
          <w14:textFill>
            <w14:solidFill>
              <w14:schemeClr w14:val="tx1"/>
            </w14:solidFill>
          </w14:textFill>
        </w:rPr>
        <w:t>（2）不同投标人委托同一单位或者个人办理投标事宜；</w:t>
      </w:r>
    </w:p>
    <w:p w14:paraId="1BC6A06F">
      <w:pPr>
        <w:pStyle w:val="26"/>
        <w:snapToGrid w:val="0"/>
        <w:spacing w:line="360" w:lineRule="auto"/>
        <w:ind w:left="2" w:leftChars="1" w:firstLine="422" w:firstLineChars="200"/>
        <w:rPr>
          <w:rFonts w:hint="eastAsia" w:ascii="宋体" w:hAnsi="宋体" w:eastAsia="宋体" w:cs="宋体"/>
          <w:b/>
          <w:color w:val="000000" w:themeColor="text1"/>
          <w:kern w:val="2"/>
          <w:sz w:val="21"/>
          <w:highlight w:val="none"/>
          <w14:textFill>
            <w14:solidFill>
              <w14:schemeClr w14:val="tx1"/>
            </w14:solidFill>
          </w14:textFill>
        </w:rPr>
      </w:pPr>
      <w:r>
        <w:rPr>
          <w:rFonts w:hint="eastAsia" w:ascii="宋体" w:hAnsi="宋体" w:eastAsia="宋体" w:cs="宋体"/>
          <w:b/>
          <w:color w:val="000000" w:themeColor="text1"/>
          <w:kern w:val="2"/>
          <w:sz w:val="21"/>
          <w:highlight w:val="none"/>
          <w14:textFill>
            <w14:solidFill>
              <w14:schemeClr w14:val="tx1"/>
            </w14:solidFill>
          </w14:textFill>
        </w:rPr>
        <w:t>（3）不同的投标人的投标文件载明的项目管理员为同一个人；</w:t>
      </w:r>
    </w:p>
    <w:p w14:paraId="6002ED64">
      <w:pPr>
        <w:pStyle w:val="26"/>
        <w:snapToGrid w:val="0"/>
        <w:spacing w:line="360" w:lineRule="auto"/>
        <w:ind w:left="2" w:leftChars="1" w:firstLine="422" w:firstLineChars="200"/>
        <w:rPr>
          <w:rFonts w:hint="eastAsia" w:ascii="宋体" w:hAnsi="宋体" w:eastAsia="宋体" w:cs="宋体"/>
          <w:b/>
          <w:color w:val="000000" w:themeColor="text1"/>
          <w:kern w:val="2"/>
          <w:sz w:val="21"/>
          <w:highlight w:val="none"/>
          <w14:textFill>
            <w14:solidFill>
              <w14:schemeClr w14:val="tx1"/>
            </w14:solidFill>
          </w14:textFill>
        </w:rPr>
      </w:pPr>
      <w:r>
        <w:rPr>
          <w:rFonts w:hint="eastAsia" w:ascii="宋体" w:hAnsi="宋体" w:eastAsia="宋体" w:cs="宋体"/>
          <w:b/>
          <w:color w:val="000000" w:themeColor="text1"/>
          <w:kern w:val="2"/>
          <w:sz w:val="21"/>
          <w:highlight w:val="none"/>
          <w14:textFill>
            <w14:solidFill>
              <w14:schemeClr w14:val="tx1"/>
            </w14:solidFill>
          </w14:textFill>
        </w:rPr>
        <w:t>（4）不同投标人的投标文件异常一致或者投标报价呈规律性差异；</w:t>
      </w:r>
    </w:p>
    <w:p w14:paraId="2B58346B">
      <w:pPr>
        <w:pStyle w:val="26"/>
        <w:snapToGrid w:val="0"/>
        <w:spacing w:line="360" w:lineRule="auto"/>
        <w:ind w:left="2" w:leftChars="1" w:firstLine="422" w:firstLineChars="200"/>
        <w:rPr>
          <w:rFonts w:hint="eastAsia" w:ascii="宋体" w:hAnsi="宋体" w:eastAsia="宋体" w:cs="宋体"/>
          <w:b/>
          <w:color w:val="000000" w:themeColor="text1"/>
          <w:kern w:val="2"/>
          <w:sz w:val="21"/>
          <w:highlight w:val="none"/>
          <w14:textFill>
            <w14:solidFill>
              <w14:schemeClr w14:val="tx1"/>
            </w14:solidFill>
          </w14:textFill>
        </w:rPr>
      </w:pPr>
      <w:r>
        <w:rPr>
          <w:rFonts w:hint="eastAsia" w:ascii="宋体" w:hAnsi="宋体" w:eastAsia="宋体" w:cs="宋体"/>
          <w:b/>
          <w:color w:val="000000" w:themeColor="text1"/>
          <w:kern w:val="2"/>
          <w:sz w:val="21"/>
          <w:highlight w:val="none"/>
          <w14:textFill>
            <w14:solidFill>
              <w14:schemeClr w14:val="tx1"/>
            </w14:solidFill>
          </w14:textFill>
        </w:rPr>
        <w:t>（5）不同投标人的投标文件相互混装；</w:t>
      </w:r>
    </w:p>
    <w:p w14:paraId="7633E07F">
      <w:pPr>
        <w:pStyle w:val="26"/>
        <w:snapToGrid w:val="0"/>
        <w:spacing w:line="360" w:lineRule="auto"/>
        <w:ind w:left="2" w:leftChars="1" w:firstLine="422" w:firstLineChars="200"/>
        <w:rPr>
          <w:rFonts w:hint="eastAsia" w:ascii="宋体" w:hAnsi="宋体" w:eastAsia="宋体" w:cs="宋体"/>
          <w:b/>
          <w:color w:val="000000" w:themeColor="text1"/>
          <w:kern w:val="2"/>
          <w:sz w:val="21"/>
          <w:highlight w:val="none"/>
          <w14:textFill>
            <w14:solidFill>
              <w14:schemeClr w14:val="tx1"/>
            </w14:solidFill>
          </w14:textFill>
        </w:rPr>
      </w:pPr>
      <w:r>
        <w:rPr>
          <w:rFonts w:hint="eastAsia" w:ascii="宋体" w:hAnsi="宋体" w:eastAsia="宋体" w:cs="宋体"/>
          <w:b/>
          <w:color w:val="000000" w:themeColor="text1"/>
          <w:kern w:val="2"/>
          <w:sz w:val="21"/>
          <w:highlight w:val="none"/>
          <w14:textFill>
            <w14:solidFill>
              <w14:schemeClr w14:val="tx1"/>
            </w14:solidFill>
          </w14:textFill>
        </w:rPr>
        <w:t>（6）不同投标人的投标保证金从同一单位或者个人账户转出。</w:t>
      </w:r>
    </w:p>
    <w:p w14:paraId="75A1D34D">
      <w:pPr>
        <w:pStyle w:val="8"/>
        <w:keepNext w:val="0"/>
        <w:keepLines w:val="0"/>
        <w:spacing w:before="0" w:after="0" w:line="360" w:lineRule="auto"/>
        <w:ind w:left="420" w:left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9.3供应商有下列情形之一的，属于恶意串通行为，将报同级监督管理部门：</w:t>
      </w:r>
    </w:p>
    <w:p w14:paraId="6F83390D">
      <w:pPr>
        <w:pStyle w:val="26"/>
        <w:snapToGrid w:val="0"/>
        <w:spacing w:line="360" w:lineRule="auto"/>
        <w:ind w:left="2" w:leftChars="1" w:firstLine="420" w:firstLineChars="200"/>
        <w:rPr>
          <w:rFonts w:hint="eastAsia" w:ascii="宋体" w:hAnsi="宋体" w:eastAsia="宋体" w:cs="宋体"/>
          <w:color w:val="000000" w:themeColor="text1"/>
          <w:kern w:val="2"/>
          <w:sz w:val="21"/>
          <w:highlight w:val="none"/>
          <w14:textFill>
            <w14:solidFill>
              <w14:schemeClr w14:val="tx1"/>
            </w14:solidFill>
          </w14:textFill>
        </w:rPr>
      </w:pPr>
      <w:r>
        <w:rPr>
          <w:rFonts w:hint="eastAsia" w:ascii="宋体" w:hAnsi="宋体" w:eastAsia="宋体" w:cs="宋体"/>
          <w:color w:val="000000" w:themeColor="text1"/>
          <w:kern w:val="2"/>
          <w:sz w:val="21"/>
          <w:highlight w:val="none"/>
          <w14:textFill>
            <w14:solidFill>
              <w14:schemeClr w14:val="tx1"/>
            </w14:solidFill>
          </w14:textFill>
        </w:rPr>
        <w:t>（1）供应商直接或者间接从采购人或者采购代理机构处获得其他供应商的相关信息并修改其投标文件或者响应文件；</w:t>
      </w:r>
    </w:p>
    <w:p w14:paraId="021CD69F">
      <w:pPr>
        <w:pStyle w:val="26"/>
        <w:snapToGrid w:val="0"/>
        <w:spacing w:line="360" w:lineRule="auto"/>
        <w:ind w:left="2" w:leftChars="1" w:firstLine="420" w:firstLineChars="200"/>
        <w:rPr>
          <w:rFonts w:hint="eastAsia" w:ascii="宋体" w:hAnsi="宋体" w:eastAsia="宋体" w:cs="宋体"/>
          <w:color w:val="000000" w:themeColor="text1"/>
          <w:kern w:val="2"/>
          <w:sz w:val="21"/>
          <w:highlight w:val="none"/>
          <w14:textFill>
            <w14:solidFill>
              <w14:schemeClr w14:val="tx1"/>
            </w14:solidFill>
          </w14:textFill>
        </w:rPr>
      </w:pPr>
      <w:r>
        <w:rPr>
          <w:rFonts w:hint="eastAsia" w:ascii="宋体" w:hAnsi="宋体" w:eastAsia="宋体" w:cs="宋体"/>
          <w:color w:val="000000" w:themeColor="text1"/>
          <w:kern w:val="2"/>
          <w:sz w:val="21"/>
          <w:highlight w:val="none"/>
          <w14:textFill>
            <w14:solidFill>
              <w14:schemeClr w14:val="tx1"/>
            </w14:solidFill>
          </w14:textFill>
        </w:rPr>
        <w:t>（2）供应商按照采购人或者采购代理机构的授意撤换、修改投标文件或者响应文件；</w:t>
      </w:r>
    </w:p>
    <w:p w14:paraId="38F9990A">
      <w:pPr>
        <w:pStyle w:val="26"/>
        <w:snapToGrid w:val="0"/>
        <w:spacing w:line="360" w:lineRule="auto"/>
        <w:ind w:left="2" w:leftChars="1" w:firstLine="420" w:firstLineChars="200"/>
        <w:rPr>
          <w:rFonts w:hint="eastAsia" w:ascii="宋体" w:hAnsi="宋体" w:eastAsia="宋体" w:cs="宋体"/>
          <w:color w:val="000000" w:themeColor="text1"/>
          <w:kern w:val="2"/>
          <w:sz w:val="21"/>
          <w:highlight w:val="none"/>
          <w14:textFill>
            <w14:solidFill>
              <w14:schemeClr w14:val="tx1"/>
            </w14:solidFill>
          </w14:textFill>
        </w:rPr>
      </w:pPr>
      <w:r>
        <w:rPr>
          <w:rFonts w:hint="eastAsia" w:ascii="宋体" w:hAnsi="宋体" w:eastAsia="宋体" w:cs="宋体"/>
          <w:color w:val="000000" w:themeColor="text1"/>
          <w:kern w:val="2"/>
          <w:sz w:val="21"/>
          <w:highlight w:val="none"/>
          <w14:textFill>
            <w14:solidFill>
              <w14:schemeClr w14:val="tx1"/>
            </w14:solidFill>
          </w14:textFill>
        </w:rPr>
        <w:t>（3）供应商之间协商报价、技术方案等投标文件或者响应文件的实质性内容；</w:t>
      </w:r>
    </w:p>
    <w:p w14:paraId="2E474761">
      <w:pPr>
        <w:pStyle w:val="26"/>
        <w:snapToGrid w:val="0"/>
        <w:spacing w:line="360" w:lineRule="auto"/>
        <w:ind w:left="2" w:leftChars="1" w:firstLine="420" w:firstLineChars="200"/>
        <w:rPr>
          <w:rFonts w:hint="eastAsia" w:ascii="宋体" w:hAnsi="宋体" w:eastAsia="宋体" w:cs="宋体"/>
          <w:color w:val="000000" w:themeColor="text1"/>
          <w:kern w:val="2"/>
          <w:sz w:val="21"/>
          <w:highlight w:val="none"/>
          <w14:textFill>
            <w14:solidFill>
              <w14:schemeClr w14:val="tx1"/>
            </w14:solidFill>
          </w14:textFill>
        </w:rPr>
      </w:pPr>
      <w:r>
        <w:rPr>
          <w:rFonts w:hint="eastAsia" w:ascii="宋体" w:hAnsi="宋体" w:eastAsia="宋体" w:cs="宋体"/>
          <w:color w:val="000000" w:themeColor="text1"/>
          <w:kern w:val="2"/>
          <w:sz w:val="21"/>
          <w:highlight w:val="none"/>
          <w14:textFill>
            <w14:solidFill>
              <w14:schemeClr w14:val="tx1"/>
            </w14:solidFill>
          </w14:textFill>
        </w:rPr>
        <w:t>（4）属于同一集团、协会、商会等组织成员的供应商按照该组织要求协同参加政府采购活动；</w:t>
      </w:r>
    </w:p>
    <w:p w14:paraId="3872C20D">
      <w:pPr>
        <w:pStyle w:val="26"/>
        <w:snapToGrid w:val="0"/>
        <w:spacing w:line="360" w:lineRule="auto"/>
        <w:ind w:left="2" w:leftChars="1" w:firstLine="420" w:firstLineChars="200"/>
        <w:rPr>
          <w:rFonts w:hint="eastAsia" w:ascii="宋体" w:hAnsi="宋体" w:eastAsia="宋体" w:cs="宋体"/>
          <w:color w:val="000000" w:themeColor="text1"/>
          <w:kern w:val="2"/>
          <w:sz w:val="21"/>
          <w:highlight w:val="none"/>
          <w14:textFill>
            <w14:solidFill>
              <w14:schemeClr w14:val="tx1"/>
            </w14:solidFill>
          </w14:textFill>
        </w:rPr>
      </w:pPr>
      <w:r>
        <w:rPr>
          <w:rFonts w:hint="eastAsia" w:ascii="宋体" w:hAnsi="宋体" w:eastAsia="宋体" w:cs="宋体"/>
          <w:color w:val="000000" w:themeColor="text1"/>
          <w:kern w:val="2"/>
          <w:sz w:val="21"/>
          <w:highlight w:val="none"/>
          <w14:textFill>
            <w14:solidFill>
              <w14:schemeClr w14:val="tx1"/>
            </w14:solidFill>
          </w14:textFill>
        </w:rPr>
        <w:t>（5）供应商之间事先约定一致抬高或者压低投标报价，或者在招标项目中事先约定轮流以高价位或者低价位中标，或者事先约定由某一特定供应商中标，然后再参加投标；</w:t>
      </w:r>
    </w:p>
    <w:p w14:paraId="7B438D7D">
      <w:pPr>
        <w:pStyle w:val="26"/>
        <w:snapToGrid w:val="0"/>
        <w:spacing w:line="360" w:lineRule="auto"/>
        <w:ind w:left="2" w:leftChars="1" w:firstLine="420" w:firstLineChars="200"/>
        <w:rPr>
          <w:rFonts w:hint="eastAsia" w:ascii="宋体" w:hAnsi="宋体" w:eastAsia="宋体" w:cs="宋体"/>
          <w:color w:val="000000" w:themeColor="text1"/>
          <w:kern w:val="2"/>
          <w:sz w:val="21"/>
          <w:highlight w:val="none"/>
          <w14:textFill>
            <w14:solidFill>
              <w14:schemeClr w14:val="tx1"/>
            </w14:solidFill>
          </w14:textFill>
        </w:rPr>
      </w:pPr>
      <w:r>
        <w:rPr>
          <w:rFonts w:hint="eastAsia" w:ascii="宋体" w:hAnsi="宋体" w:eastAsia="宋体" w:cs="宋体"/>
          <w:color w:val="000000" w:themeColor="text1"/>
          <w:kern w:val="2"/>
          <w:sz w:val="21"/>
          <w:highlight w:val="none"/>
          <w14:textFill>
            <w14:solidFill>
              <w14:schemeClr w14:val="tx1"/>
            </w14:solidFill>
          </w14:textFill>
        </w:rPr>
        <w:t>（6）供应商之间商定部分供应商放弃参加政府采购活动或者放弃中标；</w:t>
      </w:r>
    </w:p>
    <w:p w14:paraId="08D07883">
      <w:pPr>
        <w:pStyle w:val="26"/>
        <w:snapToGrid w:val="0"/>
        <w:spacing w:line="360" w:lineRule="auto"/>
        <w:ind w:left="2" w:leftChars="1" w:firstLine="420" w:firstLineChars="200"/>
        <w:rPr>
          <w:rFonts w:hint="eastAsia" w:ascii="宋体" w:hAnsi="宋体" w:eastAsia="宋体" w:cs="宋体"/>
          <w:color w:val="000000" w:themeColor="text1"/>
          <w:kern w:val="2"/>
          <w:sz w:val="21"/>
          <w:highlight w:val="none"/>
          <w14:textFill>
            <w14:solidFill>
              <w14:schemeClr w14:val="tx1"/>
            </w14:solidFill>
          </w14:textFill>
        </w:rPr>
      </w:pPr>
      <w:r>
        <w:rPr>
          <w:rFonts w:hint="eastAsia" w:ascii="宋体" w:hAnsi="宋体" w:eastAsia="宋体" w:cs="宋体"/>
          <w:color w:val="000000" w:themeColor="text1"/>
          <w:kern w:val="2"/>
          <w:sz w:val="21"/>
          <w:highlight w:val="none"/>
          <w14:textFill>
            <w14:solidFill>
              <w14:schemeClr w14:val="tx1"/>
            </w14:solidFill>
          </w14:textFill>
        </w:rPr>
        <w:t>（7）供应商与采购人或者采购代理机构之间、供应商相互之间，为谋求特定供应商中标或者排斥其他供应商的其他串通行为。</w:t>
      </w:r>
    </w:p>
    <w:p w14:paraId="47B7853D">
      <w:pPr>
        <w:pStyle w:val="26"/>
        <w:snapToGrid w:val="0"/>
        <w:spacing w:line="360" w:lineRule="auto"/>
        <w:ind w:left="2" w:leftChars="1" w:firstLine="422" w:firstLineChars="200"/>
        <w:rPr>
          <w:rFonts w:hint="eastAsia" w:ascii="宋体" w:hAnsi="宋体" w:eastAsia="宋体" w:cs="宋体"/>
          <w:b/>
          <w:color w:val="000000" w:themeColor="text1"/>
          <w:kern w:val="2"/>
          <w:sz w:val="21"/>
          <w:highlight w:val="none"/>
          <w14:textFill>
            <w14:solidFill>
              <w14:schemeClr w14:val="tx1"/>
            </w14:solidFill>
          </w14:textFill>
        </w:rPr>
      </w:pPr>
    </w:p>
    <w:p w14:paraId="6E45C13E">
      <w:pPr>
        <w:pStyle w:val="6"/>
        <w:keepNext w:val="0"/>
        <w:keepLines w:val="0"/>
        <w:jc w:val="center"/>
        <w:rPr>
          <w:rFonts w:hint="eastAsia" w:ascii="宋体" w:hAnsi="宋体" w:eastAsia="宋体" w:cs="宋体"/>
          <w:color w:val="000000" w:themeColor="text1"/>
          <w:highlight w:val="none"/>
          <w14:textFill>
            <w14:solidFill>
              <w14:schemeClr w14:val="tx1"/>
            </w14:solidFill>
          </w14:textFill>
        </w:rPr>
      </w:pPr>
      <w:bookmarkStart w:id="90" w:name="_Toc254970675"/>
      <w:bookmarkStart w:id="91" w:name="_Toc254970534"/>
      <w:r>
        <w:rPr>
          <w:rFonts w:hint="eastAsia" w:ascii="宋体" w:hAnsi="宋体" w:eastAsia="宋体" w:cs="宋体"/>
          <w:color w:val="000000" w:themeColor="text1"/>
          <w:highlight w:val="none"/>
          <w14:textFill>
            <w14:solidFill>
              <w14:schemeClr w14:val="tx1"/>
            </w14:solidFill>
          </w14:textFill>
        </w:rPr>
        <w:t>二、招标文件</w:t>
      </w:r>
      <w:bookmarkEnd w:id="90"/>
      <w:bookmarkEnd w:id="91"/>
    </w:p>
    <w:p w14:paraId="1735C847">
      <w:pPr>
        <w:pStyle w:val="8"/>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10.招标文件的组成</w:t>
      </w:r>
    </w:p>
    <w:p w14:paraId="5809B656">
      <w:pPr>
        <w:snapToGrid w:val="0"/>
        <w:spacing w:line="360" w:lineRule="auto"/>
        <w:ind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（1）招标公告；</w:t>
      </w:r>
    </w:p>
    <w:p w14:paraId="29EC4E78">
      <w:pPr>
        <w:snapToGrid w:val="0"/>
        <w:spacing w:line="360" w:lineRule="auto"/>
        <w:ind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（2）采购需求； </w:t>
      </w:r>
    </w:p>
    <w:p w14:paraId="1A83931F">
      <w:pPr>
        <w:snapToGrid w:val="0"/>
        <w:spacing w:line="360" w:lineRule="auto"/>
        <w:ind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（3）投标人须知；</w:t>
      </w:r>
    </w:p>
    <w:p w14:paraId="0C8804D0">
      <w:pPr>
        <w:snapToGrid w:val="0"/>
        <w:spacing w:line="360" w:lineRule="auto"/>
        <w:ind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（4）评标方法及评标标准；</w:t>
      </w:r>
    </w:p>
    <w:p w14:paraId="4C997DD3">
      <w:pPr>
        <w:snapToGrid w:val="0"/>
        <w:spacing w:line="360" w:lineRule="auto"/>
        <w:ind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（5）拟签订的合同文本；</w:t>
      </w:r>
    </w:p>
    <w:p w14:paraId="48795D74">
      <w:pPr>
        <w:snapToGrid w:val="0"/>
        <w:spacing w:line="360" w:lineRule="auto"/>
        <w:ind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（6）投标文件格式。</w:t>
      </w:r>
    </w:p>
    <w:p w14:paraId="16997205">
      <w:pPr>
        <w:pStyle w:val="8"/>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11.招标文件的澄清、修改 、现场考察和答疑会</w:t>
      </w:r>
    </w:p>
    <w:p w14:paraId="0FF0FB9F">
      <w:pPr>
        <w:pStyle w:val="8"/>
        <w:keepNext w:val="0"/>
        <w:keepLines w:val="0"/>
        <w:spacing w:before="0" w:after="0" w:line="360" w:lineRule="auto"/>
        <w:ind w:firstLine="315" w:firstLineChars="15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11.1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14:paraId="74E2AC7F">
      <w:pPr>
        <w:pStyle w:val="8"/>
        <w:keepNext w:val="0"/>
        <w:keepLines w:val="0"/>
        <w:spacing w:before="0" w:after="0"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14:paraId="02C25FC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11.3采购人和采购代理机构可以视采购具体情况，变更投标截止时间和开标时间，并</w:t>
      </w:r>
      <w:r>
        <w:rPr>
          <w:rFonts w:hint="eastAsia" w:ascii="宋体" w:hAnsi="宋体" w:eastAsia="宋体" w:cs="宋体"/>
          <w:color w:val="000000" w:themeColor="text1"/>
          <w:szCs w:val="21"/>
          <w:highlight w:val="none"/>
          <w14:textFill>
            <w14:solidFill>
              <w14:schemeClr w14:val="tx1"/>
            </w14:solidFill>
          </w14:textFill>
        </w:rPr>
        <w:t>在原公告发布媒体上发布更正公告。</w:t>
      </w:r>
    </w:p>
    <w:p w14:paraId="1DF18C38">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11.4招标文件澄清、答复、修改、补充的内容为招标文件的组成部分。</w:t>
      </w:r>
      <w:r>
        <w:rPr>
          <w:rFonts w:hint="eastAsia" w:ascii="宋体" w:hAnsi="宋体" w:eastAsia="宋体" w:cs="宋体"/>
          <w:b/>
          <w:color w:val="000000" w:themeColor="text1"/>
          <w:szCs w:val="21"/>
          <w:highlight w:val="none"/>
          <w14:textFill>
            <w14:solidFill>
              <w14:schemeClr w14:val="tx1"/>
            </w14:solidFill>
          </w14:textFill>
        </w:rPr>
        <w:t>当招标文件与招标文件的澄清、答复、修改、补充通知就同一内容的表述不一致时，以最后发出的文件为准。</w:t>
      </w:r>
    </w:p>
    <w:p w14:paraId="276930E6">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11.</w:t>
      </w:r>
      <w:bookmarkStart w:id="92" w:name="_Hlk53134511"/>
      <w:r>
        <w:rPr>
          <w:rFonts w:hint="eastAsia" w:ascii="宋体" w:hAnsi="宋体" w:eastAsia="宋体" w:cs="宋体"/>
          <w:color w:val="000000" w:themeColor="text1"/>
          <w:sz w:val="21"/>
          <w:highlight w:val="none"/>
          <w14:textFill>
            <w14:solidFill>
              <w14:schemeClr w14:val="tx1"/>
            </w14:solidFill>
          </w14:textFill>
        </w:rPr>
        <w:t>5采购人或者采购代理机构可以在招标文件提供期限截止后，组织已获取招标文件的潜在投标人现场考察或者召开开标前答疑会，具体详见“投标人须知前附表”。</w:t>
      </w:r>
    </w:p>
    <w:p w14:paraId="1D4A4920">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p>
    <w:bookmarkEnd w:id="92"/>
    <w:p w14:paraId="2F4E666A">
      <w:pPr>
        <w:pStyle w:val="6"/>
        <w:keepNext w:val="0"/>
        <w:keepLines w:val="0"/>
        <w:jc w:val="center"/>
        <w:rPr>
          <w:rFonts w:hint="eastAsia" w:ascii="宋体" w:hAnsi="宋体" w:eastAsia="宋体" w:cs="宋体"/>
          <w:color w:val="000000" w:themeColor="text1"/>
          <w:highlight w:val="none"/>
          <w14:textFill>
            <w14:solidFill>
              <w14:schemeClr w14:val="tx1"/>
            </w14:solidFill>
          </w14:textFill>
        </w:rPr>
      </w:pPr>
      <w:bookmarkStart w:id="93" w:name="_Toc254970676"/>
      <w:bookmarkStart w:id="94" w:name="_Toc254970535"/>
      <w:r>
        <w:rPr>
          <w:rFonts w:hint="eastAsia" w:ascii="宋体" w:hAnsi="宋体" w:eastAsia="宋体" w:cs="宋体"/>
          <w:color w:val="000000" w:themeColor="text1"/>
          <w:highlight w:val="none"/>
          <w14:textFill>
            <w14:solidFill>
              <w14:schemeClr w14:val="tx1"/>
            </w14:solidFill>
          </w14:textFill>
        </w:rPr>
        <w:t>三、投标文件的编制</w:t>
      </w:r>
      <w:bookmarkEnd w:id="93"/>
      <w:bookmarkEnd w:id="94"/>
    </w:p>
    <w:p w14:paraId="74A16E79">
      <w:pPr>
        <w:pStyle w:val="8"/>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bookmarkStart w:id="95" w:name="_Toc254970536"/>
      <w:bookmarkStart w:id="96" w:name="_Toc254970677"/>
      <w:r>
        <w:rPr>
          <w:rFonts w:hint="eastAsia" w:ascii="宋体" w:hAnsi="宋体" w:eastAsia="宋体" w:cs="宋体"/>
          <w:color w:val="000000" w:themeColor="text1"/>
          <w:sz w:val="24"/>
          <w:highlight w:val="none"/>
          <w14:textFill>
            <w14:solidFill>
              <w14:schemeClr w14:val="tx1"/>
            </w14:solidFill>
          </w14:textFill>
        </w:rPr>
        <w:t>12.投标文件的编制原则</w:t>
      </w:r>
    </w:p>
    <w:p w14:paraId="5B46EE4C">
      <w:pPr>
        <w:snapToGrid w:val="0"/>
        <w:spacing w:line="360" w:lineRule="auto"/>
        <w:ind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投标人必须按照招标文件的要求编制投标文件。投标文件必须对招标文件提出的要求和条件作出明确响应。</w:t>
      </w:r>
    </w:p>
    <w:p w14:paraId="542DEE1D">
      <w:pPr>
        <w:pStyle w:val="8"/>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13.投标文件的组成</w:t>
      </w:r>
      <w:bookmarkEnd w:id="95"/>
      <w:bookmarkEnd w:id="96"/>
    </w:p>
    <w:p w14:paraId="68AA578A">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13.1投标文件由报价文件、资格证明文件、商务文件、技术文件四部分组成。</w:t>
      </w:r>
    </w:p>
    <w:p w14:paraId="02AA4F66">
      <w:pPr>
        <w:pStyle w:val="8"/>
        <w:keepNext w:val="0"/>
        <w:keepLines w:val="0"/>
        <w:spacing w:before="0" w:after="0" w:line="360" w:lineRule="auto"/>
        <w:ind w:left="420" w:leftChars="200"/>
        <w:rPr>
          <w:rFonts w:hint="eastAsia" w:ascii="宋体" w:hAnsi="宋体" w:eastAsia="宋体" w:cs="宋体"/>
          <w:b w:val="0"/>
          <w:color w:val="000000" w:themeColor="text1"/>
          <w:sz w:val="21"/>
          <w:szCs w:val="21"/>
          <w:highlight w:val="none"/>
          <w14:textFill>
            <w14:solidFill>
              <w14:schemeClr w14:val="tx1"/>
            </w14:solidFill>
          </w14:textFill>
        </w:rPr>
      </w:pPr>
      <w:bookmarkStart w:id="97" w:name="_13.1报价文件:_具体材料见“投标人须知前附表”。"/>
      <w:bookmarkEnd w:id="97"/>
      <w:r>
        <w:rPr>
          <w:rFonts w:hint="eastAsia" w:ascii="宋体" w:hAnsi="宋体" w:eastAsia="宋体" w:cs="宋体"/>
          <w:b w:val="0"/>
          <w:color w:val="000000" w:themeColor="text1"/>
          <w:sz w:val="21"/>
          <w:szCs w:val="21"/>
          <w:highlight w:val="none"/>
          <w14:textFill>
            <w14:solidFill>
              <w14:schemeClr w14:val="tx1"/>
            </w14:solidFill>
          </w14:textFill>
        </w:rPr>
        <w:t>（1）报价文件： 具体材料见“投标人须知前附表”。</w:t>
      </w:r>
    </w:p>
    <w:p w14:paraId="102E9AD3">
      <w:pPr>
        <w:pStyle w:val="8"/>
        <w:keepNext w:val="0"/>
        <w:keepLines w:val="0"/>
        <w:spacing w:before="0" w:after="0" w:line="360" w:lineRule="auto"/>
        <w:ind w:left="420" w:leftChars="200"/>
        <w:rPr>
          <w:rFonts w:hint="eastAsia" w:ascii="宋体" w:hAnsi="宋体" w:eastAsia="宋体" w:cs="宋体"/>
          <w:b w:val="0"/>
          <w:color w:val="000000" w:themeColor="text1"/>
          <w:sz w:val="21"/>
          <w:szCs w:val="21"/>
          <w:highlight w:val="none"/>
          <w14:textFill>
            <w14:solidFill>
              <w14:schemeClr w14:val="tx1"/>
            </w14:solidFill>
          </w14:textFill>
        </w:rPr>
      </w:pPr>
      <w:bookmarkStart w:id="98" w:name="_13.2资格证明文件：具体材料见“投标人须知前附表”。"/>
      <w:bookmarkEnd w:id="98"/>
      <w:r>
        <w:rPr>
          <w:rFonts w:hint="eastAsia" w:ascii="宋体" w:hAnsi="宋体" w:eastAsia="宋体" w:cs="宋体"/>
          <w:b w:val="0"/>
          <w:color w:val="000000" w:themeColor="text1"/>
          <w:sz w:val="21"/>
          <w:szCs w:val="21"/>
          <w:highlight w:val="none"/>
          <w14:textFill>
            <w14:solidFill>
              <w14:schemeClr w14:val="tx1"/>
            </w14:solidFill>
          </w14:textFill>
        </w:rPr>
        <w:t>（2）资格证明文件：具体材料见“投标人须知前附表”。</w:t>
      </w:r>
    </w:p>
    <w:p w14:paraId="1B7B7D9E">
      <w:pPr>
        <w:pStyle w:val="8"/>
        <w:keepNext w:val="0"/>
        <w:keepLines w:val="0"/>
        <w:spacing w:before="0" w:after="0" w:line="360" w:lineRule="auto"/>
        <w:ind w:left="420" w:leftChars="200"/>
        <w:rPr>
          <w:rFonts w:hint="eastAsia" w:ascii="宋体" w:hAnsi="宋体" w:eastAsia="宋体" w:cs="宋体"/>
          <w:b w:val="0"/>
          <w:color w:val="000000" w:themeColor="text1"/>
          <w:sz w:val="21"/>
          <w:szCs w:val="21"/>
          <w:highlight w:val="none"/>
          <w14:textFill>
            <w14:solidFill>
              <w14:schemeClr w14:val="tx1"/>
            </w14:solidFill>
          </w14:textFill>
        </w:rPr>
      </w:pPr>
      <w:bookmarkStart w:id="99" w:name="_13.3商务文件:_具体材料见“投标人须知前附表”。"/>
      <w:bookmarkEnd w:id="99"/>
      <w:r>
        <w:rPr>
          <w:rFonts w:hint="eastAsia" w:ascii="宋体" w:hAnsi="宋体" w:eastAsia="宋体" w:cs="宋体"/>
          <w:b w:val="0"/>
          <w:color w:val="000000" w:themeColor="text1"/>
          <w:sz w:val="21"/>
          <w:szCs w:val="21"/>
          <w:highlight w:val="none"/>
          <w14:textFill>
            <w14:solidFill>
              <w14:schemeClr w14:val="tx1"/>
            </w14:solidFill>
          </w14:textFill>
        </w:rPr>
        <w:t>（3）商务文件：具体材料见“投标人须知前附表”。</w:t>
      </w:r>
    </w:p>
    <w:p w14:paraId="079EDA1F">
      <w:pPr>
        <w:pStyle w:val="8"/>
        <w:keepNext w:val="0"/>
        <w:keepLines w:val="0"/>
        <w:spacing w:before="0" w:after="0" w:line="360" w:lineRule="auto"/>
        <w:ind w:left="420" w:leftChars="200"/>
        <w:rPr>
          <w:rFonts w:hint="eastAsia" w:ascii="宋体" w:hAnsi="宋体" w:eastAsia="宋体" w:cs="宋体"/>
          <w:b w:val="0"/>
          <w:color w:val="000000" w:themeColor="text1"/>
          <w:sz w:val="21"/>
          <w:szCs w:val="21"/>
          <w:highlight w:val="none"/>
          <w14:textFill>
            <w14:solidFill>
              <w14:schemeClr w14:val="tx1"/>
            </w14:solidFill>
          </w14:textFill>
        </w:rPr>
      </w:pPr>
      <w:bookmarkStart w:id="100" w:name="_13.4技术文件：具体材料见“投标人须知前附表”。"/>
      <w:bookmarkEnd w:id="100"/>
      <w:r>
        <w:rPr>
          <w:rFonts w:hint="eastAsia" w:ascii="宋体" w:hAnsi="宋体" w:eastAsia="宋体" w:cs="宋体"/>
          <w:b w:val="0"/>
          <w:color w:val="000000" w:themeColor="text1"/>
          <w:sz w:val="21"/>
          <w:szCs w:val="21"/>
          <w:highlight w:val="none"/>
          <w14:textFill>
            <w14:solidFill>
              <w14:schemeClr w14:val="tx1"/>
            </w14:solidFill>
          </w14:textFill>
        </w:rPr>
        <w:t>（4）技术文件：具体材料见“投标人须知前附表”。</w:t>
      </w:r>
      <w:bookmarkStart w:id="101" w:name="_13.5投标文件电子版：具体材料见“投标人须知前附表”。"/>
      <w:bookmarkEnd w:id="101"/>
    </w:p>
    <w:p w14:paraId="35343FBF">
      <w:pPr>
        <w:pStyle w:val="8"/>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bookmarkStart w:id="102" w:name="_Toc254970537"/>
      <w:bookmarkStart w:id="103" w:name="_Toc254970678"/>
      <w:r>
        <w:rPr>
          <w:rFonts w:hint="eastAsia" w:ascii="宋体" w:hAnsi="宋体" w:eastAsia="宋体" w:cs="宋体"/>
          <w:color w:val="000000" w:themeColor="text1"/>
          <w:sz w:val="24"/>
          <w:highlight w:val="none"/>
          <w14:textFill>
            <w14:solidFill>
              <w14:schemeClr w14:val="tx1"/>
            </w14:solidFill>
          </w14:textFill>
        </w:rPr>
        <w:t>14.投标文件的语言及计量</w:t>
      </w:r>
      <w:bookmarkEnd w:id="102"/>
      <w:bookmarkEnd w:id="103"/>
    </w:p>
    <w:p w14:paraId="724BD705">
      <w:pPr>
        <w:pStyle w:val="8"/>
        <w:keepNext w:val="0"/>
        <w:keepLines w:val="0"/>
        <w:spacing w:before="0" w:after="0" w:line="360" w:lineRule="auto"/>
        <w:ind w:left="420" w:left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14.1语言文字</w:t>
      </w:r>
    </w:p>
    <w:p w14:paraId="08718B4D">
      <w:pPr>
        <w:pStyle w:val="8"/>
        <w:keepNext w:val="0"/>
        <w:keepLines w:val="0"/>
        <w:spacing w:before="0" w:after="0"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5385D3B">
      <w:pPr>
        <w:pStyle w:val="8"/>
        <w:keepNext w:val="0"/>
        <w:keepLines w:val="0"/>
        <w:spacing w:before="0" w:after="0"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14.2投标计量单位</w:t>
      </w:r>
    </w:p>
    <w:p w14:paraId="17FCC827">
      <w:pPr>
        <w:pStyle w:val="8"/>
        <w:keepNext w:val="0"/>
        <w:keepLines w:val="0"/>
        <w:spacing w:before="0" w:after="0"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招标文件已有明确规定的，使用招标文件规定的计量单位；招标文件没有规定的，应采用中华人民共和国法定计量单位，货币种类为人民币，否则视同未响应。</w:t>
      </w:r>
    </w:p>
    <w:p w14:paraId="33D74A61">
      <w:pPr>
        <w:pStyle w:val="8"/>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15.投标的风险</w:t>
      </w:r>
    </w:p>
    <w:p w14:paraId="37C809D6">
      <w:pPr>
        <w:pStyle w:val="26"/>
        <w:snapToGrid w:val="0"/>
        <w:spacing w:line="360" w:lineRule="auto"/>
        <w:ind w:firstLine="420" w:firstLineChars="200"/>
        <w:jc w:val="left"/>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投标人没有按照招标文件要求提供全部资料，或者投标人没有对招标文件作出实质性响应是投标人的风险，并可能导致其投标被拒绝。</w:t>
      </w:r>
    </w:p>
    <w:p w14:paraId="526D9E9F">
      <w:pPr>
        <w:pStyle w:val="8"/>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bookmarkStart w:id="104" w:name="_Toc254970679"/>
      <w:bookmarkStart w:id="105" w:name="_Toc254970538"/>
      <w:r>
        <w:rPr>
          <w:rFonts w:hint="eastAsia" w:ascii="宋体" w:hAnsi="宋体" w:eastAsia="宋体" w:cs="宋体"/>
          <w:color w:val="000000" w:themeColor="text1"/>
          <w:sz w:val="24"/>
          <w:highlight w:val="none"/>
          <w14:textFill>
            <w14:solidFill>
              <w14:schemeClr w14:val="tx1"/>
            </w14:solidFill>
          </w14:textFill>
        </w:rPr>
        <w:t>16.投标报价</w:t>
      </w:r>
      <w:bookmarkEnd w:id="104"/>
      <w:bookmarkEnd w:id="105"/>
    </w:p>
    <w:p w14:paraId="1E8B4CEC">
      <w:pPr>
        <w:pStyle w:val="8"/>
        <w:keepNext w:val="0"/>
        <w:keepLines w:val="0"/>
        <w:spacing w:before="0" w:after="0" w:line="360" w:lineRule="auto"/>
        <w:ind w:left="420" w:left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16.1投标报价应按“第六章　投标文件格式”中“开标一览表”格式填写。</w:t>
      </w:r>
    </w:p>
    <w:p w14:paraId="753A4D09">
      <w:pPr>
        <w:pStyle w:val="8"/>
        <w:keepNext w:val="0"/>
        <w:keepLines w:val="0"/>
        <w:spacing w:before="0" w:after="0" w:line="360" w:lineRule="auto"/>
        <w:ind w:left="420" w:leftChars="200"/>
        <w:rPr>
          <w:rFonts w:hint="eastAsia" w:ascii="宋体" w:hAnsi="宋体" w:eastAsia="宋体" w:cs="宋体"/>
          <w:b w:val="0"/>
          <w:color w:val="000000" w:themeColor="text1"/>
          <w:sz w:val="21"/>
          <w:szCs w:val="21"/>
          <w:highlight w:val="none"/>
          <w14:textFill>
            <w14:solidFill>
              <w14:schemeClr w14:val="tx1"/>
            </w14:solidFill>
          </w14:textFill>
        </w:rPr>
      </w:pPr>
      <w:bookmarkStart w:id="106" w:name="_16.2投标报价具体定义见投标人须知前附表。"/>
      <w:bookmarkEnd w:id="106"/>
      <w:r>
        <w:rPr>
          <w:rFonts w:hint="eastAsia" w:ascii="宋体" w:hAnsi="宋体" w:eastAsia="宋体" w:cs="宋体"/>
          <w:b w:val="0"/>
          <w:color w:val="000000" w:themeColor="text1"/>
          <w:sz w:val="21"/>
          <w:szCs w:val="21"/>
          <w:highlight w:val="none"/>
          <w14:textFill>
            <w14:solidFill>
              <w14:schemeClr w14:val="tx1"/>
            </w14:solidFill>
          </w14:textFill>
        </w:rPr>
        <w:t>16.2投标报价具体包括内容详见“投标人须知前附表”。</w:t>
      </w:r>
    </w:p>
    <w:p w14:paraId="4A2FEC62">
      <w:pPr>
        <w:pStyle w:val="8"/>
        <w:keepNext w:val="0"/>
        <w:keepLines w:val="0"/>
        <w:spacing w:before="0" w:after="0"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16.3投标人必须就所投每个分标的全部内容分别作完整唯一总价报价，不得存在漏项报价；投标人必须就所投分标的单项内容作唯一报价。</w:t>
      </w:r>
    </w:p>
    <w:p w14:paraId="552DED47">
      <w:pPr>
        <w:pStyle w:val="8"/>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17.投标有效期</w:t>
      </w:r>
    </w:p>
    <w:p w14:paraId="06BBD2BF">
      <w:pPr>
        <w:pStyle w:val="8"/>
        <w:keepNext w:val="0"/>
        <w:keepLines w:val="0"/>
        <w:spacing w:before="0" w:after="0"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bookmarkStart w:id="107" w:name="_17.1投标有效期应按“投标人须知中的前附表”规定的期限。"/>
      <w:bookmarkEnd w:id="107"/>
      <w:r>
        <w:rPr>
          <w:rFonts w:hint="eastAsia" w:ascii="宋体" w:hAnsi="宋体" w:eastAsia="宋体" w:cs="宋体"/>
          <w:b w:val="0"/>
          <w:color w:val="000000" w:themeColor="text1"/>
          <w:sz w:val="21"/>
          <w:szCs w:val="21"/>
          <w:highlight w:val="none"/>
          <w14:textFill>
            <w14:solidFill>
              <w14:schemeClr w14:val="tx1"/>
            </w14:solidFill>
          </w14:textFill>
        </w:rPr>
        <w:t>17.1投标有效期是指为保证采购人有足够的时间在开标后完成评标、定标、合同签订等工作而要求投标人提交的投标文件在一定时间内保持有效的期限。</w:t>
      </w:r>
    </w:p>
    <w:p w14:paraId="7D9A2E9E">
      <w:pPr>
        <w:pStyle w:val="8"/>
        <w:keepNext w:val="0"/>
        <w:keepLines w:val="0"/>
        <w:spacing w:before="0" w:after="0" w:line="360" w:lineRule="auto"/>
        <w:ind w:left="420" w:left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17.2</w:t>
      </w:r>
      <w:bookmarkStart w:id="108" w:name="_Toc254970540"/>
      <w:bookmarkStart w:id="109" w:name="_Toc254970681"/>
      <w:r>
        <w:rPr>
          <w:rFonts w:hint="eastAsia" w:ascii="宋体" w:hAnsi="宋体" w:eastAsia="宋体" w:cs="宋体"/>
          <w:b w:val="0"/>
          <w:color w:val="000000" w:themeColor="text1"/>
          <w:sz w:val="21"/>
          <w:szCs w:val="21"/>
          <w:highlight w:val="none"/>
          <w14:textFill>
            <w14:solidFill>
              <w14:schemeClr w14:val="tx1"/>
            </w14:solidFill>
          </w14:textFill>
        </w:rPr>
        <w:t xml:space="preserve"> 投标有效期应按规定的期限作出承诺，具体详见“投标人须知前附表”。</w:t>
      </w:r>
    </w:p>
    <w:p w14:paraId="4B21E009">
      <w:pPr>
        <w:pStyle w:val="8"/>
        <w:keepNext w:val="0"/>
        <w:keepLines w:val="0"/>
        <w:spacing w:before="0" w:after="0" w:line="360" w:lineRule="auto"/>
        <w:ind w:left="420" w:left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17.3投标人的投标文件在投标有效期内均保持有效。</w:t>
      </w:r>
      <w:bookmarkEnd w:id="108"/>
      <w:bookmarkEnd w:id="109"/>
    </w:p>
    <w:p w14:paraId="6E305EE2">
      <w:pPr>
        <w:pStyle w:val="8"/>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bookmarkStart w:id="110" w:name="_18.投标保证金"/>
      <w:bookmarkEnd w:id="110"/>
      <w:bookmarkStart w:id="111" w:name="_Toc254970541"/>
      <w:bookmarkStart w:id="112" w:name="_Toc254970682"/>
      <w:r>
        <w:rPr>
          <w:rFonts w:hint="eastAsia" w:ascii="宋体" w:hAnsi="宋体" w:eastAsia="宋体" w:cs="宋体"/>
          <w:color w:val="000000" w:themeColor="text1"/>
          <w:sz w:val="24"/>
          <w:highlight w:val="none"/>
          <w14:textFill>
            <w14:solidFill>
              <w14:schemeClr w14:val="tx1"/>
            </w14:solidFill>
          </w14:textFill>
        </w:rPr>
        <w:t>18.投标保证金</w:t>
      </w:r>
      <w:bookmarkEnd w:id="111"/>
      <w:bookmarkEnd w:id="112"/>
    </w:p>
    <w:p w14:paraId="62F0E0E3">
      <w:pPr>
        <w:pStyle w:val="8"/>
        <w:keepNext w:val="0"/>
        <w:keepLines w:val="0"/>
        <w:spacing w:before="0" w:after="0" w:line="360" w:lineRule="auto"/>
        <w:ind w:left="420" w:left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18.1投标人须按“投标人须知前附表” 的规定提交投标保证金。</w:t>
      </w:r>
    </w:p>
    <w:p w14:paraId="609AE3C2">
      <w:pPr>
        <w:pStyle w:val="8"/>
        <w:keepNext w:val="0"/>
        <w:keepLines w:val="0"/>
        <w:spacing w:before="0" w:after="0"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18.2投标保证金的退还</w:t>
      </w:r>
    </w:p>
    <w:p w14:paraId="17DEF12F">
      <w:pPr>
        <w:pStyle w:val="8"/>
        <w:keepNext w:val="0"/>
        <w:keepLines w:val="0"/>
        <w:spacing w:before="0" w:after="0"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未中标人的投标保证金自中标通知书发出之日起5个工作日内退还；中标人的投标保证金自政府采购合同签订之日起5个工作日内退还。 </w:t>
      </w:r>
    </w:p>
    <w:p w14:paraId="67DF9755">
      <w:pPr>
        <w:pStyle w:val="8"/>
        <w:keepNext w:val="0"/>
        <w:keepLines w:val="0"/>
        <w:spacing w:before="0" w:after="0" w:line="360" w:lineRule="auto"/>
        <w:ind w:left="420" w:left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18.3除逾期退还投标保证金和终止招标的情形以外，投标保证金不计息。</w:t>
      </w:r>
    </w:p>
    <w:p w14:paraId="04D35511">
      <w:pPr>
        <w:pStyle w:val="8"/>
        <w:keepNext w:val="0"/>
        <w:keepLines w:val="0"/>
        <w:spacing w:before="0" w:after="0" w:line="360" w:lineRule="auto"/>
        <w:ind w:left="420" w:left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18.4投标人有下列情形之一的，投标保证金将不予退还： </w:t>
      </w:r>
    </w:p>
    <w:p w14:paraId="63564F15">
      <w:pPr>
        <w:snapToGrid w:val="0"/>
        <w:spacing w:line="360" w:lineRule="auto"/>
        <w:ind w:firstLine="411" w:firstLineChars="196"/>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（1）投标人在投标有效期内撤销投标文件的；</w:t>
      </w:r>
    </w:p>
    <w:p w14:paraId="7BAAE1C2">
      <w:pPr>
        <w:snapToGrid w:val="0"/>
        <w:spacing w:line="360" w:lineRule="auto"/>
        <w:ind w:firstLine="411" w:firstLineChars="196"/>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（2）未按规定提交履约保证金的；</w:t>
      </w:r>
    </w:p>
    <w:p w14:paraId="5CF7E764">
      <w:pPr>
        <w:snapToGrid w:val="0"/>
        <w:spacing w:line="360" w:lineRule="auto"/>
        <w:ind w:firstLine="411" w:firstLineChars="196"/>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（3）投标人在投标过程中弄虚作假，提供虚假材料的；</w:t>
      </w:r>
    </w:p>
    <w:p w14:paraId="5207F95A">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（4）中标人无正当理由不与采购人签订合同的；</w:t>
      </w:r>
    </w:p>
    <w:p w14:paraId="4D53AC9B">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（5）投标人出现本章第9.2、9.3情形的；</w:t>
      </w:r>
    </w:p>
    <w:p w14:paraId="4788FF67">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（6）法律法规规定的其他情形。</w:t>
      </w:r>
    </w:p>
    <w:p w14:paraId="3C732B72">
      <w:pPr>
        <w:pStyle w:val="8"/>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bookmarkStart w:id="113" w:name="_Toc254970683"/>
      <w:bookmarkStart w:id="114" w:name="_Toc254970542"/>
      <w:r>
        <w:rPr>
          <w:rFonts w:hint="eastAsia" w:ascii="宋体" w:hAnsi="宋体" w:eastAsia="宋体" w:cs="宋体"/>
          <w:color w:val="000000" w:themeColor="text1"/>
          <w:sz w:val="24"/>
          <w:highlight w:val="none"/>
          <w14:textFill>
            <w14:solidFill>
              <w14:schemeClr w14:val="tx1"/>
            </w14:solidFill>
          </w14:textFill>
        </w:rPr>
        <w:t>19.投标文件的</w:t>
      </w:r>
      <w:bookmarkEnd w:id="113"/>
      <w:bookmarkEnd w:id="114"/>
      <w:r>
        <w:rPr>
          <w:rFonts w:hint="eastAsia" w:ascii="宋体" w:hAnsi="宋体" w:eastAsia="宋体" w:cs="宋体"/>
          <w:color w:val="000000" w:themeColor="text1"/>
          <w:sz w:val="24"/>
          <w:highlight w:val="none"/>
          <w14:textFill>
            <w14:solidFill>
              <w14:schemeClr w14:val="tx1"/>
            </w14:solidFill>
          </w14:textFill>
        </w:rPr>
        <w:t>编制</w:t>
      </w:r>
    </w:p>
    <w:p w14:paraId="4CCE7D85">
      <w:pPr>
        <w:pStyle w:val="8"/>
        <w:keepNext w:val="0"/>
        <w:keepLines w:val="0"/>
        <w:spacing w:before="0" w:after="0" w:line="360" w:lineRule="auto"/>
        <w:ind w:firstLine="315" w:firstLineChars="15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6F3CACC7">
      <w:pPr>
        <w:pStyle w:val="8"/>
        <w:keepNext w:val="0"/>
        <w:keepLines w:val="0"/>
        <w:spacing w:before="0" w:after="0"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bookmarkStart w:id="115" w:name="_19.2投标文件应按报价文件、资格证明文件、商务文件、技术文件分别编制"/>
      <w:bookmarkEnd w:id="115"/>
      <w:r>
        <w:rPr>
          <w:rFonts w:hint="eastAsia" w:ascii="宋体" w:hAnsi="宋体" w:eastAsia="宋体" w:cs="宋体"/>
          <w:b w:val="0"/>
          <w:color w:val="000000" w:themeColor="text1"/>
          <w:sz w:val="21"/>
          <w:szCs w:val="21"/>
          <w:highlight w:val="none"/>
          <w14:textFill>
            <w14:solidFill>
              <w14:schemeClr w14:val="tx1"/>
            </w14:solidFill>
          </w14:textFill>
        </w:rPr>
        <w:t>19.2投标文件应按报价文件、资格证明文件、商务文件、技术文件分别编制电子文件，并按广西政府采购云平台的要求编制、加密、上传。</w:t>
      </w:r>
    </w:p>
    <w:p w14:paraId="583B9BCA">
      <w:pPr>
        <w:pStyle w:val="8"/>
        <w:keepNext w:val="0"/>
        <w:keepLines w:val="0"/>
        <w:spacing w:before="0" w:after="0"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19.</w:t>
      </w:r>
      <w:bookmarkStart w:id="116" w:name="_Hlk65832616"/>
      <w:r>
        <w:rPr>
          <w:rFonts w:hint="eastAsia" w:ascii="宋体" w:hAnsi="宋体" w:eastAsia="宋体" w:cs="宋体"/>
          <w:b w:val="0"/>
          <w:color w:val="000000" w:themeColor="text1"/>
          <w:sz w:val="21"/>
          <w:szCs w:val="21"/>
          <w:highlight w:val="none"/>
          <w14:textFill>
            <w14:solidFill>
              <w14:schemeClr w14:val="tx1"/>
            </w14:solidFill>
          </w14:textFill>
        </w:rPr>
        <w:t>3投标文件须由投标人在规定位置盖公章并签字</w:t>
      </w:r>
      <w:bookmarkStart w:id="117" w:name="_Hlk65832569"/>
      <w:r>
        <w:rPr>
          <w:rFonts w:hint="eastAsia" w:ascii="宋体" w:hAnsi="宋体" w:eastAsia="宋体" w:cs="宋体"/>
          <w:b w:val="0"/>
          <w:color w:val="000000" w:themeColor="text1"/>
          <w:sz w:val="21"/>
          <w:szCs w:val="21"/>
          <w:highlight w:val="none"/>
          <w14:textFill>
            <w14:solidFill>
              <w14:schemeClr w14:val="tx1"/>
            </w14:solidFill>
          </w14:textFill>
        </w:rPr>
        <w:t>（具体以投标人须知前附表或投标文件格式规定为准）</w:t>
      </w:r>
      <w:bookmarkEnd w:id="116"/>
      <w:bookmarkEnd w:id="117"/>
      <w:r>
        <w:rPr>
          <w:rFonts w:hint="eastAsia" w:ascii="宋体" w:hAnsi="宋体" w:eastAsia="宋体" w:cs="宋体"/>
          <w:b w:val="0"/>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否则按无效投标处理</w:t>
      </w:r>
      <w:r>
        <w:rPr>
          <w:rFonts w:hint="eastAsia" w:ascii="宋体" w:hAnsi="宋体" w:eastAsia="宋体" w:cs="宋体"/>
          <w:b w:val="0"/>
          <w:color w:val="000000" w:themeColor="text1"/>
          <w:sz w:val="21"/>
          <w:szCs w:val="21"/>
          <w:highlight w:val="none"/>
          <w14:textFill>
            <w14:solidFill>
              <w14:schemeClr w14:val="tx1"/>
            </w14:solidFill>
          </w14:textFill>
        </w:rPr>
        <w:t>。</w:t>
      </w:r>
    </w:p>
    <w:p w14:paraId="772BC446">
      <w:pPr>
        <w:pStyle w:val="8"/>
        <w:keepNext w:val="0"/>
        <w:keepLines w:val="0"/>
        <w:spacing w:before="0" w:after="0" w:line="360" w:lineRule="auto"/>
        <w:ind w:firstLine="315" w:firstLineChars="15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19.4投标文件中标注的投标人名称应与主体资格证明（如营业执照、事业单位法人证书、执业许可证、自然人身份证等）及公章一致，</w:t>
      </w:r>
      <w:r>
        <w:rPr>
          <w:rFonts w:hint="eastAsia" w:ascii="宋体" w:hAnsi="宋体" w:eastAsia="宋体" w:cs="宋体"/>
          <w:color w:val="000000" w:themeColor="text1"/>
          <w:sz w:val="21"/>
          <w:szCs w:val="21"/>
          <w:highlight w:val="none"/>
          <w14:textFill>
            <w14:solidFill>
              <w14:schemeClr w14:val="tx1"/>
            </w14:solidFill>
          </w14:textFill>
        </w:rPr>
        <w:t>否则按无效投标处理</w:t>
      </w:r>
      <w:r>
        <w:rPr>
          <w:rFonts w:hint="eastAsia" w:ascii="宋体" w:hAnsi="宋体" w:eastAsia="宋体" w:cs="宋体"/>
          <w:b w:val="0"/>
          <w:color w:val="000000" w:themeColor="text1"/>
          <w:sz w:val="21"/>
          <w:szCs w:val="21"/>
          <w:highlight w:val="none"/>
          <w14:textFill>
            <w14:solidFill>
              <w14:schemeClr w14:val="tx1"/>
            </w14:solidFill>
          </w14:textFill>
        </w:rPr>
        <w:t>。</w:t>
      </w:r>
    </w:p>
    <w:p w14:paraId="79972282">
      <w:pPr>
        <w:pStyle w:val="8"/>
        <w:keepNext w:val="0"/>
        <w:keepLines w:val="0"/>
        <w:spacing w:before="0" w:after="0" w:line="360" w:lineRule="auto"/>
        <w:ind w:firstLine="315" w:firstLineChars="15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14:paraId="70D826FE">
      <w:pPr>
        <w:pStyle w:val="8"/>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20.投标文件的加密、解密</w:t>
      </w:r>
    </w:p>
    <w:p w14:paraId="6B874EAC">
      <w:pPr>
        <w:pStyle w:val="8"/>
        <w:keepNext w:val="0"/>
        <w:keepLines w:val="0"/>
        <w:spacing w:before="0" w:after="0" w:line="360" w:lineRule="auto"/>
        <w:ind w:firstLine="315" w:firstLineChars="15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20.1电子投标文件编制完成后，投标人应按广西政府采购云平台的要求进行加密，并在规定时间内解密，否则，由此产生的后果由投标人自行负责。</w:t>
      </w:r>
    </w:p>
    <w:p w14:paraId="3C95EA41">
      <w:pPr>
        <w:pStyle w:val="8"/>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21.投标文件的提交</w:t>
      </w:r>
    </w:p>
    <w:p w14:paraId="3A1783C7">
      <w:pPr>
        <w:pStyle w:val="8"/>
        <w:keepNext w:val="0"/>
        <w:keepLines w:val="0"/>
        <w:spacing w:before="0" w:after="0"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bookmarkStart w:id="118" w:name="_21.1投标人必须在“投标人须知中的前附表”规定的投标文件接收时间和投"/>
      <w:bookmarkEnd w:id="118"/>
      <w:r>
        <w:rPr>
          <w:rFonts w:hint="eastAsia" w:ascii="宋体" w:hAnsi="宋体" w:eastAsia="宋体" w:cs="宋体"/>
          <w:b w:val="0"/>
          <w:color w:val="000000" w:themeColor="text1"/>
          <w:sz w:val="21"/>
          <w:szCs w:val="21"/>
          <w:highlight w:val="none"/>
          <w14:textFill>
            <w14:solidFill>
              <w14:schemeClr w14:val="tx1"/>
            </w14:solidFill>
          </w14:textFill>
        </w:rPr>
        <w:t>21.1投标人必须在“投标人须知前附表”规定的投标文件接收时间和投标地点提交投标文件。</w:t>
      </w:r>
    </w:p>
    <w:p w14:paraId="2E09CE05">
      <w:pPr>
        <w:pStyle w:val="8"/>
        <w:keepNext w:val="0"/>
        <w:keepLines w:val="0"/>
        <w:spacing w:before="0" w:after="0"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21.2本项目为全流程电子化政府采购项目，通过广西政府采购云平台（https://www.gcy.zfcg.gxzf.gov.cn/）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14:paraId="7195291F">
      <w:pPr>
        <w:pStyle w:val="8"/>
        <w:keepNext w:val="0"/>
        <w:keepLines w:val="0"/>
        <w:spacing w:before="0" w:after="0" w:line="360" w:lineRule="auto"/>
        <w:ind w:firstLine="420" w:firstLineChars="200"/>
        <w:jc w:val="left"/>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21.3未在规定时间内上传或者未按广西政府采购云平台的要求编制、加密的电子投标文件，广西政府采购云平台将拒收。</w:t>
      </w:r>
    </w:p>
    <w:p w14:paraId="1465C180">
      <w:pPr>
        <w:pStyle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21.4电子投标文件提交方式见“招标公告”中“四、提交投标文件截止时间、开标时间和地点”</w:t>
      </w:r>
    </w:p>
    <w:p w14:paraId="6E6692FA">
      <w:pPr>
        <w:pStyle w:val="9"/>
        <w:rPr>
          <w:rFonts w:hint="eastAsia" w:ascii="宋体" w:hAnsi="宋体" w:eastAsia="宋体" w:cs="宋体"/>
          <w:color w:val="000000" w:themeColor="text1"/>
          <w:highlight w:val="none"/>
          <w14:textFill>
            <w14:solidFill>
              <w14:schemeClr w14:val="tx1"/>
            </w14:solidFill>
          </w14:textFill>
        </w:rPr>
      </w:pPr>
    </w:p>
    <w:p w14:paraId="7FFC8EF6">
      <w:pPr>
        <w:pStyle w:val="8"/>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 投标文件的补充、修改、撤回与退回</w:t>
      </w:r>
    </w:p>
    <w:p w14:paraId="42978F49">
      <w:pPr>
        <w:snapToGrid w:val="0"/>
        <w:spacing w:line="360" w:lineRule="auto"/>
        <w:ind w:firstLine="420"/>
        <w:jc w:val="left"/>
        <w:rPr>
          <w:rFonts w:hint="eastAsia" w:ascii="宋体" w:hAnsi="宋体" w:eastAsia="宋体" w:cs="宋体"/>
          <w:color w:val="000000" w:themeColor="text1"/>
          <w:szCs w:val="21"/>
          <w:highlight w:val="none"/>
          <w14:textFill>
            <w14:solidFill>
              <w14:schemeClr w14:val="tx1"/>
            </w14:solidFill>
          </w14:textFill>
        </w:rPr>
      </w:pPr>
      <w:bookmarkStart w:id="119" w:name="_Toc254970543"/>
      <w:bookmarkStart w:id="120" w:name="_Toc254970684"/>
      <w:r>
        <w:rPr>
          <w:rFonts w:hint="eastAsia" w:ascii="宋体" w:hAnsi="宋体" w:eastAsia="宋体" w:cs="宋体"/>
          <w:color w:val="000000" w:themeColor="text1"/>
          <w:szCs w:val="21"/>
          <w:highlight w:val="none"/>
          <w14:textFill>
            <w14:solidFill>
              <w14:schemeClr w14:val="tx1"/>
            </w14:solidFill>
          </w14:textFill>
        </w:rPr>
        <w:t>22.1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bookmarkEnd w:id="119"/>
    <w:bookmarkEnd w:id="120"/>
    <w:p w14:paraId="4965EEA8">
      <w:pPr>
        <w:snapToGrid w:val="0"/>
        <w:spacing w:line="360" w:lineRule="auto"/>
        <w:ind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22.2在投标截止时间止提交投标文件的投标人不足3家时，不得开标，采购代理机构将根据广西政府采购云平台的操作将电子版投标文件退回，除此之外采购人和采购代理机构对已提交的投标文件概不退回。</w:t>
      </w:r>
    </w:p>
    <w:p w14:paraId="143CAA7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22.3 投标人在投标截止时间后书面通知采购人、采购代理机构撤销投标文件的，将根据本须知正文18.4的规定不予退还其投标保证金。</w:t>
      </w:r>
    </w:p>
    <w:p w14:paraId="3C722C7D">
      <w:pPr>
        <w:pStyle w:val="21"/>
        <w:snapToGrid w:val="0"/>
        <w:spacing w:line="360" w:lineRule="auto"/>
        <w:ind w:firstLine="739"/>
        <w:rPr>
          <w:rFonts w:hint="eastAsia" w:ascii="宋体" w:hAnsi="宋体" w:eastAsia="宋体" w:cs="宋体"/>
          <w:snapToGrid w:val="0"/>
          <w:color w:val="000000" w:themeColor="text1"/>
          <w:sz w:val="21"/>
          <w:szCs w:val="21"/>
          <w:highlight w:val="none"/>
          <w14:textFill>
            <w14:solidFill>
              <w14:schemeClr w14:val="tx1"/>
            </w14:solidFill>
          </w14:textFill>
        </w:rPr>
      </w:pPr>
    </w:p>
    <w:p w14:paraId="1C02514E">
      <w:pPr>
        <w:pStyle w:val="6"/>
        <w:keepNext w:val="0"/>
        <w:keepLines w:val="0"/>
        <w:jc w:val="center"/>
        <w:rPr>
          <w:rFonts w:hint="eastAsia" w:ascii="宋体" w:hAnsi="宋体" w:eastAsia="宋体" w:cs="宋体"/>
          <w:color w:val="000000" w:themeColor="text1"/>
          <w:highlight w:val="none"/>
          <w14:textFill>
            <w14:solidFill>
              <w14:schemeClr w14:val="tx1"/>
            </w14:solidFill>
          </w14:textFill>
        </w:rPr>
      </w:pPr>
      <w:bookmarkStart w:id="121" w:name="_Toc254970685"/>
      <w:bookmarkStart w:id="122" w:name="_Toc254970544"/>
      <w:r>
        <w:rPr>
          <w:rFonts w:hint="eastAsia" w:ascii="宋体" w:hAnsi="宋体" w:eastAsia="宋体" w:cs="宋体"/>
          <w:color w:val="000000" w:themeColor="text1"/>
          <w:highlight w:val="none"/>
          <w14:textFill>
            <w14:solidFill>
              <w14:schemeClr w14:val="tx1"/>
            </w14:solidFill>
          </w14:textFill>
        </w:rPr>
        <w:t>四、开    标</w:t>
      </w:r>
      <w:bookmarkEnd w:id="121"/>
      <w:bookmarkEnd w:id="122"/>
    </w:p>
    <w:p w14:paraId="3D63BD50">
      <w:pPr>
        <w:pStyle w:val="8"/>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bookmarkStart w:id="123" w:name="_23.开标时间和地点"/>
      <w:bookmarkEnd w:id="123"/>
      <w:r>
        <w:rPr>
          <w:rFonts w:hint="eastAsia" w:ascii="宋体" w:hAnsi="宋体" w:eastAsia="宋体" w:cs="宋体"/>
          <w:color w:val="000000" w:themeColor="text1"/>
          <w:sz w:val="24"/>
          <w:highlight w:val="none"/>
          <w14:textFill>
            <w14:solidFill>
              <w14:schemeClr w14:val="tx1"/>
            </w14:solidFill>
          </w14:textFill>
        </w:rPr>
        <w:t>23.开标时间和地点</w:t>
      </w:r>
    </w:p>
    <w:p w14:paraId="1CF34127">
      <w:pPr>
        <w:snapToGrid w:val="0"/>
        <w:spacing w:line="360" w:lineRule="auto"/>
        <w:ind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23.1开标时间及地点详见“投标人须知前附表”</w:t>
      </w:r>
    </w:p>
    <w:p w14:paraId="00676506">
      <w:pPr>
        <w:snapToGrid w:val="0"/>
        <w:spacing w:line="360" w:lineRule="auto"/>
        <w:ind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23.2如投标人成功解密投标文件，但未在“广西政府采购云平台”电子开标大厅参加开标的，视同认可开标过程和结果，由此产生的后果由投标人自行负责。成功解密投标文件的投标人不足3家的，不得开标。</w:t>
      </w:r>
    </w:p>
    <w:p w14:paraId="5609F2B9">
      <w:pPr>
        <w:pStyle w:val="8"/>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24.开标程序</w:t>
      </w:r>
    </w:p>
    <w:p w14:paraId="14F3AE10">
      <w:pPr>
        <w:autoSpaceDE w:val="0"/>
        <w:autoSpaceDN w:val="0"/>
        <w:adjustRightInd w:val="0"/>
        <w:spacing w:line="44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24.1</w:t>
      </w:r>
      <w:r>
        <w:rPr>
          <w:rFonts w:hint="eastAsia" w:ascii="宋体" w:hAnsi="宋体" w:eastAsia="宋体" w:cs="宋体"/>
          <w:color w:val="000000" w:themeColor="text1"/>
          <w:kern w:val="0"/>
          <w:szCs w:val="21"/>
          <w:highlight w:val="none"/>
          <w14:textFill>
            <w14:solidFill>
              <w14:schemeClr w14:val="tx1"/>
            </w14:solidFill>
          </w14:textFill>
        </w:rPr>
        <w:t>开标形式：</w:t>
      </w:r>
    </w:p>
    <w:p w14:paraId="6111231C">
      <w:pPr>
        <w:autoSpaceDE w:val="0"/>
        <w:autoSpaceDN w:val="0"/>
        <w:adjustRightInd w:val="0"/>
        <w:spacing w:line="44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0A759D48">
      <w:pPr>
        <w:autoSpaceDE w:val="0"/>
        <w:autoSpaceDN w:val="0"/>
        <w:adjustRightInd w:val="0"/>
        <w:spacing w:line="44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24.2开标程序：</w:t>
      </w:r>
    </w:p>
    <w:p w14:paraId="60B8A7BC">
      <w:pPr>
        <w:autoSpaceDE w:val="0"/>
        <w:autoSpaceDN w:val="0"/>
        <w:adjustRightInd w:val="0"/>
        <w:spacing w:line="44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（1）解密电子投标文件。广西政府采购云平台按开标时间自动提取所有投标文件。采购代理机构依托广西政府采购云平台向各投标人发出电子加密投标文件【开始解密】通知，由投标人进行投标文件解密。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eastAsia="宋体" w:cs="宋体"/>
          <w:b/>
          <w:bCs/>
          <w:color w:val="000000" w:themeColor="text1"/>
          <w:szCs w:val="21"/>
          <w:highlight w:val="none"/>
          <w14:textFill>
            <w14:solidFill>
              <w14:schemeClr w14:val="tx1"/>
            </w14:solidFill>
          </w14:textFill>
        </w:rPr>
        <w:t>投标人的法定代表人或其委托代理人须携带加密时所用的CA锁准时登录到广西政府采购云平台电子开标大厅签到</w:t>
      </w:r>
      <w:r>
        <w:rPr>
          <w:rFonts w:hint="eastAsia" w:ascii="宋体" w:hAnsi="宋体" w:eastAsia="宋体" w:cs="宋体"/>
          <w:b/>
          <w:color w:val="000000" w:themeColor="text1"/>
          <w:szCs w:val="21"/>
          <w:highlight w:val="none"/>
          <w14:textFill>
            <w14:solidFill>
              <w14:schemeClr w14:val="tx1"/>
            </w14:solidFill>
          </w14:textFill>
        </w:rPr>
        <w:t>并在发起解密</w:t>
      </w:r>
      <w:r>
        <w:rPr>
          <w:rFonts w:hint="eastAsia" w:ascii="宋体" w:hAnsi="宋体" w:eastAsia="宋体" w:cs="宋体"/>
          <w:b/>
          <w:bCs/>
          <w:color w:val="000000" w:themeColor="text1"/>
          <w:szCs w:val="21"/>
          <w:highlight w:val="none"/>
          <w14:textFill>
            <w14:solidFill>
              <w14:schemeClr w14:val="tx1"/>
            </w14:solidFill>
          </w14:textFill>
        </w:rPr>
        <w:t>通知</w:t>
      </w:r>
      <w:r>
        <w:rPr>
          <w:rFonts w:hint="eastAsia" w:ascii="宋体" w:hAnsi="宋体" w:eastAsia="宋体" w:cs="宋体"/>
          <w:b/>
          <w:color w:val="000000" w:themeColor="text1"/>
          <w:szCs w:val="21"/>
          <w:highlight w:val="none"/>
          <w14:textFill>
            <w14:solidFill>
              <w14:schemeClr w14:val="tx1"/>
            </w14:solidFill>
          </w14:textFill>
        </w:rPr>
        <w:t>之时起30分钟内完成</w:t>
      </w:r>
      <w:r>
        <w:rPr>
          <w:rFonts w:hint="eastAsia" w:ascii="宋体" w:hAnsi="宋体" w:eastAsia="宋体" w:cs="宋体"/>
          <w:b/>
          <w:bCs/>
          <w:color w:val="000000" w:themeColor="text1"/>
          <w:szCs w:val="21"/>
          <w:highlight w:val="none"/>
          <w14:textFill>
            <w14:solidFill>
              <w14:schemeClr w14:val="tx1"/>
            </w14:solidFill>
          </w14:textFill>
        </w:rPr>
        <w:t>对电子投标文件解密。投标文件未按时解密的，视为无效投标。</w:t>
      </w:r>
      <w:r>
        <w:rPr>
          <w:rFonts w:hint="eastAsia" w:ascii="宋体" w:hAnsi="宋体" w:eastAsia="宋体" w:cs="宋体"/>
          <w:bCs/>
          <w:color w:val="000000" w:themeColor="text1"/>
          <w:szCs w:val="21"/>
          <w:highlight w:val="none"/>
          <w14:textFill>
            <w14:solidFill>
              <w14:schemeClr w14:val="tx1"/>
            </w14:solidFill>
          </w14:textFill>
        </w:rPr>
        <w:t>（解密异常情况处理：详见本章29.4 电子交易活动的中止。</w:t>
      </w:r>
    </w:p>
    <w:p w14:paraId="62FD70DD">
      <w:pPr>
        <w:autoSpaceDE w:val="0"/>
        <w:autoSpaceDN w:val="0"/>
        <w:adjustRightInd w:val="0"/>
        <w:spacing w:line="44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（2）电子唱标。投标文件解密结束，各投标供应商报价均在广西政府采购云平台远程不见面开标大厅展示；</w:t>
      </w:r>
    </w:p>
    <w:p w14:paraId="4F38257E">
      <w:pPr>
        <w:autoSpaceDE w:val="0"/>
        <w:autoSpaceDN w:val="0"/>
        <w:adjustRightInd w:val="0"/>
        <w:spacing w:line="44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（3）签署电子《政府采购活动现场确认声明书》。通过邮件形式在远程不见面开标大厅发送各投标人签署电子《政府采购活动现场确认声明书》。</w:t>
      </w:r>
    </w:p>
    <w:p w14:paraId="61C62D5E">
      <w:pPr>
        <w:autoSpaceDE w:val="0"/>
        <w:autoSpaceDN w:val="0"/>
        <w:adjustRightInd w:val="0"/>
        <w:spacing w:line="44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（4）开标过程由采购代理机构如实记录，并电子留痕，由参加电子开标的各投标人代表对电子开标记录在开标记录公布后15分钟内进行当场校核及勘误，并线上确认，未确认的视同认可开标结果。</w:t>
      </w:r>
    </w:p>
    <w:p w14:paraId="24A16BAA">
      <w:pPr>
        <w:autoSpaceDE w:val="0"/>
        <w:autoSpaceDN w:val="0"/>
        <w:adjustRightInd w:val="0"/>
        <w:spacing w:line="44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6568445B">
      <w:pPr>
        <w:autoSpaceDE w:val="0"/>
        <w:autoSpaceDN w:val="0"/>
        <w:adjustRightInd w:val="0"/>
        <w:spacing w:line="44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（6）开标结束。</w:t>
      </w:r>
    </w:p>
    <w:p w14:paraId="1720AA08">
      <w:pPr>
        <w:autoSpaceDE w:val="0"/>
        <w:autoSpaceDN w:val="0"/>
        <w:adjustRightInd w:val="0"/>
        <w:spacing w:line="440" w:lineRule="exact"/>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特别说明：如遇广西政府采购云平台电子化开标或评审程序调整的，按调整后执行。</w:t>
      </w:r>
    </w:p>
    <w:p w14:paraId="38FA55E2">
      <w:pPr>
        <w:pStyle w:val="26"/>
        <w:snapToGrid w:val="0"/>
        <w:spacing w:line="360" w:lineRule="auto"/>
        <w:ind w:left="689" w:leftChars="228" w:hanging="210" w:hangingChars="100"/>
        <w:rPr>
          <w:rFonts w:hint="eastAsia" w:ascii="宋体" w:hAnsi="宋体" w:eastAsia="宋体" w:cs="宋体"/>
          <w:color w:val="000000" w:themeColor="text1"/>
          <w:sz w:val="21"/>
          <w:highlight w:val="none"/>
          <w14:textFill>
            <w14:solidFill>
              <w14:schemeClr w14:val="tx1"/>
            </w14:solidFill>
          </w14:textFill>
        </w:rPr>
      </w:pPr>
    </w:p>
    <w:p w14:paraId="446428CB">
      <w:pPr>
        <w:pStyle w:val="6"/>
        <w:keepNext w:val="0"/>
        <w:keepLines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五、资格审查</w:t>
      </w:r>
    </w:p>
    <w:p w14:paraId="3D0C9706">
      <w:pPr>
        <w:pStyle w:val="8"/>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25.资格审查</w:t>
      </w:r>
    </w:p>
    <w:p w14:paraId="6D6553DA">
      <w:pPr>
        <w:pStyle w:val="8"/>
        <w:keepNext w:val="0"/>
        <w:keepLines w:val="0"/>
        <w:spacing w:before="0" w:after="0" w:line="360" w:lineRule="auto"/>
        <w:ind w:firstLine="315" w:firstLineChars="15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25.1开标结束后，采购人或者采购代理机构依法对投标人的资格进行审查。</w:t>
      </w:r>
    </w:p>
    <w:p w14:paraId="38300CB2">
      <w:pPr>
        <w:pStyle w:val="8"/>
        <w:keepNext w:val="0"/>
        <w:keepLines w:val="0"/>
        <w:spacing w:before="0" w:after="0" w:line="360" w:lineRule="auto"/>
        <w:ind w:firstLine="315" w:firstLineChars="15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25.2资格审查标准为本招标文件中载明对投标人资格要求的条件。本项目资格审查采用合格制，凡符合招标文件规定的投标人资格要求的投标人均通过资格审查。</w:t>
      </w:r>
    </w:p>
    <w:p w14:paraId="7DB32E83">
      <w:pPr>
        <w:pStyle w:val="8"/>
        <w:keepNext w:val="0"/>
        <w:keepLines w:val="0"/>
        <w:spacing w:before="0" w:after="0" w:line="360"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24" w:name="_25.3_投标人有下列情形之一的，资格审查不通过而导致其投标无效："/>
      <w:bookmarkEnd w:id="124"/>
      <w:r>
        <w:rPr>
          <w:rFonts w:hint="eastAsia" w:ascii="宋体" w:hAnsi="宋体" w:eastAsia="宋体" w:cs="宋体"/>
          <w:color w:val="000000" w:themeColor="text1"/>
          <w:sz w:val="21"/>
          <w:szCs w:val="21"/>
          <w:highlight w:val="none"/>
          <w14:textFill>
            <w14:solidFill>
              <w14:schemeClr w14:val="tx1"/>
            </w14:solidFill>
          </w14:textFill>
        </w:rPr>
        <w:t>25.3 投标人有下列情形之一的，资格审查不通过，作无效投标处理：</w:t>
      </w:r>
    </w:p>
    <w:p w14:paraId="3F994E1F">
      <w:pPr>
        <w:pStyle w:val="26"/>
        <w:snapToGrid w:val="0"/>
        <w:spacing w:line="360" w:lineRule="auto"/>
        <w:ind w:firstLine="422" w:firstLineChars="200"/>
        <w:rPr>
          <w:rFonts w:hint="eastAsia" w:ascii="宋体" w:hAnsi="宋体" w:eastAsia="宋体" w:cs="宋体"/>
          <w:b/>
          <w:color w:val="000000" w:themeColor="text1"/>
          <w:sz w:val="21"/>
          <w:highlight w:val="none"/>
          <w14:textFill>
            <w14:solidFill>
              <w14:schemeClr w14:val="tx1"/>
            </w14:solidFill>
          </w14:textFill>
        </w:rPr>
      </w:pPr>
      <w:r>
        <w:rPr>
          <w:rFonts w:hint="eastAsia" w:ascii="宋体" w:hAnsi="宋体" w:eastAsia="宋体" w:cs="宋体"/>
          <w:b/>
          <w:color w:val="000000" w:themeColor="text1"/>
          <w:sz w:val="21"/>
          <w:highlight w:val="none"/>
          <w14:textFill>
            <w14:solidFill>
              <w14:schemeClr w14:val="tx1"/>
            </w14:solidFill>
          </w14:textFill>
        </w:rPr>
        <w:t>（1）未按招标文件规定的方式获取本招标文件的投标人；</w:t>
      </w:r>
    </w:p>
    <w:p w14:paraId="68E3AA44">
      <w:pPr>
        <w:pStyle w:val="26"/>
        <w:snapToGrid w:val="0"/>
        <w:spacing w:line="360" w:lineRule="auto"/>
        <w:ind w:firstLine="422" w:firstLineChars="200"/>
        <w:rPr>
          <w:rFonts w:hint="eastAsia" w:ascii="宋体" w:hAnsi="宋体" w:eastAsia="宋体" w:cs="宋体"/>
          <w:b/>
          <w:color w:val="000000" w:themeColor="text1"/>
          <w:sz w:val="21"/>
          <w:highlight w:val="none"/>
          <w14:textFill>
            <w14:solidFill>
              <w14:schemeClr w14:val="tx1"/>
            </w14:solidFill>
          </w14:textFill>
        </w:rPr>
      </w:pPr>
      <w:r>
        <w:rPr>
          <w:rFonts w:hint="eastAsia" w:ascii="宋体" w:hAnsi="宋体" w:eastAsia="宋体" w:cs="宋体"/>
          <w:b/>
          <w:color w:val="000000" w:themeColor="text1"/>
          <w:sz w:val="21"/>
          <w:highlight w:val="none"/>
          <w14:textFill>
            <w14:solidFill>
              <w14:schemeClr w14:val="tx1"/>
            </w14:solidFill>
          </w14:textFill>
        </w:rPr>
        <w:t>（2）不具备招标文件中规定的资格要求的；</w:t>
      </w:r>
    </w:p>
    <w:p w14:paraId="161E393B">
      <w:pPr>
        <w:pStyle w:val="26"/>
        <w:snapToGrid w:val="0"/>
        <w:spacing w:line="360" w:lineRule="auto"/>
        <w:ind w:firstLine="422" w:firstLineChars="200"/>
        <w:rPr>
          <w:rFonts w:hint="eastAsia" w:ascii="宋体" w:hAnsi="宋体" w:eastAsia="宋体" w:cs="宋体"/>
          <w:b/>
          <w:color w:val="000000" w:themeColor="text1"/>
          <w:sz w:val="21"/>
          <w:highlight w:val="none"/>
          <w14:textFill>
            <w14:solidFill>
              <w14:schemeClr w14:val="tx1"/>
            </w14:solidFill>
          </w14:textFill>
        </w:rPr>
      </w:pPr>
      <w:r>
        <w:rPr>
          <w:rFonts w:hint="eastAsia" w:ascii="宋体" w:hAnsi="宋体" w:eastAsia="宋体" w:cs="宋体"/>
          <w:b/>
          <w:color w:val="000000" w:themeColor="text1"/>
          <w:sz w:val="21"/>
          <w:highlight w:val="none"/>
          <w14:textFill>
            <w14:solidFill>
              <w14:schemeClr w14:val="tx1"/>
            </w14:solidFill>
          </w14:textFill>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14:paraId="7AD65EF0">
      <w:pPr>
        <w:pStyle w:val="26"/>
        <w:snapToGrid w:val="0"/>
        <w:spacing w:line="360" w:lineRule="auto"/>
        <w:ind w:firstLine="422" w:firstLineChars="200"/>
        <w:rPr>
          <w:rFonts w:hint="eastAsia" w:ascii="宋体" w:hAnsi="宋体" w:eastAsia="宋体" w:cs="宋体"/>
          <w:b/>
          <w:color w:val="000000" w:themeColor="text1"/>
          <w:sz w:val="21"/>
          <w:highlight w:val="none"/>
          <w14:textFill>
            <w14:solidFill>
              <w14:schemeClr w14:val="tx1"/>
            </w14:solidFill>
          </w14:textFill>
        </w:rPr>
      </w:pPr>
      <w:r>
        <w:rPr>
          <w:rFonts w:hint="eastAsia" w:ascii="宋体" w:hAnsi="宋体" w:eastAsia="宋体" w:cs="宋体"/>
          <w:b/>
          <w:color w:val="000000" w:themeColor="text1"/>
          <w:sz w:val="21"/>
          <w:highlight w:val="none"/>
          <w14:textFill>
            <w14:solidFill>
              <w14:schemeClr w14:val="tx1"/>
            </w14:solidFill>
          </w14:textFill>
        </w:rPr>
        <w:t>（4）同一合同项下的不同投标人，单位负责人为同一人或者存在直接控股、管理关系的；为本项目提供过整体设计、规范编制或者项目管理、监理、检测等服务的供应商，再参加该采购项目的其他采购活动的；</w:t>
      </w:r>
    </w:p>
    <w:p w14:paraId="44C4E588">
      <w:pPr>
        <w:pStyle w:val="26"/>
        <w:snapToGrid w:val="0"/>
        <w:spacing w:line="360" w:lineRule="auto"/>
        <w:ind w:firstLine="422" w:firstLineChars="200"/>
        <w:rPr>
          <w:rFonts w:hint="eastAsia" w:ascii="宋体" w:hAnsi="宋体" w:eastAsia="宋体" w:cs="宋体"/>
          <w:b/>
          <w:color w:val="000000" w:themeColor="text1"/>
          <w:sz w:val="21"/>
          <w:highlight w:val="none"/>
          <w14:textFill>
            <w14:solidFill>
              <w14:schemeClr w14:val="tx1"/>
            </w14:solidFill>
          </w14:textFill>
        </w:rPr>
      </w:pPr>
      <w:r>
        <w:rPr>
          <w:rFonts w:hint="eastAsia" w:ascii="宋体" w:hAnsi="宋体" w:eastAsia="宋体" w:cs="宋体"/>
          <w:b/>
          <w:color w:val="000000" w:themeColor="text1"/>
          <w:sz w:val="21"/>
          <w:highlight w:val="none"/>
          <w14:textFill>
            <w14:solidFill>
              <w14:schemeClr w14:val="tx1"/>
            </w14:solidFill>
          </w14:textFill>
        </w:rPr>
        <w:t>（5）投标文件中的资格证明文件缺少任一项“投标人须知前附表”资格证明文件规定“必须提供”的文件资料的；</w:t>
      </w:r>
    </w:p>
    <w:p w14:paraId="01370B94">
      <w:pPr>
        <w:pStyle w:val="26"/>
        <w:snapToGrid w:val="0"/>
        <w:spacing w:line="360" w:lineRule="auto"/>
        <w:ind w:firstLine="422" w:firstLineChars="200"/>
        <w:rPr>
          <w:rFonts w:hint="eastAsia" w:ascii="宋体" w:hAnsi="宋体" w:eastAsia="宋体" w:cs="宋体"/>
          <w:b/>
          <w:color w:val="000000" w:themeColor="text1"/>
          <w:sz w:val="21"/>
          <w:highlight w:val="none"/>
          <w14:textFill>
            <w14:solidFill>
              <w14:schemeClr w14:val="tx1"/>
            </w14:solidFill>
          </w14:textFill>
        </w:rPr>
      </w:pPr>
      <w:r>
        <w:rPr>
          <w:rFonts w:hint="eastAsia" w:ascii="宋体" w:hAnsi="宋体" w:eastAsia="宋体" w:cs="宋体"/>
          <w:b/>
          <w:color w:val="000000" w:themeColor="text1"/>
          <w:sz w:val="21"/>
          <w:highlight w:val="none"/>
          <w14:textFill>
            <w14:solidFill>
              <w14:schemeClr w14:val="tx1"/>
            </w14:solidFill>
          </w14:textFill>
        </w:rPr>
        <w:t>（6）投标文件中的资格证明文件出现任一项不符合“投标人须知前附表”资格证明文件规定“必须提供”的文件资料要求或者无效的。</w:t>
      </w:r>
    </w:p>
    <w:p w14:paraId="13FBEFAB">
      <w:pPr>
        <w:pStyle w:val="8"/>
        <w:keepNext w:val="0"/>
        <w:keepLines w:val="0"/>
        <w:spacing w:before="0" w:after="0" w:line="360" w:lineRule="auto"/>
        <w:ind w:left="420" w:left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25.4合格投标人不足3家的，不得评标。</w:t>
      </w:r>
    </w:p>
    <w:p w14:paraId="44C34EF0">
      <w:pPr>
        <w:pStyle w:val="26"/>
        <w:snapToGrid w:val="0"/>
        <w:spacing w:line="360" w:lineRule="auto"/>
        <w:ind w:left="689" w:leftChars="228" w:hanging="210" w:hangingChars="100"/>
        <w:rPr>
          <w:rFonts w:hint="eastAsia" w:ascii="宋体" w:hAnsi="宋体" w:eastAsia="宋体" w:cs="宋体"/>
          <w:color w:val="000000" w:themeColor="text1"/>
          <w:sz w:val="21"/>
          <w:highlight w:val="none"/>
          <w14:textFill>
            <w14:solidFill>
              <w14:schemeClr w14:val="tx1"/>
            </w14:solidFill>
          </w14:textFill>
        </w:rPr>
      </w:pPr>
    </w:p>
    <w:p w14:paraId="02FA4401">
      <w:pPr>
        <w:pStyle w:val="6"/>
        <w:keepNext w:val="0"/>
        <w:keepLines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六、评   标</w:t>
      </w:r>
    </w:p>
    <w:p w14:paraId="4A53A533">
      <w:pPr>
        <w:pStyle w:val="8"/>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bookmarkStart w:id="125" w:name="_26.组建评标委员会"/>
      <w:bookmarkEnd w:id="125"/>
      <w:r>
        <w:rPr>
          <w:rFonts w:hint="eastAsia" w:ascii="宋体" w:hAnsi="宋体" w:eastAsia="宋体" w:cs="宋体"/>
          <w:color w:val="000000" w:themeColor="text1"/>
          <w:sz w:val="24"/>
          <w:highlight w:val="none"/>
          <w14:textFill>
            <w14:solidFill>
              <w14:schemeClr w14:val="tx1"/>
            </w14:solidFill>
          </w14:textFill>
        </w:rPr>
        <w:t>26.组建评标委员会</w:t>
      </w:r>
    </w:p>
    <w:p w14:paraId="036DBCF9">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评标委员会由采购人代表和评审专家组成，具体人数详见“投标人须知前附表”，其中评审专家不得少于成员总数的三分之二。</w:t>
      </w:r>
    </w:p>
    <w:p w14:paraId="73355CF1">
      <w:pPr>
        <w:pStyle w:val="26"/>
        <w:snapToGrid w:val="0"/>
        <w:spacing w:line="360" w:lineRule="auto"/>
        <w:ind w:left="2" w:leftChars="1"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参加过采购项目前期咨询论证的专家，不得参加该采购项目的评审活动。</w:t>
      </w:r>
    </w:p>
    <w:p w14:paraId="0BA35B1C">
      <w:pPr>
        <w:pStyle w:val="8"/>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27.评标的依据</w:t>
      </w:r>
    </w:p>
    <w:p w14:paraId="468DBD62">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评标委员会以“第四章 评标方法和评标标准”为依据对投标文件进行评审，没有规定的方法、评审因素和标准，不作为评标依据。</w:t>
      </w:r>
    </w:p>
    <w:p w14:paraId="49199B4A">
      <w:pPr>
        <w:pStyle w:val="8"/>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28.评标原则</w:t>
      </w:r>
    </w:p>
    <w:p w14:paraId="3C419755">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3C8182A">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28.2</w:t>
      </w:r>
      <w:bookmarkStart w:id="126" w:name="_28.3评标方法。本项目将按须知前附表规定的评标办法进行评标，具体评标"/>
      <w:bookmarkEnd w:id="126"/>
      <w:r>
        <w:rPr>
          <w:rFonts w:hint="eastAsia" w:ascii="宋体" w:hAnsi="宋体" w:eastAsia="宋体" w:cs="宋体"/>
          <w:color w:val="000000" w:themeColor="text1"/>
          <w:sz w:val="21"/>
          <w:highlight w:val="none"/>
          <w14:textFill>
            <w14:solidFill>
              <w14:schemeClr w14:val="tx1"/>
            </w14:solidFill>
          </w14:textFill>
        </w:rPr>
        <w:t>评委表决。评标委员会成员对需要共同认定的事项存在争议的，应当按照少数服从多数的原则作出结论。</w:t>
      </w:r>
    </w:p>
    <w:p w14:paraId="384D6ADB">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2D4809BC">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28.4评标过程的监控。本项目评标过程实行全程录音、录像监控，</w:t>
      </w:r>
      <w:r>
        <w:rPr>
          <w:rFonts w:hint="eastAsia" w:ascii="宋体" w:hAnsi="宋体" w:eastAsia="宋体" w:cs="宋体"/>
          <w:b/>
          <w:bCs/>
          <w:color w:val="000000" w:themeColor="text1"/>
          <w:sz w:val="21"/>
          <w:highlight w:val="none"/>
          <w14:textFill>
            <w14:solidFill>
              <w14:schemeClr w14:val="tx1"/>
            </w14:solidFill>
          </w14:textFill>
        </w:rPr>
        <w:t>投标人在评标过程中所进行的试图影响评标结果的不公正活动，可能导致其投标无效</w:t>
      </w:r>
      <w:r>
        <w:rPr>
          <w:rFonts w:hint="eastAsia" w:ascii="宋体" w:hAnsi="宋体" w:eastAsia="宋体" w:cs="宋体"/>
          <w:color w:val="000000" w:themeColor="text1"/>
          <w:sz w:val="21"/>
          <w:highlight w:val="none"/>
          <w14:textFill>
            <w14:solidFill>
              <w14:schemeClr w14:val="tx1"/>
            </w14:solidFill>
          </w14:textFill>
        </w:rPr>
        <w:t>。</w:t>
      </w:r>
    </w:p>
    <w:p w14:paraId="52881C39">
      <w:pPr>
        <w:pStyle w:val="8"/>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29.评标方法及中标候选人推荐</w:t>
      </w:r>
    </w:p>
    <w:p w14:paraId="221668EA">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29.1本项目的评标方法详见“投标人须知前附表”。</w:t>
      </w:r>
    </w:p>
    <w:p w14:paraId="70D85F96">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29.2中标候选人推荐数量详见“投标人须知前附表”。</w:t>
      </w:r>
    </w:p>
    <w:p w14:paraId="28373BC7">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29.3评标委员会将按照“第四章 评标方法和评标标准”规定的方法、评审因素、标准和程序对投标文件进行评审。</w:t>
      </w:r>
    </w:p>
    <w:p w14:paraId="5A844BD6">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29.4电子交易活动的中止。采购过程中出现以下情形，导致电子交易平台无法正常运行，或者无法保证电子交易的公平、公正和安全时，采购代理机构可中止电子交易活动：</w:t>
      </w:r>
    </w:p>
    <w:p w14:paraId="48734F94">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（1）电子交易平台发生故障而无法登录访问的； </w:t>
      </w:r>
    </w:p>
    <w:p w14:paraId="60247D29">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（2）电子交易平台应用或数据库出现错误，不能进行正常操作的；</w:t>
      </w:r>
    </w:p>
    <w:p w14:paraId="07B18154">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（3）电子交易平台发现严重安全漏洞，有潜在泄密危险的；</w:t>
      </w:r>
    </w:p>
    <w:p w14:paraId="1F869ACD">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（4）病毒发作导致不能进行正常操作的； </w:t>
      </w:r>
    </w:p>
    <w:p w14:paraId="77672D65">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（4）其他无法保证电子交易的公平、公正和安全的情况。</w:t>
      </w:r>
    </w:p>
    <w:p w14:paraId="7E7ABD47">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29.5出现以上情形，不影响采购公平、公正性的，采购代理机构可以待上述情形消除后继续组织电子交易活动；影响或可能影响采购公平、公正性的，经采购代理机构确认后，应当重新采购。</w:t>
      </w:r>
    </w:p>
    <w:p w14:paraId="7DE177AF">
      <w:pPr>
        <w:pStyle w:val="26"/>
        <w:snapToGrid w:val="0"/>
        <w:spacing w:line="360" w:lineRule="auto"/>
        <w:rPr>
          <w:rFonts w:hint="eastAsia" w:ascii="宋体" w:hAnsi="宋体" w:eastAsia="宋体" w:cs="宋体"/>
          <w:color w:val="000000" w:themeColor="text1"/>
          <w:sz w:val="21"/>
          <w:highlight w:val="none"/>
          <w14:textFill>
            <w14:solidFill>
              <w14:schemeClr w14:val="tx1"/>
            </w14:solidFill>
          </w14:textFill>
        </w:rPr>
      </w:pPr>
    </w:p>
    <w:p w14:paraId="4DA40A7B">
      <w:pPr>
        <w:pStyle w:val="6"/>
        <w:keepNext w:val="0"/>
        <w:keepLines w:val="0"/>
        <w:jc w:val="center"/>
        <w:rPr>
          <w:rFonts w:hint="eastAsia" w:ascii="宋体" w:hAnsi="宋体" w:eastAsia="宋体" w:cs="宋体"/>
          <w:color w:val="000000" w:themeColor="text1"/>
          <w:highlight w:val="none"/>
          <w14:textFill>
            <w14:solidFill>
              <w14:schemeClr w14:val="tx1"/>
            </w14:solidFill>
          </w14:textFill>
        </w:rPr>
      </w:pPr>
      <w:bookmarkStart w:id="127" w:name="_Toc254970546"/>
      <w:bookmarkStart w:id="128" w:name="_Toc254970687"/>
      <w:r>
        <w:rPr>
          <w:rFonts w:hint="eastAsia" w:ascii="宋体" w:hAnsi="宋体" w:eastAsia="宋体" w:cs="宋体"/>
          <w:color w:val="000000" w:themeColor="text1"/>
          <w:highlight w:val="none"/>
          <w14:textFill>
            <w14:solidFill>
              <w14:schemeClr w14:val="tx1"/>
            </w14:solidFill>
          </w14:textFill>
        </w:rPr>
        <w:t>七、</w:t>
      </w:r>
      <w:bookmarkEnd w:id="127"/>
      <w:bookmarkEnd w:id="128"/>
      <w:r>
        <w:rPr>
          <w:rFonts w:hint="eastAsia" w:ascii="宋体" w:hAnsi="宋体" w:eastAsia="宋体" w:cs="宋体"/>
          <w:color w:val="000000" w:themeColor="text1"/>
          <w:highlight w:val="none"/>
          <w14:textFill>
            <w14:solidFill>
              <w14:schemeClr w14:val="tx1"/>
            </w14:solidFill>
          </w14:textFill>
        </w:rPr>
        <w:t>中标和合同</w:t>
      </w:r>
    </w:p>
    <w:p w14:paraId="62858142">
      <w:pPr>
        <w:pStyle w:val="8"/>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30确定中标人</w:t>
      </w:r>
    </w:p>
    <w:p w14:paraId="57854647">
      <w:pPr>
        <w:pStyle w:val="8"/>
        <w:keepNext w:val="0"/>
        <w:keepLines w:val="0"/>
        <w:spacing w:before="0" w:after="0"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35BADAA5">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30.2采购人在收到评标报告5个工作日内未按评标报告推荐的中标候选人顺序确定中标人，又不能说明合法理由的，视同按评标报告推荐的顺序确定排名第一的中标候选人为中标人。</w:t>
      </w:r>
    </w:p>
    <w:p w14:paraId="5E787B0A">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30.3出现下列情形之一的，应予废标：</w:t>
      </w:r>
    </w:p>
    <w:p w14:paraId="4ED15860">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（1）符合专业条件的供应商或者对招标文件作实质响应的供应商不足三家的；</w:t>
      </w:r>
    </w:p>
    <w:p w14:paraId="77E97737">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（2）出现影响采购公正的违法、违规行为的；</w:t>
      </w:r>
    </w:p>
    <w:p w14:paraId="19B256D2">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（3）投标人的报价均超过了采购预算，采购人不能支付的；</w:t>
      </w:r>
    </w:p>
    <w:p w14:paraId="27AC478D">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（4）因重大变故，采购任务取消的。</w:t>
      </w:r>
    </w:p>
    <w:p w14:paraId="3FE49853">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废标后，采购人应当将废标理由通知所有投标人。</w:t>
      </w:r>
    </w:p>
    <w:p w14:paraId="3DC5C084">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30.4 中标人拒绝签订政府采购合同（包括但不限于放弃中标、因不可抗力不能履行合同而放弃签订合同），采购人可以按照评审报告推荐的中标候选人名单排序，确定下一候选人为中标供应商，也可以重新开展政府采购活动。拒绝签订政府采购合同的中标人不得参加对该项目重新开展的采购活动。</w:t>
      </w:r>
    </w:p>
    <w:p w14:paraId="46EAE233">
      <w:pPr>
        <w:pStyle w:val="8"/>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 结果公告</w:t>
      </w:r>
    </w:p>
    <w:p w14:paraId="698D3C52">
      <w:pPr>
        <w:pStyle w:val="8"/>
        <w:keepNext w:val="0"/>
        <w:keepLines w:val="0"/>
        <w:spacing w:before="0" w:after="0"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31.1采购人或者采购代理机构应当自中标人确定之日起2个工作日内，在省级以上财政部门指定的媒体上公告中标结果，招标文件应当随中标结果同时公告。</w:t>
      </w:r>
      <w:r>
        <w:rPr>
          <w:rFonts w:hint="eastAsia" w:ascii="宋体" w:hAnsi="宋体" w:eastAsia="宋体" w:cs="宋体"/>
          <w:color w:val="000000" w:themeColor="text1"/>
          <w:sz w:val="21"/>
          <w:szCs w:val="21"/>
          <w:highlight w:val="none"/>
          <w14:textFill>
            <w14:solidFill>
              <w14:schemeClr w14:val="tx1"/>
            </w14:solidFill>
          </w14:textFill>
        </w:rPr>
        <w:t>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宋体" w:hAnsi="宋体" w:eastAsia="宋体" w:cs="宋体"/>
          <w:b w:val="0"/>
          <w:color w:val="000000" w:themeColor="text1"/>
          <w:sz w:val="21"/>
          <w:szCs w:val="21"/>
          <w:highlight w:val="none"/>
          <w14:textFill>
            <w14:solidFill>
              <w14:schemeClr w14:val="tx1"/>
            </w14:solidFill>
          </w14:textFill>
        </w:rPr>
        <w:t>排名第二的中标候选人因前款规定的同样原因被取消中标资格的，采购人可以确定排名第三的中标候选人为中标人，以此类推。以上信息查询记录及相关证据与采购文件一并保存。</w:t>
      </w:r>
    </w:p>
    <w:p w14:paraId="5B68D78F">
      <w:pPr>
        <w:pStyle w:val="8"/>
        <w:keepNext w:val="0"/>
        <w:keepLines w:val="0"/>
        <w:spacing w:before="0" w:after="0"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31.2中标供应商享受《政府采购促进中小企业发展管理办法》（财库〔2020〕46号）规定的中小企业扶持政策的，采购人、采购代理机构应当随中标结果公开中标供应商的《中小企业声明函》。</w:t>
      </w:r>
    </w:p>
    <w:p w14:paraId="3810C3C8">
      <w:pPr>
        <w:pStyle w:val="8"/>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32.发出中标通知书</w:t>
      </w:r>
    </w:p>
    <w:p w14:paraId="05A965CF">
      <w:pPr>
        <w:pStyle w:val="8"/>
        <w:keepNext w:val="0"/>
        <w:keepLines w:val="0"/>
        <w:spacing w:before="0" w:after="0"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在公告中标结果的同时，采购代理机构向中标人发出中标通知书。对未通过资格审查的投标人，应当告知其未通过的原因；采用综合评分办法评审的，还应当告知未中标人本人的评审得分与排序。</w:t>
      </w:r>
    </w:p>
    <w:p w14:paraId="43007260">
      <w:pPr>
        <w:pStyle w:val="8"/>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 无义务解释未中标原因</w:t>
      </w:r>
    </w:p>
    <w:p w14:paraId="3101AC2E">
      <w:pPr>
        <w:pStyle w:val="8"/>
        <w:keepNext w:val="0"/>
        <w:keepLines w:val="0"/>
        <w:spacing w:before="0" w:after="0" w:line="360" w:lineRule="auto"/>
        <w:ind w:left="420" w:left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采购代理机构无义务向未中标的投标人解释未中标原因和退还投标文件。</w:t>
      </w:r>
    </w:p>
    <w:p w14:paraId="0FF54F10">
      <w:pPr>
        <w:pStyle w:val="8"/>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34.合同授予标准</w:t>
      </w:r>
    </w:p>
    <w:p w14:paraId="24E779E5">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合同将授予被确定实质上响应招标文件要求，具备履行合同能力的中标人（招标文件另有约定多名中标人的除外）。</w:t>
      </w:r>
    </w:p>
    <w:p w14:paraId="37359B8A">
      <w:pPr>
        <w:pStyle w:val="8"/>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35.履约保证金</w:t>
      </w:r>
    </w:p>
    <w:p w14:paraId="4E07D1A9">
      <w:pPr>
        <w:pStyle w:val="8"/>
        <w:keepNext w:val="0"/>
        <w:keepLines w:val="0"/>
        <w:spacing w:before="0" w:after="0" w:line="360" w:lineRule="auto"/>
        <w:ind w:firstLine="315" w:firstLineChars="150"/>
        <w:rPr>
          <w:rFonts w:hint="eastAsia" w:ascii="宋体" w:hAnsi="宋体" w:eastAsia="宋体" w:cs="宋体"/>
          <w:b w:val="0"/>
          <w:color w:val="000000" w:themeColor="text1"/>
          <w:sz w:val="21"/>
          <w:szCs w:val="21"/>
          <w:highlight w:val="none"/>
          <w14:textFill>
            <w14:solidFill>
              <w14:schemeClr w14:val="tx1"/>
            </w14:solidFill>
          </w14:textFill>
        </w:rPr>
      </w:pPr>
      <w:bookmarkStart w:id="129" w:name="_39.1中标人须于签订合同前按本须知前附表规定的金额转账或电汇到指定账"/>
      <w:bookmarkEnd w:id="129"/>
      <w:r>
        <w:rPr>
          <w:rFonts w:hint="eastAsia" w:ascii="宋体" w:hAnsi="宋体" w:eastAsia="宋体" w:cs="宋体"/>
          <w:b w:val="0"/>
          <w:color w:val="000000" w:themeColor="text1"/>
          <w:sz w:val="21"/>
          <w:szCs w:val="21"/>
          <w:highlight w:val="none"/>
          <w14:textFill>
            <w14:solidFill>
              <w14:schemeClr w14:val="tx1"/>
            </w14:solidFill>
          </w14:textFill>
        </w:rPr>
        <w:t>35.1 履约保证金的金额、提交方式、退付的时间和条件详见 “投标人须知前附表”。中标人未按规定提交履约保证金的，视为拒绝与采购人签订合同。</w:t>
      </w:r>
    </w:p>
    <w:p w14:paraId="7381D3A9">
      <w:pPr>
        <w:pStyle w:val="8"/>
        <w:keepNext w:val="0"/>
        <w:keepLines w:val="0"/>
        <w:spacing w:before="0" w:after="0" w:line="360" w:lineRule="auto"/>
        <w:ind w:firstLine="315" w:firstLineChars="1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35.2在履约保证金退还日期前，若中标人的开户名称、开户银行、帐号有变动的，请以书面形式通知履约保证金收取单位，否则由此产生的后果由中标人自行承担。</w:t>
      </w:r>
    </w:p>
    <w:p w14:paraId="2D4922CA">
      <w:pPr>
        <w:pStyle w:val="8"/>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36.签订合同</w:t>
      </w:r>
    </w:p>
    <w:p w14:paraId="7176EEC3">
      <w:pPr>
        <w:pStyle w:val="8"/>
        <w:keepNext w:val="0"/>
        <w:keepLines w:val="0"/>
        <w:spacing w:before="0" w:after="0" w:line="360" w:lineRule="auto"/>
        <w:ind w:firstLine="315" w:firstLineChars="150"/>
        <w:rPr>
          <w:rFonts w:hint="eastAsia" w:ascii="宋体" w:hAnsi="宋体" w:eastAsia="宋体" w:cs="宋体"/>
          <w:b w:val="0"/>
          <w:bCs/>
          <w:color w:val="000000" w:themeColor="text1"/>
          <w:sz w:val="21"/>
          <w:szCs w:val="21"/>
          <w:highlight w:val="none"/>
          <w14:textFill>
            <w14:solidFill>
              <w14:schemeClr w14:val="tx1"/>
            </w14:solidFill>
          </w14:textFill>
        </w:rPr>
      </w:pPr>
      <w:bookmarkStart w:id="130" w:name="_40.1投标人接到中标通知书后，按须知前附表规定向采购人出示相关资格证"/>
      <w:bookmarkEnd w:id="130"/>
      <w:r>
        <w:rPr>
          <w:rFonts w:hint="eastAsia" w:ascii="宋体" w:hAnsi="宋体" w:eastAsia="宋体" w:cs="宋体"/>
          <w:b w:val="0"/>
          <w:color w:val="000000" w:themeColor="text1"/>
          <w:sz w:val="21"/>
          <w:szCs w:val="21"/>
          <w:highlight w:val="none"/>
          <w14:textFill>
            <w14:solidFill>
              <w14:schemeClr w14:val="tx1"/>
            </w14:solidFill>
          </w14:textFill>
        </w:rPr>
        <w:t xml:space="preserve"> 36.1投标人领取中标通知书（书面或电子）后，按“投标人须知前附表”规定向采购人出示相关证明材料，经采购人核验合格后方可签订采购合同（书面或电子）。</w:t>
      </w:r>
      <w:r>
        <w:rPr>
          <w:rFonts w:hint="eastAsia" w:ascii="宋体" w:hAnsi="宋体" w:eastAsia="宋体" w:cs="宋体"/>
          <w:b w:val="0"/>
          <w:bCs/>
          <w:color w:val="000000" w:themeColor="text1"/>
          <w:sz w:val="21"/>
          <w:szCs w:val="21"/>
          <w:highlight w:val="none"/>
          <w14:textFill>
            <w14:solidFill>
              <w14:schemeClr w14:val="tx1"/>
            </w14:solidFill>
          </w14:textFill>
        </w:rPr>
        <w:t>如中标人为联合体的，联合体各方应当共同与采购人签订采购合同，就采购合同约定的事项对采购人承担连带责任。</w:t>
      </w:r>
    </w:p>
    <w:p w14:paraId="7D93D5FD">
      <w:pPr>
        <w:pStyle w:val="8"/>
        <w:keepNext w:val="0"/>
        <w:keepLines w:val="0"/>
        <w:spacing w:before="0" w:after="0"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36.2签订合同时间：按中标通知书规定的时间与采购人签订合同（最长不能超过25日）。</w:t>
      </w:r>
    </w:p>
    <w:p w14:paraId="272BB836">
      <w:pPr>
        <w:pStyle w:val="8"/>
        <w:keepNext w:val="0"/>
        <w:keepLines w:val="0"/>
        <w:spacing w:before="0" w:after="0" w:line="360" w:lineRule="auto"/>
        <w:ind w:firstLine="315" w:firstLineChars="15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36.3中标人拒绝与采购人签订合同的，按照本须知正文第30.4条的规定执行。</w:t>
      </w:r>
    </w:p>
    <w:p w14:paraId="6152C89A">
      <w:pPr>
        <w:pStyle w:val="8"/>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bookmarkStart w:id="131" w:name="_41.政府采购合同公告"/>
      <w:bookmarkEnd w:id="131"/>
      <w:r>
        <w:rPr>
          <w:rFonts w:hint="eastAsia" w:ascii="宋体" w:hAnsi="宋体" w:eastAsia="宋体" w:cs="宋体"/>
          <w:color w:val="000000" w:themeColor="text1"/>
          <w:sz w:val="24"/>
          <w:highlight w:val="none"/>
          <w14:textFill>
            <w14:solidFill>
              <w14:schemeClr w14:val="tx1"/>
            </w14:solidFill>
          </w14:textFill>
        </w:rPr>
        <w:t>37.政府采购合同公告</w:t>
      </w:r>
    </w:p>
    <w:p w14:paraId="7CD24037">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采购人或者受托采购代理机构应当自政府采购合同签订之日起2个工作日内，将政府采购合同在省级以上人民政府财政部门指定的媒体上公告，但政府采购合同中涉及国家秘密、商业秘密的内容除外。</w:t>
      </w:r>
    </w:p>
    <w:p w14:paraId="0B47FA46">
      <w:pPr>
        <w:pStyle w:val="8"/>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38. 询问、质疑和投诉</w:t>
      </w:r>
    </w:p>
    <w:p w14:paraId="730B12CE">
      <w:pPr>
        <w:pStyle w:val="9"/>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38.1供应商对政府采购活动事项有疑问的，可以向采购人提出询问，采购人或者采购代理机构应当在3个工作日内对供应商依法提出的询问作出答复，但答复的内容不得涉及商业秘密。</w:t>
      </w:r>
    </w:p>
    <w:p w14:paraId="08D51EF5">
      <w:pPr>
        <w:pStyle w:val="8"/>
        <w:keepNext w:val="0"/>
        <w:keepLines w:val="0"/>
        <w:spacing w:before="0" w:after="0" w:line="360" w:lineRule="auto"/>
        <w:ind w:firstLine="315" w:firstLineChars="15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38.2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14:paraId="10B519D0">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（1）对可以质疑的招标文件提出质疑的，为收到招标文件之日或者招标文件公告期限届满之日；</w:t>
      </w:r>
    </w:p>
    <w:p w14:paraId="2617F94F">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（2）对采购过程提出质疑的，为各采购程序环节结束之日；</w:t>
      </w:r>
    </w:p>
    <w:p w14:paraId="60B71AFA">
      <w:pPr>
        <w:pStyle w:val="26"/>
        <w:snapToGrid w:val="0"/>
        <w:spacing w:line="360" w:lineRule="auto"/>
        <w:ind w:firstLine="420" w:firstLineChars="200"/>
        <w:rPr>
          <w:rFonts w:hint="eastAsia" w:ascii="宋体" w:hAnsi="宋体" w:eastAsia="宋体" w:cs="宋体"/>
          <w:bCs/>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（3）对中标结果提出质疑的，为中标结果公告期限届满之日。</w:t>
      </w:r>
    </w:p>
    <w:p w14:paraId="1C602D4A">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38.</w:t>
      </w:r>
      <w:r>
        <w:rPr>
          <w:rFonts w:hint="eastAsia" w:ascii="宋体" w:hAnsi="宋体" w:cs="宋体"/>
          <w:b/>
          <w:bCs/>
          <w:color w:val="auto"/>
          <w:highlight w:val="none"/>
          <w:lang w:val="en-US" w:eastAsia="zh-CN"/>
        </w:rPr>
        <w:t>3</w:t>
      </w:r>
      <w:r>
        <w:rPr>
          <w:rFonts w:hint="eastAsia" w:ascii="宋体" w:hAnsi="宋体" w:cs="宋体"/>
          <w:b/>
          <w:bCs/>
          <w:color w:val="auto"/>
          <w:highlight w:val="none"/>
        </w:rPr>
        <w:t xml:space="preserve"> 质疑供应商提起质疑应当符合下列条件：</w:t>
      </w:r>
    </w:p>
    <w:p w14:paraId="532DC07E">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（1）质疑供应商是参与所质疑</w:t>
      </w:r>
      <w:r>
        <w:rPr>
          <w:rFonts w:hint="eastAsia" w:ascii="宋体" w:hAnsi="宋体" w:cs="宋体"/>
          <w:bCs/>
          <w:color w:val="auto"/>
          <w:szCs w:val="21"/>
          <w:highlight w:val="none"/>
        </w:rPr>
        <w:t>项目</w:t>
      </w:r>
      <w:r>
        <w:rPr>
          <w:rFonts w:hint="eastAsia" w:ascii="宋体" w:hAnsi="宋体" w:cs="宋体"/>
          <w:bCs/>
          <w:color w:val="auto"/>
          <w:highlight w:val="none"/>
        </w:rPr>
        <w:t>采购活动的供应商（潜在供应商已依法获取可之一的采购文件的，可以对该采购文件质疑）；</w:t>
      </w:r>
    </w:p>
    <w:p w14:paraId="5AD320B4">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（2）质疑函内容符合本章第38.2.5项的规定；</w:t>
      </w:r>
    </w:p>
    <w:p w14:paraId="4B3E5AE4">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（3）在质疑有效期限内提起质疑；</w:t>
      </w:r>
    </w:p>
    <w:p w14:paraId="4B228EA2">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（4）属于所质疑的采购人或采购人委托的采购代理机构组织的采购活动；</w:t>
      </w:r>
    </w:p>
    <w:p w14:paraId="0CE7FA79">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xml:space="preserve">（5）同一质疑事项未经采购人或采购人委托的采购代理机构质疑处理； </w:t>
      </w:r>
    </w:p>
    <w:p w14:paraId="5EC31EB9">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（6）供应商对同一采购程序环节的质疑应当在质疑有效期内一次性提出；</w:t>
      </w:r>
    </w:p>
    <w:p w14:paraId="790A7B74">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（7）供应商提交质疑应当提交必要的证明材料，证明材料应以合法手段取得；</w:t>
      </w:r>
    </w:p>
    <w:p w14:paraId="536B4496">
      <w:pPr>
        <w:spacing w:line="360" w:lineRule="auto"/>
        <w:ind w:firstLine="420" w:firstLineChars="200"/>
        <w:rPr>
          <w:rFonts w:ascii="宋体" w:hAnsi="宋体" w:cs="宋体"/>
          <w:color w:val="auto"/>
          <w:highlight w:val="none"/>
        </w:rPr>
      </w:pPr>
      <w:r>
        <w:rPr>
          <w:rFonts w:hint="eastAsia" w:ascii="宋体" w:hAnsi="宋体" w:cs="宋体"/>
          <w:bCs/>
          <w:color w:val="auto"/>
          <w:highlight w:val="none"/>
        </w:rPr>
        <w:t>（8）财政部门规定的其他条件。</w:t>
      </w:r>
    </w:p>
    <w:p w14:paraId="3166D8CC">
      <w:pPr>
        <w:pStyle w:val="8"/>
        <w:keepNext w:val="0"/>
        <w:keepLines w:val="0"/>
        <w:spacing w:before="0" w:after="0" w:line="360" w:lineRule="auto"/>
        <w:ind w:firstLine="315" w:firstLineChars="15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38.</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Cs/>
          <w:color w:val="000000" w:themeColor="text1"/>
          <w:sz w:val="21"/>
          <w:highlight w:val="none"/>
          <w14:textFill>
            <w14:solidFill>
              <w14:schemeClr w14:val="tx1"/>
            </w14:solidFill>
          </w14:textFill>
        </w:rPr>
        <w:t>供应商提出质疑应当提交质疑函和必要的证明材料，针对同一采购程序环节的质疑必须在法定质疑期内一次性提出。质疑函应当包括下列内容（质疑函格式后附）：</w:t>
      </w:r>
    </w:p>
    <w:p w14:paraId="216E09BD">
      <w:pPr>
        <w:pStyle w:val="26"/>
        <w:snapToGrid w:val="0"/>
        <w:spacing w:line="360" w:lineRule="auto"/>
        <w:ind w:firstLine="420" w:firstLineChars="200"/>
        <w:rPr>
          <w:rFonts w:hint="eastAsia" w:ascii="宋体" w:hAnsi="宋体" w:eastAsia="宋体" w:cs="宋体"/>
          <w:bCs/>
          <w:color w:val="000000" w:themeColor="text1"/>
          <w:sz w:val="21"/>
          <w:highlight w:val="none"/>
          <w14:textFill>
            <w14:solidFill>
              <w14:schemeClr w14:val="tx1"/>
            </w14:solidFill>
          </w14:textFill>
        </w:rPr>
      </w:pPr>
      <w:r>
        <w:rPr>
          <w:rFonts w:hint="eastAsia" w:ascii="宋体" w:hAnsi="宋体" w:eastAsia="宋体" w:cs="宋体"/>
          <w:bCs/>
          <w:color w:val="000000" w:themeColor="text1"/>
          <w:sz w:val="21"/>
          <w:highlight w:val="none"/>
          <w14:textFill>
            <w14:solidFill>
              <w14:schemeClr w14:val="tx1"/>
            </w14:solidFill>
          </w14:textFill>
        </w:rPr>
        <w:t>（1）供应商的姓名或者名称、地址、邮编、联系人及联系电话；</w:t>
      </w:r>
    </w:p>
    <w:p w14:paraId="77ABCE1E">
      <w:pPr>
        <w:pStyle w:val="26"/>
        <w:snapToGrid w:val="0"/>
        <w:spacing w:line="360" w:lineRule="auto"/>
        <w:ind w:firstLine="420" w:firstLineChars="200"/>
        <w:rPr>
          <w:rFonts w:hint="eastAsia" w:ascii="宋体" w:hAnsi="宋体" w:eastAsia="宋体" w:cs="宋体"/>
          <w:bCs/>
          <w:color w:val="000000" w:themeColor="text1"/>
          <w:sz w:val="21"/>
          <w:highlight w:val="none"/>
          <w14:textFill>
            <w14:solidFill>
              <w14:schemeClr w14:val="tx1"/>
            </w14:solidFill>
          </w14:textFill>
        </w:rPr>
      </w:pPr>
      <w:r>
        <w:rPr>
          <w:rFonts w:hint="eastAsia" w:ascii="宋体" w:hAnsi="宋体" w:eastAsia="宋体" w:cs="宋体"/>
          <w:bCs/>
          <w:color w:val="000000" w:themeColor="text1"/>
          <w:sz w:val="21"/>
          <w:highlight w:val="none"/>
          <w14:textFill>
            <w14:solidFill>
              <w14:schemeClr w14:val="tx1"/>
            </w14:solidFill>
          </w14:textFill>
        </w:rPr>
        <w:t>（2）质疑项目的名称、编号；</w:t>
      </w:r>
    </w:p>
    <w:p w14:paraId="356B2E9B">
      <w:pPr>
        <w:pStyle w:val="26"/>
        <w:snapToGrid w:val="0"/>
        <w:spacing w:line="360" w:lineRule="auto"/>
        <w:ind w:firstLine="420" w:firstLineChars="200"/>
        <w:rPr>
          <w:rFonts w:hint="eastAsia" w:ascii="宋体" w:hAnsi="宋体" w:eastAsia="宋体" w:cs="宋体"/>
          <w:bCs/>
          <w:color w:val="000000" w:themeColor="text1"/>
          <w:sz w:val="21"/>
          <w:highlight w:val="none"/>
          <w14:textFill>
            <w14:solidFill>
              <w14:schemeClr w14:val="tx1"/>
            </w14:solidFill>
          </w14:textFill>
        </w:rPr>
      </w:pPr>
      <w:r>
        <w:rPr>
          <w:rFonts w:hint="eastAsia" w:ascii="宋体" w:hAnsi="宋体" w:eastAsia="宋体" w:cs="宋体"/>
          <w:bCs/>
          <w:color w:val="000000" w:themeColor="text1"/>
          <w:sz w:val="21"/>
          <w:highlight w:val="none"/>
          <w14:textFill>
            <w14:solidFill>
              <w14:schemeClr w14:val="tx1"/>
            </w14:solidFill>
          </w14:textFill>
        </w:rPr>
        <w:t>（3）具体、明确的质疑事项和与质疑事项相关的请求；</w:t>
      </w:r>
    </w:p>
    <w:p w14:paraId="1AE944FD">
      <w:pPr>
        <w:pStyle w:val="26"/>
        <w:snapToGrid w:val="0"/>
        <w:spacing w:line="360" w:lineRule="auto"/>
        <w:ind w:firstLine="420" w:firstLineChars="200"/>
        <w:rPr>
          <w:rFonts w:hint="eastAsia" w:ascii="宋体" w:hAnsi="宋体" w:eastAsia="宋体" w:cs="宋体"/>
          <w:bCs/>
          <w:color w:val="000000" w:themeColor="text1"/>
          <w:sz w:val="21"/>
          <w:highlight w:val="none"/>
          <w14:textFill>
            <w14:solidFill>
              <w14:schemeClr w14:val="tx1"/>
            </w14:solidFill>
          </w14:textFill>
        </w:rPr>
      </w:pPr>
      <w:r>
        <w:rPr>
          <w:rFonts w:hint="eastAsia" w:ascii="宋体" w:hAnsi="宋体" w:eastAsia="宋体" w:cs="宋体"/>
          <w:bCs/>
          <w:color w:val="000000" w:themeColor="text1"/>
          <w:sz w:val="21"/>
          <w:highlight w:val="none"/>
          <w14:textFill>
            <w14:solidFill>
              <w14:schemeClr w14:val="tx1"/>
            </w14:solidFill>
          </w14:textFill>
        </w:rPr>
        <w:t>（4）事实依据；</w:t>
      </w:r>
    </w:p>
    <w:p w14:paraId="7FB7384A">
      <w:pPr>
        <w:pStyle w:val="26"/>
        <w:snapToGrid w:val="0"/>
        <w:spacing w:line="360" w:lineRule="auto"/>
        <w:ind w:firstLine="420" w:firstLineChars="200"/>
        <w:rPr>
          <w:rFonts w:hint="eastAsia" w:ascii="宋体" w:hAnsi="宋体" w:eastAsia="宋体" w:cs="宋体"/>
          <w:bCs/>
          <w:color w:val="000000" w:themeColor="text1"/>
          <w:sz w:val="21"/>
          <w:highlight w:val="none"/>
          <w14:textFill>
            <w14:solidFill>
              <w14:schemeClr w14:val="tx1"/>
            </w14:solidFill>
          </w14:textFill>
        </w:rPr>
      </w:pPr>
      <w:r>
        <w:rPr>
          <w:rFonts w:hint="eastAsia" w:ascii="宋体" w:hAnsi="宋体" w:eastAsia="宋体" w:cs="宋体"/>
          <w:bCs/>
          <w:color w:val="000000" w:themeColor="text1"/>
          <w:sz w:val="21"/>
          <w:highlight w:val="none"/>
          <w14:textFill>
            <w14:solidFill>
              <w14:schemeClr w14:val="tx1"/>
            </w14:solidFill>
          </w14:textFill>
        </w:rPr>
        <w:t>（5）必要的法律依据；</w:t>
      </w:r>
    </w:p>
    <w:p w14:paraId="265275B2">
      <w:pPr>
        <w:pStyle w:val="26"/>
        <w:snapToGrid w:val="0"/>
        <w:spacing w:line="360" w:lineRule="auto"/>
        <w:ind w:firstLine="420" w:firstLineChars="200"/>
        <w:rPr>
          <w:rFonts w:hint="eastAsia" w:ascii="宋体" w:hAnsi="宋体" w:eastAsia="宋体" w:cs="宋体"/>
          <w:bCs/>
          <w:color w:val="000000" w:themeColor="text1"/>
          <w:sz w:val="21"/>
          <w:highlight w:val="none"/>
          <w14:textFill>
            <w14:solidFill>
              <w14:schemeClr w14:val="tx1"/>
            </w14:solidFill>
          </w14:textFill>
        </w:rPr>
      </w:pPr>
      <w:r>
        <w:rPr>
          <w:rFonts w:hint="eastAsia" w:ascii="宋体" w:hAnsi="宋体" w:eastAsia="宋体" w:cs="宋体"/>
          <w:bCs/>
          <w:color w:val="000000" w:themeColor="text1"/>
          <w:sz w:val="21"/>
          <w:highlight w:val="none"/>
          <w14:textFill>
            <w14:solidFill>
              <w14:schemeClr w14:val="tx1"/>
            </w14:solidFill>
          </w14:textFill>
        </w:rPr>
        <w:t>（6）提出质疑的日期。</w:t>
      </w:r>
    </w:p>
    <w:p w14:paraId="621FFD4D">
      <w:pPr>
        <w:pStyle w:val="26"/>
        <w:snapToGrid w:val="0"/>
        <w:spacing w:line="360" w:lineRule="auto"/>
        <w:ind w:firstLine="420" w:firstLineChars="200"/>
        <w:rPr>
          <w:rFonts w:hint="eastAsia" w:ascii="宋体" w:hAnsi="宋体" w:eastAsia="宋体" w:cs="宋体"/>
          <w:bCs/>
          <w:color w:val="000000" w:themeColor="text1"/>
          <w:sz w:val="21"/>
          <w:highlight w:val="none"/>
          <w14:textFill>
            <w14:solidFill>
              <w14:schemeClr w14:val="tx1"/>
            </w14:solidFill>
          </w14:textFill>
        </w:rPr>
      </w:pPr>
      <w:r>
        <w:rPr>
          <w:rFonts w:hint="eastAsia" w:ascii="宋体" w:hAnsi="宋体" w:eastAsia="宋体" w:cs="宋体"/>
          <w:bCs/>
          <w:color w:val="000000" w:themeColor="text1"/>
          <w:sz w:val="21"/>
          <w:highlight w:val="none"/>
          <w14:textFill>
            <w14:solidFill>
              <w14:schemeClr w14:val="tx1"/>
            </w14:solidFill>
          </w14:textFill>
        </w:rPr>
        <w:t>供应商为自然人的，应当由本人签字；供应商为法人或者其他组织的，应当由法定代表人、主要负责人，或者其委托代理人签字或者盖章，并加盖公章。</w:t>
      </w:r>
    </w:p>
    <w:p w14:paraId="6EE30E1E">
      <w:pPr>
        <w:pStyle w:val="8"/>
        <w:keepNext w:val="0"/>
        <w:keepLines w:val="0"/>
        <w:snapToGrid w:val="0"/>
        <w:spacing w:before="0" w:after="0" w:line="360" w:lineRule="auto"/>
        <w:ind w:firstLine="420" w:firstLineChars="200"/>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3</w:t>
      </w:r>
      <w:r>
        <w:rPr>
          <w:rFonts w:hint="eastAsia" w:ascii="宋体" w:hAnsi="宋体" w:eastAsia="宋体" w:cs="宋体"/>
          <w:b w:val="0"/>
          <w:bCs/>
          <w:color w:val="000000" w:themeColor="text1"/>
          <w:sz w:val="21"/>
          <w:szCs w:val="21"/>
          <w:highlight w:val="none"/>
          <w14:textFill>
            <w14:solidFill>
              <w14:schemeClr w14:val="tx1"/>
            </w14:solidFill>
          </w14:textFill>
        </w:rPr>
        <w:t>8.</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color w:val="000000" w:themeColor="text1"/>
          <w:sz w:val="21"/>
          <w:szCs w:val="21"/>
          <w:highlight w:val="none"/>
          <w14:textFill>
            <w14:solidFill>
              <w14:schemeClr w14:val="tx1"/>
            </w14:solidFill>
          </w14:textFill>
        </w:rPr>
        <w:t>采购人、采购代理机构认为供应商质疑不成立，或者成立但未对中标结果构成影响的，继续开展采购活动；认为供应商质疑成立且影响或者可能影响中标结果的，按照下列情况处理：</w:t>
      </w:r>
    </w:p>
    <w:p w14:paraId="4D869E37">
      <w:pPr>
        <w:pStyle w:val="26"/>
        <w:snapToGrid w:val="0"/>
        <w:spacing w:line="360" w:lineRule="auto"/>
        <w:rPr>
          <w:rFonts w:hint="eastAsia" w:ascii="宋体" w:hAnsi="宋体" w:eastAsia="宋体" w:cs="宋体"/>
          <w:bCs/>
          <w:color w:val="000000" w:themeColor="text1"/>
          <w:sz w:val="21"/>
          <w:highlight w:val="none"/>
          <w14:textFill>
            <w14:solidFill>
              <w14:schemeClr w14:val="tx1"/>
            </w14:solidFill>
          </w14:textFill>
        </w:rPr>
      </w:pPr>
      <w:r>
        <w:rPr>
          <w:rFonts w:hint="eastAsia" w:ascii="宋体" w:hAnsi="宋体" w:eastAsia="宋体" w:cs="宋体"/>
          <w:bCs/>
          <w:color w:val="000000" w:themeColor="text1"/>
          <w:sz w:val="21"/>
          <w:highlight w:val="none"/>
          <w14:textFill>
            <w14:solidFill>
              <w14:schemeClr w14:val="tx1"/>
            </w14:solidFill>
          </w14:textFill>
        </w:rPr>
        <w:t>　　（1）对招标文件提出的质疑，依法通过澄清或者修改可以继续开展采购活动的，澄清或者修改招标文件后继续开展采购活动；否则应当修改招标文件后重新开展采购活动。</w:t>
      </w:r>
    </w:p>
    <w:p w14:paraId="664AE2F6">
      <w:pPr>
        <w:pStyle w:val="26"/>
        <w:snapToGrid w:val="0"/>
        <w:spacing w:line="360" w:lineRule="auto"/>
        <w:rPr>
          <w:rFonts w:hint="eastAsia" w:ascii="宋体" w:hAnsi="宋体" w:eastAsia="宋体" w:cs="宋体"/>
          <w:bCs/>
          <w:color w:val="000000" w:themeColor="text1"/>
          <w:sz w:val="21"/>
          <w:highlight w:val="none"/>
          <w14:textFill>
            <w14:solidFill>
              <w14:schemeClr w14:val="tx1"/>
            </w14:solidFill>
          </w14:textFill>
        </w:rPr>
      </w:pPr>
      <w:r>
        <w:rPr>
          <w:rFonts w:hint="eastAsia" w:ascii="宋体" w:hAnsi="宋体" w:eastAsia="宋体" w:cs="宋体"/>
          <w:bCs/>
          <w:color w:val="000000" w:themeColor="text1"/>
          <w:sz w:val="21"/>
          <w:highlight w:val="none"/>
          <w14:textFill>
            <w14:solidFill>
              <w14:schemeClr w14:val="tx1"/>
            </w14:solidFill>
          </w14:textFill>
        </w:rPr>
        <w:t>　　（2）对采购过程、中标结果提出的质疑，合格供应商符合法定数量时，可以从合格的中标候选人中另行确定中标供应商的，应当依法另行确定中标供应商；否则应当重新开展采购活动。</w:t>
      </w:r>
    </w:p>
    <w:p w14:paraId="56B138BB">
      <w:pPr>
        <w:pStyle w:val="26"/>
        <w:snapToGrid w:val="0"/>
        <w:spacing w:line="360" w:lineRule="auto"/>
        <w:ind w:firstLine="420"/>
        <w:rPr>
          <w:rFonts w:hint="eastAsia" w:ascii="宋体" w:hAnsi="宋体" w:eastAsia="宋体" w:cs="宋体"/>
          <w:bCs/>
          <w:color w:val="000000" w:themeColor="text1"/>
          <w:sz w:val="21"/>
          <w:highlight w:val="none"/>
          <w14:textFill>
            <w14:solidFill>
              <w14:schemeClr w14:val="tx1"/>
            </w14:solidFill>
          </w14:textFill>
        </w:rPr>
      </w:pPr>
      <w:r>
        <w:rPr>
          <w:rFonts w:hint="eastAsia" w:ascii="宋体" w:hAnsi="宋体" w:eastAsia="宋体" w:cs="宋体"/>
          <w:bCs/>
          <w:color w:val="000000" w:themeColor="text1"/>
          <w:sz w:val="21"/>
          <w:highlight w:val="none"/>
          <w14:textFill>
            <w14:solidFill>
              <w14:schemeClr w14:val="tx1"/>
            </w14:solidFill>
          </w14:textFill>
        </w:rPr>
        <w:t>质疑答复导致中标结果改变的，采购人或者采购代理机构应当将有关情况书面报告本级财政部门。</w:t>
      </w:r>
    </w:p>
    <w:p w14:paraId="60B0CD4B">
      <w:pPr>
        <w:spacing w:line="360" w:lineRule="auto"/>
        <w:ind w:firstLine="422" w:firstLineChars="200"/>
        <w:rPr>
          <w:rFonts w:hint="eastAsia" w:ascii="宋体" w:hAnsi="宋体" w:eastAsia="宋体" w:cs="宋体"/>
          <w:bCs/>
          <w:color w:val="auto"/>
          <w:highlight w:val="none"/>
          <w:lang w:val="en-US" w:eastAsia="zh-CN"/>
        </w:rPr>
      </w:pPr>
      <w:r>
        <w:rPr>
          <w:rFonts w:hint="eastAsia" w:ascii="宋体" w:hAnsi="宋体" w:cs="宋体"/>
          <w:b/>
          <w:color w:val="auto"/>
          <w:highlight w:val="none"/>
        </w:rPr>
        <w:t>38.</w:t>
      </w:r>
      <w:r>
        <w:rPr>
          <w:rFonts w:hint="eastAsia" w:ascii="宋体" w:hAnsi="宋体" w:cs="宋体"/>
          <w:b/>
          <w:color w:val="auto"/>
          <w:highlight w:val="none"/>
          <w:lang w:val="en-US" w:eastAsia="zh-CN"/>
        </w:rPr>
        <w:t>6</w:t>
      </w:r>
      <w:r>
        <w:rPr>
          <w:rFonts w:hint="eastAsia" w:ascii="宋体" w:hAnsi="宋体" w:cs="宋体"/>
          <w:bCs/>
          <w:color w:val="auto"/>
          <w:highlight w:val="none"/>
        </w:rPr>
        <w:t xml:space="preserve"> </w:t>
      </w:r>
      <w:r>
        <w:rPr>
          <w:rFonts w:hint="eastAsia" w:ascii="宋体" w:hAnsi="宋体" w:cs="宋体"/>
          <w:bCs/>
          <w:color w:val="auto"/>
          <w:highlight w:val="none"/>
          <w:lang w:val="en-US" w:eastAsia="zh-CN"/>
        </w:rPr>
        <w:t>投诉</w:t>
      </w:r>
    </w:p>
    <w:p w14:paraId="61AE5EFC">
      <w:pPr>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38.</w:t>
      </w:r>
      <w:r>
        <w:rPr>
          <w:rFonts w:hint="eastAsia" w:ascii="宋体" w:hAnsi="宋体" w:cs="宋体"/>
          <w:b/>
          <w:color w:val="auto"/>
          <w:highlight w:val="none"/>
          <w:lang w:val="en-US" w:eastAsia="zh-CN"/>
        </w:rPr>
        <w:t>6.1</w:t>
      </w:r>
      <w:r>
        <w:rPr>
          <w:rFonts w:hint="eastAsia" w:ascii="宋体" w:hAnsi="宋体" w:cs="宋体"/>
          <w:bCs/>
          <w:color w:val="auto"/>
          <w:highlight w:val="none"/>
        </w:rPr>
        <w:t>供应商认为采购文件、采购过程、中标和中标结果使自己的合法权益受到损害的，应当首先依法向采购人或采购人委托的</w:t>
      </w:r>
      <w:r>
        <w:rPr>
          <w:rFonts w:hint="eastAsia" w:ascii="宋体" w:hAnsi="宋体" w:cs="宋体"/>
          <w:color w:val="auto"/>
          <w:highlight w:val="none"/>
        </w:rPr>
        <w:t>采购代理机构</w:t>
      </w:r>
      <w:r>
        <w:rPr>
          <w:rFonts w:hint="eastAsia" w:ascii="宋体" w:hAnsi="宋体" w:cs="宋体"/>
          <w:bCs/>
          <w:color w:val="auto"/>
          <w:highlight w:val="none"/>
        </w:rPr>
        <w:t>提出质疑。对采购人、</w:t>
      </w:r>
      <w:r>
        <w:rPr>
          <w:rFonts w:hint="eastAsia" w:ascii="宋体" w:hAnsi="宋体" w:cs="宋体"/>
          <w:color w:val="auto"/>
          <w:highlight w:val="none"/>
        </w:rPr>
        <w:t>采购代理机构</w:t>
      </w:r>
      <w:r>
        <w:rPr>
          <w:rFonts w:hint="eastAsia" w:ascii="宋体" w:hAnsi="宋体" w:cs="宋体"/>
          <w:bCs/>
          <w:color w:val="auto"/>
          <w:highlight w:val="none"/>
        </w:rPr>
        <w:t>的答复不满意，或者采购人、</w:t>
      </w:r>
      <w:r>
        <w:rPr>
          <w:rFonts w:hint="eastAsia" w:ascii="宋体" w:hAnsi="宋体" w:cs="宋体"/>
          <w:color w:val="auto"/>
          <w:highlight w:val="none"/>
        </w:rPr>
        <w:t>采购代理机构</w:t>
      </w:r>
      <w:r>
        <w:rPr>
          <w:rFonts w:hint="eastAsia" w:ascii="宋体" w:hAnsi="宋体" w:cs="宋体"/>
          <w:bCs/>
          <w:color w:val="auto"/>
          <w:highlight w:val="none"/>
        </w:rPr>
        <w:t>未在规定期限内做出答复的，供应商可以在答复期满后15个工作日内向</w:t>
      </w:r>
      <w:r>
        <w:rPr>
          <w:rFonts w:hint="eastAsia" w:ascii="宋体" w:hAnsi="宋体"/>
          <w:bCs/>
          <w:color w:val="auto"/>
          <w:highlight w:val="none"/>
        </w:rPr>
        <w:t>广西壮族自治区财政厅政府采购监督管理</w:t>
      </w:r>
      <w:r>
        <w:rPr>
          <w:rFonts w:hint="eastAsia" w:ascii="宋体" w:hAnsi="宋体" w:cs="宋体"/>
          <w:bCs/>
          <w:color w:val="auto"/>
          <w:highlight w:val="none"/>
        </w:rPr>
        <w:t>部门提起投诉。</w:t>
      </w:r>
    </w:p>
    <w:p w14:paraId="5B08E39E">
      <w:pPr>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38.</w:t>
      </w:r>
      <w:r>
        <w:rPr>
          <w:rFonts w:hint="eastAsia" w:ascii="宋体" w:hAnsi="宋体" w:cs="宋体"/>
          <w:b/>
          <w:color w:val="auto"/>
          <w:highlight w:val="none"/>
          <w:lang w:val="en-US" w:eastAsia="zh-CN"/>
        </w:rPr>
        <w:t>6.</w:t>
      </w:r>
      <w:r>
        <w:rPr>
          <w:rFonts w:hint="eastAsia" w:ascii="宋体" w:hAnsi="宋体" w:cs="宋体"/>
          <w:b/>
          <w:color w:val="auto"/>
          <w:highlight w:val="none"/>
        </w:rPr>
        <w:t xml:space="preserve">2 </w:t>
      </w:r>
      <w:r>
        <w:rPr>
          <w:rFonts w:hint="eastAsia" w:ascii="宋体" w:hAnsi="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cs="宋体"/>
          <w:color w:val="auto"/>
          <w:szCs w:val="21"/>
          <w:highlight w:val="none"/>
        </w:rPr>
        <w:t>应当包括下列主要内容</w:t>
      </w:r>
      <w:r>
        <w:rPr>
          <w:rFonts w:hint="eastAsia" w:ascii="宋体" w:hAnsi="宋体" w:cs="宋体"/>
          <w:color w:val="auto"/>
          <w:highlight w:val="none"/>
        </w:rPr>
        <w:t>（如材料中有外文资料应同时附上对应的中文译本）</w:t>
      </w:r>
      <w:r>
        <w:rPr>
          <w:rFonts w:hint="eastAsia" w:ascii="宋体" w:hAnsi="宋体" w:cs="宋体"/>
          <w:bCs/>
          <w:color w:val="auto"/>
          <w:highlight w:val="none"/>
        </w:rPr>
        <w:t>（投诉书格式后附）</w:t>
      </w:r>
      <w:r>
        <w:rPr>
          <w:rFonts w:hint="eastAsia" w:ascii="宋体" w:hAnsi="宋体" w:cs="宋体"/>
          <w:color w:val="auto"/>
          <w:szCs w:val="21"/>
          <w:highlight w:val="none"/>
        </w:rPr>
        <w:t>：</w:t>
      </w:r>
    </w:p>
    <w:p w14:paraId="3709E3F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（1）投诉人和被投诉人的名称、地址、邮编、联系人及联系电话等； </w:t>
      </w:r>
    </w:p>
    <w:p w14:paraId="16AA15F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（2）质疑和质疑答复情况及相关证明材料； </w:t>
      </w:r>
    </w:p>
    <w:p w14:paraId="06532C2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（3）具体、明确的投诉事项和与投诉事项相关的投诉请求；</w:t>
      </w:r>
    </w:p>
    <w:p w14:paraId="1899D82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170AF72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（5）法律依据；</w:t>
      </w:r>
    </w:p>
    <w:p w14:paraId="10FC4C1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（6）提起投诉的日期。</w:t>
      </w:r>
    </w:p>
    <w:p w14:paraId="5437249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（7）附件材料：营业执照副本内页复印件（要求证件有效并清晰反映企业法人经营范围；近期连续三个月依法缴纳税收和在职职工社会保障资金证明材料（复印件）。</w:t>
      </w:r>
      <w:r>
        <w:rPr>
          <w:rFonts w:hint="eastAsia" w:ascii="宋体" w:hAnsi="宋体" w:cs="宋体"/>
          <w:color w:val="auto"/>
          <w:highlight w:val="none"/>
        </w:rPr>
        <w:tab/>
      </w:r>
    </w:p>
    <w:p w14:paraId="00FD1168">
      <w:pPr>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38.</w:t>
      </w:r>
      <w:r>
        <w:rPr>
          <w:rFonts w:hint="eastAsia" w:ascii="宋体" w:hAnsi="宋体" w:cs="宋体"/>
          <w:b/>
          <w:color w:val="auto"/>
          <w:highlight w:val="none"/>
          <w:lang w:val="en-US" w:eastAsia="zh-CN"/>
        </w:rPr>
        <w:t>6.</w:t>
      </w:r>
      <w:r>
        <w:rPr>
          <w:rFonts w:hint="eastAsia" w:ascii="宋体" w:hAnsi="宋体" w:cs="宋体"/>
          <w:b/>
          <w:color w:val="auto"/>
          <w:highlight w:val="none"/>
        </w:rPr>
        <w:t xml:space="preserve">3  </w:t>
      </w:r>
      <w:r>
        <w:rPr>
          <w:rFonts w:hint="eastAsia" w:ascii="宋体" w:hAnsi="宋体" w:cs="宋体"/>
          <w:color w:val="auto"/>
          <w:highlight w:val="none"/>
        </w:rPr>
        <w:t>投诉人可以委托代理人办理投诉事务。</w:t>
      </w:r>
      <w:r>
        <w:rPr>
          <w:rFonts w:hint="eastAsia" w:ascii="宋体" w:hAnsi="宋体" w:cs="宋体"/>
          <w:bCs/>
          <w:color w:val="auto"/>
          <w:highlight w:val="none"/>
        </w:rPr>
        <w:t>委托代理人应熟悉相关业务情况。</w:t>
      </w:r>
      <w:r>
        <w:rPr>
          <w:rFonts w:hint="eastAsia" w:ascii="宋体" w:hAnsi="宋体" w:cs="宋体"/>
          <w:color w:val="auto"/>
          <w:highlight w:val="none"/>
        </w:rPr>
        <w:t>代理人办理投诉事务时，除提交投诉书外，还应当提交投诉人的授权委托书和委托代理人身份证明复印件。</w:t>
      </w:r>
    </w:p>
    <w:p w14:paraId="00C0CA5A">
      <w:pPr>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w:t>
      </w:r>
      <w:r>
        <w:rPr>
          <w:rFonts w:hint="eastAsia" w:ascii="宋体" w:hAnsi="宋体" w:cs="宋体"/>
          <w:b/>
          <w:color w:val="auto"/>
          <w:highlight w:val="none"/>
          <w:lang w:val="en-US" w:eastAsia="zh-CN"/>
        </w:rPr>
        <w:t>6.</w:t>
      </w:r>
      <w:r>
        <w:rPr>
          <w:rFonts w:hint="eastAsia" w:ascii="宋体" w:hAnsi="宋体" w:cs="宋体"/>
          <w:b/>
          <w:color w:val="auto"/>
          <w:highlight w:val="none"/>
        </w:rPr>
        <w:t>4</w:t>
      </w:r>
      <w:r>
        <w:rPr>
          <w:rFonts w:hint="eastAsia" w:ascii="宋体" w:hAnsi="宋体" w:cs="宋体"/>
          <w:color w:val="auto"/>
          <w:highlight w:val="none"/>
        </w:rPr>
        <w:t xml:space="preserve">  投诉人提起投诉应当符合下列条件：</w:t>
      </w:r>
    </w:p>
    <w:p w14:paraId="2F4FB2B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（1）投诉人是参与所投诉政府采购活动的供应商；</w:t>
      </w:r>
    </w:p>
    <w:p w14:paraId="53AEAB7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（2）提起投诉前已依法进行质疑；</w:t>
      </w:r>
    </w:p>
    <w:p w14:paraId="5FCCC43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（3）投诉书内容符合本章第38.3.2项的规定；</w:t>
      </w:r>
    </w:p>
    <w:p w14:paraId="380057A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（4）在投诉有效期限内提起投诉；</w:t>
      </w:r>
    </w:p>
    <w:p w14:paraId="21F2D9C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（5）属于广西壮族自治区财政厅政府采购监督管理部门管辖；</w:t>
      </w:r>
    </w:p>
    <w:p w14:paraId="60055BD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（6）同一投诉事项未经</w:t>
      </w:r>
      <w:r>
        <w:rPr>
          <w:rFonts w:hint="eastAsia" w:ascii="宋体" w:hAnsi="宋体" w:cs="宋体"/>
          <w:bCs/>
          <w:color w:val="auto"/>
          <w:highlight w:val="none"/>
        </w:rPr>
        <w:t>广西壮族自治区财政厅政府采购监督管理部门</w:t>
      </w:r>
      <w:r>
        <w:rPr>
          <w:rFonts w:hint="eastAsia" w:ascii="宋体" w:hAnsi="宋体" w:cs="宋体"/>
          <w:color w:val="auto"/>
          <w:highlight w:val="none"/>
        </w:rPr>
        <w:t>投诉处理；</w:t>
      </w:r>
    </w:p>
    <w:p w14:paraId="42CB55C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（7）国务院财政部门规定的其他条件。</w:t>
      </w:r>
    </w:p>
    <w:p w14:paraId="452233AB">
      <w:pPr>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w:t>
      </w:r>
      <w:r>
        <w:rPr>
          <w:rFonts w:hint="eastAsia" w:ascii="宋体" w:hAnsi="宋体" w:cs="宋体"/>
          <w:b/>
          <w:color w:val="auto"/>
          <w:highlight w:val="none"/>
          <w:lang w:val="en-US" w:eastAsia="zh-CN"/>
        </w:rPr>
        <w:t>6.</w:t>
      </w:r>
      <w:r>
        <w:rPr>
          <w:rFonts w:hint="eastAsia" w:ascii="宋体" w:hAnsi="宋体" w:cs="宋体"/>
          <w:b/>
          <w:color w:val="auto"/>
          <w:highlight w:val="none"/>
        </w:rPr>
        <w:t>5</w:t>
      </w:r>
      <w:r>
        <w:rPr>
          <w:rFonts w:hint="eastAsia" w:ascii="宋体" w:hAnsi="宋体" w:cs="宋体"/>
          <w:color w:val="auto"/>
          <w:highlight w:val="none"/>
        </w:rPr>
        <w:t xml:space="preserve">  广西壮族自治区财政厅政府采购监督管理部门自受理投诉之日起30个工作日内，对投诉事项作出处理决定，并以书面形式通知投诉人、被投诉人及其他与投诉处理结果有利害关系的政府采购当事人。并将投诉结果在http://zfcg.gxzf.gov.cn (广西壮族自治区政府采购网)发布。</w:t>
      </w:r>
    </w:p>
    <w:p w14:paraId="6E6B4BDE">
      <w:pPr>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w:t>
      </w:r>
      <w:r>
        <w:rPr>
          <w:rFonts w:hint="eastAsia" w:ascii="宋体" w:hAnsi="宋体" w:cs="宋体"/>
          <w:b/>
          <w:color w:val="auto"/>
          <w:highlight w:val="none"/>
          <w:lang w:val="en-US" w:eastAsia="zh-CN"/>
        </w:rPr>
        <w:t>6.</w:t>
      </w:r>
      <w:r>
        <w:rPr>
          <w:rFonts w:hint="eastAsia" w:ascii="宋体" w:hAnsi="宋体" w:cs="宋体"/>
          <w:b/>
          <w:color w:val="auto"/>
          <w:highlight w:val="none"/>
        </w:rPr>
        <w:t>6</w:t>
      </w:r>
      <w:r>
        <w:rPr>
          <w:rFonts w:hint="eastAsia" w:ascii="宋体" w:hAnsi="宋体" w:cs="宋体"/>
          <w:color w:val="auto"/>
          <w:highlight w:val="none"/>
        </w:rPr>
        <w:t xml:space="preserve">  广西壮族自治区财政厅政府采购监督管理部门在处理投诉事项期间，可以视具体情况暂停采购活动。</w:t>
      </w:r>
    </w:p>
    <w:p w14:paraId="603DE123">
      <w:pPr>
        <w:pStyle w:val="26"/>
        <w:snapToGrid w:val="0"/>
        <w:spacing w:line="360" w:lineRule="auto"/>
        <w:ind w:firstLine="400" w:firstLineChars="200"/>
        <w:rPr>
          <w:rFonts w:hint="eastAsia" w:ascii="宋体" w:hAnsi="宋体" w:eastAsia="宋体" w:cs="宋体"/>
          <w:color w:val="000000" w:themeColor="text1"/>
          <w:highlight w:val="none"/>
          <w14:textFill>
            <w14:solidFill>
              <w14:schemeClr w14:val="tx1"/>
            </w14:solidFill>
          </w14:textFill>
        </w:rPr>
      </w:pPr>
    </w:p>
    <w:p w14:paraId="75BC16D5">
      <w:pPr>
        <w:snapToGrid w:val="0"/>
        <w:spacing w:line="360" w:lineRule="auto"/>
        <w:ind w:left="120" w:leftChars="57" w:firstLine="482" w:firstLineChars="1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八、验收</w:t>
      </w:r>
    </w:p>
    <w:p w14:paraId="7878090E">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39.验收</w:t>
      </w:r>
    </w:p>
    <w:p w14:paraId="5D9303DC">
      <w:pPr>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7902A5B">
      <w:pPr>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39.2采购人可以邀请参加本项目的其他投标人或者第三方机构参与验收。参与验收的投标人或者第三方机构的意见作为验收书的参考资料一并存档。</w:t>
      </w:r>
    </w:p>
    <w:p w14:paraId="0150AAC4">
      <w:pPr>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74C5AC">
      <w:pPr>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66EAB23">
      <w:pPr>
        <w:rPr>
          <w:rFonts w:hint="eastAsia" w:ascii="宋体" w:hAnsi="宋体" w:eastAsia="宋体" w:cs="宋体"/>
          <w:color w:val="000000" w:themeColor="text1"/>
          <w:highlight w:val="none"/>
          <w14:textFill>
            <w14:solidFill>
              <w14:schemeClr w14:val="tx1"/>
            </w14:solidFill>
          </w14:textFill>
        </w:rPr>
      </w:pPr>
    </w:p>
    <w:p w14:paraId="359BF1F6">
      <w:pPr>
        <w:pStyle w:val="6"/>
        <w:keepNext w:val="0"/>
        <w:keepLines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九</w:t>
      </w:r>
      <w:r>
        <w:rPr>
          <w:rFonts w:hint="eastAsia" w:ascii="宋体" w:hAnsi="宋体" w:eastAsia="宋体" w:cs="宋体"/>
          <w:color w:val="000000" w:themeColor="text1"/>
          <w:highlight w:val="none"/>
          <w14:textFill>
            <w14:solidFill>
              <w14:schemeClr w14:val="tx1"/>
            </w14:solidFill>
          </w14:textFill>
        </w:rPr>
        <w:t>、其他事项</w:t>
      </w:r>
    </w:p>
    <w:p w14:paraId="02DA1441">
      <w:pPr>
        <w:pStyle w:val="8"/>
        <w:keepNext w:val="0"/>
        <w:keepLines w:val="0"/>
        <w:spacing w:before="0" w:after="0" w:line="360" w:lineRule="auto"/>
        <w:ind w:left="420" w:leftChars="200"/>
        <w:rPr>
          <w:rFonts w:hint="eastAsia" w:ascii="宋体" w:hAnsi="宋体" w:eastAsia="宋体" w:cs="宋体"/>
          <w:color w:val="000000" w:themeColor="text1"/>
          <w:sz w:val="24"/>
          <w:highlight w:val="none"/>
          <w14:textFill>
            <w14:solidFill>
              <w14:schemeClr w14:val="tx1"/>
            </w14:solidFill>
          </w14:textFill>
        </w:rPr>
      </w:pPr>
      <w:bookmarkStart w:id="132" w:name="_42.代理服务费"/>
      <w:bookmarkEnd w:id="132"/>
      <w:r>
        <w:rPr>
          <w:rFonts w:hint="eastAsia" w:ascii="宋体" w:hAnsi="宋体" w:eastAsia="宋体" w:cs="宋体"/>
          <w:color w:val="000000" w:themeColor="text1"/>
          <w:sz w:val="24"/>
          <w:highlight w:val="none"/>
          <w:lang w:val="en-US" w:eastAsia="zh-CN"/>
          <w14:textFill>
            <w14:solidFill>
              <w14:schemeClr w14:val="tx1"/>
            </w14:solidFill>
          </w14:textFill>
        </w:rPr>
        <w:t>40</w:t>
      </w:r>
      <w:r>
        <w:rPr>
          <w:rFonts w:hint="eastAsia" w:ascii="宋体" w:hAnsi="宋体" w:eastAsia="宋体" w:cs="宋体"/>
          <w:color w:val="000000" w:themeColor="text1"/>
          <w:sz w:val="24"/>
          <w:highlight w:val="none"/>
          <w14:textFill>
            <w14:solidFill>
              <w14:schemeClr w14:val="tx1"/>
            </w14:solidFill>
          </w14:textFill>
        </w:rPr>
        <w:t>.代理服务费</w:t>
      </w:r>
    </w:p>
    <w:p w14:paraId="43A742F4">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val="en-US" w:eastAsia="zh-CN"/>
          <w14:textFill>
            <w14:solidFill>
              <w14:schemeClr w14:val="tx1"/>
            </w14:solidFill>
          </w14:textFill>
        </w:rPr>
        <w:t>40</w:t>
      </w:r>
      <w:r>
        <w:rPr>
          <w:rFonts w:hint="eastAsia" w:ascii="宋体" w:hAnsi="宋体" w:eastAsia="宋体" w:cs="宋体"/>
          <w:color w:val="000000" w:themeColor="text1"/>
          <w:sz w:val="21"/>
          <w:highlight w:val="none"/>
          <w14:textFill>
            <w14:solidFill>
              <w14:schemeClr w14:val="tx1"/>
            </w14:solidFill>
          </w14:textFill>
        </w:rPr>
        <w:t>.1代理服务收取标准及缴费账户详见“投标人须知前附表”，投标人为联合体的，可以由联合体中的一方或者多方共同交纳代理服务费。</w:t>
      </w:r>
    </w:p>
    <w:p w14:paraId="0BB58435">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val="en-US" w:eastAsia="zh-CN"/>
          <w14:textFill>
            <w14:solidFill>
              <w14:schemeClr w14:val="tx1"/>
            </w14:solidFill>
          </w14:textFill>
        </w:rPr>
        <w:t>40</w:t>
      </w:r>
      <w:r>
        <w:rPr>
          <w:rFonts w:hint="eastAsia" w:ascii="宋体" w:hAnsi="宋体" w:eastAsia="宋体" w:cs="宋体"/>
          <w:color w:val="000000" w:themeColor="text1"/>
          <w:sz w:val="21"/>
          <w:highlight w:val="none"/>
          <w14:textFill>
            <w14:solidFill>
              <w14:schemeClr w14:val="tx1"/>
            </w14:solidFill>
          </w14:textFill>
        </w:rPr>
        <w:t>.2代理服务收费标准：</w:t>
      </w:r>
    </w:p>
    <w:p w14:paraId="013ACEA4">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45A8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29071102">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费率</w:t>
            </w:r>
          </w:p>
          <w:p w14:paraId="67AB2856">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中标金额</w:t>
            </w:r>
          </w:p>
        </w:tc>
        <w:tc>
          <w:tcPr>
            <w:tcW w:w="1659" w:type="dxa"/>
            <w:vAlign w:val="center"/>
          </w:tcPr>
          <w:p w14:paraId="78A20E24">
            <w:pPr>
              <w:spacing w:line="360" w:lineRule="auto"/>
              <w:ind w:firstLine="105" w:firstLineChars="5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货物招标</w:t>
            </w:r>
          </w:p>
        </w:tc>
        <w:tc>
          <w:tcPr>
            <w:tcW w:w="1687" w:type="dxa"/>
            <w:vAlign w:val="center"/>
          </w:tcPr>
          <w:p w14:paraId="7CD61D74">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服务招标</w:t>
            </w:r>
          </w:p>
        </w:tc>
        <w:tc>
          <w:tcPr>
            <w:tcW w:w="1659" w:type="dxa"/>
            <w:vAlign w:val="center"/>
          </w:tcPr>
          <w:p w14:paraId="41C127E4">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工程招标</w:t>
            </w:r>
          </w:p>
        </w:tc>
      </w:tr>
      <w:tr w14:paraId="60F6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E46B53A">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100万元以下</w:t>
            </w:r>
          </w:p>
        </w:tc>
        <w:tc>
          <w:tcPr>
            <w:tcW w:w="1659" w:type="dxa"/>
          </w:tcPr>
          <w:p w14:paraId="3BE7E94F">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w:t>
            </w:r>
          </w:p>
        </w:tc>
        <w:tc>
          <w:tcPr>
            <w:tcW w:w="1687" w:type="dxa"/>
          </w:tcPr>
          <w:p w14:paraId="1797C470">
            <w:pPr>
              <w:spacing w:line="360" w:lineRule="auto"/>
              <w:ind w:firstLine="210" w:firstLineChars="1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w:t>
            </w:r>
          </w:p>
        </w:tc>
        <w:tc>
          <w:tcPr>
            <w:tcW w:w="1659" w:type="dxa"/>
          </w:tcPr>
          <w:p w14:paraId="4D4B7A9A">
            <w:pPr>
              <w:spacing w:line="360" w:lineRule="auto"/>
              <w:ind w:firstLine="210" w:firstLineChars="1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w:t>
            </w:r>
          </w:p>
        </w:tc>
      </w:tr>
      <w:tr w14:paraId="5BFA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EB7418C">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100～500万元</w:t>
            </w:r>
          </w:p>
        </w:tc>
        <w:tc>
          <w:tcPr>
            <w:tcW w:w="1659" w:type="dxa"/>
          </w:tcPr>
          <w:p w14:paraId="2DFAF39E">
            <w:pPr>
              <w:spacing w:line="360" w:lineRule="auto"/>
              <w:ind w:firstLine="210" w:firstLineChars="1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w:t>
            </w:r>
          </w:p>
        </w:tc>
        <w:tc>
          <w:tcPr>
            <w:tcW w:w="1687" w:type="dxa"/>
          </w:tcPr>
          <w:p w14:paraId="73D28076">
            <w:pPr>
              <w:spacing w:line="360" w:lineRule="auto"/>
              <w:ind w:firstLine="210" w:firstLineChars="1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0.8%</w:t>
            </w:r>
          </w:p>
        </w:tc>
        <w:tc>
          <w:tcPr>
            <w:tcW w:w="1659" w:type="dxa"/>
          </w:tcPr>
          <w:p w14:paraId="032F0B2E">
            <w:pPr>
              <w:spacing w:line="360" w:lineRule="auto"/>
              <w:ind w:firstLine="210" w:firstLineChars="1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0.7%</w:t>
            </w:r>
          </w:p>
        </w:tc>
      </w:tr>
      <w:tr w14:paraId="2E54A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36B81F9">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500～1000万元</w:t>
            </w:r>
          </w:p>
        </w:tc>
        <w:tc>
          <w:tcPr>
            <w:tcW w:w="1659" w:type="dxa"/>
          </w:tcPr>
          <w:p w14:paraId="085DD7BE">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0.8%</w:t>
            </w:r>
          </w:p>
        </w:tc>
        <w:tc>
          <w:tcPr>
            <w:tcW w:w="1687" w:type="dxa"/>
          </w:tcPr>
          <w:p w14:paraId="4BC3061C">
            <w:pPr>
              <w:spacing w:line="360" w:lineRule="auto"/>
              <w:ind w:firstLine="210" w:firstLineChars="1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0.45%</w:t>
            </w:r>
          </w:p>
        </w:tc>
        <w:tc>
          <w:tcPr>
            <w:tcW w:w="1659" w:type="dxa"/>
          </w:tcPr>
          <w:p w14:paraId="7EFF9617">
            <w:pPr>
              <w:spacing w:line="360" w:lineRule="auto"/>
              <w:ind w:firstLine="210" w:firstLineChars="1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0.55%</w:t>
            </w:r>
          </w:p>
        </w:tc>
      </w:tr>
      <w:tr w14:paraId="3FC30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F970258">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1000～5000万元</w:t>
            </w:r>
          </w:p>
        </w:tc>
        <w:tc>
          <w:tcPr>
            <w:tcW w:w="1659" w:type="dxa"/>
          </w:tcPr>
          <w:p w14:paraId="3190E6E8">
            <w:pPr>
              <w:spacing w:line="360" w:lineRule="auto"/>
              <w:ind w:firstLine="210" w:firstLineChars="1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0.5%</w:t>
            </w:r>
          </w:p>
        </w:tc>
        <w:tc>
          <w:tcPr>
            <w:tcW w:w="1687" w:type="dxa"/>
          </w:tcPr>
          <w:p w14:paraId="7D258DE3">
            <w:pPr>
              <w:spacing w:line="360" w:lineRule="auto"/>
              <w:ind w:firstLine="210" w:firstLineChars="1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0.25%</w:t>
            </w:r>
          </w:p>
        </w:tc>
        <w:tc>
          <w:tcPr>
            <w:tcW w:w="1659" w:type="dxa"/>
          </w:tcPr>
          <w:p w14:paraId="21F8FE69">
            <w:pPr>
              <w:spacing w:line="360" w:lineRule="auto"/>
              <w:ind w:firstLine="210" w:firstLineChars="1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0.35%</w:t>
            </w:r>
          </w:p>
        </w:tc>
      </w:tr>
      <w:tr w14:paraId="79A2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31FF5AD">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5000万元～1亿元</w:t>
            </w:r>
          </w:p>
        </w:tc>
        <w:tc>
          <w:tcPr>
            <w:tcW w:w="1659" w:type="dxa"/>
          </w:tcPr>
          <w:p w14:paraId="2BD2F4F9">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0.25% </w:t>
            </w:r>
          </w:p>
        </w:tc>
        <w:tc>
          <w:tcPr>
            <w:tcW w:w="1687" w:type="dxa"/>
          </w:tcPr>
          <w:p w14:paraId="1C823887">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0.1%</w:t>
            </w:r>
          </w:p>
        </w:tc>
        <w:tc>
          <w:tcPr>
            <w:tcW w:w="1659" w:type="dxa"/>
          </w:tcPr>
          <w:p w14:paraId="6ECD3D5D">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0.2%</w:t>
            </w:r>
          </w:p>
        </w:tc>
      </w:tr>
    </w:tbl>
    <w:p w14:paraId="20EAB42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w:t>
      </w:r>
    </w:p>
    <w:p w14:paraId="5D90B847">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（1）按本表费率计算的收费为采购代理的收费基准价格；</w:t>
      </w:r>
    </w:p>
    <w:p w14:paraId="12964FC6">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（2）采购代理收费按差额定率累进法计算。</w:t>
      </w:r>
    </w:p>
    <w:p w14:paraId="1021C874">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例如：某货物采购代理业务中标金额或者暂定价为200万元，计算采购代理收费额如下：</w:t>
      </w:r>
    </w:p>
    <w:p w14:paraId="4FB17B63">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 万元×l.5 ％＝ 1.5 万元</w:t>
      </w:r>
    </w:p>
    <w:p w14:paraId="5554ECEF">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200 － 100 ）万元 ×1.1％＝1.1万元</w:t>
      </w:r>
    </w:p>
    <w:p w14:paraId="0C57DF4E">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合计收费＝ 1.5+1.1＝ 2.6 （万元）</w:t>
      </w:r>
    </w:p>
    <w:p w14:paraId="580EF9C4">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4</w:t>
      </w:r>
      <w:r>
        <w:rPr>
          <w:rFonts w:hint="eastAsia" w:ascii="宋体" w:hAnsi="宋体" w:eastAsia="宋体" w:cs="宋体"/>
          <w:b/>
          <w:color w:val="000000" w:themeColor="text1"/>
          <w:sz w:val="24"/>
          <w:highlight w:val="none"/>
          <w:lang w:val="en-US" w:eastAsia="zh-CN"/>
          <w14:textFill>
            <w14:solidFill>
              <w14:schemeClr w14:val="tx1"/>
            </w14:solidFill>
          </w14:textFill>
        </w:rPr>
        <w:t>1</w:t>
      </w:r>
      <w:r>
        <w:rPr>
          <w:rFonts w:hint="eastAsia" w:ascii="宋体" w:hAnsi="宋体" w:eastAsia="宋体" w:cs="宋体"/>
          <w:b/>
          <w:color w:val="000000" w:themeColor="text1"/>
          <w:sz w:val="24"/>
          <w:highlight w:val="none"/>
          <w14:textFill>
            <w14:solidFill>
              <w14:schemeClr w14:val="tx1"/>
            </w14:solidFill>
          </w14:textFill>
        </w:rPr>
        <w:t>. 需要补充的其他内容</w:t>
      </w:r>
    </w:p>
    <w:p w14:paraId="43863319">
      <w:pPr>
        <w:pStyle w:val="26"/>
        <w:spacing w:line="360" w:lineRule="auto"/>
        <w:ind w:firstLine="420" w:firstLineChars="200"/>
        <w:contextualSpacing/>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4</w:t>
      </w:r>
      <w:r>
        <w:rPr>
          <w:rFonts w:hint="eastAsia" w:ascii="宋体" w:hAnsi="宋体" w:eastAsia="宋体" w:cs="宋体"/>
          <w:color w:val="000000" w:themeColor="text1"/>
          <w:sz w:val="21"/>
          <w:highlight w:val="none"/>
          <w:lang w:val="en-US" w:eastAsia="zh-CN"/>
          <w14:textFill>
            <w14:solidFill>
              <w14:schemeClr w14:val="tx1"/>
            </w14:solidFill>
          </w14:textFill>
        </w:rPr>
        <w:t>1</w:t>
      </w:r>
      <w:r>
        <w:rPr>
          <w:rFonts w:hint="eastAsia" w:ascii="宋体" w:hAnsi="宋体" w:eastAsia="宋体" w:cs="宋体"/>
          <w:color w:val="000000" w:themeColor="text1"/>
          <w:sz w:val="21"/>
          <w:highlight w:val="none"/>
          <w14:textFill>
            <w14:solidFill>
              <w14:schemeClr w14:val="tx1"/>
            </w14:solidFill>
          </w14:textFill>
        </w:rPr>
        <w:t>.1本招标文件解释规则详见“投标人须知前附表”。</w:t>
      </w:r>
    </w:p>
    <w:p w14:paraId="2C78F8C1">
      <w:pPr>
        <w:pStyle w:val="26"/>
        <w:spacing w:line="360" w:lineRule="auto"/>
        <w:ind w:firstLine="420" w:firstLineChars="200"/>
        <w:contextualSpacing/>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4</w:t>
      </w:r>
      <w:r>
        <w:rPr>
          <w:rFonts w:hint="eastAsia" w:ascii="宋体" w:hAnsi="宋体" w:eastAsia="宋体" w:cs="宋体"/>
          <w:color w:val="000000" w:themeColor="text1"/>
          <w:sz w:val="21"/>
          <w:highlight w:val="none"/>
          <w:lang w:val="en-US" w:eastAsia="zh-CN"/>
          <w14:textFill>
            <w14:solidFill>
              <w14:schemeClr w14:val="tx1"/>
            </w14:solidFill>
          </w14:textFill>
        </w:rPr>
        <w:t>1</w:t>
      </w:r>
      <w:r>
        <w:rPr>
          <w:rFonts w:hint="eastAsia" w:ascii="宋体" w:hAnsi="宋体" w:eastAsia="宋体" w:cs="宋体"/>
          <w:color w:val="000000" w:themeColor="text1"/>
          <w:sz w:val="21"/>
          <w:highlight w:val="none"/>
          <w14:textFill>
            <w14:solidFill>
              <w14:schemeClr w14:val="tx1"/>
            </w14:solidFill>
          </w14:textFill>
        </w:rPr>
        <w:t>.2 其他事项详见“投标人须知前附表”。</w:t>
      </w:r>
    </w:p>
    <w:p w14:paraId="6F8D7F57">
      <w:pPr>
        <w:pStyle w:val="26"/>
        <w:spacing w:line="360" w:lineRule="auto"/>
        <w:ind w:firstLine="420" w:firstLineChars="200"/>
        <w:contextualSpacing/>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4</w:t>
      </w:r>
      <w:r>
        <w:rPr>
          <w:rFonts w:hint="eastAsia" w:ascii="宋体" w:hAnsi="宋体" w:eastAsia="宋体" w:cs="宋体"/>
          <w:color w:val="000000" w:themeColor="text1"/>
          <w:sz w:val="21"/>
          <w:highlight w:val="none"/>
          <w:lang w:val="en-US" w:eastAsia="zh-CN"/>
          <w14:textFill>
            <w14:solidFill>
              <w14:schemeClr w14:val="tx1"/>
            </w14:solidFill>
          </w14:textFill>
        </w:rPr>
        <w:t>1</w:t>
      </w:r>
      <w:r>
        <w:rPr>
          <w:rFonts w:hint="eastAsia" w:ascii="宋体" w:hAnsi="宋体" w:eastAsia="宋体" w:cs="宋体"/>
          <w:color w:val="000000" w:themeColor="text1"/>
          <w:sz w:val="21"/>
          <w:highlight w:val="none"/>
          <w14:textFill>
            <w14:solidFill>
              <w14:schemeClr w14:val="tx1"/>
            </w14:solidFill>
          </w14:textFill>
        </w:rPr>
        <w:t>.3</w:t>
      </w:r>
      <w:bookmarkStart w:id="133" w:name="_Hlk65857140"/>
      <w:r>
        <w:rPr>
          <w:rFonts w:hint="eastAsia" w:ascii="宋体" w:hAnsi="宋体" w:eastAsia="宋体" w:cs="宋体"/>
          <w:color w:val="000000" w:themeColor="text1"/>
          <w:sz w:val="21"/>
          <w:highlight w:val="none"/>
          <w14:textFill>
            <w14:solidFill>
              <w14:schemeClr w14:val="tx1"/>
            </w14:solidFill>
          </w14:textFill>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0301AFF0">
      <w:pPr>
        <w:pStyle w:val="26"/>
        <w:spacing w:line="360" w:lineRule="auto"/>
        <w:ind w:firstLine="420" w:firstLineChars="200"/>
        <w:contextualSpacing/>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（1）在货物采购项目中，货物由中小企业制造，即货物由中小企业生产且使用该中小企业商号或者注册商标，不对其中涉及的工程承建商和服务的承接商作出要求；</w:t>
      </w:r>
    </w:p>
    <w:p w14:paraId="7BA2F826">
      <w:pPr>
        <w:pStyle w:val="26"/>
        <w:spacing w:line="360" w:lineRule="auto"/>
        <w:ind w:firstLine="420" w:firstLineChars="200"/>
        <w:contextualSpacing/>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（2）在工程采购项目中，工程由中小企业承建，即工程施工单位为中小企业，不对其中涉及的货物的制造商和服务的承接商作出要求；</w:t>
      </w:r>
    </w:p>
    <w:p w14:paraId="74C67AB3">
      <w:pPr>
        <w:pStyle w:val="26"/>
        <w:spacing w:line="360" w:lineRule="auto"/>
        <w:ind w:firstLine="420" w:firstLineChars="200"/>
        <w:contextualSpacing/>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（3）在服务采购项目中，服务由中小企业承接，即提供服务的人员为中小企业依照《中华人民共和国劳动合同法》订立劳动合同的从业人员，不对其中涉及的货物的制造商和工程承建商作出要求。</w:t>
      </w:r>
    </w:p>
    <w:p w14:paraId="2E67C7F5">
      <w:pPr>
        <w:pStyle w:val="26"/>
        <w:spacing w:line="360" w:lineRule="auto"/>
        <w:ind w:firstLine="420" w:firstLineChars="200"/>
        <w:contextualSpacing/>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700952E0">
      <w:pPr>
        <w:pStyle w:val="26"/>
        <w:spacing w:line="360" w:lineRule="auto"/>
        <w:ind w:firstLine="420" w:firstLineChars="200"/>
        <w:contextualSpacing/>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依据本招标文件规定享受扶持政策获得政府采购合同的，小微企业不得将合同分包给大中型企业，中型企业不得将合同分包给大型企业。</w:t>
      </w:r>
      <w:bookmarkEnd w:id="133"/>
    </w:p>
    <w:p w14:paraId="31EF489E">
      <w:pPr>
        <w:pStyle w:val="2"/>
        <w:ind w:left="479" w:leftChars="114" w:hanging="240" w:hangingChars="1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36C0E74B">
      <w:pPr>
        <w:pStyle w:val="4"/>
        <w:jc w:val="center"/>
        <w:rPr>
          <w:rFonts w:hint="eastAsia" w:ascii="宋体" w:hAnsi="宋体" w:eastAsia="宋体" w:cs="宋体"/>
          <w:b/>
          <w:color w:val="000000" w:themeColor="text1"/>
          <w:sz w:val="24"/>
          <w:highlight w:val="none"/>
          <w14:textFill>
            <w14:solidFill>
              <w14:schemeClr w14:val="tx1"/>
            </w14:solidFill>
          </w14:textFill>
        </w:rPr>
      </w:pPr>
      <w:bookmarkStart w:id="134" w:name="_Toc16088"/>
      <w:bookmarkStart w:id="135" w:name="_Toc254970689"/>
      <w:bookmarkStart w:id="136" w:name="_Toc330456896"/>
      <w:bookmarkStart w:id="137" w:name="_Toc254970548"/>
      <w:bookmarkStart w:id="138" w:name="_Toc6057"/>
      <w:r>
        <w:rPr>
          <w:rFonts w:hint="eastAsia" w:ascii="宋体" w:hAnsi="宋体" w:eastAsia="宋体" w:cs="宋体"/>
          <w:color w:val="000000" w:themeColor="text1"/>
          <w:highlight w:val="none"/>
          <w14:textFill>
            <w14:solidFill>
              <w14:schemeClr w14:val="tx1"/>
            </w14:solidFill>
          </w14:textFill>
        </w:rPr>
        <w:t>第四章  评标方法及评标标准</w:t>
      </w:r>
      <w:bookmarkEnd w:id="134"/>
      <w:bookmarkEnd w:id="135"/>
      <w:bookmarkEnd w:id="136"/>
      <w:bookmarkEnd w:id="137"/>
      <w:bookmarkEnd w:id="138"/>
    </w:p>
    <w:p w14:paraId="685AA116">
      <w:pPr>
        <w:pStyle w:val="6"/>
        <w:keepNext w:val="0"/>
        <w:keepLines w:val="0"/>
        <w:jc w:val="center"/>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一、评标方法</w:t>
      </w:r>
    </w:p>
    <w:p w14:paraId="1C97395F">
      <w:pPr>
        <w:pStyle w:val="26"/>
        <w:snapToGrid w:val="0"/>
        <w:spacing w:line="360" w:lineRule="auto"/>
        <w:ind w:left="1" w:firstLine="420"/>
        <w:rPr>
          <w:rFonts w:hint="eastAsia" w:ascii="宋体" w:hAnsi="宋体" w:eastAsia="宋体" w:cs="宋体"/>
          <w:b w:val="0"/>
          <w:bCs/>
          <w:color w:val="000000" w:themeColor="text1"/>
          <w:kern w:val="2"/>
          <w:sz w:val="21"/>
          <w:highlight w:val="none"/>
          <w14:textFill>
            <w14:solidFill>
              <w14:schemeClr w14:val="tx1"/>
            </w14:solidFill>
          </w14:textFill>
        </w:rPr>
      </w:pPr>
      <w:r>
        <w:rPr>
          <w:rFonts w:hint="eastAsia" w:ascii="宋体" w:hAnsi="宋体" w:eastAsia="宋体" w:cs="宋体"/>
          <w:b w:val="0"/>
          <w:bCs/>
          <w:color w:val="000000" w:themeColor="text1"/>
          <w:kern w:val="2"/>
          <w:sz w:val="21"/>
          <w:highlight w:val="none"/>
          <w14:textFill>
            <w14:solidFill>
              <w14:schemeClr w14:val="tx1"/>
            </w14:solidFill>
          </w14:textFill>
        </w:rPr>
        <w:t>综合评分法，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w:t>
      </w:r>
    </w:p>
    <w:p w14:paraId="4A176645">
      <w:pPr>
        <w:pStyle w:val="6"/>
        <w:keepNext w:val="0"/>
        <w:keepLines w:val="0"/>
        <w:jc w:val="center"/>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二、评标程序</w:t>
      </w:r>
    </w:p>
    <w:p w14:paraId="263B7130">
      <w:pPr>
        <w:pStyle w:val="8"/>
        <w:keepNext w:val="0"/>
        <w:keepLines w:val="0"/>
        <w:spacing w:before="0" w:after="0" w:line="360" w:lineRule="auto"/>
        <w:ind w:left="420" w:left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1.符合性审查</w:t>
      </w:r>
    </w:p>
    <w:p w14:paraId="4CA7E4B7">
      <w:pPr>
        <w:pStyle w:val="26"/>
        <w:snapToGrid w:val="0"/>
        <w:spacing w:line="360" w:lineRule="auto"/>
        <w:ind w:left="1" w:firstLine="420"/>
        <w:rPr>
          <w:rFonts w:hint="eastAsia" w:ascii="宋体" w:hAnsi="宋体" w:eastAsia="宋体" w:cs="宋体"/>
          <w:b w:val="0"/>
          <w:bCs/>
          <w:color w:val="000000" w:themeColor="text1"/>
          <w:kern w:val="2"/>
          <w:sz w:val="21"/>
          <w:highlight w:val="none"/>
          <w14:textFill>
            <w14:solidFill>
              <w14:schemeClr w14:val="tx1"/>
            </w14:solidFill>
          </w14:textFill>
        </w:rPr>
      </w:pPr>
      <w:r>
        <w:rPr>
          <w:rFonts w:hint="eastAsia" w:ascii="宋体" w:hAnsi="宋体" w:eastAsia="宋体" w:cs="宋体"/>
          <w:b w:val="0"/>
          <w:bCs/>
          <w:color w:val="000000" w:themeColor="text1"/>
          <w:kern w:val="2"/>
          <w:sz w:val="21"/>
          <w:highlight w:val="none"/>
          <w14:textFill>
            <w14:solidFill>
              <w14:schemeClr w14:val="tx1"/>
            </w14:solidFill>
          </w14:textFill>
        </w:rPr>
        <w:t>评标委员会应当对符合资格的投标人的投标文件进行投标报价、商务、技术等实质性内容符合性审查，以确定其是否满足招标文件的实质性要求。</w:t>
      </w:r>
    </w:p>
    <w:p w14:paraId="2FCCA99D">
      <w:pPr>
        <w:pStyle w:val="8"/>
        <w:keepNext w:val="0"/>
        <w:keepLines w:val="0"/>
        <w:spacing w:before="0" w:after="0" w:line="360" w:lineRule="auto"/>
        <w:ind w:left="420" w:left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2.符合性审查不通过而导致投标无效的情形</w:t>
      </w:r>
    </w:p>
    <w:p w14:paraId="6076B8EB">
      <w:pPr>
        <w:snapToGrid w:val="0"/>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投标人的投标文件中存在对招标文件的任何实质性要求和条件的负偏离，将被视为投标无效。</w:t>
      </w:r>
    </w:p>
    <w:p w14:paraId="4886583D">
      <w:pPr>
        <w:pStyle w:val="8"/>
        <w:keepNext w:val="0"/>
        <w:keepLines w:val="0"/>
        <w:spacing w:before="0" w:after="0" w:line="360" w:lineRule="auto"/>
        <w:ind w:left="420" w:left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2.1在报价评审时，如发现下列情形之一的，将被视为投标无效：</w:t>
      </w:r>
    </w:p>
    <w:p w14:paraId="3371562F">
      <w:pPr>
        <w:pStyle w:val="9"/>
        <w:numPr>
          <w:ilvl w:val="0"/>
          <w:numId w:val="1"/>
        </w:numPr>
        <w:spacing w:line="360" w:lineRule="auto"/>
        <w:ind w:firstLine="422"/>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pacing w:val="-6"/>
          <w:szCs w:val="21"/>
          <w:highlight w:val="none"/>
          <w14:textFill>
            <w14:solidFill>
              <w14:schemeClr w14:val="tx1"/>
            </w14:solidFill>
          </w14:textFill>
        </w:rPr>
        <w:t>报价文件</w:t>
      </w:r>
      <w:r>
        <w:rPr>
          <w:rFonts w:hint="eastAsia" w:ascii="宋体" w:hAnsi="宋体" w:eastAsia="宋体" w:cs="宋体"/>
          <w:b w:val="0"/>
          <w:bCs/>
          <w:color w:val="000000" w:themeColor="text1"/>
          <w:szCs w:val="21"/>
          <w:highlight w:val="none"/>
          <w14:textFill>
            <w14:solidFill>
              <w14:schemeClr w14:val="tx1"/>
            </w14:solidFill>
          </w14:textFill>
        </w:rPr>
        <w:t>未提供“投标人须知前附表”第13.1条规定中“必须提供”的文件资料的；</w:t>
      </w:r>
    </w:p>
    <w:p w14:paraId="64E25DA9">
      <w:pPr>
        <w:pStyle w:val="9"/>
        <w:numPr>
          <w:ilvl w:val="0"/>
          <w:numId w:val="1"/>
        </w:numPr>
        <w:spacing w:line="360" w:lineRule="auto"/>
        <w:ind w:firstLine="422"/>
        <w:rPr>
          <w:rFonts w:hint="eastAsia" w:ascii="宋体" w:hAnsi="宋体" w:eastAsia="宋体" w:cs="宋体"/>
          <w:b w:val="0"/>
          <w:bCs/>
          <w:color w:val="auto"/>
          <w:szCs w:val="21"/>
          <w:highlight w:val="none"/>
        </w:rPr>
      </w:pPr>
      <w:r>
        <w:rPr>
          <w:rFonts w:hint="eastAsia" w:ascii="宋体" w:hAnsi="宋体" w:eastAsia="宋体" w:cs="宋体"/>
          <w:b w:val="0"/>
          <w:bCs/>
          <w:color w:val="000000" w:themeColor="text1"/>
          <w:szCs w:val="21"/>
          <w:highlight w:val="none"/>
          <w14:textFill>
            <w14:solidFill>
              <w14:schemeClr w14:val="tx1"/>
            </w14:solidFill>
          </w14:textFill>
        </w:rPr>
        <w:t>未采用人民币报价或</w:t>
      </w:r>
      <w:r>
        <w:rPr>
          <w:rFonts w:hint="eastAsia" w:ascii="宋体" w:hAnsi="宋体" w:eastAsia="宋体" w:cs="宋体"/>
          <w:b w:val="0"/>
          <w:bCs/>
          <w:color w:val="auto"/>
          <w:szCs w:val="21"/>
          <w:highlight w:val="none"/>
        </w:rPr>
        <w:t>者未按照招标文件标明的币种报价的；</w:t>
      </w:r>
    </w:p>
    <w:p w14:paraId="14563375">
      <w:pPr>
        <w:pStyle w:val="9"/>
        <w:numPr>
          <w:ilvl w:val="0"/>
          <w:numId w:val="1"/>
        </w:numPr>
        <w:spacing w:line="360" w:lineRule="auto"/>
        <w:ind w:firstLine="422"/>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各分标报价超出招标文件相应分标规定最高限价或者超出相应分标采购预算金额的</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各项设备投标单价超出招标文件</w:t>
      </w:r>
      <w:r>
        <w:rPr>
          <w:rFonts w:hint="eastAsia" w:ascii="宋体" w:hAnsi="宋体" w:eastAsia="宋体" w:cs="宋体"/>
          <w:b w:val="0"/>
          <w:bCs/>
          <w:color w:val="auto"/>
          <w:szCs w:val="21"/>
          <w:highlight w:val="none"/>
          <w:lang w:val="en-US" w:eastAsia="zh-CN"/>
        </w:rPr>
        <w:t>对应设备的控制价单价</w:t>
      </w:r>
      <w:r>
        <w:rPr>
          <w:rFonts w:hint="eastAsia" w:ascii="宋体" w:hAnsi="宋体" w:eastAsia="宋体" w:cs="宋体"/>
          <w:b w:val="0"/>
          <w:bCs/>
          <w:color w:val="auto"/>
          <w:szCs w:val="21"/>
          <w:highlight w:val="none"/>
        </w:rPr>
        <w:t>；</w:t>
      </w:r>
    </w:p>
    <w:p w14:paraId="1729A105">
      <w:pPr>
        <w:pStyle w:val="9"/>
        <w:numPr>
          <w:ilvl w:val="0"/>
          <w:numId w:val="1"/>
        </w:numPr>
        <w:spacing w:line="360" w:lineRule="auto"/>
        <w:ind w:firstLine="422"/>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71DD92EA">
      <w:pPr>
        <w:pStyle w:val="9"/>
        <w:numPr>
          <w:ilvl w:val="0"/>
          <w:numId w:val="1"/>
        </w:numPr>
        <w:spacing w:line="360" w:lineRule="auto"/>
        <w:ind w:firstLine="422"/>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修正后的报价，投标人不确认的；</w:t>
      </w:r>
    </w:p>
    <w:p w14:paraId="618080DB">
      <w:pPr>
        <w:pStyle w:val="9"/>
        <w:numPr>
          <w:ilvl w:val="0"/>
          <w:numId w:val="1"/>
        </w:numPr>
        <w:spacing w:line="360" w:lineRule="auto"/>
        <w:ind w:firstLine="422"/>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投标人属于本章第5.1条（2）或者第5.2条（2）项情形的；</w:t>
      </w:r>
    </w:p>
    <w:p w14:paraId="6422230C">
      <w:pPr>
        <w:pStyle w:val="9"/>
        <w:numPr>
          <w:ilvl w:val="0"/>
          <w:numId w:val="1"/>
        </w:numPr>
        <w:spacing w:line="360" w:lineRule="auto"/>
        <w:ind w:firstLine="422"/>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pacing w:val="-6"/>
          <w:szCs w:val="21"/>
          <w:highlight w:val="none"/>
          <w14:textFill>
            <w14:solidFill>
              <w14:schemeClr w14:val="tx1"/>
            </w14:solidFill>
          </w14:textFill>
        </w:rPr>
        <w:t>报价文件</w:t>
      </w:r>
      <w:r>
        <w:rPr>
          <w:rFonts w:hint="eastAsia" w:ascii="宋体" w:hAnsi="宋体" w:eastAsia="宋体" w:cs="宋体"/>
          <w:b w:val="0"/>
          <w:bCs/>
          <w:color w:val="000000" w:themeColor="text1"/>
          <w:szCs w:val="21"/>
          <w:highlight w:val="none"/>
          <w14:textFill>
            <w14:solidFill>
              <w14:schemeClr w14:val="tx1"/>
            </w14:solidFill>
          </w14:textFill>
        </w:rPr>
        <w:t>响应的标的数量及单位与招标文件要求实质性不一致的。</w:t>
      </w:r>
    </w:p>
    <w:p w14:paraId="3DC02532">
      <w:pPr>
        <w:pStyle w:val="8"/>
        <w:keepNext w:val="0"/>
        <w:keepLines w:val="0"/>
        <w:spacing w:before="0" w:after="0" w:line="360" w:lineRule="auto"/>
        <w:ind w:left="420" w:left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2.2在商务评审时，如发现下列情形之一的，将被视为投标无效：</w:t>
      </w:r>
    </w:p>
    <w:p w14:paraId="61C56266">
      <w:pPr>
        <w:numPr>
          <w:ilvl w:val="0"/>
          <w:numId w:val="2"/>
        </w:numPr>
        <w:snapToGrid w:val="0"/>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投标文件未按招标文件要求签署、盖章的；</w:t>
      </w:r>
    </w:p>
    <w:p w14:paraId="578B5075">
      <w:pPr>
        <w:numPr>
          <w:ilvl w:val="0"/>
          <w:numId w:val="2"/>
        </w:numPr>
        <w:snapToGrid w:val="0"/>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委托代理人未能出具有效身份证或者出具的身份证与授权委托书中的信息不符的；</w:t>
      </w:r>
    </w:p>
    <w:p w14:paraId="25588B6F">
      <w:pPr>
        <w:numPr>
          <w:ilvl w:val="0"/>
          <w:numId w:val="2"/>
        </w:numPr>
        <w:snapToGrid w:val="0"/>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为无效投标保证金的或者未按照招标文件的规定提交投标保证金的；</w:t>
      </w:r>
    </w:p>
    <w:p w14:paraId="3F174628">
      <w:pPr>
        <w:numPr>
          <w:ilvl w:val="0"/>
          <w:numId w:val="2"/>
        </w:numPr>
        <w:snapToGrid w:val="0"/>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投标文件未提供“投标人须知前附表”第13.1条规定中“必须提供”或者“委托时必须提供”的文件资料的；</w:t>
      </w:r>
    </w:p>
    <w:p w14:paraId="68E8A1D7">
      <w:pPr>
        <w:numPr>
          <w:ilvl w:val="0"/>
          <w:numId w:val="2"/>
        </w:numPr>
        <w:snapToGrid w:val="0"/>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投标文件的实质性内容未使用中文表述、使用计量单位不符合招标文件要求的；</w:t>
      </w:r>
    </w:p>
    <w:p w14:paraId="0D6287D2">
      <w:pPr>
        <w:numPr>
          <w:ilvl w:val="0"/>
          <w:numId w:val="2"/>
        </w:numPr>
        <w:snapToGrid w:val="0"/>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投标文件中的文件资料因填写不齐全或者内容虚假或者出现其他情形而导致被评标委员会认定无效的；</w:t>
      </w:r>
    </w:p>
    <w:p w14:paraId="432DB757">
      <w:pPr>
        <w:numPr>
          <w:ilvl w:val="0"/>
          <w:numId w:val="2"/>
        </w:numPr>
        <w:snapToGrid w:val="0"/>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投标文件含有采购人不能接受的附加条件的；</w:t>
      </w:r>
    </w:p>
    <w:p w14:paraId="24EA8984">
      <w:pPr>
        <w:numPr>
          <w:ilvl w:val="0"/>
          <w:numId w:val="2"/>
        </w:numPr>
        <w:snapToGrid w:val="0"/>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属于投标人须知正文第9.2条情形的；</w:t>
      </w:r>
    </w:p>
    <w:p w14:paraId="3EBE0D8E">
      <w:pPr>
        <w:numPr>
          <w:ilvl w:val="0"/>
          <w:numId w:val="2"/>
        </w:numPr>
        <w:snapToGrid w:val="0"/>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投标文件标注的项目名称或者项目编号与招标文件标注的项目名称或者项目编号不一致的；</w:t>
      </w:r>
    </w:p>
    <w:p w14:paraId="51AB9575">
      <w:pPr>
        <w:numPr>
          <w:ilvl w:val="0"/>
          <w:numId w:val="2"/>
        </w:numPr>
        <w:snapToGrid w:val="0"/>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招标文件明确不允许分包，投标文件拟分包的；</w:t>
      </w:r>
    </w:p>
    <w:p w14:paraId="4629DD43">
      <w:pPr>
        <w:numPr>
          <w:ilvl w:val="0"/>
          <w:numId w:val="2"/>
        </w:numPr>
        <w:snapToGrid w:val="0"/>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未响应招标文件实质性要求的；</w:t>
      </w:r>
    </w:p>
    <w:p w14:paraId="03C288A2">
      <w:pPr>
        <w:numPr>
          <w:ilvl w:val="0"/>
          <w:numId w:val="2"/>
        </w:numPr>
        <w:snapToGrid w:val="0"/>
        <w:spacing w:line="360" w:lineRule="auto"/>
        <w:ind w:firstLine="420" w:firstLineChars="200"/>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法律、法规和招标文件规定的其他无效情形。</w:t>
      </w:r>
    </w:p>
    <w:p w14:paraId="4FD69DBF">
      <w:pPr>
        <w:pStyle w:val="8"/>
        <w:keepNext w:val="0"/>
        <w:keepLines w:val="0"/>
        <w:spacing w:before="0" w:after="0" w:line="360" w:lineRule="auto"/>
        <w:ind w:left="420" w:left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2.3在技术评审时，如发现下列情形之一的，将被视为投标无效：</w:t>
      </w:r>
    </w:p>
    <w:p w14:paraId="346D9660">
      <w:pPr>
        <w:pStyle w:val="21"/>
        <w:snapToGrid w:val="0"/>
        <w:spacing w:line="360" w:lineRule="auto"/>
        <w:ind w:firstLine="411" w:firstLineChars="196"/>
        <w:rPr>
          <w:rFonts w:hint="eastAsia" w:ascii="宋体" w:hAnsi="宋体" w:eastAsia="宋体" w:cs="宋体"/>
          <w:b w:val="0"/>
          <w:bCs/>
          <w:color w:val="000000" w:themeColor="text1"/>
          <w:kern w:val="2"/>
          <w:sz w:val="21"/>
          <w:szCs w:val="21"/>
          <w:highlight w:val="none"/>
          <w14:textFill>
            <w14:solidFill>
              <w14:schemeClr w14:val="tx1"/>
            </w14:solidFill>
          </w14:textFill>
        </w:rPr>
      </w:pPr>
      <w:r>
        <w:rPr>
          <w:rFonts w:hint="eastAsia" w:ascii="宋体" w:hAnsi="宋体" w:eastAsia="宋体" w:cs="宋体"/>
          <w:b w:val="0"/>
          <w:bCs/>
          <w:color w:val="000000" w:themeColor="text1"/>
          <w:kern w:val="2"/>
          <w:sz w:val="21"/>
          <w:szCs w:val="21"/>
          <w:highlight w:val="none"/>
          <w14:textFill>
            <w14:solidFill>
              <w14:schemeClr w14:val="tx1"/>
            </w14:solidFill>
          </w14:textFill>
        </w:rPr>
        <w:t>（</w:t>
      </w: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1</w:t>
      </w:r>
      <w:r>
        <w:rPr>
          <w:rFonts w:hint="eastAsia" w:ascii="宋体" w:hAnsi="宋体" w:eastAsia="宋体" w:cs="宋体"/>
          <w:b w:val="0"/>
          <w:bCs/>
          <w:color w:val="000000" w:themeColor="text1"/>
          <w:kern w:val="2"/>
          <w:sz w:val="21"/>
          <w:szCs w:val="21"/>
          <w:highlight w:val="none"/>
          <w14:textFill>
            <w14:solidFill>
              <w14:schemeClr w14:val="tx1"/>
            </w14:solidFill>
          </w14:textFill>
        </w:rPr>
        <w:t>）投标文件未提供“投标人须知前附表”第13.1条规定中“必须提供”的文件资料的；</w:t>
      </w:r>
    </w:p>
    <w:p w14:paraId="24AE1F65">
      <w:pPr>
        <w:pStyle w:val="21"/>
        <w:snapToGrid w:val="0"/>
        <w:spacing w:line="360" w:lineRule="auto"/>
        <w:ind w:firstLine="411" w:firstLineChars="196"/>
        <w:rPr>
          <w:rFonts w:hint="eastAsia" w:ascii="宋体" w:hAnsi="宋体" w:eastAsia="宋体" w:cs="宋体"/>
          <w:b w:val="0"/>
          <w:bCs/>
          <w:color w:val="000000" w:themeColor="text1"/>
          <w:kern w:val="2"/>
          <w:sz w:val="21"/>
          <w:szCs w:val="21"/>
          <w:highlight w:val="none"/>
          <w14:textFill>
            <w14:solidFill>
              <w14:schemeClr w14:val="tx1"/>
            </w14:solidFill>
          </w14:textFill>
        </w:rPr>
      </w:pPr>
      <w:r>
        <w:rPr>
          <w:rFonts w:hint="eastAsia" w:ascii="宋体" w:hAnsi="宋体" w:eastAsia="宋体" w:cs="宋体"/>
          <w:b w:val="0"/>
          <w:bCs/>
          <w:color w:val="000000" w:themeColor="text1"/>
          <w:kern w:val="2"/>
          <w:sz w:val="21"/>
          <w:szCs w:val="21"/>
          <w:highlight w:val="none"/>
          <w14:textFill>
            <w14:solidFill>
              <w14:schemeClr w14:val="tx1"/>
            </w14:solidFill>
          </w14:textFill>
        </w:rPr>
        <w:t>（</w:t>
      </w: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b w:val="0"/>
          <w:bCs/>
          <w:color w:val="000000" w:themeColor="text1"/>
          <w:kern w:val="2"/>
          <w:sz w:val="21"/>
          <w:szCs w:val="21"/>
          <w:highlight w:val="none"/>
          <w14:textFill>
            <w14:solidFill>
              <w14:schemeClr w14:val="tx1"/>
            </w14:solidFill>
          </w14:textFill>
        </w:rPr>
        <w:t>）虚假投标或投标人的响应与事实不符，或者出现其他情形而导致被评标委员会认定无效的；</w:t>
      </w:r>
    </w:p>
    <w:p w14:paraId="459141C8">
      <w:pPr>
        <w:pStyle w:val="21"/>
        <w:snapToGrid w:val="0"/>
        <w:spacing w:line="360" w:lineRule="auto"/>
        <w:ind w:firstLine="411" w:firstLineChars="196"/>
        <w:rPr>
          <w:rFonts w:hint="eastAsia" w:ascii="宋体" w:hAnsi="宋体" w:eastAsia="宋体" w:cs="宋体"/>
          <w:b w:val="0"/>
          <w:bCs/>
          <w:color w:val="000000" w:themeColor="text1"/>
          <w:kern w:val="2"/>
          <w:sz w:val="21"/>
          <w:szCs w:val="21"/>
          <w:highlight w:val="none"/>
          <w14:textFill>
            <w14:solidFill>
              <w14:schemeClr w14:val="tx1"/>
            </w14:solidFill>
          </w14:textFill>
        </w:rPr>
      </w:pPr>
      <w:r>
        <w:rPr>
          <w:rFonts w:hint="eastAsia" w:ascii="宋体" w:hAnsi="宋体" w:eastAsia="宋体" w:cs="宋体"/>
          <w:b w:val="0"/>
          <w:bCs/>
          <w:color w:val="000000" w:themeColor="text1"/>
          <w:kern w:val="2"/>
          <w:sz w:val="21"/>
          <w:szCs w:val="21"/>
          <w:highlight w:val="none"/>
          <w14:textFill>
            <w14:solidFill>
              <w14:schemeClr w14:val="tx1"/>
            </w14:solidFill>
          </w14:textFill>
        </w:rPr>
        <w:t>（</w:t>
      </w: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宋体"/>
          <w:b w:val="0"/>
          <w:bCs/>
          <w:color w:val="000000" w:themeColor="text1"/>
          <w:kern w:val="2"/>
          <w:sz w:val="21"/>
          <w:szCs w:val="21"/>
          <w:highlight w:val="none"/>
          <w14:textFill>
            <w14:solidFill>
              <w14:schemeClr w14:val="tx1"/>
            </w14:solidFill>
          </w14:textFill>
        </w:rPr>
        <w:t>）</w:t>
      </w:r>
      <w:bookmarkStart w:id="139" w:name="_Hlk71706244"/>
      <w:r>
        <w:rPr>
          <w:rFonts w:hint="eastAsia" w:ascii="宋体" w:hAnsi="宋体" w:eastAsia="宋体" w:cs="宋体"/>
          <w:b w:val="0"/>
          <w:bCs/>
          <w:color w:val="000000" w:themeColor="text1"/>
          <w:kern w:val="2"/>
          <w:sz w:val="21"/>
          <w:szCs w:val="21"/>
          <w:highlight w:val="none"/>
          <w14:textFill>
            <w14:solidFill>
              <w14:schemeClr w14:val="tx1"/>
            </w14:solidFill>
          </w14:textFill>
        </w:rPr>
        <w:t>招标文件未载明允许提供备选（替代）投标方案或明确不允许提供备选（替代）投标方案时，投标人提供了备选（替代）投标方案的；</w:t>
      </w:r>
      <w:bookmarkEnd w:id="139"/>
    </w:p>
    <w:p w14:paraId="71082479">
      <w:pPr>
        <w:pStyle w:val="21"/>
        <w:snapToGrid w:val="0"/>
        <w:spacing w:line="360" w:lineRule="auto"/>
        <w:ind w:firstLine="411" w:firstLineChars="196"/>
        <w:rPr>
          <w:rFonts w:hint="eastAsia" w:ascii="宋体" w:hAnsi="宋体" w:eastAsia="宋体" w:cs="宋体"/>
          <w:b w:val="0"/>
          <w:bCs/>
          <w:color w:val="000000" w:themeColor="text1"/>
          <w:kern w:val="2"/>
          <w:sz w:val="21"/>
          <w:szCs w:val="21"/>
          <w:highlight w:val="none"/>
          <w14:textFill>
            <w14:solidFill>
              <w14:schemeClr w14:val="tx1"/>
            </w14:solidFill>
          </w14:textFill>
        </w:rPr>
      </w:pPr>
      <w:r>
        <w:rPr>
          <w:rFonts w:hint="eastAsia" w:ascii="宋体" w:hAnsi="宋体" w:eastAsia="宋体" w:cs="宋体"/>
          <w:b w:val="0"/>
          <w:bCs/>
          <w:color w:val="000000" w:themeColor="text1"/>
          <w:kern w:val="2"/>
          <w:sz w:val="21"/>
          <w:szCs w:val="21"/>
          <w:highlight w:val="none"/>
          <w14:textFill>
            <w14:solidFill>
              <w14:schemeClr w14:val="tx1"/>
            </w14:solidFill>
          </w14:textFill>
        </w:rPr>
        <w:t>（</w:t>
      </w: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4</w:t>
      </w:r>
      <w:bookmarkStart w:id="155" w:name="_GoBack"/>
      <w:bookmarkEnd w:id="155"/>
      <w:r>
        <w:rPr>
          <w:rFonts w:hint="eastAsia" w:ascii="宋体" w:hAnsi="宋体" w:eastAsia="宋体" w:cs="宋体"/>
          <w:b w:val="0"/>
          <w:bCs/>
          <w:color w:val="000000" w:themeColor="text1"/>
          <w:kern w:val="2"/>
          <w:sz w:val="21"/>
          <w:szCs w:val="21"/>
          <w:highlight w:val="none"/>
          <w14:textFill>
            <w14:solidFill>
              <w14:schemeClr w14:val="tx1"/>
            </w14:solidFill>
          </w14:textFill>
        </w:rPr>
        <w:t>）未响应招标文件实质性要求的。</w:t>
      </w:r>
    </w:p>
    <w:p w14:paraId="3E3077BE">
      <w:pPr>
        <w:pStyle w:val="21"/>
        <w:snapToGrid w:val="0"/>
        <w:spacing w:line="360" w:lineRule="auto"/>
        <w:ind w:firstLine="413" w:firstLineChars="196"/>
        <w:rPr>
          <w:rFonts w:hint="eastAsia" w:ascii="宋体" w:hAnsi="宋体" w:eastAsia="宋体" w:cs="宋体"/>
          <w:b/>
          <w:color w:val="000000" w:themeColor="text1"/>
          <w:kern w:val="2"/>
          <w:sz w:val="21"/>
          <w:szCs w:val="21"/>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14:textFill>
            <w14:solidFill>
              <w14:schemeClr w14:val="tx1"/>
            </w14:solidFill>
          </w14:textFill>
        </w:rPr>
        <w:t>2.4通过符合性审查的投标人不足3家，评标委员会不得继续评标，并出具评标报告。</w:t>
      </w:r>
    </w:p>
    <w:p w14:paraId="7608970D">
      <w:pPr>
        <w:pStyle w:val="8"/>
        <w:keepNext w:val="0"/>
        <w:keepLines w:val="0"/>
        <w:spacing w:before="0" w:after="0" w:line="360" w:lineRule="auto"/>
        <w:ind w:left="420" w:left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3.澄清补正</w:t>
      </w:r>
    </w:p>
    <w:p w14:paraId="5F11833F">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对投标文件中含义不明确、同类问题表述不一致或者有明显文字和计算错误的内容，评标委员会以电子澄清函形式要求投标人在规定时间内作出必要的澄清、说明或者纠正。投标人的澄清、说明或者补正必须采用电子回函形式，并加盖投标人公章，或者由法定代表人或者其授权的代表签字。投标人的澄清、说明或者补正不得超出投标文件的范围或者改变投标文件的实质性内容。</w:t>
      </w:r>
    </w:p>
    <w:p w14:paraId="0529433D">
      <w:pPr>
        <w:pStyle w:val="8"/>
        <w:keepNext w:val="0"/>
        <w:keepLines w:val="0"/>
        <w:spacing w:before="0" w:after="0" w:line="360" w:lineRule="auto"/>
        <w:ind w:left="420" w:left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4.投标文件修正</w:t>
      </w:r>
    </w:p>
    <w:p w14:paraId="12530365">
      <w:pPr>
        <w:pStyle w:val="8"/>
        <w:keepNext w:val="0"/>
        <w:keepLines w:val="0"/>
        <w:spacing w:before="0" w:after="0" w:line="360" w:lineRule="auto"/>
        <w:ind w:left="420" w:left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4.1投标文件报价出现前后不一致的，按照下列规定修正： </w:t>
      </w:r>
    </w:p>
    <w:p w14:paraId="63927CCC">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（1）投标文件中开标一览表（报价表）内容与投标文件中相应内容不一致的，以开标一览表（报价表）为准；</w:t>
      </w:r>
    </w:p>
    <w:p w14:paraId="6E5195F5">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（2）大写金额和小写金额不一致的，以大写金额为准；</w:t>
      </w:r>
    </w:p>
    <w:p w14:paraId="6F073D56">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（3）单价金额小数点或者百分比有明显错位的，以开标一览表的总价为准，并修改单价；</w:t>
      </w:r>
    </w:p>
    <w:p w14:paraId="66AF8151">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（4）总价金额与按单价汇总金额不一致的，以单价金额计算结果为准。</w:t>
      </w:r>
    </w:p>
    <w:p w14:paraId="174A570C">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同时出现两种以上不一致的，按照以上（1）-（4）规定的顺序修正。修正后的报价经投标人确认后产生约束力，投标人不确认的，</w:t>
      </w:r>
      <w:r>
        <w:rPr>
          <w:rFonts w:hint="eastAsia" w:ascii="宋体" w:hAnsi="宋体" w:eastAsia="宋体" w:cs="宋体"/>
          <w:b/>
          <w:color w:val="000000" w:themeColor="text1"/>
          <w:kern w:val="2"/>
          <w:sz w:val="21"/>
          <w:highlight w:val="none"/>
          <w14:textFill>
            <w14:solidFill>
              <w14:schemeClr w14:val="tx1"/>
            </w14:solidFill>
          </w14:textFill>
        </w:rPr>
        <w:t>其投标无效</w:t>
      </w:r>
      <w:r>
        <w:rPr>
          <w:rFonts w:hint="eastAsia" w:ascii="宋体" w:hAnsi="宋体" w:eastAsia="宋体" w:cs="宋体"/>
          <w:color w:val="000000" w:themeColor="text1"/>
          <w:sz w:val="21"/>
          <w:highlight w:val="none"/>
          <w14:textFill>
            <w14:solidFill>
              <w14:schemeClr w14:val="tx1"/>
            </w14:solidFill>
          </w14:textFill>
        </w:rPr>
        <w:t>。</w:t>
      </w:r>
    </w:p>
    <w:p w14:paraId="1B15CF6A">
      <w:pPr>
        <w:pStyle w:val="8"/>
        <w:keepNext w:val="0"/>
        <w:keepLines w:val="0"/>
        <w:spacing w:before="0" w:after="0" w:line="360" w:lineRule="auto"/>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4.2经投标人确认修正后的报价若超过采购预算金额或者最高限价，</w:t>
      </w:r>
      <w:r>
        <w:rPr>
          <w:rFonts w:hint="eastAsia" w:ascii="宋体" w:hAnsi="宋体" w:eastAsia="宋体" w:cs="宋体"/>
          <w:color w:val="000000" w:themeColor="text1"/>
          <w:sz w:val="21"/>
          <w:szCs w:val="21"/>
          <w:highlight w:val="none"/>
          <w14:textFill>
            <w14:solidFill>
              <w14:schemeClr w14:val="tx1"/>
            </w14:solidFill>
          </w14:textFill>
        </w:rPr>
        <w:t>投标人的投标文件作无效投标处理</w:t>
      </w:r>
      <w:r>
        <w:rPr>
          <w:rFonts w:hint="eastAsia" w:ascii="宋体" w:hAnsi="宋体" w:eastAsia="宋体" w:cs="宋体"/>
          <w:b w:val="0"/>
          <w:color w:val="000000" w:themeColor="text1"/>
          <w:sz w:val="21"/>
          <w:szCs w:val="21"/>
          <w:highlight w:val="none"/>
          <w14:textFill>
            <w14:solidFill>
              <w14:schemeClr w14:val="tx1"/>
            </w14:solidFill>
          </w14:textFill>
        </w:rPr>
        <w:t>。</w:t>
      </w:r>
    </w:p>
    <w:p w14:paraId="769A98DB">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4.3经投标人确认修正后的报价作为签订合同的依据，并以此报价计算价格分。</w:t>
      </w:r>
    </w:p>
    <w:p w14:paraId="50C83B91">
      <w:pPr>
        <w:pStyle w:val="8"/>
        <w:keepNext w:val="0"/>
        <w:keepLines w:val="0"/>
        <w:spacing w:before="0" w:after="0" w:line="360" w:lineRule="auto"/>
        <w:ind w:left="420" w:left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5.比较与评价</w:t>
      </w:r>
    </w:p>
    <w:p w14:paraId="13F04901">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5.1采用综合评分法的</w:t>
      </w:r>
    </w:p>
    <w:p w14:paraId="23AB360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000000" w:themeColor="text1"/>
          <w:szCs w:val="21"/>
          <w:highlight w:val="none"/>
          <w14:textFill>
            <w14:solidFill>
              <w14:schemeClr w14:val="tx1"/>
            </w14:solidFill>
          </w14:textFill>
        </w:rPr>
        <w:t>（1）评标委员会按照招标文件中规定的评标方法及评标标准，对符合性审查合格的投标文件进行商务和技</w:t>
      </w:r>
      <w:r>
        <w:rPr>
          <w:rFonts w:hint="eastAsia" w:ascii="宋体" w:hAnsi="宋体" w:eastAsia="宋体" w:cs="宋体"/>
          <w:color w:val="auto"/>
          <w:szCs w:val="21"/>
          <w:highlight w:val="none"/>
        </w:rPr>
        <w:t>术评估，综合比较与评价。</w:t>
      </w:r>
    </w:p>
    <w:p w14:paraId="379CA0C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（2）评标委员会独立对每个投标人的投标文件进行评价，并汇总每个投标人的得分。</w:t>
      </w:r>
    </w:p>
    <w:p w14:paraId="6822D9FC">
      <w:pPr>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val="0"/>
          <w:color w:val="auto"/>
          <w:kern w:val="2"/>
          <w:sz w:val="21"/>
          <w:highlight w:val="none"/>
        </w:rPr>
        <w:t>评标委员会认为投标人的报价明显低于其他通过符合性审查投标人的报价，有可能影响产品质量或者不能诚信履约的，应当要求其在评标现场合理的时间内提供书面说明【提交详细的报价明细说明文件及测算表，</w:t>
      </w:r>
      <w:r>
        <w:rPr>
          <w:rFonts w:hint="eastAsia" w:ascii="宋体" w:hAnsi="宋体" w:eastAsia="宋体" w:cs="宋体"/>
          <w:b/>
          <w:bCs w:val="0"/>
          <w:color w:val="auto"/>
          <w:kern w:val="2"/>
          <w:sz w:val="21"/>
          <w:highlight w:val="none"/>
          <w:lang w:val="en-US" w:eastAsia="zh-CN"/>
        </w:rPr>
        <w:t>至少</w:t>
      </w:r>
      <w:r>
        <w:rPr>
          <w:rFonts w:hint="eastAsia" w:ascii="宋体" w:hAnsi="宋体" w:eastAsia="宋体" w:cs="宋体"/>
          <w:b/>
          <w:bCs w:val="0"/>
          <w:color w:val="auto"/>
          <w:kern w:val="2"/>
          <w:sz w:val="21"/>
          <w:highlight w:val="none"/>
        </w:rPr>
        <w:t>包括项目的服务、货物、运输、安装、人工成本包括项目人员的数量、工作时间及其工资和福利支出成本，以及服务项目实施过程中可能涉及的其他费用】，必要时提交相关证明材料；投标人不能证明其报价合理性的，评标委员会应当将其作为无效投标处理</w:t>
      </w:r>
      <w:r>
        <w:rPr>
          <w:rFonts w:hint="eastAsia" w:ascii="宋体" w:hAnsi="宋体" w:eastAsia="宋体" w:cs="宋体"/>
          <w:bCs/>
          <w:color w:val="auto"/>
          <w:kern w:val="2"/>
          <w:sz w:val="21"/>
          <w:highlight w:val="none"/>
        </w:rPr>
        <w:t xml:space="preserve">。   </w:t>
      </w:r>
    </w:p>
    <w:p w14:paraId="218A7E17">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（3）评标委员会按照招标文件中规定的评标方法和标准计算各投标人的报价得分。在计算过程中，不得去掉最高报价或者最低报价。</w:t>
      </w:r>
    </w:p>
    <w:p w14:paraId="63CFB6FF">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（4）各投标人的得分为所有评委的有效评分的算术平均数。</w:t>
      </w:r>
    </w:p>
    <w:p w14:paraId="544A9926">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（5）评标委员会按照招标文件中的规定推荐中标候选人。</w:t>
      </w:r>
    </w:p>
    <w:p w14:paraId="110BF2E8">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7F2795D7">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5.2采用</w:t>
      </w:r>
      <w:r>
        <w:rPr>
          <w:rFonts w:hint="eastAsia" w:ascii="宋体" w:hAnsi="宋体" w:eastAsia="宋体" w:cs="宋体"/>
          <w:color w:val="000000" w:themeColor="text1"/>
          <w:highlight w:val="none"/>
          <w14:textFill>
            <w14:solidFill>
              <w14:schemeClr w14:val="tx1"/>
            </w14:solidFill>
          </w14:textFill>
        </w:rPr>
        <w:t>最低评标价法</w:t>
      </w:r>
      <w:r>
        <w:rPr>
          <w:rFonts w:hint="eastAsia" w:ascii="宋体" w:hAnsi="宋体" w:eastAsia="宋体" w:cs="宋体"/>
          <w:color w:val="000000" w:themeColor="text1"/>
          <w:szCs w:val="21"/>
          <w:highlight w:val="none"/>
          <w14:textFill>
            <w14:solidFill>
              <w14:schemeClr w14:val="tx1"/>
            </w14:solidFill>
          </w14:textFill>
        </w:rPr>
        <w:t>的</w:t>
      </w:r>
    </w:p>
    <w:p w14:paraId="44D48D0D">
      <w:pPr>
        <w:snapToGrid w:val="0"/>
        <w:spacing w:line="360" w:lineRule="auto"/>
        <w:ind w:firstLine="424" w:firstLineChars="20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（1）评标委员会按照招标文件中规定的评标方法及评标标准，对符合性审查合格的投标文件报价进行比较。</w:t>
      </w:r>
    </w:p>
    <w:p w14:paraId="50745510">
      <w:pPr>
        <w:snapToGrid w:val="0"/>
        <w:spacing w:line="360" w:lineRule="auto"/>
        <w:ind w:firstLine="399" w:firstLineChars="202"/>
        <w:jc w:val="left"/>
        <w:rPr>
          <w:rFonts w:hint="eastAsia" w:ascii="宋体" w:hAnsi="宋体" w:eastAsia="宋体" w:cs="宋体"/>
          <w:color w:val="000000" w:themeColor="text1"/>
          <w:spacing w:val="-6"/>
          <w:szCs w:val="21"/>
          <w:highlight w:val="none"/>
          <w14:textFill>
            <w14:solidFill>
              <w14:schemeClr w14:val="tx1"/>
            </w14:solidFill>
          </w14:textFill>
        </w:rPr>
      </w:pPr>
      <w:r>
        <w:rPr>
          <w:rFonts w:hint="eastAsia" w:ascii="宋体" w:hAnsi="宋体" w:eastAsia="宋体" w:cs="宋体"/>
          <w:color w:val="000000" w:themeColor="text1"/>
          <w:spacing w:val="-6"/>
          <w:szCs w:val="21"/>
          <w:highlight w:val="none"/>
          <w14:textFill>
            <w14:solidFill>
              <w14:schemeClr w14:val="tx1"/>
            </w14:solidFill>
          </w14:textFill>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eastAsia="宋体" w:cs="宋体"/>
          <w:b/>
          <w:color w:val="000000" w:themeColor="text1"/>
          <w:spacing w:val="-6"/>
          <w:szCs w:val="21"/>
          <w:highlight w:val="none"/>
          <w14:textFill>
            <w14:solidFill>
              <w14:schemeClr w14:val="tx1"/>
            </w14:solidFill>
          </w14:textFill>
        </w:rPr>
        <w:t>投标人不能证明其报价合理性的，评标委员会将其作为无效投标处理</w:t>
      </w:r>
      <w:r>
        <w:rPr>
          <w:rFonts w:hint="eastAsia" w:ascii="宋体" w:hAnsi="宋体" w:eastAsia="宋体" w:cs="宋体"/>
          <w:color w:val="000000" w:themeColor="text1"/>
          <w:spacing w:val="-6"/>
          <w:szCs w:val="21"/>
          <w:highlight w:val="none"/>
          <w14:textFill>
            <w14:solidFill>
              <w14:schemeClr w14:val="tx1"/>
            </w14:solidFill>
          </w14:textFill>
        </w:rPr>
        <w:t>。</w:t>
      </w:r>
    </w:p>
    <w:p w14:paraId="0B42F4FD">
      <w:pPr>
        <w:snapToGrid w:val="0"/>
        <w:spacing w:line="360" w:lineRule="auto"/>
        <w:ind w:firstLine="424" w:firstLineChars="20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（3）评标委员会按照招标文件中的规定推荐中标候选人。</w:t>
      </w:r>
    </w:p>
    <w:p w14:paraId="265342F0">
      <w:pPr>
        <w:snapToGrid w:val="0"/>
        <w:spacing w:line="360" w:lineRule="auto"/>
        <w:ind w:firstLine="424" w:firstLineChars="20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530361C3">
      <w:pPr>
        <w:snapToGrid w:val="0"/>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三、评标标准</w:t>
      </w:r>
    </w:p>
    <w:p w14:paraId="7B061EB3">
      <w:pPr>
        <w:pStyle w:val="6"/>
        <w:keepNext w:val="0"/>
        <w:keepLines w:val="0"/>
        <w:spacing w:before="0" w:after="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综合评分法</w:t>
      </w:r>
    </w:p>
    <w:tbl>
      <w:tblPr>
        <w:tblStyle w:val="48"/>
        <w:tblW w:w="9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559"/>
        <w:gridCol w:w="5599"/>
      </w:tblGrid>
      <w:tr w14:paraId="65993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14:paraId="5F5473C7">
            <w:pPr>
              <w:adjustRightInd w:val="0"/>
              <w:spacing w:line="340" w:lineRule="exact"/>
              <w:jc w:val="center"/>
              <w:textAlignment w:val="baseline"/>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序号</w:t>
            </w:r>
          </w:p>
        </w:tc>
        <w:tc>
          <w:tcPr>
            <w:tcW w:w="1280" w:type="dxa"/>
            <w:vAlign w:val="center"/>
          </w:tcPr>
          <w:p w14:paraId="06E0402A">
            <w:pPr>
              <w:adjustRightInd w:val="0"/>
              <w:spacing w:line="340" w:lineRule="exact"/>
              <w:jc w:val="center"/>
              <w:textAlignment w:val="baseline"/>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评审因素</w:t>
            </w:r>
          </w:p>
        </w:tc>
        <w:tc>
          <w:tcPr>
            <w:tcW w:w="709" w:type="dxa"/>
            <w:vAlign w:val="center"/>
          </w:tcPr>
          <w:p w14:paraId="7DFC568A">
            <w:pPr>
              <w:adjustRightInd w:val="0"/>
              <w:spacing w:line="340" w:lineRule="exact"/>
              <w:jc w:val="center"/>
              <w:textAlignment w:val="baseline"/>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分值</w:t>
            </w:r>
          </w:p>
        </w:tc>
        <w:tc>
          <w:tcPr>
            <w:tcW w:w="7158" w:type="dxa"/>
            <w:gridSpan w:val="2"/>
            <w:vAlign w:val="center"/>
          </w:tcPr>
          <w:p w14:paraId="7BC3F4A3">
            <w:pPr>
              <w:adjustRightInd w:val="0"/>
              <w:spacing w:line="340" w:lineRule="exact"/>
              <w:jc w:val="center"/>
              <w:textAlignment w:val="baseline"/>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评标标准</w:t>
            </w:r>
          </w:p>
        </w:tc>
      </w:tr>
      <w:tr w14:paraId="5466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14:paraId="42F34C32">
            <w:pPr>
              <w:adjustRightInd w:val="0"/>
              <w:spacing w:line="340" w:lineRule="exact"/>
              <w:jc w:val="center"/>
              <w:textAlignment w:val="baseline"/>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w:t>
            </w:r>
          </w:p>
        </w:tc>
        <w:tc>
          <w:tcPr>
            <w:tcW w:w="1280" w:type="dxa"/>
            <w:vAlign w:val="center"/>
          </w:tcPr>
          <w:p w14:paraId="2BFA2673">
            <w:pPr>
              <w:adjustRightInd w:val="0"/>
              <w:spacing w:line="340" w:lineRule="exact"/>
              <w:jc w:val="center"/>
              <w:textAlignment w:val="baseline"/>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投标报价</w:t>
            </w:r>
          </w:p>
        </w:tc>
        <w:tc>
          <w:tcPr>
            <w:tcW w:w="709" w:type="dxa"/>
            <w:vAlign w:val="center"/>
          </w:tcPr>
          <w:p w14:paraId="75D325A6">
            <w:pPr>
              <w:adjustRightInd w:val="0"/>
              <w:spacing w:line="340" w:lineRule="exact"/>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30分</w:t>
            </w:r>
          </w:p>
        </w:tc>
        <w:tc>
          <w:tcPr>
            <w:tcW w:w="7158" w:type="dxa"/>
            <w:gridSpan w:val="2"/>
            <w:vAlign w:val="center"/>
          </w:tcPr>
          <w:p w14:paraId="3EA3F5FC">
            <w:pPr>
              <w:pStyle w:val="26"/>
              <w:spacing w:line="340" w:lineRule="exact"/>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rPr>
              <w:t>1分标、2分标、4分标</w:t>
            </w:r>
            <w:r>
              <w:rPr>
                <w:rFonts w:hint="eastAsia" w:hAnsi="宋体" w:cs="宋体"/>
                <w:b/>
                <w:bCs/>
                <w:color w:val="auto"/>
                <w:kern w:val="2"/>
                <w:sz w:val="24"/>
                <w:szCs w:val="24"/>
                <w:highlight w:val="none"/>
                <w:lang w:val="en-US" w:eastAsia="zh-CN"/>
              </w:rPr>
              <w:t>投标报价:</w:t>
            </w:r>
          </w:p>
          <w:p w14:paraId="32CD2B85">
            <w:pPr>
              <w:pStyle w:val="26"/>
              <w:spacing w:line="340" w:lineRule="exact"/>
              <w:rPr>
                <w:rFonts w:hint="eastAsia" w:ascii="宋体" w:hAnsi="宋体" w:eastAsia="宋体" w:cs="宋体"/>
                <w:b w:val="0"/>
                <w:bCs w:val="0"/>
                <w:color w:val="auto"/>
                <w:kern w:val="2"/>
                <w:sz w:val="21"/>
                <w:highlight w:val="none"/>
              </w:rPr>
            </w:pPr>
            <w:r>
              <w:rPr>
                <w:rFonts w:hint="eastAsia" w:hAnsi="宋体" w:cs="宋体"/>
                <w:b w:val="0"/>
                <w:bCs w:val="0"/>
                <w:color w:val="auto"/>
                <w:kern w:val="2"/>
                <w:sz w:val="21"/>
                <w:highlight w:val="none"/>
                <w:lang w:eastAsia="zh-CN"/>
              </w:rPr>
              <w:t>（</w:t>
            </w:r>
            <w:r>
              <w:rPr>
                <w:rFonts w:hint="eastAsia" w:hAnsi="宋体" w:cs="宋体"/>
                <w:b w:val="0"/>
                <w:bCs w:val="0"/>
                <w:color w:val="auto"/>
                <w:kern w:val="2"/>
                <w:sz w:val="21"/>
                <w:highlight w:val="none"/>
                <w:lang w:val="en-US" w:eastAsia="zh-CN"/>
              </w:rPr>
              <w:t>1</w:t>
            </w:r>
            <w:r>
              <w:rPr>
                <w:rFonts w:hint="eastAsia" w:hAnsi="宋体" w:cs="宋体"/>
                <w:b w:val="0"/>
                <w:bCs w:val="0"/>
                <w:color w:val="auto"/>
                <w:kern w:val="2"/>
                <w:sz w:val="21"/>
                <w:highlight w:val="none"/>
                <w:lang w:eastAsia="zh-CN"/>
              </w:rPr>
              <w:t>）</w:t>
            </w:r>
            <w:r>
              <w:rPr>
                <w:rFonts w:hint="eastAsia" w:ascii="宋体" w:hAnsi="宋体" w:eastAsia="宋体" w:cs="宋体"/>
                <w:b w:val="0"/>
                <w:bCs w:val="0"/>
                <w:color w:val="auto"/>
                <w:kern w:val="2"/>
                <w:sz w:val="21"/>
                <w:highlight w:val="none"/>
              </w:rPr>
              <w:t>政府采购政策扣除</w:t>
            </w:r>
          </w:p>
          <w:p w14:paraId="10DEE356">
            <w:pPr>
              <w:pStyle w:val="26"/>
              <w:spacing w:line="340" w:lineRule="exact"/>
              <w:ind w:firstLine="40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本</w:t>
            </w:r>
            <w:r>
              <w:rPr>
                <w:rFonts w:hint="eastAsia" w:hAnsi="宋体" w:cs="宋体"/>
                <w:b w:val="0"/>
                <w:bCs w:val="0"/>
                <w:color w:val="auto"/>
                <w:highlight w:val="none"/>
                <w:lang w:val="en-US" w:eastAsia="zh-CN"/>
              </w:rPr>
              <w:t>分标</w:t>
            </w:r>
            <w:r>
              <w:rPr>
                <w:rFonts w:hint="eastAsia" w:ascii="宋体" w:hAnsi="宋体" w:eastAsia="宋体" w:cs="宋体"/>
                <w:b w:val="0"/>
                <w:bCs w:val="0"/>
                <w:color w:val="auto"/>
                <w:highlight w:val="none"/>
              </w:rPr>
              <w:t>为专门面向中小企业采购，不再执行价格优惠政策。</w:t>
            </w:r>
          </w:p>
          <w:p w14:paraId="0C51D1FD">
            <w:pPr>
              <w:pStyle w:val="26"/>
              <w:spacing w:line="340" w:lineRule="exact"/>
              <w:outlineLvl w:val="0"/>
              <w:rPr>
                <w:rFonts w:hint="eastAsia" w:ascii="宋体" w:hAnsi="宋体" w:eastAsia="宋体" w:cs="宋体"/>
                <w:b w:val="0"/>
                <w:bCs w:val="0"/>
                <w:color w:val="auto"/>
                <w:sz w:val="21"/>
                <w:highlight w:val="none"/>
              </w:rPr>
            </w:pPr>
            <w:bookmarkStart w:id="140" w:name="_Toc12995"/>
            <w:bookmarkStart w:id="141" w:name="_Toc2403"/>
            <w:r>
              <w:rPr>
                <w:rFonts w:hint="eastAsia" w:hAnsi="宋体" w:cs="宋体"/>
                <w:b w:val="0"/>
                <w:bCs w:val="0"/>
                <w:color w:val="auto"/>
                <w:sz w:val="21"/>
                <w:highlight w:val="none"/>
                <w:lang w:eastAsia="zh-CN"/>
              </w:rPr>
              <w:t>（</w:t>
            </w:r>
            <w:r>
              <w:rPr>
                <w:rFonts w:hint="eastAsia" w:hAnsi="宋体" w:cs="宋体"/>
                <w:b w:val="0"/>
                <w:bCs w:val="0"/>
                <w:color w:val="auto"/>
                <w:sz w:val="21"/>
                <w:highlight w:val="none"/>
                <w:lang w:val="en-US" w:eastAsia="zh-CN"/>
              </w:rPr>
              <w:t>2</w:t>
            </w:r>
            <w:r>
              <w:rPr>
                <w:rFonts w:hint="eastAsia" w:hAnsi="宋体" w:cs="宋体"/>
                <w:b w:val="0"/>
                <w:bCs w:val="0"/>
                <w:color w:val="auto"/>
                <w:sz w:val="21"/>
                <w:highlight w:val="none"/>
                <w:lang w:eastAsia="zh-CN"/>
              </w:rPr>
              <w:t>）</w:t>
            </w:r>
            <w:r>
              <w:rPr>
                <w:rFonts w:hint="eastAsia" w:ascii="宋体" w:hAnsi="宋体" w:eastAsia="宋体" w:cs="宋体"/>
                <w:b w:val="0"/>
                <w:bCs w:val="0"/>
                <w:color w:val="auto"/>
                <w:sz w:val="21"/>
                <w:highlight w:val="none"/>
              </w:rPr>
              <w:t>投标报价分</w:t>
            </w:r>
            <w:bookmarkEnd w:id="140"/>
            <w:bookmarkEnd w:id="141"/>
          </w:p>
          <w:p w14:paraId="2F31D61A">
            <w:pPr>
              <w:pStyle w:val="26"/>
              <w:spacing w:line="340" w:lineRule="exact"/>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bCs/>
                <w:color w:val="auto"/>
                <w:sz w:val="21"/>
                <w:highlight w:val="none"/>
              </w:rPr>
              <w:t>投标报价分采用低价优先法计算，满足招标文件要求且评标价最低的有效投标人的投标报价为评标基准价，其投标报价分为满分。</w:t>
            </w:r>
          </w:p>
          <w:p w14:paraId="769B20B1">
            <w:pPr>
              <w:pStyle w:val="26"/>
              <w:spacing w:line="340" w:lineRule="exact"/>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2、其他投标人的价格分统一按照下列公式计算：</w:t>
            </w:r>
          </w:p>
          <w:p w14:paraId="1E4D9BC6">
            <w:pPr>
              <w:pStyle w:val="26"/>
              <w:spacing w:line="340" w:lineRule="exact"/>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某有效投标人的投标报价分=（评标基准价／某有效投标人投标报价）× 30分</w:t>
            </w:r>
          </w:p>
          <w:p w14:paraId="378C8C68">
            <w:pPr>
              <w:pStyle w:val="26"/>
              <w:spacing w:line="340" w:lineRule="exact"/>
              <w:rPr>
                <w:rFonts w:hint="eastAsia" w:ascii="宋体" w:hAnsi="宋体" w:eastAsia="宋体" w:cs="宋体"/>
                <w:b/>
                <w:bCs/>
                <w:color w:val="auto"/>
                <w:kern w:val="2"/>
                <w:sz w:val="24"/>
                <w:szCs w:val="24"/>
                <w:highlight w:val="none"/>
                <w:lang w:val="en-US" w:eastAsia="zh-CN"/>
              </w:rPr>
            </w:pPr>
          </w:p>
          <w:p w14:paraId="73660B39">
            <w:pPr>
              <w:pStyle w:val="26"/>
              <w:spacing w:line="340" w:lineRule="exact"/>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3</w:t>
            </w:r>
            <w:r>
              <w:rPr>
                <w:rFonts w:hint="eastAsia" w:ascii="宋体" w:hAnsi="宋体" w:eastAsia="宋体" w:cs="宋体"/>
                <w:b/>
                <w:bCs/>
                <w:color w:val="auto"/>
                <w:kern w:val="2"/>
                <w:sz w:val="24"/>
                <w:szCs w:val="24"/>
                <w:highlight w:val="none"/>
              </w:rPr>
              <w:t>分标</w:t>
            </w:r>
            <w:r>
              <w:rPr>
                <w:rFonts w:hint="eastAsia" w:ascii="宋体" w:hAnsi="宋体" w:eastAsia="宋体" w:cs="宋体"/>
                <w:b/>
                <w:bCs/>
                <w:color w:val="auto"/>
                <w:kern w:val="2"/>
                <w:sz w:val="24"/>
                <w:szCs w:val="24"/>
                <w:highlight w:val="none"/>
                <w:lang w:val="en-US" w:eastAsia="zh-CN"/>
              </w:rPr>
              <w:t>投标报价:</w:t>
            </w:r>
          </w:p>
          <w:p w14:paraId="086A452F">
            <w:pPr>
              <w:spacing w:line="312"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（1）以满足招标文件要求且投标价格最低的投标报价为评标基准价，其价格分为满分。</w:t>
            </w:r>
          </w:p>
          <w:p w14:paraId="03AEC100">
            <w:pPr>
              <w:pStyle w:val="26"/>
              <w:spacing w:line="340" w:lineRule="exact"/>
              <w:ind w:firstLine="400" w:firstLineChars="200"/>
              <w:rPr>
                <w:rFonts w:hAnsi="宋体" w:cs="宋体"/>
                <w:bCs/>
                <w:color w:val="auto"/>
                <w:szCs w:val="21"/>
                <w:highlight w:val="none"/>
              </w:rPr>
            </w:pPr>
            <w:r>
              <w:rPr>
                <w:rFonts w:hint="eastAsia" w:hAnsi="宋体" w:cs="宋体"/>
                <w:bCs/>
                <w:color w:val="auto"/>
                <w:szCs w:val="21"/>
                <w:highlight w:val="none"/>
              </w:rPr>
              <w:t>（2）</w:t>
            </w:r>
            <w:r>
              <w:rPr>
                <w:rFonts w:hint="eastAsia" w:ascii="宋体" w:hAnsi="宋体" w:eastAsia="宋体" w:cs="宋体"/>
                <w:b w:val="0"/>
                <w:bCs w:val="0"/>
                <w:color w:val="auto"/>
                <w:highlight w:val="none"/>
              </w:rPr>
              <w:t>本</w:t>
            </w:r>
            <w:r>
              <w:rPr>
                <w:rFonts w:hint="eastAsia" w:hAnsi="宋体" w:cs="宋体"/>
                <w:b w:val="0"/>
                <w:bCs w:val="0"/>
                <w:color w:val="auto"/>
                <w:highlight w:val="none"/>
                <w:lang w:val="en-US" w:eastAsia="zh-CN"/>
              </w:rPr>
              <w:t>分标</w:t>
            </w:r>
            <w:r>
              <w:rPr>
                <w:rFonts w:hint="eastAsia" w:ascii="宋体" w:hAnsi="宋体" w:eastAsia="宋体" w:cs="宋体"/>
                <w:b w:val="0"/>
                <w:bCs w:val="0"/>
                <w:color w:val="auto"/>
                <w:highlight w:val="none"/>
              </w:rPr>
              <w:t>为</w:t>
            </w:r>
            <w:r>
              <w:rPr>
                <w:rFonts w:hint="eastAsia" w:ascii="宋体" w:hAnsi="宋体" w:eastAsia="宋体" w:cs="宋体"/>
                <w:b w:val="0"/>
                <w:bCs w:val="0"/>
                <w:color w:val="auto"/>
                <w:highlight w:val="none"/>
                <w:lang w:val="en-US" w:eastAsia="zh-CN"/>
              </w:rPr>
              <w:t>非</w:t>
            </w:r>
            <w:r>
              <w:rPr>
                <w:rFonts w:hint="eastAsia" w:ascii="宋体" w:hAnsi="宋体" w:eastAsia="宋体" w:cs="宋体"/>
                <w:b w:val="0"/>
                <w:bCs w:val="0"/>
                <w:color w:val="auto"/>
                <w:highlight w:val="none"/>
              </w:rPr>
              <w:t>专门面向中小企业采购，执行价格优惠政策。</w:t>
            </w:r>
            <w:r>
              <w:rPr>
                <w:rFonts w:hint="eastAsia" w:hAnsi="宋体" w:cs="宋体"/>
                <w:bCs/>
                <w:color w:val="auto"/>
                <w:szCs w:val="21"/>
                <w:highlight w:val="none"/>
              </w:rPr>
              <w:t>因落实政府采购政策进行价格调整的，以调整后的价格计算评标基准价和投标报价：</w:t>
            </w:r>
          </w:p>
          <w:p w14:paraId="7255F554">
            <w:pPr>
              <w:pStyle w:val="26"/>
              <w:spacing w:line="312" w:lineRule="auto"/>
              <w:ind w:firstLine="400" w:firstLineChars="200"/>
              <w:rPr>
                <w:rFonts w:hint="eastAsia" w:hAnsi="宋体" w:cs="宋体"/>
                <w:bCs/>
                <w:color w:val="auto"/>
                <w:szCs w:val="21"/>
                <w:highlight w:val="none"/>
              </w:rPr>
            </w:pPr>
            <w:r>
              <w:rPr>
                <w:rFonts w:hint="eastAsia" w:hAnsi="宋体" w:cs="宋体"/>
                <w:bCs/>
                <w:color w:val="auto"/>
                <w:szCs w:val="21"/>
                <w:highlight w:val="none"/>
              </w:rPr>
              <w:t>①</w:t>
            </w:r>
            <w:r>
              <w:rPr>
                <w:rFonts w:hint="eastAsia" w:ascii="宋体" w:hAnsi="宋体"/>
                <w:color w:val="auto"/>
                <w:szCs w:val="21"/>
                <w:highlight w:val="none"/>
              </w:rPr>
              <w:t>按《政府采购促进中小企业发展管理办法》财库〔2020〕46号及《广西壮族自治区财政厅关于持续优化政府采购营商环境推动高质量发展的通知》（桂财采〔</w:t>
            </w:r>
            <w:r>
              <w:rPr>
                <w:rFonts w:hint="eastAsia" w:hAnsi="宋体"/>
                <w:color w:val="auto"/>
                <w:szCs w:val="21"/>
                <w:highlight w:val="none"/>
                <w:lang w:eastAsia="zh-CN"/>
              </w:rPr>
              <w:t>2025</w:t>
            </w:r>
            <w:r>
              <w:rPr>
                <w:rFonts w:hint="eastAsia" w:ascii="宋体" w:hAnsi="宋体"/>
                <w:color w:val="auto"/>
                <w:szCs w:val="21"/>
                <w:highlight w:val="none"/>
              </w:rPr>
              <w:t>〕55 号）的规定</w:t>
            </w:r>
            <w:r>
              <w:rPr>
                <w:rFonts w:hint="eastAsia" w:hAnsi="宋体" w:cs="宋体"/>
                <w:bCs/>
                <w:color w:val="auto"/>
                <w:szCs w:val="21"/>
                <w:highlight w:val="none"/>
              </w:rPr>
              <w:t>,投标人在其投标文件中提供《中小企业声明函》，</w:t>
            </w:r>
            <w:r>
              <w:rPr>
                <w:rFonts w:hint="eastAsia" w:hAnsi="宋体" w:cs="宋体"/>
                <w:color w:val="auto"/>
                <w:szCs w:val="21"/>
                <w:highlight w:val="none"/>
              </w:rPr>
              <w:t>且提供的货物</w:t>
            </w:r>
            <w:r>
              <w:rPr>
                <w:rFonts w:hint="eastAsia" w:hAnsi="宋体" w:cs="宋体"/>
                <w:color w:val="auto"/>
                <w:szCs w:val="21"/>
                <w:highlight w:val="none"/>
                <w:lang w:eastAsia="zh-CN"/>
              </w:rPr>
              <w:t>（</w:t>
            </w:r>
            <w:r>
              <w:rPr>
                <w:rFonts w:hint="eastAsia" w:hAnsi="宋体" w:cs="宋体"/>
                <w:color w:val="auto"/>
                <w:szCs w:val="21"/>
                <w:highlight w:val="none"/>
                <w:lang w:val="en-US" w:eastAsia="zh-CN"/>
              </w:rPr>
              <w:t>系统</w:t>
            </w:r>
            <w:r>
              <w:rPr>
                <w:rFonts w:hint="eastAsia" w:hAnsi="宋体" w:cs="宋体"/>
                <w:color w:val="auto"/>
                <w:szCs w:val="21"/>
                <w:highlight w:val="none"/>
                <w:lang w:eastAsia="zh-CN"/>
              </w:rPr>
              <w:t>）</w:t>
            </w:r>
            <w:r>
              <w:rPr>
                <w:rFonts w:hint="eastAsia" w:hAnsi="宋体" w:cs="宋体"/>
                <w:color w:val="auto"/>
                <w:szCs w:val="21"/>
                <w:highlight w:val="none"/>
              </w:rPr>
              <w:t>全部由符合政策要求的小型、微型企业制造，即货物</w:t>
            </w:r>
            <w:r>
              <w:rPr>
                <w:rFonts w:hint="eastAsia" w:hAnsi="宋体" w:cs="宋体"/>
                <w:color w:val="auto"/>
                <w:szCs w:val="21"/>
                <w:highlight w:val="none"/>
                <w:lang w:eastAsia="zh-CN"/>
              </w:rPr>
              <w:t>（</w:t>
            </w:r>
            <w:r>
              <w:rPr>
                <w:rFonts w:hint="eastAsia" w:hAnsi="宋体" w:cs="宋体"/>
                <w:color w:val="auto"/>
                <w:szCs w:val="21"/>
                <w:highlight w:val="none"/>
                <w:lang w:val="en-US" w:eastAsia="zh-CN"/>
              </w:rPr>
              <w:t>系统</w:t>
            </w:r>
            <w:r>
              <w:rPr>
                <w:rFonts w:hint="eastAsia" w:hAnsi="宋体" w:cs="宋体"/>
                <w:color w:val="auto"/>
                <w:szCs w:val="21"/>
                <w:highlight w:val="none"/>
                <w:lang w:eastAsia="zh-CN"/>
              </w:rPr>
              <w:t>）</w:t>
            </w:r>
            <w:r>
              <w:rPr>
                <w:rFonts w:hint="eastAsia" w:hAnsi="宋体" w:cs="宋体"/>
                <w:color w:val="auto"/>
                <w:szCs w:val="21"/>
                <w:highlight w:val="none"/>
              </w:rPr>
              <w:t>由小型、微型企业生产且使用该小型、微型企业商号或者注册商标</w:t>
            </w:r>
            <w:r>
              <w:rPr>
                <w:rFonts w:hint="eastAsia" w:hAnsi="宋体" w:cs="宋体"/>
                <w:bCs/>
                <w:color w:val="auto"/>
                <w:szCs w:val="21"/>
                <w:highlight w:val="none"/>
              </w:rPr>
              <w:t>，对其最后报价给予</w:t>
            </w:r>
            <w:r>
              <w:rPr>
                <w:rFonts w:hint="eastAsia" w:hAnsi="宋体" w:cs="宋体"/>
                <w:bCs/>
                <w:color w:val="auto"/>
                <w:szCs w:val="21"/>
                <w:highlight w:val="none"/>
                <w:lang w:val="en-US" w:eastAsia="zh-CN"/>
              </w:rPr>
              <w:t>1</w:t>
            </w:r>
            <w:r>
              <w:rPr>
                <w:rFonts w:hint="eastAsia" w:hAnsi="宋体" w:cs="宋体"/>
                <w:bCs/>
                <w:color w:val="auto"/>
                <w:szCs w:val="21"/>
                <w:highlight w:val="none"/>
              </w:rPr>
              <w:t>0%的扣除。</w:t>
            </w:r>
          </w:p>
          <w:p w14:paraId="6D8C648F">
            <w:pPr>
              <w:pStyle w:val="26"/>
              <w:spacing w:line="312" w:lineRule="auto"/>
              <w:ind w:firstLine="400" w:firstLineChars="200"/>
              <w:rPr>
                <w:rFonts w:hAnsi="宋体" w:cs="宋体"/>
                <w:bCs/>
                <w:color w:val="auto"/>
                <w:szCs w:val="21"/>
                <w:highlight w:val="none"/>
              </w:rPr>
            </w:pPr>
            <w:r>
              <w:rPr>
                <w:rFonts w:hint="eastAsia" w:hAnsi="宋体" w:cs="宋体"/>
                <w:bCs/>
                <w:color w:val="auto"/>
                <w:szCs w:val="21"/>
                <w:highlight w:val="none"/>
              </w:rPr>
              <w:t>②按照《财政部、司法部关于政府采购支持监狱企业发展有关问题的通知》（财库〔2014〕68号）的规定，监狱企业视同小型、微型企业，享受小型、微型企业评审时投标价格给予</w:t>
            </w:r>
            <w:r>
              <w:rPr>
                <w:rFonts w:hint="eastAsia" w:hAnsi="宋体" w:cs="宋体"/>
                <w:bCs/>
                <w:color w:val="auto"/>
                <w:szCs w:val="21"/>
                <w:highlight w:val="none"/>
                <w:lang w:val="en-US" w:eastAsia="zh-CN"/>
              </w:rPr>
              <w:t>1</w:t>
            </w:r>
            <w:r>
              <w:rPr>
                <w:rFonts w:hint="eastAsia" w:hAnsi="宋体" w:cs="宋体"/>
                <w:bCs/>
                <w:color w:val="auto"/>
                <w:szCs w:val="21"/>
                <w:highlight w:val="none"/>
              </w:rPr>
              <w:t>0%扣除的政府采购政策。</w:t>
            </w:r>
          </w:p>
          <w:p w14:paraId="7BA68944">
            <w:pPr>
              <w:pStyle w:val="26"/>
              <w:spacing w:line="312" w:lineRule="auto"/>
              <w:ind w:firstLine="400" w:firstLineChars="200"/>
              <w:rPr>
                <w:rFonts w:hAnsi="宋体" w:cs="宋体"/>
                <w:bCs/>
                <w:color w:val="auto"/>
                <w:szCs w:val="21"/>
                <w:highlight w:val="none"/>
              </w:rPr>
            </w:pPr>
            <w:r>
              <w:rPr>
                <w:rFonts w:hint="eastAsia" w:hAnsi="宋体" w:cs="宋体"/>
                <w:bCs/>
                <w:color w:val="auto"/>
                <w:szCs w:val="21"/>
                <w:highlight w:val="none"/>
              </w:rPr>
              <w:t>③按照《关于促进残疾人就业政府采购政策的通知》（财库〔2017〕141号）的规定，残疾人福利性单位视同小型、微型企业，享受小型、微型企业评审时投标价格给予</w:t>
            </w:r>
            <w:r>
              <w:rPr>
                <w:rFonts w:hint="eastAsia" w:hAnsi="宋体" w:cs="宋体"/>
                <w:bCs/>
                <w:color w:val="auto"/>
                <w:szCs w:val="21"/>
                <w:highlight w:val="none"/>
                <w:lang w:val="en-US" w:eastAsia="zh-CN"/>
              </w:rPr>
              <w:t>1</w:t>
            </w:r>
            <w:r>
              <w:rPr>
                <w:rFonts w:hint="eastAsia" w:hAnsi="宋体" w:cs="宋体"/>
                <w:bCs/>
                <w:color w:val="auto"/>
                <w:szCs w:val="21"/>
                <w:highlight w:val="none"/>
              </w:rPr>
              <w:t>0%扣除的政府采购政策。</w:t>
            </w:r>
          </w:p>
          <w:p w14:paraId="726DB26B">
            <w:pPr>
              <w:pStyle w:val="26"/>
              <w:spacing w:line="312" w:lineRule="auto"/>
              <w:ind w:firstLine="400" w:firstLineChars="200"/>
              <w:rPr>
                <w:rFonts w:hAnsi="宋体" w:cs="宋体"/>
                <w:bCs/>
                <w:color w:val="auto"/>
                <w:szCs w:val="21"/>
                <w:highlight w:val="none"/>
              </w:rPr>
            </w:pPr>
            <w:r>
              <w:rPr>
                <w:rFonts w:hint="eastAsia" w:hAnsi="宋体" w:cs="宋体"/>
                <w:bCs/>
                <w:color w:val="auto"/>
                <w:szCs w:val="21"/>
                <w:highlight w:val="none"/>
              </w:rPr>
              <w:t>（3）政策性扣除计算方法。</w:t>
            </w:r>
          </w:p>
          <w:p w14:paraId="4D7824E3">
            <w:pPr>
              <w:pStyle w:val="26"/>
              <w:spacing w:line="312" w:lineRule="auto"/>
              <w:ind w:firstLine="400" w:firstLineChars="200"/>
              <w:rPr>
                <w:rFonts w:hAnsi="宋体" w:cs="宋体"/>
                <w:bCs/>
                <w:color w:val="auto"/>
                <w:szCs w:val="21"/>
                <w:highlight w:val="none"/>
              </w:rPr>
            </w:pPr>
            <w:r>
              <w:rPr>
                <w:rFonts w:hint="eastAsia" w:hAnsi="宋体" w:cs="宋体"/>
                <w:bCs/>
                <w:color w:val="auto"/>
                <w:szCs w:val="21"/>
                <w:highlight w:val="none"/>
              </w:rPr>
              <w:t>在设备采购项目中，设备由监狱企业或残疾人福利性单位或小型或微型的企业</w:t>
            </w:r>
            <w:r>
              <w:rPr>
                <w:rFonts w:hint="eastAsia" w:hAnsi="宋体" w:cs="宋体"/>
                <w:bCs/>
                <w:color w:val="auto"/>
                <w:szCs w:val="21"/>
                <w:highlight w:val="none"/>
                <w:lang w:val="en-US" w:eastAsia="zh-CN"/>
              </w:rPr>
              <w:t>制造</w:t>
            </w:r>
            <w:r>
              <w:rPr>
                <w:rFonts w:hint="eastAsia" w:hAnsi="宋体" w:cs="宋体"/>
                <w:bCs/>
                <w:color w:val="auto"/>
                <w:szCs w:val="21"/>
                <w:highlight w:val="none"/>
              </w:rPr>
              <w:t>的，该投标报价给予</w:t>
            </w:r>
            <w:r>
              <w:rPr>
                <w:rFonts w:hint="eastAsia" w:hAnsi="宋体" w:cs="宋体"/>
                <w:bCs/>
                <w:color w:val="auto"/>
                <w:szCs w:val="21"/>
                <w:highlight w:val="none"/>
                <w:lang w:val="en-US" w:eastAsia="zh-CN"/>
              </w:rPr>
              <w:t>1</w:t>
            </w:r>
            <w:r>
              <w:rPr>
                <w:rFonts w:hint="eastAsia" w:hAnsi="宋体" w:cs="宋体"/>
                <w:bCs/>
                <w:color w:val="auto"/>
                <w:szCs w:val="21"/>
                <w:highlight w:val="none"/>
              </w:rPr>
              <w:t>0%的扣除，用扣除后的价格参与评审（计算价格分）；大中型企业和其他自然人、法人或者其他组织与小型、微型企业组成联合体投标，且联合体协议中约定小型、微型企业的协议合同金额占到联合体协议合同总金额30%以上的，联合体投标价给予</w:t>
            </w:r>
            <w:r>
              <w:rPr>
                <w:rFonts w:hint="eastAsia" w:hAnsi="宋体" w:cs="宋体"/>
                <w:bCs/>
                <w:color w:val="auto"/>
                <w:szCs w:val="21"/>
                <w:highlight w:val="none"/>
                <w:lang w:val="en-US" w:eastAsia="zh-CN"/>
              </w:rPr>
              <w:t>3</w:t>
            </w:r>
            <w:r>
              <w:rPr>
                <w:rFonts w:hint="eastAsia" w:hAnsi="宋体" w:cs="宋体"/>
                <w:bCs/>
                <w:color w:val="auto"/>
                <w:szCs w:val="21"/>
                <w:highlight w:val="none"/>
              </w:rPr>
              <w:t>%的扣除，用扣除后的价格参与评审（计算价格分）。</w:t>
            </w:r>
          </w:p>
          <w:p w14:paraId="2D53957C">
            <w:pPr>
              <w:pStyle w:val="26"/>
              <w:spacing w:line="312" w:lineRule="auto"/>
              <w:ind w:firstLine="400" w:firstLineChars="200"/>
              <w:rPr>
                <w:rFonts w:hAnsi="宋体" w:cs="宋体"/>
                <w:bCs/>
                <w:color w:val="auto"/>
                <w:szCs w:val="21"/>
                <w:highlight w:val="none"/>
              </w:rPr>
            </w:pPr>
            <w:r>
              <w:rPr>
                <w:rFonts w:hint="eastAsia" w:hAnsi="宋体" w:cs="宋体"/>
                <w:bCs/>
                <w:color w:val="auto"/>
                <w:szCs w:val="21"/>
                <w:highlight w:val="none"/>
              </w:rPr>
              <w:t>投标人既属于残疾人福利性单位又属于小型、微型企业的，其报价只能享受一次的扣除，不重复享受政策。</w:t>
            </w:r>
          </w:p>
          <w:p w14:paraId="31E5CAF2">
            <w:pPr>
              <w:widowControl/>
              <w:spacing w:line="312"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（4）价格分计算公式：</w:t>
            </w:r>
            <w:r>
              <w:rPr>
                <w:rFonts w:hint="eastAsia" w:ascii="宋体" w:hAnsi="宋体"/>
                <w:bCs/>
                <w:color w:val="auto"/>
                <w:kern w:val="0"/>
                <w:szCs w:val="21"/>
                <w:highlight w:val="none"/>
              </w:rPr>
              <w:t>投标报价得分</w:t>
            </w:r>
            <w:r>
              <w:rPr>
                <w:rFonts w:ascii="宋体" w:hAnsi="宋体"/>
                <w:bCs/>
                <w:color w:val="auto"/>
                <w:kern w:val="0"/>
                <w:szCs w:val="21"/>
                <w:highlight w:val="none"/>
              </w:rPr>
              <w:t>=</w:t>
            </w:r>
            <w:r>
              <w:rPr>
                <w:rFonts w:hint="eastAsia" w:ascii="宋体" w:hAnsi="宋体"/>
                <w:bCs/>
                <w:color w:val="auto"/>
                <w:kern w:val="0"/>
                <w:szCs w:val="21"/>
                <w:highlight w:val="none"/>
              </w:rPr>
              <w:t>（评标基准价</w:t>
            </w:r>
            <w:r>
              <w:rPr>
                <w:rFonts w:ascii="宋体" w:hAnsi="宋体"/>
                <w:bCs/>
                <w:color w:val="auto"/>
                <w:kern w:val="0"/>
                <w:szCs w:val="21"/>
                <w:highlight w:val="none"/>
              </w:rPr>
              <w:t>/</w:t>
            </w:r>
            <w:r>
              <w:rPr>
                <w:rFonts w:hint="eastAsia" w:ascii="宋体" w:hAnsi="宋体"/>
                <w:bCs/>
                <w:color w:val="auto"/>
                <w:kern w:val="0"/>
                <w:szCs w:val="21"/>
                <w:highlight w:val="none"/>
              </w:rPr>
              <w:t>投标报价）×</w:t>
            </w:r>
            <w:r>
              <w:rPr>
                <w:rFonts w:hint="eastAsia" w:ascii="宋体" w:hAnsi="宋体"/>
                <w:bCs/>
                <w:color w:val="auto"/>
                <w:kern w:val="0"/>
                <w:szCs w:val="21"/>
                <w:highlight w:val="none"/>
                <w:lang w:val="en-US" w:eastAsia="zh-CN"/>
              </w:rPr>
              <w:t>3</w:t>
            </w:r>
            <w:r>
              <w:rPr>
                <w:rFonts w:hint="eastAsia" w:ascii="宋体" w:hAnsi="宋体"/>
                <w:bCs/>
                <w:color w:val="auto"/>
                <w:kern w:val="0"/>
                <w:szCs w:val="21"/>
                <w:highlight w:val="none"/>
              </w:rPr>
              <w:t>0分</w:t>
            </w:r>
          </w:p>
          <w:p w14:paraId="587C425B">
            <w:pPr>
              <w:pStyle w:val="26"/>
              <w:spacing w:line="340" w:lineRule="exact"/>
              <w:ind w:firstLine="400" w:firstLineChars="200"/>
              <w:rPr>
                <w:rFonts w:hint="eastAsia" w:ascii="宋体" w:hAnsi="宋体" w:eastAsia="宋体" w:cs="宋体"/>
                <w:color w:val="auto"/>
                <w:highlight w:val="none"/>
              </w:rPr>
            </w:pPr>
            <w:r>
              <w:rPr>
                <w:rFonts w:hint="eastAsia" w:hAnsi="宋体" w:cs="宋体"/>
                <w:bCs/>
                <w:color w:val="auto"/>
                <w:szCs w:val="21"/>
                <w:highlight w:val="none"/>
              </w:rPr>
              <w:t>注：投标报价计算时均为投标人的实际投标报价进行政策性扣除后的价格，最终中标金额＝投标报价。</w:t>
            </w:r>
          </w:p>
        </w:tc>
      </w:tr>
      <w:tr w14:paraId="4D537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730" w:type="dxa"/>
            <w:vMerge w:val="restart"/>
            <w:vAlign w:val="center"/>
          </w:tcPr>
          <w:p w14:paraId="63C06E5F">
            <w:pPr>
              <w:adjustRightInd w:val="0"/>
              <w:spacing w:line="340" w:lineRule="exact"/>
              <w:jc w:val="center"/>
              <w:textAlignment w:val="baseline"/>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w:t>
            </w:r>
          </w:p>
        </w:tc>
        <w:tc>
          <w:tcPr>
            <w:tcW w:w="1280" w:type="dxa"/>
            <w:vMerge w:val="restart"/>
            <w:vAlign w:val="center"/>
          </w:tcPr>
          <w:p w14:paraId="66173D3C">
            <w:pPr>
              <w:adjustRightInd w:val="0"/>
              <w:spacing w:line="340" w:lineRule="exact"/>
              <w:jc w:val="center"/>
              <w:textAlignment w:val="baseline"/>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技术分</w:t>
            </w:r>
          </w:p>
        </w:tc>
        <w:tc>
          <w:tcPr>
            <w:tcW w:w="709" w:type="dxa"/>
            <w:vMerge w:val="restart"/>
            <w:vAlign w:val="center"/>
          </w:tcPr>
          <w:p w14:paraId="4E1DADE5">
            <w:pPr>
              <w:adjustRightInd w:val="0"/>
              <w:spacing w:line="340" w:lineRule="exact"/>
              <w:jc w:val="center"/>
              <w:textAlignment w:val="baseline"/>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52分</w:t>
            </w:r>
          </w:p>
        </w:tc>
        <w:tc>
          <w:tcPr>
            <w:tcW w:w="1559" w:type="dxa"/>
            <w:vAlign w:val="center"/>
          </w:tcPr>
          <w:p w14:paraId="0BB95D19">
            <w:pPr>
              <w:spacing w:line="340" w:lineRule="exact"/>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2.1基本分（满分35分）</w:t>
            </w:r>
          </w:p>
        </w:tc>
        <w:tc>
          <w:tcPr>
            <w:tcW w:w="5599" w:type="dxa"/>
            <w:vAlign w:val="center"/>
          </w:tcPr>
          <w:p w14:paraId="2F8B6AED">
            <w:pPr>
              <w:spacing w:line="340" w:lineRule="exact"/>
              <w:ind w:firstLine="42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技术参数响应完全满足招标文件要求得35分，一般参数及功能（不带</w:t>
            </w:r>
            <w:r>
              <w:rPr>
                <w:rFonts w:hint="eastAsia" w:ascii="宋体" w:hAnsi="宋体" w:eastAsia="宋体" w:cs="宋体"/>
                <w:color w:val="000000" w:themeColor="text1"/>
                <w:kern w:val="0"/>
                <w:szCs w:val="21"/>
                <w:highlight w:val="none"/>
                <w14:textFill>
                  <w14:solidFill>
                    <w14:schemeClr w14:val="tx1"/>
                  </w14:solidFill>
                </w14:textFill>
              </w:rPr>
              <w:t>▲号</w:t>
            </w:r>
            <w:r>
              <w:rPr>
                <w:rFonts w:hint="eastAsia" w:ascii="宋体" w:hAnsi="宋体" w:eastAsia="宋体" w:cs="宋体"/>
                <w:bCs/>
                <w:color w:val="000000" w:themeColor="text1"/>
                <w:szCs w:val="21"/>
                <w:highlight w:val="none"/>
                <w14:textFill>
                  <w14:solidFill>
                    <w14:schemeClr w14:val="tx1"/>
                  </w14:solidFill>
                </w14:textFill>
              </w:rPr>
              <w:t>的参数）负偏离一项扣5分，漏项的每一项扣5分。</w:t>
            </w:r>
          </w:p>
        </w:tc>
      </w:tr>
      <w:tr w14:paraId="00EF7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730" w:type="dxa"/>
            <w:vMerge w:val="continue"/>
            <w:vAlign w:val="center"/>
          </w:tcPr>
          <w:p w14:paraId="5663ED1F">
            <w:pPr>
              <w:adjustRightInd w:val="0"/>
              <w:spacing w:line="340" w:lineRule="exact"/>
              <w:jc w:val="center"/>
              <w:textAlignment w:val="baseline"/>
              <w:rPr>
                <w:rFonts w:hint="eastAsia" w:ascii="宋体" w:hAnsi="宋体" w:eastAsia="宋体" w:cs="宋体"/>
                <w:b/>
                <w:color w:val="000000" w:themeColor="text1"/>
                <w:szCs w:val="21"/>
                <w:highlight w:val="none"/>
                <w14:textFill>
                  <w14:solidFill>
                    <w14:schemeClr w14:val="tx1"/>
                  </w14:solidFill>
                </w14:textFill>
              </w:rPr>
            </w:pPr>
          </w:p>
        </w:tc>
        <w:tc>
          <w:tcPr>
            <w:tcW w:w="1280" w:type="dxa"/>
            <w:vMerge w:val="continue"/>
            <w:vAlign w:val="center"/>
          </w:tcPr>
          <w:p w14:paraId="1F3F728F">
            <w:pPr>
              <w:adjustRightInd w:val="0"/>
              <w:spacing w:line="340" w:lineRule="exact"/>
              <w:jc w:val="center"/>
              <w:textAlignment w:val="baseline"/>
              <w:rPr>
                <w:rFonts w:hint="eastAsia" w:ascii="宋体" w:hAnsi="宋体" w:eastAsia="宋体" w:cs="宋体"/>
                <w:b/>
                <w:color w:val="000000" w:themeColor="text1"/>
                <w:szCs w:val="21"/>
                <w:highlight w:val="none"/>
                <w14:textFill>
                  <w14:solidFill>
                    <w14:schemeClr w14:val="tx1"/>
                  </w14:solidFill>
                </w14:textFill>
              </w:rPr>
            </w:pPr>
          </w:p>
        </w:tc>
        <w:tc>
          <w:tcPr>
            <w:tcW w:w="709" w:type="dxa"/>
            <w:vMerge w:val="continue"/>
            <w:vAlign w:val="center"/>
          </w:tcPr>
          <w:p w14:paraId="121CAAE5">
            <w:pPr>
              <w:adjustRightInd w:val="0"/>
              <w:spacing w:line="340" w:lineRule="exact"/>
              <w:jc w:val="center"/>
              <w:textAlignment w:val="baseline"/>
              <w:rPr>
                <w:rFonts w:hint="eastAsia" w:ascii="宋体" w:hAnsi="宋体" w:eastAsia="宋体" w:cs="宋体"/>
                <w:b/>
                <w:color w:val="000000" w:themeColor="text1"/>
                <w:szCs w:val="21"/>
                <w:highlight w:val="none"/>
                <w14:textFill>
                  <w14:solidFill>
                    <w14:schemeClr w14:val="tx1"/>
                  </w14:solidFill>
                </w14:textFill>
              </w:rPr>
            </w:pPr>
          </w:p>
        </w:tc>
        <w:tc>
          <w:tcPr>
            <w:tcW w:w="1559" w:type="dxa"/>
            <w:vAlign w:val="center"/>
          </w:tcPr>
          <w:p w14:paraId="20F6B69C">
            <w:pPr>
              <w:spacing w:line="34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2.2货物性能分（满分2分）</w:t>
            </w:r>
          </w:p>
        </w:tc>
        <w:tc>
          <w:tcPr>
            <w:tcW w:w="5599" w:type="dxa"/>
            <w:vAlign w:val="center"/>
          </w:tcPr>
          <w:p w14:paraId="1F0241FC">
            <w:pPr>
              <w:spacing w:line="340" w:lineRule="exact"/>
              <w:ind w:firstLine="42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技术参数完全满足招标文件的前提下，每有一项优于招标文件要求且评标时被评标接受的，得0.5分，满分2分。</w:t>
            </w:r>
          </w:p>
          <w:p w14:paraId="0E0D4131">
            <w:pPr>
              <w:spacing w:line="340" w:lineRule="exact"/>
              <w:ind w:firstLine="42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（技术参数经评标委员会认可并能够提供相应证明材料，证明材料包括但不限于检测报告、技术说明书、彩页等有效材料）</w:t>
            </w:r>
          </w:p>
        </w:tc>
      </w:tr>
      <w:tr w14:paraId="1151A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30" w:type="dxa"/>
            <w:vMerge w:val="continue"/>
            <w:vAlign w:val="center"/>
          </w:tcPr>
          <w:p w14:paraId="63433152">
            <w:pPr>
              <w:spacing w:line="340" w:lineRule="exact"/>
              <w:jc w:val="center"/>
              <w:rPr>
                <w:rFonts w:hint="eastAsia" w:ascii="宋体" w:hAnsi="宋体" w:eastAsia="宋体" w:cs="宋体"/>
                <w:color w:val="000000" w:themeColor="text1"/>
                <w:highlight w:val="none"/>
                <w14:textFill>
                  <w14:solidFill>
                    <w14:schemeClr w14:val="tx1"/>
                  </w14:solidFill>
                </w14:textFill>
              </w:rPr>
            </w:pPr>
          </w:p>
        </w:tc>
        <w:tc>
          <w:tcPr>
            <w:tcW w:w="1280" w:type="dxa"/>
            <w:vMerge w:val="continue"/>
            <w:vAlign w:val="center"/>
          </w:tcPr>
          <w:p w14:paraId="61BF4033">
            <w:pPr>
              <w:spacing w:line="340" w:lineRule="exact"/>
              <w:jc w:val="center"/>
              <w:rPr>
                <w:rFonts w:hint="eastAsia" w:ascii="宋体" w:hAnsi="宋体" w:eastAsia="宋体" w:cs="宋体"/>
                <w:color w:val="000000" w:themeColor="text1"/>
                <w:highlight w:val="none"/>
                <w14:textFill>
                  <w14:solidFill>
                    <w14:schemeClr w14:val="tx1"/>
                  </w14:solidFill>
                </w14:textFill>
              </w:rPr>
            </w:pPr>
          </w:p>
        </w:tc>
        <w:tc>
          <w:tcPr>
            <w:tcW w:w="709" w:type="dxa"/>
            <w:vMerge w:val="continue"/>
            <w:vAlign w:val="center"/>
          </w:tcPr>
          <w:p w14:paraId="62268609">
            <w:pPr>
              <w:spacing w:line="340" w:lineRule="exact"/>
              <w:jc w:val="center"/>
              <w:rPr>
                <w:rFonts w:hint="eastAsia" w:ascii="宋体" w:hAnsi="宋体" w:eastAsia="宋体" w:cs="宋体"/>
                <w:color w:val="000000" w:themeColor="text1"/>
                <w:highlight w:val="none"/>
                <w14:textFill>
                  <w14:solidFill>
                    <w14:schemeClr w14:val="tx1"/>
                  </w14:solidFill>
                </w14:textFill>
              </w:rPr>
            </w:pPr>
          </w:p>
        </w:tc>
        <w:tc>
          <w:tcPr>
            <w:tcW w:w="1559" w:type="dxa"/>
            <w:vAlign w:val="center"/>
          </w:tcPr>
          <w:p w14:paraId="30B39ACF">
            <w:pPr>
              <w:spacing w:line="34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2.3 项目实施方案分（满分15分）</w:t>
            </w:r>
          </w:p>
        </w:tc>
        <w:tc>
          <w:tcPr>
            <w:tcW w:w="5599" w:type="dxa"/>
            <w:vAlign w:val="center"/>
          </w:tcPr>
          <w:p w14:paraId="0DD4180D">
            <w:pPr>
              <w:spacing w:line="340" w:lineRule="exact"/>
              <w:ind w:firstLine="42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评委根据投标供应商提供的项目实施方案（</w:t>
            </w:r>
            <w:r>
              <w:rPr>
                <w:rFonts w:hint="eastAsia" w:ascii="宋体" w:hAnsi="宋体" w:cs="宋体"/>
                <w:color w:val="000000" w:themeColor="text1"/>
                <w:kern w:val="0"/>
                <w:szCs w:val="21"/>
                <w:highlight w:val="none"/>
                <w:lang w:val="en-US" w:eastAsia="zh-CN"/>
                <w14:textFill>
                  <w14:solidFill>
                    <w14:schemeClr w14:val="tx1"/>
                  </w14:solidFill>
                </w14:textFill>
              </w:rPr>
              <w:t>至少包括</w:t>
            </w:r>
            <w:r>
              <w:rPr>
                <w:rFonts w:hint="eastAsia" w:ascii="宋体" w:hAnsi="宋体" w:eastAsia="宋体" w:cs="宋体"/>
                <w:color w:val="000000" w:themeColor="text1"/>
                <w:szCs w:val="21"/>
                <w:highlight w:val="none"/>
                <w14:textFill>
                  <w14:solidFill>
                    <w14:schemeClr w14:val="tx1"/>
                  </w14:solidFill>
                </w14:textFill>
              </w:rPr>
              <w:t>项目前期准备、项目实施计划、技术服务、技术培训、</w:t>
            </w:r>
            <w:r>
              <w:rPr>
                <w:rFonts w:hint="eastAsia" w:ascii="宋体" w:hAnsi="宋体" w:eastAsia="宋体" w:cs="宋体"/>
                <w:bCs/>
                <w:color w:val="000000" w:themeColor="text1"/>
                <w:szCs w:val="21"/>
                <w:highlight w:val="none"/>
                <w14:textFill>
                  <w14:solidFill>
                    <w14:schemeClr w14:val="tx1"/>
                  </w14:solidFill>
                </w14:textFill>
              </w:rPr>
              <w:t>质量保证措施</w:t>
            </w:r>
            <w:r>
              <w:rPr>
                <w:rFonts w:hint="eastAsia" w:ascii="宋体" w:hAnsi="宋体" w:eastAsia="宋体" w:cs="宋体"/>
                <w:color w:val="000000" w:themeColor="text1"/>
                <w:kern w:val="0"/>
                <w:szCs w:val="21"/>
                <w:highlight w:val="none"/>
                <w14:textFill>
                  <w14:solidFill>
                    <w14:schemeClr w14:val="tx1"/>
                  </w14:solidFill>
                </w14:textFill>
              </w:rPr>
              <w:t>）独立评分：</w:t>
            </w:r>
          </w:p>
          <w:p w14:paraId="3679008E">
            <w:pPr>
              <w:widowControl/>
              <w:snapToGrid w:val="0"/>
              <w:spacing w:line="400" w:lineRule="exact"/>
              <w:ind w:firstLine="440"/>
              <w:contextualSpacing/>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一档（0 分）：未提供方案得 0 分。</w:t>
            </w:r>
          </w:p>
          <w:p w14:paraId="780A87D7">
            <w:pPr>
              <w:widowControl/>
              <w:snapToGrid w:val="0"/>
              <w:spacing w:line="400" w:lineRule="exact"/>
              <w:ind w:firstLine="440"/>
              <w:contextualSpacing/>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二档（3分）：方案</w:t>
            </w:r>
            <w:r>
              <w:rPr>
                <w:rFonts w:hint="eastAsia" w:ascii="宋体" w:hAnsi="宋体" w:cs="宋体"/>
                <w:bCs/>
                <w:color w:val="000000" w:themeColor="text1"/>
                <w:szCs w:val="21"/>
                <w:highlight w:val="none"/>
                <w:lang w:val="en-US" w:eastAsia="zh-CN"/>
                <w14:textFill>
                  <w14:solidFill>
                    <w14:schemeClr w14:val="tx1"/>
                  </w14:solidFill>
                </w14:textFill>
              </w:rPr>
              <w:t>内容简单</w:t>
            </w:r>
            <w:r>
              <w:rPr>
                <w:rFonts w:hint="eastAsia" w:ascii="宋体" w:hAnsi="宋体" w:eastAsia="宋体" w:cs="宋体"/>
                <w:bCs/>
                <w:color w:val="000000" w:themeColor="text1"/>
                <w:szCs w:val="21"/>
                <w:highlight w:val="none"/>
                <w14:textFill>
                  <w14:solidFill>
                    <w14:schemeClr w14:val="tx1"/>
                  </w14:solidFill>
                </w14:textFill>
              </w:rPr>
              <w:t>，方案内容不完整。</w:t>
            </w:r>
          </w:p>
          <w:p w14:paraId="1DC5E385">
            <w:pPr>
              <w:widowControl/>
              <w:snapToGrid w:val="0"/>
              <w:spacing w:line="400" w:lineRule="exact"/>
              <w:ind w:firstLine="440"/>
              <w:contextualSpacing/>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三档（</w:t>
            </w:r>
            <w:r>
              <w:rPr>
                <w:rFonts w:hint="eastAsia" w:ascii="宋体" w:hAnsi="宋体" w:cs="宋体"/>
                <w:bCs/>
                <w:color w:val="000000" w:themeColor="text1"/>
                <w:szCs w:val="21"/>
                <w:highlight w:val="none"/>
                <w:lang w:val="en-US" w:eastAsia="zh-CN"/>
                <w14:textFill>
                  <w14:solidFill>
                    <w14:schemeClr w14:val="tx1"/>
                  </w14:solidFill>
                </w14:textFill>
              </w:rPr>
              <w:t>7</w:t>
            </w:r>
            <w:r>
              <w:rPr>
                <w:rFonts w:hint="eastAsia" w:ascii="宋体" w:hAnsi="宋体" w:eastAsia="宋体" w:cs="宋体"/>
                <w:bCs/>
                <w:color w:val="000000" w:themeColor="text1"/>
                <w:szCs w:val="21"/>
                <w:highlight w:val="none"/>
                <w14:textFill>
                  <w14:solidFill>
                    <w14:schemeClr w14:val="tx1"/>
                  </w14:solidFill>
                </w14:textFill>
              </w:rPr>
              <w:t>分）：方案较详细，包含</w:t>
            </w:r>
            <w:r>
              <w:rPr>
                <w:rFonts w:hint="eastAsia" w:ascii="宋体" w:hAnsi="宋体" w:eastAsia="宋体" w:cs="宋体"/>
                <w:color w:val="000000" w:themeColor="text1"/>
                <w:szCs w:val="21"/>
                <w:highlight w:val="none"/>
                <w14:textFill>
                  <w14:solidFill>
                    <w14:schemeClr w14:val="tx1"/>
                  </w14:solidFill>
                </w14:textFill>
              </w:rPr>
              <w:t>项目前期准备、项目实施计划、技术服务、技术培训、</w:t>
            </w:r>
            <w:r>
              <w:rPr>
                <w:rFonts w:hint="eastAsia" w:ascii="宋体" w:hAnsi="宋体" w:eastAsia="宋体" w:cs="宋体"/>
                <w:bCs/>
                <w:color w:val="000000" w:themeColor="text1"/>
                <w:szCs w:val="21"/>
                <w:highlight w:val="none"/>
                <w14:textFill>
                  <w14:solidFill>
                    <w14:schemeClr w14:val="tx1"/>
                  </w14:solidFill>
                </w14:textFill>
              </w:rPr>
              <w:t>质量保证措施，人员配备，整体方案满足要求的。</w:t>
            </w:r>
          </w:p>
          <w:p w14:paraId="1757C4FC">
            <w:pPr>
              <w:widowControl/>
              <w:snapToGrid w:val="0"/>
              <w:spacing w:line="400" w:lineRule="exact"/>
              <w:ind w:firstLine="440"/>
              <w:contextualSpacing/>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四档（1</w:t>
            </w:r>
            <w:r>
              <w:rPr>
                <w:rFonts w:hint="eastAsia" w:ascii="宋体" w:hAnsi="宋体" w:cs="宋体"/>
                <w:bCs/>
                <w:color w:val="000000" w:themeColor="text1"/>
                <w:szCs w:val="21"/>
                <w:highlight w:val="none"/>
                <w:lang w:val="en-US" w:eastAsia="zh-CN"/>
                <w14:textFill>
                  <w14:solidFill>
                    <w14:schemeClr w14:val="tx1"/>
                  </w14:solidFill>
                </w14:textFill>
              </w:rPr>
              <w:t>1</w:t>
            </w:r>
            <w:r>
              <w:rPr>
                <w:rFonts w:hint="eastAsia" w:ascii="宋体" w:hAnsi="宋体" w:eastAsia="宋体" w:cs="宋体"/>
                <w:bCs/>
                <w:color w:val="000000" w:themeColor="text1"/>
                <w:szCs w:val="21"/>
                <w:highlight w:val="none"/>
                <w14:textFill>
                  <w14:solidFill>
                    <w14:schemeClr w14:val="tx1"/>
                  </w14:solidFill>
                </w14:textFill>
              </w:rPr>
              <w:t>分）：方案详细完善，包含</w:t>
            </w:r>
            <w:r>
              <w:rPr>
                <w:rFonts w:hint="eastAsia" w:ascii="宋体" w:hAnsi="宋体" w:eastAsia="宋体" w:cs="宋体"/>
                <w:color w:val="000000" w:themeColor="text1"/>
                <w:szCs w:val="21"/>
                <w:highlight w:val="none"/>
                <w14:textFill>
                  <w14:solidFill>
                    <w14:schemeClr w14:val="tx1"/>
                  </w14:solidFill>
                </w14:textFill>
              </w:rPr>
              <w:t>项目前期准备、项目实施计划、技术服务、技术培训、</w:t>
            </w:r>
            <w:r>
              <w:rPr>
                <w:rFonts w:hint="eastAsia" w:ascii="宋体" w:hAnsi="宋体" w:eastAsia="宋体" w:cs="宋体"/>
                <w:bCs/>
                <w:color w:val="000000" w:themeColor="text1"/>
                <w:szCs w:val="21"/>
                <w:highlight w:val="none"/>
                <w14:textFill>
                  <w14:solidFill>
                    <w14:schemeClr w14:val="tx1"/>
                  </w14:solidFill>
                </w14:textFill>
              </w:rPr>
              <w:t>质量保证措施，人员配备，整体方案能保证项目高质量完成。</w:t>
            </w:r>
          </w:p>
          <w:p w14:paraId="4A8BB429">
            <w:pPr>
              <w:widowControl/>
              <w:snapToGrid w:val="0"/>
              <w:spacing w:line="400" w:lineRule="exact"/>
              <w:ind w:firstLine="440"/>
              <w:contextualSpacing/>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五档（15分）：方案详细全面、完善，包含</w:t>
            </w:r>
            <w:r>
              <w:rPr>
                <w:rFonts w:hint="eastAsia" w:ascii="宋体" w:hAnsi="宋体" w:eastAsia="宋体" w:cs="宋体"/>
                <w:color w:val="000000" w:themeColor="text1"/>
                <w:szCs w:val="21"/>
                <w:highlight w:val="none"/>
                <w14:textFill>
                  <w14:solidFill>
                    <w14:schemeClr w14:val="tx1"/>
                  </w14:solidFill>
                </w14:textFill>
              </w:rPr>
              <w:t>项目前期准备、项目实施计划、技术服务、技术培训、</w:t>
            </w:r>
            <w:r>
              <w:rPr>
                <w:rFonts w:hint="eastAsia" w:ascii="宋体" w:hAnsi="宋体" w:eastAsia="宋体" w:cs="宋体"/>
                <w:bCs/>
                <w:color w:val="000000" w:themeColor="text1"/>
                <w:szCs w:val="21"/>
                <w:highlight w:val="none"/>
                <w14:textFill>
                  <w14:solidFill>
                    <w14:schemeClr w14:val="tx1"/>
                  </w14:solidFill>
                </w14:textFill>
              </w:rPr>
              <w:t>质量保证措施，人员配备，整体方案针对性强，切实满足采购单位工作需求，能保证项目高质量完成。</w:t>
            </w:r>
          </w:p>
        </w:tc>
      </w:tr>
      <w:tr w14:paraId="55FD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30" w:type="dxa"/>
            <w:vMerge w:val="restart"/>
            <w:vAlign w:val="center"/>
          </w:tcPr>
          <w:p w14:paraId="58AA385D">
            <w:pPr>
              <w:adjustRightInd w:val="0"/>
              <w:spacing w:line="340" w:lineRule="exact"/>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w:t>
            </w:r>
          </w:p>
        </w:tc>
        <w:tc>
          <w:tcPr>
            <w:tcW w:w="1280" w:type="dxa"/>
            <w:vMerge w:val="restart"/>
            <w:vAlign w:val="center"/>
          </w:tcPr>
          <w:p w14:paraId="42D6CD35">
            <w:pPr>
              <w:adjustRightInd w:val="0"/>
              <w:spacing w:line="340" w:lineRule="exact"/>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商务分</w:t>
            </w:r>
          </w:p>
        </w:tc>
        <w:tc>
          <w:tcPr>
            <w:tcW w:w="709" w:type="dxa"/>
            <w:vMerge w:val="restart"/>
            <w:vAlign w:val="center"/>
          </w:tcPr>
          <w:p w14:paraId="764FE127">
            <w:pPr>
              <w:adjustRightInd w:val="0"/>
              <w:spacing w:line="340" w:lineRule="exact"/>
              <w:jc w:val="center"/>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18分</w:t>
            </w:r>
          </w:p>
        </w:tc>
        <w:tc>
          <w:tcPr>
            <w:tcW w:w="1559" w:type="dxa"/>
            <w:vAlign w:val="center"/>
          </w:tcPr>
          <w:p w14:paraId="29FB4C6C">
            <w:pPr>
              <w:spacing w:line="3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3.1售后服务方案分（满分10分）</w:t>
            </w:r>
          </w:p>
        </w:tc>
        <w:tc>
          <w:tcPr>
            <w:tcW w:w="5599" w:type="dxa"/>
            <w:vAlign w:val="center"/>
          </w:tcPr>
          <w:p w14:paraId="1B17B574">
            <w:pPr>
              <w:widowControl/>
              <w:snapToGrid w:val="0"/>
              <w:spacing w:line="400" w:lineRule="exact"/>
              <w:ind w:firstLine="440"/>
              <w:contextualSpacing/>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3.1.1 分标所有产品质保期在满足招标文件要求的基础上每延长6个月得0.5分，满分1分。</w:t>
            </w:r>
          </w:p>
          <w:p w14:paraId="6431AEBB">
            <w:pPr>
              <w:widowControl/>
              <w:snapToGrid w:val="0"/>
              <w:spacing w:line="400" w:lineRule="exact"/>
              <w:ind w:firstLine="440"/>
              <w:contextualSpacing/>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3.1.2售后服务方案（满分9分）</w:t>
            </w:r>
          </w:p>
          <w:p w14:paraId="09F791BD">
            <w:pPr>
              <w:widowControl/>
              <w:snapToGrid w:val="0"/>
              <w:spacing w:line="400" w:lineRule="exact"/>
              <w:ind w:firstLine="440"/>
              <w:contextualSpacing/>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根据对投标货物的售后服务方案（技术支持、服务情况、服务承诺）的服务质量进行评审：</w:t>
            </w:r>
          </w:p>
          <w:p w14:paraId="3097667B">
            <w:pPr>
              <w:widowControl/>
              <w:snapToGrid w:val="0"/>
              <w:spacing w:line="400" w:lineRule="exact"/>
              <w:ind w:firstLine="440"/>
              <w:contextualSpacing/>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一档（3分）：售后服务方案包含了技术服务队伍、技术培训计划、响应时间、服务承诺等，满足项目需求。</w:t>
            </w:r>
          </w:p>
          <w:p w14:paraId="1EE60E26">
            <w:pPr>
              <w:widowControl/>
              <w:snapToGrid w:val="0"/>
              <w:spacing w:line="400" w:lineRule="exact"/>
              <w:ind w:firstLine="440"/>
              <w:contextualSpacing/>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二档（6分）：售后服务方案包含了技术服务队伍、技术培训计划、服务承诺等，满足项目需求，提供服务保障体系，响应时间优于招标文件要求。</w:t>
            </w:r>
          </w:p>
          <w:p w14:paraId="51B792C2">
            <w:pPr>
              <w:widowControl/>
              <w:snapToGrid w:val="0"/>
              <w:spacing w:line="400" w:lineRule="exact"/>
              <w:ind w:firstLine="440"/>
              <w:contextualSpacing/>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三档（9分）：售后服务方案包含了技术服务队伍、技术培训计划、服务承诺等，满足项目需求，提供服务保障体系，响应时间优于招标文件要求，提供服务流程、应急预案、技术服务表单，整体方案符合采购需求，</w:t>
            </w:r>
            <w:r>
              <w:rPr>
                <w:rFonts w:hint="eastAsia" w:ascii="宋体" w:hAnsi="宋体" w:eastAsia="宋体" w:cs="宋体"/>
                <w:bCs/>
                <w:color w:val="000000" w:themeColor="text1"/>
                <w:szCs w:val="21"/>
                <w:highlight w:val="none"/>
                <w14:textFill>
                  <w14:solidFill>
                    <w14:schemeClr w14:val="tx1"/>
                  </w14:solidFill>
                </w14:textFill>
              </w:rPr>
              <w:t>能保证项目的售后服务质量</w:t>
            </w:r>
            <w:r>
              <w:rPr>
                <w:rFonts w:hint="eastAsia" w:ascii="宋体" w:hAnsi="宋体" w:eastAsia="宋体" w:cs="宋体"/>
                <w:color w:val="000000" w:themeColor="text1"/>
                <w:kern w:val="0"/>
                <w:szCs w:val="21"/>
                <w:highlight w:val="none"/>
                <w14:textFill>
                  <w14:solidFill>
                    <w14:schemeClr w14:val="tx1"/>
                  </w14:solidFill>
                </w14:textFill>
              </w:rPr>
              <w:t>。</w:t>
            </w:r>
          </w:p>
        </w:tc>
      </w:tr>
      <w:tr w14:paraId="5C27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730" w:type="dxa"/>
            <w:vMerge w:val="continue"/>
            <w:vAlign w:val="center"/>
          </w:tcPr>
          <w:p w14:paraId="23252753">
            <w:pPr>
              <w:adjustRightInd w:val="0"/>
              <w:spacing w:line="340" w:lineRule="exact"/>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280" w:type="dxa"/>
            <w:vMerge w:val="continue"/>
            <w:vAlign w:val="center"/>
          </w:tcPr>
          <w:p w14:paraId="744B1050">
            <w:pPr>
              <w:adjustRightInd w:val="0"/>
              <w:spacing w:line="340" w:lineRule="exact"/>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709" w:type="dxa"/>
            <w:vMerge w:val="continue"/>
            <w:vAlign w:val="center"/>
          </w:tcPr>
          <w:p w14:paraId="75632D66">
            <w:pPr>
              <w:adjustRightInd w:val="0"/>
              <w:spacing w:line="340" w:lineRule="exact"/>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59" w:type="dxa"/>
            <w:vAlign w:val="center"/>
          </w:tcPr>
          <w:p w14:paraId="2843C5EA">
            <w:pPr>
              <w:spacing w:line="3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3.2业绩</w:t>
            </w:r>
            <w:r>
              <w:rPr>
                <w:rFonts w:hint="eastAsia" w:ascii="宋体" w:hAnsi="宋体" w:eastAsia="宋体" w:cs="宋体"/>
                <w:b/>
                <w:bCs/>
                <w:color w:val="000000" w:themeColor="text1"/>
                <w:szCs w:val="21"/>
                <w:highlight w:val="none"/>
                <w14:textFill>
                  <w14:solidFill>
                    <w14:schemeClr w14:val="tx1"/>
                  </w14:solidFill>
                </w14:textFill>
              </w:rPr>
              <w:t>分（满分7分）</w:t>
            </w:r>
          </w:p>
        </w:tc>
        <w:tc>
          <w:tcPr>
            <w:tcW w:w="5599" w:type="dxa"/>
            <w:vAlign w:val="center"/>
          </w:tcPr>
          <w:p w14:paraId="214DCB62">
            <w:pPr>
              <w:pStyle w:val="26"/>
              <w:spacing w:line="340" w:lineRule="exact"/>
              <w:ind w:firstLine="420" w:firstLineChars="200"/>
              <w:jc w:val="lef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3.2.1</w:t>
            </w:r>
            <w:r>
              <w:rPr>
                <w:rFonts w:hint="eastAsia" w:ascii="宋体" w:hAnsi="宋体" w:eastAsia="宋体" w:cs="宋体"/>
                <w:color w:val="000000" w:themeColor="text1"/>
                <w:highlight w:val="none"/>
                <w14:textFill>
                  <w14:solidFill>
                    <w14:schemeClr w14:val="tx1"/>
                  </w14:solidFill>
                </w14:textFill>
              </w:rPr>
              <w:t>投标人或投标产品生产厂家自2021年1月1日以来具有</w:t>
            </w:r>
            <w:r>
              <w:rPr>
                <w:rFonts w:hint="eastAsia" w:ascii="宋体" w:hAnsi="宋体" w:eastAsia="宋体" w:cs="宋体"/>
                <w:bCs/>
                <w:color w:val="000000" w:themeColor="text1"/>
                <w:highlight w:val="none"/>
                <w14:textFill>
                  <w14:solidFill>
                    <w14:schemeClr w14:val="tx1"/>
                  </w14:solidFill>
                </w14:textFill>
              </w:rPr>
              <w:t>同类（防火物资类）项目的业绩分，以提供的合同或中标（成交）通知书复印件为准，每份得1分，满分7分。</w:t>
            </w:r>
          </w:p>
        </w:tc>
      </w:tr>
      <w:tr w14:paraId="3AF1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730" w:type="dxa"/>
            <w:vMerge w:val="continue"/>
            <w:vAlign w:val="center"/>
          </w:tcPr>
          <w:p w14:paraId="76D1524A">
            <w:pPr>
              <w:adjustRightInd w:val="0"/>
              <w:spacing w:line="340" w:lineRule="exact"/>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280" w:type="dxa"/>
            <w:vMerge w:val="continue"/>
            <w:vAlign w:val="center"/>
          </w:tcPr>
          <w:p w14:paraId="15632931">
            <w:pPr>
              <w:adjustRightInd w:val="0"/>
              <w:spacing w:line="340" w:lineRule="exact"/>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709" w:type="dxa"/>
            <w:vMerge w:val="continue"/>
            <w:vAlign w:val="center"/>
          </w:tcPr>
          <w:p w14:paraId="74423C6F">
            <w:pPr>
              <w:adjustRightInd w:val="0"/>
              <w:spacing w:line="340" w:lineRule="exact"/>
              <w:jc w:val="center"/>
              <w:textAlignment w:val="baseline"/>
              <w:rPr>
                <w:rFonts w:hint="eastAsia" w:ascii="宋体" w:hAnsi="宋体" w:eastAsia="宋体" w:cs="宋体"/>
                <w:color w:val="000000" w:themeColor="text1"/>
                <w:highlight w:val="none"/>
                <w14:textFill>
                  <w14:solidFill>
                    <w14:schemeClr w14:val="tx1"/>
                  </w14:solidFill>
                </w14:textFill>
              </w:rPr>
            </w:pPr>
          </w:p>
        </w:tc>
        <w:tc>
          <w:tcPr>
            <w:tcW w:w="1559" w:type="dxa"/>
            <w:vAlign w:val="center"/>
          </w:tcPr>
          <w:p w14:paraId="3613A3ED">
            <w:pPr>
              <w:spacing w:line="3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3.3政策功能分（满分1分）</w:t>
            </w:r>
          </w:p>
        </w:tc>
        <w:tc>
          <w:tcPr>
            <w:tcW w:w="5599" w:type="dxa"/>
            <w:vAlign w:val="center"/>
          </w:tcPr>
          <w:p w14:paraId="75331F9A">
            <w:pPr>
              <w:spacing w:line="3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3.3.1投标产品中包含列入政府采购品目清单中的优先采购产品并具有有效的节能产品认证证书的，每项产品得0.5分，满分0.5分（以有效的节能产品认证证书复印件为准，招标文件中有强制要求的除外）。</w:t>
            </w:r>
          </w:p>
          <w:p w14:paraId="629AF2B0">
            <w:pPr>
              <w:spacing w:line="34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3.3.2投标产品中包含列入政府采购品目清单中的优先采购产品并具有有效的环境标志产品认证证书，每项产品得0.5分，满分0.5分（以有效的环境标志产品认证证书复印件为准，招标文件中有强制要求的除外）。</w:t>
            </w:r>
          </w:p>
        </w:tc>
      </w:tr>
      <w:tr w14:paraId="23292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7" w:type="dxa"/>
            <w:gridSpan w:val="5"/>
            <w:vAlign w:val="center"/>
          </w:tcPr>
          <w:p w14:paraId="4BFFDA94">
            <w:pPr>
              <w:pStyle w:val="26"/>
              <w:spacing w:line="340" w:lineRule="exact"/>
              <w:rPr>
                <w:rFonts w:hint="eastAsia" w:ascii="宋体" w:hAnsi="宋体" w:eastAsia="宋体" w:cs="宋体"/>
                <w:bCs/>
                <w:color w:val="000000" w:themeColor="text1"/>
                <w:kern w:val="2"/>
                <w:sz w:val="21"/>
                <w:highlight w:val="none"/>
                <w14:textFill>
                  <w14:solidFill>
                    <w14:schemeClr w14:val="tx1"/>
                  </w14:solidFill>
                </w14:textFill>
              </w:rPr>
            </w:pPr>
            <w:r>
              <w:rPr>
                <w:rFonts w:hint="eastAsia" w:ascii="宋体" w:hAnsi="宋体" w:eastAsia="宋体" w:cs="宋体"/>
                <w:b/>
                <w:bCs/>
                <w:color w:val="000000" w:themeColor="text1"/>
                <w:kern w:val="2"/>
                <w:sz w:val="21"/>
                <w:highlight w:val="none"/>
                <w14:textFill>
                  <w14:solidFill>
                    <w14:schemeClr w14:val="tx1"/>
                  </w14:solidFill>
                </w14:textFill>
              </w:rPr>
              <w:t>总得分=1+2+3。</w:t>
            </w:r>
          </w:p>
        </w:tc>
      </w:tr>
    </w:tbl>
    <w:p w14:paraId="2A8E2CFA">
      <w:pPr>
        <w:spacing w:line="3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注：1.计分方法按四舍五入取至百分位；</w:t>
      </w:r>
    </w:p>
    <w:p w14:paraId="6F9C5AE6">
      <w:pPr>
        <w:spacing w:line="3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2.因落实政府采购政策进行价格调整的，以调整后的价格计算评标基准价和投标报价。</w:t>
      </w:r>
    </w:p>
    <w:p w14:paraId="740C4B41">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7DBB47DF">
      <w:pPr>
        <w:pStyle w:val="6"/>
        <w:keepNext w:val="0"/>
        <w:keepLines w:val="0"/>
        <w:jc w:val="center"/>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四、中标候选人推荐原则</w:t>
      </w:r>
    </w:p>
    <w:p w14:paraId="4B1A1249">
      <w:pPr>
        <w:pStyle w:val="26"/>
        <w:spacing w:line="360" w:lineRule="auto"/>
        <w:ind w:firstLine="420" w:firstLineChars="200"/>
        <w:contextualSpacing/>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lang w:val="en-US" w:eastAsia="zh-CN"/>
          <w14:textFill>
            <w14:solidFill>
              <w14:schemeClr w14:val="tx1"/>
            </w14:solidFill>
          </w14:textFill>
        </w:rPr>
        <w:t>1</w:t>
      </w: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14:textFill>
            <w14:solidFill>
              <w14:schemeClr w14:val="tx1"/>
            </w14:solidFill>
          </w14:textFill>
        </w:rPr>
        <w:t>评标委员会将根据总得分由高到低排列次序并推荐中标候选人。得分相同的，按投标报价由低到高顺序排列。得分且投标报价相同的并列。投标文件满足招标文件全部实质性要求，且按照评审因素的量化指标评审得分最高的投标人为排名第一的中标候选人。</w:t>
      </w:r>
    </w:p>
    <w:p w14:paraId="6E4DEE88">
      <w:pPr>
        <w:pStyle w:val="26"/>
        <w:spacing w:line="360" w:lineRule="auto"/>
        <w:ind w:firstLine="400" w:firstLineChars="200"/>
        <w:contextualSpacing/>
        <w:rPr>
          <w:rFonts w:hAnsi="宋体"/>
          <w:color w:val="auto"/>
          <w:highlight w:val="none"/>
        </w:rPr>
      </w:pPr>
      <w:r>
        <w:rPr>
          <w:rFonts w:hint="eastAsia" w:hAnsi="宋体"/>
          <w:color w:val="auto"/>
          <w:highlight w:val="none"/>
        </w:rPr>
        <w:t>（2）商务技术评审因素为客观评分项的，应在评分项目或评分标准中予以标注为‘客观分’。对投标人的客观评分项目，各评标专家评分应当一致。</w:t>
      </w:r>
    </w:p>
    <w:p w14:paraId="663B73C9">
      <w:pPr>
        <w:pStyle w:val="26"/>
        <w:spacing w:line="360" w:lineRule="auto"/>
        <w:ind w:firstLine="420" w:firstLineChars="200"/>
        <w:contextualSpacing/>
        <w:rPr>
          <w:rFonts w:hint="eastAsia" w:ascii="宋体" w:hAnsi="宋体" w:eastAsia="宋体" w:cs="宋体"/>
          <w:color w:val="000000" w:themeColor="text1"/>
          <w:sz w:val="21"/>
          <w:highlight w:val="none"/>
          <w14:textFill>
            <w14:solidFill>
              <w14:schemeClr w14:val="tx1"/>
            </w14:solidFill>
          </w14:textFill>
        </w:rPr>
      </w:pPr>
    </w:p>
    <w:p w14:paraId="57E0BC79">
      <w:pPr>
        <w:pStyle w:val="6"/>
        <w:keepNext w:val="0"/>
        <w:keepLines w:val="0"/>
        <w:jc w:val="center"/>
        <w:rPr>
          <w:rFonts w:hint="eastAsia" w:ascii="宋体" w:hAnsi="宋体" w:eastAsia="宋体" w:cs="宋体"/>
          <w:color w:val="000000" w:themeColor="text1"/>
          <w:sz w:val="30"/>
          <w:szCs w:val="30"/>
          <w:highlight w:val="none"/>
          <w14:textFill>
            <w14:solidFill>
              <w14:schemeClr w14:val="tx1"/>
            </w14:solidFill>
          </w14:textFill>
        </w:rPr>
      </w:pPr>
      <w:bookmarkStart w:id="142" w:name="_Toc80093008"/>
      <w:r>
        <w:rPr>
          <w:rFonts w:hint="eastAsia" w:ascii="宋体" w:hAnsi="宋体" w:eastAsia="宋体" w:cs="宋体"/>
          <w:color w:val="000000" w:themeColor="text1"/>
          <w:sz w:val="30"/>
          <w:szCs w:val="30"/>
          <w:highlight w:val="none"/>
          <w14:textFill>
            <w14:solidFill>
              <w14:schemeClr w14:val="tx1"/>
            </w14:solidFill>
          </w14:textFill>
        </w:rPr>
        <w:t>第五节 评标报告</w:t>
      </w:r>
      <w:bookmarkEnd w:id="142"/>
    </w:p>
    <w:p w14:paraId="3B9FC26E">
      <w:pPr>
        <w:pStyle w:val="130"/>
        <w:spacing w:before="0"/>
        <w:ind w:firstLine="482"/>
        <w:rPr>
          <w:rFonts w:ascii="宋体" w:hAnsi="宋体"/>
          <w:b/>
          <w:bCs/>
          <w:color w:val="auto"/>
          <w:szCs w:val="24"/>
          <w:highlight w:val="none"/>
        </w:rPr>
      </w:pPr>
      <w:r>
        <w:rPr>
          <w:rFonts w:hint="eastAsia" w:ascii="宋体" w:hAnsi="宋体"/>
          <w:b/>
          <w:bCs/>
          <w:color w:val="auto"/>
          <w:szCs w:val="24"/>
          <w:highlight w:val="none"/>
        </w:rPr>
        <w:t>（一）评标报告与推荐中标候选人</w:t>
      </w:r>
    </w:p>
    <w:p w14:paraId="7610E863">
      <w:pPr>
        <w:ind w:firstLine="420" w:firstLineChars="200"/>
        <w:rPr>
          <w:rFonts w:hint="eastAsia" w:hAnsi="宋体"/>
          <w:color w:val="auto"/>
          <w:highlight w:val="none"/>
        </w:rPr>
      </w:pPr>
      <w:r>
        <w:rPr>
          <w:rFonts w:hint="eastAsia" w:hAnsi="宋体"/>
          <w:color w:val="auto"/>
          <w:highlight w:val="none"/>
        </w:rPr>
        <w:t>评标委员会根据原始评标记录和评标结果编写评标报告，并通过电子交易平台向采购人、采购代理机构提交。</w:t>
      </w:r>
    </w:p>
    <w:p w14:paraId="0D8730F1">
      <w:pPr>
        <w:ind w:firstLine="420" w:firstLineChars="200"/>
        <w:rPr>
          <w:color w:val="auto"/>
          <w:highlight w:val="none"/>
        </w:rPr>
      </w:pPr>
      <w:r>
        <w:rPr>
          <w:rFonts w:hint="eastAsia"/>
          <w:bCs/>
          <w:color w:val="auto"/>
          <w:kern w:val="0"/>
          <w:szCs w:val="21"/>
          <w:highlight w:val="none"/>
        </w:rPr>
        <w:t>采购人应当确定评审委员会推荐排名第一的中标候选人为中标人。排名第一的中标候选人放弃中标、因不可抗力或者自身原因提出不能履行合同，采购人可以确定排名第二的中标候选人为中标人。排名第二的中标候选人因前款规定的同样原因不能签订合同的，采购人、采购代理机构可以确定排名第三的中标候选人为中标人，采购人也可以决定重新采购。对采购过程、中标结果提出的质疑，合格供应商符合法定数量时，可以从合格的中标候选人中另行确定中标供应商的，应当依法另行确定中标供应商；否则应当重新开展采购活动。</w:t>
      </w:r>
    </w:p>
    <w:p w14:paraId="68C9B400">
      <w:pPr>
        <w:widowControl/>
        <w:spacing w:line="360" w:lineRule="auto"/>
        <w:ind w:firstLine="482" w:firstLineChars="200"/>
        <w:jc w:val="left"/>
        <w:rPr>
          <w:rFonts w:ascii="宋体" w:hAnsi="宋体"/>
          <w:b/>
          <w:bCs/>
          <w:color w:val="auto"/>
          <w:sz w:val="24"/>
          <w:highlight w:val="none"/>
        </w:rPr>
      </w:pPr>
      <w:r>
        <w:rPr>
          <w:rFonts w:hint="eastAsia" w:ascii="宋体" w:hAnsi="宋体"/>
          <w:b/>
          <w:bCs/>
          <w:color w:val="auto"/>
          <w:sz w:val="24"/>
          <w:highlight w:val="none"/>
        </w:rPr>
        <w:t>（二）评标争议事项处理</w:t>
      </w:r>
    </w:p>
    <w:p w14:paraId="1AEBD54A">
      <w:pPr>
        <w:pStyle w:val="26"/>
        <w:tabs>
          <w:tab w:val="left" w:pos="2472"/>
        </w:tabs>
        <w:spacing w:line="360" w:lineRule="auto"/>
        <w:ind w:firstLine="400" w:firstLineChars="200"/>
        <w:rPr>
          <w:rFonts w:hAnsi="宋体"/>
          <w:color w:val="auto"/>
          <w:highlight w:val="none"/>
        </w:rPr>
      </w:pPr>
      <w:r>
        <w:rPr>
          <w:rFonts w:hint="eastAsia" w:hAnsi="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2B17610C">
      <w:pPr>
        <w:pStyle w:val="26"/>
        <w:tabs>
          <w:tab w:val="left" w:pos="2472"/>
        </w:tabs>
        <w:spacing w:line="460" w:lineRule="exact"/>
        <w:rPr>
          <w:rFonts w:ascii="Times New Roman" w:hAnsi="Times New Roman"/>
          <w:b/>
          <w:color w:val="auto"/>
          <w:sz w:val="36"/>
          <w:highlight w:val="none"/>
        </w:rPr>
        <w:sectPr>
          <w:pgSz w:w="11906" w:h="16838"/>
          <w:pgMar w:top="1361" w:right="1361" w:bottom="1361" w:left="1361" w:header="720" w:footer="720" w:gutter="0"/>
          <w:pgNumType w:fmt="decimal"/>
          <w:cols w:space="720" w:num="1"/>
          <w:rtlGutter w:val="0"/>
          <w:docGrid w:type="lines" w:linePitch="331" w:charSpace="0"/>
        </w:sectPr>
      </w:pPr>
    </w:p>
    <w:p w14:paraId="7426973A">
      <w:pPr>
        <w:pStyle w:val="5"/>
        <w:keepNext w:val="0"/>
        <w:keepLines w:val="0"/>
        <w:jc w:val="center"/>
        <w:rPr>
          <w:rFonts w:hint="eastAsia" w:ascii="宋体" w:hAnsi="宋体" w:eastAsia="宋体" w:cs="宋体"/>
          <w:color w:val="000000" w:themeColor="text1"/>
          <w:highlight w:val="none"/>
          <w14:textFill>
            <w14:solidFill>
              <w14:schemeClr w14:val="tx1"/>
            </w14:solidFill>
          </w14:textFill>
        </w:rPr>
      </w:pPr>
    </w:p>
    <w:p w14:paraId="681CCC49">
      <w:pPr>
        <w:pStyle w:val="5"/>
        <w:keepNext w:val="0"/>
        <w:keepLines w:val="0"/>
        <w:jc w:val="center"/>
        <w:rPr>
          <w:rFonts w:hint="eastAsia" w:ascii="宋体" w:hAnsi="宋体" w:eastAsia="宋体" w:cs="宋体"/>
          <w:color w:val="000000" w:themeColor="text1"/>
          <w:highlight w:val="none"/>
          <w14:textFill>
            <w14:solidFill>
              <w14:schemeClr w14:val="tx1"/>
            </w14:solidFill>
          </w14:textFill>
        </w:rPr>
      </w:pPr>
    </w:p>
    <w:p w14:paraId="543786B9">
      <w:pPr>
        <w:pStyle w:val="5"/>
        <w:keepNext w:val="0"/>
        <w:keepLines w:val="0"/>
        <w:jc w:val="center"/>
        <w:rPr>
          <w:rFonts w:hint="eastAsia" w:ascii="宋体" w:hAnsi="宋体" w:eastAsia="宋体" w:cs="宋体"/>
          <w:color w:val="000000" w:themeColor="text1"/>
          <w:highlight w:val="none"/>
          <w14:textFill>
            <w14:solidFill>
              <w14:schemeClr w14:val="tx1"/>
            </w14:solidFill>
          </w14:textFill>
        </w:rPr>
      </w:pPr>
    </w:p>
    <w:p w14:paraId="4488553E">
      <w:pPr>
        <w:pStyle w:val="5"/>
        <w:keepNext w:val="0"/>
        <w:keepLines w:val="0"/>
        <w:jc w:val="center"/>
        <w:rPr>
          <w:rFonts w:hint="eastAsia" w:ascii="宋体" w:hAnsi="宋体" w:eastAsia="宋体" w:cs="宋体"/>
          <w:color w:val="000000" w:themeColor="text1"/>
          <w:highlight w:val="none"/>
          <w14:textFill>
            <w14:solidFill>
              <w14:schemeClr w14:val="tx1"/>
            </w14:solidFill>
          </w14:textFill>
        </w:rPr>
      </w:pPr>
    </w:p>
    <w:p w14:paraId="6154CE29">
      <w:pPr>
        <w:pStyle w:val="4"/>
        <w:jc w:val="center"/>
        <w:rPr>
          <w:rFonts w:hint="eastAsia" w:ascii="宋体" w:hAnsi="宋体" w:eastAsia="宋体" w:cs="宋体"/>
          <w:color w:val="000000" w:themeColor="text1"/>
          <w:highlight w:val="none"/>
          <w14:textFill>
            <w14:solidFill>
              <w14:schemeClr w14:val="tx1"/>
            </w14:solidFill>
          </w14:textFill>
        </w:rPr>
      </w:pPr>
      <w:bookmarkStart w:id="143" w:name="_Toc1985"/>
      <w:bookmarkStart w:id="144" w:name="_Toc1071"/>
      <w:r>
        <w:rPr>
          <w:rFonts w:hint="eastAsia" w:ascii="宋体" w:hAnsi="宋体" w:eastAsia="宋体" w:cs="宋体"/>
          <w:color w:val="000000" w:themeColor="text1"/>
          <w:highlight w:val="none"/>
          <w14:textFill>
            <w14:solidFill>
              <w14:schemeClr w14:val="tx1"/>
            </w14:solidFill>
          </w14:textFill>
        </w:rPr>
        <w:t>第五章  拟签订的合同文本</w:t>
      </w:r>
      <w:bookmarkEnd w:id="143"/>
      <w:bookmarkEnd w:id="144"/>
    </w:p>
    <w:p w14:paraId="3B9F3D0C">
      <w:pPr>
        <w:snapToGrid w:val="0"/>
        <w:jc w:val="center"/>
        <w:rPr>
          <w:rFonts w:hint="eastAsia" w:ascii="宋体" w:hAnsi="宋体" w:eastAsia="宋体" w:cs="宋体"/>
          <w:bCs/>
          <w:color w:val="000000" w:themeColor="text1"/>
          <w:sz w:val="32"/>
          <w:szCs w:val="32"/>
          <w:highlight w:val="none"/>
          <w14:textFill>
            <w14:solidFill>
              <w14:schemeClr w14:val="tx1"/>
            </w14:solidFill>
          </w14:textFill>
        </w:rPr>
      </w:pPr>
    </w:p>
    <w:p w14:paraId="019842DC">
      <w:pPr>
        <w:snapToGrid w:val="0"/>
        <w:jc w:val="center"/>
        <w:rPr>
          <w:rFonts w:hint="eastAsia" w:ascii="宋体" w:hAnsi="宋体" w:eastAsia="宋体" w:cs="宋体"/>
          <w:bCs/>
          <w:color w:val="000000" w:themeColor="text1"/>
          <w:sz w:val="32"/>
          <w:szCs w:val="32"/>
          <w:highlight w:val="none"/>
          <w14:textFill>
            <w14:solidFill>
              <w14:schemeClr w14:val="tx1"/>
            </w14:solidFill>
          </w14:textFill>
        </w:rPr>
      </w:pPr>
    </w:p>
    <w:p w14:paraId="2D8A717A">
      <w:pPr>
        <w:snapToGrid w:val="0"/>
        <w:jc w:val="center"/>
        <w:rPr>
          <w:rFonts w:hint="eastAsia" w:ascii="宋体" w:hAnsi="宋体" w:eastAsia="宋体" w:cs="宋体"/>
          <w:bCs/>
          <w:color w:val="000000" w:themeColor="text1"/>
          <w:sz w:val="32"/>
          <w:szCs w:val="32"/>
          <w:highlight w:val="none"/>
          <w14:textFill>
            <w14:solidFill>
              <w14:schemeClr w14:val="tx1"/>
            </w14:solidFill>
          </w14:textFill>
        </w:rPr>
      </w:pPr>
    </w:p>
    <w:p w14:paraId="0AF3FA77">
      <w:pPr>
        <w:snapToGrid w:val="0"/>
        <w:jc w:val="center"/>
        <w:rPr>
          <w:rFonts w:hint="eastAsia" w:ascii="宋体" w:hAnsi="宋体" w:eastAsia="宋体" w:cs="宋体"/>
          <w:bCs/>
          <w:color w:val="000000" w:themeColor="text1"/>
          <w:sz w:val="32"/>
          <w:szCs w:val="32"/>
          <w:highlight w:val="none"/>
          <w14:textFill>
            <w14:solidFill>
              <w14:schemeClr w14:val="tx1"/>
            </w14:solidFill>
          </w14:textFill>
        </w:rPr>
      </w:pPr>
    </w:p>
    <w:p w14:paraId="75DECF8C">
      <w:pPr>
        <w:snapToGrid w:val="0"/>
        <w:jc w:val="center"/>
        <w:rPr>
          <w:rFonts w:hint="eastAsia" w:ascii="宋体" w:hAnsi="宋体" w:eastAsia="宋体" w:cs="宋体"/>
          <w:bCs/>
          <w:color w:val="000000" w:themeColor="text1"/>
          <w:sz w:val="32"/>
          <w:szCs w:val="32"/>
          <w:highlight w:val="none"/>
          <w14:textFill>
            <w14:solidFill>
              <w14:schemeClr w14:val="tx1"/>
            </w14:solidFill>
          </w14:textFill>
        </w:rPr>
      </w:pPr>
    </w:p>
    <w:p w14:paraId="3A54530F">
      <w:pPr>
        <w:snapToGrid w:val="0"/>
        <w:jc w:val="center"/>
        <w:rPr>
          <w:rFonts w:hint="eastAsia" w:ascii="宋体" w:hAnsi="宋体" w:eastAsia="宋体" w:cs="宋体"/>
          <w:bCs/>
          <w:color w:val="000000" w:themeColor="text1"/>
          <w:sz w:val="32"/>
          <w:szCs w:val="32"/>
          <w:highlight w:val="none"/>
          <w14:textFill>
            <w14:solidFill>
              <w14:schemeClr w14:val="tx1"/>
            </w14:solidFill>
          </w14:textFill>
        </w:rPr>
      </w:pPr>
    </w:p>
    <w:p w14:paraId="085F2C69">
      <w:pPr>
        <w:snapToGrid w:val="0"/>
        <w:jc w:val="center"/>
        <w:rPr>
          <w:rFonts w:hint="eastAsia" w:ascii="宋体" w:hAnsi="宋体" w:eastAsia="宋体" w:cs="宋体"/>
          <w:bCs/>
          <w:color w:val="000000" w:themeColor="text1"/>
          <w:sz w:val="32"/>
          <w:szCs w:val="32"/>
          <w:highlight w:val="none"/>
          <w14:textFill>
            <w14:solidFill>
              <w14:schemeClr w14:val="tx1"/>
            </w14:solidFill>
          </w14:textFill>
        </w:rPr>
      </w:pPr>
    </w:p>
    <w:p w14:paraId="4A1CC8F3">
      <w:pPr>
        <w:snapToGrid w:val="0"/>
        <w:jc w:val="center"/>
        <w:rPr>
          <w:rFonts w:hint="eastAsia" w:ascii="宋体" w:hAnsi="宋体" w:eastAsia="宋体" w:cs="宋体"/>
          <w:bCs/>
          <w:color w:val="000000" w:themeColor="text1"/>
          <w:sz w:val="32"/>
          <w:szCs w:val="32"/>
          <w:highlight w:val="none"/>
          <w14:textFill>
            <w14:solidFill>
              <w14:schemeClr w14:val="tx1"/>
            </w14:solidFill>
          </w14:textFill>
        </w:rPr>
      </w:pPr>
    </w:p>
    <w:p w14:paraId="05A6AF47">
      <w:pPr>
        <w:snapToGrid w:val="0"/>
        <w:jc w:val="center"/>
        <w:rPr>
          <w:rFonts w:hint="eastAsia" w:ascii="宋体" w:hAnsi="宋体" w:eastAsia="宋体" w:cs="宋体"/>
          <w:bCs/>
          <w:color w:val="000000" w:themeColor="text1"/>
          <w:sz w:val="32"/>
          <w:szCs w:val="32"/>
          <w:highlight w:val="none"/>
          <w14:textFill>
            <w14:solidFill>
              <w14:schemeClr w14:val="tx1"/>
            </w14:solidFill>
          </w14:textFill>
        </w:rPr>
      </w:pPr>
    </w:p>
    <w:p w14:paraId="38B31D79">
      <w:pPr>
        <w:snapToGrid w:val="0"/>
        <w:jc w:val="center"/>
        <w:rPr>
          <w:rFonts w:hint="eastAsia" w:ascii="宋体" w:hAnsi="宋体" w:eastAsia="宋体" w:cs="宋体"/>
          <w:bCs/>
          <w:color w:val="000000" w:themeColor="text1"/>
          <w:sz w:val="32"/>
          <w:szCs w:val="32"/>
          <w:highlight w:val="none"/>
          <w14:textFill>
            <w14:solidFill>
              <w14:schemeClr w14:val="tx1"/>
            </w14:solidFill>
          </w14:textFill>
        </w:rPr>
      </w:pPr>
    </w:p>
    <w:p w14:paraId="2D5632B7">
      <w:pPr>
        <w:snapToGrid w:val="0"/>
        <w:jc w:val="center"/>
        <w:rPr>
          <w:rFonts w:hint="eastAsia" w:ascii="宋体" w:hAnsi="宋体" w:eastAsia="宋体" w:cs="宋体"/>
          <w:bCs/>
          <w:color w:val="000000" w:themeColor="text1"/>
          <w:sz w:val="32"/>
          <w:szCs w:val="32"/>
          <w:highlight w:val="none"/>
          <w14:textFill>
            <w14:solidFill>
              <w14:schemeClr w14:val="tx1"/>
            </w14:solidFill>
          </w14:textFill>
        </w:rPr>
      </w:pPr>
    </w:p>
    <w:p w14:paraId="60D58EDB">
      <w:pPr>
        <w:snapToGrid w:val="0"/>
        <w:jc w:val="center"/>
        <w:rPr>
          <w:rFonts w:hint="eastAsia" w:ascii="宋体" w:hAnsi="宋体" w:eastAsia="宋体" w:cs="宋体"/>
          <w:bCs/>
          <w:color w:val="000000" w:themeColor="text1"/>
          <w:sz w:val="32"/>
          <w:szCs w:val="32"/>
          <w:highlight w:val="none"/>
          <w14:textFill>
            <w14:solidFill>
              <w14:schemeClr w14:val="tx1"/>
            </w14:solidFill>
          </w14:textFill>
        </w:rPr>
      </w:pPr>
    </w:p>
    <w:p w14:paraId="2ADD15BA">
      <w:pPr>
        <w:snapToGrid w:val="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br w:type="page"/>
      </w:r>
      <w:bookmarkStart w:id="145" w:name="_Hlk55381736"/>
      <w:r>
        <w:rPr>
          <w:rFonts w:hint="eastAsia" w:ascii="宋体" w:hAnsi="宋体" w:eastAsia="宋体" w:cs="宋体"/>
          <w:b/>
          <w:bCs/>
          <w:color w:val="000000" w:themeColor="text1"/>
          <w:sz w:val="32"/>
          <w:szCs w:val="32"/>
          <w:highlight w:val="none"/>
          <w14:textFill>
            <w14:solidFill>
              <w14:schemeClr w14:val="tx1"/>
            </w14:solidFill>
          </w14:textFill>
        </w:rPr>
        <w:t>政府采购合同</w:t>
      </w:r>
      <w:r>
        <w:rPr>
          <w:rFonts w:hint="eastAsia" w:ascii="宋体" w:hAnsi="宋体" w:eastAsia="宋体" w:cs="宋体"/>
          <w:b/>
          <w:color w:val="000000" w:themeColor="text1"/>
          <w:sz w:val="32"/>
          <w:szCs w:val="32"/>
          <w:highlight w:val="none"/>
          <w14:textFill>
            <w14:solidFill>
              <w14:schemeClr w14:val="tx1"/>
            </w14:solidFill>
          </w14:textFill>
        </w:rPr>
        <w:t>文本</w:t>
      </w:r>
    </w:p>
    <w:p w14:paraId="5DF900F2">
      <w:pPr>
        <w:snapToGrid w:val="0"/>
        <w:spacing w:line="400" w:lineRule="exact"/>
        <w:ind w:right="480" w:firstLine="7770" w:firstLineChars="3700"/>
        <w:rPr>
          <w:rFonts w:hint="eastAsia" w:ascii="宋体" w:hAnsi="宋体" w:eastAsia="宋体" w:cs="宋体"/>
          <w:bCs/>
          <w:color w:val="000000" w:themeColor="text1"/>
          <w:szCs w:val="21"/>
          <w:highlight w:val="none"/>
          <w:u w:val="singl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合同编号：</w:t>
      </w:r>
    </w:p>
    <w:p w14:paraId="10341F9C">
      <w:pPr>
        <w:snapToGrid w:val="0"/>
        <w:spacing w:line="360" w:lineRule="exact"/>
        <w:rPr>
          <w:rFonts w:hint="eastAsia" w:ascii="宋体" w:hAnsi="宋体" w:eastAsia="宋体" w:cs="宋体"/>
          <w:color w:val="000000" w:themeColor="text1"/>
          <w:szCs w:val="21"/>
          <w:highlight w:val="none"/>
          <w14:textFill>
            <w14:solidFill>
              <w14:schemeClr w14:val="tx1"/>
            </w14:solidFill>
          </w14:textFill>
        </w:rPr>
      </w:pPr>
    </w:p>
    <w:p w14:paraId="33C4050A">
      <w:pPr>
        <w:snapToGrid w:val="0"/>
        <w:spacing w:line="360" w:lineRule="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采购人（甲方）</w:t>
      </w:r>
      <w:r>
        <w:rPr>
          <w:rFonts w:hint="eastAsia" w:ascii="宋体" w:hAnsi="宋体" w:eastAsia="宋体" w:cs="宋体"/>
          <w:color w:val="000000" w:themeColor="text1"/>
          <w:spacing w:val="-20"/>
          <w:szCs w:val="21"/>
          <w:highlight w:val="none"/>
          <w14:textFill>
            <w14:solidFill>
              <w14:schemeClr w14:val="tx1"/>
            </w14:solidFill>
          </w14:textFill>
        </w:rPr>
        <w:t>采 购 计 划 号</w:t>
      </w:r>
    </w:p>
    <w:p w14:paraId="7B310027">
      <w:pPr>
        <w:snapToGrid w:val="0"/>
        <w:spacing w:line="360" w:lineRule="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 应 商（乙方）项 目</w:t>
      </w:r>
      <w:r>
        <w:rPr>
          <w:rFonts w:hint="eastAsia" w:ascii="宋体" w:hAnsi="宋体" w:eastAsia="宋体" w:cs="宋体"/>
          <w:color w:val="000000" w:themeColor="text1"/>
          <w:spacing w:val="-20"/>
          <w:szCs w:val="21"/>
          <w:highlight w:val="none"/>
          <w14:textFill>
            <w14:solidFill>
              <w14:schemeClr w14:val="tx1"/>
            </w14:solidFill>
          </w14:textFill>
        </w:rPr>
        <w:t xml:space="preserve">  编  号</w:t>
      </w:r>
    </w:p>
    <w:p w14:paraId="0D7FAEA0">
      <w:pPr>
        <w:snapToGrid w:val="0"/>
        <w:spacing w:line="360" w:lineRule="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签  订  地  点  签 订 时 间</w:t>
      </w:r>
    </w:p>
    <w:p w14:paraId="4CA95E2C">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本合同为中小企业预留合同：</w:t>
      </w:r>
      <w:r>
        <w:rPr>
          <w:rFonts w:hint="eastAsia" w:ascii="宋体" w:hAnsi="宋体" w:eastAsia="宋体" w:cs="宋体"/>
          <w:color w:val="000000" w:themeColor="text1"/>
          <w:szCs w:val="21"/>
          <w:highlight w:val="none"/>
          <w:u w:val="single"/>
          <w14:textFill>
            <w14:solidFill>
              <w14:schemeClr w14:val="tx1"/>
            </w14:solidFill>
          </w14:textFill>
        </w:rPr>
        <w:t>（是/否）</w:t>
      </w:r>
      <w:r>
        <w:rPr>
          <w:rFonts w:hint="eastAsia" w:ascii="宋体" w:hAnsi="宋体" w:eastAsia="宋体" w:cs="宋体"/>
          <w:color w:val="000000" w:themeColor="text1"/>
          <w:szCs w:val="21"/>
          <w:highlight w:val="none"/>
          <w14:textFill>
            <w14:solidFill>
              <w14:schemeClr w14:val="tx1"/>
            </w14:solidFill>
          </w14:textFill>
        </w:rPr>
        <w:t>。</w:t>
      </w:r>
    </w:p>
    <w:p w14:paraId="54D5437B">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根据《中华人民共和国政府采购法》、《中华人民共和国民法典》等法律、法规规定，按照招标文件规定条款和中标供应商承诺，甲乙双方签订本合同。</w:t>
      </w:r>
    </w:p>
    <w:p w14:paraId="6BB708E2">
      <w:pPr>
        <w:snapToGrid w:val="0"/>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第一条　合同标的</w:t>
      </w:r>
    </w:p>
    <w:p w14:paraId="4E69AAEB">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1.供货一览表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2292"/>
        <w:gridCol w:w="1210"/>
        <w:gridCol w:w="908"/>
        <w:gridCol w:w="908"/>
        <w:gridCol w:w="668"/>
        <w:gridCol w:w="947"/>
        <w:gridCol w:w="1189"/>
      </w:tblGrid>
      <w:tr w14:paraId="3FECD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09" w:type="dxa"/>
            <w:vAlign w:val="center"/>
          </w:tcPr>
          <w:p w14:paraId="40ED2EFC">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序号</w:t>
            </w:r>
          </w:p>
        </w:tc>
        <w:tc>
          <w:tcPr>
            <w:tcW w:w="1233" w:type="dxa"/>
            <w:vAlign w:val="center"/>
          </w:tcPr>
          <w:p w14:paraId="18EA663A">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产品名称</w:t>
            </w:r>
          </w:p>
        </w:tc>
        <w:tc>
          <w:tcPr>
            <w:tcW w:w="2292" w:type="dxa"/>
            <w:vAlign w:val="center"/>
          </w:tcPr>
          <w:p w14:paraId="14230056">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品牌、规格型号</w:t>
            </w:r>
          </w:p>
        </w:tc>
        <w:tc>
          <w:tcPr>
            <w:tcW w:w="1210" w:type="dxa"/>
            <w:vAlign w:val="center"/>
          </w:tcPr>
          <w:p w14:paraId="23548830">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生产厂家</w:t>
            </w:r>
          </w:p>
        </w:tc>
        <w:tc>
          <w:tcPr>
            <w:tcW w:w="908" w:type="dxa"/>
            <w:vAlign w:val="center"/>
          </w:tcPr>
          <w:p w14:paraId="2BA56A01">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产地</w:t>
            </w:r>
          </w:p>
        </w:tc>
        <w:tc>
          <w:tcPr>
            <w:tcW w:w="908" w:type="dxa"/>
            <w:vAlign w:val="center"/>
          </w:tcPr>
          <w:p w14:paraId="5B40F6CF">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数 量</w:t>
            </w:r>
          </w:p>
        </w:tc>
        <w:tc>
          <w:tcPr>
            <w:tcW w:w="668" w:type="dxa"/>
            <w:vAlign w:val="center"/>
          </w:tcPr>
          <w:p w14:paraId="0D779B3B">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w:t>
            </w:r>
          </w:p>
        </w:tc>
        <w:tc>
          <w:tcPr>
            <w:tcW w:w="947" w:type="dxa"/>
            <w:vAlign w:val="center"/>
          </w:tcPr>
          <w:p w14:paraId="4F7E6AC1">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 价</w:t>
            </w:r>
          </w:p>
          <w:p w14:paraId="20DAF456">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（元）</w:t>
            </w:r>
          </w:p>
        </w:tc>
        <w:tc>
          <w:tcPr>
            <w:tcW w:w="1189" w:type="dxa"/>
            <w:vAlign w:val="center"/>
          </w:tcPr>
          <w:p w14:paraId="0F39334A">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金 额</w:t>
            </w:r>
          </w:p>
          <w:p w14:paraId="00DAED51">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（元）</w:t>
            </w:r>
          </w:p>
        </w:tc>
      </w:tr>
      <w:tr w14:paraId="3542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14:paraId="3CBEDC74">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1233" w:type="dxa"/>
            <w:vAlign w:val="center"/>
          </w:tcPr>
          <w:p w14:paraId="29B5AD95">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92" w:type="dxa"/>
            <w:vAlign w:val="center"/>
          </w:tcPr>
          <w:p w14:paraId="0B723D54">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210" w:type="dxa"/>
          </w:tcPr>
          <w:p w14:paraId="5D847598">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908" w:type="dxa"/>
          </w:tcPr>
          <w:p w14:paraId="767FA42F">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908" w:type="dxa"/>
          </w:tcPr>
          <w:p w14:paraId="5D02AA5F">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668" w:type="dxa"/>
          </w:tcPr>
          <w:p w14:paraId="0F60EC0C">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947" w:type="dxa"/>
            <w:vAlign w:val="center"/>
          </w:tcPr>
          <w:p w14:paraId="6C91B7A9">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189" w:type="dxa"/>
            <w:vAlign w:val="center"/>
          </w:tcPr>
          <w:p w14:paraId="1C553DDF">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00DC9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14:paraId="04CD0491">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1233" w:type="dxa"/>
            <w:vAlign w:val="center"/>
          </w:tcPr>
          <w:p w14:paraId="159912A6">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92" w:type="dxa"/>
            <w:vAlign w:val="center"/>
          </w:tcPr>
          <w:p w14:paraId="07EC1EF3">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210" w:type="dxa"/>
          </w:tcPr>
          <w:p w14:paraId="6B4EAC58">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908" w:type="dxa"/>
          </w:tcPr>
          <w:p w14:paraId="03001C51">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908" w:type="dxa"/>
          </w:tcPr>
          <w:p w14:paraId="3A46A442">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668" w:type="dxa"/>
          </w:tcPr>
          <w:p w14:paraId="59E0B98B">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947" w:type="dxa"/>
            <w:vAlign w:val="center"/>
          </w:tcPr>
          <w:p w14:paraId="372E0BB8">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189" w:type="dxa"/>
            <w:vAlign w:val="center"/>
          </w:tcPr>
          <w:p w14:paraId="6ACEB23B">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62EC1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0064" w:type="dxa"/>
            <w:gridSpan w:val="9"/>
            <w:vAlign w:val="center"/>
          </w:tcPr>
          <w:p w14:paraId="257A56CC">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人民币合计金额（大写）                          （小写）                 </w:t>
            </w:r>
          </w:p>
        </w:tc>
      </w:tr>
    </w:tbl>
    <w:p w14:paraId="0E352854">
      <w:pPr>
        <w:snapToGrid w:val="0"/>
        <w:spacing w:line="360" w:lineRule="auto"/>
        <w:ind w:right="420"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2.合同合计金额包括服务及货物价款，安装、调试、检验、技术培训及技术资料和包装、运输等全部费用。如招投标文件对其另有规定的，从其规定。</w:t>
      </w:r>
    </w:p>
    <w:p w14:paraId="4BBE0F49">
      <w:pPr>
        <w:snapToGrid w:val="0"/>
        <w:spacing w:line="360" w:lineRule="auto"/>
        <w:ind w:firstLine="42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第二条　质量要求</w:t>
      </w:r>
    </w:p>
    <w:p w14:paraId="361E6CB3">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1.乙方所提供的货物型号、技术规格、技术参数等质量必须与招投标文件和承诺相一致。</w:t>
      </w:r>
    </w:p>
    <w:p w14:paraId="6517243B">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2.乙方所提供的货物必须是全新、未使用的原装产品，且在正常安装、使用和保养条件下，其使用寿命期内各项指标均达到质量要求。</w:t>
      </w:r>
    </w:p>
    <w:p w14:paraId="38AD195C">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3.满足乙方在投标文件中对质量承诺和采购人对项目总体要求。</w:t>
      </w:r>
    </w:p>
    <w:p w14:paraId="216091DD">
      <w:pPr>
        <w:snapToGrid w:val="0"/>
        <w:spacing w:line="360" w:lineRule="auto"/>
        <w:ind w:firstLine="42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第三条　权利保证</w:t>
      </w:r>
    </w:p>
    <w:p w14:paraId="6B9043B8">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1.乙方应保证所提供货物在使用时不会侵犯任何第三方的专利权、商标权、工业设计权或其他权利。</w:t>
      </w:r>
    </w:p>
    <w:p w14:paraId="619562AA">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2.乙方应按招标文件规定的时间向甲方提供使用货物的有关技术资料(包括系统的相关软件)。</w:t>
      </w:r>
    </w:p>
    <w:p w14:paraId="611DC3C5">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289825B">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4.乙方保证所交付的货物的所有权完全属于乙方且无任何抵押、质押、查封等产权瑕疵。</w:t>
      </w:r>
    </w:p>
    <w:p w14:paraId="29D51D68">
      <w:pPr>
        <w:snapToGrid w:val="0"/>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第四条　包装和运输</w:t>
      </w:r>
    </w:p>
    <w:p w14:paraId="307C1303">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1.乙方提供的货物均应按招标文件规定或者投标文件承诺的要求的包装材料、包装标准、包装方式进行包装，每一包装单元内应附详细的装箱单和质量合格证。</w:t>
      </w:r>
    </w:p>
    <w:p w14:paraId="636E6943">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2.货物的运输方式：。</w:t>
      </w:r>
    </w:p>
    <w:p w14:paraId="2505A660">
      <w:pPr>
        <w:snapToGrid w:val="0"/>
        <w:spacing w:line="360" w:lineRule="auto"/>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3.乙方负责货物运输，货物运输合理损耗及计算方法：。</w:t>
      </w:r>
    </w:p>
    <w:p w14:paraId="032C9F50">
      <w:pPr>
        <w:snapToGrid w:val="0"/>
        <w:spacing w:line="360" w:lineRule="auto"/>
        <w:ind w:firstLine="42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第五条　交付和验收</w:t>
      </w:r>
    </w:p>
    <w:p w14:paraId="31141676">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1.交货时间：；交付地点：。</w:t>
      </w:r>
    </w:p>
    <w:p w14:paraId="2EB74F8B">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2.乙方提供不符合招标文件规定或者投标文件承诺的和本合同规定的货物，甲方有权拒绝接受。</w:t>
      </w:r>
    </w:p>
    <w:p w14:paraId="5E2978F4">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7C931272">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4.甲方应当在到货（安装、调试完）后七个工作日内进行验收，逾期不验收的，乙方可视同验收合格。验收合格后由甲乙双方签署货物验收单并加盖采购人公章，甲乙双方各执一份。</w:t>
      </w:r>
    </w:p>
    <w:p w14:paraId="69DA3B7D">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7E66FFAC">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6.甲方对验收有异议的，在验收后五个工作日内以书面形式向乙方提出，乙方应自收到甲方书面异议后日内及时予以解决。</w:t>
      </w:r>
    </w:p>
    <w:p w14:paraId="6B182A9C">
      <w:pPr>
        <w:snapToGrid w:val="0"/>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第六条　安装和培训</w:t>
      </w:r>
    </w:p>
    <w:p w14:paraId="566A04F3">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1.甲方应提供必要安装条件（如场地、电源、水源等）。</w:t>
      </w:r>
    </w:p>
    <w:p w14:paraId="35B48CA1">
      <w:pPr>
        <w:snapToGrid w:val="0"/>
        <w:spacing w:line="360" w:lineRule="auto"/>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2.乙方投标文件承诺负责甲方有关人员的培训。培训时间、地点：</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279AED57">
      <w:pPr>
        <w:snapToGrid w:val="0"/>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第七条  售后服务、保修期</w:t>
      </w:r>
    </w:p>
    <w:p w14:paraId="35619BEE">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1.乙方应按照国家有关法律法规和“三包”规定以及本合同所附的《服务承诺》，为甲方提供售后服务。</w:t>
      </w:r>
    </w:p>
    <w:p w14:paraId="2A3788FC">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2.在保修期内，乙方应对货物出现的质量及安全问题负责处理解决并承担一切费用。</w:t>
      </w:r>
    </w:p>
    <w:p w14:paraId="3B4453F4">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3.上述的货物保修期为年，因人为因素出现的故障不在免费保修范围内。超过保修期的机器设备，终生维修，维修时只收部件成本费。</w:t>
      </w:r>
    </w:p>
    <w:p w14:paraId="352B3A05">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4.乙方提供的服务承诺和售后服务及保修期责任等其它具体约定事项。（见合同附件）</w:t>
      </w:r>
    </w:p>
    <w:p w14:paraId="33F6FD6C">
      <w:pPr>
        <w:snapToGrid w:val="0"/>
        <w:spacing w:line="360" w:lineRule="auto"/>
        <w:ind w:firstLine="42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第八条　付款方式</w:t>
      </w:r>
    </w:p>
    <w:p w14:paraId="717AAC75">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bCs/>
          <w:color w:val="000000" w:themeColor="text1"/>
          <w:sz w:val="21"/>
          <w:highlight w:val="none"/>
          <w14:textFill>
            <w14:solidFill>
              <w14:schemeClr w14:val="tx1"/>
            </w14:solidFill>
          </w14:textFill>
        </w:rPr>
        <w:t>1</w:t>
      </w:r>
      <w:r>
        <w:rPr>
          <w:rFonts w:hint="eastAsia" w:ascii="宋体" w:hAnsi="宋体" w:eastAsia="宋体" w:cs="宋体"/>
          <w:color w:val="000000" w:themeColor="text1"/>
          <w:sz w:val="21"/>
          <w:highlight w:val="none"/>
          <w14:textFill>
            <w14:solidFill>
              <w14:schemeClr w14:val="tx1"/>
            </w14:solidFill>
          </w14:textFill>
        </w:rPr>
        <w:t>.当采购数量与实际使用数量不一致时，乙方应根据实际使用量供货，合同的最终结算金额按实际使用量乘以中标单价进行计算，但不得超出合同价的10%。</w:t>
      </w:r>
    </w:p>
    <w:p w14:paraId="1B3580A0">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bCs/>
          <w:color w:val="000000" w:themeColor="text1"/>
          <w:sz w:val="21"/>
          <w:highlight w:val="none"/>
          <w14:textFill>
            <w14:solidFill>
              <w14:schemeClr w14:val="tx1"/>
            </w14:solidFill>
          </w14:textFill>
        </w:rPr>
        <w:t>2.</w:t>
      </w:r>
      <w:r>
        <w:rPr>
          <w:rFonts w:hint="eastAsia" w:ascii="宋体" w:hAnsi="宋体" w:eastAsia="宋体" w:cs="宋体"/>
          <w:color w:val="000000" w:themeColor="text1"/>
          <w:sz w:val="21"/>
          <w:highlight w:val="none"/>
          <w14:textFill>
            <w14:solidFill>
              <w14:schemeClr w14:val="tx1"/>
            </w14:solidFill>
          </w14:textFill>
        </w:rPr>
        <w:t>付款方式：</w:t>
      </w:r>
    </w:p>
    <w:p w14:paraId="2D002FAE">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具体详见《第二章  采购需求》付款条件</w:t>
      </w:r>
    </w:p>
    <w:p w14:paraId="0F88E49E">
      <w:pPr>
        <w:autoSpaceDE w:val="0"/>
        <w:autoSpaceDN w:val="0"/>
        <w:snapToGrid w:val="0"/>
        <w:spacing w:line="400" w:lineRule="exact"/>
        <w:textAlignment w:val="bottom"/>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第九条　履约保证金：</w:t>
      </w:r>
    </w:p>
    <w:p w14:paraId="77B7BD8D">
      <w:pPr>
        <w:snapToGrid w:val="0"/>
        <w:spacing w:line="360" w:lineRule="auto"/>
        <w:ind w:left="-61" w:firstLine="514"/>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履约保证金金额：按中标金额的%。即人民币：</w:t>
      </w:r>
      <w:r>
        <w:rPr>
          <w:rFonts w:hint="eastAsia" w:ascii="宋体" w:hAnsi="宋体" w:eastAsia="宋体" w:cs="宋体"/>
          <w:bCs/>
          <w:color w:val="000000" w:themeColor="text1"/>
          <w:szCs w:val="21"/>
          <w:highlight w:val="none"/>
          <w:u w:val="single"/>
          <w14:textFill>
            <w14:solidFill>
              <w14:schemeClr w14:val="tx1"/>
            </w14:solidFill>
          </w14:textFill>
        </w:rPr>
        <w:t xml:space="preserve">   （¥ ）</w:t>
      </w:r>
      <w:r>
        <w:rPr>
          <w:rFonts w:hint="eastAsia" w:ascii="宋体" w:hAnsi="宋体" w:eastAsia="宋体" w:cs="宋体"/>
          <w:bCs/>
          <w:color w:val="000000" w:themeColor="text1"/>
          <w:szCs w:val="21"/>
          <w:highlight w:val="none"/>
          <w14:textFill>
            <w14:solidFill>
              <w14:schemeClr w14:val="tx1"/>
            </w14:solidFill>
          </w14:textFill>
        </w:rPr>
        <w:t>。乙方应在合同签订前按中标金额的%向甲方指定账户提交履约保证金，凭履约保证金缴纳凭证签订合同。</w:t>
      </w:r>
    </w:p>
    <w:p w14:paraId="59D130E1">
      <w:pPr>
        <w:snapToGrid w:val="0"/>
        <w:spacing w:line="360" w:lineRule="auto"/>
        <w:ind w:left="-61" w:firstLine="514"/>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履约保证金递交方式：以银行转账、支票、汇票、本票或者金融机构、担保机构出具的保函等非现金方式，银行转账、支票、汇票、本票由乙方直接缴入以下甲方账户：</w:t>
      </w:r>
    </w:p>
    <w:p w14:paraId="17A471A9">
      <w:pPr>
        <w:snapToGrid w:val="0"/>
        <w:spacing w:line="360" w:lineRule="auto"/>
        <w:ind w:left="-61" w:firstLine="514"/>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开户名称：广西壮族自治区林业局</w:t>
      </w:r>
    </w:p>
    <w:p w14:paraId="05FA3780">
      <w:pPr>
        <w:snapToGrid w:val="0"/>
        <w:spacing w:line="360" w:lineRule="auto"/>
        <w:ind w:left="-61" w:firstLine="514"/>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开户银行：</w:t>
      </w:r>
    </w:p>
    <w:p w14:paraId="69701D8B">
      <w:pPr>
        <w:snapToGrid w:val="0"/>
        <w:spacing w:line="360" w:lineRule="auto"/>
        <w:ind w:left="-61" w:firstLine="514"/>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账号：</w:t>
      </w:r>
    </w:p>
    <w:p w14:paraId="316A88F1">
      <w:pPr>
        <w:snapToGrid w:val="0"/>
        <w:spacing w:line="360" w:lineRule="auto"/>
        <w:ind w:left="-61" w:firstLine="514"/>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注：履约金转账时备注项目名称或项目编号+履约保证金。</w:t>
      </w:r>
    </w:p>
    <w:p w14:paraId="40F1267D">
      <w:pPr>
        <w:snapToGrid w:val="0"/>
        <w:spacing w:line="360" w:lineRule="auto"/>
        <w:ind w:left="-61" w:firstLine="514"/>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履约保证金退付：乙方若不能完全履行合同，履约保证金不返还；乙方若完全履行合同及质量保证义务，且没有任何未解决的质量问题，货到验收合格且质保期满年后乙方凭履约保证金退付申请书和履约保证金汇款（转账）单到甲方办理无息退还手续。</w:t>
      </w:r>
    </w:p>
    <w:p w14:paraId="0222C6FB">
      <w:pPr>
        <w:snapToGrid w:val="0"/>
        <w:spacing w:line="360" w:lineRule="auto"/>
        <w:ind w:left="-61" w:firstLine="514"/>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第十条  税费</w:t>
      </w:r>
    </w:p>
    <w:p w14:paraId="7AC92724">
      <w:pPr>
        <w:snapToGrid w:val="0"/>
        <w:spacing w:line="360" w:lineRule="auto"/>
        <w:ind w:left="-61" w:firstLine="51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本合同执行中相关的一切税费均由乙方负担，合同另有约定的除外。</w:t>
      </w:r>
    </w:p>
    <w:p w14:paraId="48642DA9">
      <w:pPr>
        <w:snapToGrid w:val="0"/>
        <w:spacing w:line="360" w:lineRule="auto"/>
        <w:ind w:left="-61" w:firstLine="51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第十一条  质量保证、质保期</w:t>
      </w:r>
    </w:p>
    <w:p w14:paraId="1AAB7F03">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bCs/>
          <w:color w:val="000000" w:themeColor="text1"/>
          <w:sz w:val="21"/>
          <w:highlight w:val="none"/>
          <w14:textFill>
            <w14:solidFill>
              <w14:schemeClr w14:val="tx1"/>
            </w14:solidFill>
          </w14:textFill>
        </w:rPr>
        <w:t>1.</w:t>
      </w:r>
      <w:r>
        <w:rPr>
          <w:rFonts w:hint="eastAsia" w:ascii="宋体" w:hAnsi="宋体" w:eastAsia="宋体" w:cs="宋体"/>
          <w:color w:val="000000" w:themeColor="text1"/>
          <w:sz w:val="21"/>
          <w:highlight w:val="none"/>
          <w14:textFill>
            <w14:solidFill>
              <w14:schemeClr w14:val="tx1"/>
            </w14:solidFill>
          </w14:textFill>
        </w:rPr>
        <w:t>乙方应按招标文件规定的产品名称、商标品牌、生产厂家、规格型号、技术参数、质量标准向甲方提供未经使用的全新产品。不符合要求的，根据实际情况，经双方协商，可按以下办法处理：</w:t>
      </w:r>
    </w:p>
    <w:p w14:paraId="7F225EA2">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⑴更换：由乙方承担所发生的全部费用。</w:t>
      </w:r>
    </w:p>
    <w:p w14:paraId="6C9605B3">
      <w:pPr>
        <w:pStyle w:val="26"/>
        <w:snapToGrid w:val="0"/>
        <w:spacing w:line="360" w:lineRule="auto"/>
        <w:ind w:firstLine="42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⑵贬值处理：由甲乙双方合议定价。</w:t>
      </w:r>
    </w:p>
    <w:p w14:paraId="57E8DA08">
      <w:pPr>
        <w:pStyle w:val="26"/>
        <w:snapToGrid w:val="0"/>
        <w:spacing w:line="360" w:lineRule="auto"/>
        <w:ind w:firstLine="42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⑶退货处理：乙方应退还甲方支付的合同款，同时应承担该货物的直接费用（运输、保险、检验、货款利息及银行手续费等）。</w:t>
      </w:r>
    </w:p>
    <w:p w14:paraId="4DF6E736">
      <w:pPr>
        <w:pStyle w:val="26"/>
        <w:snapToGrid w:val="0"/>
        <w:spacing w:line="360" w:lineRule="auto"/>
        <w:ind w:firstLine="400" w:firstLineChars="2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2.货物质保期：</w:t>
      </w:r>
      <w:r>
        <w:rPr>
          <w:rFonts w:hint="eastAsia" w:ascii="宋体" w:hAnsi="宋体" w:eastAsia="宋体" w:cs="宋体"/>
          <w:color w:val="000000" w:themeColor="text1"/>
          <w:highlight w:val="none"/>
          <w:u w:val="single"/>
          <w14:textFill>
            <w14:solidFill>
              <w14:schemeClr w14:val="tx1"/>
            </w14:solidFill>
          </w14:textFill>
        </w:rPr>
        <w:t xml:space="preserve">                                          。</w:t>
      </w:r>
    </w:p>
    <w:p w14:paraId="7FB171C2">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3.如在使用过程中发生质量问题，乙方在接到甲方通知后到达甲方现场处理的时间（</w:t>
      </w:r>
      <w:r>
        <w:rPr>
          <w:rFonts w:hint="eastAsia" w:ascii="宋体" w:hAnsi="宋体" w:eastAsia="宋体" w:cs="宋体"/>
          <w:color w:val="000000" w:themeColor="text1"/>
          <w:sz w:val="21"/>
          <w:highlight w:val="none"/>
          <w:u w:val="single"/>
          <w14:textFill>
            <w14:solidFill>
              <w14:schemeClr w14:val="tx1"/>
            </w14:solidFill>
          </w14:textFill>
        </w:rPr>
        <w:t>按投标文件承诺的数据填写</w:t>
      </w:r>
      <w:r>
        <w:rPr>
          <w:rFonts w:hint="eastAsia" w:ascii="宋体" w:hAnsi="宋体" w:eastAsia="宋体" w:cs="宋体"/>
          <w:color w:val="000000" w:themeColor="text1"/>
          <w:sz w:val="21"/>
          <w:highlight w:val="none"/>
          <w14:textFill>
            <w14:solidFill>
              <w14:schemeClr w14:val="tx1"/>
            </w14:solidFill>
          </w14:textFill>
        </w:rPr>
        <w:t>）小时内。</w:t>
      </w:r>
    </w:p>
    <w:p w14:paraId="54522094">
      <w:pPr>
        <w:snapToGrid w:val="0"/>
        <w:spacing w:line="360" w:lineRule="auto"/>
        <w:ind w:left="-61" w:firstLine="51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第十二条  调试和验收</w:t>
      </w:r>
    </w:p>
    <w:p w14:paraId="4669116D">
      <w:pPr>
        <w:pStyle w:val="26"/>
        <w:snapToGrid w:val="0"/>
        <w:spacing w:line="360" w:lineRule="auto"/>
        <w:ind w:firstLine="420" w:firstLineChars="200"/>
        <w:jc w:val="left"/>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79EC176E">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2.乙方交货前应对产品作出全面检查和对验收文件进行整理，并列出清单，作为甲方收货验收和使用的技术条件依据，检验的结果应随货物交甲方。</w:t>
      </w:r>
    </w:p>
    <w:p w14:paraId="6B281DA7">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3.甲方对乙方提供的货物在使用前进行调试时，乙方需负责安装并培训甲方的使用操作人员，并协助甲方一起调试，直到符合技术要求，甲方才做最终验收。</w:t>
      </w:r>
    </w:p>
    <w:p w14:paraId="43312CDD">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4.对技术复杂的货物，甲方应请国家认可的专业检测机构参与初步验收及最终验收，并由其出具质量检测报告。</w:t>
      </w:r>
    </w:p>
    <w:p w14:paraId="1BE3DCEF">
      <w:pPr>
        <w:snapToGrid w:val="0"/>
        <w:spacing w:line="360" w:lineRule="auto"/>
        <w:ind w:left="-61" w:firstLine="51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 验收时乙方必须在现场，验收完毕后作出验收结果报告；验收费用按招标文件约定承担方负责。</w:t>
      </w:r>
    </w:p>
    <w:p w14:paraId="077098C9">
      <w:pPr>
        <w:pStyle w:val="26"/>
        <w:snapToGrid w:val="0"/>
        <w:spacing w:line="360" w:lineRule="auto"/>
        <w:ind w:firstLine="413" w:firstLineChars="196"/>
        <w:rPr>
          <w:rFonts w:hint="eastAsia" w:ascii="宋体" w:hAnsi="宋体" w:eastAsia="宋体" w:cs="宋体"/>
          <w:b/>
          <w:color w:val="000000" w:themeColor="text1"/>
          <w:sz w:val="21"/>
          <w:highlight w:val="none"/>
          <w14:textFill>
            <w14:solidFill>
              <w14:schemeClr w14:val="tx1"/>
            </w14:solidFill>
          </w14:textFill>
        </w:rPr>
      </w:pPr>
      <w:r>
        <w:rPr>
          <w:rFonts w:hint="eastAsia" w:ascii="宋体" w:hAnsi="宋体" w:eastAsia="宋体" w:cs="宋体"/>
          <w:b/>
          <w:color w:val="000000" w:themeColor="text1"/>
          <w:sz w:val="21"/>
          <w:highlight w:val="none"/>
          <w14:textFill>
            <w14:solidFill>
              <w14:schemeClr w14:val="tx1"/>
            </w14:solidFill>
          </w14:textFill>
        </w:rPr>
        <w:t>第十三条  货物包装、发运及运输</w:t>
      </w:r>
    </w:p>
    <w:p w14:paraId="3285440D">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1.乙方应在货物发运前对其进行满足运输距离、防潮、防震、防锈和防破损装卸等要求包装，以保证货物安全运达甲方指定地点。</w:t>
      </w:r>
    </w:p>
    <w:p w14:paraId="133E5AD6">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 使用说明书（货物属于进口产品的，供货时应同时附上中文使用说明书）、质量检验证明书、随配附件和工具以及清单一并附于货物内。</w:t>
      </w:r>
    </w:p>
    <w:p w14:paraId="0A547386">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3.乙方在货物发运手续办理完毕后二十四小时内或者货到甲方四十八小时前通知甲方，以准备接货。</w:t>
      </w:r>
    </w:p>
    <w:p w14:paraId="34EC4D1D">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4.货物在交付甲方前发生的风险均由乙方负责。</w:t>
      </w:r>
    </w:p>
    <w:p w14:paraId="3FEC2C9D">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5.货物在规</w:t>
      </w:r>
      <w:r>
        <w:rPr>
          <w:rFonts w:hint="eastAsia" w:ascii="宋体" w:hAnsi="宋体" w:eastAsia="宋体" w:cs="宋体"/>
          <w:color w:val="000000" w:themeColor="text1"/>
          <w:spacing w:val="-8"/>
          <w:sz w:val="21"/>
          <w:highlight w:val="none"/>
          <w14:textFill>
            <w14:solidFill>
              <w14:schemeClr w14:val="tx1"/>
            </w14:solidFill>
          </w14:textFill>
        </w:rPr>
        <w:t>定的交付期限内由乙方送达甲方指定的地点视为交付，乙方同时需通知甲方货物已送达。</w:t>
      </w:r>
    </w:p>
    <w:p w14:paraId="51F8EA95">
      <w:pPr>
        <w:snapToGrid w:val="0"/>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第十四条　违约责任</w:t>
      </w:r>
    </w:p>
    <w:p w14:paraId="52BB1D2A">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14:paraId="39EED5F5">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2.乙方提供的货物如侵犯了第三方合法权益而引发的任何纠纷或者诉讼，均由乙方负责交涉并承担全部责任。</w:t>
      </w:r>
    </w:p>
    <w:p w14:paraId="4F7C5E9D">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3.因包装、运输引起的货物损坏，按质量不合格处罚。</w:t>
      </w:r>
    </w:p>
    <w:p w14:paraId="23938FA1">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4.甲方无故延期接收货物、乙方逾期交货的，每天向对方偿付违约货款额3‰违约金，但违约金累计不得超过违约货款额5%，超过</w:t>
      </w:r>
      <w:r>
        <w:rPr>
          <w:rFonts w:hint="eastAsia" w:ascii="宋体" w:hAnsi="宋体" w:eastAsia="宋体" w:cs="宋体"/>
          <w:color w:val="000000" w:themeColor="text1"/>
          <w:sz w:val="21"/>
          <w:highlight w:val="none"/>
          <w:u w:val="single"/>
          <w14:textFill>
            <w14:solidFill>
              <w14:schemeClr w14:val="tx1"/>
            </w14:solidFill>
          </w14:textFill>
        </w:rPr>
        <w:t>20</w:t>
      </w:r>
      <w:r>
        <w:rPr>
          <w:rFonts w:hint="eastAsia" w:ascii="宋体" w:hAnsi="宋体" w:eastAsia="宋体" w:cs="宋体"/>
          <w:color w:val="000000" w:themeColor="text1"/>
          <w:sz w:val="21"/>
          <w:highlight w:val="none"/>
          <w14:textFill>
            <w14:solidFill>
              <w14:schemeClr w14:val="tx1"/>
            </w14:solidFill>
          </w14:textFill>
        </w:rPr>
        <w:t>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14:paraId="5EA9D5F8">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5. 乙方未按本合同和投标文件中规定的服务承诺提供售后服务的，乙方应按本合同合计金额 5%向甲方支付违约金。</w:t>
      </w:r>
    </w:p>
    <w:p w14:paraId="7922DEE8">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6. 乙方提供的货物在质量保证期内，因设计、工艺或者材料的缺陷和其它质量原因造成的问题，由乙方负责，费用从余款或者履约保证金中扣除，不足另补。</w:t>
      </w:r>
    </w:p>
    <w:p w14:paraId="1EB831EF">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7. 甲乙双方有其它违约行为的，由违约方向对方支付违约内容涉及货款额的5%，违约内容涉及货款额的5%不足以赔偿经济损失的按实际赔偿。</w:t>
      </w:r>
    </w:p>
    <w:p w14:paraId="6DEC971C">
      <w:pPr>
        <w:pStyle w:val="26"/>
        <w:snapToGrid w:val="0"/>
        <w:spacing w:line="360" w:lineRule="auto"/>
        <w:ind w:firstLine="413" w:firstLineChars="196"/>
        <w:rPr>
          <w:rFonts w:hint="eastAsia" w:ascii="宋体" w:hAnsi="宋体" w:eastAsia="宋体" w:cs="宋体"/>
          <w:b/>
          <w:color w:val="000000" w:themeColor="text1"/>
          <w:sz w:val="21"/>
          <w:highlight w:val="none"/>
          <w14:textFill>
            <w14:solidFill>
              <w14:schemeClr w14:val="tx1"/>
            </w14:solidFill>
          </w14:textFill>
        </w:rPr>
      </w:pPr>
      <w:r>
        <w:rPr>
          <w:rFonts w:hint="eastAsia" w:ascii="宋体" w:hAnsi="宋体" w:eastAsia="宋体" w:cs="宋体"/>
          <w:b/>
          <w:color w:val="000000" w:themeColor="text1"/>
          <w:sz w:val="21"/>
          <w:highlight w:val="none"/>
          <w14:textFill>
            <w14:solidFill>
              <w14:schemeClr w14:val="tx1"/>
            </w14:solidFill>
          </w14:textFill>
        </w:rPr>
        <w:t>第十五条  不可抗力事件处理</w:t>
      </w:r>
    </w:p>
    <w:p w14:paraId="5CEAEC71">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1.在合同有效期内，任何一方因不可抗力事件导致不能履行合同，则合同履行期可延长，其延长期与不可抗力影响期相同。</w:t>
      </w:r>
    </w:p>
    <w:p w14:paraId="68EB0597">
      <w:pPr>
        <w:pStyle w:val="26"/>
        <w:snapToGrid w:val="0"/>
        <w:spacing w:line="360" w:lineRule="auto"/>
        <w:ind w:firstLine="420" w:firstLine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2.不可抗力事件发生后，应立即通知对方，并寄送有关权威机构出具的证明。</w:t>
      </w:r>
    </w:p>
    <w:p w14:paraId="4B98D6CD">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3.不可抗力事件延续一百二十天以上，双方应通过友好协商，确定是否继续履行合同。</w:t>
      </w:r>
    </w:p>
    <w:p w14:paraId="5CE41395">
      <w:pPr>
        <w:snapToGrid w:val="0"/>
        <w:spacing w:line="360" w:lineRule="auto"/>
        <w:ind w:firstLine="42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第十六条  合同争议解决</w:t>
      </w:r>
    </w:p>
    <w:p w14:paraId="39D1D01D">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 因货物质量问题发生争议的，应邀请国家认可的质量检测机构对货物质量进行鉴定。货物符合标准的，鉴定费由甲方承担；货物不符合标准的，鉴定费由乙方承担。</w:t>
      </w:r>
    </w:p>
    <w:p w14:paraId="1098119D">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 因履行本合同引起的或者与本合同有关的争议，甲乙双方应首先通过友好协商解决，如果协商不能解决，可向甲方所在地有管辖权的人民法院提起诉讼。</w:t>
      </w:r>
    </w:p>
    <w:p w14:paraId="09DDA87F">
      <w:pPr>
        <w:snapToGrid w:val="0"/>
        <w:spacing w:line="360" w:lineRule="auto"/>
        <w:ind w:left="-61" w:firstLine="51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3.诉讼期间，本合同继续履行。</w:t>
      </w:r>
    </w:p>
    <w:p w14:paraId="2D82DFD7">
      <w:pPr>
        <w:pStyle w:val="26"/>
        <w:snapToGrid w:val="0"/>
        <w:spacing w:line="360" w:lineRule="auto"/>
        <w:ind w:firstLine="413" w:firstLineChars="196"/>
        <w:rPr>
          <w:rFonts w:hint="eastAsia" w:ascii="宋体" w:hAnsi="宋体" w:eastAsia="宋体" w:cs="宋体"/>
          <w:b/>
          <w:color w:val="000000" w:themeColor="text1"/>
          <w:sz w:val="21"/>
          <w:highlight w:val="none"/>
          <w14:textFill>
            <w14:solidFill>
              <w14:schemeClr w14:val="tx1"/>
            </w14:solidFill>
          </w14:textFill>
        </w:rPr>
      </w:pPr>
      <w:r>
        <w:rPr>
          <w:rFonts w:hint="eastAsia" w:ascii="宋体" w:hAnsi="宋体" w:eastAsia="宋体" w:cs="宋体"/>
          <w:b/>
          <w:color w:val="000000" w:themeColor="text1"/>
          <w:sz w:val="21"/>
          <w:highlight w:val="none"/>
          <w14:textFill>
            <w14:solidFill>
              <w14:schemeClr w14:val="tx1"/>
            </w14:solidFill>
          </w14:textFill>
        </w:rPr>
        <w:t>第十七条  合同生效及其它</w:t>
      </w:r>
    </w:p>
    <w:p w14:paraId="110E0E8A">
      <w:pPr>
        <w:pStyle w:val="26"/>
        <w:snapToGrid w:val="0"/>
        <w:spacing w:line="360" w:lineRule="auto"/>
        <w:ind w:firstLine="422" w:firstLineChars="200"/>
        <w:rPr>
          <w:rFonts w:hint="eastAsia" w:ascii="宋体" w:hAnsi="宋体" w:eastAsia="宋体" w:cs="宋体"/>
          <w:b/>
          <w:color w:val="000000" w:themeColor="text1"/>
          <w:sz w:val="21"/>
          <w:highlight w:val="none"/>
          <w14:textFill>
            <w14:solidFill>
              <w14:schemeClr w14:val="tx1"/>
            </w14:solidFill>
          </w14:textFill>
        </w:rPr>
      </w:pPr>
      <w:r>
        <w:rPr>
          <w:rFonts w:hint="eastAsia" w:ascii="宋体" w:hAnsi="宋体" w:eastAsia="宋体" w:cs="宋体"/>
          <w:b/>
          <w:color w:val="000000" w:themeColor="text1"/>
          <w:sz w:val="21"/>
          <w:highlight w:val="none"/>
          <w14:textFill>
            <w14:solidFill>
              <w14:schemeClr w14:val="tx1"/>
            </w14:solidFill>
          </w14:textFill>
        </w:rPr>
        <w:t>1. 合同经双方法定代表人或者委托代理人签字并加盖单位公章后生效（委托代理人签字的需后附授权委托书，格式自拟）。</w:t>
      </w:r>
    </w:p>
    <w:p w14:paraId="4C458635">
      <w:pPr>
        <w:pStyle w:val="26"/>
        <w:snapToGrid w:val="0"/>
        <w:spacing w:line="360" w:lineRule="auto"/>
        <w:ind w:firstLine="422" w:firstLineChars="200"/>
        <w:rPr>
          <w:rFonts w:hint="eastAsia" w:ascii="宋体" w:hAnsi="宋体" w:eastAsia="宋体" w:cs="宋体"/>
          <w:b/>
          <w:color w:val="000000" w:themeColor="text1"/>
          <w:sz w:val="21"/>
          <w:highlight w:val="none"/>
          <w14:textFill>
            <w14:solidFill>
              <w14:schemeClr w14:val="tx1"/>
            </w14:solidFill>
          </w14:textFill>
        </w:rPr>
      </w:pPr>
      <w:r>
        <w:rPr>
          <w:rFonts w:hint="eastAsia" w:ascii="宋体" w:hAnsi="宋体" w:eastAsia="宋体" w:cs="宋体"/>
          <w:b/>
          <w:color w:val="000000" w:themeColor="text1"/>
          <w:sz w:val="21"/>
          <w:highlight w:val="none"/>
          <w14:textFill>
            <w14:solidFill>
              <w14:schemeClr w14:val="tx1"/>
            </w14:solidFill>
          </w14:textFill>
        </w:rPr>
        <w:t>2.合同执行中涉及采购资金和采购内容修改或者补充的，须经财政部门审批，并签书面补充协议报财政部门备案，方可作为主合同不可分割的一部分。</w:t>
      </w:r>
    </w:p>
    <w:p w14:paraId="2FF04E22">
      <w:pPr>
        <w:pStyle w:val="26"/>
        <w:snapToGrid w:val="0"/>
        <w:spacing w:line="360" w:lineRule="auto"/>
        <w:ind w:left="420" w:leftChars="200"/>
        <w:rPr>
          <w:rFonts w:hint="eastAsia" w:ascii="宋体" w:hAnsi="宋体" w:eastAsia="宋体" w:cs="宋体"/>
          <w:b/>
          <w:color w:val="000000" w:themeColor="text1"/>
          <w:sz w:val="21"/>
          <w:highlight w:val="none"/>
          <w14:textFill>
            <w14:solidFill>
              <w14:schemeClr w14:val="tx1"/>
            </w14:solidFill>
          </w14:textFill>
        </w:rPr>
      </w:pPr>
      <w:r>
        <w:rPr>
          <w:rFonts w:hint="eastAsia" w:ascii="宋体" w:hAnsi="宋体" w:eastAsia="宋体" w:cs="宋体"/>
          <w:b/>
          <w:color w:val="000000" w:themeColor="text1"/>
          <w:sz w:val="21"/>
          <w:highlight w:val="none"/>
          <w14:textFill>
            <w14:solidFill>
              <w14:schemeClr w14:val="tx1"/>
            </w14:solidFill>
          </w14:textFill>
        </w:rPr>
        <w:t>3.本合同未尽事宜，遵照《中华人民共和国民法典》有关条文执行。</w:t>
      </w:r>
    </w:p>
    <w:p w14:paraId="67A6A334">
      <w:pPr>
        <w:snapToGrid w:val="0"/>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第十八条　合同的变更、终止与转让</w:t>
      </w:r>
    </w:p>
    <w:p w14:paraId="4463EBA6">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 除《中华人民共和国政府采购法》第五十条规定的情形外，本合同一经签订，甲乙双方不得擅自变更、中止或者终止。</w:t>
      </w:r>
    </w:p>
    <w:p w14:paraId="1A766BC5">
      <w:pPr>
        <w:snapToGrid w:val="0"/>
        <w:spacing w:line="360" w:lineRule="auto"/>
        <w:ind w:left="-61" w:firstLine="51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 乙方不得擅自转让（无进口资格的供应商委托进口货物除外）其应履行的合同义务。</w:t>
      </w:r>
    </w:p>
    <w:p w14:paraId="6DD0899E">
      <w:pPr>
        <w:snapToGrid w:val="0"/>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第十九条　</w:t>
      </w:r>
      <w:r>
        <w:rPr>
          <w:rFonts w:hint="eastAsia" w:ascii="宋体" w:hAnsi="宋体" w:eastAsia="宋体" w:cs="宋体"/>
          <w:color w:val="000000" w:themeColor="text1"/>
          <w:spacing w:val="-2"/>
          <w:kern w:val="0"/>
          <w:szCs w:val="21"/>
          <w:highlight w:val="none"/>
          <w14:textFill>
            <w14:solidFill>
              <w14:schemeClr w14:val="tx1"/>
            </w14:solidFill>
          </w14:textFill>
        </w:rPr>
        <w:t>本</w:t>
      </w:r>
      <w:r>
        <w:rPr>
          <w:rFonts w:hint="eastAsia" w:ascii="宋体" w:hAnsi="宋体" w:eastAsia="宋体" w:cs="宋体"/>
          <w:color w:val="000000" w:themeColor="text1"/>
          <w:kern w:val="0"/>
          <w:szCs w:val="21"/>
          <w:highlight w:val="none"/>
          <w14:textFill>
            <w14:solidFill>
              <w14:schemeClr w14:val="tx1"/>
            </w14:solidFill>
          </w14:textFill>
        </w:rPr>
        <w:t>合同书</w:t>
      </w:r>
      <w:r>
        <w:rPr>
          <w:rFonts w:hint="eastAsia" w:ascii="宋体" w:hAnsi="宋体" w:eastAsia="宋体" w:cs="宋体"/>
          <w:color w:val="000000" w:themeColor="text1"/>
          <w:spacing w:val="-2"/>
          <w:kern w:val="0"/>
          <w:szCs w:val="21"/>
          <w:highlight w:val="none"/>
          <w14:textFill>
            <w14:solidFill>
              <w14:schemeClr w14:val="tx1"/>
            </w14:solidFill>
          </w14:textFill>
        </w:rPr>
        <w:t>与</w:t>
      </w:r>
      <w:r>
        <w:rPr>
          <w:rFonts w:hint="eastAsia" w:ascii="宋体" w:hAnsi="宋体" w:eastAsia="宋体" w:cs="宋体"/>
          <w:color w:val="000000" w:themeColor="text1"/>
          <w:kern w:val="0"/>
          <w:szCs w:val="21"/>
          <w:highlight w:val="none"/>
          <w14:textFill>
            <w14:solidFill>
              <w14:schemeClr w14:val="tx1"/>
            </w14:solidFill>
          </w14:textFill>
        </w:rPr>
        <w:t>下</w:t>
      </w:r>
      <w:r>
        <w:rPr>
          <w:rFonts w:hint="eastAsia" w:ascii="宋体" w:hAnsi="宋体" w:eastAsia="宋体" w:cs="宋体"/>
          <w:color w:val="000000" w:themeColor="text1"/>
          <w:spacing w:val="-2"/>
          <w:kern w:val="0"/>
          <w:szCs w:val="21"/>
          <w:highlight w:val="none"/>
          <w14:textFill>
            <w14:solidFill>
              <w14:schemeClr w14:val="tx1"/>
            </w14:solidFill>
          </w14:textFill>
        </w:rPr>
        <w:t>列</w:t>
      </w:r>
      <w:r>
        <w:rPr>
          <w:rFonts w:hint="eastAsia" w:ascii="宋体" w:hAnsi="宋体" w:eastAsia="宋体" w:cs="宋体"/>
          <w:color w:val="000000" w:themeColor="text1"/>
          <w:kern w:val="0"/>
          <w:szCs w:val="21"/>
          <w:highlight w:val="none"/>
          <w14:textFill>
            <w14:solidFill>
              <w14:schemeClr w14:val="tx1"/>
            </w14:solidFill>
          </w14:textFill>
        </w:rPr>
        <w:t>文</w:t>
      </w:r>
      <w:r>
        <w:rPr>
          <w:rFonts w:hint="eastAsia" w:ascii="宋体" w:hAnsi="宋体" w:eastAsia="宋体" w:cs="宋体"/>
          <w:color w:val="000000" w:themeColor="text1"/>
          <w:spacing w:val="-2"/>
          <w:kern w:val="0"/>
          <w:szCs w:val="21"/>
          <w:highlight w:val="none"/>
          <w14:textFill>
            <w14:solidFill>
              <w14:schemeClr w14:val="tx1"/>
            </w14:solidFill>
          </w14:textFill>
        </w:rPr>
        <w:t>件一</w:t>
      </w:r>
      <w:r>
        <w:rPr>
          <w:rFonts w:hint="eastAsia" w:ascii="宋体" w:hAnsi="宋体" w:eastAsia="宋体" w:cs="宋体"/>
          <w:color w:val="000000" w:themeColor="text1"/>
          <w:kern w:val="0"/>
          <w:szCs w:val="21"/>
          <w:highlight w:val="none"/>
          <w14:textFill>
            <w14:solidFill>
              <w14:schemeClr w14:val="tx1"/>
            </w14:solidFill>
          </w14:textFill>
        </w:rPr>
        <w:t>起构</w:t>
      </w:r>
      <w:r>
        <w:rPr>
          <w:rFonts w:hint="eastAsia" w:ascii="宋体" w:hAnsi="宋体" w:eastAsia="宋体" w:cs="宋体"/>
          <w:color w:val="000000" w:themeColor="text1"/>
          <w:spacing w:val="-2"/>
          <w:kern w:val="0"/>
          <w:szCs w:val="21"/>
          <w:highlight w:val="none"/>
          <w14:textFill>
            <w14:solidFill>
              <w14:schemeClr w14:val="tx1"/>
            </w14:solidFill>
          </w14:textFill>
        </w:rPr>
        <w:t>成</w:t>
      </w:r>
      <w:r>
        <w:rPr>
          <w:rFonts w:hint="eastAsia" w:ascii="宋体" w:hAnsi="宋体" w:eastAsia="宋体" w:cs="宋体"/>
          <w:color w:val="000000" w:themeColor="text1"/>
          <w:kern w:val="0"/>
          <w:szCs w:val="21"/>
          <w:highlight w:val="none"/>
          <w14:textFill>
            <w14:solidFill>
              <w14:schemeClr w14:val="tx1"/>
            </w14:solidFill>
          </w14:textFill>
        </w:rPr>
        <w:t>合</w:t>
      </w:r>
      <w:r>
        <w:rPr>
          <w:rFonts w:hint="eastAsia" w:ascii="宋体" w:hAnsi="宋体" w:eastAsia="宋体" w:cs="宋体"/>
          <w:color w:val="000000" w:themeColor="text1"/>
          <w:spacing w:val="-2"/>
          <w:kern w:val="0"/>
          <w:szCs w:val="21"/>
          <w:highlight w:val="none"/>
          <w14:textFill>
            <w14:solidFill>
              <w14:schemeClr w14:val="tx1"/>
            </w14:solidFill>
          </w14:textFill>
        </w:rPr>
        <w:t>同</w:t>
      </w:r>
      <w:r>
        <w:rPr>
          <w:rFonts w:hint="eastAsia" w:ascii="宋体" w:hAnsi="宋体" w:eastAsia="宋体" w:cs="宋体"/>
          <w:color w:val="000000" w:themeColor="text1"/>
          <w:kern w:val="0"/>
          <w:szCs w:val="21"/>
          <w:highlight w:val="none"/>
          <w14:textFill>
            <w14:solidFill>
              <w14:schemeClr w14:val="tx1"/>
            </w14:solidFill>
          </w14:textFill>
        </w:rPr>
        <w:t>文</w:t>
      </w:r>
      <w:r>
        <w:rPr>
          <w:rFonts w:hint="eastAsia" w:ascii="宋体" w:hAnsi="宋体" w:eastAsia="宋体" w:cs="宋体"/>
          <w:color w:val="000000" w:themeColor="text1"/>
          <w:spacing w:val="-2"/>
          <w:kern w:val="0"/>
          <w:szCs w:val="21"/>
          <w:highlight w:val="none"/>
          <w14:textFill>
            <w14:solidFill>
              <w14:schemeClr w14:val="tx1"/>
            </w14:solidFill>
          </w14:textFill>
        </w:rPr>
        <w:t>件</w:t>
      </w:r>
    </w:p>
    <w:p w14:paraId="42FC40CD">
      <w:pPr>
        <w:pStyle w:val="26"/>
        <w:snapToGrid w:val="0"/>
        <w:spacing w:line="360" w:lineRule="auto"/>
        <w:ind w:left="420" w:left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1.中标通知书；</w:t>
      </w:r>
    </w:p>
    <w:p w14:paraId="6E7BA077">
      <w:pPr>
        <w:pStyle w:val="26"/>
        <w:snapToGrid w:val="0"/>
        <w:spacing w:line="360" w:lineRule="auto"/>
        <w:ind w:left="420" w:left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2.投标函；</w:t>
      </w:r>
    </w:p>
    <w:p w14:paraId="622E510A">
      <w:pPr>
        <w:pStyle w:val="26"/>
        <w:snapToGrid w:val="0"/>
        <w:spacing w:line="360" w:lineRule="auto"/>
        <w:ind w:left="420" w:left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3.商务要求偏离表和技术要求偏离表；</w:t>
      </w:r>
    </w:p>
    <w:p w14:paraId="66471BBF">
      <w:pPr>
        <w:pStyle w:val="26"/>
        <w:snapToGrid w:val="0"/>
        <w:spacing w:line="360" w:lineRule="auto"/>
        <w:ind w:left="420" w:left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4.采购需求；</w:t>
      </w:r>
    </w:p>
    <w:p w14:paraId="5E9290B5">
      <w:pPr>
        <w:pStyle w:val="26"/>
        <w:snapToGrid w:val="0"/>
        <w:spacing w:line="360" w:lineRule="auto"/>
        <w:ind w:left="420" w:left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5.开标一览表；</w:t>
      </w:r>
    </w:p>
    <w:p w14:paraId="34DA1B2C">
      <w:pPr>
        <w:pStyle w:val="26"/>
        <w:snapToGrid w:val="0"/>
        <w:spacing w:line="360" w:lineRule="auto"/>
        <w:ind w:left="420" w:left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6.设备性能配置清单；</w:t>
      </w:r>
    </w:p>
    <w:p w14:paraId="7544C695">
      <w:pPr>
        <w:pStyle w:val="26"/>
        <w:snapToGrid w:val="0"/>
        <w:spacing w:line="360" w:lineRule="auto"/>
        <w:ind w:left="420" w:leftChars="20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7.其他合同文件。</w:t>
      </w:r>
    </w:p>
    <w:p w14:paraId="378B3D21">
      <w:pPr>
        <w:pStyle w:val="26"/>
        <w:snapToGrid w:val="0"/>
        <w:spacing w:line="360" w:lineRule="auto"/>
        <w:ind w:left="420" w:leftChars="200"/>
        <w:rPr>
          <w:rFonts w:hint="eastAsia" w:ascii="宋体" w:hAnsi="宋体" w:eastAsia="宋体" w:cs="宋体"/>
          <w:b/>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8.上述合同文件互相补充和解释。如果合同文件之间存在矛盾或者不一致之处，以上述文件 的排列顺序在先者为准。</w:t>
      </w:r>
    </w:p>
    <w:p w14:paraId="5B3CE1E2">
      <w:pPr>
        <w:snapToGrid w:val="0"/>
        <w:spacing w:line="360" w:lineRule="auto"/>
        <w:ind w:firstLine="42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第二十条　</w:t>
      </w:r>
      <w:r>
        <w:rPr>
          <w:rFonts w:hint="eastAsia" w:ascii="宋体" w:hAnsi="宋体" w:eastAsia="宋体" w:cs="宋体"/>
          <w:color w:val="000000" w:themeColor="text1"/>
          <w:szCs w:val="21"/>
          <w:highlight w:val="none"/>
          <w14:textFill>
            <w14:solidFill>
              <w14:schemeClr w14:val="tx1"/>
            </w14:solidFill>
          </w14:textFill>
        </w:rPr>
        <w:t>本合同一式五份，具有同等法律效力，甲乙双方各两份，采购代理机构存一份，（可根据需要另增加）。</w:t>
      </w:r>
    </w:p>
    <w:p w14:paraId="3CC6A562">
      <w:pPr>
        <w:snapToGrid w:val="0"/>
        <w:spacing w:line="360" w:lineRule="auto"/>
        <w:ind w:left="-61" w:firstLine="51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本合同甲乙双方签字盖章后生效，自签订之日起七个工作日内，甲方应当将合同副本报同级财政部门备案。</w:t>
      </w:r>
    </w:p>
    <w:p w14:paraId="1F1057A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本合同自签订之日起2个工作日内，甲方应当将采购合同在广西壮族自治区财政厅指定的媒体上公告。</w:t>
      </w:r>
    </w:p>
    <w:p w14:paraId="61A4A604">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7B6B6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14:paraId="7F12DA59">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甲方（章）广西壮族自治区林业局</w:t>
            </w:r>
          </w:p>
          <w:p w14:paraId="69EAD9E9">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p>
          <w:p w14:paraId="247A5976">
            <w:pPr>
              <w:snapToGrid w:val="0"/>
              <w:spacing w:line="360" w:lineRule="auto"/>
              <w:ind w:firstLine="945" w:firstLineChars="450"/>
              <w:jc w:val="righ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年   月   日</w:t>
            </w:r>
          </w:p>
        </w:tc>
        <w:tc>
          <w:tcPr>
            <w:tcW w:w="4517" w:type="dxa"/>
            <w:vAlign w:val="center"/>
          </w:tcPr>
          <w:p w14:paraId="0889D3AD">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乙方（章）              </w:t>
            </w:r>
          </w:p>
          <w:p w14:paraId="156DD555">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p>
          <w:p w14:paraId="0C07D03B">
            <w:pPr>
              <w:snapToGrid w:val="0"/>
              <w:spacing w:line="360" w:lineRule="auto"/>
              <w:jc w:val="righ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tc>
      </w:tr>
      <w:tr w14:paraId="5E3F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14:paraId="301FEBE2">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单位地址：广西南宁市青秀区云景路21号</w:t>
            </w:r>
          </w:p>
        </w:tc>
        <w:tc>
          <w:tcPr>
            <w:tcW w:w="4517" w:type="dxa"/>
            <w:vAlign w:val="center"/>
          </w:tcPr>
          <w:p w14:paraId="394878E0">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单位地址：</w:t>
            </w:r>
          </w:p>
        </w:tc>
      </w:tr>
      <w:tr w14:paraId="6F76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tcPr>
          <w:p w14:paraId="5F1C1D34">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法定代表人或者委托代理人：</w:t>
            </w:r>
          </w:p>
        </w:tc>
        <w:tc>
          <w:tcPr>
            <w:tcW w:w="4517" w:type="dxa"/>
          </w:tcPr>
          <w:p w14:paraId="6B8ABF7C">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法定代表人或者委托代理人：</w:t>
            </w:r>
          </w:p>
        </w:tc>
      </w:tr>
      <w:tr w14:paraId="01310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14:paraId="2402FCC2">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电话：0771-6783551</w:t>
            </w:r>
          </w:p>
        </w:tc>
        <w:tc>
          <w:tcPr>
            <w:tcW w:w="4517" w:type="dxa"/>
            <w:vAlign w:val="center"/>
          </w:tcPr>
          <w:p w14:paraId="219E2591">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电话：</w:t>
            </w:r>
          </w:p>
        </w:tc>
      </w:tr>
      <w:tr w14:paraId="0FF18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14:paraId="06DC14B3">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电子邮箱：</w:t>
            </w:r>
          </w:p>
        </w:tc>
        <w:tc>
          <w:tcPr>
            <w:tcW w:w="4517" w:type="dxa"/>
            <w:vAlign w:val="center"/>
          </w:tcPr>
          <w:p w14:paraId="2D45AB93">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电子邮箱：</w:t>
            </w:r>
          </w:p>
        </w:tc>
      </w:tr>
      <w:tr w14:paraId="69075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14:paraId="22E21B2C">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w:t>
            </w:r>
          </w:p>
        </w:tc>
        <w:tc>
          <w:tcPr>
            <w:tcW w:w="4517" w:type="dxa"/>
            <w:vAlign w:val="center"/>
          </w:tcPr>
          <w:p w14:paraId="238CA087">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w:t>
            </w:r>
          </w:p>
        </w:tc>
      </w:tr>
      <w:tr w14:paraId="3122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14:paraId="4D7B3B3D">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账号：</w:t>
            </w:r>
          </w:p>
        </w:tc>
        <w:tc>
          <w:tcPr>
            <w:tcW w:w="4517" w:type="dxa"/>
            <w:vAlign w:val="center"/>
          </w:tcPr>
          <w:p w14:paraId="3DEE6ED2">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账号：</w:t>
            </w:r>
          </w:p>
        </w:tc>
      </w:tr>
      <w:tr w14:paraId="1F7F8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14:paraId="6C7DE60E">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邮政编码：</w:t>
            </w:r>
          </w:p>
        </w:tc>
        <w:tc>
          <w:tcPr>
            <w:tcW w:w="4517" w:type="dxa"/>
            <w:vAlign w:val="center"/>
          </w:tcPr>
          <w:p w14:paraId="25F98E04">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邮政编码：</w:t>
            </w:r>
          </w:p>
        </w:tc>
      </w:tr>
    </w:tbl>
    <w:p w14:paraId="1E8334D2">
      <w:pPr>
        <w:snapToGrid w:val="0"/>
        <w:spacing w:line="360" w:lineRule="auto"/>
        <w:ind w:left="420" w:hanging="420" w:hangingChars="200"/>
        <w:rPr>
          <w:rFonts w:hint="eastAsia" w:ascii="宋体" w:hAnsi="宋体" w:eastAsia="宋体" w:cs="宋体"/>
          <w:color w:val="000000" w:themeColor="text1"/>
          <w:szCs w:val="21"/>
          <w:highlight w:val="none"/>
          <w14:textFill>
            <w14:solidFill>
              <w14:schemeClr w14:val="tx1"/>
            </w14:solidFill>
          </w14:textFill>
        </w:rPr>
      </w:pPr>
    </w:p>
    <w:p w14:paraId="7407399F">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p w14:paraId="22D56E5D">
      <w:pPr>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p>
    <w:p w14:paraId="1E22D45B">
      <w:pPr>
        <w:snapToGrid w:val="0"/>
        <w:jc w:val="center"/>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br w:type="page"/>
      </w:r>
    </w:p>
    <w:bookmarkEnd w:id="145"/>
    <w:p w14:paraId="2D0A6117">
      <w:pPr>
        <w:snapToGrid w:val="0"/>
        <w:spacing w:line="480" w:lineRule="auto"/>
        <w:rPr>
          <w:rFonts w:hint="eastAsia" w:ascii="宋体" w:hAnsi="宋体" w:eastAsia="宋体" w:cs="宋体"/>
          <w:bCs/>
          <w:color w:val="000000" w:themeColor="text1"/>
          <w:sz w:val="32"/>
          <w:szCs w:val="32"/>
          <w:highlight w:val="none"/>
          <w14:textFill>
            <w14:solidFill>
              <w14:schemeClr w14:val="tx1"/>
            </w14:solidFill>
          </w14:textFill>
        </w:rPr>
      </w:pPr>
    </w:p>
    <w:p w14:paraId="762091CC">
      <w:pPr>
        <w:snapToGrid w:val="0"/>
        <w:jc w:val="center"/>
        <w:rPr>
          <w:rFonts w:hint="eastAsia" w:ascii="宋体" w:hAnsi="宋体" w:eastAsia="宋体" w:cs="宋体"/>
          <w:bCs/>
          <w:color w:val="000000" w:themeColor="text1"/>
          <w:sz w:val="32"/>
          <w:szCs w:val="32"/>
          <w:highlight w:val="none"/>
          <w14:textFill>
            <w14:solidFill>
              <w14:schemeClr w14:val="tx1"/>
            </w14:solidFill>
          </w14:textFill>
        </w:rPr>
      </w:pPr>
    </w:p>
    <w:p w14:paraId="65C76CB0">
      <w:pPr>
        <w:snapToGrid w:val="0"/>
        <w:jc w:val="center"/>
        <w:rPr>
          <w:rFonts w:hint="eastAsia" w:ascii="宋体" w:hAnsi="宋体" w:eastAsia="宋体" w:cs="宋体"/>
          <w:bCs/>
          <w:color w:val="000000" w:themeColor="text1"/>
          <w:sz w:val="32"/>
          <w:szCs w:val="32"/>
          <w:highlight w:val="none"/>
          <w14:textFill>
            <w14:solidFill>
              <w14:schemeClr w14:val="tx1"/>
            </w14:solidFill>
          </w14:textFill>
        </w:rPr>
      </w:pPr>
    </w:p>
    <w:p w14:paraId="30095463">
      <w:pPr>
        <w:snapToGrid w:val="0"/>
        <w:jc w:val="center"/>
        <w:rPr>
          <w:rFonts w:hint="eastAsia" w:ascii="宋体" w:hAnsi="宋体" w:eastAsia="宋体" w:cs="宋体"/>
          <w:bCs/>
          <w:color w:val="000000" w:themeColor="text1"/>
          <w:sz w:val="32"/>
          <w:szCs w:val="32"/>
          <w:highlight w:val="none"/>
          <w14:textFill>
            <w14:solidFill>
              <w14:schemeClr w14:val="tx1"/>
            </w14:solidFill>
          </w14:textFill>
        </w:rPr>
      </w:pPr>
    </w:p>
    <w:p w14:paraId="7EEA12D8">
      <w:pPr>
        <w:snapToGrid w:val="0"/>
        <w:jc w:val="center"/>
        <w:rPr>
          <w:rFonts w:hint="eastAsia" w:ascii="宋体" w:hAnsi="宋体" w:eastAsia="宋体" w:cs="宋体"/>
          <w:bCs/>
          <w:color w:val="000000" w:themeColor="text1"/>
          <w:sz w:val="32"/>
          <w:szCs w:val="32"/>
          <w:highlight w:val="none"/>
          <w14:textFill>
            <w14:solidFill>
              <w14:schemeClr w14:val="tx1"/>
            </w14:solidFill>
          </w14:textFill>
        </w:rPr>
      </w:pPr>
    </w:p>
    <w:p w14:paraId="4B59E6D4">
      <w:pPr>
        <w:snapToGrid w:val="0"/>
        <w:jc w:val="center"/>
        <w:rPr>
          <w:rFonts w:hint="eastAsia" w:ascii="宋体" w:hAnsi="宋体" w:eastAsia="宋体" w:cs="宋体"/>
          <w:bCs/>
          <w:color w:val="000000" w:themeColor="text1"/>
          <w:sz w:val="32"/>
          <w:szCs w:val="32"/>
          <w:highlight w:val="none"/>
          <w14:textFill>
            <w14:solidFill>
              <w14:schemeClr w14:val="tx1"/>
            </w14:solidFill>
          </w14:textFill>
        </w:rPr>
      </w:pPr>
    </w:p>
    <w:p w14:paraId="62FBDA20">
      <w:pPr>
        <w:snapToGrid w:val="0"/>
        <w:jc w:val="center"/>
        <w:rPr>
          <w:rFonts w:hint="eastAsia" w:ascii="宋体" w:hAnsi="宋体" w:eastAsia="宋体" w:cs="宋体"/>
          <w:bCs/>
          <w:color w:val="000000" w:themeColor="text1"/>
          <w:sz w:val="32"/>
          <w:szCs w:val="32"/>
          <w:highlight w:val="none"/>
          <w14:textFill>
            <w14:solidFill>
              <w14:schemeClr w14:val="tx1"/>
            </w14:solidFill>
          </w14:textFill>
        </w:rPr>
      </w:pPr>
    </w:p>
    <w:p w14:paraId="392765DD">
      <w:pPr>
        <w:snapToGrid w:val="0"/>
        <w:jc w:val="center"/>
        <w:rPr>
          <w:rFonts w:hint="eastAsia" w:ascii="宋体" w:hAnsi="宋体" w:eastAsia="宋体" w:cs="宋体"/>
          <w:bCs/>
          <w:color w:val="000000" w:themeColor="text1"/>
          <w:sz w:val="32"/>
          <w:szCs w:val="32"/>
          <w:highlight w:val="none"/>
          <w14:textFill>
            <w14:solidFill>
              <w14:schemeClr w14:val="tx1"/>
            </w14:solidFill>
          </w14:textFill>
        </w:rPr>
      </w:pPr>
    </w:p>
    <w:p w14:paraId="168C4E99">
      <w:pPr>
        <w:snapToGrid w:val="0"/>
        <w:jc w:val="center"/>
        <w:rPr>
          <w:rFonts w:hint="eastAsia" w:ascii="宋体" w:hAnsi="宋体" w:eastAsia="宋体" w:cs="宋体"/>
          <w:bCs/>
          <w:color w:val="000000" w:themeColor="text1"/>
          <w:sz w:val="32"/>
          <w:szCs w:val="32"/>
          <w:highlight w:val="none"/>
          <w14:textFill>
            <w14:solidFill>
              <w14:schemeClr w14:val="tx1"/>
            </w14:solidFill>
          </w14:textFill>
        </w:rPr>
      </w:pPr>
    </w:p>
    <w:p w14:paraId="1687400F">
      <w:pPr>
        <w:snapToGrid w:val="0"/>
        <w:jc w:val="center"/>
        <w:rPr>
          <w:rFonts w:hint="eastAsia" w:ascii="宋体" w:hAnsi="宋体" w:eastAsia="宋体" w:cs="宋体"/>
          <w:bCs/>
          <w:color w:val="000000" w:themeColor="text1"/>
          <w:sz w:val="32"/>
          <w:szCs w:val="32"/>
          <w:highlight w:val="none"/>
          <w14:textFill>
            <w14:solidFill>
              <w14:schemeClr w14:val="tx1"/>
            </w14:solidFill>
          </w14:textFill>
        </w:rPr>
      </w:pPr>
    </w:p>
    <w:p w14:paraId="4BBB6F02">
      <w:pPr>
        <w:snapToGrid w:val="0"/>
        <w:jc w:val="center"/>
        <w:rPr>
          <w:rFonts w:hint="eastAsia" w:ascii="宋体" w:hAnsi="宋体" w:eastAsia="宋体" w:cs="宋体"/>
          <w:bCs/>
          <w:color w:val="000000" w:themeColor="text1"/>
          <w:sz w:val="32"/>
          <w:szCs w:val="32"/>
          <w:highlight w:val="none"/>
          <w14:textFill>
            <w14:solidFill>
              <w14:schemeClr w14:val="tx1"/>
            </w14:solidFill>
          </w14:textFill>
        </w:rPr>
      </w:pPr>
    </w:p>
    <w:p w14:paraId="62E98B6A">
      <w:pPr>
        <w:pStyle w:val="4"/>
        <w:jc w:val="center"/>
        <w:rPr>
          <w:rFonts w:hint="eastAsia" w:ascii="宋体" w:hAnsi="宋体" w:eastAsia="宋体" w:cs="宋体"/>
          <w:color w:val="000000" w:themeColor="text1"/>
          <w:highlight w:val="none"/>
          <w14:textFill>
            <w14:solidFill>
              <w14:schemeClr w14:val="tx1"/>
            </w14:solidFill>
          </w14:textFill>
        </w:rPr>
      </w:pPr>
      <w:bookmarkStart w:id="146" w:name="_Toc598"/>
      <w:bookmarkStart w:id="147" w:name="_Toc10032"/>
      <w:r>
        <w:rPr>
          <w:rFonts w:hint="eastAsia" w:ascii="宋体" w:hAnsi="宋体" w:eastAsia="宋体" w:cs="宋体"/>
          <w:color w:val="000000" w:themeColor="text1"/>
          <w:highlight w:val="none"/>
          <w14:textFill>
            <w14:solidFill>
              <w14:schemeClr w14:val="tx1"/>
            </w14:solidFill>
          </w14:textFill>
        </w:rPr>
        <w:t>第六章　投标文件格式</w:t>
      </w:r>
      <w:bookmarkEnd w:id="146"/>
      <w:bookmarkEnd w:id="147"/>
    </w:p>
    <w:p w14:paraId="56940F96">
      <w:pPr>
        <w:snapToGrid w:val="0"/>
        <w:spacing w:before="50" w:after="50"/>
        <w:outlineLvl w:val="1"/>
        <w:rPr>
          <w:rFonts w:hint="eastAsia" w:ascii="宋体" w:hAnsi="宋体" w:eastAsia="宋体" w:cs="宋体"/>
          <w:color w:val="000000" w:themeColor="text1"/>
          <w:sz w:val="32"/>
          <w:szCs w:val="20"/>
          <w:highlight w:val="none"/>
          <w14:textFill>
            <w14:solidFill>
              <w14:schemeClr w14:val="tx1"/>
            </w14:solidFill>
          </w14:textFill>
        </w:rPr>
      </w:pPr>
    </w:p>
    <w:p w14:paraId="69488E67">
      <w:pPr>
        <w:snapToGrid w:val="0"/>
        <w:spacing w:before="50" w:after="50"/>
        <w:outlineLvl w:val="1"/>
        <w:rPr>
          <w:rFonts w:hint="eastAsia" w:ascii="宋体" w:hAnsi="宋体" w:eastAsia="宋体" w:cs="宋体"/>
          <w:color w:val="000000" w:themeColor="text1"/>
          <w:sz w:val="32"/>
          <w:szCs w:val="20"/>
          <w:highlight w:val="none"/>
          <w14:textFill>
            <w14:solidFill>
              <w14:schemeClr w14:val="tx1"/>
            </w14:solidFill>
          </w14:textFill>
        </w:rPr>
      </w:pPr>
    </w:p>
    <w:p w14:paraId="1D1F7191">
      <w:pPr>
        <w:snapToGrid w:val="0"/>
        <w:spacing w:before="50" w:after="50"/>
        <w:outlineLvl w:val="1"/>
        <w:rPr>
          <w:rFonts w:hint="eastAsia" w:ascii="宋体" w:hAnsi="宋体" w:eastAsia="宋体" w:cs="宋体"/>
          <w:color w:val="000000" w:themeColor="text1"/>
          <w:sz w:val="32"/>
          <w:szCs w:val="20"/>
          <w:highlight w:val="none"/>
          <w14:textFill>
            <w14:solidFill>
              <w14:schemeClr w14:val="tx1"/>
            </w14:solidFill>
          </w14:textFill>
        </w:rPr>
      </w:pPr>
    </w:p>
    <w:p w14:paraId="2E8CCF4F">
      <w:pPr>
        <w:snapToGrid w:val="0"/>
        <w:spacing w:before="50" w:after="50"/>
        <w:outlineLvl w:val="1"/>
        <w:rPr>
          <w:rFonts w:hint="eastAsia" w:ascii="宋体" w:hAnsi="宋体" w:eastAsia="宋体" w:cs="宋体"/>
          <w:color w:val="000000" w:themeColor="text1"/>
          <w:sz w:val="32"/>
          <w:szCs w:val="20"/>
          <w:highlight w:val="none"/>
          <w14:textFill>
            <w14:solidFill>
              <w14:schemeClr w14:val="tx1"/>
            </w14:solidFill>
          </w14:textFill>
        </w:rPr>
      </w:pPr>
    </w:p>
    <w:p w14:paraId="799881E2">
      <w:pPr>
        <w:snapToGrid w:val="0"/>
        <w:spacing w:before="50" w:after="50"/>
        <w:outlineLvl w:val="1"/>
        <w:rPr>
          <w:rFonts w:hint="eastAsia" w:ascii="宋体" w:hAnsi="宋体" w:eastAsia="宋体" w:cs="宋体"/>
          <w:color w:val="000000" w:themeColor="text1"/>
          <w:sz w:val="32"/>
          <w:szCs w:val="20"/>
          <w:highlight w:val="none"/>
          <w14:textFill>
            <w14:solidFill>
              <w14:schemeClr w14:val="tx1"/>
            </w14:solidFill>
          </w14:textFill>
        </w:rPr>
      </w:pPr>
    </w:p>
    <w:p w14:paraId="7FDC5D1B">
      <w:pPr>
        <w:snapToGrid w:val="0"/>
        <w:spacing w:before="50" w:after="50"/>
        <w:outlineLvl w:val="1"/>
        <w:rPr>
          <w:rFonts w:hint="eastAsia" w:ascii="宋体" w:hAnsi="宋体" w:eastAsia="宋体" w:cs="宋体"/>
          <w:color w:val="000000" w:themeColor="text1"/>
          <w:sz w:val="32"/>
          <w:szCs w:val="20"/>
          <w:highlight w:val="none"/>
          <w14:textFill>
            <w14:solidFill>
              <w14:schemeClr w14:val="tx1"/>
            </w14:solidFill>
          </w14:textFill>
        </w:rPr>
      </w:pPr>
    </w:p>
    <w:p w14:paraId="2BA4729B">
      <w:pPr>
        <w:snapToGrid w:val="0"/>
        <w:spacing w:before="50" w:after="50"/>
        <w:outlineLvl w:val="1"/>
        <w:rPr>
          <w:rFonts w:hint="eastAsia" w:ascii="宋体" w:hAnsi="宋体" w:eastAsia="宋体" w:cs="宋体"/>
          <w:color w:val="000000" w:themeColor="text1"/>
          <w:sz w:val="32"/>
          <w:szCs w:val="20"/>
          <w:highlight w:val="none"/>
          <w14:textFill>
            <w14:solidFill>
              <w14:schemeClr w14:val="tx1"/>
            </w14:solidFill>
          </w14:textFill>
        </w:rPr>
      </w:pPr>
    </w:p>
    <w:p w14:paraId="50D58231">
      <w:pPr>
        <w:snapToGrid w:val="0"/>
        <w:spacing w:before="50" w:after="50"/>
        <w:outlineLvl w:val="1"/>
        <w:rPr>
          <w:rFonts w:hint="eastAsia" w:ascii="宋体" w:hAnsi="宋体" w:eastAsia="宋体" w:cs="宋体"/>
          <w:color w:val="000000" w:themeColor="text1"/>
          <w:sz w:val="32"/>
          <w:szCs w:val="20"/>
          <w:highlight w:val="none"/>
          <w14:textFill>
            <w14:solidFill>
              <w14:schemeClr w14:val="tx1"/>
            </w14:solidFill>
          </w14:textFill>
        </w:rPr>
      </w:pPr>
    </w:p>
    <w:p w14:paraId="18FB24BA">
      <w:pPr>
        <w:snapToGrid w:val="0"/>
        <w:spacing w:before="50" w:after="50"/>
        <w:outlineLvl w:val="1"/>
        <w:rPr>
          <w:rFonts w:hint="eastAsia" w:ascii="宋体" w:hAnsi="宋体" w:eastAsia="宋体" w:cs="宋体"/>
          <w:color w:val="000000" w:themeColor="text1"/>
          <w:sz w:val="32"/>
          <w:szCs w:val="20"/>
          <w:highlight w:val="none"/>
          <w14:textFill>
            <w14:solidFill>
              <w14:schemeClr w14:val="tx1"/>
            </w14:solidFill>
          </w14:textFill>
        </w:rPr>
      </w:pPr>
    </w:p>
    <w:p w14:paraId="78B8F55B">
      <w:pPr>
        <w:snapToGrid w:val="0"/>
        <w:spacing w:before="50" w:after="50"/>
        <w:outlineLvl w:val="1"/>
        <w:rPr>
          <w:rFonts w:hint="eastAsia" w:ascii="宋体" w:hAnsi="宋体" w:eastAsia="宋体" w:cs="宋体"/>
          <w:color w:val="000000" w:themeColor="text1"/>
          <w:sz w:val="32"/>
          <w:szCs w:val="20"/>
          <w:highlight w:val="none"/>
          <w14:textFill>
            <w14:solidFill>
              <w14:schemeClr w14:val="tx1"/>
            </w14:solidFill>
          </w14:textFill>
        </w:rPr>
      </w:pPr>
    </w:p>
    <w:p w14:paraId="4237CEB8">
      <w:pPr>
        <w:snapToGrid w:val="0"/>
        <w:spacing w:before="50" w:after="50"/>
        <w:outlineLvl w:val="1"/>
        <w:rPr>
          <w:rFonts w:hint="eastAsia" w:ascii="宋体" w:hAnsi="宋体" w:eastAsia="宋体" w:cs="宋体"/>
          <w:color w:val="000000" w:themeColor="text1"/>
          <w:sz w:val="32"/>
          <w:szCs w:val="20"/>
          <w:highlight w:val="none"/>
          <w14:textFill>
            <w14:solidFill>
              <w14:schemeClr w14:val="tx1"/>
            </w14:solidFill>
          </w14:textFill>
        </w:rPr>
      </w:pPr>
    </w:p>
    <w:p w14:paraId="2B43C621">
      <w:pPr>
        <w:snapToGrid w:val="0"/>
        <w:spacing w:beforeLines="50" w:after="50"/>
        <w:jc w:val="center"/>
        <w:outlineLvl w:val="1"/>
        <w:rPr>
          <w:rFonts w:hint="eastAsia" w:ascii="宋体" w:hAnsi="宋体" w:eastAsia="宋体" w:cs="宋体"/>
          <w:color w:val="000000" w:themeColor="text1"/>
          <w:highlight w:val="none"/>
          <w14:textFill>
            <w14:solidFill>
              <w14:schemeClr w14:val="tx1"/>
            </w14:solidFill>
          </w14:textFill>
        </w:rPr>
      </w:pPr>
    </w:p>
    <w:p w14:paraId="444CCE07">
      <w:pPr>
        <w:rPr>
          <w:rFonts w:hint="eastAsia" w:ascii="宋体" w:hAnsi="宋体" w:eastAsia="宋体" w:cs="宋体"/>
          <w:b/>
          <w:color w:val="000000" w:themeColor="text1"/>
          <w:sz w:val="28"/>
          <w:szCs w:val="28"/>
          <w:highlight w:val="none"/>
          <w14:textFill>
            <w14:solidFill>
              <w14:schemeClr w14:val="tx1"/>
            </w14:solidFill>
          </w14:textFill>
        </w:rPr>
      </w:pPr>
      <w:bookmarkStart w:id="148" w:name="_Toc19686836"/>
      <w:bookmarkStart w:id="149" w:name="_Toc254970557"/>
      <w:bookmarkStart w:id="150" w:name="_Toc254970698"/>
      <w:r>
        <w:rPr>
          <w:rFonts w:hint="eastAsia" w:ascii="宋体" w:hAnsi="宋体" w:eastAsia="宋体" w:cs="宋体"/>
          <w:b/>
          <w:color w:val="000000" w:themeColor="text1"/>
          <w:sz w:val="28"/>
          <w:szCs w:val="28"/>
          <w:highlight w:val="none"/>
          <w14:textFill>
            <w14:solidFill>
              <w14:schemeClr w14:val="tx1"/>
            </w14:solidFill>
          </w14:textFill>
        </w:rPr>
        <w:br w:type="page"/>
      </w:r>
      <w:r>
        <w:rPr>
          <w:rFonts w:hint="eastAsia" w:ascii="宋体" w:hAnsi="宋体" w:eastAsia="宋体" w:cs="宋体"/>
          <w:b/>
          <w:color w:val="000000" w:themeColor="text1"/>
          <w:sz w:val="28"/>
          <w:szCs w:val="28"/>
          <w:highlight w:val="none"/>
          <w14:textFill>
            <w14:solidFill>
              <w14:schemeClr w14:val="tx1"/>
            </w14:solidFill>
          </w14:textFill>
        </w:rPr>
        <w:t>一、报价文件格式</w:t>
      </w:r>
      <w:bookmarkEnd w:id="148"/>
    </w:p>
    <w:p w14:paraId="324D808A">
      <w:pPr>
        <w:snapToGrid w:val="0"/>
        <w:spacing w:beforeLines="50" w:after="50" w:line="360" w:lineRule="auto"/>
        <w:ind w:left="142"/>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1. 报价文件封面格式： </w:t>
      </w:r>
    </w:p>
    <w:p w14:paraId="7E3B8C3E">
      <w:pPr>
        <w:snapToGrid w:val="0"/>
        <w:spacing w:beforeLines="50" w:after="50" w:line="400" w:lineRule="exact"/>
        <w:rPr>
          <w:rFonts w:hint="eastAsia" w:ascii="宋体" w:hAnsi="宋体" w:eastAsia="宋体" w:cs="宋体"/>
          <w:bCs/>
          <w:color w:val="000000" w:themeColor="text1"/>
          <w:sz w:val="32"/>
          <w:szCs w:val="20"/>
          <w:highlight w:val="none"/>
          <w14:textFill>
            <w14:solidFill>
              <w14:schemeClr w14:val="tx1"/>
            </w14:solidFill>
          </w14:textFill>
        </w:rPr>
      </w:pPr>
    </w:p>
    <w:p w14:paraId="340327CB">
      <w:pPr>
        <w:snapToGrid w:val="0"/>
        <w:spacing w:beforeLines="50" w:after="50" w:line="400" w:lineRule="exact"/>
        <w:jc w:val="center"/>
        <w:rPr>
          <w:rFonts w:hint="eastAsia" w:ascii="宋体" w:hAnsi="宋体" w:eastAsia="宋体" w:cs="宋体"/>
          <w:bCs/>
          <w:color w:val="000000" w:themeColor="text1"/>
          <w:sz w:val="24"/>
          <w:szCs w:val="20"/>
          <w:highlight w:val="none"/>
          <w14:textFill>
            <w14:solidFill>
              <w14:schemeClr w14:val="tx1"/>
            </w14:solidFill>
          </w14:textFill>
        </w:rPr>
      </w:pPr>
    </w:p>
    <w:p w14:paraId="0355569A">
      <w:pPr>
        <w:snapToGrid w:val="0"/>
        <w:spacing w:beforeLines="50" w:after="50"/>
        <w:jc w:val="center"/>
        <w:rPr>
          <w:rFonts w:hint="eastAsia" w:ascii="宋体" w:hAnsi="宋体" w:eastAsia="宋体" w:cs="宋体"/>
          <w:color w:val="000000" w:themeColor="text1"/>
          <w:sz w:val="84"/>
          <w:szCs w:val="84"/>
          <w:highlight w:val="none"/>
          <w14:textFill>
            <w14:solidFill>
              <w14:schemeClr w14:val="tx1"/>
            </w14:solidFill>
          </w14:textFill>
        </w:rPr>
      </w:pPr>
      <w:r>
        <w:rPr>
          <w:rFonts w:hint="eastAsia" w:ascii="宋体" w:hAnsi="宋体" w:eastAsia="宋体" w:cs="宋体"/>
          <w:color w:val="000000" w:themeColor="text1"/>
          <w:sz w:val="84"/>
          <w:szCs w:val="84"/>
          <w:highlight w:val="none"/>
          <w14:textFill>
            <w14:solidFill>
              <w14:schemeClr w14:val="tx1"/>
            </w14:solidFill>
          </w14:textFill>
        </w:rPr>
        <w:t>投  标  文  件</w:t>
      </w:r>
    </w:p>
    <w:p w14:paraId="117D033F">
      <w:pPr>
        <w:snapToGrid w:val="0"/>
        <w:spacing w:beforeLines="50" w:after="50" w:line="400" w:lineRule="exact"/>
        <w:jc w:val="center"/>
        <w:rPr>
          <w:rFonts w:hint="eastAsia" w:ascii="宋体" w:hAnsi="宋体" w:eastAsia="宋体" w:cs="宋体"/>
          <w:bCs/>
          <w:color w:val="000000" w:themeColor="text1"/>
          <w:sz w:val="32"/>
          <w:szCs w:val="32"/>
          <w:highlight w:val="none"/>
          <w14:textFill>
            <w14:solidFill>
              <w14:schemeClr w14:val="tx1"/>
            </w14:solidFill>
          </w14:textFill>
        </w:rPr>
      </w:pPr>
    </w:p>
    <w:p w14:paraId="73AC4CAD">
      <w:pPr>
        <w:snapToGrid w:val="0"/>
        <w:spacing w:beforeLines="50" w:after="50" w:line="400" w:lineRule="exact"/>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报  价  文  件</w:t>
      </w:r>
    </w:p>
    <w:p w14:paraId="66F835E1">
      <w:pPr>
        <w:snapToGrid w:val="0"/>
        <w:spacing w:beforeLines="50" w:after="50" w:line="400" w:lineRule="exact"/>
        <w:rPr>
          <w:rFonts w:hint="eastAsia" w:ascii="宋体" w:hAnsi="宋体" w:eastAsia="宋体" w:cs="宋体"/>
          <w:bCs/>
          <w:color w:val="000000" w:themeColor="text1"/>
          <w:sz w:val="24"/>
          <w:szCs w:val="20"/>
          <w:highlight w:val="none"/>
          <w14:textFill>
            <w14:solidFill>
              <w14:schemeClr w14:val="tx1"/>
            </w14:solidFill>
          </w14:textFill>
        </w:rPr>
      </w:pPr>
    </w:p>
    <w:p w14:paraId="2EFD1539">
      <w:pPr>
        <w:snapToGrid w:val="0"/>
        <w:spacing w:beforeLines="50" w:after="50" w:line="400" w:lineRule="exact"/>
        <w:rPr>
          <w:rFonts w:hint="eastAsia" w:ascii="宋体" w:hAnsi="宋体" w:eastAsia="宋体" w:cs="宋体"/>
          <w:bCs/>
          <w:color w:val="000000" w:themeColor="text1"/>
          <w:sz w:val="24"/>
          <w:szCs w:val="20"/>
          <w:highlight w:val="none"/>
          <w14:textFill>
            <w14:solidFill>
              <w14:schemeClr w14:val="tx1"/>
            </w14:solidFill>
          </w14:textFill>
        </w:rPr>
      </w:pPr>
    </w:p>
    <w:p w14:paraId="55AE7CA5">
      <w:pPr>
        <w:snapToGrid w:val="0"/>
        <w:spacing w:beforeLines="50" w:after="50" w:line="400" w:lineRule="exact"/>
        <w:rPr>
          <w:rFonts w:hint="eastAsia" w:ascii="宋体" w:hAnsi="宋体" w:eastAsia="宋体" w:cs="宋体"/>
          <w:bCs/>
          <w:color w:val="000000" w:themeColor="text1"/>
          <w:sz w:val="24"/>
          <w:szCs w:val="20"/>
          <w:highlight w:val="none"/>
          <w14:textFill>
            <w14:solidFill>
              <w14:schemeClr w14:val="tx1"/>
            </w14:solidFill>
          </w14:textFill>
        </w:rPr>
      </w:pPr>
    </w:p>
    <w:p w14:paraId="7C020305">
      <w:pPr>
        <w:snapToGrid w:val="0"/>
        <w:spacing w:beforeLines="50" w:after="50" w:line="400" w:lineRule="exact"/>
        <w:rPr>
          <w:rFonts w:hint="eastAsia" w:ascii="宋体" w:hAnsi="宋体" w:eastAsia="宋体" w:cs="宋体"/>
          <w:bCs/>
          <w:color w:val="000000" w:themeColor="text1"/>
          <w:sz w:val="24"/>
          <w:szCs w:val="20"/>
          <w:highlight w:val="none"/>
          <w14:textFill>
            <w14:solidFill>
              <w14:schemeClr w14:val="tx1"/>
            </w14:solidFill>
          </w14:textFill>
        </w:rPr>
      </w:pPr>
    </w:p>
    <w:p w14:paraId="194DA724">
      <w:pPr>
        <w:snapToGrid w:val="0"/>
        <w:spacing w:beforeLines="50" w:after="50" w:line="400" w:lineRule="exact"/>
        <w:ind w:firstLine="360" w:firstLineChars="15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 xml:space="preserve">项目名称： </w:t>
      </w:r>
    </w:p>
    <w:p w14:paraId="03A70487">
      <w:pPr>
        <w:snapToGrid w:val="0"/>
        <w:spacing w:beforeLines="50" w:after="50" w:line="400" w:lineRule="exact"/>
        <w:ind w:firstLine="360" w:firstLineChars="150"/>
        <w:rPr>
          <w:rFonts w:hint="eastAsia" w:ascii="宋体" w:hAnsi="宋体" w:eastAsia="宋体" w:cs="宋体"/>
          <w:bCs/>
          <w:color w:val="000000" w:themeColor="text1"/>
          <w:sz w:val="24"/>
          <w:highlight w:val="none"/>
          <w14:textFill>
            <w14:solidFill>
              <w14:schemeClr w14:val="tx1"/>
            </w14:solidFill>
          </w14:textFill>
        </w:rPr>
      </w:pPr>
    </w:p>
    <w:p w14:paraId="3C1A0153">
      <w:pPr>
        <w:snapToGrid w:val="0"/>
        <w:spacing w:beforeLines="50" w:after="50" w:line="400" w:lineRule="exact"/>
        <w:ind w:firstLine="360" w:firstLineChars="15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 xml:space="preserve">项目编号： </w:t>
      </w:r>
    </w:p>
    <w:p w14:paraId="606517D8">
      <w:pPr>
        <w:snapToGrid w:val="0"/>
        <w:spacing w:beforeLines="50" w:after="50" w:line="400" w:lineRule="exact"/>
        <w:ind w:firstLine="360" w:firstLineChars="150"/>
        <w:rPr>
          <w:rFonts w:hint="eastAsia" w:ascii="宋体" w:hAnsi="宋体" w:eastAsia="宋体" w:cs="宋体"/>
          <w:bCs/>
          <w:color w:val="000000" w:themeColor="text1"/>
          <w:sz w:val="24"/>
          <w:highlight w:val="none"/>
          <w14:textFill>
            <w14:solidFill>
              <w14:schemeClr w14:val="tx1"/>
            </w14:solidFill>
          </w14:textFill>
        </w:rPr>
      </w:pPr>
    </w:p>
    <w:p w14:paraId="25837F19">
      <w:pPr>
        <w:snapToGrid w:val="0"/>
        <w:spacing w:beforeLines="50" w:after="50" w:line="400" w:lineRule="exact"/>
        <w:ind w:firstLine="360" w:firstLineChars="15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所投分标：</w:t>
      </w:r>
    </w:p>
    <w:p w14:paraId="421EF273">
      <w:pPr>
        <w:snapToGrid w:val="0"/>
        <w:spacing w:beforeLines="50" w:after="50" w:line="400" w:lineRule="exact"/>
        <w:ind w:firstLine="360" w:firstLineChars="150"/>
        <w:rPr>
          <w:rFonts w:hint="eastAsia" w:ascii="宋体" w:hAnsi="宋体" w:eastAsia="宋体" w:cs="宋体"/>
          <w:bCs/>
          <w:color w:val="000000" w:themeColor="text1"/>
          <w:sz w:val="24"/>
          <w:highlight w:val="none"/>
          <w14:textFill>
            <w14:solidFill>
              <w14:schemeClr w14:val="tx1"/>
            </w14:solidFill>
          </w14:textFill>
        </w:rPr>
      </w:pPr>
    </w:p>
    <w:p w14:paraId="4B539184">
      <w:pPr>
        <w:snapToGrid w:val="0"/>
        <w:spacing w:beforeLines="50" w:after="50" w:line="400" w:lineRule="exact"/>
        <w:ind w:firstLine="360" w:firstLineChars="15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投标人名称：</w:t>
      </w:r>
    </w:p>
    <w:p w14:paraId="729BACA3">
      <w:pPr>
        <w:snapToGrid w:val="0"/>
        <w:spacing w:beforeLines="50" w:after="50" w:line="400" w:lineRule="exact"/>
        <w:ind w:firstLine="360" w:firstLineChars="150"/>
        <w:rPr>
          <w:rFonts w:hint="eastAsia" w:ascii="宋体" w:hAnsi="宋体" w:eastAsia="宋体" w:cs="宋体"/>
          <w:bCs/>
          <w:color w:val="000000" w:themeColor="text1"/>
          <w:sz w:val="24"/>
          <w:highlight w:val="none"/>
          <w14:textFill>
            <w14:solidFill>
              <w14:schemeClr w14:val="tx1"/>
            </w14:solidFill>
          </w14:textFill>
        </w:rPr>
      </w:pPr>
    </w:p>
    <w:p w14:paraId="72B7D765">
      <w:pPr>
        <w:snapToGrid w:val="0"/>
        <w:spacing w:beforeLines="50" w:after="50" w:line="400" w:lineRule="exact"/>
        <w:ind w:firstLine="360" w:firstLineChars="15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投标人地址：</w:t>
      </w:r>
    </w:p>
    <w:p w14:paraId="101D3FA1">
      <w:pPr>
        <w:pStyle w:val="9"/>
        <w:snapToGrid w:val="0"/>
        <w:spacing w:before="50" w:after="50" w:line="400" w:lineRule="exact"/>
        <w:ind w:firstLine="960" w:firstLineChars="400"/>
        <w:rPr>
          <w:rFonts w:hint="eastAsia" w:ascii="宋体" w:hAnsi="宋体" w:eastAsia="宋体" w:cs="宋体"/>
          <w:bCs/>
          <w:color w:val="000000" w:themeColor="text1"/>
          <w:sz w:val="24"/>
          <w:szCs w:val="24"/>
          <w:highlight w:val="none"/>
          <w14:textFill>
            <w14:solidFill>
              <w14:schemeClr w14:val="tx1"/>
            </w14:solidFill>
          </w14:textFill>
        </w:rPr>
      </w:pPr>
    </w:p>
    <w:p w14:paraId="6DED0483">
      <w:pPr>
        <w:snapToGrid w:val="0"/>
        <w:spacing w:beforeLines="50" w:after="50" w:line="400" w:lineRule="exact"/>
        <w:rPr>
          <w:rFonts w:hint="eastAsia" w:ascii="宋体" w:hAnsi="宋体" w:eastAsia="宋体" w:cs="宋体"/>
          <w:color w:val="000000" w:themeColor="text1"/>
          <w:sz w:val="30"/>
          <w:szCs w:val="20"/>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年  月  日</w:t>
      </w:r>
    </w:p>
    <w:p w14:paraId="08D99087">
      <w:pPr>
        <w:snapToGrid w:val="0"/>
        <w:spacing w:beforeLines="50" w:after="50" w:line="360" w:lineRule="auto"/>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24"/>
          <w:highlight w:val="none"/>
          <w14:textFill>
            <w14:solidFill>
              <w14:schemeClr w14:val="tx1"/>
            </w14:solidFill>
          </w14:textFill>
        </w:rPr>
        <w:t>2.</w:t>
      </w:r>
      <w:r>
        <w:rPr>
          <w:rFonts w:hint="eastAsia" w:ascii="宋体" w:hAnsi="宋体" w:eastAsia="宋体" w:cs="宋体"/>
          <w:b/>
          <w:bCs/>
          <w:color w:val="000000" w:themeColor="text1"/>
          <w:sz w:val="24"/>
          <w:highlight w:val="none"/>
          <w14:textFill>
            <w14:solidFill>
              <w14:schemeClr w14:val="tx1"/>
            </w14:solidFill>
          </w14:textFill>
        </w:rPr>
        <w:t>报价文件目录</w:t>
      </w:r>
    </w:p>
    <w:p w14:paraId="44E2CC69">
      <w:pPr>
        <w:snapToGrid w:val="0"/>
        <w:spacing w:before="50" w:afterLines="50" w:line="360" w:lineRule="auto"/>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根据招标文件规定及投标人提供的材料自行编写目录。</w:t>
      </w:r>
    </w:p>
    <w:p w14:paraId="58E19DB8">
      <w:pPr>
        <w:snapToGrid w:val="0"/>
        <w:spacing w:beforeLines="50" w:after="50"/>
        <w:rPr>
          <w:rFonts w:hint="eastAsia" w:ascii="宋体" w:hAnsi="宋体" w:eastAsia="宋体" w:cs="宋体"/>
          <w:b/>
          <w:color w:val="000000" w:themeColor="text1"/>
          <w:sz w:val="24"/>
          <w:highlight w:val="none"/>
          <w14:textFill>
            <w14:solidFill>
              <w14:schemeClr w14:val="tx1"/>
            </w14:solidFill>
          </w14:textFill>
        </w:rPr>
      </w:pPr>
    </w:p>
    <w:p w14:paraId="52DD3BCF">
      <w:pPr>
        <w:snapToGrid w:val="0"/>
        <w:spacing w:beforeLines="50" w:after="50"/>
        <w:rPr>
          <w:rFonts w:hint="eastAsia" w:ascii="宋体" w:hAnsi="宋体" w:eastAsia="宋体" w:cs="宋体"/>
          <w:b/>
          <w:color w:val="000000" w:themeColor="text1"/>
          <w:sz w:val="24"/>
          <w:highlight w:val="none"/>
          <w14:textFill>
            <w14:solidFill>
              <w14:schemeClr w14:val="tx1"/>
            </w14:solidFill>
          </w14:textFill>
        </w:rPr>
      </w:pPr>
    </w:p>
    <w:p w14:paraId="1BA351D6">
      <w:pPr>
        <w:snapToGrid w:val="0"/>
        <w:spacing w:beforeLines="50" w:after="50"/>
        <w:rPr>
          <w:rFonts w:hint="eastAsia" w:ascii="宋体" w:hAnsi="宋体" w:eastAsia="宋体" w:cs="宋体"/>
          <w:b/>
          <w:color w:val="000000" w:themeColor="text1"/>
          <w:sz w:val="24"/>
          <w:highlight w:val="none"/>
          <w14:textFill>
            <w14:solidFill>
              <w14:schemeClr w14:val="tx1"/>
            </w14:solidFill>
          </w14:textFill>
        </w:rPr>
      </w:pPr>
    </w:p>
    <w:p w14:paraId="743B6144">
      <w:pPr>
        <w:snapToGrid w:val="0"/>
        <w:spacing w:beforeLines="50" w:after="50"/>
        <w:ind w:left="142"/>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24"/>
          <w:highlight w:val="none"/>
          <w14:textFill>
            <w14:solidFill>
              <w14:schemeClr w14:val="tx1"/>
            </w14:solidFill>
          </w14:textFill>
        </w:rPr>
        <w:t>3. 投标函格式：</w:t>
      </w:r>
    </w:p>
    <w:p w14:paraId="3098642C">
      <w:pPr>
        <w:snapToGrid w:val="0"/>
        <w:spacing w:beforeLines="50" w:after="50" w:line="360" w:lineRule="auto"/>
        <w:jc w:val="center"/>
        <w:rPr>
          <w:rFonts w:hint="eastAsia" w:ascii="宋体" w:hAnsi="宋体" w:eastAsia="宋体" w:cs="宋体"/>
          <w:bCs/>
          <w:color w:val="000000" w:themeColor="text1"/>
          <w:sz w:val="44"/>
          <w:szCs w:val="44"/>
          <w:highlight w:val="none"/>
          <w14:textFill>
            <w14:solidFill>
              <w14:schemeClr w14:val="tx1"/>
            </w14:solidFill>
          </w14:textFill>
        </w:rPr>
      </w:pPr>
      <w:r>
        <w:rPr>
          <w:rFonts w:hint="eastAsia" w:ascii="宋体" w:hAnsi="宋体" w:eastAsia="宋体" w:cs="宋体"/>
          <w:bCs/>
          <w:color w:val="000000" w:themeColor="text1"/>
          <w:sz w:val="44"/>
          <w:szCs w:val="44"/>
          <w:highlight w:val="none"/>
          <w14:textFill>
            <w14:solidFill>
              <w14:schemeClr w14:val="tx1"/>
            </w14:solidFill>
          </w14:textFill>
        </w:rPr>
        <w:t>投 标 函</w:t>
      </w:r>
    </w:p>
    <w:p w14:paraId="00997FCD">
      <w:pPr>
        <w:spacing w:line="440" w:lineRule="exact"/>
        <w:contextualSpacing/>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致：</w:t>
      </w:r>
      <w:r>
        <w:rPr>
          <w:rFonts w:hint="eastAsia" w:ascii="宋体" w:hAnsi="宋体" w:eastAsia="宋体" w:cs="宋体"/>
          <w:color w:val="000000" w:themeColor="text1"/>
          <w:sz w:val="22"/>
          <w:szCs w:val="22"/>
          <w:highlight w:val="none"/>
          <w:u w:val="single"/>
          <w14:textFill>
            <w14:solidFill>
              <w14:schemeClr w14:val="tx1"/>
            </w14:solidFill>
          </w14:textFill>
        </w:rPr>
        <w:t>采购人名称</w:t>
      </w:r>
    </w:p>
    <w:p w14:paraId="16457C95">
      <w:pPr>
        <w:spacing w:line="440" w:lineRule="exact"/>
        <w:ind w:firstLine="480"/>
        <w:contextualSpacing/>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根据贵方</w:t>
      </w:r>
      <w:r>
        <w:rPr>
          <w:rFonts w:hint="eastAsia" w:ascii="宋体" w:hAnsi="宋体" w:eastAsia="宋体" w:cs="宋体"/>
          <w:color w:val="000000" w:themeColor="text1"/>
          <w:sz w:val="22"/>
          <w:szCs w:val="22"/>
          <w:highlight w:val="none"/>
          <w:u w:val="single"/>
          <w14:textFill>
            <w14:solidFill>
              <w14:schemeClr w14:val="tx1"/>
            </w14:solidFill>
          </w14:textFill>
        </w:rPr>
        <w:t xml:space="preserve"> 项目名称</w:t>
      </w:r>
      <w:r>
        <w:rPr>
          <w:rFonts w:hint="eastAsia" w:ascii="宋体" w:hAnsi="宋体" w:cs="宋体"/>
          <w:color w:val="000000" w:themeColor="text1"/>
          <w:sz w:val="22"/>
          <w:szCs w:val="22"/>
          <w:highlight w:val="none"/>
          <w:u w:val="single"/>
          <w:lang w:val="en-US" w:eastAsia="zh-CN"/>
          <w14:textFill>
            <w14:solidFill>
              <w14:schemeClr w14:val="tx1"/>
            </w14:solidFill>
          </w14:textFill>
        </w:rPr>
        <w:t>+标段</w:t>
      </w:r>
      <w:r>
        <w:rPr>
          <w:rFonts w:hint="eastAsia" w:ascii="宋体" w:hAnsi="宋体" w:eastAsia="宋体" w:cs="宋体"/>
          <w:color w:val="000000" w:themeColor="text1"/>
          <w:sz w:val="22"/>
          <w:szCs w:val="22"/>
          <w:highlight w:val="none"/>
          <w14:textFill>
            <w14:solidFill>
              <w14:schemeClr w14:val="tx1"/>
            </w14:solidFill>
          </w14:textFill>
        </w:rPr>
        <w:t>（项目编号：）的招标公告，签字代表______（姓名）经正式授权并代表投标人（投标人名称）提交投标文件。</w:t>
      </w:r>
    </w:p>
    <w:p w14:paraId="3F28E587">
      <w:pPr>
        <w:spacing w:line="440" w:lineRule="exact"/>
        <w:ind w:firstLine="440" w:firstLineChars="200"/>
        <w:contextualSpacing/>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据此函，我方宣布同意如下：</w:t>
      </w:r>
    </w:p>
    <w:p w14:paraId="0E82DFF2">
      <w:pPr>
        <w:spacing w:line="440" w:lineRule="exact"/>
        <w:ind w:firstLine="440" w:firstLineChars="200"/>
        <w:contextualSpacing/>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1.我方已详细审查全部“招标文件”，包括修改文件（如有的话）以及全部参考资料和有关附件，已经了解我方对于招标文件、采购过程、采购结果有依法进行询问、质疑、投诉的权利及相关渠道和要求。</w:t>
      </w:r>
    </w:p>
    <w:p w14:paraId="55608F30">
      <w:pPr>
        <w:spacing w:line="440" w:lineRule="exact"/>
        <w:ind w:firstLine="440" w:firstLineChars="200"/>
        <w:contextualSpacing/>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2.我方在投标之前已经完全理解并接受招标文件的各项规定和要求，对招标文件的合理性、合法性不再有异议。</w:t>
      </w:r>
    </w:p>
    <w:p w14:paraId="4325D350">
      <w:pPr>
        <w:spacing w:line="440" w:lineRule="exact"/>
        <w:ind w:firstLine="440" w:firstLineChars="200"/>
        <w:contextualSpacing/>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3.本投标有效期自投标截止之日起日。</w:t>
      </w:r>
    </w:p>
    <w:p w14:paraId="71543D09">
      <w:pPr>
        <w:spacing w:line="440" w:lineRule="exact"/>
        <w:ind w:firstLine="440" w:firstLineChars="200"/>
        <w:contextualSpacing/>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4.如中标，本投标文件至本项目合同履行完毕止均保持有效，我方将按“招标文件”及政府采购法律、法规的规定履行合同责任和义务。</w:t>
      </w:r>
    </w:p>
    <w:p w14:paraId="3AB65C54">
      <w:pPr>
        <w:spacing w:line="440" w:lineRule="exact"/>
        <w:ind w:firstLine="440" w:firstLineChars="200"/>
        <w:contextualSpacing/>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5.我方同意按照贵方要求提供与投标有关的一切数据或者资料。</w:t>
      </w:r>
    </w:p>
    <w:p w14:paraId="12FA94BA">
      <w:pPr>
        <w:spacing w:line="440" w:lineRule="exact"/>
        <w:ind w:firstLine="440" w:firstLineChars="200"/>
        <w:contextualSpacing/>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6.我方向贵方提交的所有投标文件、资料都是准确的和真实的。</w:t>
      </w:r>
    </w:p>
    <w:p w14:paraId="5CD51E4B">
      <w:pPr>
        <w:spacing w:line="440" w:lineRule="exact"/>
        <w:ind w:firstLine="440" w:firstLineChars="200"/>
        <w:contextualSpacing/>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7.以上事项如有虚假或者隐瞒，我方愿意承担一切后果，并不再寻求任何旨在减轻或者免除法律责任的辩解。</w:t>
      </w:r>
    </w:p>
    <w:p w14:paraId="6E229EC7">
      <w:pPr>
        <w:spacing w:line="440" w:lineRule="exact"/>
        <w:ind w:firstLine="440" w:firstLineChars="200"/>
        <w:contextualSpacing/>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0A1955A8">
      <w:pPr>
        <w:spacing w:line="440" w:lineRule="exact"/>
        <w:ind w:firstLine="440" w:firstLineChars="200"/>
        <w:contextualSpacing/>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□我方本次投标文件</w:t>
      </w:r>
      <w:r>
        <w:rPr>
          <w:rFonts w:hint="eastAsia" w:ascii="宋体" w:hAnsi="宋体" w:eastAsia="宋体" w:cs="宋体"/>
          <w:color w:val="000000" w:themeColor="text1"/>
          <w:kern w:val="0"/>
          <w:sz w:val="22"/>
          <w:szCs w:val="22"/>
          <w:highlight w:val="none"/>
          <w14:textFill>
            <w14:solidFill>
              <w14:schemeClr w14:val="tx1"/>
            </w14:solidFill>
          </w14:textFill>
        </w:rPr>
        <w:t>内容中</w:t>
      </w:r>
      <w:r>
        <w:rPr>
          <w:rFonts w:hint="eastAsia" w:ascii="宋体" w:hAnsi="宋体" w:eastAsia="宋体" w:cs="宋体"/>
          <w:color w:val="000000" w:themeColor="text1"/>
          <w:sz w:val="22"/>
          <w:szCs w:val="22"/>
          <w:highlight w:val="none"/>
          <w14:textFill>
            <w14:solidFill>
              <w14:schemeClr w14:val="tx1"/>
            </w14:solidFill>
          </w14:textFill>
        </w:rPr>
        <w:t>未</w:t>
      </w:r>
      <w:r>
        <w:rPr>
          <w:rFonts w:hint="eastAsia" w:ascii="宋体" w:hAnsi="宋体" w:eastAsia="宋体" w:cs="宋体"/>
          <w:color w:val="000000" w:themeColor="text1"/>
          <w:kern w:val="0"/>
          <w:sz w:val="22"/>
          <w:szCs w:val="22"/>
          <w:highlight w:val="none"/>
          <w14:textFill>
            <w14:solidFill>
              <w14:schemeClr w14:val="tx1"/>
            </w14:solidFill>
          </w14:textFill>
        </w:rPr>
        <w:t>涉及商业秘密；</w:t>
      </w:r>
    </w:p>
    <w:p w14:paraId="407A1816">
      <w:pPr>
        <w:spacing w:line="440" w:lineRule="exact"/>
        <w:ind w:firstLine="440" w:firstLineChars="200"/>
        <w:contextualSpacing/>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□我方本次投标文件</w:t>
      </w:r>
      <w:r>
        <w:rPr>
          <w:rFonts w:hint="eastAsia" w:ascii="宋体" w:hAnsi="宋体" w:eastAsia="宋体" w:cs="宋体"/>
          <w:color w:val="000000" w:themeColor="text1"/>
          <w:kern w:val="0"/>
          <w:sz w:val="22"/>
          <w:szCs w:val="22"/>
          <w:highlight w:val="none"/>
          <w14:textFill>
            <w14:solidFill>
              <w14:schemeClr w14:val="tx1"/>
            </w14:solidFill>
          </w14:textFill>
        </w:rPr>
        <w:t>涉及商业秘密的内容有：；</w:t>
      </w:r>
    </w:p>
    <w:p w14:paraId="216C6BB4">
      <w:pPr>
        <w:spacing w:line="440" w:lineRule="exact"/>
        <w:ind w:firstLine="440" w:firstLineChars="200"/>
        <w:contextualSpacing/>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9.与本投标有关的一切正式往来信函请寄：</w:t>
      </w:r>
    </w:p>
    <w:p w14:paraId="122E12F5">
      <w:pPr>
        <w:spacing w:line="440" w:lineRule="exact"/>
        <w:ind w:firstLine="440" w:firstLineChars="200"/>
        <w:contextualSpacing/>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地址：邮编：</w:t>
      </w:r>
    </w:p>
    <w:p w14:paraId="4F63E7DD">
      <w:pPr>
        <w:spacing w:line="440" w:lineRule="exact"/>
        <w:ind w:firstLine="440" w:firstLineChars="200"/>
        <w:contextualSpacing/>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电话：传真：</w:t>
      </w:r>
    </w:p>
    <w:p w14:paraId="0121E718">
      <w:pPr>
        <w:spacing w:line="440" w:lineRule="exact"/>
        <w:ind w:firstLine="440" w:firstLineChars="200"/>
        <w:contextualSpacing/>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投标人名称：</w:t>
      </w:r>
    </w:p>
    <w:p w14:paraId="503C1F41">
      <w:pPr>
        <w:spacing w:line="440" w:lineRule="exact"/>
        <w:ind w:firstLine="440" w:firstLineChars="200"/>
        <w:contextualSpacing/>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开户银行：   银行帐号：</w:t>
      </w:r>
    </w:p>
    <w:p w14:paraId="4208FEC9">
      <w:pPr>
        <w:spacing w:line="440" w:lineRule="exact"/>
        <w:ind w:firstLine="440" w:firstLineChars="200"/>
        <w:contextualSpacing/>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法定代表人或者委托代理人签字:___________ </w:t>
      </w:r>
    </w:p>
    <w:p w14:paraId="0F136FD0">
      <w:pPr>
        <w:pStyle w:val="26"/>
        <w:spacing w:line="440" w:lineRule="exact"/>
        <w:ind w:firstLine="440" w:firstLineChars="200"/>
        <w:contextualSpacing/>
        <w:jc w:val="both"/>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投标人名称（电子签章）：</w:t>
      </w:r>
    </w:p>
    <w:p w14:paraId="4945865A">
      <w:pPr>
        <w:pStyle w:val="26"/>
        <w:spacing w:line="440" w:lineRule="exact"/>
        <w:ind w:firstLine="880" w:firstLineChars="400"/>
        <w:contextualSpacing/>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年</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月</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日</w:t>
      </w:r>
    </w:p>
    <w:p w14:paraId="57AA5879">
      <w:pPr>
        <w:snapToGrid w:val="0"/>
        <w:spacing w:beforeLines="50" w:after="50" w:line="440" w:lineRule="exact"/>
        <w:jc w:val="left"/>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br w:type="page"/>
      </w:r>
      <w:r>
        <w:rPr>
          <w:rFonts w:hint="eastAsia" w:ascii="宋体" w:hAnsi="宋体" w:eastAsia="宋体" w:cs="宋体"/>
          <w:b/>
          <w:color w:val="000000" w:themeColor="text1"/>
          <w:sz w:val="24"/>
          <w:highlight w:val="none"/>
          <w14:textFill>
            <w14:solidFill>
              <w14:schemeClr w14:val="tx1"/>
            </w14:solidFill>
          </w14:textFill>
        </w:rPr>
        <w:t>4. 开标一览表（货物类格式）</w:t>
      </w:r>
    </w:p>
    <w:p w14:paraId="630D14C2">
      <w:pPr>
        <w:snapToGrid w:val="0"/>
        <w:spacing w:before="50" w:after="50"/>
        <w:jc w:val="center"/>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 w:val="30"/>
          <w:highlight w:val="none"/>
          <w14:textFill>
            <w14:solidFill>
              <w14:schemeClr w14:val="tx1"/>
            </w14:solidFill>
          </w14:textFill>
        </w:rPr>
        <w:t>开标一览表</w:t>
      </w:r>
    </w:p>
    <w:p w14:paraId="079C716C">
      <w:pPr>
        <w:snapToGrid w:val="0"/>
        <w:spacing w:before="50" w:after="50"/>
        <w:jc w:val="center"/>
        <w:rPr>
          <w:rFonts w:hint="eastAsia" w:ascii="宋体" w:hAnsi="宋体" w:eastAsia="宋体" w:cs="宋体"/>
          <w:b/>
          <w:color w:val="000000" w:themeColor="text1"/>
          <w:sz w:val="30"/>
          <w:szCs w:val="20"/>
          <w:highlight w:val="none"/>
          <w14:textFill>
            <w14:solidFill>
              <w14:schemeClr w14:val="tx1"/>
            </w14:solidFill>
          </w14:textFill>
        </w:rPr>
      </w:pPr>
    </w:p>
    <w:p w14:paraId="1921685A">
      <w:pPr>
        <w:snapToGrid w:val="0"/>
        <w:spacing w:before="50" w:after="50"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项目名称：项目编号：         分标：</w:t>
      </w:r>
    </w:p>
    <w:p w14:paraId="4CFC873C">
      <w:pPr>
        <w:snapToGrid w:val="0"/>
        <w:spacing w:before="50" w:after="50"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                       单位：元</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1"/>
        <w:gridCol w:w="1418"/>
        <w:gridCol w:w="779"/>
        <w:gridCol w:w="780"/>
        <w:gridCol w:w="709"/>
        <w:gridCol w:w="1417"/>
        <w:gridCol w:w="1558"/>
        <w:gridCol w:w="727"/>
        <w:gridCol w:w="1389"/>
      </w:tblGrid>
      <w:tr w14:paraId="071DC1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7"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35FB6E7C">
            <w:pP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项号</w:t>
            </w:r>
          </w:p>
        </w:tc>
        <w:tc>
          <w:tcPr>
            <w:tcW w:w="1418" w:type="dxa"/>
            <w:tcBorders>
              <w:top w:val="single" w:color="auto" w:sz="4" w:space="0"/>
              <w:left w:val="single" w:color="auto" w:sz="4" w:space="0"/>
              <w:bottom w:val="single" w:color="auto" w:sz="4" w:space="0"/>
              <w:right w:val="single" w:color="auto" w:sz="4" w:space="0"/>
            </w:tcBorders>
            <w:vAlign w:val="center"/>
          </w:tcPr>
          <w:p w14:paraId="160DFF40">
            <w:pP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货物名称</w:t>
            </w:r>
          </w:p>
        </w:tc>
        <w:tc>
          <w:tcPr>
            <w:tcW w:w="779" w:type="dxa"/>
            <w:tcBorders>
              <w:top w:val="single" w:color="auto" w:sz="4" w:space="0"/>
              <w:left w:val="single" w:color="auto" w:sz="4" w:space="0"/>
              <w:bottom w:val="single" w:color="auto" w:sz="4" w:space="0"/>
              <w:right w:val="single" w:color="auto" w:sz="4" w:space="0"/>
            </w:tcBorders>
            <w:vAlign w:val="center"/>
          </w:tcPr>
          <w:p w14:paraId="3C2299A1">
            <w:pP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数量</w:t>
            </w:r>
          </w:p>
          <w:p w14:paraId="17B36EBF">
            <w:pP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①</w:t>
            </w:r>
          </w:p>
        </w:tc>
        <w:tc>
          <w:tcPr>
            <w:tcW w:w="780" w:type="dxa"/>
            <w:tcBorders>
              <w:top w:val="single" w:color="auto" w:sz="4" w:space="0"/>
              <w:left w:val="single" w:color="auto" w:sz="4" w:space="0"/>
              <w:bottom w:val="single" w:color="auto" w:sz="4" w:space="0"/>
              <w:right w:val="single" w:color="auto" w:sz="4" w:space="0"/>
            </w:tcBorders>
            <w:vAlign w:val="center"/>
          </w:tcPr>
          <w:p w14:paraId="0F365008">
            <w:pP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单位</w:t>
            </w:r>
          </w:p>
        </w:tc>
        <w:tc>
          <w:tcPr>
            <w:tcW w:w="709" w:type="dxa"/>
            <w:tcBorders>
              <w:top w:val="single" w:color="auto" w:sz="4" w:space="0"/>
              <w:left w:val="single" w:color="auto" w:sz="4" w:space="0"/>
              <w:bottom w:val="single" w:color="auto" w:sz="4" w:space="0"/>
              <w:right w:val="single" w:color="auto" w:sz="4" w:space="0"/>
            </w:tcBorders>
            <w:vAlign w:val="center"/>
          </w:tcPr>
          <w:p w14:paraId="0E56D7C3">
            <w:pP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产地</w:t>
            </w:r>
          </w:p>
        </w:tc>
        <w:tc>
          <w:tcPr>
            <w:tcW w:w="1417" w:type="dxa"/>
            <w:tcBorders>
              <w:top w:val="single" w:color="auto" w:sz="4" w:space="0"/>
              <w:left w:val="single" w:color="auto" w:sz="4" w:space="0"/>
              <w:bottom w:val="single" w:color="auto" w:sz="4" w:space="0"/>
              <w:right w:val="single" w:color="auto" w:sz="4" w:space="0"/>
            </w:tcBorders>
            <w:vAlign w:val="center"/>
          </w:tcPr>
          <w:p w14:paraId="6EE627DC">
            <w:pP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品牌、</w:t>
            </w:r>
          </w:p>
          <w:p w14:paraId="2428A876">
            <w:pP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规格型号</w:t>
            </w:r>
          </w:p>
        </w:tc>
        <w:tc>
          <w:tcPr>
            <w:tcW w:w="1558" w:type="dxa"/>
            <w:tcBorders>
              <w:top w:val="single" w:color="auto" w:sz="4" w:space="0"/>
              <w:left w:val="single" w:color="auto" w:sz="4" w:space="0"/>
              <w:bottom w:val="single" w:color="auto" w:sz="4" w:space="0"/>
              <w:right w:val="single" w:color="auto" w:sz="4" w:space="0"/>
            </w:tcBorders>
            <w:vAlign w:val="center"/>
          </w:tcPr>
          <w:p w14:paraId="6E997AED">
            <w:pP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生产厂家</w:t>
            </w:r>
          </w:p>
        </w:tc>
        <w:tc>
          <w:tcPr>
            <w:tcW w:w="727" w:type="dxa"/>
            <w:tcBorders>
              <w:top w:val="single" w:color="auto" w:sz="4" w:space="0"/>
              <w:left w:val="single" w:color="auto" w:sz="4" w:space="0"/>
              <w:bottom w:val="single" w:color="auto" w:sz="4" w:space="0"/>
              <w:right w:val="single" w:color="auto" w:sz="4" w:space="0"/>
            </w:tcBorders>
            <w:vAlign w:val="center"/>
          </w:tcPr>
          <w:p w14:paraId="6C42F4E4">
            <w:pP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单价</w:t>
            </w:r>
          </w:p>
          <w:p w14:paraId="2EA72FAF">
            <w:pP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②</w:t>
            </w:r>
          </w:p>
        </w:tc>
        <w:tc>
          <w:tcPr>
            <w:tcW w:w="1389" w:type="dxa"/>
            <w:tcBorders>
              <w:top w:val="single" w:color="auto" w:sz="4" w:space="0"/>
              <w:left w:val="single" w:color="auto" w:sz="4" w:space="0"/>
              <w:bottom w:val="single" w:color="auto" w:sz="4" w:space="0"/>
              <w:right w:val="single" w:color="auto" w:sz="4" w:space="0"/>
            </w:tcBorders>
            <w:vAlign w:val="center"/>
          </w:tcPr>
          <w:p w14:paraId="134DDA40">
            <w:pP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投标报价</w:t>
            </w:r>
          </w:p>
          <w:p w14:paraId="309BC655">
            <w:pP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③=①×②</w:t>
            </w:r>
          </w:p>
        </w:tc>
      </w:tr>
      <w:tr w14:paraId="538A1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11506D3A">
            <w:pPr>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c>
          <w:tcPr>
            <w:tcW w:w="1418" w:type="dxa"/>
            <w:tcBorders>
              <w:top w:val="single" w:color="auto" w:sz="4" w:space="0"/>
              <w:left w:val="single" w:color="auto" w:sz="4" w:space="0"/>
              <w:bottom w:val="single" w:color="auto" w:sz="4" w:space="0"/>
              <w:right w:val="single" w:color="auto" w:sz="4" w:space="0"/>
            </w:tcBorders>
            <w:vAlign w:val="center"/>
          </w:tcPr>
          <w:p w14:paraId="436D01DA">
            <w:pPr>
              <w:rPr>
                <w:rFonts w:hint="eastAsia" w:ascii="宋体" w:hAnsi="宋体" w:eastAsia="宋体" w:cs="宋体"/>
                <w:color w:val="000000" w:themeColor="text1"/>
                <w:kern w:val="0"/>
                <w:szCs w:val="21"/>
                <w:highlight w:val="none"/>
                <w14:textFill>
                  <w14:solidFill>
                    <w14:schemeClr w14:val="tx1"/>
                  </w14:solidFill>
                </w14:textFill>
              </w:rPr>
            </w:pPr>
          </w:p>
        </w:tc>
        <w:tc>
          <w:tcPr>
            <w:tcW w:w="779" w:type="dxa"/>
            <w:tcBorders>
              <w:top w:val="single" w:color="auto" w:sz="4" w:space="0"/>
              <w:left w:val="single" w:color="auto" w:sz="4" w:space="0"/>
              <w:bottom w:val="single" w:color="auto" w:sz="4" w:space="0"/>
              <w:right w:val="single" w:color="auto" w:sz="4" w:space="0"/>
            </w:tcBorders>
            <w:vAlign w:val="center"/>
          </w:tcPr>
          <w:p w14:paraId="5A68F6CA">
            <w:pPr>
              <w:rPr>
                <w:rFonts w:hint="eastAsia" w:ascii="宋体" w:hAnsi="宋体" w:eastAsia="宋体" w:cs="宋体"/>
                <w:color w:val="000000" w:themeColor="text1"/>
                <w:kern w:val="0"/>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4D28C2D3">
            <w:pPr>
              <w:rPr>
                <w:rFonts w:hint="eastAsia" w:ascii="宋体" w:hAnsi="宋体" w:eastAsia="宋体" w:cs="宋体"/>
                <w:color w:val="000000" w:themeColor="text1"/>
                <w:kern w:val="0"/>
                <w:szCs w:val="21"/>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5497A05F">
            <w:pPr>
              <w:rPr>
                <w:rFonts w:hint="eastAsia" w:ascii="宋体" w:hAnsi="宋体" w:eastAsia="宋体" w:cs="宋体"/>
                <w:b/>
                <w:color w:val="000000" w:themeColor="text1"/>
                <w:sz w:val="24"/>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14:paraId="39324908">
            <w:pPr>
              <w:rPr>
                <w:rFonts w:hint="eastAsia" w:ascii="宋体" w:hAnsi="宋体" w:eastAsia="宋体" w:cs="宋体"/>
                <w:color w:val="000000" w:themeColor="text1"/>
                <w:sz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vAlign w:val="center"/>
          </w:tcPr>
          <w:p w14:paraId="190E43A7">
            <w:pPr>
              <w:rPr>
                <w:rFonts w:hint="eastAsia" w:ascii="宋体" w:hAnsi="宋体" w:eastAsia="宋体" w:cs="宋体"/>
                <w:color w:val="000000" w:themeColor="text1"/>
                <w:sz w:val="24"/>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5E05DF3D">
            <w:pPr>
              <w:rPr>
                <w:rFonts w:hint="eastAsia" w:ascii="宋体" w:hAnsi="宋体" w:eastAsia="宋体" w:cs="宋体"/>
                <w:color w:val="000000" w:themeColor="text1"/>
                <w:sz w:val="24"/>
                <w:highlight w:val="none"/>
                <w14:textFill>
                  <w14:solidFill>
                    <w14:schemeClr w14:val="tx1"/>
                  </w14:solidFill>
                </w14:textFill>
              </w:rPr>
            </w:pPr>
          </w:p>
        </w:tc>
        <w:tc>
          <w:tcPr>
            <w:tcW w:w="1389" w:type="dxa"/>
            <w:tcBorders>
              <w:top w:val="single" w:color="auto" w:sz="4" w:space="0"/>
              <w:left w:val="single" w:color="auto" w:sz="4" w:space="0"/>
              <w:bottom w:val="single" w:color="auto" w:sz="4" w:space="0"/>
              <w:right w:val="single" w:color="auto" w:sz="4" w:space="0"/>
            </w:tcBorders>
            <w:vAlign w:val="center"/>
          </w:tcPr>
          <w:p w14:paraId="176FAF9E">
            <w:pPr>
              <w:rPr>
                <w:rFonts w:hint="eastAsia" w:ascii="宋体" w:hAnsi="宋体" w:eastAsia="宋体" w:cs="宋体"/>
                <w:color w:val="000000" w:themeColor="text1"/>
                <w:sz w:val="24"/>
                <w:highlight w:val="none"/>
                <w14:textFill>
                  <w14:solidFill>
                    <w14:schemeClr w14:val="tx1"/>
                  </w14:solidFill>
                </w14:textFill>
              </w:rPr>
            </w:pPr>
          </w:p>
        </w:tc>
      </w:tr>
      <w:tr w14:paraId="7DA98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65C2808D">
            <w:pPr>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1418" w:type="dxa"/>
            <w:tcBorders>
              <w:top w:val="single" w:color="auto" w:sz="4" w:space="0"/>
              <w:left w:val="single" w:color="auto" w:sz="4" w:space="0"/>
              <w:bottom w:val="single" w:color="auto" w:sz="4" w:space="0"/>
              <w:right w:val="single" w:color="auto" w:sz="4" w:space="0"/>
            </w:tcBorders>
            <w:vAlign w:val="center"/>
          </w:tcPr>
          <w:p w14:paraId="122E8361">
            <w:pPr>
              <w:rPr>
                <w:rFonts w:hint="eastAsia" w:ascii="宋体" w:hAnsi="宋体" w:eastAsia="宋体" w:cs="宋体"/>
                <w:color w:val="000000" w:themeColor="text1"/>
                <w:kern w:val="0"/>
                <w:szCs w:val="21"/>
                <w:highlight w:val="none"/>
                <w14:textFill>
                  <w14:solidFill>
                    <w14:schemeClr w14:val="tx1"/>
                  </w14:solidFill>
                </w14:textFill>
              </w:rPr>
            </w:pPr>
          </w:p>
        </w:tc>
        <w:tc>
          <w:tcPr>
            <w:tcW w:w="779" w:type="dxa"/>
            <w:tcBorders>
              <w:top w:val="single" w:color="auto" w:sz="4" w:space="0"/>
              <w:left w:val="single" w:color="auto" w:sz="4" w:space="0"/>
              <w:bottom w:val="single" w:color="auto" w:sz="4" w:space="0"/>
              <w:right w:val="single" w:color="auto" w:sz="4" w:space="0"/>
            </w:tcBorders>
            <w:vAlign w:val="center"/>
          </w:tcPr>
          <w:p w14:paraId="5584C561">
            <w:pPr>
              <w:rPr>
                <w:rFonts w:hint="eastAsia" w:ascii="宋体" w:hAnsi="宋体" w:eastAsia="宋体" w:cs="宋体"/>
                <w:color w:val="000000" w:themeColor="text1"/>
                <w:kern w:val="0"/>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3F151837">
            <w:pPr>
              <w:rPr>
                <w:rFonts w:hint="eastAsia" w:ascii="宋体" w:hAnsi="宋体" w:eastAsia="宋体" w:cs="宋体"/>
                <w:color w:val="000000" w:themeColor="text1"/>
                <w:kern w:val="0"/>
                <w:szCs w:val="21"/>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24F98467">
            <w:pPr>
              <w:rPr>
                <w:rFonts w:hint="eastAsia" w:ascii="宋体" w:hAnsi="宋体" w:eastAsia="宋体" w:cs="宋体"/>
                <w:b/>
                <w:color w:val="000000" w:themeColor="text1"/>
                <w:sz w:val="24"/>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14:paraId="0D480BA2">
            <w:pPr>
              <w:rPr>
                <w:rFonts w:hint="eastAsia" w:ascii="宋体" w:hAnsi="宋体" w:eastAsia="宋体" w:cs="宋体"/>
                <w:color w:val="000000" w:themeColor="text1"/>
                <w:sz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vAlign w:val="center"/>
          </w:tcPr>
          <w:p w14:paraId="1A5CF6F1">
            <w:pPr>
              <w:rPr>
                <w:rFonts w:hint="eastAsia" w:ascii="宋体" w:hAnsi="宋体" w:eastAsia="宋体" w:cs="宋体"/>
                <w:color w:val="000000" w:themeColor="text1"/>
                <w:sz w:val="24"/>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4F733C00">
            <w:pPr>
              <w:rPr>
                <w:rFonts w:hint="eastAsia" w:ascii="宋体" w:hAnsi="宋体" w:eastAsia="宋体" w:cs="宋体"/>
                <w:color w:val="000000" w:themeColor="text1"/>
                <w:sz w:val="24"/>
                <w:highlight w:val="none"/>
                <w14:textFill>
                  <w14:solidFill>
                    <w14:schemeClr w14:val="tx1"/>
                  </w14:solidFill>
                </w14:textFill>
              </w:rPr>
            </w:pPr>
          </w:p>
        </w:tc>
        <w:tc>
          <w:tcPr>
            <w:tcW w:w="1389" w:type="dxa"/>
            <w:tcBorders>
              <w:top w:val="single" w:color="auto" w:sz="4" w:space="0"/>
              <w:left w:val="single" w:color="auto" w:sz="4" w:space="0"/>
              <w:bottom w:val="single" w:color="auto" w:sz="4" w:space="0"/>
              <w:right w:val="single" w:color="auto" w:sz="4" w:space="0"/>
            </w:tcBorders>
            <w:vAlign w:val="center"/>
          </w:tcPr>
          <w:p w14:paraId="1F368F03">
            <w:pPr>
              <w:rPr>
                <w:rFonts w:hint="eastAsia" w:ascii="宋体" w:hAnsi="宋体" w:eastAsia="宋体" w:cs="宋体"/>
                <w:color w:val="000000" w:themeColor="text1"/>
                <w:sz w:val="24"/>
                <w:highlight w:val="none"/>
                <w14:textFill>
                  <w14:solidFill>
                    <w14:schemeClr w14:val="tx1"/>
                  </w14:solidFill>
                </w14:textFill>
              </w:rPr>
            </w:pPr>
          </w:p>
        </w:tc>
      </w:tr>
      <w:tr w14:paraId="40191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109CA964">
            <w:pPr>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p>
        </w:tc>
        <w:tc>
          <w:tcPr>
            <w:tcW w:w="1418" w:type="dxa"/>
            <w:tcBorders>
              <w:top w:val="single" w:color="auto" w:sz="4" w:space="0"/>
              <w:left w:val="single" w:color="auto" w:sz="4" w:space="0"/>
              <w:bottom w:val="single" w:color="auto" w:sz="4" w:space="0"/>
              <w:right w:val="single" w:color="auto" w:sz="4" w:space="0"/>
            </w:tcBorders>
            <w:vAlign w:val="center"/>
          </w:tcPr>
          <w:p w14:paraId="380158C8">
            <w:pPr>
              <w:rPr>
                <w:rFonts w:hint="eastAsia" w:ascii="宋体" w:hAnsi="宋体" w:eastAsia="宋体" w:cs="宋体"/>
                <w:color w:val="000000" w:themeColor="text1"/>
                <w:kern w:val="0"/>
                <w:szCs w:val="21"/>
                <w:highlight w:val="none"/>
                <w14:textFill>
                  <w14:solidFill>
                    <w14:schemeClr w14:val="tx1"/>
                  </w14:solidFill>
                </w14:textFill>
              </w:rPr>
            </w:pPr>
          </w:p>
        </w:tc>
        <w:tc>
          <w:tcPr>
            <w:tcW w:w="779" w:type="dxa"/>
            <w:tcBorders>
              <w:top w:val="single" w:color="auto" w:sz="4" w:space="0"/>
              <w:left w:val="single" w:color="auto" w:sz="4" w:space="0"/>
              <w:bottom w:val="single" w:color="auto" w:sz="4" w:space="0"/>
              <w:right w:val="single" w:color="auto" w:sz="4" w:space="0"/>
            </w:tcBorders>
            <w:vAlign w:val="center"/>
          </w:tcPr>
          <w:p w14:paraId="683E580F">
            <w:pPr>
              <w:rPr>
                <w:rFonts w:hint="eastAsia" w:ascii="宋体" w:hAnsi="宋体" w:eastAsia="宋体" w:cs="宋体"/>
                <w:color w:val="000000" w:themeColor="text1"/>
                <w:kern w:val="0"/>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00871A58">
            <w:pPr>
              <w:rPr>
                <w:rFonts w:hint="eastAsia" w:ascii="宋体" w:hAnsi="宋体" w:eastAsia="宋体" w:cs="宋体"/>
                <w:color w:val="000000" w:themeColor="text1"/>
                <w:kern w:val="0"/>
                <w:szCs w:val="21"/>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62012B2A">
            <w:pPr>
              <w:rPr>
                <w:rFonts w:hint="eastAsia" w:ascii="宋体" w:hAnsi="宋体" w:eastAsia="宋体" w:cs="宋体"/>
                <w:b/>
                <w:color w:val="000000" w:themeColor="text1"/>
                <w:sz w:val="24"/>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14:paraId="5480914C">
            <w:pPr>
              <w:rPr>
                <w:rFonts w:hint="eastAsia" w:ascii="宋体" w:hAnsi="宋体" w:eastAsia="宋体" w:cs="宋体"/>
                <w:color w:val="000000" w:themeColor="text1"/>
                <w:sz w:val="24"/>
                <w:highlight w:val="none"/>
                <w14:textFill>
                  <w14:solidFill>
                    <w14:schemeClr w14:val="tx1"/>
                  </w14:solidFill>
                </w14:textFill>
              </w:rPr>
            </w:pPr>
          </w:p>
        </w:tc>
        <w:tc>
          <w:tcPr>
            <w:tcW w:w="1558" w:type="dxa"/>
            <w:tcBorders>
              <w:top w:val="single" w:color="auto" w:sz="4" w:space="0"/>
              <w:left w:val="single" w:color="auto" w:sz="4" w:space="0"/>
              <w:bottom w:val="single" w:color="auto" w:sz="4" w:space="0"/>
              <w:right w:val="single" w:color="auto" w:sz="4" w:space="0"/>
            </w:tcBorders>
            <w:vAlign w:val="center"/>
          </w:tcPr>
          <w:p w14:paraId="4C4613B6">
            <w:pPr>
              <w:rPr>
                <w:rFonts w:hint="eastAsia" w:ascii="宋体" w:hAnsi="宋体" w:eastAsia="宋体" w:cs="宋体"/>
                <w:color w:val="000000" w:themeColor="text1"/>
                <w:sz w:val="24"/>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10C04285">
            <w:pPr>
              <w:rPr>
                <w:rFonts w:hint="eastAsia" w:ascii="宋体" w:hAnsi="宋体" w:eastAsia="宋体" w:cs="宋体"/>
                <w:color w:val="000000" w:themeColor="text1"/>
                <w:sz w:val="24"/>
                <w:highlight w:val="none"/>
                <w14:textFill>
                  <w14:solidFill>
                    <w14:schemeClr w14:val="tx1"/>
                  </w14:solidFill>
                </w14:textFill>
              </w:rPr>
            </w:pPr>
          </w:p>
        </w:tc>
        <w:tc>
          <w:tcPr>
            <w:tcW w:w="1389" w:type="dxa"/>
            <w:tcBorders>
              <w:top w:val="single" w:color="auto" w:sz="4" w:space="0"/>
              <w:left w:val="single" w:color="auto" w:sz="4" w:space="0"/>
              <w:bottom w:val="single" w:color="auto" w:sz="4" w:space="0"/>
              <w:right w:val="single" w:color="auto" w:sz="4" w:space="0"/>
            </w:tcBorders>
            <w:vAlign w:val="center"/>
          </w:tcPr>
          <w:p w14:paraId="5C7C05EA">
            <w:pPr>
              <w:rPr>
                <w:rFonts w:hint="eastAsia" w:ascii="宋体" w:hAnsi="宋体" w:eastAsia="宋体" w:cs="宋体"/>
                <w:color w:val="000000" w:themeColor="text1"/>
                <w:sz w:val="24"/>
                <w:highlight w:val="none"/>
                <w14:textFill>
                  <w14:solidFill>
                    <w14:schemeClr w14:val="tx1"/>
                  </w14:solidFill>
                </w14:textFill>
              </w:rPr>
            </w:pPr>
          </w:p>
        </w:tc>
      </w:tr>
      <w:tr w14:paraId="06F3F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618" w:type="dxa"/>
            <w:gridSpan w:val="9"/>
            <w:tcBorders>
              <w:top w:val="single" w:color="auto" w:sz="4" w:space="0"/>
              <w:left w:val="single" w:color="auto" w:sz="4" w:space="0"/>
              <w:bottom w:val="single" w:color="auto" w:sz="4" w:space="0"/>
              <w:right w:val="single" w:color="auto" w:sz="4" w:space="0"/>
            </w:tcBorders>
            <w:vAlign w:val="center"/>
          </w:tcPr>
          <w:p w14:paraId="1D7785C1">
            <w:pPr>
              <w:rPr>
                <w:rFonts w:hint="eastAsia"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合计总金额</w:t>
            </w:r>
            <w:r>
              <w:rPr>
                <w:rFonts w:hint="eastAsia" w:ascii="宋体" w:hAnsi="宋体" w:eastAsia="宋体" w:cs="宋体"/>
                <w:color w:val="000000" w:themeColor="text1"/>
                <w:spacing w:val="20"/>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大写）：</w:t>
            </w:r>
            <w:r>
              <w:rPr>
                <w:rFonts w:hint="eastAsia" w:ascii="宋体" w:hAnsi="宋体" w:eastAsia="宋体" w:cs="宋体"/>
                <w:color w:val="000000" w:themeColor="text1"/>
                <w:spacing w:val="20"/>
                <w:sz w:val="24"/>
                <w:highlight w:val="none"/>
                <w:u w:val="single"/>
                <w14:textFill>
                  <w14:solidFill>
                    <w14:schemeClr w14:val="tx1"/>
                  </w14:solidFill>
                </w14:textFill>
              </w:rPr>
              <w:t>人民币</w:t>
            </w:r>
            <w:r>
              <w:rPr>
                <w:rFonts w:hint="eastAsia" w:ascii="宋体" w:hAnsi="宋体" w:eastAsia="宋体" w:cs="宋体"/>
                <w:color w:val="000000" w:themeColor="text1"/>
                <w:sz w:val="24"/>
                <w:highlight w:val="none"/>
                <w:u w:val="single"/>
                <w14:textFill>
                  <w14:solidFill>
                    <w14:schemeClr w14:val="tx1"/>
                  </w14:solidFill>
                </w14:textFill>
              </w:rPr>
              <w:t xml:space="preserve">                     元整</w:t>
            </w:r>
            <w:r>
              <w:rPr>
                <w:rFonts w:hint="eastAsia" w:ascii="宋体" w:hAnsi="宋体" w:eastAsia="宋体" w:cs="宋体"/>
                <w:color w:val="000000" w:themeColor="text1"/>
                <w:spacing w:val="20"/>
                <w:sz w:val="24"/>
                <w:highlight w:val="none"/>
                <w:u w:val="single"/>
                <w14:textFill>
                  <w14:solidFill>
                    <w14:schemeClr w14:val="tx1"/>
                  </w14:solidFill>
                </w14:textFill>
              </w:rPr>
              <w:t>（¥</w:t>
            </w:r>
            <w:r>
              <w:rPr>
                <w:rFonts w:hint="eastAsia" w:ascii="宋体" w:hAnsi="宋体" w:eastAsia="宋体" w:cs="宋体"/>
                <w:color w:val="000000" w:themeColor="text1"/>
                <w:spacing w:val="20"/>
                <w:sz w:val="24"/>
                <w:highlight w:val="none"/>
                <w14:textFill>
                  <w14:solidFill>
                    <w14:schemeClr w14:val="tx1"/>
                  </w14:solidFill>
                </w14:textFill>
              </w:rPr>
              <w:t>）</w:t>
            </w:r>
          </w:p>
        </w:tc>
      </w:tr>
      <w:tr w14:paraId="37205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618" w:type="dxa"/>
            <w:gridSpan w:val="9"/>
            <w:tcBorders>
              <w:top w:val="single" w:color="auto" w:sz="4" w:space="0"/>
              <w:left w:val="single" w:color="auto" w:sz="4" w:space="0"/>
              <w:bottom w:val="single" w:color="auto" w:sz="4" w:space="0"/>
              <w:right w:val="single" w:color="auto" w:sz="4" w:space="0"/>
            </w:tcBorders>
            <w:vAlign w:val="center"/>
          </w:tcPr>
          <w:p w14:paraId="055E6753">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交货时间</w:t>
            </w:r>
            <w:r>
              <w:rPr>
                <w:rFonts w:hint="eastAsia" w:ascii="宋体" w:hAnsi="宋体" w:eastAsia="宋体" w:cs="宋体"/>
                <w:color w:val="000000" w:themeColor="text1"/>
                <w:sz w:val="24"/>
                <w:highlight w:val="none"/>
                <w14:textFill>
                  <w14:solidFill>
                    <w14:schemeClr w14:val="tx1"/>
                  </w14:solidFill>
                </w14:textFill>
              </w:rPr>
              <w:t>：</w:t>
            </w:r>
          </w:p>
        </w:tc>
      </w:tr>
    </w:tbl>
    <w:p w14:paraId="47DA2476">
      <w:pPr>
        <w:snapToGrid w:val="0"/>
        <w:spacing w:before="50" w:after="50"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p>
    <w:p w14:paraId="5E3F7EAF">
      <w:pPr>
        <w:snapToGrid w:val="0"/>
        <w:spacing w:before="50" w:after="50"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1.投标人的开标一览表必须加盖投标人公章并由法定代表人或者委托代理人签字，</w:t>
      </w:r>
      <w:r>
        <w:rPr>
          <w:rFonts w:hint="eastAsia" w:ascii="宋体" w:hAnsi="宋体" w:eastAsia="宋体" w:cs="宋体"/>
          <w:b/>
          <w:color w:val="000000" w:themeColor="text1"/>
          <w:sz w:val="24"/>
          <w:highlight w:val="none"/>
          <w14:textFill>
            <w14:solidFill>
              <w14:schemeClr w14:val="tx1"/>
            </w14:solidFill>
          </w14:textFill>
        </w:rPr>
        <w:t>否则其投标作无效标处理</w:t>
      </w:r>
      <w:r>
        <w:rPr>
          <w:rFonts w:hint="eastAsia" w:ascii="宋体" w:hAnsi="宋体" w:eastAsia="宋体" w:cs="宋体"/>
          <w:color w:val="000000" w:themeColor="text1"/>
          <w:sz w:val="24"/>
          <w:highlight w:val="none"/>
          <w14:textFill>
            <w14:solidFill>
              <w14:schemeClr w14:val="tx1"/>
            </w14:solidFill>
          </w14:textFill>
        </w:rPr>
        <w:t>。</w:t>
      </w:r>
    </w:p>
    <w:p w14:paraId="2FF2FE8C">
      <w:pPr>
        <w:snapToGrid w:val="0"/>
        <w:spacing w:before="50" w:after="50" w:line="360" w:lineRule="auto"/>
        <w:ind w:firstLine="480" w:firstLineChars="2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报价一经涂改，应在涂改处加盖投标人公章或者由法定代表人或者委托代理人签字或者盖章</w:t>
      </w:r>
      <w:r>
        <w:rPr>
          <w:rFonts w:hint="eastAsia" w:ascii="宋体" w:hAnsi="宋体" w:eastAsia="宋体" w:cs="宋体"/>
          <w:b/>
          <w:color w:val="000000" w:themeColor="text1"/>
          <w:sz w:val="24"/>
          <w:highlight w:val="none"/>
          <w14:textFill>
            <w14:solidFill>
              <w14:schemeClr w14:val="tx1"/>
            </w14:solidFill>
          </w14:textFill>
        </w:rPr>
        <w:t>，否则其投标作无效标处理。</w:t>
      </w:r>
    </w:p>
    <w:p w14:paraId="2FFEE864">
      <w:pPr>
        <w:snapToGrid w:val="0"/>
        <w:spacing w:before="50" w:after="50"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3.招标文件中列明采购专用耗材的，应按招标文件规定的耗材量或者按耗材的常规试用量提供报价。</w:t>
      </w:r>
    </w:p>
    <w:p w14:paraId="019C1BED">
      <w:pPr>
        <w:snapToGrid w:val="0"/>
        <w:spacing w:before="50" w:after="50"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4.如为联合体投标，“投标人名称”处必须列明联合体各方名称，并标注联合体牵头人名称，</w:t>
      </w:r>
      <w:r>
        <w:rPr>
          <w:rFonts w:hint="eastAsia" w:ascii="宋体" w:hAnsi="宋体" w:eastAsia="宋体" w:cs="宋体"/>
          <w:b/>
          <w:color w:val="000000" w:themeColor="text1"/>
          <w:sz w:val="24"/>
          <w:highlight w:val="none"/>
          <w14:textFill>
            <w14:solidFill>
              <w14:schemeClr w14:val="tx1"/>
            </w14:solidFill>
          </w14:textFill>
        </w:rPr>
        <w:t>否则其投标作无效标处理。</w:t>
      </w:r>
    </w:p>
    <w:p w14:paraId="7AAB7D59">
      <w:pPr>
        <w:snapToGrid w:val="0"/>
        <w:spacing w:before="50" w:after="50" w:line="360" w:lineRule="auto"/>
        <w:ind w:firstLine="456" w:firstLineChars="200"/>
        <w:jc w:val="left"/>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5.如为联合体投标，盖章处须加盖联合体各方公章，</w:t>
      </w:r>
      <w:r>
        <w:rPr>
          <w:rFonts w:hint="eastAsia" w:ascii="宋体" w:hAnsi="宋体" w:eastAsia="宋体" w:cs="宋体"/>
          <w:b/>
          <w:color w:val="000000" w:themeColor="text1"/>
          <w:spacing w:val="-6"/>
          <w:sz w:val="24"/>
          <w:highlight w:val="none"/>
          <w14:textFill>
            <w14:solidFill>
              <w14:schemeClr w14:val="tx1"/>
            </w14:solidFill>
          </w14:textFill>
        </w:rPr>
        <w:t>否则其投标作无效标处理。</w:t>
      </w:r>
    </w:p>
    <w:p w14:paraId="6DF69140">
      <w:pPr>
        <w:snapToGrid w:val="0"/>
        <w:spacing w:before="50" w:after="50" w:line="360" w:lineRule="auto"/>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6.如有多分标，按分标分别提供开标一览表，</w:t>
      </w:r>
      <w:r>
        <w:rPr>
          <w:rFonts w:hint="eastAsia" w:ascii="宋体" w:hAnsi="宋体" w:eastAsia="宋体" w:cs="宋体"/>
          <w:b/>
          <w:color w:val="000000" w:themeColor="text1"/>
          <w:sz w:val="24"/>
          <w:highlight w:val="none"/>
          <w14:textFill>
            <w14:solidFill>
              <w14:schemeClr w14:val="tx1"/>
            </w14:solidFill>
          </w14:textFill>
        </w:rPr>
        <w:t>否则投标无效。</w:t>
      </w:r>
    </w:p>
    <w:p w14:paraId="6A03C73D">
      <w:pPr>
        <w:snapToGrid w:val="0"/>
        <w:spacing w:before="50" w:after="50"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p>
    <w:p w14:paraId="0154BC0D">
      <w:pPr>
        <w:snapToGrid w:val="0"/>
        <w:spacing w:before="50" w:after="50" w:line="360" w:lineRule="auto"/>
        <w:ind w:left="-2" w:leftChars="-1" w:right="-817" w:rightChars="-38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法定代表人或者委托代理人（签字）：                    </w:t>
      </w:r>
    </w:p>
    <w:p w14:paraId="21F9EBD7">
      <w:pPr>
        <w:snapToGrid w:val="0"/>
        <w:spacing w:before="50" w:after="50" w:line="360" w:lineRule="auto"/>
        <w:ind w:left="-3" w:leftChars="-15" w:right="-817" w:rightChars="-389" w:hanging="28" w:hangingChars="1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投标人名称（电子签章）：                                 </w:t>
      </w:r>
    </w:p>
    <w:p w14:paraId="270B3D83">
      <w:pPr>
        <w:snapToGrid w:val="0"/>
        <w:spacing w:before="50" w:after="50" w:line="360" w:lineRule="auto"/>
        <w:ind w:left="-3" w:leftChars="-15" w:right="-817" w:rightChars="-389" w:hanging="28" w:hangingChars="1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    年   月   日</w:t>
      </w:r>
    </w:p>
    <w:p w14:paraId="165E6974">
      <w:pP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br w:type="page"/>
      </w:r>
      <w:bookmarkStart w:id="151" w:name="_Toc19686837"/>
      <w:r>
        <w:rPr>
          <w:rFonts w:hint="eastAsia" w:ascii="宋体" w:hAnsi="宋体" w:eastAsia="宋体" w:cs="宋体"/>
          <w:b/>
          <w:color w:val="000000" w:themeColor="text1"/>
          <w:sz w:val="28"/>
          <w:szCs w:val="28"/>
          <w:highlight w:val="none"/>
          <w14:textFill>
            <w14:solidFill>
              <w14:schemeClr w14:val="tx1"/>
            </w14:solidFill>
          </w14:textFill>
        </w:rPr>
        <w:t>二、资格证明文件格式</w:t>
      </w:r>
      <w:bookmarkEnd w:id="149"/>
      <w:bookmarkEnd w:id="150"/>
      <w:bookmarkEnd w:id="151"/>
    </w:p>
    <w:p w14:paraId="100A9C6A">
      <w:pPr>
        <w:numPr>
          <w:ilvl w:val="2"/>
          <w:numId w:val="3"/>
        </w:numPr>
        <w:snapToGrid w:val="0"/>
        <w:spacing w:beforeLines="50" w:after="50" w:line="360" w:lineRule="auto"/>
        <w:ind w:left="0" w:firstLine="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资格证明文件封面格式： </w:t>
      </w:r>
    </w:p>
    <w:p w14:paraId="57DCE7DC">
      <w:pPr>
        <w:snapToGrid w:val="0"/>
        <w:spacing w:beforeLines="50" w:after="50"/>
        <w:rPr>
          <w:rFonts w:hint="eastAsia" w:ascii="宋体" w:hAnsi="宋体" w:eastAsia="宋体" w:cs="宋体"/>
          <w:bCs/>
          <w:color w:val="000000" w:themeColor="text1"/>
          <w:sz w:val="32"/>
          <w:szCs w:val="20"/>
          <w:highlight w:val="none"/>
          <w14:textFill>
            <w14:solidFill>
              <w14:schemeClr w14:val="tx1"/>
            </w14:solidFill>
          </w14:textFill>
        </w:rPr>
      </w:pPr>
    </w:p>
    <w:p w14:paraId="2A788C8A">
      <w:pPr>
        <w:snapToGrid w:val="0"/>
        <w:spacing w:beforeLines="50" w:after="50"/>
        <w:rPr>
          <w:rFonts w:hint="eastAsia" w:ascii="宋体" w:hAnsi="宋体" w:eastAsia="宋体" w:cs="宋体"/>
          <w:color w:val="000000" w:themeColor="text1"/>
          <w:sz w:val="24"/>
          <w:szCs w:val="20"/>
          <w:highlight w:val="none"/>
          <w14:textFill>
            <w14:solidFill>
              <w14:schemeClr w14:val="tx1"/>
            </w14:solidFill>
          </w14:textFill>
        </w:rPr>
      </w:pPr>
    </w:p>
    <w:p w14:paraId="4D95521B">
      <w:pPr>
        <w:snapToGrid w:val="0"/>
        <w:spacing w:beforeLines="50" w:after="50"/>
        <w:rPr>
          <w:rFonts w:hint="eastAsia" w:ascii="宋体" w:hAnsi="宋体" w:eastAsia="宋体" w:cs="宋体"/>
          <w:color w:val="000000" w:themeColor="text1"/>
          <w:sz w:val="24"/>
          <w:szCs w:val="20"/>
          <w:highlight w:val="none"/>
          <w14:textFill>
            <w14:solidFill>
              <w14:schemeClr w14:val="tx1"/>
            </w14:solidFill>
          </w14:textFill>
        </w:rPr>
      </w:pPr>
    </w:p>
    <w:p w14:paraId="19C3EBC2">
      <w:pPr>
        <w:snapToGrid w:val="0"/>
        <w:spacing w:beforeLines="50" w:after="50"/>
        <w:jc w:val="center"/>
        <w:rPr>
          <w:rFonts w:hint="eastAsia" w:ascii="宋体" w:hAnsi="宋体" w:eastAsia="宋体" w:cs="宋体"/>
          <w:color w:val="000000" w:themeColor="text1"/>
          <w:sz w:val="84"/>
          <w:szCs w:val="84"/>
          <w:highlight w:val="none"/>
          <w14:textFill>
            <w14:solidFill>
              <w14:schemeClr w14:val="tx1"/>
            </w14:solidFill>
          </w14:textFill>
        </w:rPr>
      </w:pPr>
      <w:r>
        <w:rPr>
          <w:rFonts w:hint="eastAsia" w:ascii="宋体" w:hAnsi="宋体" w:eastAsia="宋体" w:cs="宋体"/>
          <w:color w:val="000000" w:themeColor="text1"/>
          <w:sz w:val="84"/>
          <w:szCs w:val="84"/>
          <w:highlight w:val="none"/>
          <w14:textFill>
            <w14:solidFill>
              <w14:schemeClr w14:val="tx1"/>
            </w14:solidFill>
          </w14:textFill>
        </w:rPr>
        <w:t>投  标  文  件</w:t>
      </w:r>
    </w:p>
    <w:p w14:paraId="020611CD">
      <w:pPr>
        <w:snapToGrid w:val="0"/>
        <w:spacing w:beforeLines="50" w:after="50"/>
        <w:rPr>
          <w:rFonts w:hint="eastAsia" w:ascii="宋体" w:hAnsi="宋体" w:eastAsia="宋体" w:cs="宋体"/>
          <w:color w:val="000000" w:themeColor="text1"/>
          <w:sz w:val="24"/>
          <w:szCs w:val="20"/>
          <w:highlight w:val="none"/>
          <w14:textFill>
            <w14:solidFill>
              <w14:schemeClr w14:val="tx1"/>
            </w14:solidFill>
          </w14:textFill>
        </w:rPr>
      </w:pPr>
    </w:p>
    <w:p w14:paraId="027D41CA">
      <w:pPr>
        <w:snapToGrid w:val="0"/>
        <w:spacing w:beforeLines="50" w:after="50"/>
        <w:rPr>
          <w:rFonts w:hint="eastAsia" w:ascii="宋体" w:hAnsi="宋体" w:eastAsia="宋体" w:cs="宋体"/>
          <w:color w:val="000000" w:themeColor="text1"/>
          <w:sz w:val="24"/>
          <w:szCs w:val="20"/>
          <w:highlight w:val="none"/>
          <w14:textFill>
            <w14:solidFill>
              <w14:schemeClr w14:val="tx1"/>
            </w14:solidFill>
          </w14:textFill>
        </w:rPr>
      </w:pPr>
    </w:p>
    <w:p w14:paraId="5DDB7C5F">
      <w:pPr>
        <w:snapToGrid w:val="0"/>
        <w:spacing w:beforeLines="50" w:after="50"/>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资 格 证 明 文 件</w:t>
      </w:r>
    </w:p>
    <w:p w14:paraId="5E54AF5D">
      <w:pPr>
        <w:snapToGrid w:val="0"/>
        <w:spacing w:beforeLines="50" w:after="50"/>
        <w:rPr>
          <w:rFonts w:hint="eastAsia" w:ascii="宋体" w:hAnsi="宋体" w:eastAsia="宋体" w:cs="宋体"/>
          <w:bCs/>
          <w:color w:val="000000" w:themeColor="text1"/>
          <w:sz w:val="24"/>
          <w:szCs w:val="20"/>
          <w:highlight w:val="none"/>
          <w14:textFill>
            <w14:solidFill>
              <w14:schemeClr w14:val="tx1"/>
            </w14:solidFill>
          </w14:textFill>
        </w:rPr>
      </w:pPr>
    </w:p>
    <w:p w14:paraId="17D5AE72">
      <w:pPr>
        <w:snapToGrid w:val="0"/>
        <w:spacing w:beforeLines="50" w:after="50"/>
        <w:rPr>
          <w:rFonts w:hint="eastAsia" w:ascii="宋体" w:hAnsi="宋体" w:eastAsia="宋体" w:cs="宋体"/>
          <w:bCs/>
          <w:color w:val="000000" w:themeColor="text1"/>
          <w:sz w:val="24"/>
          <w:szCs w:val="20"/>
          <w:highlight w:val="none"/>
          <w14:textFill>
            <w14:solidFill>
              <w14:schemeClr w14:val="tx1"/>
            </w14:solidFill>
          </w14:textFill>
        </w:rPr>
      </w:pPr>
    </w:p>
    <w:p w14:paraId="02647382">
      <w:pPr>
        <w:snapToGrid w:val="0"/>
        <w:spacing w:beforeLines="50" w:after="50"/>
        <w:rPr>
          <w:rFonts w:hint="eastAsia" w:ascii="宋体" w:hAnsi="宋体" w:eastAsia="宋体" w:cs="宋体"/>
          <w:bCs/>
          <w:color w:val="000000" w:themeColor="text1"/>
          <w:sz w:val="24"/>
          <w:szCs w:val="20"/>
          <w:highlight w:val="none"/>
          <w14:textFill>
            <w14:solidFill>
              <w14:schemeClr w14:val="tx1"/>
            </w14:solidFill>
          </w14:textFill>
        </w:rPr>
      </w:pPr>
    </w:p>
    <w:p w14:paraId="0F69D20A">
      <w:pPr>
        <w:snapToGrid w:val="0"/>
        <w:spacing w:beforeLines="50" w:after="50"/>
        <w:rPr>
          <w:rFonts w:hint="eastAsia" w:ascii="宋体" w:hAnsi="宋体" w:eastAsia="宋体" w:cs="宋体"/>
          <w:bCs/>
          <w:color w:val="000000" w:themeColor="text1"/>
          <w:sz w:val="24"/>
          <w:szCs w:val="20"/>
          <w:highlight w:val="none"/>
          <w14:textFill>
            <w14:solidFill>
              <w14:schemeClr w14:val="tx1"/>
            </w14:solidFill>
          </w14:textFill>
        </w:rPr>
      </w:pPr>
    </w:p>
    <w:p w14:paraId="5F77D309">
      <w:pPr>
        <w:snapToGrid w:val="0"/>
        <w:spacing w:beforeLines="50" w:after="50"/>
        <w:rPr>
          <w:rFonts w:hint="eastAsia" w:ascii="宋体" w:hAnsi="宋体" w:eastAsia="宋体" w:cs="宋体"/>
          <w:bCs/>
          <w:color w:val="000000" w:themeColor="text1"/>
          <w:sz w:val="24"/>
          <w:szCs w:val="20"/>
          <w:highlight w:val="none"/>
          <w14:textFill>
            <w14:solidFill>
              <w14:schemeClr w14:val="tx1"/>
            </w14:solidFill>
          </w14:textFill>
        </w:rPr>
      </w:pPr>
    </w:p>
    <w:p w14:paraId="48F2BEC0">
      <w:pPr>
        <w:snapToGrid w:val="0"/>
        <w:spacing w:beforeLines="50" w:after="50"/>
        <w:ind w:firstLine="540" w:firstLineChars="225"/>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项目名称：</w:t>
      </w:r>
    </w:p>
    <w:p w14:paraId="0BA99B08">
      <w:pPr>
        <w:snapToGrid w:val="0"/>
        <w:spacing w:beforeLines="50" w:after="50"/>
        <w:ind w:firstLine="540" w:firstLineChars="225"/>
        <w:rPr>
          <w:rFonts w:hint="eastAsia" w:ascii="宋体" w:hAnsi="宋体" w:eastAsia="宋体" w:cs="宋体"/>
          <w:bCs/>
          <w:color w:val="000000" w:themeColor="text1"/>
          <w:sz w:val="24"/>
          <w:szCs w:val="20"/>
          <w:highlight w:val="none"/>
          <w14:textFill>
            <w14:solidFill>
              <w14:schemeClr w14:val="tx1"/>
            </w14:solidFill>
          </w14:textFill>
        </w:rPr>
      </w:pPr>
    </w:p>
    <w:p w14:paraId="1F37CFB4">
      <w:pPr>
        <w:snapToGrid w:val="0"/>
        <w:spacing w:beforeLines="50" w:after="50"/>
        <w:ind w:firstLine="540" w:firstLineChars="225"/>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项目编号：</w:t>
      </w:r>
    </w:p>
    <w:p w14:paraId="6504860C">
      <w:pPr>
        <w:snapToGrid w:val="0"/>
        <w:spacing w:beforeLines="50" w:after="50"/>
        <w:ind w:firstLine="540" w:firstLineChars="225"/>
        <w:rPr>
          <w:rFonts w:hint="eastAsia" w:ascii="宋体" w:hAnsi="宋体" w:eastAsia="宋体" w:cs="宋体"/>
          <w:bCs/>
          <w:color w:val="000000" w:themeColor="text1"/>
          <w:sz w:val="24"/>
          <w:szCs w:val="20"/>
          <w:highlight w:val="none"/>
          <w14:textFill>
            <w14:solidFill>
              <w14:schemeClr w14:val="tx1"/>
            </w14:solidFill>
          </w14:textFill>
        </w:rPr>
      </w:pPr>
    </w:p>
    <w:p w14:paraId="6BC9821E">
      <w:pPr>
        <w:snapToGrid w:val="0"/>
        <w:spacing w:beforeLines="50" w:after="50"/>
        <w:ind w:firstLine="540" w:firstLineChars="225"/>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所投分标：</w:t>
      </w:r>
    </w:p>
    <w:p w14:paraId="018A7A0F">
      <w:pPr>
        <w:pStyle w:val="9"/>
        <w:snapToGrid w:val="0"/>
        <w:spacing w:before="50" w:after="50"/>
        <w:ind w:firstLine="540" w:firstLineChars="225"/>
        <w:rPr>
          <w:rFonts w:hint="eastAsia" w:ascii="宋体" w:hAnsi="宋体" w:eastAsia="宋体" w:cs="宋体"/>
          <w:bCs/>
          <w:color w:val="000000" w:themeColor="text1"/>
          <w:sz w:val="24"/>
          <w:szCs w:val="24"/>
          <w:highlight w:val="none"/>
          <w14:textFill>
            <w14:solidFill>
              <w14:schemeClr w14:val="tx1"/>
            </w14:solidFill>
          </w14:textFill>
        </w:rPr>
      </w:pPr>
    </w:p>
    <w:p w14:paraId="2CE70FD6">
      <w:pPr>
        <w:pStyle w:val="9"/>
        <w:snapToGrid w:val="0"/>
        <w:spacing w:before="50" w:after="50"/>
        <w:ind w:firstLine="540" w:firstLineChars="225"/>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投标人名称：</w:t>
      </w:r>
    </w:p>
    <w:p w14:paraId="5A8D968E">
      <w:pPr>
        <w:pStyle w:val="9"/>
        <w:snapToGrid w:val="0"/>
        <w:spacing w:before="50" w:after="50"/>
        <w:ind w:firstLine="540" w:firstLineChars="225"/>
        <w:rPr>
          <w:rFonts w:hint="eastAsia" w:ascii="宋体" w:hAnsi="宋体" w:eastAsia="宋体" w:cs="宋体"/>
          <w:bCs/>
          <w:color w:val="000000" w:themeColor="text1"/>
          <w:sz w:val="24"/>
          <w:szCs w:val="24"/>
          <w:highlight w:val="none"/>
          <w14:textFill>
            <w14:solidFill>
              <w14:schemeClr w14:val="tx1"/>
            </w14:solidFill>
          </w14:textFill>
        </w:rPr>
      </w:pPr>
    </w:p>
    <w:p w14:paraId="6F8232E9">
      <w:pPr>
        <w:pStyle w:val="9"/>
        <w:snapToGrid w:val="0"/>
        <w:spacing w:before="50" w:after="50"/>
        <w:ind w:firstLine="960" w:firstLineChars="400"/>
        <w:rPr>
          <w:rFonts w:hint="eastAsia" w:ascii="宋体" w:hAnsi="宋体" w:eastAsia="宋体" w:cs="宋体"/>
          <w:bCs/>
          <w:color w:val="000000" w:themeColor="text1"/>
          <w:sz w:val="24"/>
          <w:szCs w:val="24"/>
          <w:highlight w:val="none"/>
          <w14:textFill>
            <w14:solidFill>
              <w14:schemeClr w14:val="tx1"/>
            </w14:solidFill>
          </w14:textFill>
        </w:rPr>
      </w:pPr>
    </w:p>
    <w:p w14:paraId="2E2A88E9">
      <w:pPr>
        <w:snapToGrid w:val="0"/>
        <w:spacing w:beforeLines="50" w:after="50"/>
        <w:ind w:firstLine="645"/>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  月  日</w:t>
      </w:r>
    </w:p>
    <w:p w14:paraId="22217AA4">
      <w:pPr>
        <w:snapToGrid w:val="0"/>
        <w:spacing w:beforeLines="50" w:after="50"/>
        <w:rPr>
          <w:rFonts w:hint="eastAsia" w:ascii="宋体" w:hAnsi="宋体" w:eastAsia="宋体" w:cs="宋体"/>
          <w:color w:val="000000" w:themeColor="text1"/>
          <w:sz w:val="24"/>
          <w:szCs w:val="20"/>
          <w:highlight w:val="none"/>
          <w14:textFill>
            <w14:solidFill>
              <w14:schemeClr w14:val="tx1"/>
            </w14:solidFill>
          </w14:textFill>
        </w:rPr>
      </w:pPr>
    </w:p>
    <w:p w14:paraId="3210D285">
      <w:pPr>
        <w:snapToGrid w:val="0"/>
        <w:spacing w:beforeLines="50" w:after="50"/>
        <w:rPr>
          <w:rFonts w:hint="eastAsia" w:ascii="宋体" w:hAnsi="宋体" w:eastAsia="宋体" w:cs="宋体"/>
          <w:color w:val="000000" w:themeColor="text1"/>
          <w:sz w:val="24"/>
          <w:szCs w:val="20"/>
          <w:highlight w:val="none"/>
          <w14:textFill>
            <w14:solidFill>
              <w14:schemeClr w14:val="tx1"/>
            </w14:solidFill>
          </w14:textFill>
        </w:rPr>
      </w:pPr>
    </w:p>
    <w:p w14:paraId="60F233D1">
      <w:pPr>
        <w:numPr>
          <w:ilvl w:val="2"/>
          <w:numId w:val="3"/>
        </w:numPr>
        <w:snapToGrid w:val="0"/>
        <w:spacing w:beforeLines="50" w:after="50" w:line="360" w:lineRule="auto"/>
        <w:ind w:left="0" w:firstLine="0"/>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br w:type="page"/>
      </w:r>
      <w:r>
        <w:rPr>
          <w:rFonts w:hint="eastAsia" w:ascii="宋体" w:hAnsi="宋体" w:eastAsia="宋体" w:cs="宋体"/>
          <w:b/>
          <w:bCs/>
          <w:color w:val="000000" w:themeColor="text1"/>
          <w:sz w:val="24"/>
          <w:highlight w:val="none"/>
          <w14:textFill>
            <w14:solidFill>
              <w14:schemeClr w14:val="tx1"/>
            </w14:solidFill>
          </w14:textFill>
        </w:rPr>
        <w:t>资格证明文件目录</w:t>
      </w:r>
    </w:p>
    <w:p w14:paraId="2AA24793">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根据招标文件规定及投标人提供的材料自行编写目录。</w:t>
      </w:r>
    </w:p>
    <w:p w14:paraId="68DF536A">
      <w:pPr>
        <w:snapToGrid w:val="0"/>
        <w:spacing w:before="50" w:afterLines="50"/>
        <w:jc w:val="left"/>
        <w:rPr>
          <w:rFonts w:hint="eastAsia" w:ascii="宋体" w:hAnsi="宋体" w:eastAsia="宋体" w:cs="宋体"/>
          <w:color w:val="000000" w:themeColor="text1"/>
          <w:sz w:val="24"/>
          <w:highlight w:val="none"/>
          <w14:textFill>
            <w14:solidFill>
              <w14:schemeClr w14:val="tx1"/>
            </w14:solidFill>
          </w14:textFill>
        </w:rPr>
      </w:pPr>
    </w:p>
    <w:p w14:paraId="2D4A0A57">
      <w:pPr>
        <w:snapToGrid w:val="0"/>
        <w:spacing w:before="50" w:afterLines="50"/>
        <w:jc w:val="left"/>
        <w:rPr>
          <w:rFonts w:hint="eastAsia" w:ascii="宋体" w:hAnsi="宋体" w:eastAsia="宋体" w:cs="宋体"/>
          <w:color w:val="000000" w:themeColor="text1"/>
          <w:sz w:val="24"/>
          <w:highlight w:val="none"/>
          <w14:textFill>
            <w14:solidFill>
              <w14:schemeClr w14:val="tx1"/>
            </w14:solidFill>
          </w14:textFill>
        </w:rPr>
      </w:pPr>
    </w:p>
    <w:p w14:paraId="55618863">
      <w:pPr>
        <w:numPr>
          <w:ilvl w:val="2"/>
          <w:numId w:val="3"/>
        </w:numPr>
        <w:snapToGrid w:val="0"/>
        <w:spacing w:beforeLines="50" w:after="50"/>
        <w:ind w:left="0" w:firstLine="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28"/>
          <w:szCs w:val="28"/>
          <w:highlight w:val="none"/>
          <w14:textFill>
            <w14:solidFill>
              <w14:schemeClr w14:val="tx1"/>
            </w14:solidFill>
          </w14:textFill>
        </w:rPr>
        <w:t>投标人直接控股、管理关系信息表</w:t>
      </w:r>
    </w:p>
    <w:p w14:paraId="46254887">
      <w:pPr>
        <w:snapToGrid w:val="0"/>
        <w:spacing w:before="50" w:afterLines="50"/>
        <w:jc w:val="center"/>
        <w:rPr>
          <w:rFonts w:hint="eastAsia" w:ascii="宋体" w:hAnsi="宋体" w:eastAsia="宋体" w:cs="宋体"/>
          <w:b/>
          <w:color w:val="000000" w:themeColor="text1"/>
          <w:sz w:val="28"/>
          <w:szCs w:val="28"/>
          <w:highlight w:val="none"/>
          <w14:textFill>
            <w14:solidFill>
              <w14:schemeClr w14:val="tx1"/>
            </w14:solidFill>
          </w14:textFill>
        </w:rPr>
      </w:pPr>
    </w:p>
    <w:p w14:paraId="611A5FDF">
      <w:pPr>
        <w:snapToGrid w:val="0"/>
        <w:spacing w:before="50" w:afterLines="50"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投标人直接控股股东信息表</w:t>
      </w:r>
    </w:p>
    <w:tbl>
      <w:tblPr>
        <w:tblStyle w:val="48"/>
        <w:tblW w:w="0" w:type="auto"/>
        <w:jc w:val="center"/>
        <w:shd w:val="clear" w:color="auto" w:fill="FBFBFB"/>
        <w:tblLayout w:type="fixed"/>
        <w:tblCellMar>
          <w:top w:w="0" w:type="dxa"/>
          <w:left w:w="0" w:type="dxa"/>
          <w:bottom w:w="0" w:type="dxa"/>
          <w:right w:w="0" w:type="dxa"/>
        </w:tblCellMar>
      </w:tblPr>
      <w:tblGrid>
        <w:gridCol w:w="828"/>
        <w:gridCol w:w="2269"/>
        <w:gridCol w:w="1239"/>
        <w:gridCol w:w="4148"/>
        <w:gridCol w:w="992"/>
      </w:tblGrid>
      <w:tr w14:paraId="3D7AB469">
        <w:tblPrEx>
          <w:shd w:val="clear" w:color="auto" w:fill="FBFBFB"/>
          <w:tblCellMar>
            <w:top w:w="0" w:type="dxa"/>
            <w:left w:w="0" w:type="dxa"/>
            <w:bottom w:w="0" w:type="dxa"/>
            <w:right w:w="0" w:type="dxa"/>
          </w:tblCellMar>
        </w:tblPrEx>
        <w:trPr>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04715FC">
            <w:pPr>
              <w:spacing w:line="360" w:lineRule="auto"/>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746453B">
            <w:pPr>
              <w:spacing w:line="360" w:lineRule="auto"/>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0C5C023">
            <w:pPr>
              <w:spacing w:line="360" w:lineRule="auto"/>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出资比例</w:t>
            </w:r>
          </w:p>
        </w:tc>
        <w:tc>
          <w:tcPr>
            <w:tcW w:w="414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7CC6692">
            <w:pPr>
              <w:spacing w:line="360" w:lineRule="auto"/>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身份证号码或者统一社会信用代码</w:t>
            </w:r>
          </w:p>
        </w:tc>
        <w:tc>
          <w:tcPr>
            <w:tcW w:w="99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9CAB5E9">
            <w:pPr>
              <w:spacing w:line="360" w:lineRule="auto"/>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备注</w:t>
            </w:r>
          </w:p>
        </w:tc>
      </w:tr>
      <w:tr w14:paraId="302B13CF">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2A5B1A">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5409AE">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668288">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414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82AE16">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57F2D8">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r>
      <w:tr w14:paraId="360D6D89">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1F251A">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1CE39B">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E215AFC">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414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1EDC87">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14C66F">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r>
      <w:tr w14:paraId="4FC0E5CB">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8A894E">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F1C0B1">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9B5BA6">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414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402362">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06B05A">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r>
      <w:tr w14:paraId="1309B6EE">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A6908D">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27C06D">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54ADC3">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414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64AB68">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F2D4B5">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r>
    </w:tbl>
    <w:p w14:paraId="13C206B0">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p>
    <w:p w14:paraId="2EB2BDAA">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1936669">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2.本表所指的控股关系仅限于直接控股关系，不包括间接的控股关系。公司实际控制人与公司之间的关系不属于本表所指的直接控股关系。</w:t>
      </w:r>
    </w:p>
    <w:p w14:paraId="4E501D92">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3.供应商不存在直接控股股东的，则填“无”。</w:t>
      </w:r>
    </w:p>
    <w:p w14:paraId="1BBDA331">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14:paraId="5655FCB8">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14:paraId="244528CD">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14:paraId="28F36DC4">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14:paraId="4104D963">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14:paraId="024F8E2B">
      <w:pPr>
        <w:snapToGrid w:val="0"/>
        <w:spacing w:beforeLines="50" w:line="360" w:lineRule="auto"/>
        <w:ind w:right="480" w:firstLine="3967" w:firstLineChars="1653"/>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法定代表人或者委托代理人（签字）：</w:t>
      </w:r>
    </w:p>
    <w:p w14:paraId="5A6C1EFA">
      <w:pPr>
        <w:snapToGrid w:val="0"/>
        <w:spacing w:beforeLines="50" w:after="50" w:line="360" w:lineRule="auto"/>
        <w:ind w:right="480" w:firstLine="5520" w:firstLineChars="23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投标人名称（电子签章）：</w:t>
      </w:r>
    </w:p>
    <w:p w14:paraId="14340AB2">
      <w:pPr>
        <w:snapToGrid w:val="0"/>
        <w:spacing w:beforeLines="50" w:after="50" w:line="360" w:lineRule="auto"/>
        <w:ind w:right="480" w:firstLine="5520" w:firstLineChars="23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    月    日</w:t>
      </w:r>
    </w:p>
    <w:p w14:paraId="1218FC8E">
      <w:pPr>
        <w:snapToGrid w:val="0"/>
        <w:jc w:val="center"/>
        <w:rPr>
          <w:rFonts w:hint="eastAsia" w:ascii="宋体" w:hAnsi="宋体" w:eastAsia="宋体" w:cs="宋体"/>
          <w:b/>
          <w:color w:val="000000" w:themeColor="text1"/>
          <w:sz w:val="28"/>
          <w:szCs w:val="28"/>
          <w:highlight w:val="none"/>
          <w14:textFill>
            <w14:solidFill>
              <w14:schemeClr w14:val="tx1"/>
            </w14:solidFill>
          </w14:textFill>
        </w:rPr>
      </w:pPr>
    </w:p>
    <w:p w14:paraId="44BF1A98">
      <w:pPr>
        <w:snapToGrid w:val="0"/>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br w:type="page"/>
      </w:r>
      <w:r>
        <w:rPr>
          <w:rFonts w:hint="eastAsia" w:ascii="宋体" w:hAnsi="宋体" w:eastAsia="宋体" w:cs="宋体"/>
          <w:b/>
          <w:color w:val="000000" w:themeColor="text1"/>
          <w:sz w:val="32"/>
          <w:szCs w:val="32"/>
          <w:highlight w:val="none"/>
          <w14:textFill>
            <w14:solidFill>
              <w14:schemeClr w14:val="tx1"/>
            </w14:solidFill>
          </w14:textFill>
        </w:rPr>
        <w:t>投标人直接管理关系信息表</w:t>
      </w:r>
    </w:p>
    <w:tbl>
      <w:tblPr>
        <w:tblStyle w:val="48"/>
        <w:tblW w:w="0" w:type="auto"/>
        <w:jc w:val="center"/>
        <w:tblLayout w:type="fixed"/>
        <w:tblCellMar>
          <w:top w:w="0" w:type="dxa"/>
          <w:left w:w="0" w:type="dxa"/>
          <w:bottom w:w="0" w:type="dxa"/>
          <w:right w:w="0" w:type="dxa"/>
        </w:tblCellMar>
      </w:tblPr>
      <w:tblGrid>
        <w:gridCol w:w="1005"/>
        <w:gridCol w:w="2659"/>
        <w:gridCol w:w="3924"/>
        <w:gridCol w:w="2064"/>
      </w:tblGrid>
      <w:tr w14:paraId="17EEEE1A">
        <w:tblPrEx>
          <w:tblCellMar>
            <w:top w:w="0" w:type="dxa"/>
            <w:left w:w="0" w:type="dxa"/>
            <w:bottom w:w="0" w:type="dxa"/>
            <w:right w:w="0" w:type="dxa"/>
          </w:tblCellMar>
        </w:tblPrEx>
        <w:trPr>
          <w:tblHeade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3D38E58">
            <w:pPr>
              <w:spacing w:line="360" w:lineRule="auto"/>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2845D8F">
            <w:pPr>
              <w:spacing w:line="360" w:lineRule="auto"/>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32FF25F">
            <w:pPr>
              <w:spacing w:line="360" w:lineRule="auto"/>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C4D791F">
            <w:pPr>
              <w:spacing w:line="360" w:lineRule="auto"/>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备注</w:t>
            </w:r>
          </w:p>
        </w:tc>
      </w:tr>
      <w:tr w14:paraId="5F27FC38">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549B8D9">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896F393">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E9B8D58">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2738812">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r>
      <w:tr w14:paraId="15F0E39D">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B87C16F">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6AFCE03">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A354A8E">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FBE9F4B">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r>
      <w:tr w14:paraId="1F0752F6">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F6F26FF">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A510267">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76D0B57">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BABDA4E">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r>
      <w:tr w14:paraId="63F294E5">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C83E033">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289EB16">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81E1692">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7961A45">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r>
    </w:tbl>
    <w:p w14:paraId="365ABBA0">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p>
    <w:p w14:paraId="40048104">
      <w:pPr>
        <w:snapToGri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1.管理关系：是指不具有出资持股关系的其他单位之间存在的管理与被管理关系，如一些上下级关系的事业单位和团体组织。</w:t>
      </w:r>
    </w:p>
    <w:p w14:paraId="0DFE8243">
      <w:pPr>
        <w:snapToGri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pacing w:val="-6"/>
          <w:sz w:val="24"/>
          <w:highlight w:val="none"/>
          <w14:textFill>
            <w14:solidFill>
              <w14:schemeClr w14:val="tx1"/>
            </w14:solidFill>
          </w14:textFill>
        </w:rPr>
        <w:t>本表所指的管理关系仅限于直接管理关系，不包括间接的管理关系。</w:t>
      </w:r>
    </w:p>
    <w:p w14:paraId="343EF7A6">
      <w:pPr>
        <w:snapToGri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3.供应商不存在直接管理关系的，则填“无”。</w:t>
      </w:r>
    </w:p>
    <w:p w14:paraId="24940620">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14:paraId="7C1AFD68">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14:paraId="46C0F11A">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14:paraId="357C9B37">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14:paraId="6619B48F">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14:paraId="013EEB04">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14:paraId="2920A464">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14:paraId="46AF5EAE">
      <w:pPr>
        <w:snapToGrid w:val="0"/>
        <w:spacing w:beforeLines="50" w:line="360" w:lineRule="auto"/>
        <w:ind w:right="480" w:firstLine="3967" w:firstLineChars="1653"/>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法定代表人或者委托代理人（签字）：</w:t>
      </w:r>
    </w:p>
    <w:p w14:paraId="45094098">
      <w:pPr>
        <w:snapToGrid w:val="0"/>
        <w:spacing w:beforeLines="50" w:after="50" w:line="360" w:lineRule="auto"/>
        <w:ind w:right="480" w:firstLine="5520" w:firstLineChars="23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投标人名称（电子签章）：</w:t>
      </w:r>
    </w:p>
    <w:p w14:paraId="7851D3C6">
      <w:pPr>
        <w:snapToGrid w:val="0"/>
        <w:spacing w:beforeLines="50" w:after="50" w:line="360" w:lineRule="auto"/>
        <w:ind w:right="480" w:firstLine="240" w:firstLineChars="100"/>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年    月    日</w:t>
      </w:r>
    </w:p>
    <w:p w14:paraId="7AED269A">
      <w:pPr>
        <w:snapToGrid w:val="0"/>
        <w:spacing w:before="50" w:afterLines="50"/>
        <w:jc w:val="left"/>
        <w:rPr>
          <w:rFonts w:hint="eastAsia" w:ascii="宋体" w:hAnsi="宋体" w:eastAsia="宋体" w:cs="宋体"/>
          <w:color w:val="000000" w:themeColor="text1"/>
          <w:szCs w:val="21"/>
          <w:highlight w:val="none"/>
          <w14:textFill>
            <w14:solidFill>
              <w14:schemeClr w14:val="tx1"/>
            </w14:solidFill>
          </w14:textFill>
        </w:rPr>
      </w:pPr>
    </w:p>
    <w:p w14:paraId="4869E0C0">
      <w:pPr>
        <w:snapToGrid w:val="0"/>
        <w:spacing w:beforeLines="50" w:after="50"/>
        <w:jc w:val="left"/>
        <w:rPr>
          <w:rFonts w:hint="eastAsia" w:ascii="宋体" w:hAnsi="宋体" w:eastAsia="宋体" w:cs="宋体"/>
          <w:b/>
          <w:color w:val="000000" w:themeColor="text1"/>
          <w:sz w:val="24"/>
          <w:szCs w:val="20"/>
          <w:highlight w:val="none"/>
          <w14:textFill>
            <w14:solidFill>
              <w14:schemeClr w14:val="tx1"/>
            </w14:solidFill>
          </w14:textFill>
        </w:rPr>
      </w:pPr>
    </w:p>
    <w:p w14:paraId="787F2D7C">
      <w:pPr>
        <w:numPr>
          <w:ilvl w:val="2"/>
          <w:numId w:val="3"/>
        </w:numPr>
        <w:snapToGrid w:val="0"/>
        <w:spacing w:beforeLines="50" w:after="50"/>
        <w:ind w:left="0" w:firstLine="0"/>
        <w:jc w:val="left"/>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24"/>
          <w:highlight w:val="none"/>
          <w14:textFill>
            <w14:solidFill>
              <w14:schemeClr w14:val="tx1"/>
            </w14:solidFill>
          </w14:textFill>
        </w:rPr>
        <w:t>投标声明格式</w:t>
      </w:r>
    </w:p>
    <w:p w14:paraId="31B39217">
      <w:pPr>
        <w:snapToGrid w:val="0"/>
        <w:spacing w:before="50" w:afterLines="50"/>
        <w:jc w:val="left"/>
        <w:rPr>
          <w:rFonts w:hint="eastAsia" w:ascii="宋体" w:hAnsi="宋体" w:eastAsia="宋体" w:cs="宋体"/>
          <w:color w:val="000000" w:themeColor="text1"/>
          <w:highlight w:val="none"/>
          <w14:textFill>
            <w14:solidFill>
              <w14:schemeClr w14:val="tx1"/>
            </w14:solidFill>
          </w14:textFill>
        </w:rPr>
      </w:pPr>
    </w:p>
    <w:p w14:paraId="6F5BB105">
      <w:pPr>
        <w:snapToGrid w:val="0"/>
        <w:spacing w:before="50" w:afterLines="50"/>
        <w:jc w:val="center"/>
        <w:rPr>
          <w:rFonts w:hint="eastAsia" w:ascii="宋体" w:hAnsi="宋体" w:eastAsia="宋体" w:cs="宋体"/>
          <w:bCs/>
          <w:color w:val="000000" w:themeColor="text1"/>
          <w:sz w:val="44"/>
          <w:szCs w:val="44"/>
          <w:highlight w:val="none"/>
          <w14:textFill>
            <w14:solidFill>
              <w14:schemeClr w14:val="tx1"/>
            </w14:solidFill>
          </w14:textFill>
        </w:rPr>
      </w:pPr>
      <w:r>
        <w:rPr>
          <w:rFonts w:hint="eastAsia" w:ascii="宋体" w:hAnsi="宋体" w:eastAsia="宋体" w:cs="宋体"/>
          <w:bCs/>
          <w:color w:val="000000" w:themeColor="text1"/>
          <w:sz w:val="44"/>
          <w:szCs w:val="44"/>
          <w:highlight w:val="none"/>
          <w14:textFill>
            <w14:solidFill>
              <w14:schemeClr w14:val="tx1"/>
            </w14:solidFill>
          </w14:textFill>
        </w:rPr>
        <w:t>投标声明</w:t>
      </w:r>
    </w:p>
    <w:p w14:paraId="44AB52B7">
      <w:pPr>
        <w:snapToGrid w:val="0"/>
        <w:spacing w:before="50" w:afterLines="50"/>
        <w:jc w:val="center"/>
        <w:rPr>
          <w:rFonts w:hint="eastAsia" w:ascii="宋体" w:hAnsi="宋体" w:eastAsia="宋体" w:cs="宋体"/>
          <w:bCs/>
          <w:color w:val="000000" w:themeColor="text1"/>
          <w:sz w:val="44"/>
          <w:szCs w:val="44"/>
          <w:highlight w:val="none"/>
          <w14:textFill>
            <w14:solidFill>
              <w14:schemeClr w14:val="tx1"/>
            </w14:solidFill>
          </w14:textFill>
        </w:rPr>
      </w:pPr>
    </w:p>
    <w:p w14:paraId="12738B9D">
      <w:pPr>
        <w:spacing w:line="400" w:lineRule="exact"/>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p>
    <w:p w14:paraId="0E3179FD">
      <w:pPr>
        <w:spacing w:line="400" w:lineRule="exact"/>
        <w:ind w:firstLine="523" w:firstLineChars="218"/>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我方参加贵单位组织项目（项目编号：）的政府采购活动。我方在此郑重声明：</w:t>
      </w:r>
    </w:p>
    <w:p w14:paraId="3F5F8E61">
      <w:pPr>
        <w:spacing w:line="400" w:lineRule="exact"/>
        <w:ind w:firstLine="480" w:firstLineChars="200"/>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F10899C">
      <w:pPr>
        <w:spacing w:line="400" w:lineRule="exact"/>
        <w:ind w:firstLine="480" w:firstLineChars="200"/>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2.我方不是为本次采购项目提供整体设计、规范编制或者项目管理、监理、检测等服务的供应商。</w:t>
      </w:r>
    </w:p>
    <w:p w14:paraId="4729F02E">
      <w:pPr>
        <w:spacing w:line="400" w:lineRule="exact"/>
        <w:ind w:firstLine="480" w:firstLineChars="200"/>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 我方承诺符合《中华人民共和国政府采购法》第二十二条规定：</w:t>
      </w:r>
    </w:p>
    <w:p w14:paraId="42AAE19E">
      <w:pPr>
        <w:spacing w:line="400" w:lineRule="exact"/>
        <w:ind w:firstLine="480" w:firstLineChars="200"/>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（一）具有独立承担民事责任的能力；</w:t>
      </w:r>
    </w:p>
    <w:p w14:paraId="3E8BA9F5">
      <w:pPr>
        <w:spacing w:line="400" w:lineRule="exact"/>
        <w:ind w:firstLine="480" w:firstLineChars="200"/>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（二）具有良好的商业信誉和健全的财务会计制度；</w:t>
      </w:r>
    </w:p>
    <w:p w14:paraId="206D8CF8">
      <w:pPr>
        <w:spacing w:line="400" w:lineRule="exact"/>
        <w:ind w:firstLine="480" w:firstLineChars="200"/>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（三）具有履行合同所必需的设备和专业技术能力；</w:t>
      </w:r>
    </w:p>
    <w:p w14:paraId="08ED7DFE">
      <w:pPr>
        <w:spacing w:line="400" w:lineRule="exact"/>
        <w:ind w:firstLine="480" w:firstLineChars="200"/>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（四）有依法缴纳税收和社会保障资金的良好记录；</w:t>
      </w:r>
    </w:p>
    <w:p w14:paraId="4D746282">
      <w:pPr>
        <w:spacing w:line="400" w:lineRule="exact"/>
        <w:ind w:firstLine="480" w:firstLineChars="200"/>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（五）参加政府采购活动前三年内，在经营活动中没有重大违法记录；</w:t>
      </w:r>
    </w:p>
    <w:p w14:paraId="59C8D71A">
      <w:pPr>
        <w:spacing w:line="400" w:lineRule="exact"/>
        <w:ind w:firstLine="480" w:firstLineChars="200"/>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（六）法律、行政法规规定的其他条件。</w:t>
      </w:r>
    </w:p>
    <w:p w14:paraId="357351BA">
      <w:pPr>
        <w:spacing w:line="400" w:lineRule="exact"/>
        <w:ind w:firstLine="480" w:firstLineChars="200"/>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4.以上事项如有虚假或者隐瞒，我方愿意承担一切后果，并不再寻求任何旨在减轻或者免除法律责任的辩解。</w:t>
      </w:r>
    </w:p>
    <w:p w14:paraId="0B15DD14">
      <w:pPr>
        <w:spacing w:line="400" w:lineRule="exact"/>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特此承诺。</w:t>
      </w:r>
    </w:p>
    <w:p w14:paraId="075F6CF2">
      <w:pPr>
        <w:spacing w:line="400" w:lineRule="exact"/>
        <w:contextualSpacing/>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    注：如为联合体投标，盖章处须加盖联合体各方公章并由联合体各方法定代表人分别签字，否则投标无效。</w:t>
      </w:r>
    </w:p>
    <w:p w14:paraId="63FCF192">
      <w:pPr>
        <w:spacing w:line="400" w:lineRule="exact"/>
        <w:contextualSpacing/>
        <w:jc w:val="left"/>
        <w:rPr>
          <w:rFonts w:hint="eastAsia" w:ascii="宋体" w:hAnsi="宋体" w:eastAsia="宋体" w:cs="宋体"/>
          <w:color w:val="000000" w:themeColor="text1"/>
          <w:sz w:val="24"/>
          <w:highlight w:val="none"/>
          <w14:textFill>
            <w14:solidFill>
              <w14:schemeClr w14:val="tx1"/>
            </w14:solidFill>
          </w14:textFill>
        </w:rPr>
      </w:pPr>
    </w:p>
    <w:p w14:paraId="24BA75F8">
      <w:pPr>
        <w:spacing w:line="400" w:lineRule="exact"/>
        <w:contextualSpacing/>
        <w:jc w:val="left"/>
        <w:rPr>
          <w:rFonts w:hint="eastAsia" w:ascii="宋体" w:hAnsi="宋体" w:eastAsia="宋体" w:cs="宋体"/>
          <w:color w:val="000000" w:themeColor="text1"/>
          <w:sz w:val="24"/>
          <w:highlight w:val="none"/>
          <w14:textFill>
            <w14:solidFill>
              <w14:schemeClr w14:val="tx1"/>
            </w14:solidFill>
          </w14:textFill>
        </w:rPr>
      </w:pPr>
    </w:p>
    <w:p w14:paraId="483678DB">
      <w:pPr>
        <w:spacing w:line="400" w:lineRule="exact"/>
        <w:contextualSpacing/>
        <w:jc w:val="left"/>
        <w:rPr>
          <w:rFonts w:hint="eastAsia" w:ascii="宋体" w:hAnsi="宋体" w:eastAsia="宋体" w:cs="宋体"/>
          <w:color w:val="000000" w:themeColor="text1"/>
          <w:sz w:val="24"/>
          <w:highlight w:val="none"/>
          <w14:textFill>
            <w14:solidFill>
              <w14:schemeClr w14:val="tx1"/>
            </w14:solidFill>
          </w14:textFill>
        </w:rPr>
      </w:pPr>
    </w:p>
    <w:p w14:paraId="428959E2">
      <w:pPr>
        <w:spacing w:line="400" w:lineRule="exact"/>
        <w:ind w:firstLine="3840" w:firstLineChars="1600"/>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法定代表人（签字或者盖章）：</w:t>
      </w:r>
    </w:p>
    <w:p w14:paraId="64A60AF1">
      <w:pPr>
        <w:spacing w:line="400" w:lineRule="exact"/>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投标人名称（电子签章）：</w:t>
      </w:r>
    </w:p>
    <w:p w14:paraId="6280EF27">
      <w:pPr>
        <w:spacing w:line="400" w:lineRule="exact"/>
        <w:contextualSpacing/>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年    月    日</w:t>
      </w:r>
    </w:p>
    <w:p w14:paraId="2E7A4987">
      <w:pPr>
        <w:rPr>
          <w:rFonts w:hint="eastAsia" w:ascii="宋体" w:hAnsi="宋体" w:eastAsia="宋体" w:cs="宋体"/>
          <w:b/>
          <w:color w:val="000000" w:themeColor="text1"/>
          <w:sz w:val="28"/>
          <w:szCs w:val="28"/>
          <w:highlight w:val="none"/>
          <w14:textFill>
            <w14:solidFill>
              <w14:schemeClr w14:val="tx1"/>
            </w14:solidFill>
          </w14:textFill>
        </w:rPr>
      </w:pPr>
      <w:bookmarkStart w:id="152" w:name="_Toc19686838"/>
      <w:r>
        <w:rPr>
          <w:rFonts w:hint="eastAsia" w:ascii="宋体" w:hAnsi="宋体" w:eastAsia="宋体" w:cs="宋体"/>
          <w:b/>
          <w:color w:val="000000" w:themeColor="text1"/>
          <w:sz w:val="28"/>
          <w:szCs w:val="28"/>
          <w:highlight w:val="none"/>
          <w14:textFill>
            <w14:solidFill>
              <w14:schemeClr w14:val="tx1"/>
            </w14:solidFill>
          </w14:textFill>
        </w:rPr>
        <w:br w:type="page"/>
      </w:r>
      <w:r>
        <w:rPr>
          <w:rFonts w:hint="eastAsia" w:ascii="宋体" w:hAnsi="宋体" w:eastAsia="宋体" w:cs="宋体"/>
          <w:b/>
          <w:color w:val="000000" w:themeColor="text1"/>
          <w:sz w:val="28"/>
          <w:szCs w:val="28"/>
          <w:highlight w:val="none"/>
          <w14:textFill>
            <w14:solidFill>
              <w14:schemeClr w14:val="tx1"/>
            </w14:solidFill>
          </w14:textFill>
        </w:rPr>
        <w:t>三、商务文件格式</w:t>
      </w:r>
      <w:bookmarkEnd w:id="152"/>
    </w:p>
    <w:p w14:paraId="38E39322">
      <w:pPr>
        <w:snapToGrid w:val="0"/>
        <w:spacing w:beforeLines="50" w:after="50" w:line="360" w:lineRule="auto"/>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1.商务文件封面格式： </w:t>
      </w:r>
    </w:p>
    <w:p w14:paraId="07227A5F">
      <w:pPr>
        <w:snapToGrid w:val="0"/>
        <w:spacing w:beforeLines="50" w:after="50"/>
        <w:rPr>
          <w:rFonts w:hint="eastAsia" w:ascii="宋体" w:hAnsi="宋体" w:eastAsia="宋体" w:cs="宋体"/>
          <w:bCs/>
          <w:color w:val="000000" w:themeColor="text1"/>
          <w:sz w:val="32"/>
          <w:szCs w:val="20"/>
          <w:highlight w:val="none"/>
          <w14:textFill>
            <w14:solidFill>
              <w14:schemeClr w14:val="tx1"/>
            </w14:solidFill>
          </w14:textFill>
        </w:rPr>
      </w:pPr>
    </w:p>
    <w:p w14:paraId="4918AB79">
      <w:pPr>
        <w:snapToGrid w:val="0"/>
        <w:spacing w:beforeLines="50" w:after="50"/>
        <w:rPr>
          <w:rFonts w:hint="eastAsia" w:ascii="宋体" w:hAnsi="宋体" w:eastAsia="宋体" w:cs="宋体"/>
          <w:color w:val="000000" w:themeColor="text1"/>
          <w:sz w:val="24"/>
          <w:szCs w:val="20"/>
          <w:highlight w:val="none"/>
          <w14:textFill>
            <w14:solidFill>
              <w14:schemeClr w14:val="tx1"/>
            </w14:solidFill>
          </w14:textFill>
        </w:rPr>
      </w:pPr>
    </w:p>
    <w:p w14:paraId="27A6A2F7">
      <w:pPr>
        <w:snapToGrid w:val="0"/>
        <w:spacing w:beforeLines="50" w:after="50"/>
        <w:rPr>
          <w:rFonts w:hint="eastAsia" w:ascii="宋体" w:hAnsi="宋体" w:eastAsia="宋体" w:cs="宋体"/>
          <w:color w:val="000000" w:themeColor="text1"/>
          <w:sz w:val="24"/>
          <w:szCs w:val="20"/>
          <w:highlight w:val="none"/>
          <w14:textFill>
            <w14:solidFill>
              <w14:schemeClr w14:val="tx1"/>
            </w14:solidFill>
          </w14:textFill>
        </w:rPr>
      </w:pPr>
    </w:p>
    <w:p w14:paraId="7A0541BA">
      <w:pPr>
        <w:snapToGrid w:val="0"/>
        <w:spacing w:beforeLines="50" w:after="50"/>
        <w:rPr>
          <w:rFonts w:hint="eastAsia" w:ascii="宋体" w:hAnsi="宋体" w:eastAsia="宋体" w:cs="宋体"/>
          <w:color w:val="000000" w:themeColor="text1"/>
          <w:sz w:val="24"/>
          <w:szCs w:val="20"/>
          <w:highlight w:val="none"/>
          <w14:textFill>
            <w14:solidFill>
              <w14:schemeClr w14:val="tx1"/>
            </w14:solidFill>
          </w14:textFill>
        </w:rPr>
      </w:pPr>
    </w:p>
    <w:p w14:paraId="1950014C">
      <w:pPr>
        <w:snapToGrid w:val="0"/>
        <w:spacing w:beforeLines="50" w:after="50"/>
        <w:jc w:val="center"/>
        <w:rPr>
          <w:rFonts w:hint="eastAsia" w:ascii="宋体" w:hAnsi="宋体" w:eastAsia="宋体" w:cs="宋体"/>
          <w:color w:val="000000" w:themeColor="text1"/>
          <w:sz w:val="84"/>
          <w:szCs w:val="84"/>
          <w:highlight w:val="none"/>
          <w14:textFill>
            <w14:solidFill>
              <w14:schemeClr w14:val="tx1"/>
            </w14:solidFill>
          </w14:textFill>
        </w:rPr>
      </w:pPr>
      <w:r>
        <w:rPr>
          <w:rFonts w:hint="eastAsia" w:ascii="宋体" w:hAnsi="宋体" w:eastAsia="宋体" w:cs="宋体"/>
          <w:color w:val="000000" w:themeColor="text1"/>
          <w:sz w:val="84"/>
          <w:szCs w:val="84"/>
          <w:highlight w:val="none"/>
          <w14:textFill>
            <w14:solidFill>
              <w14:schemeClr w14:val="tx1"/>
            </w14:solidFill>
          </w14:textFill>
        </w:rPr>
        <w:t>投  标  文  件</w:t>
      </w:r>
    </w:p>
    <w:p w14:paraId="6F83E911">
      <w:pPr>
        <w:snapToGrid w:val="0"/>
        <w:spacing w:beforeLines="50" w:after="50"/>
        <w:rPr>
          <w:rFonts w:hint="eastAsia" w:ascii="宋体" w:hAnsi="宋体" w:eastAsia="宋体" w:cs="宋体"/>
          <w:color w:val="000000" w:themeColor="text1"/>
          <w:sz w:val="24"/>
          <w:szCs w:val="20"/>
          <w:highlight w:val="none"/>
          <w14:textFill>
            <w14:solidFill>
              <w14:schemeClr w14:val="tx1"/>
            </w14:solidFill>
          </w14:textFill>
        </w:rPr>
      </w:pPr>
    </w:p>
    <w:p w14:paraId="1A8E21CB">
      <w:pPr>
        <w:snapToGrid w:val="0"/>
        <w:spacing w:beforeLines="50" w:after="50"/>
        <w:rPr>
          <w:rFonts w:hint="eastAsia" w:ascii="宋体" w:hAnsi="宋体" w:eastAsia="宋体" w:cs="宋体"/>
          <w:color w:val="000000" w:themeColor="text1"/>
          <w:sz w:val="24"/>
          <w:szCs w:val="20"/>
          <w:highlight w:val="none"/>
          <w14:textFill>
            <w14:solidFill>
              <w14:schemeClr w14:val="tx1"/>
            </w14:solidFill>
          </w14:textFill>
        </w:rPr>
      </w:pPr>
    </w:p>
    <w:p w14:paraId="5CF771DD">
      <w:pPr>
        <w:snapToGrid w:val="0"/>
        <w:spacing w:beforeLines="50" w:after="50"/>
        <w:jc w:val="center"/>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商  务  文  件</w:t>
      </w:r>
    </w:p>
    <w:p w14:paraId="3C2E0F63">
      <w:pPr>
        <w:snapToGrid w:val="0"/>
        <w:spacing w:beforeLines="50" w:after="50"/>
        <w:rPr>
          <w:rFonts w:hint="eastAsia" w:ascii="宋体" w:hAnsi="宋体" w:eastAsia="宋体" w:cs="宋体"/>
          <w:bCs/>
          <w:color w:val="000000" w:themeColor="text1"/>
          <w:sz w:val="24"/>
          <w:szCs w:val="20"/>
          <w:highlight w:val="none"/>
          <w14:textFill>
            <w14:solidFill>
              <w14:schemeClr w14:val="tx1"/>
            </w14:solidFill>
          </w14:textFill>
        </w:rPr>
      </w:pPr>
    </w:p>
    <w:p w14:paraId="4496E727">
      <w:pPr>
        <w:snapToGrid w:val="0"/>
        <w:spacing w:beforeLines="50" w:after="50"/>
        <w:ind w:firstLine="540" w:firstLineChars="225"/>
        <w:rPr>
          <w:rFonts w:hint="eastAsia" w:ascii="宋体" w:hAnsi="宋体" w:eastAsia="宋体" w:cs="宋体"/>
          <w:bCs/>
          <w:color w:val="000000" w:themeColor="text1"/>
          <w:sz w:val="24"/>
          <w:highlight w:val="none"/>
          <w14:textFill>
            <w14:solidFill>
              <w14:schemeClr w14:val="tx1"/>
            </w14:solidFill>
          </w14:textFill>
        </w:rPr>
      </w:pPr>
    </w:p>
    <w:p w14:paraId="1289606B">
      <w:pPr>
        <w:snapToGrid w:val="0"/>
        <w:spacing w:beforeLines="50" w:after="50"/>
        <w:ind w:firstLine="540" w:firstLineChars="225"/>
        <w:rPr>
          <w:rFonts w:hint="eastAsia" w:ascii="宋体" w:hAnsi="宋体" w:eastAsia="宋体" w:cs="宋体"/>
          <w:bCs/>
          <w:color w:val="000000" w:themeColor="text1"/>
          <w:sz w:val="24"/>
          <w:highlight w:val="none"/>
          <w14:textFill>
            <w14:solidFill>
              <w14:schemeClr w14:val="tx1"/>
            </w14:solidFill>
          </w14:textFill>
        </w:rPr>
      </w:pPr>
    </w:p>
    <w:p w14:paraId="02C5CDAB">
      <w:pPr>
        <w:snapToGrid w:val="0"/>
        <w:spacing w:beforeLines="50" w:after="50"/>
        <w:ind w:firstLine="540" w:firstLineChars="225"/>
        <w:rPr>
          <w:rFonts w:hint="eastAsia" w:ascii="宋体" w:hAnsi="宋体" w:eastAsia="宋体" w:cs="宋体"/>
          <w:bCs/>
          <w:color w:val="000000" w:themeColor="text1"/>
          <w:sz w:val="24"/>
          <w:highlight w:val="none"/>
          <w14:textFill>
            <w14:solidFill>
              <w14:schemeClr w14:val="tx1"/>
            </w14:solidFill>
          </w14:textFill>
        </w:rPr>
      </w:pPr>
    </w:p>
    <w:p w14:paraId="0D8EA551">
      <w:pPr>
        <w:snapToGrid w:val="0"/>
        <w:spacing w:beforeLines="50" w:after="50"/>
        <w:ind w:firstLine="540" w:firstLineChars="225"/>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项目名称：</w:t>
      </w:r>
    </w:p>
    <w:p w14:paraId="67E70514">
      <w:pPr>
        <w:snapToGrid w:val="0"/>
        <w:spacing w:beforeLines="50" w:after="50"/>
        <w:ind w:firstLine="540" w:firstLineChars="225"/>
        <w:rPr>
          <w:rFonts w:hint="eastAsia" w:ascii="宋体" w:hAnsi="宋体" w:eastAsia="宋体" w:cs="宋体"/>
          <w:bCs/>
          <w:color w:val="000000" w:themeColor="text1"/>
          <w:sz w:val="24"/>
          <w:szCs w:val="20"/>
          <w:highlight w:val="none"/>
          <w14:textFill>
            <w14:solidFill>
              <w14:schemeClr w14:val="tx1"/>
            </w14:solidFill>
          </w14:textFill>
        </w:rPr>
      </w:pPr>
    </w:p>
    <w:p w14:paraId="6B0895B6">
      <w:pPr>
        <w:snapToGrid w:val="0"/>
        <w:spacing w:beforeLines="50" w:after="50"/>
        <w:ind w:firstLine="540" w:firstLineChars="225"/>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项目编号：</w:t>
      </w:r>
    </w:p>
    <w:p w14:paraId="42E464DC">
      <w:pPr>
        <w:snapToGrid w:val="0"/>
        <w:spacing w:beforeLines="50" w:after="50"/>
        <w:ind w:firstLine="540" w:firstLineChars="225"/>
        <w:rPr>
          <w:rFonts w:hint="eastAsia" w:ascii="宋体" w:hAnsi="宋体" w:eastAsia="宋体" w:cs="宋体"/>
          <w:bCs/>
          <w:color w:val="000000" w:themeColor="text1"/>
          <w:sz w:val="24"/>
          <w:szCs w:val="20"/>
          <w:highlight w:val="none"/>
          <w14:textFill>
            <w14:solidFill>
              <w14:schemeClr w14:val="tx1"/>
            </w14:solidFill>
          </w14:textFill>
        </w:rPr>
      </w:pPr>
    </w:p>
    <w:p w14:paraId="790034A2">
      <w:pPr>
        <w:snapToGrid w:val="0"/>
        <w:spacing w:beforeLines="50" w:after="50"/>
        <w:ind w:firstLine="540" w:firstLineChars="225"/>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所投分标：</w:t>
      </w:r>
    </w:p>
    <w:p w14:paraId="6E2B9100">
      <w:pPr>
        <w:snapToGrid w:val="0"/>
        <w:spacing w:beforeLines="50" w:after="50"/>
        <w:ind w:firstLine="540" w:firstLineChars="225"/>
        <w:rPr>
          <w:rFonts w:hint="eastAsia" w:ascii="宋体" w:hAnsi="宋体" w:eastAsia="宋体" w:cs="宋体"/>
          <w:bCs/>
          <w:color w:val="000000" w:themeColor="text1"/>
          <w:sz w:val="24"/>
          <w:szCs w:val="20"/>
          <w:highlight w:val="none"/>
          <w14:textFill>
            <w14:solidFill>
              <w14:schemeClr w14:val="tx1"/>
            </w14:solidFill>
          </w14:textFill>
        </w:rPr>
      </w:pPr>
    </w:p>
    <w:p w14:paraId="0D2C5213">
      <w:pPr>
        <w:pStyle w:val="9"/>
        <w:snapToGrid w:val="0"/>
        <w:spacing w:before="50" w:after="50"/>
        <w:ind w:firstLine="540" w:firstLineChars="225"/>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投标人名称：</w:t>
      </w:r>
    </w:p>
    <w:p w14:paraId="0E9DA7C0">
      <w:pPr>
        <w:pStyle w:val="9"/>
        <w:snapToGrid w:val="0"/>
        <w:spacing w:before="50" w:after="50"/>
        <w:ind w:firstLine="540" w:firstLineChars="225"/>
        <w:rPr>
          <w:rFonts w:hint="eastAsia" w:ascii="宋体" w:hAnsi="宋体" w:eastAsia="宋体" w:cs="宋体"/>
          <w:bCs/>
          <w:color w:val="000000" w:themeColor="text1"/>
          <w:sz w:val="24"/>
          <w:szCs w:val="24"/>
          <w:highlight w:val="none"/>
          <w14:textFill>
            <w14:solidFill>
              <w14:schemeClr w14:val="tx1"/>
            </w14:solidFill>
          </w14:textFill>
        </w:rPr>
      </w:pPr>
    </w:p>
    <w:p w14:paraId="226AFF4C">
      <w:pPr>
        <w:pStyle w:val="9"/>
        <w:snapToGrid w:val="0"/>
        <w:spacing w:before="50" w:after="50"/>
        <w:ind w:firstLine="540" w:firstLineChars="225"/>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投标人地址：</w:t>
      </w:r>
    </w:p>
    <w:p w14:paraId="42C8DB3C">
      <w:pPr>
        <w:pStyle w:val="9"/>
        <w:snapToGrid w:val="0"/>
        <w:spacing w:before="50" w:after="50"/>
        <w:ind w:firstLine="960" w:firstLineChars="400"/>
        <w:rPr>
          <w:rFonts w:hint="eastAsia" w:ascii="宋体" w:hAnsi="宋体" w:eastAsia="宋体" w:cs="宋体"/>
          <w:bCs/>
          <w:color w:val="000000" w:themeColor="text1"/>
          <w:sz w:val="24"/>
          <w:szCs w:val="24"/>
          <w:highlight w:val="none"/>
          <w14:textFill>
            <w14:solidFill>
              <w14:schemeClr w14:val="tx1"/>
            </w14:solidFill>
          </w14:textFill>
        </w:rPr>
      </w:pPr>
    </w:p>
    <w:p w14:paraId="6AF08DF9">
      <w:pPr>
        <w:snapToGrid w:val="0"/>
        <w:spacing w:beforeLines="50" w:after="50"/>
        <w:ind w:firstLine="64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年  月  日</w:t>
      </w:r>
    </w:p>
    <w:p w14:paraId="301001D4">
      <w:pPr>
        <w:snapToGrid w:val="0"/>
        <w:spacing w:beforeLines="50" w:after="50"/>
        <w:rPr>
          <w:rFonts w:hint="eastAsia" w:ascii="宋体" w:hAnsi="宋体" w:eastAsia="宋体" w:cs="宋体"/>
          <w:color w:val="000000" w:themeColor="text1"/>
          <w:sz w:val="24"/>
          <w:szCs w:val="20"/>
          <w:highlight w:val="none"/>
          <w14:textFill>
            <w14:solidFill>
              <w14:schemeClr w14:val="tx1"/>
            </w14:solidFill>
          </w14:textFill>
        </w:rPr>
      </w:pPr>
    </w:p>
    <w:p w14:paraId="170ADEE5">
      <w:pPr>
        <w:snapToGrid w:val="0"/>
        <w:spacing w:line="360" w:lineRule="auto"/>
        <w:jc w:val="left"/>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br w:type="page"/>
      </w:r>
      <w:r>
        <w:rPr>
          <w:rFonts w:hint="eastAsia" w:ascii="宋体" w:hAnsi="宋体" w:eastAsia="宋体" w:cs="宋体"/>
          <w:b/>
          <w:bCs/>
          <w:color w:val="000000" w:themeColor="text1"/>
          <w:sz w:val="24"/>
          <w:highlight w:val="none"/>
          <w14:textFill>
            <w14:solidFill>
              <w14:schemeClr w14:val="tx1"/>
            </w14:solidFill>
          </w14:textFill>
        </w:rPr>
        <w:t>2.商务文件目录</w:t>
      </w:r>
    </w:p>
    <w:p w14:paraId="5E92AF0F">
      <w:pPr>
        <w:snapToGrid w:val="0"/>
        <w:spacing w:before="50" w:afterLines="50" w:line="360" w:lineRule="auto"/>
        <w:ind w:firstLine="480" w:firstLineChars="200"/>
        <w:jc w:val="left"/>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根据招标文件规定及投标人提供的材料自行编写目录。</w:t>
      </w:r>
    </w:p>
    <w:p w14:paraId="33249F62">
      <w:pPr>
        <w:snapToGrid w:val="0"/>
        <w:spacing w:before="50" w:afterLines="50"/>
        <w:jc w:val="left"/>
        <w:rPr>
          <w:rFonts w:hint="eastAsia" w:ascii="宋体" w:hAnsi="宋体" w:eastAsia="宋体" w:cs="宋体"/>
          <w:color w:val="000000" w:themeColor="text1"/>
          <w:highlight w:val="none"/>
          <w14:textFill>
            <w14:solidFill>
              <w14:schemeClr w14:val="tx1"/>
            </w14:solidFill>
          </w14:textFill>
        </w:rPr>
      </w:pPr>
    </w:p>
    <w:p w14:paraId="6E54593D">
      <w:pPr>
        <w:snapToGrid w:val="0"/>
        <w:spacing w:beforeLines="50" w:after="5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24"/>
          <w:highlight w:val="none"/>
          <w14:textFill>
            <w14:solidFill>
              <w14:schemeClr w14:val="tx1"/>
            </w14:solidFill>
          </w14:textFill>
        </w:rPr>
        <w:t>3.投标人参加本项目无围标串标行为的承诺</w:t>
      </w:r>
    </w:p>
    <w:p w14:paraId="6D91426A">
      <w:pPr>
        <w:snapToGrid w:val="0"/>
        <w:spacing w:beforeLines="50" w:after="50"/>
        <w:jc w:val="left"/>
        <w:rPr>
          <w:rFonts w:hint="eastAsia" w:ascii="宋体" w:hAnsi="宋体" w:eastAsia="宋体" w:cs="宋体"/>
          <w:b/>
          <w:color w:val="000000" w:themeColor="text1"/>
          <w:sz w:val="24"/>
          <w:highlight w:val="none"/>
          <w14:textFill>
            <w14:solidFill>
              <w14:schemeClr w14:val="tx1"/>
            </w14:solidFill>
          </w14:textFill>
        </w:rPr>
      </w:pPr>
    </w:p>
    <w:p w14:paraId="61F8C647">
      <w:pPr>
        <w:spacing w:line="360" w:lineRule="auto"/>
        <w:ind w:left="420"/>
        <w:contextualSpacing/>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Cs/>
          <w:color w:val="000000" w:themeColor="text1"/>
          <w:spacing w:val="-11"/>
          <w:sz w:val="44"/>
          <w:szCs w:val="44"/>
          <w:highlight w:val="none"/>
          <w14:textFill>
            <w14:solidFill>
              <w14:schemeClr w14:val="tx1"/>
            </w14:solidFill>
          </w14:textFill>
        </w:rPr>
        <w:t>投标人参加本项目无围标串标行为的承诺函</w:t>
      </w:r>
    </w:p>
    <w:p w14:paraId="53403913">
      <w:pPr>
        <w:spacing w:line="440" w:lineRule="exact"/>
        <w:contextualSpacing/>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一、我方承诺无下列相互串通投标的情形：</w:t>
      </w:r>
    </w:p>
    <w:p w14:paraId="546DD450">
      <w:pPr>
        <w:spacing w:line="440" w:lineRule="exact"/>
        <w:ind w:firstLine="470"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1.不同投标人的投标文件由同一单位或者个人编制；</w:t>
      </w:r>
    </w:p>
    <w:p w14:paraId="65DA7AA9">
      <w:pPr>
        <w:spacing w:line="440" w:lineRule="exact"/>
        <w:ind w:firstLine="470"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2.不同投标人委托同一单位或者个人办理投标事宜；</w:t>
      </w:r>
    </w:p>
    <w:p w14:paraId="6F1D9C45">
      <w:pPr>
        <w:spacing w:line="440" w:lineRule="exact"/>
        <w:ind w:firstLine="470"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3.不同的投标人的投标文件载明的项目管理员为同一个人；</w:t>
      </w:r>
    </w:p>
    <w:p w14:paraId="1BEF5941">
      <w:pPr>
        <w:spacing w:line="440" w:lineRule="exact"/>
        <w:ind w:firstLine="470"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4.不同投标人的投标文件异常一致或者投标报价呈规律性差异；</w:t>
      </w:r>
    </w:p>
    <w:p w14:paraId="2A405338">
      <w:pPr>
        <w:spacing w:line="440" w:lineRule="exact"/>
        <w:ind w:firstLine="470"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5.不同投标人的投标文件相互混装；</w:t>
      </w:r>
    </w:p>
    <w:p w14:paraId="09CC968F">
      <w:pPr>
        <w:spacing w:line="440" w:lineRule="exact"/>
        <w:ind w:firstLine="470"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6.不同投标人的投标保证金从同一单位或者个人账户转出。</w:t>
      </w:r>
    </w:p>
    <w:p w14:paraId="5B0520CF">
      <w:pPr>
        <w:spacing w:line="440" w:lineRule="exact"/>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二、我方承诺无下列恶意串通的情形：</w:t>
      </w:r>
    </w:p>
    <w:p w14:paraId="0F2A8B2C">
      <w:pPr>
        <w:spacing w:line="440" w:lineRule="exact"/>
        <w:ind w:firstLine="470"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1.投标人直接或者间接从采购人或者采购代理机构处获得其他投标人的相关信息并修改其投标文件或者响应文件；</w:t>
      </w:r>
    </w:p>
    <w:p w14:paraId="4A0CA126">
      <w:pPr>
        <w:spacing w:line="440" w:lineRule="exact"/>
        <w:ind w:firstLine="470"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2.投标人按照采购人或者采购代理机构的授意撤换、修改投标文件或者响应文件；</w:t>
      </w:r>
    </w:p>
    <w:p w14:paraId="40F18C26">
      <w:pPr>
        <w:spacing w:line="440" w:lineRule="exact"/>
        <w:ind w:firstLine="470"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3.投标人直接或者间接从采购人或者采购代理机构处获得评标委员会成员信息；</w:t>
      </w:r>
    </w:p>
    <w:p w14:paraId="6208C765">
      <w:pPr>
        <w:spacing w:line="440" w:lineRule="exact"/>
        <w:ind w:firstLine="470"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4.投标人之间协商报价、技术方案等投标文件或者响应文件的实质性内容；</w:t>
      </w:r>
    </w:p>
    <w:p w14:paraId="1E7F57CE">
      <w:pPr>
        <w:spacing w:line="440" w:lineRule="exact"/>
        <w:ind w:firstLine="470"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5.属于同一集团、协会、商会等组织成员的投标人按照该组织要求协同参加政府采购活动；</w:t>
      </w:r>
    </w:p>
    <w:p w14:paraId="4DC6D98D">
      <w:pPr>
        <w:spacing w:line="440" w:lineRule="exact"/>
        <w:ind w:firstLine="470"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6.投标人之间事先约定一致抬高或者压低投标报价，或者在招标项目中事先约定轮流以高价位或者低价位中标，或者事先约定由某一特定投标人中标，然后再参加投标；</w:t>
      </w:r>
    </w:p>
    <w:p w14:paraId="46844266">
      <w:pPr>
        <w:spacing w:line="440" w:lineRule="exact"/>
        <w:ind w:firstLine="470"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7.投标人之间商定部分投标人放弃参加政府采购活动或者放弃中标；</w:t>
      </w:r>
    </w:p>
    <w:p w14:paraId="5E30D85F">
      <w:pPr>
        <w:spacing w:line="440" w:lineRule="exact"/>
        <w:ind w:firstLine="470"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8.投标人与采购人或者采购代理机构之间、投标人相互之间，为谋求特定投标人中标或者排斥其他投标人的其他串通行为。</w:t>
      </w:r>
    </w:p>
    <w:p w14:paraId="50E5EE84">
      <w:pPr>
        <w:spacing w:line="440" w:lineRule="exact"/>
        <w:ind w:firstLine="472" w:firstLineChars="196"/>
        <w:contextualSpacing/>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以上情形一经核查属实，我方愿意承担一切后果，并不再寻求任何旨在减轻或者免除法律责任的辩解。</w:t>
      </w:r>
    </w:p>
    <w:p w14:paraId="19C9F4AC">
      <w:pPr>
        <w:pStyle w:val="26"/>
        <w:spacing w:line="440" w:lineRule="exact"/>
        <w:ind w:firstLine="6840" w:firstLineChars="2850"/>
        <w:contextualSpacing/>
        <w:rPr>
          <w:rFonts w:hint="eastAsia" w:ascii="宋体" w:hAnsi="宋体" w:eastAsia="宋体" w:cs="宋体"/>
          <w:color w:val="000000" w:themeColor="text1"/>
          <w:sz w:val="24"/>
          <w:szCs w:val="24"/>
          <w:highlight w:val="none"/>
          <w14:textFill>
            <w14:solidFill>
              <w14:schemeClr w14:val="tx1"/>
            </w14:solidFill>
          </w14:textFill>
        </w:rPr>
      </w:pPr>
    </w:p>
    <w:p w14:paraId="3062B131">
      <w:pPr>
        <w:pStyle w:val="26"/>
        <w:spacing w:line="440" w:lineRule="exact"/>
        <w:contextualSpacing/>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投标人名称（电子签章）</w:t>
      </w:r>
    </w:p>
    <w:p w14:paraId="32910A89">
      <w:pPr>
        <w:pStyle w:val="26"/>
        <w:spacing w:line="440" w:lineRule="exact"/>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年月日</w:t>
      </w:r>
    </w:p>
    <w:p w14:paraId="505C4475">
      <w:pPr>
        <w:snapToGrid w:val="0"/>
        <w:spacing w:beforeLines="50" w:after="50"/>
        <w:jc w:val="left"/>
        <w:rPr>
          <w:rFonts w:hint="eastAsia" w:ascii="宋体" w:hAnsi="宋体" w:eastAsia="宋体" w:cs="宋体"/>
          <w:b/>
          <w:color w:val="000000" w:themeColor="text1"/>
          <w:sz w:val="24"/>
          <w:highlight w:val="none"/>
          <w14:textFill>
            <w14:solidFill>
              <w14:schemeClr w14:val="tx1"/>
            </w14:solidFill>
          </w14:textFill>
        </w:rPr>
      </w:pPr>
    </w:p>
    <w:p w14:paraId="517D4C2F">
      <w:pPr>
        <w:snapToGrid w:val="0"/>
        <w:spacing w:beforeLines="50" w:after="50"/>
        <w:jc w:val="left"/>
        <w:rPr>
          <w:rFonts w:hint="eastAsia" w:ascii="宋体" w:hAnsi="宋体" w:eastAsia="宋体" w:cs="宋体"/>
          <w:b/>
          <w:color w:val="000000" w:themeColor="text1"/>
          <w:sz w:val="24"/>
          <w:highlight w:val="none"/>
          <w14:textFill>
            <w14:solidFill>
              <w14:schemeClr w14:val="tx1"/>
            </w14:solidFill>
          </w14:textFill>
        </w:rPr>
      </w:pPr>
    </w:p>
    <w:p w14:paraId="77E7D2FB">
      <w:pPr>
        <w:snapToGrid w:val="0"/>
        <w:spacing w:beforeLines="50" w:after="50"/>
        <w:jc w:val="left"/>
        <w:rPr>
          <w:rFonts w:hint="eastAsia" w:ascii="宋体" w:hAnsi="宋体" w:eastAsia="宋体" w:cs="宋体"/>
          <w:b/>
          <w:color w:val="000000" w:themeColor="text1"/>
          <w:sz w:val="24"/>
          <w:highlight w:val="none"/>
          <w14:textFill>
            <w14:solidFill>
              <w14:schemeClr w14:val="tx1"/>
            </w14:solidFill>
          </w14:textFill>
        </w:rPr>
      </w:pPr>
    </w:p>
    <w:p w14:paraId="18EC3301">
      <w:pPr>
        <w:snapToGrid w:val="0"/>
        <w:spacing w:beforeLines="50" w:after="5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4.投标人廉洁承诺函</w:t>
      </w:r>
    </w:p>
    <w:p w14:paraId="66D91A70">
      <w:pPr>
        <w:snapToGrid w:val="0"/>
        <w:spacing w:beforeLines="50" w:after="50"/>
        <w:jc w:val="left"/>
        <w:rPr>
          <w:rFonts w:hint="eastAsia" w:ascii="宋体" w:hAnsi="宋体" w:eastAsia="宋体" w:cs="宋体"/>
          <w:b/>
          <w:color w:val="000000" w:themeColor="text1"/>
          <w:sz w:val="24"/>
          <w:highlight w:val="none"/>
          <w14:textFill>
            <w14:solidFill>
              <w14:schemeClr w14:val="tx1"/>
            </w14:solidFill>
          </w14:textFill>
        </w:rPr>
      </w:pPr>
    </w:p>
    <w:p w14:paraId="1A8C9D07">
      <w:pPr>
        <w:spacing w:line="360" w:lineRule="auto"/>
        <w:ind w:left="420"/>
        <w:contextualSpacing/>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Cs/>
          <w:color w:val="000000" w:themeColor="text1"/>
          <w:spacing w:val="-11"/>
          <w:sz w:val="44"/>
          <w:szCs w:val="44"/>
          <w:highlight w:val="none"/>
          <w14:textFill>
            <w14:solidFill>
              <w14:schemeClr w14:val="tx1"/>
            </w14:solidFill>
          </w14:textFill>
        </w:rPr>
        <w:t>投标人廉洁承诺函</w:t>
      </w:r>
    </w:p>
    <w:p w14:paraId="2BBC2257">
      <w:pPr>
        <w:spacing w:line="400" w:lineRule="exact"/>
        <w:contextualSpacing/>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广西壮族自治区林业局：</w:t>
      </w:r>
    </w:p>
    <w:p w14:paraId="1C88F88B">
      <w:pPr>
        <w:spacing w:line="400" w:lineRule="exact"/>
        <w:ind w:firstLine="470"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为了积极配合贵单位进行的</w:t>
      </w:r>
      <w:r>
        <w:rPr>
          <w:rFonts w:hint="eastAsia" w:ascii="宋体" w:hAnsi="宋体" w:eastAsia="宋体" w:cs="宋体"/>
          <w:color w:val="000000" w:themeColor="text1"/>
          <w:sz w:val="24"/>
          <w:highlight w:val="none"/>
          <w:u w:val="single"/>
          <w:lang w:eastAsia="zh-CN"/>
          <w14:textFill>
            <w14:solidFill>
              <w14:schemeClr w14:val="tx1"/>
            </w14:solidFill>
          </w14:textFill>
        </w:rPr>
        <w:t>2025年林业森林防火物资采购项目</w:t>
      </w:r>
      <w:r>
        <w:rPr>
          <w:rFonts w:hint="eastAsia" w:ascii="宋体" w:hAnsi="宋体" w:eastAsia="宋体" w:cs="宋体"/>
          <w:color w:val="000000" w:themeColor="text1"/>
          <w:sz w:val="24"/>
          <w:highlight w:val="none"/>
          <w14:textFill>
            <w14:solidFill>
              <w14:schemeClr w14:val="tx1"/>
            </w14:solidFill>
          </w14:textFill>
        </w:rPr>
        <w:t>项目招标工作，有效遏制不公平竞争和违规违纪行为的发生，确保招标工作的公平、公正、公开、有序进行，我们保证认真贯彻执行《中华人民共和国政府采购法》、《中华人民共和国政府采购法实施条例》等法律法规以及与廉洁有关的规章制度，特向贵单位承诺如下事项：</w:t>
      </w:r>
    </w:p>
    <w:p w14:paraId="14AB8422">
      <w:pPr>
        <w:spacing w:line="400" w:lineRule="exact"/>
        <w:ind w:firstLine="470"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一、自觉遵守国家有关法律法规及廉洁规定。</w:t>
      </w:r>
    </w:p>
    <w:p w14:paraId="6238B939">
      <w:pPr>
        <w:spacing w:line="400" w:lineRule="exact"/>
        <w:ind w:firstLine="470"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二、不与招标单位工作人员及代理机构工作人员串通投标，损害国家利益、企业利益以及他人的合法利益；不与其他投标人相互串通投标报价，不排挤其他投标人，不损害招标人或其他投标人的合法权益。</w:t>
      </w:r>
    </w:p>
    <w:p w14:paraId="53CDF8A0">
      <w:pPr>
        <w:spacing w:line="400" w:lineRule="exact"/>
        <w:ind w:firstLine="470"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三、不以任何名义为参与招标、评标工作的有关人员报销应由参与招标、评标工作的有关人员支付的任何费用。</w:t>
      </w:r>
    </w:p>
    <w:p w14:paraId="480D908E">
      <w:pPr>
        <w:spacing w:line="400" w:lineRule="exact"/>
        <w:ind w:firstLine="470"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不得借故到贵单位相关领导、部门负责人及相关工作人员家中访谈并提供任何好处费；不以任何名义向参与招标、评标工作的有关人员赠送回扣、红包、礼金、购物卡、有价证券、贵重物品和好处费、感谢费等。</w:t>
      </w:r>
    </w:p>
    <w:p w14:paraId="3D40E47D">
      <w:pPr>
        <w:spacing w:line="400" w:lineRule="exact"/>
        <w:ind w:firstLine="470"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五、不以任何名义向参与招标、评标工作的有关人员提供高消费宴请及娱乐活动。</w:t>
      </w:r>
    </w:p>
    <w:p w14:paraId="3E586560">
      <w:pPr>
        <w:spacing w:line="400" w:lineRule="exact"/>
        <w:ind w:firstLine="470"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六、不以谋取非正当利益为目的，擅自与参与招标、评标工作的有关人员就业务问题进行私下商谈或者达成利益默契。</w:t>
      </w:r>
    </w:p>
    <w:p w14:paraId="7BAF0119">
      <w:pPr>
        <w:spacing w:line="400" w:lineRule="exact"/>
        <w:ind w:firstLine="470"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七、不以任何名义接受或暗示为参与招标、评标工作的有关人员装修住房、</w:t>
      </w:r>
      <w:r>
        <w:rPr>
          <w:rFonts w:hint="eastAsia" w:ascii="宋体" w:hAnsi="宋体" w:cs="宋体"/>
          <w:color w:val="000000" w:themeColor="text1"/>
          <w:sz w:val="24"/>
          <w:highlight w:val="none"/>
          <w:lang w:eastAsia="zh-CN"/>
          <w14:textFill>
            <w14:solidFill>
              <w14:schemeClr w14:val="tx1"/>
            </w14:solidFill>
          </w14:textFill>
        </w:rPr>
        <w:t>婚丧嫁娶</w:t>
      </w:r>
      <w:r>
        <w:rPr>
          <w:rFonts w:hint="eastAsia" w:ascii="宋体" w:hAnsi="宋体" w:eastAsia="宋体" w:cs="宋体"/>
          <w:color w:val="000000" w:themeColor="text1"/>
          <w:sz w:val="24"/>
          <w:highlight w:val="none"/>
          <w14:textFill>
            <w14:solidFill>
              <w14:schemeClr w14:val="tx1"/>
            </w14:solidFill>
          </w14:textFill>
        </w:rPr>
        <w:t>、配偶子女的工作安排以及境内外旅游等提供方便。</w:t>
      </w:r>
    </w:p>
    <w:p w14:paraId="4E336FD1">
      <w:pPr>
        <w:spacing w:line="400" w:lineRule="exact"/>
        <w:ind w:firstLine="472"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以上情形一经核查属实，我方愿意承担一切后果，并不再寻求任何旨在减轻或者免除法律责任的辩解</w:t>
      </w:r>
      <w:r>
        <w:rPr>
          <w:rFonts w:hint="eastAsia" w:ascii="宋体" w:hAnsi="宋体" w:eastAsia="宋体" w:cs="宋体"/>
          <w:color w:val="000000" w:themeColor="text1"/>
          <w:sz w:val="24"/>
          <w:highlight w:val="none"/>
          <w14:textFill>
            <w14:solidFill>
              <w14:schemeClr w14:val="tx1"/>
            </w14:solidFill>
          </w14:textFill>
        </w:rPr>
        <w:t>。如违反以上承诺，我单位自愿接受广西壮族自治区林业局依据有关规定对我单位进行严肃处理（包括但不限于实施市场禁入、取消投、中标资格以及终止合同等），给贵单位造成损失的，予以赔偿。我单位的委托人、代理人或与我单位有销售、劳务或服务关系的其他主体在参加贵公司系统的招投标活动或经济往来等过程中发生行贿行为的，视同我单位行为。</w:t>
      </w:r>
    </w:p>
    <w:p w14:paraId="397B00C4">
      <w:pPr>
        <w:spacing w:line="400" w:lineRule="exact"/>
        <w:ind w:firstLine="470" w:firstLineChars="196"/>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本廉洁承诺书为我单位应答此次采购项目正式文件的附件，与其他投标文件具有同等法律效力，经我单位法定代表人或其授权委托人签字盖章后立即生效。</w:t>
      </w:r>
    </w:p>
    <w:p w14:paraId="633B84F0">
      <w:pPr>
        <w:pStyle w:val="26"/>
        <w:spacing w:line="440" w:lineRule="exact"/>
        <w:contextualSpacing/>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投标人名称：（电子签章）</w:t>
      </w:r>
    </w:p>
    <w:p w14:paraId="559B05EB">
      <w:pPr>
        <w:pStyle w:val="26"/>
        <w:spacing w:line="440" w:lineRule="exact"/>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法定代表人或其授权委托人（签章）：</w:t>
      </w:r>
    </w:p>
    <w:p w14:paraId="7A66460D">
      <w:pPr>
        <w:pStyle w:val="26"/>
        <w:spacing w:line="440" w:lineRule="exact"/>
        <w:contextualSpacing/>
        <w:jc w:val="righ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年月日</w:t>
      </w:r>
    </w:p>
    <w:p w14:paraId="3284C008">
      <w:pP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p>
    <w:p w14:paraId="48B97EF6">
      <w:pPr>
        <w:snapToGrid w:val="0"/>
        <w:spacing w:beforeLines="50" w:after="50"/>
        <w:jc w:val="left"/>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5.法定代表人身份证明</w:t>
      </w:r>
    </w:p>
    <w:p w14:paraId="4492B6C1">
      <w:pPr>
        <w:spacing w:beforeLines="100" w:afterLines="50"/>
        <w:ind w:left="540"/>
        <w:jc w:val="center"/>
        <w:rPr>
          <w:rFonts w:hint="eastAsia" w:ascii="宋体" w:hAnsi="宋体" w:eastAsia="宋体" w:cs="宋体"/>
          <w:bCs/>
          <w:color w:val="000000" w:themeColor="text1"/>
          <w:sz w:val="44"/>
          <w:szCs w:val="44"/>
          <w:highlight w:val="none"/>
          <w14:textFill>
            <w14:solidFill>
              <w14:schemeClr w14:val="tx1"/>
            </w14:solidFill>
          </w14:textFill>
        </w:rPr>
      </w:pPr>
    </w:p>
    <w:p w14:paraId="1AF8F0BE">
      <w:pPr>
        <w:spacing w:beforeLines="100" w:afterLines="50"/>
        <w:ind w:left="540"/>
        <w:jc w:val="center"/>
        <w:rPr>
          <w:rFonts w:hint="eastAsia" w:ascii="宋体" w:hAnsi="宋体" w:eastAsia="宋体" w:cs="宋体"/>
          <w:bCs/>
          <w:color w:val="000000" w:themeColor="text1"/>
          <w:sz w:val="44"/>
          <w:szCs w:val="44"/>
          <w:highlight w:val="none"/>
          <w14:textFill>
            <w14:solidFill>
              <w14:schemeClr w14:val="tx1"/>
            </w14:solidFill>
          </w14:textFill>
        </w:rPr>
      </w:pPr>
      <w:r>
        <w:rPr>
          <w:rFonts w:hint="eastAsia" w:ascii="宋体" w:hAnsi="宋体" w:eastAsia="宋体" w:cs="宋体"/>
          <w:bCs/>
          <w:color w:val="000000" w:themeColor="text1"/>
          <w:sz w:val="44"/>
          <w:szCs w:val="44"/>
          <w:highlight w:val="none"/>
          <w14:textFill>
            <w14:solidFill>
              <w14:schemeClr w14:val="tx1"/>
            </w14:solidFill>
          </w14:textFill>
        </w:rPr>
        <w:t>法定代表人身份证明</w:t>
      </w:r>
    </w:p>
    <w:p w14:paraId="4B518677">
      <w:pPr>
        <w:spacing w:line="500" w:lineRule="exact"/>
        <w:ind w:left="54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 标 人：</w:t>
      </w:r>
    </w:p>
    <w:p w14:paraId="6951C674">
      <w:pPr>
        <w:spacing w:line="500" w:lineRule="exact"/>
        <w:ind w:left="54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p>
    <w:p w14:paraId="268653A4">
      <w:pPr>
        <w:spacing w:line="500" w:lineRule="exact"/>
        <w:ind w:left="54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姓    名：性      别：</w:t>
      </w:r>
    </w:p>
    <w:p w14:paraId="4AEF1A9C">
      <w:pPr>
        <w:spacing w:line="500" w:lineRule="exact"/>
        <w:ind w:left="54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    龄：职      务：</w:t>
      </w:r>
    </w:p>
    <w:p w14:paraId="612DB928">
      <w:pPr>
        <w:spacing w:line="500" w:lineRule="exact"/>
        <w:ind w:left="54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身份证号码：</w:t>
      </w:r>
    </w:p>
    <w:p w14:paraId="004F9AE9">
      <w:pPr>
        <w:spacing w:line="500" w:lineRule="exact"/>
        <w:ind w:left="54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系</w:t>
      </w:r>
      <w:r>
        <w:rPr>
          <w:rFonts w:hint="eastAsia" w:ascii="宋体" w:hAnsi="宋体" w:eastAsia="宋体" w:cs="宋体"/>
          <w:color w:val="000000" w:themeColor="text1"/>
          <w:sz w:val="24"/>
          <w:highlight w:val="none"/>
          <w:u w:val="single"/>
          <w14:textFill>
            <w14:solidFill>
              <w14:schemeClr w14:val="tx1"/>
            </w14:solidFill>
          </w14:textFill>
        </w:rPr>
        <w:t xml:space="preserve">            （投标人名称）              </w:t>
      </w:r>
      <w:r>
        <w:rPr>
          <w:rFonts w:hint="eastAsia" w:ascii="宋体" w:hAnsi="宋体" w:eastAsia="宋体" w:cs="宋体"/>
          <w:color w:val="000000" w:themeColor="text1"/>
          <w:sz w:val="24"/>
          <w:highlight w:val="none"/>
          <w14:textFill>
            <w14:solidFill>
              <w14:schemeClr w14:val="tx1"/>
            </w14:solidFill>
          </w14:textFill>
        </w:rPr>
        <w:t>的法定代表人。</w:t>
      </w:r>
    </w:p>
    <w:p w14:paraId="31E04C5F">
      <w:pPr>
        <w:spacing w:line="500" w:lineRule="exact"/>
        <w:ind w:left="54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特此证明。</w:t>
      </w:r>
    </w:p>
    <w:p w14:paraId="0A6E1640">
      <w:pPr>
        <w:spacing w:line="500" w:lineRule="exact"/>
        <w:ind w:left="540"/>
        <w:rPr>
          <w:rFonts w:hint="eastAsia" w:ascii="宋体" w:hAnsi="宋体" w:eastAsia="宋体" w:cs="宋体"/>
          <w:color w:val="000000" w:themeColor="text1"/>
          <w:sz w:val="24"/>
          <w:highlight w:val="none"/>
          <w14:textFill>
            <w14:solidFill>
              <w14:schemeClr w14:val="tx1"/>
            </w14:solidFill>
          </w14:textFill>
        </w:rPr>
      </w:pPr>
    </w:p>
    <w:p w14:paraId="2CA37FED">
      <w:pPr>
        <w:spacing w:line="500" w:lineRule="exact"/>
        <w:ind w:left="540"/>
        <w:rPr>
          <w:rFonts w:hint="eastAsia" w:ascii="宋体" w:hAnsi="宋体" w:eastAsia="宋体" w:cs="宋体"/>
          <w:color w:val="000000" w:themeColor="text1"/>
          <w:sz w:val="24"/>
          <w:highlight w:val="none"/>
          <w14:textFill>
            <w14:solidFill>
              <w14:schemeClr w14:val="tx1"/>
            </w14:solidFill>
          </w14:textFill>
        </w:rPr>
      </w:pPr>
    </w:p>
    <w:p w14:paraId="00B7174D">
      <w:pPr>
        <w:spacing w:line="500" w:lineRule="exact"/>
        <w:ind w:left="54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附件：法定代表人有效身份证正反面复印件</w:t>
      </w:r>
    </w:p>
    <w:p w14:paraId="2C533897">
      <w:pPr>
        <w:spacing w:line="500" w:lineRule="exact"/>
        <w:ind w:left="540"/>
        <w:rPr>
          <w:rFonts w:hint="eastAsia" w:ascii="宋体" w:hAnsi="宋体" w:eastAsia="宋体" w:cs="宋体"/>
          <w:color w:val="000000" w:themeColor="text1"/>
          <w:sz w:val="24"/>
          <w:highlight w:val="none"/>
          <w14:textFill>
            <w14:solidFill>
              <w14:schemeClr w14:val="tx1"/>
            </w14:solidFill>
          </w14:textFill>
        </w:rPr>
      </w:pPr>
    </w:p>
    <w:p w14:paraId="654C292D">
      <w:pPr>
        <w:spacing w:line="500" w:lineRule="exact"/>
        <w:ind w:left="540"/>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投标人名称（电子签章）</w:t>
      </w:r>
    </w:p>
    <w:p w14:paraId="56BAFD43">
      <w:pPr>
        <w:spacing w:line="500" w:lineRule="exact"/>
        <w:ind w:left="540"/>
        <w:jc w:val="right"/>
        <w:rPr>
          <w:rFonts w:hint="eastAsia" w:ascii="宋体" w:hAnsi="宋体" w:eastAsia="宋体" w:cs="宋体"/>
          <w:color w:val="000000" w:themeColor="text1"/>
          <w:sz w:val="24"/>
          <w:highlight w:val="none"/>
          <w14:textFill>
            <w14:solidFill>
              <w14:schemeClr w14:val="tx1"/>
            </w14:solidFill>
          </w14:textFill>
        </w:rPr>
      </w:pPr>
    </w:p>
    <w:p w14:paraId="06B89268">
      <w:pPr>
        <w:snapToGrid w:val="0"/>
        <w:spacing w:beforeLines="50" w:after="50"/>
        <w:ind w:left="540"/>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年月日</w:t>
      </w:r>
    </w:p>
    <w:p w14:paraId="1AD335CB">
      <w:pPr>
        <w:snapToGrid w:val="0"/>
        <w:spacing w:beforeLines="50" w:after="50"/>
        <w:jc w:val="center"/>
        <w:rPr>
          <w:rFonts w:hint="eastAsia" w:ascii="宋体" w:hAnsi="宋体" w:eastAsia="宋体" w:cs="宋体"/>
          <w:b/>
          <w:color w:val="000000" w:themeColor="text1"/>
          <w:sz w:val="24"/>
          <w:highlight w:val="none"/>
          <w14:textFill>
            <w14:solidFill>
              <w14:schemeClr w14:val="tx1"/>
            </w14:solidFill>
          </w14:textFill>
        </w:rPr>
      </w:pPr>
    </w:p>
    <w:p w14:paraId="6D910E1E">
      <w:pPr>
        <w:snapToGrid w:val="0"/>
        <w:spacing w:beforeLines="50" w:after="50"/>
        <w:jc w:val="left"/>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注：自然人投标的无需提供</w:t>
      </w:r>
    </w:p>
    <w:p w14:paraId="1A10D8B5">
      <w:pPr>
        <w:snapToGrid w:val="0"/>
        <w:spacing w:beforeLines="50" w:after="50"/>
        <w:jc w:val="left"/>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24"/>
          <w:highlight w:val="none"/>
          <w14:textFill>
            <w14:solidFill>
              <w14:schemeClr w14:val="tx1"/>
            </w14:solidFill>
          </w14:textFill>
        </w:rPr>
        <w:t>6.授权委托书格式</w:t>
      </w:r>
    </w:p>
    <w:p w14:paraId="40716EFD">
      <w:pPr>
        <w:snapToGrid w:val="0"/>
        <w:spacing w:beforeLines="50" w:after="50"/>
        <w:jc w:val="center"/>
        <w:rPr>
          <w:rFonts w:hint="eastAsia" w:ascii="宋体" w:hAnsi="宋体" w:eastAsia="宋体" w:cs="宋体"/>
          <w:b/>
          <w:color w:val="000000" w:themeColor="text1"/>
          <w:sz w:val="44"/>
          <w:szCs w:val="44"/>
          <w:highlight w:val="none"/>
          <w14:textFill>
            <w14:solidFill>
              <w14:schemeClr w14:val="tx1"/>
            </w14:solidFill>
          </w14:textFill>
        </w:rPr>
      </w:pPr>
    </w:p>
    <w:p w14:paraId="146F6DFD">
      <w:pPr>
        <w:spacing w:line="360" w:lineRule="auto"/>
        <w:contextualSpacing/>
        <w:jc w:val="center"/>
        <w:rPr>
          <w:rFonts w:hint="eastAsia" w:ascii="宋体" w:hAnsi="宋体" w:eastAsia="宋体" w:cs="宋体"/>
          <w:bCs/>
          <w:color w:val="000000" w:themeColor="text1"/>
          <w:sz w:val="44"/>
          <w:szCs w:val="44"/>
          <w:highlight w:val="none"/>
          <w14:textFill>
            <w14:solidFill>
              <w14:schemeClr w14:val="tx1"/>
            </w14:solidFill>
          </w14:textFill>
        </w:rPr>
      </w:pPr>
      <w:r>
        <w:rPr>
          <w:rFonts w:hint="eastAsia" w:ascii="宋体" w:hAnsi="宋体" w:eastAsia="宋体" w:cs="宋体"/>
          <w:bCs/>
          <w:color w:val="000000" w:themeColor="text1"/>
          <w:sz w:val="44"/>
          <w:szCs w:val="44"/>
          <w:highlight w:val="none"/>
          <w14:textFill>
            <w14:solidFill>
              <w14:schemeClr w14:val="tx1"/>
            </w14:solidFill>
          </w14:textFill>
        </w:rPr>
        <w:t>授权委托书</w:t>
      </w:r>
    </w:p>
    <w:p w14:paraId="758C6DF8">
      <w:pPr>
        <w:spacing w:line="360" w:lineRule="auto"/>
        <w:contextualSpacing/>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（如有委托时）</w:t>
      </w:r>
    </w:p>
    <w:p w14:paraId="40FB6FBF">
      <w:pPr>
        <w:spacing w:line="440" w:lineRule="exact"/>
        <w:contextualSpacing/>
        <w:jc w:val="center"/>
        <w:rPr>
          <w:rFonts w:hint="eastAsia" w:ascii="宋体" w:hAnsi="宋体" w:eastAsia="宋体" w:cs="宋体"/>
          <w:b/>
          <w:color w:val="000000" w:themeColor="text1"/>
          <w:sz w:val="24"/>
          <w:highlight w:val="none"/>
          <w14:textFill>
            <w14:solidFill>
              <w14:schemeClr w14:val="tx1"/>
            </w14:solidFill>
          </w14:textFill>
        </w:rPr>
      </w:pPr>
    </w:p>
    <w:p w14:paraId="22A42821">
      <w:pPr>
        <w:spacing w:line="440" w:lineRule="exact"/>
        <w:contextualSpacing/>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致：</w:t>
      </w:r>
      <w:r>
        <w:rPr>
          <w:rFonts w:hint="eastAsia" w:ascii="宋体" w:hAnsi="宋体" w:eastAsia="宋体" w:cs="宋体"/>
          <w:color w:val="000000" w:themeColor="text1"/>
          <w:sz w:val="24"/>
          <w:highlight w:val="none"/>
          <w:u w:val="single"/>
          <w14:textFill>
            <w14:solidFill>
              <w14:schemeClr w14:val="tx1"/>
            </w14:solidFill>
          </w14:textFill>
        </w:rPr>
        <w:t>采购人名称</w:t>
      </w:r>
      <w:r>
        <w:rPr>
          <w:rFonts w:hint="eastAsia" w:ascii="宋体" w:hAnsi="宋体" w:eastAsia="宋体" w:cs="宋体"/>
          <w:color w:val="000000" w:themeColor="text1"/>
          <w:sz w:val="24"/>
          <w:highlight w:val="none"/>
          <w14:textFill>
            <w14:solidFill>
              <w14:schemeClr w14:val="tx1"/>
            </w14:solidFill>
          </w14:textFill>
        </w:rPr>
        <w:t>：</w:t>
      </w:r>
    </w:p>
    <w:p w14:paraId="6623CF39">
      <w:pPr>
        <w:spacing w:line="440" w:lineRule="exact"/>
        <w:ind w:firstLine="566" w:firstLineChars="236"/>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我（姓名）系（投标人名称）的法定代表人，现授权委托</w:t>
      </w:r>
      <w:r>
        <w:rPr>
          <w:rFonts w:hint="eastAsia" w:ascii="宋体" w:hAnsi="宋体" w:eastAsia="宋体" w:cs="宋体"/>
          <w:color w:val="000000" w:themeColor="text1"/>
          <w:sz w:val="24"/>
          <w:highlight w:val="none"/>
          <w:u w:val="single"/>
          <w14:textFill>
            <w14:solidFill>
              <w14:schemeClr w14:val="tx1"/>
            </w14:solidFill>
          </w14:textFill>
        </w:rPr>
        <w:t xml:space="preserve">       （姓名）</w:t>
      </w:r>
      <w:r>
        <w:rPr>
          <w:rFonts w:hint="eastAsia" w:ascii="宋体" w:hAnsi="宋体" w:eastAsia="宋体" w:cs="宋体"/>
          <w:color w:val="000000" w:themeColor="text1"/>
          <w:sz w:val="24"/>
          <w:highlight w:val="none"/>
          <w14:textFill>
            <w14:solidFill>
              <w14:schemeClr w14:val="tx1"/>
            </w14:solidFill>
          </w14:textFill>
        </w:rPr>
        <w:t>以我方的名义参加</w:t>
      </w:r>
      <w:r>
        <w:rPr>
          <w:rFonts w:hint="eastAsia" w:ascii="宋体" w:hAnsi="宋体" w:cs="宋体"/>
          <w:color w:val="000000" w:themeColor="text1"/>
          <w:sz w:val="24"/>
          <w:highlight w:val="none"/>
          <w:u w:val="single"/>
          <w:lang w:val="en-US" w:eastAsia="zh-CN"/>
          <w14:textFill>
            <w14:solidFill>
              <w14:schemeClr w14:val="tx1"/>
            </w14:solidFill>
          </w14:textFill>
        </w:rPr>
        <w:t xml:space="preserve">   （项目名称、编号、分标）    </w:t>
      </w:r>
      <w:r>
        <w:rPr>
          <w:rFonts w:hint="eastAsia" w:ascii="宋体" w:hAnsi="宋体" w:eastAsia="宋体" w:cs="宋体"/>
          <w:color w:val="000000" w:themeColor="text1"/>
          <w:sz w:val="24"/>
          <w:highlight w:val="none"/>
          <w14:textFill>
            <w14:solidFill>
              <w14:schemeClr w14:val="tx1"/>
            </w14:solidFill>
          </w14:textFill>
        </w:rPr>
        <w:t>项目的投标活动，并代表我方全权办理针对上述项目的所有采购程序和环节的具体事务和签署相关文件。</w:t>
      </w:r>
    </w:p>
    <w:p w14:paraId="0CA21B40">
      <w:pPr>
        <w:spacing w:line="440" w:lineRule="exact"/>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我方对委托代理人的签字事项负全部责任。</w:t>
      </w:r>
    </w:p>
    <w:p w14:paraId="560FCA7A">
      <w:pPr>
        <w:spacing w:line="440" w:lineRule="exact"/>
        <w:ind w:firstLine="48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286EA1BB">
      <w:pPr>
        <w:spacing w:line="440" w:lineRule="exact"/>
        <w:ind w:firstLine="48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委托代理人无转委托权，特此委托。</w:t>
      </w:r>
    </w:p>
    <w:p w14:paraId="6C22A985">
      <w:pPr>
        <w:spacing w:line="440" w:lineRule="exact"/>
        <w:ind w:firstLine="48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附：法定代表人身份证明及委托代理人有效身份证正反面复印件</w:t>
      </w:r>
    </w:p>
    <w:p w14:paraId="1684EEA7">
      <w:pPr>
        <w:spacing w:line="440" w:lineRule="exact"/>
        <w:contextualSpacing/>
        <w:rPr>
          <w:rFonts w:hint="eastAsia" w:ascii="宋体" w:hAnsi="宋体" w:eastAsia="宋体" w:cs="宋体"/>
          <w:color w:val="000000" w:themeColor="text1"/>
          <w:sz w:val="24"/>
          <w:highlight w:val="none"/>
          <w14:textFill>
            <w14:solidFill>
              <w14:schemeClr w14:val="tx1"/>
            </w14:solidFill>
          </w14:textFill>
        </w:rPr>
      </w:pPr>
    </w:p>
    <w:p w14:paraId="3FF31876">
      <w:pPr>
        <w:spacing w:line="440" w:lineRule="exact"/>
        <w:contextualSpacing/>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委托代理人（签字）：            法定代表人（签字或者盖章）：</w:t>
      </w:r>
    </w:p>
    <w:p w14:paraId="491ADCEF">
      <w:pPr>
        <w:spacing w:line="440" w:lineRule="exact"/>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委托代理人身份证号码：</w:t>
      </w:r>
    </w:p>
    <w:p w14:paraId="17ECB112">
      <w:pPr>
        <w:spacing w:line="440" w:lineRule="exact"/>
        <w:contextualSpacing/>
        <w:jc w:val="center"/>
        <w:rPr>
          <w:rFonts w:hint="eastAsia" w:ascii="宋体" w:hAnsi="宋体" w:eastAsia="宋体" w:cs="宋体"/>
          <w:color w:val="000000" w:themeColor="text1"/>
          <w:sz w:val="24"/>
          <w:highlight w:val="none"/>
          <w14:textFill>
            <w14:solidFill>
              <w14:schemeClr w14:val="tx1"/>
            </w14:solidFill>
          </w14:textFill>
        </w:rPr>
      </w:pPr>
    </w:p>
    <w:p w14:paraId="1DBE8BB9">
      <w:pPr>
        <w:spacing w:line="440" w:lineRule="exact"/>
        <w:contextualSpacing/>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投标人名称（电子签章）：</w:t>
      </w:r>
    </w:p>
    <w:p w14:paraId="54044C2D">
      <w:pPr>
        <w:spacing w:line="440" w:lineRule="exact"/>
        <w:contextualSpacing/>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年    月    日</w:t>
      </w:r>
    </w:p>
    <w:p w14:paraId="7A191B20">
      <w:pPr>
        <w:spacing w:line="440" w:lineRule="exact"/>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注：1.</w:t>
      </w:r>
      <w:bookmarkStart w:id="153" w:name="_Hlk65851555"/>
      <w:bookmarkStart w:id="154" w:name="_Hlk65851620"/>
      <w:r>
        <w:rPr>
          <w:rFonts w:hint="eastAsia" w:ascii="宋体" w:hAnsi="宋体" w:eastAsia="宋体" w:cs="宋体"/>
          <w:color w:val="000000" w:themeColor="text1"/>
          <w:sz w:val="24"/>
          <w:highlight w:val="none"/>
          <w14:textFill>
            <w14:solidFill>
              <w14:schemeClr w14:val="tx1"/>
            </w14:solidFill>
          </w14:textFill>
        </w:rPr>
        <w:t>法定代表人必须在授权委托书上亲笔签字或者盖章，</w:t>
      </w:r>
      <w:bookmarkEnd w:id="153"/>
      <w:r>
        <w:rPr>
          <w:rFonts w:hint="eastAsia" w:ascii="宋体" w:hAnsi="宋体" w:eastAsia="宋体" w:cs="宋体"/>
          <w:color w:val="000000" w:themeColor="text1"/>
          <w:sz w:val="24"/>
          <w:highlight w:val="none"/>
          <w14:textFill>
            <w14:solidFill>
              <w14:schemeClr w14:val="tx1"/>
            </w14:solidFill>
          </w14:textFill>
        </w:rPr>
        <w:t>委托代理人必须在授权委托书上亲笔签字，</w:t>
      </w:r>
      <w:r>
        <w:rPr>
          <w:rFonts w:hint="eastAsia" w:ascii="宋体" w:hAnsi="宋体" w:eastAsia="宋体" w:cs="宋体"/>
          <w:b/>
          <w:bCs/>
          <w:color w:val="000000" w:themeColor="text1"/>
          <w:sz w:val="24"/>
          <w:highlight w:val="none"/>
          <w14:textFill>
            <w14:solidFill>
              <w14:schemeClr w14:val="tx1"/>
            </w14:solidFill>
          </w14:textFill>
        </w:rPr>
        <w:t>否则按无效投标处理</w:t>
      </w:r>
      <w:r>
        <w:rPr>
          <w:rFonts w:hint="eastAsia" w:ascii="宋体" w:hAnsi="宋体" w:eastAsia="宋体" w:cs="宋体"/>
          <w:color w:val="000000" w:themeColor="text1"/>
          <w:sz w:val="24"/>
          <w:highlight w:val="none"/>
          <w14:textFill>
            <w14:solidFill>
              <w14:schemeClr w14:val="tx1"/>
            </w14:solidFill>
          </w14:textFill>
        </w:rPr>
        <w:t>；</w:t>
      </w:r>
      <w:bookmarkEnd w:id="154"/>
    </w:p>
    <w:p w14:paraId="1C680D15">
      <w:pPr>
        <w:spacing w:line="440" w:lineRule="exact"/>
        <w:ind w:firstLine="480" w:firstLineChars="200"/>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2.法人、其他组织投标时“我方”是指“我单位”，自然人投标时“我方”是指“本人”。</w:t>
      </w:r>
    </w:p>
    <w:p w14:paraId="387BD242">
      <w:pPr>
        <w:snapToGrid w:val="0"/>
        <w:spacing w:beforeLines="50" w:after="50"/>
        <w:ind w:firstLine="566" w:firstLineChars="236"/>
        <w:jc w:val="center"/>
        <w:rPr>
          <w:rFonts w:hint="eastAsia" w:ascii="宋体" w:hAnsi="宋体" w:eastAsia="宋体" w:cs="宋体"/>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r>
        <w:rPr>
          <w:rFonts w:hint="eastAsia" w:ascii="宋体" w:hAnsi="宋体" w:eastAsia="宋体" w:cs="宋体"/>
          <w:color w:val="000000" w:themeColor="text1"/>
          <w:sz w:val="44"/>
          <w:szCs w:val="44"/>
          <w:highlight w:val="none"/>
          <w14:textFill>
            <w14:solidFill>
              <w14:schemeClr w14:val="tx1"/>
            </w14:solidFill>
          </w14:textFill>
        </w:rPr>
        <w:t>授权委托书</w:t>
      </w:r>
    </w:p>
    <w:p w14:paraId="21F7578F">
      <w:pPr>
        <w:snapToGrid w:val="0"/>
        <w:spacing w:beforeLines="50" w:after="50"/>
        <w:ind w:firstLine="755" w:firstLineChars="236"/>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（联合体投标格式）</w:t>
      </w:r>
    </w:p>
    <w:p w14:paraId="7CA67147">
      <w:pPr>
        <w:snapToGrid w:val="0"/>
        <w:spacing w:beforeLines="50" w:after="50"/>
        <w:ind w:firstLine="755" w:firstLineChars="236"/>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（如有委托时）</w:t>
      </w:r>
    </w:p>
    <w:p w14:paraId="3A0A9932">
      <w:pPr>
        <w:spacing w:line="440" w:lineRule="exact"/>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致：</w:t>
      </w:r>
      <w:r>
        <w:rPr>
          <w:rFonts w:hint="eastAsia" w:ascii="宋体" w:hAnsi="宋体" w:eastAsia="宋体" w:cs="宋体"/>
          <w:color w:val="000000" w:themeColor="text1"/>
          <w:sz w:val="24"/>
          <w:highlight w:val="none"/>
          <w:u w:val="single"/>
          <w14:textFill>
            <w14:solidFill>
              <w14:schemeClr w14:val="tx1"/>
            </w14:solidFill>
          </w14:textFill>
        </w:rPr>
        <w:t>采购人名称</w:t>
      </w:r>
      <w:r>
        <w:rPr>
          <w:rFonts w:hint="eastAsia" w:ascii="宋体" w:hAnsi="宋体" w:eastAsia="宋体" w:cs="宋体"/>
          <w:color w:val="000000" w:themeColor="text1"/>
          <w:sz w:val="24"/>
          <w:highlight w:val="none"/>
          <w14:textFill>
            <w14:solidFill>
              <w14:schemeClr w14:val="tx1"/>
            </w14:solidFill>
          </w14:textFill>
        </w:rPr>
        <w:t>：</w:t>
      </w:r>
    </w:p>
    <w:p w14:paraId="704B1F20">
      <w:pPr>
        <w:spacing w:line="440" w:lineRule="exact"/>
        <w:ind w:firstLine="566" w:firstLineChars="236"/>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根据 </w:t>
      </w:r>
      <w:r>
        <w:rPr>
          <w:rFonts w:hint="eastAsia" w:ascii="宋体" w:hAnsi="宋体" w:eastAsia="宋体" w:cs="宋体"/>
          <w:color w:val="000000" w:themeColor="text1"/>
          <w:sz w:val="24"/>
          <w:highlight w:val="none"/>
          <w:u w:val="single"/>
          <w14:textFill>
            <w14:solidFill>
              <w14:schemeClr w14:val="tx1"/>
            </w14:solidFill>
          </w14:textFill>
        </w:rPr>
        <w:t xml:space="preserve"> （牵头人名称）</w:t>
      </w:r>
      <w:r>
        <w:rPr>
          <w:rFonts w:hint="eastAsia" w:ascii="宋体" w:hAnsi="宋体" w:eastAsia="宋体" w:cs="宋体"/>
          <w:color w:val="000000" w:themeColor="text1"/>
          <w:sz w:val="24"/>
          <w:highlight w:val="none"/>
          <w14:textFill>
            <w14:solidFill>
              <w14:schemeClr w14:val="tx1"/>
            </w14:solidFill>
          </w14:textFill>
        </w:rPr>
        <w:t>与</w:t>
      </w:r>
      <w:r>
        <w:rPr>
          <w:rFonts w:hint="eastAsia" w:ascii="宋体" w:hAnsi="宋体" w:eastAsia="宋体" w:cs="宋体"/>
          <w:color w:val="000000" w:themeColor="text1"/>
          <w:sz w:val="24"/>
          <w:highlight w:val="none"/>
          <w:u w:val="single"/>
          <w14:textFill>
            <w14:solidFill>
              <w14:schemeClr w14:val="tx1"/>
            </w14:solidFill>
          </w14:textFill>
        </w:rPr>
        <w:t>（联合体其他成员名称）</w:t>
      </w:r>
      <w:r>
        <w:rPr>
          <w:rFonts w:hint="eastAsia" w:ascii="宋体" w:hAnsi="宋体" w:eastAsia="宋体" w:cs="宋体"/>
          <w:color w:val="000000" w:themeColor="text1"/>
          <w:sz w:val="24"/>
          <w:highlight w:val="none"/>
          <w14:textFill>
            <w14:solidFill>
              <w14:schemeClr w14:val="tx1"/>
            </w14:solidFill>
          </w14:textFill>
        </w:rPr>
        <w:t>签订的《联合体投标协议书》的内容，</w:t>
      </w:r>
      <w:r>
        <w:rPr>
          <w:rFonts w:hint="eastAsia" w:ascii="宋体" w:hAnsi="宋体" w:eastAsia="宋体" w:cs="宋体"/>
          <w:color w:val="000000" w:themeColor="text1"/>
          <w:sz w:val="24"/>
          <w:highlight w:val="none"/>
          <w:u w:val="single"/>
          <w14:textFill>
            <w14:solidFill>
              <w14:schemeClr w14:val="tx1"/>
            </w14:solidFill>
          </w14:textFill>
        </w:rPr>
        <w:t>（牵头人名称）</w:t>
      </w:r>
      <w:r>
        <w:rPr>
          <w:rFonts w:hint="eastAsia" w:ascii="宋体" w:hAnsi="宋体" w:eastAsia="宋体" w:cs="宋体"/>
          <w:color w:val="000000" w:themeColor="text1"/>
          <w:sz w:val="24"/>
          <w:highlight w:val="none"/>
          <w14:textFill>
            <w14:solidFill>
              <w14:schemeClr w14:val="tx1"/>
            </w14:solidFill>
          </w14:textFill>
        </w:rPr>
        <w:t>的法定代表人</w:t>
      </w:r>
      <w:r>
        <w:rPr>
          <w:rFonts w:hint="eastAsia" w:ascii="宋体" w:hAnsi="宋体" w:eastAsia="宋体" w:cs="宋体"/>
          <w:color w:val="000000" w:themeColor="text1"/>
          <w:sz w:val="24"/>
          <w:highlight w:val="none"/>
          <w:u w:val="single"/>
          <w14:textFill>
            <w14:solidFill>
              <w14:schemeClr w14:val="tx1"/>
            </w14:solidFill>
          </w14:textFill>
        </w:rPr>
        <w:t>（姓名）</w:t>
      </w:r>
      <w:r>
        <w:rPr>
          <w:rFonts w:hint="eastAsia" w:ascii="宋体" w:hAnsi="宋体" w:eastAsia="宋体" w:cs="宋体"/>
          <w:color w:val="000000" w:themeColor="text1"/>
          <w:sz w:val="24"/>
          <w:highlight w:val="none"/>
          <w14:textFill>
            <w14:solidFill>
              <w14:schemeClr w14:val="tx1"/>
            </w14:solidFill>
          </w14:textFill>
        </w:rPr>
        <w:t>现授权委托</w:t>
      </w:r>
      <w:r>
        <w:rPr>
          <w:rFonts w:hint="eastAsia" w:ascii="宋体" w:hAnsi="宋体" w:eastAsia="宋体" w:cs="宋体"/>
          <w:color w:val="000000" w:themeColor="text1"/>
          <w:sz w:val="24"/>
          <w:highlight w:val="none"/>
          <w:u w:val="single"/>
          <w14:textFill>
            <w14:solidFill>
              <w14:schemeClr w14:val="tx1"/>
            </w14:solidFill>
          </w14:textFill>
        </w:rPr>
        <w:t xml:space="preserve">              （姓名）</w:t>
      </w:r>
      <w:r>
        <w:rPr>
          <w:rFonts w:hint="eastAsia" w:ascii="宋体" w:hAnsi="宋体" w:eastAsia="宋体" w:cs="宋体"/>
          <w:color w:val="000000" w:themeColor="text1"/>
          <w:sz w:val="24"/>
          <w:highlight w:val="none"/>
          <w14:textFill>
            <w14:solidFill>
              <w14:schemeClr w14:val="tx1"/>
            </w14:solidFill>
          </w14:textFill>
        </w:rPr>
        <w:t>以我方的名义参加</w:t>
      </w:r>
      <w:r>
        <w:rPr>
          <w:rFonts w:hint="eastAsia" w:ascii="宋体" w:hAnsi="宋体" w:cs="宋体"/>
          <w:color w:val="000000" w:themeColor="text1"/>
          <w:sz w:val="24"/>
          <w:highlight w:val="none"/>
          <w:u w:val="single"/>
          <w:lang w:val="en-US" w:eastAsia="zh-CN"/>
          <w14:textFill>
            <w14:solidFill>
              <w14:schemeClr w14:val="tx1"/>
            </w14:solidFill>
          </w14:textFill>
        </w:rPr>
        <w:t xml:space="preserve">   （项目名称、编号、分标）    </w:t>
      </w:r>
      <w:r>
        <w:rPr>
          <w:rFonts w:hint="eastAsia" w:ascii="宋体" w:hAnsi="宋体" w:eastAsia="宋体" w:cs="宋体"/>
          <w:color w:val="000000" w:themeColor="text1"/>
          <w:sz w:val="24"/>
          <w:highlight w:val="none"/>
          <w14:textFill>
            <w14:solidFill>
              <w14:schemeClr w14:val="tx1"/>
            </w14:solidFill>
          </w14:textFill>
        </w:rPr>
        <w:t>项目的投标活动，并代表我方全权办理针对上述项目的所有采购程序和环节的具体事务和签署相关文件。</w:t>
      </w:r>
    </w:p>
    <w:p w14:paraId="233E415C">
      <w:pPr>
        <w:spacing w:line="440" w:lineRule="exact"/>
        <w:ind w:firstLine="566" w:firstLineChars="236"/>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我方对委托代理人的签字事项负全部责任。</w:t>
      </w:r>
    </w:p>
    <w:p w14:paraId="17453AB1">
      <w:pPr>
        <w:spacing w:line="440" w:lineRule="exact"/>
        <w:ind w:firstLine="566" w:firstLineChars="236"/>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6AEFBC94">
      <w:pPr>
        <w:spacing w:line="440" w:lineRule="exact"/>
        <w:ind w:firstLine="566" w:firstLineChars="236"/>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委托代理人无转委托权，特此委托。</w:t>
      </w:r>
    </w:p>
    <w:p w14:paraId="60536AF3">
      <w:pPr>
        <w:spacing w:line="440" w:lineRule="exact"/>
        <w:ind w:firstLine="566" w:firstLineChars="236"/>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附：牵头人法定代表人身份证明及委托代理人有效身份证正反面复印件</w:t>
      </w:r>
    </w:p>
    <w:p w14:paraId="593621F8">
      <w:pPr>
        <w:spacing w:line="440" w:lineRule="exact"/>
        <w:ind w:firstLine="566" w:firstLineChars="236"/>
        <w:contextualSpacing/>
        <w:rPr>
          <w:rFonts w:hint="eastAsia" w:ascii="宋体" w:hAnsi="宋体" w:eastAsia="宋体" w:cs="宋体"/>
          <w:color w:val="000000" w:themeColor="text1"/>
          <w:sz w:val="24"/>
          <w:highlight w:val="none"/>
          <w14:textFill>
            <w14:solidFill>
              <w14:schemeClr w14:val="tx1"/>
            </w14:solidFill>
          </w14:textFill>
        </w:rPr>
      </w:pPr>
    </w:p>
    <w:p w14:paraId="0D3030ED">
      <w:pPr>
        <w:spacing w:line="440" w:lineRule="exact"/>
        <w:ind w:firstLine="566" w:firstLineChars="236"/>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牵头人法定代表人（签字或者盖章）：</w:t>
      </w:r>
    </w:p>
    <w:p w14:paraId="21161435">
      <w:pPr>
        <w:spacing w:line="440" w:lineRule="exact"/>
        <w:ind w:firstLine="566" w:firstLineChars="236"/>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牵头人（电子签章）：</w:t>
      </w:r>
    </w:p>
    <w:p w14:paraId="2BF2A712">
      <w:pPr>
        <w:spacing w:line="440" w:lineRule="exact"/>
        <w:ind w:firstLine="566" w:firstLineChars="236"/>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    年   月   日</w:t>
      </w:r>
    </w:p>
    <w:p w14:paraId="3F326CDD">
      <w:pPr>
        <w:spacing w:line="440" w:lineRule="exact"/>
        <w:ind w:firstLine="566" w:firstLineChars="236"/>
        <w:contextualSpacing/>
        <w:rPr>
          <w:rFonts w:hint="eastAsia" w:ascii="宋体" w:hAnsi="宋体" w:eastAsia="宋体" w:cs="宋体"/>
          <w:color w:val="000000" w:themeColor="text1"/>
          <w:sz w:val="24"/>
          <w:highlight w:val="none"/>
          <w14:textFill>
            <w14:solidFill>
              <w14:schemeClr w14:val="tx1"/>
            </w14:solidFill>
          </w14:textFill>
        </w:rPr>
      </w:pPr>
    </w:p>
    <w:p w14:paraId="29E59AD8">
      <w:pPr>
        <w:spacing w:line="440" w:lineRule="exact"/>
        <w:ind w:firstLine="566" w:firstLineChars="236"/>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被授权人（签字）：</w:t>
      </w:r>
    </w:p>
    <w:p w14:paraId="67A59DA6">
      <w:pPr>
        <w:spacing w:line="440" w:lineRule="exact"/>
        <w:ind w:firstLine="566" w:firstLineChars="236"/>
        <w:contextualSpacing/>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    年   月   日</w:t>
      </w:r>
    </w:p>
    <w:p w14:paraId="51A0E47B">
      <w:pPr>
        <w:spacing w:line="440" w:lineRule="exact"/>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注：1. 法定代表人必须在授权委托书上亲笔签字或者盖章，委托代理人必须在授权委托书上亲笔签字，</w:t>
      </w:r>
      <w:r>
        <w:rPr>
          <w:rFonts w:hint="eastAsia" w:ascii="宋体" w:hAnsi="宋体" w:eastAsia="宋体" w:cs="宋体"/>
          <w:b/>
          <w:bCs/>
          <w:color w:val="000000" w:themeColor="text1"/>
          <w:sz w:val="24"/>
          <w:highlight w:val="none"/>
          <w14:textFill>
            <w14:solidFill>
              <w14:schemeClr w14:val="tx1"/>
            </w14:solidFill>
          </w14:textFill>
        </w:rPr>
        <w:t>否则按无效投标处理</w:t>
      </w:r>
      <w:r>
        <w:rPr>
          <w:rFonts w:hint="eastAsia" w:ascii="宋体" w:hAnsi="宋体" w:eastAsia="宋体" w:cs="宋体"/>
          <w:color w:val="000000" w:themeColor="text1"/>
          <w:sz w:val="24"/>
          <w:highlight w:val="none"/>
          <w14:textFill>
            <w14:solidFill>
              <w14:schemeClr w14:val="tx1"/>
            </w14:solidFill>
          </w14:textFill>
        </w:rPr>
        <w:t>；</w:t>
      </w:r>
    </w:p>
    <w:p w14:paraId="1EB50481">
      <w:pPr>
        <w:spacing w:line="440" w:lineRule="exact"/>
        <w:ind w:firstLine="480" w:firstLineChars="200"/>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2.本授权委托书应由联合体牵头人的法定代表人按上述规定签字。</w:t>
      </w:r>
    </w:p>
    <w:p w14:paraId="07FEFF33">
      <w:pPr>
        <w:spacing w:line="440" w:lineRule="exact"/>
        <w:ind w:firstLine="480" w:firstLineChars="200"/>
        <w:contextualSpacing/>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3.法人、其他组织投标时“我方”是指“我单位”，自然人投标时“我方”是指“本人”。</w:t>
      </w:r>
    </w:p>
    <w:p w14:paraId="4A744140">
      <w:pPr>
        <w:snapToGrid w:val="0"/>
        <w:spacing w:before="50" w:afterLines="50"/>
        <w:ind w:firstLine="480" w:firstLineChars="200"/>
        <w:jc w:val="left"/>
        <w:rPr>
          <w:rFonts w:hint="eastAsia" w:ascii="宋体" w:hAnsi="宋体" w:eastAsia="宋体" w:cs="宋体"/>
          <w:color w:val="000000" w:themeColor="text1"/>
          <w:sz w:val="24"/>
          <w:highlight w:val="none"/>
          <w14:textFill>
            <w14:solidFill>
              <w14:schemeClr w14:val="tx1"/>
            </w14:solidFill>
          </w14:textFill>
        </w:rPr>
        <w:sectPr>
          <w:footerReference r:id="rId6" w:type="default"/>
          <w:pgSz w:w="11906" w:h="16838"/>
          <w:pgMar w:top="1361" w:right="1361" w:bottom="1361" w:left="1361" w:header="851" w:footer="567" w:gutter="0"/>
          <w:pgNumType w:fmt="decimal"/>
          <w:cols w:space="720" w:num="1"/>
          <w:rtlGutter w:val="0"/>
          <w:docGrid w:linePitch="312" w:charSpace="0"/>
        </w:sectPr>
      </w:pPr>
    </w:p>
    <w:p w14:paraId="2DD1D43E">
      <w:pPr>
        <w:rPr>
          <w:rFonts w:hint="eastAsia" w:ascii="宋体" w:hAnsi="宋体" w:eastAsia="宋体" w:cs="宋体"/>
          <w:color w:val="000000" w:themeColor="text1"/>
          <w:sz w:val="24"/>
          <w:highlight w:val="none"/>
          <w14:textFill>
            <w14:solidFill>
              <w14:schemeClr w14:val="tx1"/>
            </w14:solidFill>
          </w14:textFill>
        </w:rPr>
      </w:pPr>
    </w:p>
    <w:p w14:paraId="79F4D2D4">
      <w:pP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7.商务要求偏离表格式（注：按项目需求表具体项目修改）</w:t>
      </w:r>
    </w:p>
    <w:p w14:paraId="246939D8">
      <w:pPr>
        <w:snapToGrid w:val="0"/>
        <w:spacing w:before="50"/>
        <w:jc w:val="left"/>
        <w:rPr>
          <w:rFonts w:hint="eastAsia" w:ascii="宋体" w:hAnsi="宋体" w:eastAsia="宋体" w:cs="宋体"/>
          <w:color w:val="000000" w:themeColor="text1"/>
          <w:sz w:val="24"/>
          <w:highlight w:val="none"/>
          <w14:textFill>
            <w14:solidFill>
              <w14:schemeClr w14:val="tx1"/>
            </w14:solidFill>
          </w14:textFill>
        </w:rPr>
      </w:pPr>
    </w:p>
    <w:p w14:paraId="4197B7C5">
      <w:pPr>
        <w:pStyle w:val="2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所投分标：分标</w:t>
      </w:r>
    </w:p>
    <w:p w14:paraId="522CE992">
      <w:pPr>
        <w:snapToGrid w:val="0"/>
        <w:spacing w:before="50"/>
        <w:jc w:val="left"/>
        <w:rPr>
          <w:rFonts w:hint="eastAsia" w:ascii="宋体" w:hAnsi="宋体" w:eastAsia="宋体" w:cs="宋体"/>
          <w:color w:val="000000" w:themeColor="text1"/>
          <w:sz w:val="24"/>
          <w:highlight w:val="none"/>
          <w:u w:val="single"/>
          <w14:textFill>
            <w14:solidFill>
              <w14:schemeClr w14:val="tx1"/>
            </w14:solidFill>
          </w14:textFill>
        </w:rPr>
      </w:pPr>
    </w:p>
    <w:tbl>
      <w:tblPr>
        <w:tblStyle w:val="48"/>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2FAC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498C9E49">
            <w:pPr>
              <w:spacing w:line="3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735681F9">
            <w:pPr>
              <w:spacing w:line="3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3EE1F7FA">
            <w:pPr>
              <w:spacing w:line="3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23D7CC01">
            <w:pPr>
              <w:spacing w:line="3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偏离说明</w:t>
            </w:r>
          </w:p>
        </w:tc>
      </w:tr>
      <w:tr w14:paraId="28565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686EC2D6">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w:t>
            </w:r>
          </w:p>
        </w:tc>
        <w:tc>
          <w:tcPr>
            <w:tcW w:w="3926" w:type="dxa"/>
            <w:tcBorders>
              <w:top w:val="single" w:color="auto" w:sz="4" w:space="0"/>
              <w:left w:val="single" w:color="auto" w:sz="4" w:space="0"/>
              <w:bottom w:val="single" w:color="auto" w:sz="4" w:space="0"/>
              <w:right w:val="single" w:color="auto" w:sz="4" w:space="0"/>
            </w:tcBorders>
          </w:tcPr>
          <w:p w14:paraId="10C5A719">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  ……</w:t>
            </w:r>
          </w:p>
          <w:p w14:paraId="086F2983">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  ……</w:t>
            </w:r>
          </w:p>
          <w:p w14:paraId="4DAFBF5A">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  ……</w:t>
            </w:r>
          </w:p>
          <w:p w14:paraId="7925CD7D">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3589" w:type="dxa"/>
            <w:tcBorders>
              <w:top w:val="single" w:color="auto" w:sz="4" w:space="0"/>
              <w:left w:val="single" w:color="auto" w:sz="4" w:space="0"/>
              <w:bottom w:val="single" w:color="auto" w:sz="4" w:space="0"/>
              <w:right w:val="single" w:color="auto" w:sz="4" w:space="0"/>
            </w:tcBorders>
          </w:tcPr>
          <w:p w14:paraId="46E391F8">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  ……</w:t>
            </w:r>
          </w:p>
          <w:p w14:paraId="3F3F74E6">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  ……</w:t>
            </w:r>
          </w:p>
          <w:p w14:paraId="4497BC00">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  ……</w:t>
            </w:r>
          </w:p>
          <w:p w14:paraId="1211F936">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1274" w:type="dxa"/>
            <w:tcBorders>
              <w:top w:val="single" w:color="auto" w:sz="4" w:space="0"/>
              <w:left w:val="single" w:color="auto" w:sz="4" w:space="0"/>
              <w:bottom w:val="single" w:color="auto" w:sz="4" w:space="0"/>
              <w:right w:val="single" w:color="auto" w:sz="4" w:space="0"/>
            </w:tcBorders>
          </w:tcPr>
          <w:p w14:paraId="1DF7808C">
            <w:pPr>
              <w:spacing w:line="300" w:lineRule="exact"/>
              <w:rPr>
                <w:rFonts w:hint="eastAsia" w:ascii="宋体" w:hAnsi="宋体" w:eastAsia="宋体" w:cs="宋体"/>
                <w:color w:val="000000" w:themeColor="text1"/>
                <w:szCs w:val="21"/>
                <w:highlight w:val="none"/>
                <w14:textFill>
                  <w14:solidFill>
                    <w14:schemeClr w14:val="tx1"/>
                  </w14:solidFill>
                </w14:textFill>
              </w:rPr>
            </w:pPr>
          </w:p>
        </w:tc>
      </w:tr>
      <w:tr w14:paraId="2073A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339FE03C">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w:t>
            </w:r>
          </w:p>
        </w:tc>
        <w:tc>
          <w:tcPr>
            <w:tcW w:w="3926" w:type="dxa"/>
            <w:tcBorders>
              <w:top w:val="single" w:color="auto" w:sz="4" w:space="0"/>
              <w:left w:val="single" w:color="auto" w:sz="4" w:space="0"/>
              <w:bottom w:val="single" w:color="auto" w:sz="4" w:space="0"/>
              <w:right w:val="single" w:color="auto" w:sz="4" w:space="0"/>
            </w:tcBorders>
          </w:tcPr>
          <w:p w14:paraId="388AE5D8">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  ……</w:t>
            </w:r>
          </w:p>
          <w:p w14:paraId="5E3A4FF4">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  ……</w:t>
            </w:r>
          </w:p>
          <w:p w14:paraId="5260022B">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  ……</w:t>
            </w:r>
          </w:p>
          <w:p w14:paraId="7E695E7C">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3589" w:type="dxa"/>
            <w:tcBorders>
              <w:top w:val="single" w:color="auto" w:sz="4" w:space="0"/>
              <w:left w:val="single" w:color="auto" w:sz="4" w:space="0"/>
              <w:bottom w:val="single" w:color="auto" w:sz="4" w:space="0"/>
              <w:right w:val="single" w:color="auto" w:sz="4" w:space="0"/>
            </w:tcBorders>
          </w:tcPr>
          <w:p w14:paraId="6E297C7B">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  ……</w:t>
            </w:r>
          </w:p>
          <w:p w14:paraId="151BA6AF">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  ……</w:t>
            </w:r>
          </w:p>
          <w:p w14:paraId="5AAFA34B">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  ……</w:t>
            </w:r>
          </w:p>
          <w:p w14:paraId="4B907CA3">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1274" w:type="dxa"/>
            <w:tcBorders>
              <w:top w:val="single" w:color="auto" w:sz="4" w:space="0"/>
              <w:left w:val="single" w:color="auto" w:sz="4" w:space="0"/>
              <w:bottom w:val="single" w:color="auto" w:sz="4" w:space="0"/>
              <w:right w:val="single" w:color="auto" w:sz="4" w:space="0"/>
            </w:tcBorders>
          </w:tcPr>
          <w:p w14:paraId="5F8BB796">
            <w:pPr>
              <w:spacing w:line="300" w:lineRule="exact"/>
              <w:rPr>
                <w:rFonts w:hint="eastAsia" w:ascii="宋体" w:hAnsi="宋体" w:eastAsia="宋体" w:cs="宋体"/>
                <w:color w:val="000000" w:themeColor="text1"/>
                <w:szCs w:val="21"/>
                <w:highlight w:val="none"/>
                <w14:textFill>
                  <w14:solidFill>
                    <w14:schemeClr w14:val="tx1"/>
                  </w14:solidFill>
                </w14:textFill>
              </w:rPr>
            </w:pPr>
          </w:p>
        </w:tc>
      </w:tr>
      <w:tr w14:paraId="429FD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406F54C3">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3926" w:type="dxa"/>
            <w:tcBorders>
              <w:top w:val="single" w:color="auto" w:sz="4" w:space="0"/>
              <w:left w:val="single" w:color="auto" w:sz="4" w:space="0"/>
              <w:bottom w:val="single" w:color="auto" w:sz="4" w:space="0"/>
              <w:right w:val="single" w:color="auto" w:sz="4" w:space="0"/>
            </w:tcBorders>
          </w:tcPr>
          <w:p w14:paraId="3001F6D3">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  ……</w:t>
            </w:r>
          </w:p>
          <w:p w14:paraId="2DD3219D">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  ……</w:t>
            </w:r>
          </w:p>
          <w:p w14:paraId="03713C06">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  ……</w:t>
            </w:r>
          </w:p>
          <w:p w14:paraId="0672509C">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3589" w:type="dxa"/>
            <w:tcBorders>
              <w:top w:val="single" w:color="auto" w:sz="4" w:space="0"/>
              <w:left w:val="single" w:color="auto" w:sz="4" w:space="0"/>
              <w:bottom w:val="single" w:color="auto" w:sz="4" w:space="0"/>
              <w:right w:val="single" w:color="auto" w:sz="4" w:space="0"/>
            </w:tcBorders>
          </w:tcPr>
          <w:p w14:paraId="13CB2CB7">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  ……</w:t>
            </w:r>
          </w:p>
          <w:p w14:paraId="0052DA88">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  ……</w:t>
            </w:r>
          </w:p>
          <w:p w14:paraId="55789FF1">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  ……</w:t>
            </w:r>
          </w:p>
          <w:p w14:paraId="09C633F4">
            <w:pPr>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1274" w:type="dxa"/>
            <w:tcBorders>
              <w:top w:val="single" w:color="auto" w:sz="4" w:space="0"/>
              <w:left w:val="single" w:color="auto" w:sz="4" w:space="0"/>
              <w:bottom w:val="single" w:color="auto" w:sz="4" w:space="0"/>
              <w:right w:val="single" w:color="auto" w:sz="4" w:space="0"/>
            </w:tcBorders>
          </w:tcPr>
          <w:p w14:paraId="5631A24F">
            <w:pPr>
              <w:spacing w:line="300" w:lineRule="exact"/>
              <w:rPr>
                <w:rFonts w:hint="eastAsia" w:ascii="宋体" w:hAnsi="宋体" w:eastAsia="宋体" w:cs="宋体"/>
                <w:color w:val="000000" w:themeColor="text1"/>
                <w:szCs w:val="21"/>
                <w:highlight w:val="none"/>
                <w14:textFill>
                  <w14:solidFill>
                    <w14:schemeClr w14:val="tx1"/>
                  </w14:solidFill>
                </w14:textFill>
              </w:rPr>
            </w:pPr>
          </w:p>
        </w:tc>
      </w:tr>
    </w:tbl>
    <w:p w14:paraId="4D414B2E">
      <w:pPr>
        <w:snapToGrid w:val="0"/>
        <w:spacing w:before="50"/>
        <w:jc w:val="left"/>
        <w:rPr>
          <w:rFonts w:hint="eastAsia" w:ascii="宋体" w:hAnsi="宋体" w:eastAsia="宋体" w:cs="宋体"/>
          <w:color w:val="000000" w:themeColor="text1"/>
          <w:sz w:val="24"/>
          <w:highlight w:val="none"/>
          <w:u w:val="single"/>
          <w14:textFill>
            <w14:solidFill>
              <w14:schemeClr w14:val="tx1"/>
            </w14:solidFill>
          </w14:textFill>
        </w:rPr>
      </w:pPr>
    </w:p>
    <w:p w14:paraId="75E0A19B">
      <w:pPr>
        <w:pStyle w:val="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w:t>
      </w:r>
    </w:p>
    <w:p w14:paraId="43798440">
      <w:pPr>
        <w:pStyle w:val="21"/>
        <w:spacing w:line="520" w:lineRule="exact"/>
        <w:ind w:firstLine="0" w:firstLineChars="0"/>
        <w:rPr>
          <w:rFonts w:hint="eastAsia" w:ascii="宋体" w:hAnsi="宋体" w:eastAsia="宋体" w:cs="宋体"/>
          <w:color w:val="000000" w:themeColor="text1"/>
          <w:szCs w:val="32"/>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1.说明：应对照招标文件“第二章 采购需求”中的商务要求逐条作明确的投标响应，并作出偏离说明。</w:t>
      </w:r>
    </w:p>
    <w:p w14:paraId="4E20837F">
      <w:pPr>
        <w:pStyle w:val="20"/>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2.投标人应根据自身的承诺，对照招标文件要求在“偏离说明”中注明“</w:t>
      </w:r>
      <w:r>
        <w:rPr>
          <w:rFonts w:hint="eastAsia" w:ascii="宋体" w:hAnsi="宋体" w:eastAsia="宋体" w:cs="宋体"/>
          <w:color w:val="000000" w:themeColor="text1"/>
          <w:highlight w:val="none"/>
          <w14:textFill>
            <w14:solidFill>
              <w14:schemeClr w14:val="tx1"/>
            </w14:solidFill>
          </w14:textFill>
        </w:rPr>
        <w:t>正偏离</w:t>
      </w:r>
      <w:r>
        <w:rPr>
          <w:rFonts w:hint="eastAsia" w:ascii="宋体" w:hAnsi="宋体" w:eastAsia="宋体" w:cs="宋体"/>
          <w:b w:val="0"/>
          <w:bCs w:val="0"/>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负偏离</w:t>
      </w:r>
      <w:r>
        <w:rPr>
          <w:rFonts w:hint="eastAsia" w:ascii="宋体" w:hAnsi="宋体" w:eastAsia="宋体" w:cs="宋体"/>
          <w:b w:val="0"/>
          <w:bCs w:val="0"/>
          <w:color w:val="000000" w:themeColor="text1"/>
          <w:highlight w:val="none"/>
          <w14:textFill>
            <w14:solidFill>
              <w14:schemeClr w14:val="tx1"/>
            </w14:solidFill>
          </w14:textFill>
        </w:rPr>
        <w:t>”或者“</w:t>
      </w:r>
      <w:r>
        <w:rPr>
          <w:rFonts w:hint="eastAsia" w:ascii="宋体" w:hAnsi="宋体" w:eastAsia="宋体" w:cs="宋体"/>
          <w:color w:val="000000" w:themeColor="text1"/>
          <w:highlight w:val="none"/>
          <w14:textFill>
            <w14:solidFill>
              <w14:schemeClr w14:val="tx1"/>
            </w14:solidFill>
          </w14:textFill>
        </w:rPr>
        <w:t>无偏离</w:t>
      </w:r>
      <w:r>
        <w:rPr>
          <w:rFonts w:hint="eastAsia" w:ascii="宋体" w:hAnsi="宋体" w:eastAsia="宋体" w:cs="宋体"/>
          <w:b w:val="0"/>
          <w:bCs w:val="0"/>
          <w:color w:val="000000" w:themeColor="text1"/>
          <w:highlight w:val="none"/>
          <w14:textFill>
            <w14:solidFill>
              <w14:schemeClr w14:val="tx1"/>
            </w14:solidFill>
          </w14:textFill>
        </w:rPr>
        <w:t>”。既不属于“</w:t>
      </w:r>
      <w:r>
        <w:rPr>
          <w:rFonts w:hint="eastAsia" w:ascii="宋体" w:hAnsi="宋体" w:eastAsia="宋体" w:cs="宋体"/>
          <w:color w:val="000000" w:themeColor="text1"/>
          <w:highlight w:val="none"/>
          <w14:textFill>
            <w14:solidFill>
              <w14:schemeClr w14:val="tx1"/>
            </w14:solidFill>
          </w14:textFill>
        </w:rPr>
        <w:t>正偏离</w:t>
      </w:r>
      <w:r>
        <w:rPr>
          <w:rFonts w:hint="eastAsia" w:ascii="宋体" w:hAnsi="宋体" w:eastAsia="宋体" w:cs="宋体"/>
          <w:b w:val="0"/>
          <w:bCs w:val="0"/>
          <w:color w:val="000000" w:themeColor="text1"/>
          <w:highlight w:val="none"/>
          <w14:textFill>
            <w14:solidFill>
              <w14:schemeClr w14:val="tx1"/>
            </w14:solidFill>
          </w14:textFill>
        </w:rPr>
        <w:t>”也不属于“</w:t>
      </w:r>
      <w:r>
        <w:rPr>
          <w:rFonts w:hint="eastAsia" w:ascii="宋体" w:hAnsi="宋体" w:eastAsia="宋体" w:cs="宋体"/>
          <w:color w:val="000000" w:themeColor="text1"/>
          <w:highlight w:val="none"/>
          <w14:textFill>
            <w14:solidFill>
              <w14:schemeClr w14:val="tx1"/>
            </w14:solidFill>
          </w14:textFill>
        </w:rPr>
        <w:t>负偏离</w:t>
      </w:r>
      <w:r>
        <w:rPr>
          <w:rFonts w:hint="eastAsia" w:ascii="宋体" w:hAnsi="宋体" w:eastAsia="宋体" w:cs="宋体"/>
          <w:b w:val="0"/>
          <w:bCs w:val="0"/>
          <w:color w:val="000000" w:themeColor="text1"/>
          <w:highlight w:val="none"/>
          <w14:textFill>
            <w14:solidFill>
              <w14:schemeClr w14:val="tx1"/>
            </w14:solidFill>
          </w14:textFill>
        </w:rPr>
        <w:t>”即为“</w:t>
      </w:r>
      <w:r>
        <w:rPr>
          <w:rFonts w:hint="eastAsia" w:ascii="宋体" w:hAnsi="宋体" w:eastAsia="宋体" w:cs="宋体"/>
          <w:color w:val="000000" w:themeColor="text1"/>
          <w:highlight w:val="none"/>
          <w14:textFill>
            <w14:solidFill>
              <w14:schemeClr w14:val="tx1"/>
            </w14:solidFill>
          </w14:textFill>
        </w:rPr>
        <w:t>无偏离</w:t>
      </w:r>
      <w:r>
        <w:rPr>
          <w:rFonts w:hint="eastAsia" w:ascii="宋体" w:hAnsi="宋体" w:eastAsia="宋体" w:cs="宋体"/>
          <w:b w:val="0"/>
          <w:bCs w:val="0"/>
          <w:color w:val="000000" w:themeColor="text1"/>
          <w:highlight w:val="none"/>
          <w14:textFill>
            <w14:solidFill>
              <w14:schemeClr w14:val="tx1"/>
            </w14:solidFill>
          </w14:textFill>
        </w:rPr>
        <w:t>”。</w:t>
      </w:r>
    </w:p>
    <w:p w14:paraId="7C33FC3B">
      <w:pPr>
        <w:snapToGrid w:val="0"/>
        <w:spacing w:before="50" w:after="50"/>
        <w:rPr>
          <w:rFonts w:hint="eastAsia" w:ascii="宋体" w:hAnsi="宋体" w:eastAsia="宋体" w:cs="宋体"/>
          <w:color w:val="000000" w:themeColor="text1"/>
          <w:sz w:val="24"/>
          <w:highlight w:val="none"/>
          <w14:textFill>
            <w14:solidFill>
              <w14:schemeClr w14:val="tx1"/>
            </w14:solidFill>
          </w14:textFill>
        </w:rPr>
      </w:pPr>
    </w:p>
    <w:p w14:paraId="714480DD">
      <w:pPr>
        <w:snapToGrid w:val="0"/>
        <w:spacing w:before="50" w:after="50"/>
        <w:rPr>
          <w:rFonts w:hint="eastAsia" w:ascii="宋体" w:hAnsi="宋体" w:eastAsia="宋体" w:cs="宋体"/>
          <w:color w:val="000000" w:themeColor="text1"/>
          <w:sz w:val="24"/>
          <w:highlight w:val="none"/>
          <w14:textFill>
            <w14:solidFill>
              <w14:schemeClr w14:val="tx1"/>
            </w14:solidFill>
          </w14:textFill>
        </w:rPr>
      </w:pPr>
    </w:p>
    <w:p w14:paraId="5B8DF35D">
      <w:pPr>
        <w:snapToGrid w:val="0"/>
        <w:spacing w:before="50" w:after="50"/>
        <w:rPr>
          <w:rFonts w:hint="eastAsia"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法定代表人或者委托代理人</w:t>
      </w:r>
      <w:r>
        <w:rPr>
          <w:rFonts w:hint="eastAsia" w:ascii="宋体" w:hAnsi="宋体" w:eastAsia="宋体" w:cs="宋体"/>
          <w:color w:val="000000" w:themeColor="text1"/>
          <w:spacing w:val="20"/>
          <w:sz w:val="24"/>
          <w:highlight w:val="none"/>
          <w14:textFill>
            <w14:solidFill>
              <w14:schemeClr w14:val="tx1"/>
            </w14:solidFill>
          </w14:textFill>
        </w:rPr>
        <w:t>（签字）：</w:t>
      </w:r>
    </w:p>
    <w:p w14:paraId="0B2085DF">
      <w:pPr>
        <w:snapToGrid w:val="0"/>
        <w:spacing w:beforeLines="50"/>
        <w:rPr>
          <w:rFonts w:hint="eastAsia"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投标人名称（电子签章）：</w:t>
      </w:r>
    </w:p>
    <w:p w14:paraId="039EF5CA">
      <w:pPr>
        <w:snapToGrid w:val="0"/>
        <w:spacing w:beforeLines="50"/>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日  期：</w:t>
      </w:r>
    </w:p>
    <w:p w14:paraId="7CC3FCF9">
      <w:pPr>
        <w:snapToGrid w:val="0"/>
        <w:spacing w:beforeLines="50"/>
        <w:rPr>
          <w:rFonts w:hint="eastAsia" w:ascii="宋体" w:hAnsi="宋体" w:eastAsia="宋体" w:cs="宋体"/>
          <w:color w:val="000000" w:themeColor="text1"/>
          <w:sz w:val="24"/>
          <w:szCs w:val="20"/>
          <w:highlight w:val="none"/>
          <w14:textFill>
            <w14:solidFill>
              <w14:schemeClr w14:val="tx1"/>
            </w14:solidFill>
          </w14:textFill>
        </w:rPr>
      </w:pPr>
    </w:p>
    <w:p w14:paraId="0AF2DC25">
      <w:pPr>
        <w:snapToGrid w:val="0"/>
        <w:spacing w:beforeLines="50" w:after="50"/>
        <w:jc w:val="left"/>
        <w:rPr>
          <w:rFonts w:hint="eastAsia" w:ascii="宋体" w:hAnsi="宋体" w:eastAsia="宋体" w:cs="宋体"/>
          <w:color w:val="000000" w:themeColor="text1"/>
          <w:sz w:val="24"/>
          <w:szCs w:val="20"/>
          <w:highlight w:val="none"/>
          <w14:textFill>
            <w14:solidFill>
              <w14:schemeClr w14:val="tx1"/>
            </w14:solidFill>
          </w14:textFill>
        </w:rPr>
      </w:pPr>
    </w:p>
    <w:p w14:paraId="0F3FF16A">
      <w:pPr>
        <w:snapToGrid w:val="0"/>
        <w:spacing w:beforeLines="50" w:after="5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br w:type="page"/>
      </w:r>
      <w:r>
        <w:rPr>
          <w:rFonts w:hint="eastAsia" w:ascii="宋体" w:hAnsi="宋体" w:eastAsia="宋体" w:cs="宋体"/>
          <w:b/>
          <w:color w:val="000000" w:themeColor="text1"/>
          <w:sz w:val="24"/>
          <w:highlight w:val="none"/>
          <w14:textFill>
            <w14:solidFill>
              <w14:schemeClr w14:val="tx1"/>
            </w14:solidFill>
          </w14:textFill>
        </w:rPr>
        <w:t>8.投标人业绩证明材料</w:t>
      </w:r>
    </w:p>
    <w:p w14:paraId="7209753D">
      <w:pPr>
        <w:pStyle w:val="36"/>
        <w:snapToGrid w:val="0"/>
        <w:ind w:left="480" w:hanging="480"/>
        <w:rPr>
          <w:rFonts w:hint="eastAsia" w:ascii="宋体" w:hAnsi="宋体" w:eastAsia="宋体" w:cs="宋体"/>
          <w:color w:val="000000" w:themeColor="text1"/>
          <w:sz w:val="24"/>
          <w:highlight w:val="none"/>
          <w14:textFill>
            <w14:solidFill>
              <w14:schemeClr w14:val="tx1"/>
            </w14:solidFill>
          </w14:textFill>
        </w:rPr>
      </w:pPr>
    </w:p>
    <w:p w14:paraId="72C83FA4">
      <w:pPr>
        <w:pStyle w:val="36"/>
        <w:snapToGrid w:val="0"/>
        <w:ind w:left="480" w:hanging="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投标人业绩情况一览表格式： </w:t>
      </w:r>
    </w:p>
    <w:tbl>
      <w:tblPr>
        <w:tblStyle w:val="4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50"/>
        <w:gridCol w:w="1951"/>
        <w:gridCol w:w="1951"/>
        <w:gridCol w:w="3148"/>
      </w:tblGrid>
      <w:tr w14:paraId="70D2C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250" w:type="pct"/>
            <w:vMerge w:val="restart"/>
            <w:tcBorders>
              <w:top w:val="single" w:color="auto" w:sz="4" w:space="0"/>
              <w:left w:val="single" w:color="auto" w:sz="4" w:space="0"/>
              <w:bottom w:val="single" w:color="auto" w:sz="4" w:space="0"/>
              <w:right w:val="single" w:color="auto" w:sz="4" w:space="0"/>
            </w:tcBorders>
            <w:vAlign w:val="center"/>
          </w:tcPr>
          <w:p w14:paraId="28E21974">
            <w:pPr>
              <w:snapToGrid w:val="0"/>
              <w:spacing w:line="2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4B421D7D">
            <w:pPr>
              <w:snapToGrid w:val="0"/>
              <w:spacing w:line="2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4F05D3EF">
            <w:pPr>
              <w:snapToGrid w:val="0"/>
              <w:spacing w:line="2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合同金额</w:t>
            </w:r>
          </w:p>
          <w:p w14:paraId="350BC4FC">
            <w:pPr>
              <w:snapToGrid w:val="0"/>
              <w:spacing w:line="2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14:paraId="3996F22D">
            <w:pPr>
              <w:snapToGrid w:val="0"/>
              <w:spacing w:line="2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采购人联系人及</w:t>
            </w:r>
          </w:p>
          <w:p w14:paraId="599E9F2F">
            <w:pPr>
              <w:snapToGrid w:val="0"/>
              <w:spacing w:line="2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p>
        </w:tc>
      </w:tr>
      <w:tr w14:paraId="46AB2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250" w:type="pct"/>
            <w:vMerge w:val="continue"/>
            <w:tcBorders>
              <w:top w:val="single" w:color="auto" w:sz="4" w:space="0"/>
              <w:left w:val="single" w:color="auto" w:sz="4" w:space="0"/>
              <w:bottom w:val="single" w:color="auto" w:sz="4" w:space="0"/>
              <w:right w:val="single" w:color="auto" w:sz="4" w:space="0"/>
            </w:tcBorders>
            <w:vAlign w:val="center"/>
          </w:tcPr>
          <w:p w14:paraId="4D759D18">
            <w:pPr>
              <w:jc w:val="left"/>
              <w:rPr>
                <w:rFonts w:hint="eastAsia" w:ascii="宋体" w:hAnsi="宋体" w:eastAsia="宋体" w:cs="宋体"/>
                <w:color w:val="000000" w:themeColor="text1"/>
                <w:sz w:val="24"/>
                <w:highlight w:val="none"/>
                <w14:textFill>
                  <w14:solidFill>
                    <w14:schemeClr w14:val="tx1"/>
                  </w14:solidFill>
                </w14:textFill>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356EBA35">
            <w:pPr>
              <w:jc w:val="left"/>
              <w:rPr>
                <w:rFonts w:hint="eastAsia" w:ascii="宋体" w:hAnsi="宋体" w:eastAsia="宋体" w:cs="宋体"/>
                <w:color w:val="000000" w:themeColor="text1"/>
                <w:sz w:val="24"/>
                <w:highlight w:val="none"/>
                <w14:textFill>
                  <w14:solidFill>
                    <w14:schemeClr w14:val="tx1"/>
                  </w14:solidFill>
                </w14:textFill>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1D39ABFA">
            <w:pPr>
              <w:jc w:val="left"/>
              <w:rPr>
                <w:rFonts w:hint="eastAsia" w:ascii="宋体" w:hAnsi="宋体" w:eastAsia="宋体" w:cs="宋体"/>
                <w:color w:val="000000" w:themeColor="text1"/>
                <w:sz w:val="24"/>
                <w:highlight w:val="none"/>
                <w14:textFill>
                  <w14:solidFill>
                    <w14:schemeClr w14:val="tx1"/>
                  </w14:solidFill>
                </w14:textFill>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14:paraId="5FD93517">
            <w:pPr>
              <w:jc w:val="left"/>
              <w:rPr>
                <w:rFonts w:hint="eastAsia" w:ascii="宋体" w:hAnsi="宋体" w:eastAsia="宋体" w:cs="宋体"/>
                <w:color w:val="000000" w:themeColor="text1"/>
                <w:sz w:val="24"/>
                <w:highlight w:val="none"/>
                <w14:textFill>
                  <w14:solidFill>
                    <w14:schemeClr w14:val="tx1"/>
                  </w14:solidFill>
                </w14:textFill>
              </w:rPr>
            </w:pPr>
          </w:p>
        </w:tc>
      </w:tr>
      <w:tr w14:paraId="6490D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250" w:type="pct"/>
            <w:tcBorders>
              <w:top w:val="single" w:color="auto" w:sz="4" w:space="0"/>
              <w:left w:val="single" w:color="auto" w:sz="4" w:space="0"/>
              <w:bottom w:val="single" w:color="auto" w:sz="4" w:space="0"/>
              <w:right w:val="single" w:color="auto" w:sz="4" w:space="0"/>
            </w:tcBorders>
          </w:tcPr>
          <w:p w14:paraId="320C1A69">
            <w:pPr>
              <w:snapToGrid w:val="0"/>
              <w:spacing w:line="240" w:lineRule="exact"/>
              <w:jc w:val="left"/>
              <w:rPr>
                <w:rFonts w:hint="eastAsia" w:ascii="宋体" w:hAnsi="宋体" w:eastAsia="宋体" w:cs="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13E65766">
            <w:pPr>
              <w:snapToGrid w:val="0"/>
              <w:spacing w:line="240" w:lineRule="exact"/>
              <w:jc w:val="left"/>
              <w:rPr>
                <w:rFonts w:hint="eastAsia" w:ascii="宋体" w:hAnsi="宋体" w:eastAsia="宋体" w:cs="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71723120">
            <w:pPr>
              <w:snapToGrid w:val="0"/>
              <w:spacing w:line="240" w:lineRule="exact"/>
              <w:jc w:val="left"/>
              <w:rPr>
                <w:rFonts w:hint="eastAsia" w:ascii="宋体" w:hAnsi="宋体" w:eastAsia="宋体" w:cs="宋体"/>
                <w:color w:val="000000" w:themeColor="text1"/>
                <w:sz w:val="24"/>
                <w:highlight w:val="none"/>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tcPr>
          <w:p w14:paraId="02E6F88A">
            <w:pPr>
              <w:snapToGrid w:val="0"/>
              <w:spacing w:line="240" w:lineRule="exact"/>
              <w:jc w:val="left"/>
              <w:rPr>
                <w:rFonts w:hint="eastAsia" w:ascii="宋体" w:hAnsi="宋体" w:eastAsia="宋体" w:cs="宋体"/>
                <w:color w:val="000000" w:themeColor="text1"/>
                <w:sz w:val="24"/>
                <w:highlight w:val="none"/>
                <w14:textFill>
                  <w14:solidFill>
                    <w14:schemeClr w14:val="tx1"/>
                  </w14:solidFill>
                </w14:textFill>
              </w:rPr>
            </w:pPr>
          </w:p>
        </w:tc>
      </w:tr>
      <w:tr w14:paraId="0136E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50" w:type="pct"/>
            <w:tcBorders>
              <w:top w:val="single" w:color="auto" w:sz="4" w:space="0"/>
              <w:left w:val="single" w:color="auto" w:sz="4" w:space="0"/>
              <w:bottom w:val="single" w:color="auto" w:sz="4" w:space="0"/>
              <w:right w:val="single" w:color="auto" w:sz="4" w:space="0"/>
            </w:tcBorders>
          </w:tcPr>
          <w:p w14:paraId="0A24C7B6">
            <w:pPr>
              <w:snapToGrid w:val="0"/>
              <w:spacing w:before="5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12FE190A">
            <w:pPr>
              <w:snapToGrid w:val="0"/>
              <w:spacing w:before="5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6CD74BFE">
            <w:pPr>
              <w:snapToGrid w:val="0"/>
              <w:spacing w:before="5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tcPr>
          <w:p w14:paraId="2C1B748C">
            <w:pPr>
              <w:snapToGrid w:val="0"/>
              <w:spacing w:before="5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r>
      <w:tr w14:paraId="0DD41A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250" w:type="pct"/>
            <w:tcBorders>
              <w:top w:val="single" w:color="auto" w:sz="4" w:space="0"/>
              <w:left w:val="single" w:color="auto" w:sz="4" w:space="0"/>
              <w:bottom w:val="single" w:color="auto" w:sz="4" w:space="0"/>
              <w:right w:val="single" w:color="auto" w:sz="4" w:space="0"/>
            </w:tcBorders>
          </w:tcPr>
          <w:p w14:paraId="4FA3F106">
            <w:pPr>
              <w:snapToGrid w:val="0"/>
              <w:spacing w:before="5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67C0FB8C">
            <w:pPr>
              <w:snapToGrid w:val="0"/>
              <w:spacing w:before="5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6A823338">
            <w:pPr>
              <w:snapToGrid w:val="0"/>
              <w:spacing w:before="5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tcPr>
          <w:p w14:paraId="776DDA40">
            <w:pPr>
              <w:snapToGrid w:val="0"/>
              <w:spacing w:before="5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r>
      <w:tr w14:paraId="62FEF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50" w:type="pct"/>
            <w:tcBorders>
              <w:top w:val="single" w:color="auto" w:sz="4" w:space="0"/>
              <w:left w:val="single" w:color="auto" w:sz="4" w:space="0"/>
              <w:bottom w:val="single" w:color="auto" w:sz="4" w:space="0"/>
              <w:right w:val="single" w:color="auto" w:sz="4" w:space="0"/>
            </w:tcBorders>
          </w:tcPr>
          <w:p w14:paraId="5D218655">
            <w:pPr>
              <w:snapToGrid w:val="0"/>
              <w:spacing w:before="5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00F5105C">
            <w:pPr>
              <w:snapToGrid w:val="0"/>
              <w:spacing w:before="5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4630995F">
            <w:pPr>
              <w:snapToGrid w:val="0"/>
              <w:spacing w:before="5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tcPr>
          <w:p w14:paraId="32A82390">
            <w:pPr>
              <w:snapToGrid w:val="0"/>
              <w:spacing w:before="5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r>
      <w:tr w14:paraId="79027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50" w:type="pct"/>
            <w:tcBorders>
              <w:top w:val="single" w:color="auto" w:sz="4" w:space="0"/>
              <w:left w:val="single" w:color="auto" w:sz="4" w:space="0"/>
              <w:bottom w:val="single" w:color="auto" w:sz="4" w:space="0"/>
              <w:right w:val="single" w:color="auto" w:sz="4" w:space="0"/>
            </w:tcBorders>
          </w:tcPr>
          <w:p w14:paraId="68F46FD6">
            <w:pPr>
              <w:snapToGrid w:val="0"/>
              <w:spacing w:before="5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4C7E6709">
            <w:pPr>
              <w:snapToGrid w:val="0"/>
              <w:spacing w:before="5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27C2DEB7">
            <w:pPr>
              <w:snapToGrid w:val="0"/>
              <w:spacing w:before="5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tcPr>
          <w:p w14:paraId="4364A442">
            <w:pPr>
              <w:snapToGrid w:val="0"/>
              <w:spacing w:before="50" w:afterLines="50" w:line="400" w:lineRule="exact"/>
              <w:jc w:val="left"/>
              <w:rPr>
                <w:rFonts w:hint="eastAsia" w:ascii="宋体" w:hAnsi="宋体" w:eastAsia="宋体" w:cs="宋体"/>
                <w:color w:val="000000" w:themeColor="text1"/>
                <w:sz w:val="24"/>
                <w:highlight w:val="none"/>
                <w14:textFill>
                  <w14:solidFill>
                    <w14:schemeClr w14:val="tx1"/>
                  </w14:solidFill>
                </w14:textFill>
              </w:rPr>
            </w:pPr>
          </w:p>
        </w:tc>
      </w:tr>
    </w:tbl>
    <w:p w14:paraId="304D5DA2">
      <w:pPr>
        <w:pStyle w:val="17"/>
        <w:spacing w:before="0" w:after="0" w:line="360" w:lineRule="auto"/>
        <w:contextualSpacing/>
        <w:rPr>
          <w:rFonts w:hint="eastAsia" w:ascii="宋体" w:hAnsi="宋体" w:eastAsia="宋体" w:cs="宋体"/>
          <w:color w:val="000000" w:themeColor="text1"/>
          <w:sz w:val="24"/>
          <w:szCs w:val="24"/>
          <w:highlight w:val="none"/>
          <w14:textFill>
            <w14:solidFill>
              <w14:schemeClr w14:val="tx1"/>
            </w14:solidFill>
          </w14:textFill>
        </w:rPr>
      </w:pPr>
    </w:p>
    <w:p w14:paraId="46FAC35E">
      <w:pPr>
        <w:pStyle w:val="17"/>
        <w:spacing w:before="0" w:after="0" w:line="360" w:lineRule="auto"/>
        <w:contextualSpacing/>
        <w:rPr>
          <w:rFonts w:hint="eastAsia" w:ascii="宋体" w:hAnsi="宋体" w:eastAsia="宋体" w:cs="宋体"/>
          <w:color w:val="000000" w:themeColor="text1"/>
          <w:sz w:val="24"/>
          <w:szCs w:val="24"/>
          <w:highlight w:val="none"/>
          <w14:textFill>
            <w14:solidFill>
              <w14:schemeClr w14:val="tx1"/>
            </w14:solidFill>
          </w14:textFill>
        </w:rPr>
      </w:pPr>
    </w:p>
    <w:p w14:paraId="5BA940E5">
      <w:pPr>
        <w:pStyle w:val="17"/>
        <w:spacing w:before="0" w:after="0" w:line="360" w:lineRule="auto"/>
        <w:contextualSpacing/>
        <w:rPr>
          <w:rFonts w:hint="eastAsia" w:ascii="宋体" w:hAnsi="宋体" w:eastAsia="宋体" w:cs="宋体"/>
          <w:color w:val="000000" w:themeColor="text1"/>
          <w:sz w:val="24"/>
          <w:szCs w:val="24"/>
          <w:highlight w:val="none"/>
          <w14:textFill>
            <w14:solidFill>
              <w14:schemeClr w14:val="tx1"/>
            </w14:solidFill>
          </w14:textFill>
        </w:rPr>
      </w:pPr>
    </w:p>
    <w:p w14:paraId="3A0E7238">
      <w:pPr>
        <w:pStyle w:val="17"/>
        <w:spacing w:before="0" w:after="0" w:line="360" w:lineRule="auto"/>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r>
        <w:rPr>
          <w:rFonts w:hint="eastAsia" w:ascii="宋体" w:hAnsi="宋体" w:eastAsia="宋体" w:cs="宋体"/>
          <w:color w:val="000000" w:themeColor="text1"/>
          <w:sz w:val="24"/>
          <w:highlight w:val="none"/>
          <w14:textFill>
            <w14:solidFill>
              <w14:schemeClr w14:val="tx1"/>
            </w14:solidFill>
          </w14:textFill>
        </w:rPr>
        <w:t>投标人根据评标标准具体要求附业绩证明材料。</w:t>
      </w:r>
    </w:p>
    <w:p w14:paraId="28172E6A">
      <w:pPr>
        <w:pStyle w:val="17"/>
        <w:spacing w:before="0" w:after="0" w:line="360" w:lineRule="auto"/>
        <w:contextualSpacing/>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法定代表人或者委托代理人（签字）：</w:t>
      </w:r>
      <w:r>
        <w:rPr>
          <w:rFonts w:hint="eastAsia" w:ascii="宋体" w:hAnsi="宋体" w:eastAsia="宋体" w:cs="宋体"/>
          <w:color w:val="000000" w:themeColor="text1"/>
          <w:sz w:val="24"/>
          <w:szCs w:val="24"/>
          <w:highlight w:val="none"/>
          <w:u w:val="single"/>
          <w14:textFill>
            <w14:solidFill>
              <w14:schemeClr w14:val="tx1"/>
            </w14:solidFill>
          </w14:textFill>
        </w:rPr>
        <w:t>　　　　　</w:t>
      </w:r>
    </w:p>
    <w:p w14:paraId="70AD4387">
      <w:pPr>
        <w:spacing w:line="360" w:lineRule="auto"/>
        <w:ind w:right="480"/>
        <w:contextualSpacing/>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投标人名称（电子签章）：                                                               年    月    日</w:t>
      </w:r>
    </w:p>
    <w:p w14:paraId="216EF94A">
      <w:pPr>
        <w:snapToGrid w:val="0"/>
        <w:spacing w:before="50"/>
        <w:ind w:firstLine="480" w:firstLineChars="200"/>
        <w:jc w:val="left"/>
        <w:rPr>
          <w:rFonts w:hint="eastAsia" w:ascii="宋体" w:hAnsi="宋体" w:eastAsia="宋体" w:cs="宋体"/>
          <w:color w:val="000000" w:themeColor="text1"/>
          <w:sz w:val="24"/>
          <w:szCs w:val="20"/>
          <w:highlight w:val="none"/>
          <w14:textFill>
            <w14:solidFill>
              <w14:schemeClr w14:val="tx1"/>
            </w14:solidFill>
          </w14:textFill>
        </w:rPr>
      </w:pPr>
    </w:p>
    <w:p w14:paraId="6B1F6A30">
      <w:pPr>
        <w:snapToGrid w:val="0"/>
        <w:spacing w:before="50"/>
        <w:jc w:val="left"/>
        <w:rPr>
          <w:rFonts w:hint="eastAsia" w:ascii="宋体" w:hAnsi="宋体" w:eastAsia="宋体" w:cs="宋体"/>
          <w:color w:val="000000" w:themeColor="text1"/>
          <w:sz w:val="24"/>
          <w:highlight w:val="none"/>
          <w14:textFill>
            <w14:solidFill>
              <w14:schemeClr w14:val="tx1"/>
            </w14:solidFill>
          </w14:textFill>
        </w:rPr>
      </w:pPr>
    </w:p>
    <w:p w14:paraId="53E06383">
      <w:pPr>
        <w:snapToGrid w:val="0"/>
        <w:spacing w:beforeLines="50"/>
        <w:rPr>
          <w:rFonts w:hint="eastAsia" w:ascii="宋体" w:hAnsi="宋体" w:eastAsia="宋体" w:cs="宋体"/>
          <w:color w:val="000000" w:themeColor="text1"/>
          <w:sz w:val="24"/>
          <w:szCs w:val="20"/>
          <w:highlight w:val="none"/>
          <w14:textFill>
            <w14:solidFill>
              <w14:schemeClr w14:val="tx1"/>
            </w14:solidFill>
          </w14:textFill>
        </w:rPr>
        <w:sectPr>
          <w:pgSz w:w="11906" w:h="16838"/>
          <w:pgMar w:top="1361" w:right="1361" w:bottom="1361" w:left="1361" w:header="851" w:footer="992" w:gutter="0"/>
          <w:pgNumType w:fmt="decimal"/>
          <w:cols w:space="720" w:num="1"/>
          <w:rtlGutter w:val="0"/>
          <w:docGrid w:linePitch="312" w:charSpace="0"/>
        </w:sectPr>
      </w:pPr>
    </w:p>
    <w:p w14:paraId="632AF31B">
      <w:pP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四、技术文件格式</w:t>
      </w:r>
    </w:p>
    <w:p w14:paraId="6FA69684">
      <w:pPr>
        <w:snapToGrid w:val="0"/>
        <w:spacing w:beforeLines="50" w:after="50"/>
        <w:ind w:left="142"/>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1. 技术文件封面格式： </w:t>
      </w:r>
    </w:p>
    <w:p w14:paraId="0C58C7CA">
      <w:pPr>
        <w:snapToGrid w:val="0"/>
        <w:spacing w:beforeLines="50" w:after="50"/>
        <w:rPr>
          <w:rFonts w:hint="eastAsia" w:ascii="宋体" w:hAnsi="宋体" w:eastAsia="宋体" w:cs="宋体"/>
          <w:b/>
          <w:bCs/>
          <w:color w:val="000000" w:themeColor="text1"/>
          <w:sz w:val="32"/>
          <w:szCs w:val="20"/>
          <w:highlight w:val="none"/>
          <w14:textFill>
            <w14:solidFill>
              <w14:schemeClr w14:val="tx1"/>
            </w14:solidFill>
          </w14:textFill>
        </w:rPr>
      </w:pPr>
    </w:p>
    <w:p w14:paraId="5654FA53">
      <w:pPr>
        <w:snapToGrid w:val="0"/>
        <w:spacing w:beforeLines="50" w:after="50"/>
        <w:rPr>
          <w:rFonts w:hint="eastAsia" w:ascii="宋体" w:hAnsi="宋体" w:eastAsia="宋体" w:cs="宋体"/>
          <w:color w:val="000000" w:themeColor="text1"/>
          <w:sz w:val="24"/>
          <w:szCs w:val="20"/>
          <w:highlight w:val="none"/>
          <w14:textFill>
            <w14:solidFill>
              <w14:schemeClr w14:val="tx1"/>
            </w14:solidFill>
          </w14:textFill>
        </w:rPr>
      </w:pPr>
    </w:p>
    <w:p w14:paraId="3D219D3C">
      <w:pPr>
        <w:snapToGrid w:val="0"/>
        <w:spacing w:beforeLines="50" w:after="50"/>
        <w:rPr>
          <w:rFonts w:hint="eastAsia" w:ascii="宋体" w:hAnsi="宋体" w:eastAsia="宋体" w:cs="宋体"/>
          <w:color w:val="000000" w:themeColor="text1"/>
          <w:sz w:val="24"/>
          <w:szCs w:val="20"/>
          <w:highlight w:val="none"/>
          <w14:textFill>
            <w14:solidFill>
              <w14:schemeClr w14:val="tx1"/>
            </w14:solidFill>
          </w14:textFill>
        </w:rPr>
      </w:pPr>
    </w:p>
    <w:p w14:paraId="59E8975C">
      <w:pPr>
        <w:snapToGrid w:val="0"/>
        <w:spacing w:beforeLines="50" w:after="50"/>
        <w:jc w:val="center"/>
        <w:rPr>
          <w:rFonts w:hint="eastAsia" w:ascii="宋体" w:hAnsi="宋体" w:eastAsia="宋体" w:cs="宋体"/>
          <w:color w:val="000000" w:themeColor="text1"/>
          <w:sz w:val="84"/>
          <w:szCs w:val="84"/>
          <w:highlight w:val="none"/>
          <w14:textFill>
            <w14:solidFill>
              <w14:schemeClr w14:val="tx1"/>
            </w14:solidFill>
          </w14:textFill>
        </w:rPr>
      </w:pPr>
      <w:r>
        <w:rPr>
          <w:rFonts w:hint="eastAsia" w:ascii="宋体" w:hAnsi="宋体" w:eastAsia="宋体" w:cs="宋体"/>
          <w:color w:val="000000" w:themeColor="text1"/>
          <w:sz w:val="84"/>
          <w:szCs w:val="84"/>
          <w:highlight w:val="none"/>
          <w14:textFill>
            <w14:solidFill>
              <w14:schemeClr w14:val="tx1"/>
            </w14:solidFill>
          </w14:textFill>
        </w:rPr>
        <w:t>投  标  文  件</w:t>
      </w:r>
    </w:p>
    <w:p w14:paraId="6F96FF7B">
      <w:pPr>
        <w:snapToGrid w:val="0"/>
        <w:spacing w:beforeLines="50" w:after="50"/>
        <w:rPr>
          <w:rFonts w:hint="eastAsia" w:ascii="宋体" w:hAnsi="宋体" w:eastAsia="宋体" w:cs="宋体"/>
          <w:color w:val="000000" w:themeColor="text1"/>
          <w:sz w:val="24"/>
          <w:szCs w:val="20"/>
          <w:highlight w:val="none"/>
          <w14:textFill>
            <w14:solidFill>
              <w14:schemeClr w14:val="tx1"/>
            </w14:solidFill>
          </w14:textFill>
        </w:rPr>
      </w:pPr>
    </w:p>
    <w:p w14:paraId="68D10EED">
      <w:pPr>
        <w:snapToGrid w:val="0"/>
        <w:spacing w:beforeLines="50" w:after="50"/>
        <w:rPr>
          <w:rFonts w:hint="eastAsia" w:ascii="宋体" w:hAnsi="宋体" w:eastAsia="宋体" w:cs="宋体"/>
          <w:color w:val="000000" w:themeColor="text1"/>
          <w:sz w:val="24"/>
          <w:szCs w:val="20"/>
          <w:highlight w:val="none"/>
          <w14:textFill>
            <w14:solidFill>
              <w14:schemeClr w14:val="tx1"/>
            </w14:solidFill>
          </w14:textFill>
        </w:rPr>
      </w:pPr>
    </w:p>
    <w:p w14:paraId="03E12058">
      <w:pPr>
        <w:snapToGrid w:val="0"/>
        <w:spacing w:beforeLines="50" w:after="5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技  术  文  件</w:t>
      </w:r>
    </w:p>
    <w:p w14:paraId="6F64D7E3">
      <w:pPr>
        <w:snapToGrid w:val="0"/>
        <w:spacing w:beforeLines="50" w:after="50"/>
        <w:rPr>
          <w:rFonts w:hint="eastAsia" w:ascii="宋体" w:hAnsi="宋体" w:eastAsia="宋体" w:cs="宋体"/>
          <w:bCs/>
          <w:color w:val="000000" w:themeColor="text1"/>
          <w:sz w:val="24"/>
          <w:szCs w:val="20"/>
          <w:highlight w:val="none"/>
          <w14:textFill>
            <w14:solidFill>
              <w14:schemeClr w14:val="tx1"/>
            </w14:solidFill>
          </w14:textFill>
        </w:rPr>
      </w:pPr>
    </w:p>
    <w:p w14:paraId="5A365FD4">
      <w:pPr>
        <w:snapToGrid w:val="0"/>
        <w:spacing w:beforeLines="50" w:after="50"/>
        <w:rPr>
          <w:rFonts w:hint="eastAsia" w:ascii="宋体" w:hAnsi="宋体" w:eastAsia="宋体" w:cs="宋体"/>
          <w:bCs/>
          <w:color w:val="000000" w:themeColor="text1"/>
          <w:sz w:val="24"/>
          <w:szCs w:val="20"/>
          <w:highlight w:val="none"/>
          <w14:textFill>
            <w14:solidFill>
              <w14:schemeClr w14:val="tx1"/>
            </w14:solidFill>
          </w14:textFill>
        </w:rPr>
      </w:pPr>
    </w:p>
    <w:p w14:paraId="0C22F5FB">
      <w:pPr>
        <w:snapToGrid w:val="0"/>
        <w:spacing w:beforeLines="50" w:after="50" w:line="400" w:lineRule="exact"/>
        <w:ind w:firstLine="360" w:firstLineChars="15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 xml:space="preserve">项目名称： </w:t>
      </w:r>
    </w:p>
    <w:p w14:paraId="6EDC7702">
      <w:pPr>
        <w:snapToGrid w:val="0"/>
        <w:spacing w:beforeLines="50" w:after="50" w:line="400" w:lineRule="exact"/>
        <w:ind w:firstLine="360" w:firstLineChars="150"/>
        <w:rPr>
          <w:rFonts w:hint="eastAsia" w:ascii="宋体" w:hAnsi="宋体" w:eastAsia="宋体" w:cs="宋体"/>
          <w:bCs/>
          <w:color w:val="000000" w:themeColor="text1"/>
          <w:sz w:val="24"/>
          <w:szCs w:val="20"/>
          <w:highlight w:val="none"/>
          <w14:textFill>
            <w14:solidFill>
              <w14:schemeClr w14:val="tx1"/>
            </w14:solidFill>
          </w14:textFill>
        </w:rPr>
      </w:pPr>
    </w:p>
    <w:p w14:paraId="224444FF">
      <w:pPr>
        <w:snapToGrid w:val="0"/>
        <w:spacing w:beforeLines="50" w:after="50" w:line="400" w:lineRule="exact"/>
        <w:ind w:firstLine="360" w:firstLineChars="15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 xml:space="preserve">项目编号： </w:t>
      </w:r>
    </w:p>
    <w:p w14:paraId="3A1D7C7D">
      <w:pPr>
        <w:snapToGrid w:val="0"/>
        <w:spacing w:beforeLines="50" w:after="50" w:line="400" w:lineRule="exact"/>
        <w:ind w:firstLine="360" w:firstLineChars="150"/>
        <w:rPr>
          <w:rFonts w:hint="eastAsia" w:ascii="宋体" w:hAnsi="宋体" w:eastAsia="宋体" w:cs="宋体"/>
          <w:bCs/>
          <w:color w:val="000000" w:themeColor="text1"/>
          <w:sz w:val="24"/>
          <w:highlight w:val="none"/>
          <w14:textFill>
            <w14:solidFill>
              <w14:schemeClr w14:val="tx1"/>
            </w14:solidFill>
          </w14:textFill>
        </w:rPr>
      </w:pPr>
    </w:p>
    <w:p w14:paraId="330C06F2">
      <w:pPr>
        <w:snapToGrid w:val="0"/>
        <w:spacing w:beforeLines="50" w:after="50" w:line="400" w:lineRule="exact"/>
        <w:ind w:firstLine="360" w:firstLineChars="15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所投分标：</w:t>
      </w:r>
    </w:p>
    <w:p w14:paraId="08CC448D">
      <w:pPr>
        <w:snapToGrid w:val="0"/>
        <w:spacing w:beforeLines="50" w:after="50" w:line="400" w:lineRule="exact"/>
        <w:ind w:firstLine="360" w:firstLineChars="150"/>
        <w:rPr>
          <w:rFonts w:hint="eastAsia" w:ascii="宋体" w:hAnsi="宋体" w:eastAsia="宋体" w:cs="宋体"/>
          <w:bCs/>
          <w:color w:val="000000" w:themeColor="text1"/>
          <w:sz w:val="24"/>
          <w:highlight w:val="none"/>
          <w14:textFill>
            <w14:solidFill>
              <w14:schemeClr w14:val="tx1"/>
            </w14:solidFill>
          </w14:textFill>
        </w:rPr>
      </w:pPr>
    </w:p>
    <w:p w14:paraId="658570EB">
      <w:pPr>
        <w:snapToGrid w:val="0"/>
        <w:spacing w:beforeLines="50" w:after="50" w:line="400" w:lineRule="exact"/>
        <w:ind w:firstLine="360" w:firstLineChars="15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投标人名称：</w:t>
      </w:r>
    </w:p>
    <w:p w14:paraId="3478AD28">
      <w:pPr>
        <w:snapToGrid w:val="0"/>
        <w:spacing w:beforeLines="50" w:after="50" w:line="400" w:lineRule="exact"/>
        <w:ind w:firstLine="360" w:firstLineChars="150"/>
        <w:rPr>
          <w:rFonts w:hint="eastAsia" w:ascii="宋体" w:hAnsi="宋体" w:eastAsia="宋体" w:cs="宋体"/>
          <w:bCs/>
          <w:color w:val="000000" w:themeColor="text1"/>
          <w:sz w:val="24"/>
          <w:highlight w:val="none"/>
          <w14:textFill>
            <w14:solidFill>
              <w14:schemeClr w14:val="tx1"/>
            </w14:solidFill>
          </w14:textFill>
        </w:rPr>
      </w:pPr>
    </w:p>
    <w:p w14:paraId="40EBD5B5">
      <w:pPr>
        <w:snapToGrid w:val="0"/>
        <w:spacing w:beforeLines="50" w:after="50" w:line="400" w:lineRule="exact"/>
        <w:ind w:firstLine="360" w:firstLineChars="15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投标人地址：</w:t>
      </w:r>
    </w:p>
    <w:p w14:paraId="5173A7E2">
      <w:pPr>
        <w:snapToGrid w:val="0"/>
        <w:spacing w:beforeLines="50" w:after="50" w:line="400" w:lineRule="exact"/>
        <w:ind w:firstLine="360" w:firstLineChars="150"/>
        <w:rPr>
          <w:rFonts w:hint="eastAsia" w:ascii="宋体" w:hAnsi="宋体" w:eastAsia="宋体" w:cs="宋体"/>
          <w:bCs/>
          <w:color w:val="000000" w:themeColor="text1"/>
          <w:sz w:val="24"/>
          <w:highlight w:val="none"/>
          <w14:textFill>
            <w14:solidFill>
              <w14:schemeClr w14:val="tx1"/>
            </w14:solidFill>
          </w14:textFill>
        </w:rPr>
      </w:pPr>
    </w:p>
    <w:p w14:paraId="1E604428">
      <w:pPr>
        <w:snapToGrid w:val="0"/>
        <w:spacing w:beforeLines="50" w:after="50"/>
        <w:ind w:firstLine="645"/>
        <w:jc w:val="center"/>
        <w:rPr>
          <w:rFonts w:hint="eastAsia" w:ascii="宋体" w:hAnsi="宋体" w:eastAsia="宋体" w:cs="宋体"/>
          <w:color w:val="000000" w:themeColor="text1"/>
          <w:sz w:val="24"/>
          <w:highlight w:val="none"/>
          <w14:textFill>
            <w14:solidFill>
              <w14:schemeClr w14:val="tx1"/>
            </w14:solidFill>
          </w14:textFill>
        </w:rPr>
      </w:pPr>
    </w:p>
    <w:p w14:paraId="27D5FE75">
      <w:pPr>
        <w:snapToGrid w:val="0"/>
        <w:spacing w:beforeLines="50" w:after="50"/>
        <w:ind w:firstLine="645"/>
        <w:jc w:val="center"/>
        <w:rPr>
          <w:rFonts w:hint="eastAsia" w:ascii="宋体" w:hAnsi="宋体" w:eastAsia="宋体" w:cs="宋体"/>
          <w:color w:val="000000" w:themeColor="text1"/>
          <w:sz w:val="24"/>
          <w:highlight w:val="none"/>
          <w14:textFill>
            <w14:solidFill>
              <w14:schemeClr w14:val="tx1"/>
            </w14:solidFill>
          </w14:textFill>
        </w:rPr>
      </w:pPr>
    </w:p>
    <w:p w14:paraId="18D3E303">
      <w:pPr>
        <w:snapToGrid w:val="0"/>
        <w:spacing w:beforeLines="50" w:after="50"/>
        <w:ind w:firstLine="645"/>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    月    日</w:t>
      </w:r>
    </w:p>
    <w:p w14:paraId="2E550386">
      <w:pPr>
        <w:snapToGrid w:val="0"/>
        <w:spacing w:beforeLines="50" w:after="50"/>
        <w:ind w:firstLine="645"/>
        <w:jc w:val="center"/>
        <w:rPr>
          <w:rFonts w:hint="eastAsia" w:ascii="宋体" w:hAnsi="宋体" w:eastAsia="宋体" w:cs="宋体"/>
          <w:color w:val="000000" w:themeColor="text1"/>
          <w:sz w:val="24"/>
          <w:szCs w:val="20"/>
          <w:highlight w:val="none"/>
          <w14:textFill>
            <w14:solidFill>
              <w14:schemeClr w14:val="tx1"/>
            </w14:solidFill>
          </w14:textFill>
        </w:rPr>
      </w:pPr>
    </w:p>
    <w:p w14:paraId="63970B34">
      <w:pPr>
        <w:snapToGrid w:val="0"/>
        <w:spacing w:beforeLines="50" w:after="50"/>
        <w:ind w:left="142"/>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br w:type="page"/>
      </w:r>
      <w:r>
        <w:rPr>
          <w:rFonts w:hint="eastAsia" w:ascii="宋体" w:hAnsi="宋体" w:eastAsia="宋体" w:cs="宋体"/>
          <w:b/>
          <w:bCs/>
          <w:color w:val="000000" w:themeColor="text1"/>
          <w:sz w:val="24"/>
          <w:highlight w:val="none"/>
          <w14:textFill>
            <w14:solidFill>
              <w14:schemeClr w14:val="tx1"/>
            </w14:solidFill>
          </w14:textFill>
        </w:rPr>
        <w:t>2.技术文件目录</w:t>
      </w:r>
    </w:p>
    <w:p w14:paraId="492FFA52">
      <w:pPr>
        <w:snapToGrid w:val="0"/>
        <w:spacing w:before="50" w:afterLines="50"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根据招标文件规定及投标人提供的材料自行编写目录。</w:t>
      </w:r>
    </w:p>
    <w:p w14:paraId="0BC330A0">
      <w:pPr>
        <w:snapToGrid w:val="0"/>
        <w:spacing w:beforeLines="50" w:after="50"/>
        <w:ind w:left="142"/>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24"/>
          <w:highlight w:val="none"/>
          <w14:textFill>
            <w14:solidFill>
              <w14:schemeClr w14:val="tx1"/>
            </w14:solidFill>
          </w14:textFill>
        </w:rPr>
        <w:t>3. 设备性能配置清单格式</w:t>
      </w:r>
    </w:p>
    <w:p w14:paraId="47578AB6">
      <w:pPr>
        <w:snapToGrid w:val="0"/>
        <w:spacing w:beforeLines="50" w:after="50"/>
        <w:ind w:left="142"/>
        <w:jc w:val="left"/>
        <w:rPr>
          <w:rFonts w:hint="eastAsia" w:ascii="宋体" w:hAnsi="宋体" w:eastAsia="宋体" w:cs="宋体"/>
          <w:b/>
          <w:color w:val="000000" w:themeColor="text1"/>
          <w:sz w:val="24"/>
          <w:highlight w:val="none"/>
          <w14:textFill>
            <w14:solidFill>
              <w14:schemeClr w14:val="tx1"/>
            </w14:solidFill>
          </w14:textFill>
        </w:rPr>
      </w:pPr>
    </w:p>
    <w:p w14:paraId="3FE4A2C2">
      <w:pPr>
        <w:snapToGrid w:val="0"/>
        <w:spacing w:beforeLines="50" w:after="50"/>
        <w:ind w:left="142"/>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设备性能配置清单</w:t>
      </w:r>
    </w:p>
    <w:p w14:paraId="3BE8FEB1">
      <w:pPr>
        <w:pStyle w:val="2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所投分标：分标</w:t>
      </w:r>
    </w:p>
    <w:tbl>
      <w:tblPr>
        <w:tblStyle w:val="48"/>
        <w:tblW w:w="53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75"/>
        <w:gridCol w:w="1309"/>
        <w:gridCol w:w="1004"/>
        <w:gridCol w:w="781"/>
        <w:gridCol w:w="1875"/>
        <w:gridCol w:w="1309"/>
        <w:gridCol w:w="776"/>
        <w:gridCol w:w="2135"/>
      </w:tblGrid>
      <w:tr w14:paraId="22396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389" w:type="pct"/>
            <w:tcBorders>
              <w:top w:val="single" w:color="auto" w:sz="4" w:space="0"/>
              <w:left w:val="single" w:color="auto" w:sz="4" w:space="0"/>
              <w:bottom w:val="single" w:color="auto" w:sz="4" w:space="0"/>
              <w:right w:val="single" w:color="auto" w:sz="4" w:space="0"/>
            </w:tcBorders>
            <w:vAlign w:val="center"/>
          </w:tcPr>
          <w:p w14:paraId="1F528898">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657" w:type="pct"/>
            <w:tcBorders>
              <w:top w:val="single" w:color="auto" w:sz="4" w:space="0"/>
              <w:left w:val="single" w:color="auto" w:sz="4" w:space="0"/>
              <w:bottom w:val="single" w:color="auto" w:sz="4" w:space="0"/>
              <w:right w:val="single" w:color="auto" w:sz="4" w:space="0"/>
            </w:tcBorders>
            <w:vAlign w:val="center"/>
          </w:tcPr>
          <w:p w14:paraId="6182479E">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货物名称</w:t>
            </w:r>
          </w:p>
        </w:tc>
        <w:tc>
          <w:tcPr>
            <w:tcW w:w="504" w:type="pct"/>
            <w:tcBorders>
              <w:top w:val="single" w:color="auto" w:sz="4" w:space="0"/>
              <w:left w:val="single" w:color="auto" w:sz="4" w:space="0"/>
              <w:bottom w:val="single" w:color="auto" w:sz="4" w:space="0"/>
              <w:right w:val="single" w:color="auto" w:sz="4" w:space="0"/>
            </w:tcBorders>
            <w:vAlign w:val="center"/>
          </w:tcPr>
          <w:p w14:paraId="48B82DEB">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数量及单位</w:t>
            </w:r>
          </w:p>
        </w:tc>
        <w:tc>
          <w:tcPr>
            <w:tcW w:w="392" w:type="pct"/>
            <w:tcBorders>
              <w:top w:val="single" w:color="auto" w:sz="4" w:space="0"/>
              <w:left w:val="single" w:color="auto" w:sz="4" w:space="0"/>
              <w:bottom w:val="single" w:color="auto" w:sz="4" w:space="0"/>
              <w:right w:val="single" w:color="auto" w:sz="4" w:space="0"/>
            </w:tcBorders>
            <w:vAlign w:val="center"/>
          </w:tcPr>
          <w:p w14:paraId="79591CEC">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品牌</w:t>
            </w:r>
          </w:p>
        </w:tc>
        <w:tc>
          <w:tcPr>
            <w:tcW w:w="941" w:type="pct"/>
            <w:tcBorders>
              <w:top w:val="single" w:color="auto" w:sz="4" w:space="0"/>
              <w:left w:val="single" w:color="auto" w:sz="4" w:space="0"/>
              <w:bottom w:val="single" w:color="auto" w:sz="4" w:space="0"/>
              <w:right w:val="single" w:color="auto" w:sz="4" w:space="0"/>
            </w:tcBorders>
          </w:tcPr>
          <w:p w14:paraId="1B8B4F6E">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p w14:paraId="57564C53">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规格型号</w:t>
            </w:r>
          </w:p>
        </w:tc>
        <w:tc>
          <w:tcPr>
            <w:tcW w:w="657" w:type="pct"/>
            <w:tcBorders>
              <w:top w:val="single" w:color="auto" w:sz="4" w:space="0"/>
              <w:left w:val="single" w:color="auto" w:sz="4" w:space="0"/>
              <w:bottom w:val="single" w:color="auto" w:sz="4" w:space="0"/>
              <w:right w:val="single" w:color="auto" w:sz="4" w:space="0"/>
            </w:tcBorders>
            <w:vAlign w:val="center"/>
          </w:tcPr>
          <w:p w14:paraId="32DC0941">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制造商</w:t>
            </w:r>
          </w:p>
        </w:tc>
        <w:tc>
          <w:tcPr>
            <w:tcW w:w="389" w:type="pct"/>
            <w:tcBorders>
              <w:top w:val="single" w:color="auto" w:sz="4" w:space="0"/>
              <w:left w:val="single" w:color="auto" w:sz="4" w:space="0"/>
              <w:bottom w:val="single" w:color="auto" w:sz="4" w:space="0"/>
              <w:right w:val="single" w:color="auto" w:sz="4" w:space="0"/>
            </w:tcBorders>
            <w:vAlign w:val="center"/>
          </w:tcPr>
          <w:p w14:paraId="46F3288D">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原产地</w:t>
            </w:r>
          </w:p>
        </w:tc>
        <w:tc>
          <w:tcPr>
            <w:tcW w:w="1071" w:type="pct"/>
            <w:tcBorders>
              <w:top w:val="single" w:color="auto" w:sz="4" w:space="0"/>
              <w:left w:val="single" w:color="auto" w:sz="4" w:space="0"/>
              <w:bottom w:val="single" w:color="auto" w:sz="4" w:space="0"/>
              <w:right w:val="single" w:color="auto" w:sz="4" w:space="0"/>
            </w:tcBorders>
            <w:vAlign w:val="center"/>
          </w:tcPr>
          <w:p w14:paraId="260CEA3F">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参数性能、指标及配置</w:t>
            </w:r>
          </w:p>
        </w:tc>
      </w:tr>
      <w:tr w14:paraId="70B53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389" w:type="pct"/>
            <w:tcBorders>
              <w:top w:val="single" w:color="auto" w:sz="4" w:space="0"/>
              <w:left w:val="single" w:color="auto" w:sz="4" w:space="0"/>
              <w:bottom w:val="single" w:color="auto" w:sz="4" w:space="0"/>
              <w:right w:val="single" w:color="auto" w:sz="4" w:space="0"/>
            </w:tcBorders>
            <w:vAlign w:val="center"/>
          </w:tcPr>
          <w:p w14:paraId="4F45C91B">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c>
          <w:tcPr>
            <w:tcW w:w="657" w:type="pct"/>
            <w:tcBorders>
              <w:top w:val="single" w:color="auto" w:sz="4" w:space="0"/>
              <w:left w:val="single" w:color="auto" w:sz="4" w:space="0"/>
              <w:bottom w:val="single" w:color="auto" w:sz="4" w:space="0"/>
              <w:right w:val="single" w:color="auto" w:sz="4" w:space="0"/>
            </w:tcBorders>
            <w:vAlign w:val="center"/>
          </w:tcPr>
          <w:p w14:paraId="3EE07384">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c>
          <w:tcPr>
            <w:tcW w:w="504" w:type="pct"/>
            <w:tcBorders>
              <w:top w:val="single" w:color="auto" w:sz="4" w:space="0"/>
              <w:left w:val="single" w:color="auto" w:sz="4" w:space="0"/>
              <w:bottom w:val="single" w:color="auto" w:sz="4" w:space="0"/>
              <w:right w:val="single" w:color="auto" w:sz="4" w:space="0"/>
            </w:tcBorders>
            <w:vAlign w:val="center"/>
          </w:tcPr>
          <w:p w14:paraId="33FBBD46">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c>
          <w:tcPr>
            <w:tcW w:w="392" w:type="pct"/>
            <w:tcBorders>
              <w:top w:val="single" w:color="auto" w:sz="4" w:space="0"/>
              <w:left w:val="single" w:color="auto" w:sz="4" w:space="0"/>
              <w:bottom w:val="single" w:color="auto" w:sz="4" w:space="0"/>
              <w:right w:val="single" w:color="auto" w:sz="4" w:space="0"/>
            </w:tcBorders>
            <w:vAlign w:val="center"/>
          </w:tcPr>
          <w:p w14:paraId="438D04DD">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c>
          <w:tcPr>
            <w:tcW w:w="941" w:type="pct"/>
            <w:tcBorders>
              <w:top w:val="single" w:color="auto" w:sz="4" w:space="0"/>
              <w:left w:val="single" w:color="auto" w:sz="4" w:space="0"/>
              <w:bottom w:val="single" w:color="auto" w:sz="4" w:space="0"/>
              <w:right w:val="single" w:color="auto" w:sz="4" w:space="0"/>
            </w:tcBorders>
          </w:tcPr>
          <w:p w14:paraId="4469102C">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c>
          <w:tcPr>
            <w:tcW w:w="657" w:type="pct"/>
            <w:tcBorders>
              <w:top w:val="single" w:color="auto" w:sz="4" w:space="0"/>
              <w:left w:val="single" w:color="auto" w:sz="4" w:space="0"/>
              <w:bottom w:val="single" w:color="auto" w:sz="4" w:space="0"/>
              <w:right w:val="single" w:color="auto" w:sz="4" w:space="0"/>
            </w:tcBorders>
            <w:vAlign w:val="center"/>
          </w:tcPr>
          <w:p w14:paraId="06D980F7">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c>
          <w:tcPr>
            <w:tcW w:w="389" w:type="pct"/>
            <w:tcBorders>
              <w:top w:val="single" w:color="auto" w:sz="4" w:space="0"/>
              <w:left w:val="single" w:color="auto" w:sz="4" w:space="0"/>
              <w:bottom w:val="single" w:color="auto" w:sz="4" w:space="0"/>
              <w:right w:val="single" w:color="auto" w:sz="4" w:space="0"/>
            </w:tcBorders>
            <w:vAlign w:val="center"/>
          </w:tcPr>
          <w:p w14:paraId="3F7CB6CB">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c>
          <w:tcPr>
            <w:tcW w:w="1071" w:type="pct"/>
            <w:tcBorders>
              <w:top w:val="single" w:color="auto" w:sz="4" w:space="0"/>
              <w:left w:val="single" w:color="auto" w:sz="4" w:space="0"/>
              <w:bottom w:val="single" w:color="auto" w:sz="4" w:space="0"/>
              <w:right w:val="single" w:color="auto" w:sz="4" w:space="0"/>
            </w:tcBorders>
            <w:vAlign w:val="center"/>
          </w:tcPr>
          <w:p w14:paraId="314971B1">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r>
      <w:tr w14:paraId="45D3E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389" w:type="pct"/>
            <w:tcBorders>
              <w:top w:val="single" w:color="auto" w:sz="4" w:space="0"/>
              <w:left w:val="single" w:color="auto" w:sz="4" w:space="0"/>
              <w:bottom w:val="single" w:color="auto" w:sz="4" w:space="0"/>
              <w:right w:val="single" w:color="auto" w:sz="4" w:space="0"/>
            </w:tcBorders>
            <w:vAlign w:val="center"/>
          </w:tcPr>
          <w:p w14:paraId="67142F08">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c>
          <w:tcPr>
            <w:tcW w:w="657" w:type="pct"/>
            <w:tcBorders>
              <w:top w:val="single" w:color="auto" w:sz="4" w:space="0"/>
              <w:left w:val="single" w:color="auto" w:sz="4" w:space="0"/>
              <w:bottom w:val="single" w:color="auto" w:sz="4" w:space="0"/>
              <w:right w:val="single" w:color="auto" w:sz="4" w:space="0"/>
            </w:tcBorders>
            <w:vAlign w:val="center"/>
          </w:tcPr>
          <w:p w14:paraId="5974053A">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c>
          <w:tcPr>
            <w:tcW w:w="504" w:type="pct"/>
            <w:tcBorders>
              <w:top w:val="single" w:color="auto" w:sz="4" w:space="0"/>
              <w:left w:val="single" w:color="auto" w:sz="4" w:space="0"/>
              <w:bottom w:val="single" w:color="auto" w:sz="4" w:space="0"/>
              <w:right w:val="single" w:color="auto" w:sz="4" w:space="0"/>
            </w:tcBorders>
            <w:vAlign w:val="center"/>
          </w:tcPr>
          <w:p w14:paraId="524A4FCF">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c>
          <w:tcPr>
            <w:tcW w:w="392" w:type="pct"/>
            <w:tcBorders>
              <w:top w:val="single" w:color="auto" w:sz="4" w:space="0"/>
              <w:left w:val="single" w:color="auto" w:sz="4" w:space="0"/>
              <w:bottom w:val="single" w:color="auto" w:sz="4" w:space="0"/>
              <w:right w:val="single" w:color="auto" w:sz="4" w:space="0"/>
            </w:tcBorders>
            <w:vAlign w:val="center"/>
          </w:tcPr>
          <w:p w14:paraId="14352815">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c>
          <w:tcPr>
            <w:tcW w:w="941" w:type="pct"/>
            <w:tcBorders>
              <w:top w:val="single" w:color="auto" w:sz="4" w:space="0"/>
              <w:left w:val="single" w:color="auto" w:sz="4" w:space="0"/>
              <w:bottom w:val="single" w:color="auto" w:sz="4" w:space="0"/>
              <w:right w:val="single" w:color="auto" w:sz="4" w:space="0"/>
            </w:tcBorders>
          </w:tcPr>
          <w:p w14:paraId="0A3776B1">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c>
          <w:tcPr>
            <w:tcW w:w="657" w:type="pct"/>
            <w:tcBorders>
              <w:top w:val="single" w:color="auto" w:sz="4" w:space="0"/>
              <w:left w:val="single" w:color="auto" w:sz="4" w:space="0"/>
              <w:bottom w:val="single" w:color="auto" w:sz="4" w:space="0"/>
              <w:right w:val="single" w:color="auto" w:sz="4" w:space="0"/>
            </w:tcBorders>
            <w:vAlign w:val="center"/>
          </w:tcPr>
          <w:p w14:paraId="62D00A7F">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c>
          <w:tcPr>
            <w:tcW w:w="389" w:type="pct"/>
            <w:tcBorders>
              <w:top w:val="single" w:color="auto" w:sz="4" w:space="0"/>
              <w:left w:val="single" w:color="auto" w:sz="4" w:space="0"/>
              <w:bottom w:val="single" w:color="auto" w:sz="4" w:space="0"/>
              <w:right w:val="single" w:color="auto" w:sz="4" w:space="0"/>
            </w:tcBorders>
            <w:vAlign w:val="center"/>
          </w:tcPr>
          <w:p w14:paraId="14771484">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c>
          <w:tcPr>
            <w:tcW w:w="1071" w:type="pct"/>
            <w:tcBorders>
              <w:top w:val="single" w:color="auto" w:sz="4" w:space="0"/>
              <w:left w:val="single" w:color="auto" w:sz="4" w:space="0"/>
              <w:bottom w:val="single" w:color="auto" w:sz="4" w:space="0"/>
              <w:right w:val="single" w:color="auto" w:sz="4" w:space="0"/>
            </w:tcBorders>
            <w:vAlign w:val="center"/>
          </w:tcPr>
          <w:p w14:paraId="2E192430">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r>
      <w:tr w14:paraId="58811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389" w:type="pct"/>
            <w:tcBorders>
              <w:top w:val="single" w:color="auto" w:sz="4" w:space="0"/>
              <w:left w:val="single" w:color="auto" w:sz="4" w:space="0"/>
              <w:bottom w:val="single" w:color="auto" w:sz="4" w:space="0"/>
              <w:right w:val="single" w:color="auto" w:sz="4" w:space="0"/>
            </w:tcBorders>
            <w:vAlign w:val="center"/>
          </w:tcPr>
          <w:p w14:paraId="1F9326A2">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c>
          <w:tcPr>
            <w:tcW w:w="657" w:type="pct"/>
            <w:tcBorders>
              <w:top w:val="single" w:color="auto" w:sz="4" w:space="0"/>
              <w:left w:val="single" w:color="auto" w:sz="4" w:space="0"/>
              <w:bottom w:val="single" w:color="auto" w:sz="4" w:space="0"/>
              <w:right w:val="single" w:color="auto" w:sz="4" w:space="0"/>
            </w:tcBorders>
            <w:vAlign w:val="center"/>
          </w:tcPr>
          <w:p w14:paraId="280CD387">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c>
          <w:tcPr>
            <w:tcW w:w="504" w:type="pct"/>
            <w:tcBorders>
              <w:top w:val="single" w:color="auto" w:sz="4" w:space="0"/>
              <w:left w:val="single" w:color="auto" w:sz="4" w:space="0"/>
              <w:bottom w:val="single" w:color="auto" w:sz="4" w:space="0"/>
              <w:right w:val="single" w:color="auto" w:sz="4" w:space="0"/>
            </w:tcBorders>
            <w:vAlign w:val="center"/>
          </w:tcPr>
          <w:p w14:paraId="7C88FFD4">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c>
          <w:tcPr>
            <w:tcW w:w="392" w:type="pct"/>
            <w:tcBorders>
              <w:top w:val="single" w:color="auto" w:sz="4" w:space="0"/>
              <w:left w:val="single" w:color="auto" w:sz="4" w:space="0"/>
              <w:bottom w:val="single" w:color="auto" w:sz="4" w:space="0"/>
              <w:right w:val="single" w:color="auto" w:sz="4" w:space="0"/>
            </w:tcBorders>
            <w:vAlign w:val="center"/>
          </w:tcPr>
          <w:p w14:paraId="240A9F40">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c>
          <w:tcPr>
            <w:tcW w:w="941" w:type="pct"/>
            <w:tcBorders>
              <w:top w:val="single" w:color="auto" w:sz="4" w:space="0"/>
              <w:left w:val="single" w:color="auto" w:sz="4" w:space="0"/>
              <w:bottom w:val="single" w:color="auto" w:sz="4" w:space="0"/>
              <w:right w:val="single" w:color="auto" w:sz="4" w:space="0"/>
            </w:tcBorders>
          </w:tcPr>
          <w:p w14:paraId="02963201">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c>
          <w:tcPr>
            <w:tcW w:w="657" w:type="pct"/>
            <w:tcBorders>
              <w:top w:val="single" w:color="auto" w:sz="4" w:space="0"/>
              <w:left w:val="single" w:color="auto" w:sz="4" w:space="0"/>
              <w:bottom w:val="single" w:color="auto" w:sz="4" w:space="0"/>
              <w:right w:val="single" w:color="auto" w:sz="4" w:space="0"/>
            </w:tcBorders>
            <w:vAlign w:val="center"/>
          </w:tcPr>
          <w:p w14:paraId="6C560BC9">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c>
          <w:tcPr>
            <w:tcW w:w="389" w:type="pct"/>
            <w:tcBorders>
              <w:top w:val="single" w:color="auto" w:sz="4" w:space="0"/>
              <w:left w:val="single" w:color="auto" w:sz="4" w:space="0"/>
              <w:bottom w:val="single" w:color="auto" w:sz="4" w:space="0"/>
              <w:right w:val="single" w:color="auto" w:sz="4" w:space="0"/>
            </w:tcBorders>
            <w:vAlign w:val="center"/>
          </w:tcPr>
          <w:p w14:paraId="00D4F2BE">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c>
          <w:tcPr>
            <w:tcW w:w="1071" w:type="pct"/>
            <w:tcBorders>
              <w:top w:val="single" w:color="auto" w:sz="4" w:space="0"/>
              <w:left w:val="single" w:color="auto" w:sz="4" w:space="0"/>
              <w:bottom w:val="single" w:color="auto" w:sz="4" w:space="0"/>
              <w:right w:val="single" w:color="auto" w:sz="4" w:space="0"/>
            </w:tcBorders>
            <w:vAlign w:val="center"/>
          </w:tcPr>
          <w:p w14:paraId="1BD883E4">
            <w:pPr>
              <w:snapToGrid w:val="0"/>
              <w:spacing w:before="50" w:after="50"/>
              <w:jc w:val="center"/>
              <w:rPr>
                <w:rFonts w:hint="eastAsia" w:ascii="宋体" w:hAnsi="宋体" w:eastAsia="宋体" w:cs="宋体"/>
                <w:color w:val="000000" w:themeColor="text1"/>
                <w:sz w:val="24"/>
                <w:highlight w:val="none"/>
                <w14:textFill>
                  <w14:solidFill>
                    <w14:schemeClr w14:val="tx1"/>
                  </w14:solidFill>
                </w14:textFill>
              </w:rPr>
            </w:pPr>
          </w:p>
        </w:tc>
      </w:tr>
    </w:tbl>
    <w:p w14:paraId="07F2CA0C">
      <w:pPr>
        <w:spacing w:line="360" w:lineRule="auto"/>
        <w:contextualSpacing/>
        <w:rPr>
          <w:rFonts w:hint="eastAsia" w:ascii="宋体" w:hAnsi="宋体" w:eastAsia="宋体" w:cs="宋体"/>
          <w:color w:val="000000" w:themeColor="text1"/>
          <w:sz w:val="24"/>
          <w:highlight w:val="none"/>
          <w14:textFill>
            <w14:solidFill>
              <w14:schemeClr w14:val="tx1"/>
            </w14:solidFill>
          </w14:textFill>
        </w:rPr>
      </w:pPr>
    </w:p>
    <w:p w14:paraId="3E576ACC">
      <w:pPr>
        <w:spacing w:line="360" w:lineRule="auto"/>
        <w:contextualSpacing/>
        <w:rPr>
          <w:rFonts w:hint="eastAsia" w:ascii="宋体" w:hAnsi="宋体" w:eastAsia="宋体" w:cs="宋体"/>
          <w:color w:val="000000" w:themeColor="text1"/>
          <w:sz w:val="24"/>
          <w:highlight w:val="none"/>
          <w14:textFill>
            <w14:solidFill>
              <w14:schemeClr w14:val="tx1"/>
            </w14:solidFill>
          </w14:textFill>
        </w:rPr>
      </w:pPr>
    </w:p>
    <w:p w14:paraId="428F4A45">
      <w:pPr>
        <w:spacing w:line="360" w:lineRule="auto"/>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备注：</w:t>
      </w:r>
    </w:p>
    <w:p w14:paraId="5F6B5198">
      <w:pPr>
        <w:spacing w:line="360" w:lineRule="auto"/>
        <w:ind w:firstLine="480" w:firstLineChars="200"/>
        <w:contextualSpacing/>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以上设备性能配置清单中“货物名称、数量及单位、品牌、规格型号、制造商、原产地、参数性能、指标及配置”必须如实填写完整品牌、规格型号，没有则填无，填写有缺漏</w:t>
      </w:r>
      <w:r>
        <w:rPr>
          <w:rFonts w:hint="eastAsia" w:ascii="宋体" w:hAnsi="宋体" w:eastAsia="宋体" w:cs="宋体"/>
          <w:bCs/>
          <w:color w:val="000000" w:themeColor="text1"/>
          <w:sz w:val="24"/>
          <w:highlight w:val="none"/>
          <w14:textFill>
            <w14:solidFill>
              <w14:schemeClr w14:val="tx1"/>
            </w14:solidFill>
          </w14:textFill>
        </w:rPr>
        <w:t>的，</w:t>
      </w:r>
      <w:r>
        <w:rPr>
          <w:rFonts w:hint="eastAsia" w:ascii="宋体" w:hAnsi="宋体" w:eastAsia="宋体" w:cs="宋体"/>
          <w:b/>
          <w:color w:val="000000" w:themeColor="text1"/>
          <w:sz w:val="24"/>
          <w:highlight w:val="none"/>
          <w14:textFill>
            <w14:solidFill>
              <w14:schemeClr w14:val="tx1"/>
            </w14:solidFill>
          </w14:textFill>
        </w:rPr>
        <w:t>作无效投标处理。</w:t>
      </w:r>
      <w:r>
        <w:rPr>
          <w:rFonts w:hint="eastAsia" w:ascii="宋体" w:hAnsi="宋体" w:eastAsia="宋体" w:cs="宋体"/>
          <w:color w:val="000000" w:themeColor="text1"/>
          <w:sz w:val="24"/>
          <w:highlight w:val="none"/>
          <w14:textFill>
            <w14:solidFill>
              <w14:schemeClr w14:val="tx1"/>
            </w14:solidFill>
          </w14:textFill>
        </w:rPr>
        <w:t>货物名称、数量及单位、品牌必须与“开标一览表”一致，</w:t>
      </w:r>
      <w:r>
        <w:rPr>
          <w:rFonts w:hint="eastAsia" w:ascii="宋体" w:hAnsi="宋体" w:eastAsia="宋体" w:cs="宋体"/>
          <w:b/>
          <w:color w:val="000000" w:themeColor="text1"/>
          <w:sz w:val="24"/>
          <w:highlight w:val="none"/>
          <w14:textFill>
            <w14:solidFill>
              <w14:schemeClr w14:val="tx1"/>
            </w14:solidFill>
          </w14:textFill>
        </w:rPr>
        <w:t>否则按无效投标处理。</w:t>
      </w:r>
    </w:p>
    <w:p w14:paraId="1B4D7C05">
      <w:pPr>
        <w:spacing w:line="360" w:lineRule="auto"/>
        <w:ind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p>
    <w:p w14:paraId="39EAB928">
      <w:pPr>
        <w:spacing w:line="360" w:lineRule="auto"/>
        <w:contextualSpacing/>
        <w:rPr>
          <w:rFonts w:hint="eastAsia"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法定代表人或者委托代理人</w:t>
      </w:r>
      <w:r>
        <w:rPr>
          <w:rFonts w:hint="eastAsia" w:ascii="宋体" w:hAnsi="宋体" w:eastAsia="宋体" w:cs="宋体"/>
          <w:color w:val="000000" w:themeColor="text1"/>
          <w:spacing w:val="20"/>
          <w:sz w:val="24"/>
          <w:highlight w:val="none"/>
          <w14:textFill>
            <w14:solidFill>
              <w14:schemeClr w14:val="tx1"/>
            </w14:solidFill>
          </w14:textFill>
        </w:rPr>
        <w:t>（签字）：</w:t>
      </w:r>
    </w:p>
    <w:p w14:paraId="5CC152EE">
      <w:pPr>
        <w:spacing w:line="360" w:lineRule="auto"/>
        <w:contextualSpacing/>
        <w:rPr>
          <w:rFonts w:hint="eastAsia"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投标人名称（电子签章）：</w:t>
      </w:r>
    </w:p>
    <w:p w14:paraId="29063CB6">
      <w:pPr>
        <w:spacing w:line="360" w:lineRule="auto"/>
        <w:contextualSpacing/>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日  期：</w:t>
      </w:r>
    </w:p>
    <w:p w14:paraId="0AA71D37">
      <w:pPr>
        <w:snapToGrid w:val="0"/>
        <w:spacing w:before="50" w:afterLines="50"/>
        <w:jc w:val="left"/>
        <w:rPr>
          <w:rFonts w:hint="eastAsia" w:ascii="宋体" w:hAnsi="宋体" w:eastAsia="宋体" w:cs="宋体"/>
          <w:color w:val="000000" w:themeColor="text1"/>
          <w:sz w:val="24"/>
          <w:szCs w:val="20"/>
          <w:highlight w:val="none"/>
          <w14:textFill>
            <w14:solidFill>
              <w14:schemeClr w14:val="tx1"/>
            </w14:solidFill>
          </w14:textFill>
        </w:rPr>
      </w:pPr>
    </w:p>
    <w:p w14:paraId="7625C3C5">
      <w:pPr>
        <w:snapToGrid w:val="0"/>
        <w:spacing w:before="50" w:afterLines="50"/>
        <w:jc w:val="left"/>
        <w:rPr>
          <w:rFonts w:hint="eastAsia" w:ascii="宋体" w:hAnsi="宋体" w:eastAsia="宋体" w:cs="宋体"/>
          <w:color w:val="000000" w:themeColor="text1"/>
          <w:sz w:val="24"/>
          <w:szCs w:val="20"/>
          <w:highlight w:val="none"/>
          <w14:textFill>
            <w14:solidFill>
              <w14:schemeClr w14:val="tx1"/>
            </w14:solidFill>
          </w14:textFill>
        </w:rPr>
      </w:pPr>
    </w:p>
    <w:p w14:paraId="5561F727">
      <w:pPr>
        <w:snapToGrid w:val="0"/>
        <w:spacing w:beforeLines="50" w:after="50"/>
        <w:ind w:left="142"/>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24"/>
          <w:highlight w:val="none"/>
          <w14:textFill>
            <w14:solidFill>
              <w14:schemeClr w14:val="tx1"/>
            </w14:solidFill>
          </w14:textFill>
        </w:rPr>
        <w:t>4. 技术要求偏离表格式</w:t>
      </w:r>
    </w:p>
    <w:p w14:paraId="033A1505">
      <w:pPr>
        <w:snapToGrid w:val="0"/>
        <w:spacing w:beforeLines="50" w:after="50"/>
        <w:ind w:left="142"/>
        <w:jc w:val="left"/>
        <w:rPr>
          <w:rFonts w:hint="eastAsia" w:ascii="宋体" w:hAnsi="宋体" w:eastAsia="宋体" w:cs="宋体"/>
          <w:b/>
          <w:color w:val="000000" w:themeColor="text1"/>
          <w:sz w:val="24"/>
          <w:highlight w:val="none"/>
          <w14:textFill>
            <w14:solidFill>
              <w14:schemeClr w14:val="tx1"/>
            </w14:solidFill>
          </w14:textFill>
        </w:rPr>
      </w:pPr>
    </w:p>
    <w:p w14:paraId="7DBAD0A9">
      <w:pPr>
        <w:snapToGrid w:val="0"/>
        <w:spacing w:beforeLines="50" w:after="50"/>
        <w:ind w:left="142"/>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技术要求偏离表</w:t>
      </w:r>
    </w:p>
    <w:p w14:paraId="0C442A53">
      <w:pPr>
        <w:pStyle w:val="2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所投分标：分标</w:t>
      </w:r>
    </w:p>
    <w:p w14:paraId="0B73666B">
      <w:pPr>
        <w:pStyle w:val="26"/>
        <w:rPr>
          <w:rFonts w:hint="eastAsia" w:ascii="宋体" w:hAnsi="宋体" w:eastAsia="宋体" w:cs="宋体"/>
          <w:color w:val="000000" w:themeColor="text1"/>
          <w:sz w:val="24"/>
          <w:szCs w:val="24"/>
          <w:highlight w:val="none"/>
          <w14:textFill>
            <w14:solidFill>
              <w14:schemeClr w14:val="tx1"/>
            </w14:solidFill>
          </w14:textFill>
        </w:rPr>
      </w:pPr>
    </w:p>
    <w:tbl>
      <w:tblPr>
        <w:tblStyle w:val="48"/>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51"/>
        <w:gridCol w:w="708"/>
        <w:gridCol w:w="1843"/>
        <w:gridCol w:w="851"/>
        <w:gridCol w:w="708"/>
        <w:gridCol w:w="2268"/>
        <w:gridCol w:w="1225"/>
      </w:tblGrid>
      <w:tr w14:paraId="6961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426" w:type="dxa"/>
            <w:vMerge w:val="restart"/>
            <w:tcBorders>
              <w:top w:val="single" w:color="auto" w:sz="4" w:space="0"/>
              <w:left w:val="single" w:color="auto" w:sz="4" w:space="0"/>
              <w:bottom w:val="single" w:color="auto" w:sz="4" w:space="0"/>
              <w:right w:val="single" w:color="auto" w:sz="4" w:space="0"/>
            </w:tcBorders>
            <w:vAlign w:val="center"/>
          </w:tcPr>
          <w:p w14:paraId="68C190EF">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项号</w:t>
            </w:r>
          </w:p>
        </w:tc>
        <w:tc>
          <w:tcPr>
            <w:tcW w:w="3402" w:type="dxa"/>
            <w:gridSpan w:val="3"/>
            <w:tcBorders>
              <w:top w:val="single" w:color="auto" w:sz="4" w:space="0"/>
              <w:left w:val="single" w:color="auto" w:sz="4" w:space="0"/>
              <w:bottom w:val="single" w:color="auto" w:sz="4" w:space="0"/>
              <w:right w:val="single" w:color="auto" w:sz="4" w:space="0"/>
            </w:tcBorders>
            <w:vAlign w:val="center"/>
          </w:tcPr>
          <w:p w14:paraId="4514D018">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招标文件技术参数需求</w:t>
            </w:r>
          </w:p>
        </w:tc>
        <w:tc>
          <w:tcPr>
            <w:tcW w:w="3827" w:type="dxa"/>
            <w:gridSpan w:val="3"/>
            <w:tcBorders>
              <w:top w:val="single" w:color="auto" w:sz="4" w:space="0"/>
              <w:left w:val="single" w:color="auto" w:sz="4" w:space="0"/>
              <w:bottom w:val="single" w:color="auto" w:sz="4" w:space="0"/>
              <w:right w:val="single" w:color="auto" w:sz="4" w:space="0"/>
            </w:tcBorders>
            <w:vAlign w:val="center"/>
          </w:tcPr>
          <w:p w14:paraId="68AC4EBB">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投标文件技术参数承诺</w:t>
            </w:r>
          </w:p>
        </w:tc>
        <w:tc>
          <w:tcPr>
            <w:tcW w:w="1225" w:type="dxa"/>
            <w:tcBorders>
              <w:top w:val="single" w:color="auto" w:sz="4" w:space="0"/>
              <w:left w:val="single" w:color="auto" w:sz="4" w:space="0"/>
              <w:bottom w:val="single" w:color="auto" w:sz="4" w:space="0"/>
              <w:right w:val="single" w:color="auto" w:sz="4" w:space="0"/>
            </w:tcBorders>
            <w:vAlign w:val="center"/>
          </w:tcPr>
          <w:p w14:paraId="5698DD5A">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偏离说明</w:t>
            </w:r>
          </w:p>
        </w:tc>
      </w:tr>
      <w:tr w14:paraId="3CF8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091F08A5">
            <w:pPr>
              <w:widowControl/>
              <w:jc w:val="left"/>
              <w:rPr>
                <w:rFonts w:hint="eastAsia" w:ascii="宋体" w:hAnsi="宋体" w:eastAsia="宋体" w:cs="宋体"/>
                <w:color w:val="000000" w:themeColor="text1"/>
                <w:szCs w:val="21"/>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14:paraId="1D409B45">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货物</w:t>
            </w:r>
          </w:p>
          <w:p w14:paraId="20F04DE6">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名称</w:t>
            </w:r>
          </w:p>
        </w:tc>
        <w:tc>
          <w:tcPr>
            <w:tcW w:w="708" w:type="dxa"/>
            <w:tcBorders>
              <w:top w:val="single" w:color="auto" w:sz="4" w:space="0"/>
              <w:left w:val="single" w:color="auto" w:sz="4" w:space="0"/>
              <w:bottom w:val="single" w:color="auto" w:sz="4" w:space="0"/>
              <w:right w:val="single" w:color="auto" w:sz="4" w:space="0"/>
            </w:tcBorders>
            <w:vAlign w:val="center"/>
          </w:tcPr>
          <w:p w14:paraId="48AC0E29">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数量</w:t>
            </w:r>
          </w:p>
        </w:tc>
        <w:tc>
          <w:tcPr>
            <w:tcW w:w="1843" w:type="dxa"/>
            <w:tcBorders>
              <w:top w:val="single" w:color="auto" w:sz="4" w:space="0"/>
              <w:left w:val="single" w:color="auto" w:sz="4" w:space="0"/>
              <w:bottom w:val="single" w:color="auto" w:sz="4" w:space="0"/>
              <w:right w:val="single" w:color="auto" w:sz="4" w:space="0"/>
            </w:tcBorders>
            <w:vAlign w:val="center"/>
          </w:tcPr>
          <w:p w14:paraId="7B59502B">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货物参数要求</w:t>
            </w:r>
          </w:p>
        </w:tc>
        <w:tc>
          <w:tcPr>
            <w:tcW w:w="851" w:type="dxa"/>
            <w:tcBorders>
              <w:top w:val="single" w:color="auto" w:sz="4" w:space="0"/>
              <w:left w:val="single" w:color="auto" w:sz="4" w:space="0"/>
              <w:bottom w:val="single" w:color="auto" w:sz="4" w:space="0"/>
              <w:right w:val="single" w:color="auto" w:sz="4" w:space="0"/>
            </w:tcBorders>
            <w:vAlign w:val="center"/>
          </w:tcPr>
          <w:p w14:paraId="2B23F605">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货物</w:t>
            </w:r>
          </w:p>
          <w:p w14:paraId="205D4F84">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名称</w:t>
            </w:r>
          </w:p>
        </w:tc>
        <w:tc>
          <w:tcPr>
            <w:tcW w:w="708" w:type="dxa"/>
            <w:tcBorders>
              <w:top w:val="single" w:color="auto" w:sz="4" w:space="0"/>
              <w:left w:val="single" w:color="auto" w:sz="4" w:space="0"/>
              <w:bottom w:val="single" w:color="auto" w:sz="4" w:space="0"/>
              <w:right w:val="single" w:color="auto" w:sz="4" w:space="0"/>
            </w:tcBorders>
            <w:vAlign w:val="center"/>
          </w:tcPr>
          <w:p w14:paraId="49478B90">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数量</w:t>
            </w:r>
          </w:p>
        </w:tc>
        <w:tc>
          <w:tcPr>
            <w:tcW w:w="2268" w:type="dxa"/>
            <w:tcBorders>
              <w:top w:val="single" w:color="auto" w:sz="4" w:space="0"/>
              <w:left w:val="single" w:color="auto" w:sz="4" w:space="0"/>
              <w:bottom w:val="single" w:color="auto" w:sz="4" w:space="0"/>
              <w:right w:val="single" w:color="auto" w:sz="4" w:space="0"/>
            </w:tcBorders>
            <w:vAlign w:val="center"/>
          </w:tcPr>
          <w:p w14:paraId="6EBD2F53">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货物参数</w:t>
            </w:r>
          </w:p>
        </w:tc>
        <w:tc>
          <w:tcPr>
            <w:tcW w:w="1225" w:type="dxa"/>
            <w:tcBorders>
              <w:top w:val="single" w:color="auto" w:sz="4" w:space="0"/>
              <w:left w:val="single" w:color="auto" w:sz="4" w:space="0"/>
              <w:bottom w:val="single" w:color="auto" w:sz="4" w:space="0"/>
              <w:right w:val="single" w:color="auto" w:sz="4" w:space="0"/>
            </w:tcBorders>
            <w:vAlign w:val="center"/>
          </w:tcPr>
          <w:p w14:paraId="6D88C108">
            <w:pPr>
              <w:widowControl/>
              <w:jc w:val="left"/>
              <w:rPr>
                <w:rFonts w:hint="eastAsia" w:ascii="宋体" w:hAnsi="宋体" w:eastAsia="宋体" w:cs="宋体"/>
                <w:color w:val="000000" w:themeColor="text1"/>
                <w:szCs w:val="21"/>
                <w:highlight w:val="none"/>
                <w14:textFill>
                  <w14:solidFill>
                    <w14:schemeClr w14:val="tx1"/>
                  </w14:solidFill>
                </w14:textFill>
              </w:rPr>
            </w:pPr>
          </w:p>
        </w:tc>
      </w:tr>
      <w:tr w14:paraId="26D59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7AD93850">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851" w:type="dxa"/>
            <w:tcBorders>
              <w:top w:val="single" w:color="auto" w:sz="4" w:space="0"/>
              <w:left w:val="single" w:color="auto" w:sz="4" w:space="0"/>
              <w:bottom w:val="single" w:color="auto" w:sz="4" w:space="0"/>
              <w:right w:val="single" w:color="auto" w:sz="4" w:space="0"/>
            </w:tcBorders>
            <w:vAlign w:val="center"/>
          </w:tcPr>
          <w:p w14:paraId="12764075">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708" w:type="dxa"/>
            <w:tcBorders>
              <w:top w:val="single" w:color="auto" w:sz="4" w:space="0"/>
              <w:left w:val="single" w:color="auto" w:sz="4" w:space="0"/>
              <w:bottom w:val="single" w:color="auto" w:sz="4" w:space="0"/>
              <w:right w:val="single" w:color="auto" w:sz="4" w:space="0"/>
            </w:tcBorders>
            <w:vAlign w:val="center"/>
          </w:tcPr>
          <w:p w14:paraId="6035B0AC">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1843" w:type="dxa"/>
            <w:tcBorders>
              <w:top w:val="single" w:color="auto" w:sz="4" w:space="0"/>
              <w:left w:val="single" w:color="auto" w:sz="4" w:space="0"/>
              <w:bottom w:val="single" w:color="auto" w:sz="4" w:space="0"/>
              <w:right w:val="single" w:color="auto" w:sz="4" w:space="0"/>
            </w:tcBorders>
            <w:vAlign w:val="center"/>
          </w:tcPr>
          <w:p w14:paraId="01B4DDFD">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  ……</w:t>
            </w:r>
          </w:p>
          <w:p w14:paraId="0B3D48F3">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  ……</w:t>
            </w:r>
          </w:p>
          <w:p w14:paraId="009D2A5D">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  ……</w:t>
            </w:r>
          </w:p>
          <w:p w14:paraId="38D4E927">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851" w:type="dxa"/>
            <w:tcBorders>
              <w:top w:val="single" w:color="auto" w:sz="4" w:space="0"/>
              <w:left w:val="single" w:color="auto" w:sz="4" w:space="0"/>
              <w:bottom w:val="single" w:color="auto" w:sz="4" w:space="0"/>
              <w:right w:val="single" w:color="auto" w:sz="4" w:space="0"/>
            </w:tcBorders>
            <w:vAlign w:val="center"/>
          </w:tcPr>
          <w:p w14:paraId="0CC3B760">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708" w:type="dxa"/>
            <w:tcBorders>
              <w:top w:val="single" w:color="auto" w:sz="4" w:space="0"/>
              <w:left w:val="single" w:color="auto" w:sz="4" w:space="0"/>
              <w:bottom w:val="single" w:color="auto" w:sz="4" w:space="0"/>
              <w:right w:val="single" w:color="auto" w:sz="4" w:space="0"/>
            </w:tcBorders>
            <w:vAlign w:val="center"/>
          </w:tcPr>
          <w:p w14:paraId="11E7F930">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2268" w:type="dxa"/>
            <w:tcBorders>
              <w:top w:val="single" w:color="auto" w:sz="4" w:space="0"/>
              <w:left w:val="single" w:color="auto" w:sz="4" w:space="0"/>
              <w:bottom w:val="single" w:color="auto" w:sz="4" w:space="0"/>
              <w:right w:val="single" w:color="auto" w:sz="4" w:space="0"/>
            </w:tcBorders>
            <w:vAlign w:val="center"/>
          </w:tcPr>
          <w:p w14:paraId="1E0D2B7C">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  ……</w:t>
            </w:r>
          </w:p>
          <w:p w14:paraId="27A2BC95">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  ……</w:t>
            </w:r>
          </w:p>
          <w:p w14:paraId="0A6ABC4C">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  ……</w:t>
            </w:r>
          </w:p>
          <w:p w14:paraId="771032C3">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1225" w:type="dxa"/>
            <w:tcBorders>
              <w:top w:val="single" w:color="auto" w:sz="4" w:space="0"/>
              <w:left w:val="single" w:color="auto" w:sz="4" w:space="0"/>
              <w:bottom w:val="single" w:color="auto" w:sz="4" w:space="0"/>
              <w:right w:val="single" w:color="auto" w:sz="4" w:space="0"/>
            </w:tcBorders>
            <w:vAlign w:val="center"/>
          </w:tcPr>
          <w:p w14:paraId="4BBB1A1C">
            <w:pPr>
              <w:rPr>
                <w:rFonts w:hint="eastAsia" w:ascii="宋体" w:hAnsi="宋体" w:eastAsia="宋体" w:cs="宋体"/>
                <w:color w:val="000000" w:themeColor="text1"/>
                <w:szCs w:val="21"/>
                <w:highlight w:val="none"/>
                <w14:textFill>
                  <w14:solidFill>
                    <w14:schemeClr w14:val="tx1"/>
                  </w14:solidFill>
                </w14:textFill>
              </w:rPr>
            </w:pPr>
          </w:p>
        </w:tc>
      </w:tr>
      <w:tr w14:paraId="0B86C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0C6BCC0A">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851" w:type="dxa"/>
            <w:tcBorders>
              <w:top w:val="single" w:color="auto" w:sz="4" w:space="0"/>
              <w:left w:val="single" w:color="auto" w:sz="4" w:space="0"/>
              <w:bottom w:val="single" w:color="auto" w:sz="4" w:space="0"/>
              <w:right w:val="single" w:color="auto" w:sz="4" w:space="0"/>
            </w:tcBorders>
            <w:vAlign w:val="center"/>
          </w:tcPr>
          <w:p w14:paraId="40B19C29">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708" w:type="dxa"/>
            <w:tcBorders>
              <w:top w:val="single" w:color="auto" w:sz="4" w:space="0"/>
              <w:left w:val="single" w:color="auto" w:sz="4" w:space="0"/>
              <w:bottom w:val="single" w:color="auto" w:sz="4" w:space="0"/>
              <w:right w:val="single" w:color="auto" w:sz="4" w:space="0"/>
            </w:tcBorders>
            <w:vAlign w:val="center"/>
          </w:tcPr>
          <w:p w14:paraId="12C750AE">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1843" w:type="dxa"/>
            <w:tcBorders>
              <w:top w:val="single" w:color="auto" w:sz="4" w:space="0"/>
              <w:left w:val="single" w:color="auto" w:sz="4" w:space="0"/>
              <w:bottom w:val="single" w:color="auto" w:sz="4" w:space="0"/>
              <w:right w:val="single" w:color="auto" w:sz="4" w:space="0"/>
            </w:tcBorders>
            <w:vAlign w:val="center"/>
          </w:tcPr>
          <w:p w14:paraId="110D1B36">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  ……</w:t>
            </w:r>
          </w:p>
          <w:p w14:paraId="490EC4B0">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  ……</w:t>
            </w:r>
          </w:p>
          <w:p w14:paraId="44E266F7">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  ……</w:t>
            </w:r>
          </w:p>
          <w:p w14:paraId="21B6078A">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851" w:type="dxa"/>
            <w:tcBorders>
              <w:top w:val="single" w:color="auto" w:sz="4" w:space="0"/>
              <w:left w:val="single" w:color="auto" w:sz="4" w:space="0"/>
              <w:bottom w:val="single" w:color="auto" w:sz="4" w:space="0"/>
              <w:right w:val="single" w:color="auto" w:sz="4" w:space="0"/>
            </w:tcBorders>
            <w:vAlign w:val="center"/>
          </w:tcPr>
          <w:p w14:paraId="29A82E05">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708" w:type="dxa"/>
            <w:tcBorders>
              <w:top w:val="single" w:color="auto" w:sz="4" w:space="0"/>
              <w:left w:val="single" w:color="auto" w:sz="4" w:space="0"/>
              <w:bottom w:val="single" w:color="auto" w:sz="4" w:space="0"/>
              <w:right w:val="single" w:color="auto" w:sz="4" w:space="0"/>
            </w:tcBorders>
            <w:vAlign w:val="center"/>
          </w:tcPr>
          <w:p w14:paraId="08C142B9">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2268" w:type="dxa"/>
            <w:tcBorders>
              <w:top w:val="single" w:color="auto" w:sz="4" w:space="0"/>
              <w:left w:val="single" w:color="auto" w:sz="4" w:space="0"/>
              <w:bottom w:val="single" w:color="auto" w:sz="4" w:space="0"/>
              <w:right w:val="single" w:color="auto" w:sz="4" w:space="0"/>
            </w:tcBorders>
            <w:vAlign w:val="center"/>
          </w:tcPr>
          <w:p w14:paraId="1189790F">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  ……</w:t>
            </w:r>
          </w:p>
          <w:p w14:paraId="12E23F11">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  ……</w:t>
            </w:r>
          </w:p>
          <w:p w14:paraId="677EB101">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  ……</w:t>
            </w:r>
          </w:p>
          <w:p w14:paraId="0841180E">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1225" w:type="dxa"/>
            <w:tcBorders>
              <w:top w:val="single" w:color="auto" w:sz="4" w:space="0"/>
              <w:left w:val="single" w:color="auto" w:sz="4" w:space="0"/>
              <w:bottom w:val="single" w:color="auto" w:sz="4" w:space="0"/>
              <w:right w:val="single" w:color="auto" w:sz="4" w:space="0"/>
            </w:tcBorders>
            <w:vAlign w:val="center"/>
          </w:tcPr>
          <w:p w14:paraId="717BACFC">
            <w:pPr>
              <w:rPr>
                <w:rFonts w:hint="eastAsia" w:ascii="宋体" w:hAnsi="宋体" w:eastAsia="宋体" w:cs="宋体"/>
                <w:color w:val="000000" w:themeColor="text1"/>
                <w:szCs w:val="21"/>
                <w:highlight w:val="none"/>
                <w14:textFill>
                  <w14:solidFill>
                    <w14:schemeClr w14:val="tx1"/>
                  </w14:solidFill>
                </w14:textFill>
              </w:rPr>
            </w:pPr>
          </w:p>
        </w:tc>
      </w:tr>
      <w:tr w14:paraId="7598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4A6006F2">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851" w:type="dxa"/>
            <w:tcBorders>
              <w:top w:val="single" w:color="auto" w:sz="4" w:space="0"/>
              <w:left w:val="single" w:color="auto" w:sz="4" w:space="0"/>
              <w:bottom w:val="single" w:color="auto" w:sz="4" w:space="0"/>
              <w:right w:val="single" w:color="auto" w:sz="4" w:space="0"/>
            </w:tcBorders>
            <w:vAlign w:val="center"/>
          </w:tcPr>
          <w:p w14:paraId="49B5059B">
            <w:pPr>
              <w:rPr>
                <w:rFonts w:hint="eastAsia" w:ascii="宋体" w:hAnsi="宋体" w:eastAsia="宋体" w:cs="宋体"/>
                <w:color w:val="000000" w:themeColor="text1"/>
                <w:szCs w:val="21"/>
                <w:highlight w:val="none"/>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2EC512A4">
            <w:pPr>
              <w:rPr>
                <w:rFonts w:hint="eastAsia" w:ascii="宋体" w:hAnsi="宋体" w:eastAsia="宋体" w:cs="宋体"/>
                <w:color w:val="000000" w:themeColor="text1"/>
                <w:szCs w:val="2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78081C91">
            <w:pPr>
              <w:rPr>
                <w:rFonts w:hint="eastAsia" w:ascii="宋体" w:hAnsi="宋体" w:eastAsia="宋体" w:cs="宋体"/>
                <w:color w:val="000000" w:themeColor="text1"/>
                <w:szCs w:val="21"/>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14:paraId="6F7601B4">
            <w:pPr>
              <w:rPr>
                <w:rFonts w:hint="eastAsia" w:ascii="宋体" w:hAnsi="宋体" w:eastAsia="宋体" w:cs="宋体"/>
                <w:color w:val="000000" w:themeColor="text1"/>
                <w:szCs w:val="21"/>
                <w:highlight w:val="none"/>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6FB2A585">
            <w:pPr>
              <w:rPr>
                <w:rFonts w:hint="eastAsia" w:ascii="宋体" w:hAnsi="宋体" w:eastAsia="宋体" w:cs="宋体"/>
                <w:color w:val="000000" w:themeColor="text1"/>
                <w:szCs w:val="21"/>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14:paraId="3C873B77">
            <w:pPr>
              <w:rPr>
                <w:rFonts w:hint="eastAsia" w:ascii="宋体" w:hAnsi="宋体" w:eastAsia="宋体" w:cs="宋体"/>
                <w:color w:val="000000" w:themeColor="text1"/>
                <w:szCs w:val="21"/>
                <w:highlight w:val="none"/>
                <w14:textFill>
                  <w14:solidFill>
                    <w14:schemeClr w14:val="tx1"/>
                  </w14:solidFill>
                </w14:textFill>
              </w:rPr>
            </w:pPr>
          </w:p>
        </w:tc>
        <w:tc>
          <w:tcPr>
            <w:tcW w:w="1225" w:type="dxa"/>
            <w:tcBorders>
              <w:top w:val="single" w:color="auto" w:sz="4" w:space="0"/>
              <w:left w:val="single" w:color="auto" w:sz="4" w:space="0"/>
              <w:bottom w:val="single" w:color="auto" w:sz="4" w:space="0"/>
              <w:right w:val="single" w:color="auto" w:sz="4" w:space="0"/>
            </w:tcBorders>
            <w:vAlign w:val="center"/>
          </w:tcPr>
          <w:p w14:paraId="55F3F5D5">
            <w:pPr>
              <w:rPr>
                <w:rFonts w:hint="eastAsia" w:ascii="宋体" w:hAnsi="宋体" w:eastAsia="宋体" w:cs="宋体"/>
                <w:color w:val="000000" w:themeColor="text1"/>
                <w:szCs w:val="21"/>
                <w:highlight w:val="none"/>
                <w14:textFill>
                  <w14:solidFill>
                    <w14:schemeClr w14:val="tx1"/>
                  </w14:solidFill>
                </w14:textFill>
              </w:rPr>
            </w:pPr>
          </w:p>
        </w:tc>
      </w:tr>
    </w:tbl>
    <w:p w14:paraId="11E20044">
      <w:pPr>
        <w:pStyle w:val="26"/>
        <w:rPr>
          <w:rFonts w:hint="eastAsia" w:ascii="宋体" w:hAnsi="宋体" w:eastAsia="宋体" w:cs="宋体"/>
          <w:color w:val="000000" w:themeColor="text1"/>
          <w:sz w:val="24"/>
          <w:szCs w:val="24"/>
          <w:highlight w:val="none"/>
          <w14:textFill>
            <w14:solidFill>
              <w14:schemeClr w14:val="tx1"/>
            </w14:solidFill>
          </w14:textFill>
        </w:rPr>
      </w:pPr>
    </w:p>
    <w:p w14:paraId="2EA5C0B3">
      <w:pPr>
        <w:pStyle w:val="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w:t>
      </w:r>
    </w:p>
    <w:p w14:paraId="0F17EE02">
      <w:pPr>
        <w:pStyle w:val="21"/>
        <w:spacing w:line="360" w:lineRule="auto"/>
        <w:ind w:firstLine="0" w:firstLineChars="0"/>
        <w:rPr>
          <w:rFonts w:hint="eastAsia" w:ascii="宋体" w:hAnsi="宋体" w:eastAsia="宋体" w:cs="宋体"/>
          <w:color w:val="000000" w:themeColor="text1"/>
          <w:szCs w:val="32"/>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说明：应对照招标文件“第二章 采购需求”中的“技术要求”逐条作明确的投标响应，并作出偏离说明。</w:t>
      </w:r>
    </w:p>
    <w:p w14:paraId="37D83DCF">
      <w:pPr>
        <w:pStyle w:val="20"/>
        <w:spacing w:line="360" w:lineRule="auto"/>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2.投标人根据投标货物的性能指标，对照招标文件技术要求，在“偏离说明”中注明“</w:t>
      </w:r>
      <w:r>
        <w:rPr>
          <w:rFonts w:hint="eastAsia" w:ascii="宋体" w:hAnsi="宋体" w:eastAsia="宋体" w:cs="宋体"/>
          <w:color w:val="000000" w:themeColor="text1"/>
          <w:highlight w:val="none"/>
          <w14:textFill>
            <w14:solidFill>
              <w14:schemeClr w14:val="tx1"/>
            </w14:solidFill>
          </w14:textFill>
        </w:rPr>
        <w:t>正偏离</w:t>
      </w:r>
      <w:r>
        <w:rPr>
          <w:rFonts w:hint="eastAsia" w:ascii="宋体" w:hAnsi="宋体" w:eastAsia="宋体" w:cs="宋体"/>
          <w:b w:val="0"/>
          <w:bCs w:val="0"/>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负偏离</w:t>
      </w:r>
      <w:r>
        <w:rPr>
          <w:rFonts w:hint="eastAsia" w:ascii="宋体" w:hAnsi="宋体" w:eastAsia="宋体" w:cs="宋体"/>
          <w:b w:val="0"/>
          <w:bCs w:val="0"/>
          <w:color w:val="000000" w:themeColor="text1"/>
          <w:highlight w:val="none"/>
          <w14:textFill>
            <w14:solidFill>
              <w14:schemeClr w14:val="tx1"/>
            </w14:solidFill>
          </w14:textFill>
        </w:rPr>
        <w:t>”或者“</w:t>
      </w:r>
      <w:r>
        <w:rPr>
          <w:rFonts w:hint="eastAsia" w:ascii="宋体" w:hAnsi="宋体" w:eastAsia="宋体" w:cs="宋体"/>
          <w:color w:val="000000" w:themeColor="text1"/>
          <w:highlight w:val="none"/>
          <w14:textFill>
            <w14:solidFill>
              <w14:schemeClr w14:val="tx1"/>
            </w14:solidFill>
          </w14:textFill>
        </w:rPr>
        <w:t>无偏离</w:t>
      </w:r>
      <w:r>
        <w:rPr>
          <w:rFonts w:hint="eastAsia" w:ascii="宋体" w:hAnsi="宋体" w:eastAsia="宋体" w:cs="宋体"/>
          <w:b w:val="0"/>
          <w:bCs w:val="0"/>
          <w:color w:val="000000" w:themeColor="text1"/>
          <w:highlight w:val="none"/>
          <w14:textFill>
            <w14:solidFill>
              <w14:schemeClr w14:val="tx1"/>
            </w14:solidFill>
          </w14:textFill>
        </w:rPr>
        <w:t>”。既不属于“</w:t>
      </w:r>
      <w:r>
        <w:rPr>
          <w:rFonts w:hint="eastAsia" w:ascii="宋体" w:hAnsi="宋体" w:eastAsia="宋体" w:cs="宋体"/>
          <w:color w:val="000000" w:themeColor="text1"/>
          <w:highlight w:val="none"/>
          <w14:textFill>
            <w14:solidFill>
              <w14:schemeClr w14:val="tx1"/>
            </w14:solidFill>
          </w14:textFill>
        </w:rPr>
        <w:t>正偏离</w:t>
      </w:r>
      <w:r>
        <w:rPr>
          <w:rFonts w:hint="eastAsia" w:ascii="宋体" w:hAnsi="宋体" w:eastAsia="宋体" w:cs="宋体"/>
          <w:b w:val="0"/>
          <w:bCs w:val="0"/>
          <w:color w:val="000000" w:themeColor="text1"/>
          <w:highlight w:val="none"/>
          <w14:textFill>
            <w14:solidFill>
              <w14:schemeClr w14:val="tx1"/>
            </w14:solidFill>
          </w14:textFill>
        </w:rPr>
        <w:t>”也不属于“</w:t>
      </w:r>
      <w:r>
        <w:rPr>
          <w:rFonts w:hint="eastAsia" w:ascii="宋体" w:hAnsi="宋体" w:eastAsia="宋体" w:cs="宋体"/>
          <w:color w:val="000000" w:themeColor="text1"/>
          <w:highlight w:val="none"/>
          <w14:textFill>
            <w14:solidFill>
              <w14:schemeClr w14:val="tx1"/>
            </w14:solidFill>
          </w14:textFill>
        </w:rPr>
        <w:t>负偏离</w:t>
      </w:r>
      <w:r>
        <w:rPr>
          <w:rFonts w:hint="eastAsia" w:ascii="宋体" w:hAnsi="宋体" w:eastAsia="宋体" w:cs="宋体"/>
          <w:b w:val="0"/>
          <w:bCs w:val="0"/>
          <w:color w:val="000000" w:themeColor="text1"/>
          <w:highlight w:val="none"/>
          <w14:textFill>
            <w14:solidFill>
              <w14:schemeClr w14:val="tx1"/>
            </w14:solidFill>
          </w14:textFill>
        </w:rPr>
        <w:t>”即为“</w:t>
      </w:r>
      <w:r>
        <w:rPr>
          <w:rFonts w:hint="eastAsia" w:ascii="宋体" w:hAnsi="宋体" w:eastAsia="宋体" w:cs="宋体"/>
          <w:color w:val="000000" w:themeColor="text1"/>
          <w:highlight w:val="none"/>
          <w14:textFill>
            <w14:solidFill>
              <w14:schemeClr w14:val="tx1"/>
            </w14:solidFill>
          </w14:textFill>
        </w:rPr>
        <w:t>无偏离</w:t>
      </w:r>
      <w:r>
        <w:rPr>
          <w:rFonts w:hint="eastAsia" w:ascii="宋体" w:hAnsi="宋体" w:eastAsia="宋体" w:cs="宋体"/>
          <w:b w:val="0"/>
          <w:bCs w:val="0"/>
          <w:color w:val="000000" w:themeColor="text1"/>
          <w:highlight w:val="none"/>
          <w14:textFill>
            <w14:solidFill>
              <w14:schemeClr w14:val="tx1"/>
            </w14:solidFill>
          </w14:textFill>
        </w:rPr>
        <w:t>”。</w:t>
      </w:r>
    </w:p>
    <w:p w14:paraId="5491E89E">
      <w:pPr>
        <w:pStyle w:val="21"/>
        <w:spacing w:line="360" w:lineRule="auto"/>
        <w:ind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如技术要求偏离表中的投标响应与佐证材料不一致的</w:t>
      </w:r>
      <w:r>
        <w:rPr>
          <w:rFonts w:hint="eastAsia" w:ascii="宋体" w:hAnsi="宋体" w:eastAsia="宋体" w:cs="宋体"/>
          <w:b/>
          <w:bCs/>
          <w:color w:val="000000" w:themeColor="text1"/>
          <w:sz w:val="24"/>
          <w:szCs w:val="24"/>
          <w:highlight w:val="none"/>
          <w14:textFill>
            <w14:solidFill>
              <w14:schemeClr w14:val="tx1"/>
            </w14:solidFill>
          </w14:textFill>
        </w:rPr>
        <w:t>，按无效投标处理</w:t>
      </w:r>
      <w:r>
        <w:rPr>
          <w:rFonts w:hint="eastAsia" w:ascii="宋体" w:hAnsi="宋体" w:eastAsia="宋体" w:cs="宋体"/>
          <w:color w:val="000000" w:themeColor="text1"/>
          <w:sz w:val="24"/>
          <w:szCs w:val="24"/>
          <w:highlight w:val="none"/>
          <w14:textFill>
            <w14:solidFill>
              <w14:schemeClr w14:val="tx1"/>
            </w14:solidFill>
          </w14:textFill>
        </w:rPr>
        <w:t>。</w:t>
      </w:r>
    </w:p>
    <w:p w14:paraId="4FC30E0E">
      <w:pPr>
        <w:snapToGrid w:val="0"/>
        <w:spacing w:before="50" w:after="50" w:line="360" w:lineRule="auto"/>
        <w:rPr>
          <w:rFonts w:hint="eastAsia" w:ascii="宋体" w:hAnsi="宋体" w:eastAsia="宋体" w:cs="宋体"/>
          <w:color w:val="000000" w:themeColor="text1"/>
          <w:sz w:val="24"/>
          <w:highlight w:val="none"/>
          <w14:textFill>
            <w14:solidFill>
              <w14:schemeClr w14:val="tx1"/>
            </w14:solidFill>
          </w14:textFill>
        </w:rPr>
      </w:pPr>
    </w:p>
    <w:p w14:paraId="2C1F935C">
      <w:pPr>
        <w:snapToGrid w:val="0"/>
        <w:spacing w:before="50" w:after="50" w:line="360" w:lineRule="auto"/>
        <w:rPr>
          <w:rFonts w:hint="eastAsia"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法定代表人或者委托代理人</w:t>
      </w:r>
      <w:r>
        <w:rPr>
          <w:rFonts w:hint="eastAsia" w:ascii="宋体" w:hAnsi="宋体" w:eastAsia="宋体" w:cs="宋体"/>
          <w:color w:val="000000" w:themeColor="text1"/>
          <w:spacing w:val="20"/>
          <w:sz w:val="24"/>
          <w:highlight w:val="none"/>
          <w14:textFill>
            <w14:solidFill>
              <w14:schemeClr w14:val="tx1"/>
            </w14:solidFill>
          </w14:textFill>
        </w:rPr>
        <w:t>（签字）：</w:t>
      </w:r>
    </w:p>
    <w:p w14:paraId="744C36DA">
      <w:pPr>
        <w:snapToGrid w:val="0"/>
        <w:spacing w:before="50" w:after="50" w:line="360" w:lineRule="auto"/>
        <w:rPr>
          <w:rFonts w:hint="eastAsia"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投标人名称（电子签章）：</w:t>
      </w:r>
    </w:p>
    <w:p w14:paraId="3B042091">
      <w:pPr>
        <w:snapToGrid w:val="0"/>
        <w:spacing w:before="50" w:after="50" w:line="360" w:lineRule="auto"/>
        <w:rPr>
          <w:rFonts w:hint="eastAsia"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日 期：</w:t>
      </w:r>
    </w:p>
    <w:p w14:paraId="5DFB3F8D">
      <w:pPr>
        <w:pStyle w:val="2"/>
        <w:rPr>
          <w:rFonts w:hint="eastAsia" w:ascii="宋体" w:hAnsi="宋体" w:eastAsia="宋体" w:cs="宋体"/>
          <w:color w:val="000000" w:themeColor="text1"/>
          <w:highlight w:val="none"/>
          <w14:textFill>
            <w14:solidFill>
              <w14:schemeClr w14:val="tx1"/>
            </w14:solidFill>
          </w14:textFill>
        </w:rPr>
      </w:pPr>
    </w:p>
    <w:p w14:paraId="2EA727D8">
      <w:pPr>
        <w:pStyle w:val="2"/>
        <w:rPr>
          <w:rFonts w:hint="eastAsia" w:ascii="宋体" w:hAnsi="宋体" w:eastAsia="宋体" w:cs="宋体"/>
          <w:color w:val="000000" w:themeColor="text1"/>
          <w:highlight w:val="none"/>
          <w14:textFill>
            <w14:solidFill>
              <w14:schemeClr w14:val="tx1"/>
            </w14:solidFill>
          </w14:textFill>
        </w:rPr>
      </w:pPr>
    </w:p>
    <w:p w14:paraId="3260D3FB">
      <w:pPr>
        <w:pStyle w:val="2"/>
        <w:rPr>
          <w:rFonts w:hint="eastAsia" w:ascii="宋体" w:hAnsi="宋体" w:eastAsia="宋体" w:cs="宋体"/>
          <w:color w:val="000000" w:themeColor="text1"/>
          <w:highlight w:val="none"/>
          <w14:textFill>
            <w14:solidFill>
              <w14:schemeClr w14:val="tx1"/>
            </w14:solidFill>
          </w14:textFill>
        </w:rPr>
      </w:pPr>
    </w:p>
    <w:p w14:paraId="7F389BCA">
      <w:pPr>
        <w:pStyle w:val="2"/>
        <w:rPr>
          <w:rFonts w:hint="eastAsia" w:ascii="宋体" w:hAnsi="宋体" w:eastAsia="宋体" w:cs="宋体"/>
          <w:color w:val="000000" w:themeColor="text1"/>
          <w:highlight w:val="none"/>
          <w14:textFill>
            <w14:solidFill>
              <w14:schemeClr w14:val="tx1"/>
            </w14:solidFill>
          </w14:textFill>
        </w:rPr>
      </w:pPr>
    </w:p>
    <w:p w14:paraId="3E5AF7F5">
      <w:pPr>
        <w:snapToGrid w:val="0"/>
        <w:spacing w:beforeLines="50" w:after="50"/>
        <w:ind w:left="142"/>
        <w:jc w:val="left"/>
        <w:rPr>
          <w:rFonts w:hint="eastAsia" w:ascii="宋体" w:hAnsi="宋体" w:eastAsia="宋体" w:cs="宋体"/>
          <w:b/>
          <w:color w:val="000000" w:themeColor="text1"/>
          <w:sz w:val="24"/>
          <w:highlight w:val="none"/>
          <w14:textFill>
            <w14:solidFill>
              <w14:schemeClr w14:val="tx1"/>
            </w14:solidFill>
          </w14:textFill>
        </w:rPr>
      </w:pPr>
    </w:p>
    <w:p w14:paraId="4C14472F">
      <w:pPr>
        <w:snapToGrid w:val="0"/>
        <w:spacing w:beforeLines="50" w:after="50"/>
        <w:ind w:left="142"/>
        <w:jc w:val="left"/>
        <w:rPr>
          <w:rFonts w:hint="eastAsia" w:ascii="宋体" w:hAnsi="宋体" w:eastAsia="宋体" w:cs="宋体"/>
          <w:b/>
          <w:color w:val="000000" w:themeColor="text1"/>
          <w:sz w:val="24"/>
          <w:highlight w:val="none"/>
          <w14:textFill>
            <w14:solidFill>
              <w14:schemeClr w14:val="tx1"/>
            </w14:solidFill>
          </w14:textFill>
        </w:rPr>
      </w:pPr>
    </w:p>
    <w:p w14:paraId="18C3BD40">
      <w:pPr>
        <w:snapToGrid w:val="0"/>
        <w:spacing w:beforeLines="50" w:after="50"/>
        <w:ind w:left="142"/>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5. 项目实施人员一览表格式</w:t>
      </w:r>
    </w:p>
    <w:p w14:paraId="1DA21FDF">
      <w:pPr>
        <w:snapToGrid w:val="0"/>
        <w:spacing w:beforeLines="50" w:after="50"/>
        <w:ind w:left="142"/>
        <w:jc w:val="left"/>
        <w:rPr>
          <w:rFonts w:hint="eastAsia" w:ascii="宋体" w:hAnsi="宋体" w:eastAsia="宋体" w:cs="宋体"/>
          <w:b/>
          <w:color w:val="000000" w:themeColor="text1"/>
          <w:sz w:val="24"/>
          <w:highlight w:val="none"/>
          <w14:textFill>
            <w14:solidFill>
              <w14:schemeClr w14:val="tx1"/>
            </w14:solidFill>
          </w14:textFill>
        </w:rPr>
      </w:pPr>
    </w:p>
    <w:p w14:paraId="366AAD2E">
      <w:pPr>
        <w:snapToGrid w:val="0"/>
        <w:spacing w:beforeLines="50" w:after="50"/>
        <w:ind w:left="142"/>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项目实施人员一览表</w:t>
      </w:r>
    </w:p>
    <w:p w14:paraId="26F21BE7">
      <w:pPr>
        <w:pStyle w:val="2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所投分标：分标</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984"/>
        <w:gridCol w:w="1418"/>
        <w:gridCol w:w="1417"/>
        <w:gridCol w:w="1843"/>
      </w:tblGrid>
      <w:tr w14:paraId="513DB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943080B">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姓名</w:t>
            </w:r>
          </w:p>
        </w:tc>
        <w:tc>
          <w:tcPr>
            <w:tcW w:w="709" w:type="dxa"/>
            <w:vAlign w:val="center"/>
          </w:tcPr>
          <w:p w14:paraId="18F0DC37">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职务</w:t>
            </w:r>
          </w:p>
        </w:tc>
        <w:tc>
          <w:tcPr>
            <w:tcW w:w="1984" w:type="dxa"/>
            <w:vAlign w:val="center"/>
          </w:tcPr>
          <w:p w14:paraId="11E45979">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专业技术资格（职称）或者职业资格或者执业资格证或者其他证书</w:t>
            </w:r>
          </w:p>
        </w:tc>
        <w:tc>
          <w:tcPr>
            <w:tcW w:w="1418" w:type="dxa"/>
            <w:vAlign w:val="center"/>
          </w:tcPr>
          <w:p w14:paraId="6BC28BC2">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证书编号</w:t>
            </w:r>
          </w:p>
        </w:tc>
        <w:tc>
          <w:tcPr>
            <w:tcW w:w="1417" w:type="dxa"/>
            <w:vAlign w:val="center"/>
          </w:tcPr>
          <w:p w14:paraId="480B7C64">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参加本单位</w:t>
            </w:r>
          </w:p>
          <w:p w14:paraId="4B544E5F">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工作时间</w:t>
            </w:r>
          </w:p>
        </w:tc>
        <w:tc>
          <w:tcPr>
            <w:tcW w:w="1843" w:type="dxa"/>
            <w:vAlign w:val="center"/>
          </w:tcPr>
          <w:p w14:paraId="29D3BD67">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劳动合同编号</w:t>
            </w:r>
          </w:p>
        </w:tc>
      </w:tr>
      <w:tr w14:paraId="1F8CB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B1CBF1D">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709" w:type="dxa"/>
            <w:vAlign w:val="center"/>
          </w:tcPr>
          <w:p w14:paraId="4F2AD917">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984" w:type="dxa"/>
            <w:vAlign w:val="center"/>
          </w:tcPr>
          <w:p w14:paraId="2129809A">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418" w:type="dxa"/>
            <w:vAlign w:val="center"/>
          </w:tcPr>
          <w:p w14:paraId="222AFA2F">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417" w:type="dxa"/>
            <w:vAlign w:val="center"/>
          </w:tcPr>
          <w:p w14:paraId="5DA04B13">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843" w:type="dxa"/>
            <w:vAlign w:val="center"/>
          </w:tcPr>
          <w:p w14:paraId="55F88EFA">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p>
        </w:tc>
      </w:tr>
      <w:tr w14:paraId="7CD5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EE657C7">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709" w:type="dxa"/>
            <w:vAlign w:val="center"/>
          </w:tcPr>
          <w:p w14:paraId="6EF60509">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984" w:type="dxa"/>
            <w:vAlign w:val="center"/>
          </w:tcPr>
          <w:p w14:paraId="538E2C5D">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418" w:type="dxa"/>
            <w:vAlign w:val="center"/>
          </w:tcPr>
          <w:p w14:paraId="77E44099">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417" w:type="dxa"/>
            <w:vAlign w:val="center"/>
          </w:tcPr>
          <w:p w14:paraId="1EB3D270">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843" w:type="dxa"/>
            <w:vAlign w:val="center"/>
          </w:tcPr>
          <w:p w14:paraId="56837F04">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p>
        </w:tc>
      </w:tr>
      <w:tr w14:paraId="041D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00504B9">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709" w:type="dxa"/>
            <w:vAlign w:val="center"/>
          </w:tcPr>
          <w:p w14:paraId="09A9FA6B">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984" w:type="dxa"/>
            <w:vAlign w:val="center"/>
          </w:tcPr>
          <w:p w14:paraId="37AE1A44">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418" w:type="dxa"/>
            <w:vAlign w:val="center"/>
          </w:tcPr>
          <w:p w14:paraId="25E5DF8B">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417" w:type="dxa"/>
            <w:vAlign w:val="center"/>
          </w:tcPr>
          <w:p w14:paraId="59C7ED8B">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843" w:type="dxa"/>
            <w:vAlign w:val="center"/>
          </w:tcPr>
          <w:p w14:paraId="6EDC3558">
            <w:pPr>
              <w:snapToGrid w:val="0"/>
              <w:spacing w:before="50" w:afterLines="50"/>
              <w:jc w:val="center"/>
              <w:rPr>
                <w:rFonts w:hint="eastAsia" w:ascii="宋体" w:hAnsi="宋体" w:eastAsia="宋体" w:cs="宋体"/>
                <w:color w:val="000000" w:themeColor="text1"/>
                <w:sz w:val="24"/>
                <w:szCs w:val="20"/>
                <w:highlight w:val="none"/>
                <w14:textFill>
                  <w14:solidFill>
                    <w14:schemeClr w14:val="tx1"/>
                  </w14:solidFill>
                </w14:textFill>
              </w:rPr>
            </w:pPr>
          </w:p>
        </w:tc>
      </w:tr>
    </w:tbl>
    <w:p w14:paraId="664D5064">
      <w:pPr>
        <w:snapToGrid w:val="0"/>
        <w:spacing w:before="50" w:afterLines="50"/>
        <w:jc w:val="left"/>
        <w:rPr>
          <w:rFonts w:hint="eastAsia" w:ascii="宋体" w:hAnsi="宋体" w:eastAsia="宋体" w:cs="宋体"/>
          <w:color w:val="000000" w:themeColor="text1"/>
          <w:sz w:val="24"/>
          <w:szCs w:val="20"/>
          <w:highlight w:val="none"/>
          <w14:textFill>
            <w14:solidFill>
              <w14:schemeClr w14:val="tx1"/>
            </w14:solidFill>
          </w14:textFill>
        </w:rPr>
      </w:pPr>
    </w:p>
    <w:p w14:paraId="7E00978F">
      <w:pPr>
        <w:spacing w:line="360" w:lineRule="auto"/>
        <w:contextualSpacing/>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注：</w:t>
      </w:r>
    </w:p>
    <w:p w14:paraId="22ABC95A">
      <w:pPr>
        <w:spacing w:line="360" w:lineRule="auto"/>
        <w:contextualSpacing/>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1.在填写时，如本表格不适合投标单位的实际情况，可根据本表格式自行制表填写。</w:t>
      </w:r>
    </w:p>
    <w:p w14:paraId="34A039CD">
      <w:pPr>
        <w:spacing w:line="360" w:lineRule="auto"/>
        <w:contextualSpacing/>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2.投标人应当附本表所列证书的复印件并加盖投标人公章。</w:t>
      </w:r>
    </w:p>
    <w:p w14:paraId="0E2D1ABB">
      <w:pPr>
        <w:spacing w:line="360" w:lineRule="auto"/>
        <w:contextualSpacing/>
        <w:rPr>
          <w:rFonts w:hint="eastAsia" w:ascii="宋体" w:hAnsi="宋体" w:eastAsia="宋体" w:cs="宋体"/>
          <w:color w:val="000000" w:themeColor="text1"/>
          <w:sz w:val="24"/>
          <w:highlight w:val="none"/>
          <w14:textFill>
            <w14:solidFill>
              <w14:schemeClr w14:val="tx1"/>
            </w14:solidFill>
          </w14:textFill>
        </w:rPr>
      </w:pPr>
    </w:p>
    <w:p w14:paraId="2264F98F">
      <w:pPr>
        <w:spacing w:line="360" w:lineRule="auto"/>
        <w:contextualSpacing/>
        <w:rPr>
          <w:rFonts w:hint="eastAsia" w:ascii="宋体" w:hAnsi="宋体" w:eastAsia="宋体" w:cs="宋体"/>
          <w:color w:val="000000" w:themeColor="text1"/>
          <w:sz w:val="24"/>
          <w:highlight w:val="none"/>
          <w14:textFill>
            <w14:solidFill>
              <w14:schemeClr w14:val="tx1"/>
            </w14:solidFill>
          </w14:textFill>
        </w:rPr>
      </w:pPr>
    </w:p>
    <w:p w14:paraId="37664BAD">
      <w:pPr>
        <w:spacing w:line="360" w:lineRule="auto"/>
        <w:contextualSpacing/>
        <w:rPr>
          <w:rFonts w:hint="eastAsia" w:ascii="宋体" w:hAnsi="宋体" w:eastAsia="宋体" w:cs="宋体"/>
          <w:color w:val="000000" w:themeColor="text1"/>
          <w:spacing w:val="20"/>
          <w:sz w:val="24"/>
          <w:szCs w:val="20"/>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法定代表人或者委托代理人</w:t>
      </w:r>
      <w:r>
        <w:rPr>
          <w:rFonts w:hint="eastAsia" w:ascii="宋体" w:hAnsi="宋体" w:eastAsia="宋体" w:cs="宋体"/>
          <w:color w:val="000000" w:themeColor="text1"/>
          <w:spacing w:val="20"/>
          <w:sz w:val="24"/>
          <w:highlight w:val="none"/>
          <w14:textFill>
            <w14:solidFill>
              <w14:schemeClr w14:val="tx1"/>
            </w14:solidFill>
          </w14:textFill>
        </w:rPr>
        <w:t>（签字）：</w:t>
      </w:r>
    </w:p>
    <w:p w14:paraId="147A3AFC">
      <w:pPr>
        <w:spacing w:line="360" w:lineRule="auto"/>
        <w:contextualSpacing/>
        <w:jc w:val="left"/>
        <w:rPr>
          <w:rFonts w:hint="eastAsia"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投标人名称（电子签章）：</w:t>
      </w:r>
    </w:p>
    <w:p w14:paraId="1B73E66B">
      <w:pPr>
        <w:spacing w:line="360" w:lineRule="auto"/>
        <w:contextualSpacing/>
        <w:jc w:val="left"/>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日 期：</w:t>
      </w:r>
    </w:p>
    <w:p w14:paraId="3C06D8B5">
      <w:pPr>
        <w:snapToGrid w:val="0"/>
        <w:spacing w:before="50" w:afterLines="50"/>
        <w:jc w:val="left"/>
        <w:rPr>
          <w:rFonts w:hint="eastAsia" w:ascii="宋体" w:hAnsi="宋体" w:eastAsia="宋体" w:cs="宋体"/>
          <w:color w:val="000000" w:themeColor="text1"/>
          <w:sz w:val="24"/>
          <w:szCs w:val="20"/>
          <w:highlight w:val="none"/>
          <w14:textFill>
            <w14:solidFill>
              <w14:schemeClr w14:val="tx1"/>
            </w14:solidFill>
          </w14:textFill>
        </w:rPr>
      </w:pPr>
    </w:p>
    <w:p w14:paraId="337ECEB0">
      <w:pPr>
        <w:snapToGrid w:val="0"/>
        <w:spacing w:beforeLines="50" w:after="50"/>
        <w:ind w:left="142"/>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24"/>
          <w:highlight w:val="none"/>
          <w14:textFill>
            <w14:solidFill>
              <w14:schemeClr w14:val="tx1"/>
            </w14:solidFill>
          </w14:textFill>
        </w:rPr>
        <w:t>6. 选配件、专用耗材、售后服务优惠表格式（注：按项目需求表具体项目修改）</w:t>
      </w:r>
    </w:p>
    <w:p w14:paraId="5FCCD612">
      <w:pPr>
        <w:snapToGrid w:val="0"/>
        <w:spacing w:beforeLines="50" w:after="50"/>
        <w:ind w:left="142"/>
        <w:jc w:val="left"/>
        <w:rPr>
          <w:rFonts w:hint="eastAsia" w:ascii="宋体" w:hAnsi="宋体" w:eastAsia="宋体" w:cs="宋体"/>
          <w:b/>
          <w:color w:val="000000" w:themeColor="text1"/>
          <w:sz w:val="24"/>
          <w:highlight w:val="none"/>
          <w14:textFill>
            <w14:solidFill>
              <w14:schemeClr w14:val="tx1"/>
            </w14:solidFill>
          </w14:textFill>
        </w:rPr>
      </w:pPr>
    </w:p>
    <w:p w14:paraId="6218EEF7">
      <w:pPr>
        <w:snapToGrid w:val="0"/>
        <w:spacing w:beforeLines="50" w:after="50"/>
        <w:ind w:left="142"/>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选配件、专用耗材、售后服务优惠表</w:t>
      </w:r>
    </w:p>
    <w:p w14:paraId="5DD842B8">
      <w:pPr>
        <w:pStyle w:val="2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所投分标：分标</w:t>
      </w: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14:paraId="55334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9B35554">
            <w:pPr>
              <w:pStyle w:val="26"/>
              <w:snapToGrid w:val="0"/>
              <w:spacing w:before="295" w:after="295"/>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序号</w:t>
            </w:r>
          </w:p>
        </w:tc>
        <w:tc>
          <w:tcPr>
            <w:tcW w:w="2700" w:type="dxa"/>
            <w:tcBorders>
              <w:top w:val="single" w:color="auto" w:sz="4" w:space="0"/>
              <w:left w:val="single" w:color="auto" w:sz="4" w:space="0"/>
              <w:bottom w:val="single" w:color="auto" w:sz="2" w:space="0"/>
              <w:right w:val="single" w:color="auto" w:sz="4" w:space="0"/>
            </w:tcBorders>
            <w:vAlign w:val="center"/>
          </w:tcPr>
          <w:p w14:paraId="1583EDA1">
            <w:pPr>
              <w:pStyle w:val="26"/>
              <w:snapToGrid w:val="0"/>
              <w:spacing w:before="295" w:after="295"/>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14:paraId="14A62305">
            <w:pPr>
              <w:pStyle w:val="26"/>
              <w:snapToGrid w:val="0"/>
              <w:spacing w:before="295" w:after="295"/>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69F4F6D9">
            <w:pPr>
              <w:pStyle w:val="26"/>
              <w:snapToGrid w:val="0"/>
              <w:spacing w:before="295" w:after="295"/>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单价</w:t>
            </w:r>
          </w:p>
        </w:tc>
        <w:tc>
          <w:tcPr>
            <w:tcW w:w="2340" w:type="dxa"/>
            <w:tcBorders>
              <w:top w:val="single" w:color="auto" w:sz="4" w:space="0"/>
              <w:left w:val="single" w:color="auto" w:sz="4" w:space="0"/>
              <w:bottom w:val="single" w:color="auto" w:sz="2" w:space="0"/>
              <w:right w:val="single" w:color="auto" w:sz="4" w:space="0"/>
            </w:tcBorders>
            <w:vAlign w:val="center"/>
          </w:tcPr>
          <w:p w14:paraId="28740B01">
            <w:pPr>
              <w:pStyle w:val="26"/>
              <w:snapToGrid w:val="0"/>
              <w:spacing w:before="295" w:after="295"/>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比市场价优惠率</w:t>
            </w:r>
          </w:p>
        </w:tc>
      </w:tr>
      <w:tr w14:paraId="7E8D6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0D4499ED">
            <w:pPr>
              <w:pStyle w:val="26"/>
              <w:snapToGrid w:val="0"/>
              <w:spacing w:before="295" w:after="295"/>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1</w:t>
            </w:r>
          </w:p>
        </w:tc>
        <w:tc>
          <w:tcPr>
            <w:tcW w:w="2700" w:type="dxa"/>
            <w:tcBorders>
              <w:top w:val="single" w:color="auto" w:sz="2" w:space="0"/>
              <w:left w:val="single" w:color="auto" w:sz="2" w:space="0"/>
              <w:bottom w:val="single" w:color="auto" w:sz="6" w:space="0"/>
              <w:right w:val="single" w:color="auto" w:sz="4" w:space="0"/>
            </w:tcBorders>
            <w:vAlign w:val="center"/>
          </w:tcPr>
          <w:p w14:paraId="13A5499F">
            <w:pPr>
              <w:pStyle w:val="26"/>
              <w:snapToGrid w:val="0"/>
              <w:spacing w:before="295" w:after="295"/>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40" w:type="dxa"/>
            <w:tcBorders>
              <w:top w:val="single" w:color="auto" w:sz="2" w:space="0"/>
              <w:left w:val="single" w:color="auto" w:sz="4" w:space="0"/>
              <w:bottom w:val="single" w:color="auto" w:sz="6" w:space="0"/>
              <w:right w:val="single" w:color="auto" w:sz="6" w:space="0"/>
            </w:tcBorders>
            <w:vAlign w:val="center"/>
          </w:tcPr>
          <w:p w14:paraId="3DA047E5">
            <w:pPr>
              <w:pStyle w:val="26"/>
              <w:snapToGrid w:val="0"/>
              <w:spacing w:before="295" w:after="295"/>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1F09518B">
            <w:pPr>
              <w:pStyle w:val="26"/>
              <w:snapToGrid w:val="0"/>
              <w:spacing w:before="295" w:after="295"/>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2340" w:type="dxa"/>
            <w:tcBorders>
              <w:top w:val="single" w:color="auto" w:sz="2" w:space="0"/>
              <w:left w:val="single" w:color="auto" w:sz="6" w:space="0"/>
              <w:bottom w:val="single" w:color="auto" w:sz="6" w:space="0"/>
              <w:right w:val="single" w:color="auto" w:sz="2" w:space="0"/>
            </w:tcBorders>
            <w:vAlign w:val="center"/>
          </w:tcPr>
          <w:p w14:paraId="5DA6714E">
            <w:pPr>
              <w:pStyle w:val="26"/>
              <w:snapToGrid w:val="0"/>
              <w:spacing w:before="295" w:after="295"/>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w:t>
            </w:r>
          </w:p>
        </w:tc>
      </w:tr>
      <w:tr w14:paraId="2F7B6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4E1B9BDB">
            <w:pPr>
              <w:pStyle w:val="26"/>
              <w:snapToGrid w:val="0"/>
              <w:spacing w:before="295" w:after="295"/>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2</w:t>
            </w:r>
          </w:p>
        </w:tc>
        <w:tc>
          <w:tcPr>
            <w:tcW w:w="2700" w:type="dxa"/>
            <w:tcBorders>
              <w:top w:val="single" w:color="auto" w:sz="6" w:space="0"/>
              <w:left w:val="single" w:color="auto" w:sz="2" w:space="0"/>
              <w:bottom w:val="single" w:color="auto" w:sz="6" w:space="0"/>
              <w:right w:val="single" w:color="auto" w:sz="4" w:space="0"/>
            </w:tcBorders>
            <w:vAlign w:val="center"/>
          </w:tcPr>
          <w:p w14:paraId="7CA2C8D2">
            <w:pPr>
              <w:pStyle w:val="26"/>
              <w:snapToGrid w:val="0"/>
              <w:spacing w:before="295" w:after="295"/>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40" w:type="dxa"/>
            <w:tcBorders>
              <w:top w:val="single" w:color="auto" w:sz="6" w:space="0"/>
              <w:left w:val="single" w:color="auto" w:sz="4" w:space="0"/>
              <w:bottom w:val="single" w:color="auto" w:sz="6" w:space="0"/>
              <w:right w:val="single" w:color="auto" w:sz="6" w:space="0"/>
            </w:tcBorders>
            <w:vAlign w:val="center"/>
          </w:tcPr>
          <w:p w14:paraId="78FBB3B4">
            <w:pPr>
              <w:pStyle w:val="26"/>
              <w:snapToGrid w:val="0"/>
              <w:spacing w:before="295" w:after="295"/>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3A2A39FB">
            <w:pPr>
              <w:pStyle w:val="26"/>
              <w:snapToGrid w:val="0"/>
              <w:spacing w:before="295" w:after="295"/>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2340" w:type="dxa"/>
            <w:tcBorders>
              <w:top w:val="single" w:color="auto" w:sz="6" w:space="0"/>
              <w:left w:val="single" w:color="auto" w:sz="6" w:space="0"/>
              <w:bottom w:val="single" w:color="auto" w:sz="6" w:space="0"/>
              <w:right w:val="single" w:color="auto" w:sz="2" w:space="0"/>
            </w:tcBorders>
            <w:vAlign w:val="center"/>
          </w:tcPr>
          <w:p w14:paraId="2BF41768">
            <w:pPr>
              <w:pStyle w:val="26"/>
              <w:snapToGrid w:val="0"/>
              <w:spacing w:before="295" w:after="295"/>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w:t>
            </w:r>
          </w:p>
        </w:tc>
      </w:tr>
      <w:tr w14:paraId="7A8C0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47406F0D">
            <w:pPr>
              <w:pStyle w:val="26"/>
              <w:snapToGrid w:val="0"/>
              <w:spacing w:before="295" w:after="295"/>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3</w:t>
            </w:r>
          </w:p>
        </w:tc>
        <w:tc>
          <w:tcPr>
            <w:tcW w:w="2700" w:type="dxa"/>
            <w:tcBorders>
              <w:top w:val="single" w:color="auto" w:sz="6" w:space="0"/>
              <w:left w:val="single" w:color="auto" w:sz="2" w:space="0"/>
              <w:bottom w:val="single" w:color="auto" w:sz="6" w:space="0"/>
              <w:right w:val="single" w:color="auto" w:sz="4" w:space="0"/>
            </w:tcBorders>
            <w:vAlign w:val="center"/>
          </w:tcPr>
          <w:p w14:paraId="6C110BF6">
            <w:pPr>
              <w:pStyle w:val="26"/>
              <w:snapToGrid w:val="0"/>
              <w:spacing w:before="295" w:after="295"/>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40" w:type="dxa"/>
            <w:tcBorders>
              <w:top w:val="single" w:color="auto" w:sz="6" w:space="0"/>
              <w:left w:val="single" w:color="auto" w:sz="4" w:space="0"/>
              <w:bottom w:val="single" w:color="auto" w:sz="6" w:space="0"/>
              <w:right w:val="single" w:color="auto" w:sz="6" w:space="0"/>
            </w:tcBorders>
            <w:vAlign w:val="center"/>
          </w:tcPr>
          <w:p w14:paraId="53722757">
            <w:pPr>
              <w:pStyle w:val="26"/>
              <w:snapToGrid w:val="0"/>
              <w:spacing w:before="295" w:after="295"/>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2343A5B6">
            <w:pPr>
              <w:pStyle w:val="26"/>
              <w:snapToGrid w:val="0"/>
              <w:spacing w:before="295" w:after="295"/>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2340" w:type="dxa"/>
            <w:tcBorders>
              <w:top w:val="single" w:color="auto" w:sz="6" w:space="0"/>
              <w:left w:val="single" w:color="auto" w:sz="6" w:space="0"/>
              <w:bottom w:val="single" w:color="auto" w:sz="6" w:space="0"/>
              <w:right w:val="single" w:color="auto" w:sz="2" w:space="0"/>
            </w:tcBorders>
            <w:vAlign w:val="center"/>
          </w:tcPr>
          <w:p w14:paraId="1BCB51D8">
            <w:pPr>
              <w:pStyle w:val="26"/>
              <w:snapToGrid w:val="0"/>
              <w:spacing w:before="295" w:after="295"/>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w:t>
            </w:r>
          </w:p>
        </w:tc>
      </w:tr>
    </w:tbl>
    <w:p w14:paraId="30DFCA31">
      <w:pPr>
        <w:spacing w:line="360" w:lineRule="auto"/>
        <w:contextualSpacing/>
        <w:rPr>
          <w:rFonts w:hint="eastAsia" w:ascii="宋体" w:hAnsi="宋体" w:eastAsia="宋体" w:cs="宋体"/>
          <w:color w:val="000000" w:themeColor="text1"/>
          <w:sz w:val="24"/>
          <w:highlight w:val="none"/>
          <w14:textFill>
            <w14:solidFill>
              <w14:schemeClr w14:val="tx1"/>
            </w14:solidFill>
          </w14:textFill>
        </w:rPr>
      </w:pPr>
    </w:p>
    <w:p w14:paraId="0352D88E">
      <w:pPr>
        <w:spacing w:line="360" w:lineRule="auto"/>
        <w:contextualSpacing/>
        <w:rPr>
          <w:rFonts w:hint="eastAsia" w:ascii="宋体" w:hAnsi="宋体" w:eastAsia="宋体" w:cs="宋体"/>
          <w:color w:val="000000" w:themeColor="text1"/>
          <w:sz w:val="24"/>
          <w:highlight w:val="none"/>
          <w14:textFill>
            <w14:solidFill>
              <w14:schemeClr w14:val="tx1"/>
            </w14:solidFill>
          </w14:textFill>
        </w:rPr>
      </w:pPr>
    </w:p>
    <w:p w14:paraId="4816D7C5">
      <w:pPr>
        <w:spacing w:line="360" w:lineRule="auto"/>
        <w:contextualSpacing/>
        <w:rPr>
          <w:rFonts w:hint="eastAsia" w:ascii="宋体" w:hAnsi="宋体" w:eastAsia="宋体" w:cs="宋体"/>
          <w:color w:val="000000" w:themeColor="text1"/>
          <w:sz w:val="24"/>
          <w:highlight w:val="none"/>
          <w14:textFill>
            <w14:solidFill>
              <w14:schemeClr w14:val="tx1"/>
            </w14:solidFill>
          </w14:textFill>
        </w:rPr>
      </w:pPr>
    </w:p>
    <w:p w14:paraId="29511C1E">
      <w:pPr>
        <w:spacing w:line="360" w:lineRule="auto"/>
        <w:contextualSpacing/>
        <w:rPr>
          <w:rFonts w:hint="eastAsia"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法定代表人或者委托代理人</w:t>
      </w:r>
      <w:r>
        <w:rPr>
          <w:rFonts w:hint="eastAsia" w:ascii="宋体" w:hAnsi="宋体" w:eastAsia="宋体" w:cs="宋体"/>
          <w:color w:val="000000" w:themeColor="text1"/>
          <w:spacing w:val="20"/>
          <w:sz w:val="24"/>
          <w:highlight w:val="none"/>
          <w14:textFill>
            <w14:solidFill>
              <w14:schemeClr w14:val="tx1"/>
            </w14:solidFill>
          </w14:textFill>
        </w:rPr>
        <w:t>（签字）：</w:t>
      </w:r>
    </w:p>
    <w:p w14:paraId="5E94646C">
      <w:pPr>
        <w:spacing w:line="360" w:lineRule="auto"/>
        <w:contextualSpacing/>
        <w:rPr>
          <w:rFonts w:hint="eastAsia"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投标人名称（电子签章）：</w:t>
      </w:r>
    </w:p>
    <w:p w14:paraId="0DC01E0C">
      <w:pPr>
        <w:spacing w:line="360" w:lineRule="auto"/>
        <w:contextualSpacing/>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日 期：</w:t>
      </w:r>
    </w:p>
    <w:p w14:paraId="1FF7390C">
      <w:pPr>
        <w:snapToGrid w:val="0"/>
        <w:spacing w:before="50" w:afterLines="50"/>
        <w:jc w:val="left"/>
        <w:rPr>
          <w:rFonts w:hint="eastAsia" w:ascii="宋体" w:hAnsi="宋体" w:eastAsia="宋体" w:cs="宋体"/>
          <w:color w:val="000000" w:themeColor="text1"/>
          <w:sz w:val="24"/>
          <w:szCs w:val="20"/>
          <w:highlight w:val="none"/>
          <w14:textFill>
            <w14:solidFill>
              <w14:schemeClr w14:val="tx1"/>
            </w14:solidFill>
          </w14:textFill>
        </w:rPr>
      </w:pPr>
    </w:p>
    <w:p w14:paraId="20EB5D91">
      <w:pP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28"/>
          <w:szCs w:val="28"/>
          <w:highlight w:val="none"/>
          <w14:textFill>
            <w14:solidFill>
              <w14:schemeClr w14:val="tx1"/>
            </w14:solidFill>
          </w14:textFill>
        </w:rPr>
        <w:t>五、其他文书、文件格式</w:t>
      </w:r>
    </w:p>
    <w:p w14:paraId="241A5FE9">
      <w:pPr>
        <w:snapToGrid w:val="0"/>
        <w:spacing w:beforeLines="50" w:after="50"/>
        <w:ind w:left="142"/>
        <w:jc w:val="left"/>
        <w:rPr>
          <w:rFonts w:hint="eastAsia" w:ascii="宋体" w:hAnsi="宋体" w:eastAsia="宋体" w:cs="宋体"/>
          <w:b/>
          <w:color w:val="000000" w:themeColor="text1"/>
          <w:spacing w:val="20"/>
          <w:sz w:val="24"/>
          <w:highlight w:val="none"/>
          <w14:textFill>
            <w14:solidFill>
              <w14:schemeClr w14:val="tx1"/>
            </w14:solidFill>
          </w14:textFill>
        </w:rPr>
      </w:pPr>
    </w:p>
    <w:p w14:paraId="21CD52EB">
      <w:pPr>
        <w:snapToGrid w:val="0"/>
        <w:spacing w:beforeLines="50" w:after="50"/>
        <w:ind w:left="142"/>
        <w:jc w:val="left"/>
        <w:rPr>
          <w:rFonts w:hint="eastAsia" w:ascii="宋体" w:hAnsi="宋体" w:eastAsia="宋体" w:cs="宋体"/>
          <w:b/>
          <w:color w:val="000000" w:themeColor="text1"/>
          <w:spacing w:val="20"/>
          <w:sz w:val="24"/>
          <w:highlight w:val="none"/>
          <w14:textFill>
            <w14:solidFill>
              <w14:schemeClr w14:val="tx1"/>
            </w14:solidFill>
          </w14:textFill>
        </w:rPr>
      </w:pPr>
      <w:r>
        <w:rPr>
          <w:rFonts w:hint="eastAsia" w:ascii="宋体" w:hAnsi="宋体" w:eastAsia="宋体" w:cs="宋体"/>
          <w:b/>
          <w:color w:val="000000" w:themeColor="text1"/>
          <w:spacing w:val="20"/>
          <w:sz w:val="24"/>
          <w:highlight w:val="none"/>
          <w14:textFill>
            <w14:solidFill>
              <w14:schemeClr w14:val="tx1"/>
            </w14:solidFill>
          </w14:textFill>
        </w:rPr>
        <w:t>1.联合投标协议书格式</w:t>
      </w:r>
    </w:p>
    <w:p w14:paraId="1A013E73">
      <w:pPr>
        <w:snapToGrid w:val="0"/>
        <w:spacing w:beforeLines="50" w:after="50"/>
        <w:ind w:left="142"/>
        <w:jc w:val="left"/>
        <w:rPr>
          <w:rFonts w:hint="eastAsia" w:ascii="宋体" w:hAnsi="宋体" w:eastAsia="宋体" w:cs="宋体"/>
          <w:b/>
          <w:color w:val="000000" w:themeColor="text1"/>
          <w:spacing w:val="20"/>
          <w:sz w:val="24"/>
          <w:highlight w:val="none"/>
          <w14:textFill>
            <w14:solidFill>
              <w14:schemeClr w14:val="tx1"/>
            </w14:solidFill>
          </w14:textFill>
        </w:rPr>
      </w:pPr>
    </w:p>
    <w:p w14:paraId="5ED3F7C5">
      <w:pPr>
        <w:pStyle w:val="9"/>
        <w:overflowPunct w:val="0"/>
        <w:jc w:val="center"/>
        <w:rPr>
          <w:rFonts w:hint="eastAsia" w:ascii="宋体" w:hAnsi="宋体" w:eastAsia="宋体" w:cs="宋体"/>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t>联合体协议书</w:t>
      </w:r>
    </w:p>
    <w:p w14:paraId="36B3E542">
      <w:pPr>
        <w:pStyle w:val="9"/>
        <w:overflowPunct w:val="0"/>
        <w:rPr>
          <w:rFonts w:hint="eastAsia" w:ascii="宋体" w:hAnsi="宋体" w:eastAsia="宋体" w:cs="宋体"/>
          <w:color w:val="000000" w:themeColor="text1"/>
          <w:sz w:val="24"/>
          <w:highlight w:val="none"/>
          <w14:textFill>
            <w14:solidFill>
              <w14:schemeClr w14:val="tx1"/>
            </w14:solidFill>
          </w14:textFill>
        </w:rPr>
      </w:pPr>
    </w:p>
    <w:p w14:paraId="1268E966">
      <w:pPr>
        <w:pStyle w:val="9"/>
        <w:overflowPunct w:val="0"/>
        <w:spacing w:line="360" w:lineRule="auto"/>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（所有成员单位名称）自愿组成</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（联合体名称）联合体，共同参加</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u w:val="single"/>
          <w14:textFill>
            <w14:solidFill>
              <w14:schemeClr w14:val="tx1"/>
            </w14:solidFill>
          </w14:textFill>
        </w:rPr>
        <w:t>（项</w:t>
      </w:r>
      <w:r>
        <w:rPr>
          <w:rFonts w:hint="eastAsia" w:ascii="宋体" w:hAnsi="宋体" w:eastAsia="宋体" w:cs="宋体"/>
          <w:color w:val="000000" w:themeColor="text1"/>
          <w:sz w:val="24"/>
          <w:highlight w:val="none"/>
          <w14:textFill>
            <w14:solidFill>
              <w14:schemeClr w14:val="tx1"/>
            </w14:solidFill>
          </w14:textFill>
        </w:rPr>
        <w:t>目名称）采购招标项目投标。现就联合体投标事宜订立如下协议。</w:t>
      </w:r>
    </w:p>
    <w:p w14:paraId="28A8F2E3">
      <w:pPr>
        <w:pStyle w:val="9"/>
        <w:overflowPunct w:val="0"/>
        <w:spacing w:line="360" w:lineRule="auto"/>
        <w:ind w:firstLineChars="175"/>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（某成员单位名称）为</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（联合体名称）牵头人。</w:t>
      </w:r>
    </w:p>
    <w:p w14:paraId="177168E4">
      <w:pPr>
        <w:pStyle w:val="9"/>
        <w:overflowPunct w:val="0"/>
        <w:spacing w:line="360" w:lineRule="auto"/>
        <w:ind w:firstLineChars="175"/>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14:paraId="1073546D">
      <w:pPr>
        <w:pStyle w:val="9"/>
        <w:overflowPunct w:val="0"/>
        <w:spacing w:line="360" w:lineRule="auto"/>
        <w:ind w:firstLineChars="175"/>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3.联合体牵头人在本项目中签署和盖章的一切文件和处理的一切事宜，联合体各成员均予以承认。联合体各成员将严格按照招标文件、投标文件和合同的要求全面履行义务，并向招标人承担连带责任。</w:t>
      </w:r>
    </w:p>
    <w:p w14:paraId="3F7CCF64">
      <w:pPr>
        <w:pStyle w:val="9"/>
        <w:overflowPunct w:val="0"/>
        <w:spacing w:line="360" w:lineRule="auto"/>
        <w:ind w:firstLineChars="175"/>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4.联合体各成员单位内部的职责分工如下：</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w:t>
      </w:r>
    </w:p>
    <w:p w14:paraId="5EE9FB72">
      <w:pPr>
        <w:pStyle w:val="9"/>
        <w:overflowPunct w:val="0"/>
        <w:spacing w:line="360" w:lineRule="auto"/>
        <w:ind w:firstLineChars="175"/>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5.本协议书自所有成员单位法定代表人或者其委托代理人签字或者盖公章之日起生效，合同履行完毕后自动失效。</w:t>
      </w:r>
    </w:p>
    <w:p w14:paraId="60D8E581">
      <w:pPr>
        <w:pStyle w:val="9"/>
        <w:overflowPunct w:val="0"/>
        <w:spacing w:line="360" w:lineRule="auto"/>
        <w:ind w:firstLineChars="175"/>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6.本协议书一式</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份，联合体成员和招标人各执一份。</w:t>
      </w:r>
    </w:p>
    <w:p w14:paraId="107C7973">
      <w:pPr>
        <w:pStyle w:val="9"/>
        <w:overflowPunct w:val="0"/>
        <w:spacing w:line="360" w:lineRule="auto"/>
        <w:ind w:firstLineChars="175"/>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注：本协议书由法定代表人签字的，应附法定代表人身份证明；由委托代理人签字的，应附授权委托书。</w:t>
      </w:r>
    </w:p>
    <w:p w14:paraId="1299E26A">
      <w:pPr>
        <w:pStyle w:val="9"/>
        <w:overflowPunct w:val="0"/>
        <w:spacing w:line="360" w:lineRule="auto"/>
        <w:ind w:firstLineChars="175"/>
        <w:contextualSpacing/>
        <w:rPr>
          <w:rFonts w:hint="eastAsia" w:ascii="宋体" w:hAnsi="宋体" w:eastAsia="宋体" w:cs="宋体"/>
          <w:color w:val="000000" w:themeColor="text1"/>
          <w:sz w:val="24"/>
          <w:highlight w:val="none"/>
          <w14:textFill>
            <w14:solidFill>
              <w14:schemeClr w14:val="tx1"/>
            </w14:solidFill>
          </w14:textFill>
        </w:rPr>
      </w:pPr>
    </w:p>
    <w:p w14:paraId="1CF45BF5">
      <w:pPr>
        <w:pStyle w:val="9"/>
        <w:overflowPunct w:val="0"/>
        <w:spacing w:line="360" w:lineRule="auto"/>
        <w:ind w:firstLineChars="175"/>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联合体牵头人名称（电子签章）：</w:t>
      </w:r>
    </w:p>
    <w:p w14:paraId="2D2D53F9">
      <w:pPr>
        <w:pStyle w:val="9"/>
        <w:overflowPunct w:val="0"/>
        <w:spacing w:line="360" w:lineRule="auto"/>
        <w:ind w:firstLineChars="175"/>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法定代表人或者其委托代理人：</w:t>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（签字）</w:t>
      </w:r>
    </w:p>
    <w:p w14:paraId="4A4D9EBC">
      <w:pPr>
        <w:pStyle w:val="9"/>
        <w:overflowPunct w:val="0"/>
        <w:spacing w:line="360" w:lineRule="auto"/>
        <w:ind w:firstLineChars="175"/>
        <w:contextualSpacing/>
        <w:rPr>
          <w:rFonts w:hint="eastAsia" w:ascii="宋体" w:hAnsi="宋体" w:eastAsia="宋体" w:cs="宋体"/>
          <w:color w:val="000000" w:themeColor="text1"/>
          <w:sz w:val="24"/>
          <w:highlight w:val="none"/>
          <w14:textFill>
            <w14:solidFill>
              <w14:schemeClr w14:val="tx1"/>
            </w14:solidFill>
          </w14:textFill>
        </w:rPr>
      </w:pPr>
    </w:p>
    <w:p w14:paraId="04E23ADB">
      <w:pPr>
        <w:pStyle w:val="9"/>
        <w:overflowPunct w:val="0"/>
        <w:spacing w:line="360" w:lineRule="auto"/>
        <w:ind w:firstLineChars="175"/>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联合体成员名称（电子签章）：</w:t>
      </w:r>
    </w:p>
    <w:p w14:paraId="54F74ED5">
      <w:pPr>
        <w:pStyle w:val="9"/>
        <w:overflowPunct w:val="0"/>
        <w:spacing w:line="360" w:lineRule="auto"/>
        <w:ind w:firstLineChars="175"/>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法定代表人或者其委托代理人：</w:t>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（签字）</w:t>
      </w:r>
    </w:p>
    <w:p w14:paraId="70732D6C">
      <w:pPr>
        <w:pStyle w:val="9"/>
        <w:overflowPunct w:val="0"/>
        <w:spacing w:line="360" w:lineRule="auto"/>
        <w:ind w:firstLineChars="175"/>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0A4F29D4">
      <w:pPr>
        <w:pStyle w:val="9"/>
        <w:overflowPunct w:val="0"/>
        <w:spacing w:line="360" w:lineRule="auto"/>
        <w:ind w:firstLineChars="175"/>
        <w:contextualSpacing/>
        <w:rPr>
          <w:rFonts w:hint="eastAsia" w:ascii="宋体" w:hAnsi="宋体" w:eastAsia="宋体" w:cs="宋体"/>
          <w:color w:val="000000" w:themeColor="text1"/>
          <w:sz w:val="24"/>
          <w:highlight w:val="none"/>
          <w14:textFill>
            <w14:solidFill>
              <w14:schemeClr w14:val="tx1"/>
            </w14:solidFill>
          </w14:textFill>
        </w:rPr>
      </w:pPr>
    </w:p>
    <w:p w14:paraId="131C2B4C">
      <w:pPr>
        <w:pStyle w:val="9"/>
        <w:overflowPunct w:val="0"/>
        <w:spacing w:line="360" w:lineRule="auto"/>
        <w:ind w:firstLineChars="175"/>
        <w:contextualSpacing/>
        <w:jc w:val="righ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日</w:t>
      </w:r>
    </w:p>
    <w:p w14:paraId="1D0BD0C6">
      <w:pPr>
        <w:snapToGrid w:val="0"/>
        <w:spacing w:beforeLines="50" w:after="50"/>
        <w:jc w:val="left"/>
        <w:rPr>
          <w:rFonts w:hint="eastAsia" w:ascii="宋体" w:hAnsi="宋体" w:eastAsia="宋体" w:cs="宋体"/>
          <w:b/>
          <w:color w:val="000000" w:themeColor="text1"/>
          <w:sz w:val="24"/>
          <w:highlight w:val="none"/>
          <w14:textFill>
            <w14:solidFill>
              <w14:schemeClr w14:val="tx1"/>
            </w14:solidFill>
          </w14:textFill>
        </w:rPr>
      </w:pPr>
    </w:p>
    <w:p w14:paraId="21937A07">
      <w:pPr>
        <w:snapToGrid w:val="0"/>
        <w:spacing w:beforeLines="50" w:after="5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 2.中小企业声明函格式</w:t>
      </w:r>
    </w:p>
    <w:p w14:paraId="194E4DDB">
      <w:pPr>
        <w:rPr>
          <w:rFonts w:hint="eastAsia" w:ascii="宋体" w:hAnsi="宋体" w:eastAsia="宋体" w:cs="宋体"/>
          <w:color w:val="000000" w:themeColor="text1"/>
          <w:highlight w:val="none"/>
          <w14:textFill>
            <w14:solidFill>
              <w14:schemeClr w14:val="tx1"/>
            </w14:solidFill>
          </w14:textFill>
        </w:rPr>
      </w:pPr>
    </w:p>
    <w:p w14:paraId="68A33059">
      <w:pPr>
        <w:jc w:val="center"/>
        <w:rPr>
          <w:rFonts w:hint="eastAsia" w:ascii="宋体" w:hAnsi="宋体" w:eastAsia="宋体" w:cs="宋体"/>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t>中小企业声明函（货物）</w:t>
      </w:r>
    </w:p>
    <w:p w14:paraId="4A1F9FE0">
      <w:pPr>
        <w:spacing w:before="2" w:line="500" w:lineRule="exact"/>
        <w:rPr>
          <w:rFonts w:hint="eastAsia" w:ascii="宋体" w:hAnsi="宋体" w:eastAsia="宋体" w:cs="宋体"/>
          <w:b/>
          <w:bCs/>
          <w:color w:val="000000" w:themeColor="text1"/>
          <w:sz w:val="27"/>
          <w:szCs w:val="27"/>
          <w:highlight w:val="none"/>
          <w14:textFill>
            <w14:solidFill>
              <w14:schemeClr w14:val="tx1"/>
            </w14:solidFill>
          </w14:textFill>
        </w:rPr>
      </w:pPr>
    </w:p>
    <w:p w14:paraId="12E6566B">
      <w:pPr>
        <w:pStyle w:val="2"/>
        <w:spacing w:line="360" w:lineRule="auto"/>
        <w:ind w:left="-426" w:leftChars="-203" w:right="142" w:firstLine="480" w:firstLineChars="200"/>
        <w:contextualSpacing/>
        <w:rPr>
          <w:rFonts w:hint="eastAsia" w:ascii="宋体" w:hAnsi="宋体" w:eastAsia="宋体" w:cs="宋体"/>
          <w:color w:val="000000" w:themeColor="text1"/>
          <w:kern w:val="24"/>
          <w:highlight w:val="none"/>
          <w14:textFill>
            <w14:solidFill>
              <w14:schemeClr w14:val="tx1"/>
            </w14:solidFill>
          </w14:textFill>
        </w:rPr>
      </w:pPr>
      <w:r>
        <w:rPr>
          <w:rFonts w:hint="eastAsia" w:ascii="宋体" w:hAnsi="宋体" w:eastAsia="宋体" w:cs="宋体"/>
          <w:color w:val="000000" w:themeColor="text1"/>
          <w:kern w:val="24"/>
          <w:highlight w:val="none"/>
          <w14:textFill>
            <w14:solidFill>
              <w14:schemeClr w14:val="tx1"/>
            </w14:solidFill>
          </w14:textFill>
        </w:rPr>
        <w:t>本公司（联合体）郑重声明，根据《政府采购促进中小企业发展管理办法》（财库﹝2020﹞46号）的规定，本公司（联合体）参加</w:t>
      </w:r>
      <w:r>
        <w:rPr>
          <w:rFonts w:hint="eastAsia" w:ascii="宋体" w:hAnsi="宋体" w:eastAsia="宋体" w:cs="宋体"/>
          <w:color w:val="000000" w:themeColor="text1"/>
          <w:kern w:val="24"/>
          <w:highlight w:val="none"/>
          <w:u w:val="single"/>
          <w14:textFill>
            <w14:solidFill>
              <w14:schemeClr w14:val="tx1"/>
            </w14:solidFill>
          </w14:textFill>
        </w:rPr>
        <w:t>（单位名称）</w:t>
      </w:r>
      <w:r>
        <w:rPr>
          <w:rFonts w:hint="eastAsia" w:ascii="宋体" w:hAnsi="宋体" w:eastAsia="宋体" w:cs="宋体"/>
          <w:color w:val="000000" w:themeColor="text1"/>
          <w:kern w:val="24"/>
          <w:highlight w:val="none"/>
          <w14:textFill>
            <w14:solidFill>
              <w14:schemeClr w14:val="tx1"/>
            </w14:solidFill>
          </w14:textFill>
        </w:rPr>
        <w:t>的</w:t>
      </w:r>
      <w:r>
        <w:rPr>
          <w:rFonts w:hint="eastAsia" w:ascii="宋体" w:hAnsi="宋体" w:eastAsia="宋体" w:cs="宋体"/>
          <w:color w:val="000000" w:themeColor="text1"/>
          <w:kern w:val="24"/>
          <w:highlight w:val="none"/>
          <w:u w:val="single"/>
          <w14:textFill>
            <w14:solidFill>
              <w14:schemeClr w14:val="tx1"/>
            </w14:solidFill>
          </w14:textFill>
        </w:rPr>
        <w:t>（项目名称）</w:t>
      </w:r>
      <w:r>
        <w:rPr>
          <w:rFonts w:hint="eastAsia" w:ascii="宋体" w:hAnsi="宋体" w:eastAsia="宋体" w:cs="宋体"/>
          <w:color w:val="000000" w:themeColor="text1"/>
          <w:kern w:val="24"/>
          <w:highlight w:val="none"/>
          <w14:textFill>
            <w14:solidFill>
              <w14:schemeClr w14:val="tx1"/>
            </w14:solidFill>
          </w14:textFill>
        </w:rPr>
        <w:t>采购活动，</w:t>
      </w:r>
      <w:r>
        <w:rPr>
          <w:rFonts w:hint="eastAsia" w:ascii="宋体" w:hAnsi="宋体" w:eastAsia="宋体" w:cs="宋体"/>
          <w:b/>
          <w:bCs/>
          <w:color w:val="000000" w:themeColor="text1"/>
          <w:kern w:val="24"/>
          <w:highlight w:val="none"/>
          <w14:textFill>
            <w14:solidFill>
              <w14:schemeClr w14:val="tx1"/>
            </w14:solidFill>
          </w14:textFill>
        </w:rPr>
        <w:t>提供的货物全部由符合政策要求的中小企业制造</w:t>
      </w:r>
      <w:r>
        <w:rPr>
          <w:rFonts w:hint="eastAsia" w:ascii="宋体" w:hAnsi="宋体" w:eastAsia="宋体" w:cs="宋体"/>
          <w:color w:val="000000" w:themeColor="text1"/>
          <w:kern w:val="24"/>
          <w:highlight w:val="none"/>
          <w14:textFill>
            <w14:solidFill>
              <w14:schemeClr w14:val="tx1"/>
            </w14:solidFill>
          </w14:textFill>
        </w:rPr>
        <w:t>。相关企业（含联合体中的中小企业、签订分包意向协议的中小企业）的具体情况如下：</w:t>
      </w:r>
    </w:p>
    <w:p w14:paraId="7FE7441D">
      <w:pPr>
        <w:tabs>
          <w:tab w:val="left" w:pos="1384"/>
          <w:tab w:val="left" w:pos="4562"/>
          <w:tab w:val="left" w:pos="6803"/>
        </w:tabs>
        <w:spacing w:line="360" w:lineRule="auto"/>
        <w:ind w:left="-426" w:right="-58" w:firstLine="655"/>
        <w:contextualSpacing/>
        <w:rPr>
          <w:rFonts w:hint="eastAsia" w:ascii="宋体" w:hAnsi="宋体" w:eastAsia="宋体" w:cs="宋体"/>
          <w:color w:val="000000" w:themeColor="text1"/>
          <w:kern w:val="24"/>
          <w:sz w:val="24"/>
          <w:highlight w:val="none"/>
          <w14:textFill>
            <w14:solidFill>
              <w14:schemeClr w14:val="tx1"/>
            </w14:solidFill>
          </w14:textFill>
        </w:rPr>
      </w:pPr>
      <w:r>
        <w:rPr>
          <w:rFonts w:hint="eastAsia" w:ascii="宋体" w:hAnsi="宋体" w:eastAsia="宋体" w:cs="宋体"/>
          <w:color w:val="000000" w:themeColor="text1"/>
          <w:kern w:val="24"/>
          <w:sz w:val="24"/>
          <w:highlight w:val="none"/>
          <w14:textFill>
            <w14:solidFill>
              <w14:schemeClr w14:val="tx1"/>
            </w14:solidFill>
          </w14:textFill>
        </w:rPr>
        <w:t>1.</w:t>
      </w:r>
      <w:r>
        <w:rPr>
          <w:rFonts w:hint="eastAsia" w:ascii="宋体" w:hAnsi="宋体" w:eastAsia="宋体" w:cs="宋体"/>
          <w:color w:val="000000" w:themeColor="text1"/>
          <w:kern w:val="24"/>
          <w:sz w:val="24"/>
          <w:highlight w:val="none"/>
          <w:u w:val="single"/>
          <w14:textFill>
            <w14:solidFill>
              <w14:schemeClr w14:val="tx1"/>
            </w14:solidFill>
          </w14:textFill>
        </w:rPr>
        <w:t>（标的名称）</w:t>
      </w:r>
      <w:r>
        <w:rPr>
          <w:rFonts w:hint="eastAsia" w:ascii="宋体" w:hAnsi="宋体" w:eastAsia="宋体" w:cs="宋体"/>
          <w:color w:val="000000" w:themeColor="text1"/>
          <w:kern w:val="24"/>
          <w:sz w:val="24"/>
          <w:highlight w:val="none"/>
          <w14:textFill>
            <w14:solidFill>
              <w14:schemeClr w14:val="tx1"/>
            </w14:solidFill>
          </w14:textFill>
        </w:rPr>
        <w:t>，属于</w:t>
      </w:r>
      <w:r>
        <w:rPr>
          <w:rFonts w:hint="eastAsia" w:ascii="宋体" w:hAnsi="宋体" w:eastAsia="宋体" w:cs="宋体"/>
          <w:color w:val="000000" w:themeColor="text1"/>
          <w:kern w:val="24"/>
          <w:sz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kern w:val="24"/>
          <w:sz w:val="24"/>
          <w:highlight w:val="none"/>
          <w14:textFill>
            <w14:solidFill>
              <w14:schemeClr w14:val="tx1"/>
            </w14:solidFill>
          </w14:textFill>
        </w:rPr>
        <w:t>行业；制造商为</w:t>
      </w:r>
      <w:r>
        <w:rPr>
          <w:rFonts w:hint="eastAsia" w:ascii="宋体" w:hAnsi="宋体" w:eastAsia="宋体" w:cs="宋体"/>
          <w:color w:val="000000" w:themeColor="text1"/>
          <w:kern w:val="24"/>
          <w:sz w:val="24"/>
          <w:highlight w:val="none"/>
          <w:u w:val="single"/>
          <w14:textFill>
            <w14:solidFill>
              <w14:schemeClr w14:val="tx1"/>
            </w14:solidFill>
          </w14:textFill>
        </w:rPr>
        <w:t>（企业名称）</w:t>
      </w:r>
      <w:r>
        <w:rPr>
          <w:rFonts w:hint="eastAsia" w:ascii="宋体" w:hAnsi="宋体" w:eastAsia="宋体" w:cs="宋体"/>
          <w:color w:val="000000" w:themeColor="text1"/>
          <w:kern w:val="24"/>
          <w:sz w:val="24"/>
          <w:highlight w:val="none"/>
          <w14:textFill>
            <w14:solidFill>
              <w14:schemeClr w14:val="tx1"/>
            </w14:solidFill>
          </w14:textFill>
        </w:rPr>
        <w:t>，从业人员人，营业收入为万元，资产总额为万元，属于</w:t>
      </w:r>
      <w:r>
        <w:rPr>
          <w:rFonts w:hint="eastAsia" w:ascii="宋体" w:hAnsi="宋体" w:eastAsia="宋体" w:cs="宋体"/>
          <w:color w:val="000000" w:themeColor="text1"/>
          <w:kern w:val="24"/>
          <w:sz w:val="24"/>
          <w:highlight w:val="none"/>
          <w:u w:val="single"/>
          <w14:textFill>
            <w14:solidFill>
              <w14:schemeClr w14:val="tx1"/>
            </w14:solidFill>
          </w14:textFill>
        </w:rPr>
        <w:t>（中型企业、小型企业、微型企业）</w:t>
      </w:r>
      <w:r>
        <w:rPr>
          <w:rFonts w:hint="eastAsia" w:ascii="宋体" w:hAnsi="宋体" w:eastAsia="宋体" w:cs="宋体"/>
          <w:color w:val="000000" w:themeColor="text1"/>
          <w:kern w:val="24"/>
          <w:sz w:val="24"/>
          <w:highlight w:val="none"/>
          <w14:textFill>
            <w14:solidFill>
              <w14:schemeClr w14:val="tx1"/>
            </w14:solidFill>
          </w14:textFill>
        </w:rPr>
        <w:t>；</w:t>
      </w:r>
    </w:p>
    <w:p w14:paraId="40143F92">
      <w:pPr>
        <w:tabs>
          <w:tab w:val="left" w:pos="1065"/>
          <w:tab w:val="left" w:pos="6477"/>
        </w:tabs>
        <w:spacing w:line="360" w:lineRule="auto"/>
        <w:ind w:left="-426" w:right="-58" w:firstLine="655"/>
        <w:contextualSpacing/>
        <w:rPr>
          <w:rFonts w:hint="eastAsia" w:ascii="宋体" w:hAnsi="宋体" w:eastAsia="宋体" w:cs="宋体"/>
          <w:color w:val="000000" w:themeColor="text1"/>
          <w:kern w:val="24"/>
          <w:sz w:val="24"/>
          <w:highlight w:val="none"/>
          <w14:textFill>
            <w14:solidFill>
              <w14:schemeClr w14:val="tx1"/>
            </w14:solidFill>
          </w14:textFill>
        </w:rPr>
      </w:pPr>
      <w:r>
        <w:rPr>
          <w:rFonts w:hint="eastAsia" w:ascii="宋体" w:hAnsi="宋体" w:eastAsia="宋体" w:cs="宋体"/>
          <w:color w:val="000000" w:themeColor="text1"/>
          <w:kern w:val="24"/>
          <w:sz w:val="24"/>
          <w:highlight w:val="none"/>
          <w14:textFill>
            <w14:solidFill>
              <w14:schemeClr w14:val="tx1"/>
            </w14:solidFill>
          </w14:textFill>
        </w:rPr>
        <w:t>2.</w:t>
      </w:r>
      <w:r>
        <w:rPr>
          <w:rFonts w:hint="eastAsia" w:ascii="宋体" w:hAnsi="宋体" w:eastAsia="宋体" w:cs="宋体"/>
          <w:color w:val="000000" w:themeColor="text1"/>
          <w:kern w:val="24"/>
          <w:sz w:val="24"/>
          <w:highlight w:val="none"/>
          <w:u w:val="single"/>
          <w14:textFill>
            <w14:solidFill>
              <w14:schemeClr w14:val="tx1"/>
            </w14:solidFill>
          </w14:textFill>
        </w:rPr>
        <w:t>（标的名称）</w:t>
      </w:r>
      <w:r>
        <w:rPr>
          <w:rFonts w:hint="eastAsia" w:ascii="宋体" w:hAnsi="宋体" w:eastAsia="宋体" w:cs="宋体"/>
          <w:color w:val="000000" w:themeColor="text1"/>
          <w:kern w:val="24"/>
          <w:sz w:val="24"/>
          <w:highlight w:val="none"/>
          <w14:textFill>
            <w14:solidFill>
              <w14:schemeClr w14:val="tx1"/>
            </w14:solidFill>
          </w14:textFill>
        </w:rPr>
        <w:t>，属于</w:t>
      </w:r>
      <w:r>
        <w:rPr>
          <w:rFonts w:hint="eastAsia" w:ascii="宋体" w:hAnsi="宋体" w:eastAsia="宋体" w:cs="宋体"/>
          <w:color w:val="000000" w:themeColor="text1"/>
          <w:kern w:val="24"/>
          <w:sz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kern w:val="24"/>
          <w:sz w:val="24"/>
          <w:highlight w:val="none"/>
          <w14:textFill>
            <w14:solidFill>
              <w14:schemeClr w14:val="tx1"/>
            </w14:solidFill>
          </w14:textFill>
        </w:rPr>
        <w:t>行业；制造商为</w:t>
      </w:r>
      <w:r>
        <w:rPr>
          <w:rFonts w:hint="eastAsia" w:ascii="宋体" w:hAnsi="宋体" w:eastAsia="宋体" w:cs="宋体"/>
          <w:color w:val="000000" w:themeColor="text1"/>
          <w:kern w:val="24"/>
          <w:sz w:val="24"/>
          <w:highlight w:val="none"/>
          <w:u w:val="single"/>
          <w14:textFill>
            <w14:solidFill>
              <w14:schemeClr w14:val="tx1"/>
            </w14:solidFill>
          </w14:textFill>
        </w:rPr>
        <w:t>（企业名称）</w:t>
      </w:r>
      <w:r>
        <w:rPr>
          <w:rFonts w:hint="eastAsia" w:ascii="宋体" w:hAnsi="宋体" w:eastAsia="宋体" w:cs="宋体"/>
          <w:color w:val="000000" w:themeColor="text1"/>
          <w:kern w:val="24"/>
          <w:sz w:val="24"/>
          <w:highlight w:val="none"/>
          <w14:textFill>
            <w14:solidFill>
              <w14:schemeClr w14:val="tx1"/>
            </w14:solidFill>
          </w14:textFill>
        </w:rPr>
        <w:t>，从业人员人，营业收入为万元，资产总额为万元，属于</w:t>
      </w:r>
      <w:r>
        <w:rPr>
          <w:rFonts w:hint="eastAsia" w:ascii="宋体" w:hAnsi="宋体" w:eastAsia="宋体" w:cs="宋体"/>
          <w:color w:val="000000" w:themeColor="text1"/>
          <w:kern w:val="24"/>
          <w:sz w:val="24"/>
          <w:highlight w:val="none"/>
          <w:u w:val="single"/>
          <w14:textFill>
            <w14:solidFill>
              <w14:schemeClr w14:val="tx1"/>
            </w14:solidFill>
          </w14:textFill>
        </w:rPr>
        <w:t>（中型企业、小型企业、微型企业）</w:t>
      </w:r>
      <w:r>
        <w:rPr>
          <w:rFonts w:hint="eastAsia" w:ascii="宋体" w:hAnsi="宋体" w:eastAsia="宋体" w:cs="宋体"/>
          <w:color w:val="000000" w:themeColor="text1"/>
          <w:kern w:val="24"/>
          <w:sz w:val="24"/>
          <w:highlight w:val="none"/>
          <w14:textFill>
            <w14:solidFill>
              <w14:schemeClr w14:val="tx1"/>
            </w14:solidFill>
          </w14:textFill>
        </w:rPr>
        <w:t>；</w:t>
      </w:r>
    </w:p>
    <w:p w14:paraId="6C2B1883">
      <w:pPr>
        <w:pStyle w:val="2"/>
        <w:spacing w:line="360" w:lineRule="auto"/>
        <w:ind w:left="142" w:right="142"/>
        <w:contextualSpacing/>
        <w:rPr>
          <w:rFonts w:hint="eastAsia" w:ascii="宋体" w:hAnsi="宋体" w:eastAsia="宋体" w:cs="宋体"/>
          <w:color w:val="000000" w:themeColor="text1"/>
          <w:kern w:val="24"/>
          <w:highlight w:val="none"/>
          <w14:textFill>
            <w14:solidFill>
              <w14:schemeClr w14:val="tx1"/>
            </w14:solidFill>
          </w14:textFill>
        </w:rPr>
      </w:pPr>
      <w:r>
        <w:rPr>
          <w:rFonts w:hint="eastAsia" w:ascii="宋体" w:hAnsi="宋体" w:eastAsia="宋体" w:cs="宋体"/>
          <w:color w:val="000000" w:themeColor="text1"/>
          <w:kern w:val="24"/>
          <w:highlight w:val="none"/>
          <w14:textFill>
            <w14:solidFill>
              <w14:schemeClr w14:val="tx1"/>
            </w14:solidFill>
          </w14:textFill>
        </w:rPr>
        <w:t xml:space="preserve">…… </w:t>
      </w:r>
    </w:p>
    <w:p w14:paraId="06991850">
      <w:pPr>
        <w:pStyle w:val="2"/>
        <w:spacing w:line="360" w:lineRule="auto"/>
        <w:ind w:left="-405" w:leftChars="-193" w:right="142" w:firstLine="453" w:firstLineChars="189"/>
        <w:contextualSpacing/>
        <w:rPr>
          <w:rFonts w:hint="eastAsia" w:ascii="宋体" w:hAnsi="宋体" w:eastAsia="宋体" w:cs="宋体"/>
          <w:color w:val="000000" w:themeColor="text1"/>
          <w:kern w:val="24"/>
          <w:highlight w:val="none"/>
          <w14:textFill>
            <w14:solidFill>
              <w14:schemeClr w14:val="tx1"/>
            </w14:solidFill>
          </w14:textFill>
        </w:rPr>
      </w:pPr>
      <w:r>
        <w:rPr>
          <w:rFonts w:hint="eastAsia" w:ascii="宋体" w:hAnsi="宋体" w:eastAsia="宋体" w:cs="宋体"/>
          <w:color w:val="000000" w:themeColor="text1"/>
          <w:kern w:val="24"/>
          <w:highlight w:val="none"/>
          <w14:textFill>
            <w14:solidFill>
              <w14:schemeClr w14:val="tx1"/>
            </w14:solidFill>
          </w14:textFill>
        </w:rPr>
        <w:t>以上企业，不属于大企业的分支机构，不存在控股股东为大企业的情形，也不存在与大企业的负责人为同一人的情形。</w:t>
      </w:r>
    </w:p>
    <w:p w14:paraId="18B5A424">
      <w:pPr>
        <w:pStyle w:val="2"/>
        <w:spacing w:line="360" w:lineRule="auto"/>
        <w:ind w:left="-426" w:right="142" w:firstLine="567"/>
        <w:contextualSpacing/>
        <w:rPr>
          <w:rFonts w:hint="eastAsia" w:ascii="宋体" w:hAnsi="宋体" w:eastAsia="宋体" w:cs="宋体"/>
          <w:color w:val="000000" w:themeColor="text1"/>
          <w:kern w:val="24"/>
          <w:highlight w:val="none"/>
          <w14:textFill>
            <w14:solidFill>
              <w14:schemeClr w14:val="tx1"/>
            </w14:solidFill>
          </w14:textFill>
        </w:rPr>
      </w:pPr>
      <w:r>
        <w:rPr>
          <w:rFonts w:hint="eastAsia" w:ascii="宋体" w:hAnsi="宋体" w:eastAsia="宋体" w:cs="宋体"/>
          <w:color w:val="000000" w:themeColor="text1"/>
          <w:kern w:val="24"/>
          <w:highlight w:val="none"/>
          <w14:textFill>
            <w14:solidFill>
              <w14:schemeClr w14:val="tx1"/>
            </w14:solidFill>
          </w14:textFill>
        </w:rPr>
        <w:t>本企业对上述声明内容的真实性负责。如有虚假，将依法承担相应责任。</w:t>
      </w:r>
    </w:p>
    <w:p w14:paraId="19531CC3">
      <w:pPr>
        <w:pStyle w:val="2"/>
        <w:spacing w:line="360" w:lineRule="auto"/>
        <w:ind w:left="3960" w:right="1808"/>
        <w:contextualSpacing/>
        <w:rPr>
          <w:rFonts w:hint="eastAsia" w:ascii="宋体" w:hAnsi="宋体" w:eastAsia="宋体" w:cs="宋体"/>
          <w:color w:val="000000" w:themeColor="text1"/>
          <w:kern w:val="24"/>
          <w:highlight w:val="none"/>
          <w14:textFill>
            <w14:solidFill>
              <w14:schemeClr w14:val="tx1"/>
            </w14:solidFill>
          </w14:textFill>
        </w:rPr>
      </w:pPr>
    </w:p>
    <w:p w14:paraId="3EB94914">
      <w:pPr>
        <w:pStyle w:val="2"/>
        <w:spacing w:line="360" w:lineRule="auto"/>
        <w:ind w:left="3960" w:right="1808"/>
        <w:contextualSpacing/>
        <w:rPr>
          <w:rFonts w:hint="eastAsia" w:ascii="宋体" w:hAnsi="宋体" w:eastAsia="宋体" w:cs="宋体"/>
          <w:color w:val="000000" w:themeColor="text1"/>
          <w:kern w:val="24"/>
          <w:highlight w:val="none"/>
          <w14:textFill>
            <w14:solidFill>
              <w14:schemeClr w14:val="tx1"/>
            </w14:solidFill>
          </w14:textFill>
        </w:rPr>
      </w:pPr>
      <w:r>
        <w:rPr>
          <w:rFonts w:hint="eastAsia" w:ascii="宋体" w:hAnsi="宋体" w:eastAsia="宋体" w:cs="宋体"/>
          <w:color w:val="000000" w:themeColor="text1"/>
          <w:kern w:val="24"/>
          <w:highlight w:val="none"/>
          <w14:textFill>
            <w14:solidFill>
              <w14:schemeClr w14:val="tx1"/>
            </w14:solidFill>
          </w14:textFill>
        </w:rPr>
        <w:t xml:space="preserve">企业名称（章）： </w:t>
      </w:r>
    </w:p>
    <w:p w14:paraId="36630A25">
      <w:pPr>
        <w:pStyle w:val="2"/>
        <w:spacing w:line="360" w:lineRule="auto"/>
        <w:ind w:left="3960" w:right="1808"/>
        <w:contextualSpacing/>
        <w:rPr>
          <w:rFonts w:hint="eastAsia" w:ascii="宋体" w:hAnsi="宋体" w:eastAsia="宋体" w:cs="宋体"/>
          <w:color w:val="000000" w:themeColor="text1"/>
          <w:kern w:val="24"/>
          <w:highlight w:val="none"/>
          <w14:textFill>
            <w14:solidFill>
              <w14:schemeClr w14:val="tx1"/>
            </w14:solidFill>
          </w14:textFill>
        </w:rPr>
      </w:pPr>
      <w:r>
        <w:rPr>
          <w:rFonts w:hint="eastAsia" w:ascii="宋体" w:hAnsi="宋体" w:eastAsia="宋体" w:cs="宋体"/>
          <w:color w:val="000000" w:themeColor="text1"/>
          <w:kern w:val="24"/>
          <w:highlight w:val="none"/>
          <w14:textFill>
            <w14:solidFill>
              <w14:schemeClr w14:val="tx1"/>
            </w14:solidFill>
          </w14:textFill>
        </w:rPr>
        <w:t>日期：</w:t>
      </w:r>
    </w:p>
    <w:p w14:paraId="1E6BB36D">
      <w:pPr>
        <w:pStyle w:val="2"/>
        <w:spacing w:line="360" w:lineRule="auto"/>
        <w:ind w:left="3960" w:right="1808"/>
        <w:contextualSpacing/>
        <w:rPr>
          <w:rFonts w:hint="eastAsia" w:ascii="宋体" w:hAnsi="宋体" w:eastAsia="宋体" w:cs="宋体"/>
          <w:color w:val="000000" w:themeColor="text1"/>
          <w:kern w:val="24"/>
          <w:highlight w:val="none"/>
          <w14:textFill>
            <w14:solidFill>
              <w14:schemeClr w14:val="tx1"/>
            </w14:solidFill>
          </w14:textFill>
        </w:rPr>
      </w:pPr>
    </w:p>
    <w:p w14:paraId="4EFB61D3">
      <w:pPr>
        <w:pStyle w:val="2"/>
        <w:spacing w:line="360" w:lineRule="auto"/>
        <w:ind w:left="3960" w:right="1808"/>
        <w:contextualSpacing/>
        <w:rPr>
          <w:rFonts w:hint="eastAsia" w:ascii="宋体" w:hAnsi="宋体" w:eastAsia="宋体" w:cs="宋体"/>
          <w:color w:val="000000" w:themeColor="text1"/>
          <w:kern w:val="24"/>
          <w:highlight w:val="none"/>
          <w14:textFill>
            <w14:solidFill>
              <w14:schemeClr w14:val="tx1"/>
            </w14:solidFill>
          </w14:textFill>
        </w:rPr>
      </w:pPr>
    </w:p>
    <w:p w14:paraId="2C623AB9">
      <w:pPr>
        <w:pStyle w:val="2"/>
        <w:spacing w:line="360" w:lineRule="auto"/>
        <w:ind w:left="-426" w:right="142" w:firstLine="567"/>
        <w:contextualSpacing/>
        <w:rPr>
          <w:rFonts w:hint="eastAsia" w:ascii="宋体" w:hAnsi="宋体" w:eastAsia="宋体" w:cs="宋体"/>
          <w:color w:val="000000" w:themeColor="text1"/>
          <w:kern w:val="24"/>
          <w:highlight w:val="none"/>
          <w14:textFill>
            <w14:solidFill>
              <w14:schemeClr w14:val="tx1"/>
            </w14:solidFill>
          </w14:textFill>
        </w:rPr>
      </w:pPr>
      <w:r>
        <w:rPr>
          <w:rFonts w:hint="eastAsia" w:ascii="宋体" w:hAnsi="宋体" w:eastAsia="宋体" w:cs="宋体"/>
          <w:color w:val="000000" w:themeColor="text1"/>
          <w:kern w:val="24"/>
          <w:highlight w:val="none"/>
          <w14:textFill>
            <w14:solidFill>
              <w14:schemeClr w14:val="tx1"/>
            </w14:solidFill>
          </w14:textFill>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46CFA2A6">
      <w:pPr>
        <w:snapToGrid w:val="0"/>
        <w:spacing w:beforeLines="50" w:after="50"/>
        <w:ind w:left="142"/>
        <w:jc w:val="left"/>
        <w:rPr>
          <w:rFonts w:hint="eastAsia" w:ascii="宋体" w:hAnsi="宋体" w:eastAsia="宋体" w:cs="宋体"/>
          <w:b/>
          <w:color w:val="000000" w:themeColor="text1"/>
          <w:sz w:val="24"/>
          <w:highlight w:val="none"/>
          <w14:textFill>
            <w14:solidFill>
              <w14:schemeClr w14:val="tx1"/>
            </w14:solidFill>
          </w14:textFill>
        </w:rPr>
      </w:pPr>
    </w:p>
    <w:p w14:paraId="53A726FA">
      <w:pPr>
        <w:pStyle w:val="26"/>
        <w:jc w:val="left"/>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br w:type="page"/>
      </w:r>
      <w:r>
        <w:rPr>
          <w:rFonts w:hint="eastAsia" w:ascii="宋体" w:hAnsi="宋体" w:eastAsia="宋体" w:cs="宋体"/>
          <w:color w:val="000000" w:themeColor="text1"/>
          <w:sz w:val="32"/>
          <w:szCs w:val="32"/>
          <w:highlight w:val="none"/>
          <w14:textFill>
            <w14:solidFill>
              <w14:schemeClr w14:val="tx1"/>
            </w14:solidFill>
          </w14:textFill>
        </w:rPr>
        <w:t>附：</w:t>
      </w:r>
    </w:p>
    <w:p w14:paraId="621BC054">
      <w:pPr>
        <w:jc w:val="center"/>
        <w:rPr>
          <w:rFonts w:hint="eastAsia" w:ascii="宋体" w:hAnsi="宋体" w:eastAsia="宋体" w:cs="宋体"/>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t>中小微企业划型标准</w:t>
      </w:r>
    </w:p>
    <w:p w14:paraId="26DD86A0">
      <w:pPr>
        <w:ind w:left="1871"/>
        <w:rPr>
          <w:rFonts w:hint="eastAsia" w:ascii="宋体" w:hAnsi="宋体" w:eastAsia="宋体" w:cs="宋体"/>
          <w:color w:val="000000" w:themeColor="text1"/>
          <w:szCs w:val="21"/>
          <w:highlight w:val="none"/>
          <w14:textFill>
            <w14:solidFill>
              <w14:schemeClr w14:val="tx1"/>
            </w14:solidFill>
          </w14:textFill>
        </w:rPr>
      </w:pPr>
    </w:p>
    <w:tbl>
      <w:tblPr>
        <w:tblStyle w:val="48"/>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14:paraId="14D3F8D7">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022B9C8B">
            <w:pPr>
              <w:widowControl/>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行业名称</w:t>
            </w:r>
          </w:p>
        </w:tc>
        <w:tc>
          <w:tcPr>
            <w:tcW w:w="1384" w:type="dxa"/>
            <w:tcBorders>
              <w:top w:val="single" w:color="auto" w:sz="4" w:space="0"/>
              <w:left w:val="nil"/>
              <w:bottom w:val="single" w:color="auto" w:sz="4" w:space="0"/>
              <w:right w:val="single" w:color="auto" w:sz="4" w:space="0"/>
            </w:tcBorders>
            <w:vAlign w:val="center"/>
          </w:tcPr>
          <w:p w14:paraId="07A9D5AF">
            <w:pPr>
              <w:widowControl/>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指标名称</w:t>
            </w:r>
          </w:p>
        </w:tc>
        <w:tc>
          <w:tcPr>
            <w:tcW w:w="913" w:type="dxa"/>
            <w:tcBorders>
              <w:top w:val="single" w:color="auto" w:sz="4" w:space="0"/>
              <w:left w:val="nil"/>
              <w:bottom w:val="single" w:color="auto" w:sz="4" w:space="0"/>
              <w:right w:val="single" w:color="auto" w:sz="4" w:space="0"/>
            </w:tcBorders>
            <w:vAlign w:val="center"/>
          </w:tcPr>
          <w:p w14:paraId="7D2B2D78">
            <w:pPr>
              <w:widowControl/>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计量单位</w:t>
            </w:r>
          </w:p>
        </w:tc>
        <w:tc>
          <w:tcPr>
            <w:tcW w:w="1620" w:type="dxa"/>
            <w:tcBorders>
              <w:top w:val="single" w:color="auto" w:sz="4" w:space="0"/>
              <w:left w:val="nil"/>
              <w:bottom w:val="single" w:color="auto" w:sz="4" w:space="0"/>
              <w:right w:val="single" w:color="auto" w:sz="4" w:space="0"/>
            </w:tcBorders>
            <w:vAlign w:val="center"/>
          </w:tcPr>
          <w:p w14:paraId="5B565E98">
            <w:pPr>
              <w:widowControl/>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中型</w:t>
            </w:r>
          </w:p>
        </w:tc>
        <w:tc>
          <w:tcPr>
            <w:tcW w:w="1440" w:type="dxa"/>
            <w:tcBorders>
              <w:top w:val="single" w:color="auto" w:sz="4" w:space="0"/>
              <w:left w:val="nil"/>
              <w:bottom w:val="single" w:color="auto" w:sz="4" w:space="0"/>
              <w:right w:val="single" w:color="auto" w:sz="4" w:space="0"/>
            </w:tcBorders>
            <w:vAlign w:val="center"/>
          </w:tcPr>
          <w:p w14:paraId="44125BD1">
            <w:pPr>
              <w:widowControl/>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小型</w:t>
            </w:r>
          </w:p>
        </w:tc>
        <w:tc>
          <w:tcPr>
            <w:tcW w:w="925" w:type="dxa"/>
            <w:tcBorders>
              <w:top w:val="single" w:color="auto" w:sz="4" w:space="0"/>
              <w:left w:val="nil"/>
              <w:bottom w:val="single" w:color="auto" w:sz="4" w:space="0"/>
              <w:right w:val="single" w:color="auto" w:sz="4" w:space="0"/>
            </w:tcBorders>
            <w:vAlign w:val="center"/>
          </w:tcPr>
          <w:p w14:paraId="20A7B13F">
            <w:pPr>
              <w:widowControl/>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微型</w:t>
            </w:r>
          </w:p>
        </w:tc>
      </w:tr>
      <w:tr w14:paraId="582FCF0D">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7FAC3E2A">
            <w:pPr>
              <w:widowControl/>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农、林、牧、渔</w:t>
            </w:r>
          </w:p>
        </w:tc>
        <w:tc>
          <w:tcPr>
            <w:tcW w:w="1384" w:type="dxa"/>
            <w:tcBorders>
              <w:top w:val="nil"/>
              <w:left w:val="nil"/>
              <w:bottom w:val="single" w:color="auto" w:sz="4" w:space="0"/>
              <w:right w:val="single" w:color="auto" w:sz="4" w:space="0"/>
            </w:tcBorders>
            <w:vAlign w:val="center"/>
          </w:tcPr>
          <w:p w14:paraId="70DC65E0">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615484B5">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76E465E9">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500≤Y＜20000</w:t>
            </w:r>
          </w:p>
        </w:tc>
        <w:tc>
          <w:tcPr>
            <w:tcW w:w="1440" w:type="dxa"/>
            <w:tcBorders>
              <w:top w:val="nil"/>
              <w:left w:val="nil"/>
              <w:bottom w:val="single" w:color="auto" w:sz="4" w:space="0"/>
              <w:right w:val="single" w:color="auto" w:sz="4" w:space="0"/>
            </w:tcBorders>
            <w:vAlign w:val="center"/>
          </w:tcPr>
          <w:p w14:paraId="7D23D6EA">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50≤Y＜500</w:t>
            </w:r>
          </w:p>
        </w:tc>
        <w:tc>
          <w:tcPr>
            <w:tcW w:w="925" w:type="dxa"/>
            <w:tcBorders>
              <w:top w:val="nil"/>
              <w:left w:val="nil"/>
              <w:bottom w:val="single" w:color="auto" w:sz="4" w:space="0"/>
              <w:right w:val="single" w:color="auto" w:sz="4" w:space="0"/>
            </w:tcBorders>
            <w:vAlign w:val="center"/>
          </w:tcPr>
          <w:p w14:paraId="62DFBB4F">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w:t>
            </w:r>
          </w:p>
        </w:tc>
      </w:tr>
      <w:tr w14:paraId="383F701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CFBDC8C">
            <w:pPr>
              <w:widowControl/>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工业</w:t>
            </w:r>
          </w:p>
        </w:tc>
        <w:tc>
          <w:tcPr>
            <w:tcW w:w="1384" w:type="dxa"/>
            <w:tcBorders>
              <w:top w:val="nil"/>
              <w:left w:val="nil"/>
              <w:bottom w:val="single" w:color="auto" w:sz="4" w:space="0"/>
              <w:right w:val="single" w:color="auto" w:sz="4" w:space="0"/>
            </w:tcBorders>
            <w:vAlign w:val="center"/>
          </w:tcPr>
          <w:p w14:paraId="65826115">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7E4CF7E5">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3CF36C6A">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1440" w:type="dxa"/>
            <w:tcBorders>
              <w:top w:val="nil"/>
              <w:left w:val="nil"/>
              <w:bottom w:val="single" w:color="auto" w:sz="4" w:space="0"/>
              <w:right w:val="single" w:color="auto" w:sz="4" w:space="0"/>
            </w:tcBorders>
            <w:vAlign w:val="center"/>
          </w:tcPr>
          <w:p w14:paraId="5934F4F3">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20≤X＜300</w:t>
            </w:r>
          </w:p>
        </w:tc>
        <w:tc>
          <w:tcPr>
            <w:tcW w:w="925" w:type="dxa"/>
            <w:tcBorders>
              <w:top w:val="nil"/>
              <w:left w:val="nil"/>
              <w:bottom w:val="single" w:color="auto" w:sz="4" w:space="0"/>
              <w:right w:val="single" w:color="auto" w:sz="4" w:space="0"/>
            </w:tcBorders>
            <w:vAlign w:val="center"/>
          </w:tcPr>
          <w:p w14:paraId="7EDE6A01">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14:paraId="66F2C62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F3EF4B5">
            <w:pPr>
              <w:widowControl/>
              <w:jc w:val="left"/>
              <w:rPr>
                <w:rFonts w:hint="eastAsia" w:ascii="宋体" w:hAnsi="宋体" w:eastAsia="宋体"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7D7FA7C4">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70315CC8">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084D65D2">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2000≤Y＜40000</w:t>
            </w:r>
          </w:p>
        </w:tc>
        <w:tc>
          <w:tcPr>
            <w:tcW w:w="1440" w:type="dxa"/>
            <w:tcBorders>
              <w:top w:val="nil"/>
              <w:left w:val="nil"/>
              <w:bottom w:val="single" w:color="auto" w:sz="4" w:space="0"/>
              <w:right w:val="single" w:color="auto" w:sz="4" w:space="0"/>
            </w:tcBorders>
            <w:vAlign w:val="center"/>
          </w:tcPr>
          <w:p w14:paraId="3900B9A9">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300≤Y＜2000</w:t>
            </w:r>
          </w:p>
        </w:tc>
        <w:tc>
          <w:tcPr>
            <w:tcW w:w="925" w:type="dxa"/>
            <w:tcBorders>
              <w:top w:val="nil"/>
              <w:left w:val="nil"/>
              <w:bottom w:val="single" w:color="auto" w:sz="4" w:space="0"/>
              <w:right w:val="single" w:color="auto" w:sz="4" w:space="0"/>
            </w:tcBorders>
            <w:vAlign w:val="center"/>
          </w:tcPr>
          <w:p w14:paraId="6D261255">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w:t>
            </w:r>
          </w:p>
        </w:tc>
      </w:tr>
      <w:tr w14:paraId="0D8FC03F">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05A2C5E">
            <w:pPr>
              <w:widowControl/>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建筑业</w:t>
            </w:r>
          </w:p>
        </w:tc>
        <w:tc>
          <w:tcPr>
            <w:tcW w:w="1384" w:type="dxa"/>
            <w:tcBorders>
              <w:top w:val="nil"/>
              <w:left w:val="nil"/>
              <w:bottom w:val="single" w:color="auto" w:sz="4" w:space="0"/>
              <w:right w:val="single" w:color="auto" w:sz="4" w:space="0"/>
            </w:tcBorders>
            <w:vAlign w:val="center"/>
          </w:tcPr>
          <w:p w14:paraId="3F04F225">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276F533C">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76D1E4B7">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6000≤Y＜80000</w:t>
            </w:r>
          </w:p>
        </w:tc>
        <w:tc>
          <w:tcPr>
            <w:tcW w:w="1440" w:type="dxa"/>
            <w:tcBorders>
              <w:top w:val="nil"/>
              <w:left w:val="nil"/>
              <w:bottom w:val="single" w:color="auto" w:sz="4" w:space="0"/>
              <w:right w:val="single" w:color="auto" w:sz="4" w:space="0"/>
            </w:tcBorders>
            <w:vAlign w:val="center"/>
          </w:tcPr>
          <w:p w14:paraId="792CB73C">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300≤Y＜6000</w:t>
            </w:r>
          </w:p>
        </w:tc>
        <w:tc>
          <w:tcPr>
            <w:tcW w:w="925" w:type="dxa"/>
            <w:tcBorders>
              <w:top w:val="nil"/>
              <w:left w:val="nil"/>
              <w:bottom w:val="single" w:color="auto" w:sz="4" w:space="0"/>
              <w:right w:val="single" w:color="auto" w:sz="4" w:space="0"/>
            </w:tcBorders>
            <w:vAlign w:val="center"/>
          </w:tcPr>
          <w:p w14:paraId="5A917CFC">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w:t>
            </w:r>
          </w:p>
        </w:tc>
      </w:tr>
      <w:tr w14:paraId="3A3FCFDC">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929C917">
            <w:pPr>
              <w:widowControl/>
              <w:jc w:val="left"/>
              <w:rPr>
                <w:rFonts w:hint="eastAsia" w:ascii="宋体" w:hAnsi="宋体" w:eastAsia="宋体"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12963478">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资产总额（Z）</w:t>
            </w:r>
          </w:p>
        </w:tc>
        <w:tc>
          <w:tcPr>
            <w:tcW w:w="913" w:type="dxa"/>
            <w:tcBorders>
              <w:top w:val="nil"/>
              <w:left w:val="nil"/>
              <w:bottom w:val="single" w:color="auto" w:sz="4" w:space="0"/>
              <w:right w:val="single" w:color="auto" w:sz="4" w:space="0"/>
            </w:tcBorders>
            <w:vAlign w:val="center"/>
          </w:tcPr>
          <w:p w14:paraId="2FAB6752">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45D50D74">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5000≤Z＜80000</w:t>
            </w:r>
          </w:p>
        </w:tc>
        <w:tc>
          <w:tcPr>
            <w:tcW w:w="1440" w:type="dxa"/>
            <w:tcBorders>
              <w:top w:val="nil"/>
              <w:left w:val="nil"/>
              <w:bottom w:val="single" w:color="auto" w:sz="4" w:space="0"/>
              <w:right w:val="single" w:color="auto" w:sz="4" w:space="0"/>
            </w:tcBorders>
            <w:vAlign w:val="center"/>
          </w:tcPr>
          <w:p w14:paraId="311D46B2">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300≤Z＜5000</w:t>
            </w:r>
          </w:p>
        </w:tc>
        <w:tc>
          <w:tcPr>
            <w:tcW w:w="925" w:type="dxa"/>
            <w:tcBorders>
              <w:top w:val="nil"/>
              <w:left w:val="nil"/>
              <w:bottom w:val="single" w:color="auto" w:sz="4" w:space="0"/>
              <w:right w:val="single" w:color="auto" w:sz="4" w:space="0"/>
            </w:tcBorders>
            <w:vAlign w:val="center"/>
          </w:tcPr>
          <w:p w14:paraId="05B420CD">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Z＜300</w:t>
            </w:r>
          </w:p>
        </w:tc>
      </w:tr>
      <w:tr w14:paraId="03A6698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2F8C247">
            <w:pPr>
              <w:widowControl/>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批发业</w:t>
            </w:r>
          </w:p>
        </w:tc>
        <w:tc>
          <w:tcPr>
            <w:tcW w:w="1384" w:type="dxa"/>
            <w:tcBorders>
              <w:top w:val="nil"/>
              <w:left w:val="nil"/>
              <w:bottom w:val="single" w:color="auto" w:sz="4" w:space="0"/>
              <w:right w:val="single" w:color="auto" w:sz="4" w:space="0"/>
            </w:tcBorders>
            <w:vAlign w:val="center"/>
          </w:tcPr>
          <w:p w14:paraId="496019E5">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20DC384B">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2D61903C">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20≤X＜200</w:t>
            </w:r>
          </w:p>
        </w:tc>
        <w:tc>
          <w:tcPr>
            <w:tcW w:w="1440" w:type="dxa"/>
            <w:tcBorders>
              <w:top w:val="nil"/>
              <w:left w:val="nil"/>
              <w:bottom w:val="single" w:color="auto" w:sz="4" w:space="0"/>
              <w:right w:val="single" w:color="auto" w:sz="4" w:space="0"/>
            </w:tcBorders>
            <w:vAlign w:val="center"/>
          </w:tcPr>
          <w:p w14:paraId="6936A92D">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5≤X＜20</w:t>
            </w:r>
          </w:p>
        </w:tc>
        <w:tc>
          <w:tcPr>
            <w:tcW w:w="925" w:type="dxa"/>
            <w:tcBorders>
              <w:top w:val="nil"/>
              <w:left w:val="nil"/>
              <w:bottom w:val="single" w:color="auto" w:sz="4" w:space="0"/>
              <w:right w:val="single" w:color="auto" w:sz="4" w:space="0"/>
            </w:tcBorders>
            <w:vAlign w:val="center"/>
          </w:tcPr>
          <w:p w14:paraId="43506862">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X＜5</w:t>
            </w:r>
          </w:p>
        </w:tc>
      </w:tr>
      <w:tr w14:paraId="271D9C9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8DA7DE2">
            <w:pPr>
              <w:widowControl/>
              <w:jc w:val="left"/>
              <w:rPr>
                <w:rFonts w:hint="eastAsia" w:ascii="宋体" w:hAnsi="宋体" w:eastAsia="宋体"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43BB38C0">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3F86EA6D">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6E76228D">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5000≤Y＜40000</w:t>
            </w:r>
          </w:p>
        </w:tc>
        <w:tc>
          <w:tcPr>
            <w:tcW w:w="1440" w:type="dxa"/>
            <w:tcBorders>
              <w:top w:val="nil"/>
              <w:left w:val="nil"/>
              <w:bottom w:val="single" w:color="auto" w:sz="4" w:space="0"/>
              <w:right w:val="single" w:color="auto" w:sz="4" w:space="0"/>
            </w:tcBorders>
            <w:vAlign w:val="center"/>
          </w:tcPr>
          <w:p w14:paraId="27D67740">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1000≤Y＜5000</w:t>
            </w:r>
          </w:p>
        </w:tc>
        <w:tc>
          <w:tcPr>
            <w:tcW w:w="925" w:type="dxa"/>
            <w:tcBorders>
              <w:top w:val="nil"/>
              <w:left w:val="nil"/>
              <w:bottom w:val="single" w:color="auto" w:sz="4" w:space="0"/>
              <w:right w:val="single" w:color="auto" w:sz="4" w:space="0"/>
            </w:tcBorders>
            <w:vAlign w:val="center"/>
          </w:tcPr>
          <w:p w14:paraId="38D492D7">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w:t>
            </w:r>
          </w:p>
        </w:tc>
      </w:tr>
      <w:tr w14:paraId="3C82E1A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C41FE12">
            <w:pPr>
              <w:widowControl/>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零售业</w:t>
            </w:r>
          </w:p>
        </w:tc>
        <w:tc>
          <w:tcPr>
            <w:tcW w:w="1384" w:type="dxa"/>
            <w:tcBorders>
              <w:top w:val="nil"/>
              <w:left w:val="nil"/>
              <w:bottom w:val="single" w:color="auto" w:sz="4" w:space="0"/>
              <w:right w:val="single" w:color="auto" w:sz="4" w:space="0"/>
            </w:tcBorders>
            <w:vAlign w:val="center"/>
          </w:tcPr>
          <w:p w14:paraId="6FFD75A1">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3307852C">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3E4F6527">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50≤X＜300</w:t>
            </w:r>
          </w:p>
        </w:tc>
        <w:tc>
          <w:tcPr>
            <w:tcW w:w="1440" w:type="dxa"/>
            <w:tcBorders>
              <w:top w:val="nil"/>
              <w:left w:val="nil"/>
              <w:bottom w:val="single" w:color="auto" w:sz="4" w:space="0"/>
              <w:right w:val="single" w:color="auto" w:sz="4" w:space="0"/>
            </w:tcBorders>
            <w:vAlign w:val="center"/>
          </w:tcPr>
          <w:p w14:paraId="08F28490">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10≤X＜50</w:t>
            </w:r>
          </w:p>
        </w:tc>
        <w:tc>
          <w:tcPr>
            <w:tcW w:w="925" w:type="dxa"/>
            <w:tcBorders>
              <w:top w:val="nil"/>
              <w:left w:val="nil"/>
              <w:bottom w:val="single" w:color="auto" w:sz="4" w:space="0"/>
              <w:right w:val="single" w:color="auto" w:sz="4" w:space="0"/>
            </w:tcBorders>
            <w:vAlign w:val="center"/>
          </w:tcPr>
          <w:p w14:paraId="7C736B6E">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360B3A32">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024A38D">
            <w:pPr>
              <w:widowControl/>
              <w:jc w:val="left"/>
              <w:rPr>
                <w:rFonts w:hint="eastAsia" w:ascii="宋体" w:hAnsi="宋体" w:eastAsia="宋体"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45953014">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2F4255DF">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4C74E45E">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500≤Y＜20000</w:t>
            </w:r>
          </w:p>
        </w:tc>
        <w:tc>
          <w:tcPr>
            <w:tcW w:w="1440" w:type="dxa"/>
            <w:tcBorders>
              <w:top w:val="nil"/>
              <w:left w:val="nil"/>
              <w:bottom w:val="single" w:color="auto" w:sz="4" w:space="0"/>
              <w:right w:val="single" w:color="auto" w:sz="4" w:space="0"/>
            </w:tcBorders>
            <w:vAlign w:val="center"/>
          </w:tcPr>
          <w:p w14:paraId="00929BF7">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100≤Y＜500</w:t>
            </w:r>
          </w:p>
        </w:tc>
        <w:tc>
          <w:tcPr>
            <w:tcW w:w="925" w:type="dxa"/>
            <w:tcBorders>
              <w:top w:val="nil"/>
              <w:left w:val="nil"/>
              <w:bottom w:val="single" w:color="auto" w:sz="4" w:space="0"/>
              <w:right w:val="single" w:color="auto" w:sz="4" w:space="0"/>
            </w:tcBorders>
            <w:vAlign w:val="center"/>
          </w:tcPr>
          <w:p w14:paraId="38DB94E3">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2CD5AA7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8870D86">
            <w:pPr>
              <w:widowControl/>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交通运输业</w:t>
            </w:r>
          </w:p>
        </w:tc>
        <w:tc>
          <w:tcPr>
            <w:tcW w:w="1384" w:type="dxa"/>
            <w:tcBorders>
              <w:top w:val="nil"/>
              <w:left w:val="nil"/>
              <w:bottom w:val="single" w:color="auto" w:sz="4" w:space="0"/>
              <w:right w:val="single" w:color="auto" w:sz="4" w:space="0"/>
            </w:tcBorders>
            <w:vAlign w:val="center"/>
          </w:tcPr>
          <w:p w14:paraId="4901AD11">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1820D74C">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0A769851">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1440" w:type="dxa"/>
            <w:tcBorders>
              <w:top w:val="nil"/>
              <w:left w:val="nil"/>
              <w:bottom w:val="single" w:color="auto" w:sz="4" w:space="0"/>
              <w:right w:val="single" w:color="auto" w:sz="4" w:space="0"/>
            </w:tcBorders>
            <w:vAlign w:val="center"/>
          </w:tcPr>
          <w:p w14:paraId="08B3BAB2">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20≤X＜300</w:t>
            </w:r>
          </w:p>
        </w:tc>
        <w:tc>
          <w:tcPr>
            <w:tcW w:w="925" w:type="dxa"/>
            <w:tcBorders>
              <w:top w:val="nil"/>
              <w:left w:val="nil"/>
              <w:bottom w:val="single" w:color="auto" w:sz="4" w:space="0"/>
              <w:right w:val="single" w:color="auto" w:sz="4" w:space="0"/>
            </w:tcBorders>
            <w:vAlign w:val="center"/>
          </w:tcPr>
          <w:p w14:paraId="29574C2A">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14:paraId="7660D16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EB0BA2F">
            <w:pPr>
              <w:widowControl/>
              <w:jc w:val="left"/>
              <w:rPr>
                <w:rFonts w:hint="eastAsia" w:ascii="宋体" w:hAnsi="宋体" w:eastAsia="宋体"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705FD3B7">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1D3DE539">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01598E18">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3000≤Y＜30000</w:t>
            </w:r>
          </w:p>
        </w:tc>
        <w:tc>
          <w:tcPr>
            <w:tcW w:w="1440" w:type="dxa"/>
            <w:tcBorders>
              <w:top w:val="nil"/>
              <w:left w:val="nil"/>
              <w:bottom w:val="single" w:color="auto" w:sz="4" w:space="0"/>
              <w:right w:val="single" w:color="auto" w:sz="4" w:space="0"/>
            </w:tcBorders>
            <w:vAlign w:val="center"/>
          </w:tcPr>
          <w:p w14:paraId="2FD6870A">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200≤Y＜3000</w:t>
            </w:r>
          </w:p>
        </w:tc>
        <w:tc>
          <w:tcPr>
            <w:tcW w:w="925" w:type="dxa"/>
            <w:tcBorders>
              <w:top w:val="nil"/>
              <w:left w:val="nil"/>
              <w:bottom w:val="single" w:color="auto" w:sz="4" w:space="0"/>
              <w:right w:val="single" w:color="auto" w:sz="4" w:space="0"/>
            </w:tcBorders>
            <w:vAlign w:val="center"/>
          </w:tcPr>
          <w:p w14:paraId="1AB449BB">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Y＜200</w:t>
            </w:r>
          </w:p>
        </w:tc>
      </w:tr>
      <w:tr w14:paraId="089FEC9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559124F">
            <w:pPr>
              <w:widowControl/>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仓储业</w:t>
            </w:r>
          </w:p>
        </w:tc>
        <w:tc>
          <w:tcPr>
            <w:tcW w:w="1384" w:type="dxa"/>
            <w:tcBorders>
              <w:top w:val="nil"/>
              <w:left w:val="nil"/>
              <w:bottom w:val="single" w:color="auto" w:sz="4" w:space="0"/>
              <w:right w:val="single" w:color="auto" w:sz="4" w:space="0"/>
            </w:tcBorders>
            <w:vAlign w:val="center"/>
          </w:tcPr>
          <w:p w14:paraId="796B915F">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368ADA8E">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4998A1EF">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100≤X＜200</w:t>
            </w:r>
          </w:p>
        </w:tc>
        <w:tc>
          <w:tcPr>
            <w:tcW w:w="1440" w:type="dxa"/>
            <w:tcBorders>
              <w:top w:val="nil"/>
              <w:left w:val="nil"/>
              <w:bottom w:val="single" w:color="auto" w:sz="4" w:space="0"/>
              <w:right w:val="single" w:color="auto" w:sz="4" w:space="0"/>
            </w:tcBorders>
            <w:vAlign w:val="center"/>
          </w:tcPr>
          <w:p w14:paraId="5EA4E357">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20≤X＜100</w:t>
            </w:r>
          </w:p>
        </w:tc>
        <w:tc>
          <w:tcPr>
            <w:tcW w:w="925" w:type="dxa"/>
            <w:tcBorders>
              <w:top w:val="nil"/>
              <w:left w:val="nil"/>
              <w:bottom w:val="single" w:color="auto" w:sz="4" w:space="0"/>
              <w:right w:val="single" w:color="auto" w:sz="4" w:space="0"/>
            </w:tcBorders>
            <w:vAlign w:val="center"/>
          </w:tcPr>
          <w:p w14:paraId="62990315">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14:paraId="1304C90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1E399EA">
            <w:pPr>
              <w:widowControl/>
              <w:jc w:val="left"/>
              <w:rPr>
                <w:rFonts w:hint="eastAsia" w:ascii="宋体" w:hAnsi="宋体" w:eastAsia="宋体"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58820D95">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0AD58A78">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21004524">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1000≤Y＜30000</w:t>
            </w:r>
          </w:p>
        </w:tc>
        <w:tc>
          <w:tcPr>
            <w:tcW w:w="1440" w:type="dxa"/>
            <w:tcBorders>
              <w:top w:val="nil"/>
              <w:left w:val="nil"/>
              <w:bottom w:val="single" w:color="auto" w:sz="4" w:space="0"/>
              <w:right w:val="single" w:color="auto" w:sz="4" w:space="0"/>
            </w:tcBorders>
            <w:vAlign w:val="center"/>
          </w:tcPr>
          <w:p w14:paraId="5D7B8B0D">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100≤Y＜1000</w:t>
            </w:r>
          </w:p>
        </w:tc>
        <w:tc>
          <w:tcPr>
            <w:tcW w:w="925" w:type="dxa"/>
            <w:tcBorders>
              <w:top w:val="nil"/>
              <w:left w:val="nil"/>
              <w:bottom w:val="single" w:color="auto" w:sz="4" w:space="0"/>
              <w:right w:val="single" w:color="auto" w:sz="4" w:space="0"/>
            </w:tcBorders>
            <w:vAlign w:val="center"/>
          </w:tcPr>
          <w:p w14:paraId="0D2F3E7E">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781BBC9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2E1568E">
            <w:pPr>
              <w:widowControl/>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邮政业</w:t>
            </w:r>
          </w:p>
        </w:tc>
        <w:tc>
          <w:tcPr>
            <w:tcW w:w="1384" w:type="dxa"/>
            <w:tcBorders>
              <w:top w:val="nil"/>
              <w:left w:val="nil"/>
              <w:bottom w:val="single" w:color="auto" w:sz="4" w:space="0"/>
              <w:right w:val="single" w:color="auto" w:sz="4" w:space="0"/>
            </w:tcBorders>
            <w:vAlign w:val="center"/>
          </w:tcPr>
          <w:p w14:paraId="6FE5C8A8">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5A738A49">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78BD7AD1">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1440" w:type="dxa"/>
            <w:tcBorders>
              <w:top w:val="nil"/>
              <w:left w:val="nil"/>
              <w:bottom w:val="single" w:color="auto" w:sz="4" w:space="0"/>
              <w:right w:val="single" w:color="auto" w:sz="4" w:space="0"/>
            </w:tcBorders>
            <w:vAlign w:val="center"/>
          </w:tcPr>
          <w:p w14:paraId="15F9ED33">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20≤X＜300</w:t>
            </w:r>
          </w:p>
        </w:tc>
        <w:tc>
          <w:tcPr>
            <w:tcW w:w="925" w:type="dxa"/>
            <w:tcBorders>
              <w:top w:val="nil"/>
              <w:left w:val="nil"/>
              <w:bottom w:val="single" w:color="auto" w:sz="4" w:space="0"/>
              <w:right w:val="single" w:color="auto" w:sz="4" w:space="0"/>
            </w:tcBorders>
            <w:vAlign w:val="center"/>
          </w:tcPr>
          <w:p w14:paraId="12F65AD2">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14:paraId="32F73A3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731481F">
            <w:pPr>
              <w:widowControl/>
              <w:jc w:val="left"/>
              <w:rPr>
                <w:rFonts w:hint="eastAsia" w:ascii="宋体" w:hAnsi="宋体" w:eastAsia="宋体"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6FB3CFA4">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7C8D573F">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3C06FCE6">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2000≤Y＜30000</w:t>
            </w:r>
          </w:p>
        </w:tc>
        <w:tc>
          <w:tcPr>
            <w:tcW w:w="1440" w:type="dxa"/>
            <w:tcBorders>
              <w:top w:val="nil"/>
              <w:left w:val="nil"/>
              <w:bottom w:val="single" w:color="auto" w:sz="4" w:space="0"/>
              <w:right w:val="single" w:color="auto" w:sz="4" w:space="0"/>
            </w:tcBorders>
            <w:vAlign w:val="center"/>
          </w:tcPr>
          <w:p w14:paraId="3D6B74CB">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100≤Y＜2000</w:t>
            </w:r>
          </w:p>
        </w:tc>
        <w:tc>
          <w:tcPr>
            <w:tcW w:w="925" w:type="dxa"/>
            <w:tcBorders>
              <w:top w:val="nil"/>
              <w:left w:val="nil"/>
              <w:bottom w:val="single" w:color="auto" w:sz="4" w:space="0"/>
              <w:right w:val="single" w:color="auto" w:sz="4" w:space="0"/>
            </w:tcBorders>
            <w:vAlign w:val="center"/>
          </w:tcPr>
          <w:p w14:paraId="2C1FEB12">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777E25B8">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7073240">
            <w:pPr>
              <w:widowControl/>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住宿业</w:t>
            </w:r>
          </w:p>
        </w:tc>
        <w:tc>
          <w:tcPr>
            <w:tcW w:w="1384" w:type="dxa"/>
            <w:tcBorders>
              <w:top w:val="nil"/>
              <w:left w:val="nil"/>
              <w:bottom w:val="single" w:color="auto" w:sz="4" w:space="0"/>
              <w:right w:val="single" w:color="auto" w:sz="4" w:space="0"/>
            </w:tcBorders>
            <w:vAlign w:val="center"/>
          </w:tcPr>
          <w:p w14:paraId="03ADF847">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2D5A274F">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78727336">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1440" w:type="dxa"/>
            <w:tcBorders>
              <w:top w:val="nil"/>
              <w:left w:val="nil"/>
              <w:bottom w:val="single" w:color="auto" w:sz="4" w:space="0"/>
              <w:right w:val="single" w:color="auto" w:sz="4" w:space="0"/>
            </w:tcBorders>
            <w:vAlign w:val="center"/>
          </w:tcPr>
          <w:p w14:paraId="7F663225">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25" w:type="dxa"/>
            <w:tcBorders>
              <w:top w:val="nil"/>
              <w:left w:val="nil"/>
              <w:bottom w:val="single" w:color="auto" w:sz="4" w:space="0"/>
              <w:right w:val="single" w:color="auto" w:sz="4" w:space="0"/>
            </w:tcBorders>
            <w:vAlign w:val="center"/>
          </w:tcPr>
          <w:p w14:paraId="604BD62D">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0653551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B31EE54">
            <w:pPr>
              <w:widowControl/>
              <w:jc w:val="left"/>
              <w:rPr>
                <w:rFonts w:hint="eastAsia" w:ascii="宋体" w:hAnsi="宋体" w:eastAsia="宋体"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42371471">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07E19EDF">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65F69051">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2000≤Y＜10000</w:t>
            </w:r>
          </w:p>
        </w:tc>
        <w:tc>
          <w:tcPr>
            <w:tcW w:w="1440" w:type="dxa"/>
            <w:tcBorders>
              <w:top w:val="nil"/>
              <w:left w:val="nil"/>
              <w:bottom w:val="single" w:color="auto" w:sz="4" w:space="0"/>
              <w:right w:val="single" w:color="auto" w:sz="4" w:space="0"/>
            </w:tcBorders>
            <w:vAlign w:val="center"/>
          </w:tcPr>
          <w:p w14:paraId="57612E0E">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100≤Y＜2000</w:t>
            </w:r>
          </w:p>
        </w:tc>
        <w:tc>
          <w:tcPr>
            <w:tcW w:w="925" w:type="dxa"/>
            <w:tcBorders>
              <w:top w:val="nil"/>
              <w:left w:val="nil"/>
              <w:bottom w:val="single" w:color="auto" w:sz="4" w:space="0"/>
              <w:right w:val="single" w:color="auto" w:sz="4" w:space="0"/>
            </w:tcBorders>
            <w:vAlign w:val="center"/>
          </w:tcPr>
          <w:p w14:paraId="1F5B028B">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1F1E6B9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F6146DC">
            <w:pPr>
              <w:widowControl/>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餐饮业</w:t>
            </w:r>
          </w:p>
        </w:tc>
        <w:tc>
          <w:tcPr>
            <w:tcW w:w="1384" w:type="dxa"/>
            <w:tcBorders>
              <w:top w:val="nil"/>
              <w:left w:val="nil"/>
              <w:bottom w:val="single" w:color="auto" w:sz="4" w:space="0"/>
              <w:right w:val="single" w:color="auto" w:sz="4" w:space="0"/>
            </w:tcBorders>
            <w:vAlign w:val="center"/>
          </w:tcPr>
          <w:p w14:paraId="7B7A8FD1">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043B7EE7">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64AE0615">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1440" w:type="dxa"/>
            <w:tcBorders>
              <w:top w:val="nil"/>
              <w:left w:val="nil"/>
              <w:bottom w:val="single" w:color="auto" w:sz="4" w:space="0"/>
              <w:right w:val="single" w:color="auto" w:sz="4" w:space="0"/>
            </w:tcBorders>
            <w:vAlign w:val="center"/>
          </w:tcPr>
          <w:p w14:paraId="2CA64FEA">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25" w:type="dxa"/>
            <w:tcBorders>
              <w:top w:val="nil"/>
              <w:left w:val="nil"/>
              <w:bottom w:val="single" w:color="auto" w:sz="4" w:space="0"/>
              <w:right w:val="single" w:color="auto" w:sz="4" w:space="0"/>
            </w:tcBorders>
            <w:vAlign w:val="center"/>
          </w:tcPr>
          <w:p w14:paraId="4712CC77">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77318B2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EDBC338">
            <w:pPr>
              <w:widowControl/>
              <w:jc w:val="left"/>
              <w:rPr>
                <w:rFonts w:hint="eastAsia" w:ascii="宋体" w:hAnsi="宋体" w:eastAsia="宋体"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32280687">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6A2109A1">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31D8D20B">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2000≤Y＜10000</w:t>
            </w:r>
          </w:p>
        </w:tc>
        <w:tc>
          <w:tcPr>
            <w:tcW w:w="1440" w:type="dxa"/>
            <w:tcBorders>
              <w:top w:val="nil"/>
              <w:left w:val="nil"/>
              <w:bottom w:val="single" w:color="auto" w:sz="4" w:space="0"/>
              <w:right w:val="single" w:color="auto" w:sz="4" w:space="0"/>
            </w:tcBorders>
            <w:vAlign w:val="center"/>
          </w:tcPr>
          <w:p w14:paraId="19809B5F">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100≤Y＜2000</w:t>
            </w:r>
          </w:p>
        </w:tc>
        <w:tc>
          <w:tcPr>
            <w:tcW w:w="925" w:type="dxa"/>
            <w:tcBorders>
              <w:top w:val="nil"/>
              <w:left w:val="nil"/>
              <w:bottom w:val="single" w:color="auto" w:sz="4" w:space="0"/>
              <w:right w:val="single" w:color="auto" w:sz="4" w:space="0"/>
            </w:tcBorders>
            <w:vAlign w:val="center"/>
          </w:tcPr>
          <w:p w14:paraId="037195A9">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5A98AF9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699CF7D">
            <w:pPr>
              <w:widowControl/>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信息传输业</w:t>
            </w:r>
          </w:p>
        </w:tc>
        <w:tc>
          <w:tcPr>
            <w:tcW w:w="1384" w:type="dxa"/>
            <w:tcBorders>
              <w:top w:val="nil"/>
              <w:left w:val="nil"/>
              <w:bottom w:val="single" w:color="auto" w:sz="4" w:space="0"/>
              <w:right w:val="single" w:color="auto" w:sz="4" w:space="0"/>
            </w:tcBorders>
            <w:vAlign w:val="center"/>
          </w:tcPr>
          <w:p w14:paraId="26FB9450">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44639446">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7E56D0D3">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100≤X＜2000</w:t>
            </w:r>
          </w:p>
        </w:tc>
        <w:tc>
          <w:tcPr>
            <w:tcW w:w="1440" w:type="dxa"/>
            <w:tcBorders>
              <w:top w:val="nil"/>
              <w:left w:val="nil"/>
              <w:bottom w:val="single" w:color="auto" w:sz="4" w:space="0"/>
              <w:right w:val="single" w:color="auto" w:sz="4" w:space="0"/>
            </w:tcBorders>
            <w:vAlign w:val="center"/>
          </w:tcPr>
          <w:p w14:paraId="7E4B77E9">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25" w:type="dxa"/>
            <w:tcBorders>
              <w:top w:val="nil"/>
              <w:left w:val="nil"/>
              <w:bottom w:val="single" w:color="auto" w:sz="4" w:space="0"/>
              <w:right w:val="single" w:color="auto" w:sz="4" w:space="0"/>
            </w:tcBorders>
            <w:vAlign w:val="center"/>
          </w:tcPr>
          <w:p w14:paraId="73EF0BC0">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5112CF6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0C31DD4">
            <w:pPr>
              <w:widowControl/>
              <w:jc w:val="left"/>
              <w:rPr>
                <w:rFonts w:hint="eastAsia" w:ascii="宋体" w:hAnsi="宋体" w:eastAsia="宋体"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2FF1BBE4">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620D36F8">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637D0CED">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1000≤Y＜100000</w:t>
            </w:r>
          </w:p>
        </w:tc>
        <w:tc>
          <w:tcPr>
            <w:tcW w:w="1440" w:type="dxa"/>
            <w:tcBorders>
              <w:top w:val="nil"/>
              <w:left w:val="nil"/>
              <w:bottom w:val="single" w:color="auto" w:sz="4" w:space="0"/>
              <w:right w:val="single" w:color="auto" w:sz="4" w:space="0"/>
            </w:tcBorders>
            <w:vAlign w:val="center"/>
          </w:tcPr>
          <w:p w14:paraId="22B3B755">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100≤Y＜1000</w:t>
            </w:r>
          </w:p>
        </w:tc>
        <w:tc>
          <w:tcPr>
            <w:tcW w:w="925" w:type="dxa"/>
            <w:tcBorders>
              <w:top w:val="nil"/>
              <w:left w:val="nil"/>
              <w:bottom w:val="single" w:color="auto" w:sz="4" w:space="0"/>
              <w:right w:val="single" w:color="auto" w:sz="4" w:space="0"/>
            </w:tcBorders>
            <w:vAlign w:val="center"/>
          </w:tcPr>
          <w:p w14:paraId="2C474330">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35AEB6FF">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F931A5A">
            <w:pPr>
              <w:widowControl/>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软件和信息技术服务业</w:t>
            </w:r>
          </w:p>
        </w:tc>
        <w:tc>
          <w:tcPr>
            <w:tcW w:w="1384" w:type="dxa"/>
            <w:tcBorders>
              <w:top w:val="nil"/>
              <w:left w:val="nil"/>
              <w:bottom w:val="single" w:color="auto" w:sz="4" w:space="0"/>
              <w:right w:val="single" w:color="auto" w:sz="4" w:space="0"/>
            </w:tcBorders>
            <w:vAlign w:val="center"/>
          </w:tcPr>
          <w:p w14:paraId="0EB25C92">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7FBBF5AE">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1AD77B33">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1440" w:type="dxa"/>
            <w:tcBorders>
              <w:top w:val="nil"/>
              <w:left w:val="nil"/>
              <w:bottom w:val="single" w:color="auto" w:sz="4" w:space="0"/>
              <w:right w:val="single" w:color="auto" w:sz="4" w:space="0"/>
            </w:tcBorders>
            <w:vAlign w:val="center"/>
          </w:tcPr>
          <w:p w14:paraId="2B21AEB2">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25" w:type="dxa"/>
            <w:tcBorders>
              <w:top w:val="nil"/>
              <w:left w:val="nil"/>
              <w:bottom w:val="single" w:color="auto" w:sz="4" w:space="0"/>
              <w:right w:val="single" w:color="auto" w:sz="4" w:space="0"/>
            </w:tcBorders>
            <w:vAlign w:val="center"/>
          </w:tcPr>
          <w:p w14:paraId="557FCD64">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19D15286">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EBC9EDC">
            <w:pPr>
              <w:widowControl/>
              <w:jc w:val="left"/>
              <w:rPr>
                <w:rFonts w:hint="eastAsia" w:ascii="宋体" w:hAnsi="宋体" w:eastAsia="宋体"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3999ED2C">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0627169F">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24EDD343">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1000≤Y＜10000</w:t>
            </w:r>
          </w:p>
        </w:tc>
        <w:tc>
          <w:tcPr>
            <w:tcW w:w="1440" w:type="dxa"/>
            <w:tcBorders>
              <w:top w:val="nil"/>
              <w:left w:val="nil"/>
              <w:bottom w:val="single" w:color="auto" w:sz="4" w:space="0"/>
              <w:right w:val="single" w:color="auto" w:sz="4" w:space="0"/>
            </w:tcBorders>
            <w:vAlign w:val="center"/>
          </w:tcPr>
          <w:p w14:paraId="2C010402">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50≤Y＜1000</w:t>
            </w:r>
          </w:p>
        </w:tc>
        <w:tc>
          <w:tcPr>
            <w:tcW w:w="925" w:type="dxa"/>
            <w:tcBorders>
              <w:top w:val="nil"/>
              <w:left w:val="nil"/>
              <w:bottom w:val="single" w:color="auto" w:sz="4" w:space="0"/>
              <w:right w:val="single" w:color="auto" w:sz="4" w:space="0"/>
            </w:tcBorders>
            <w:vAlign w:val="center"/>
          </w:tcPr>
          <w:p w14:paraId="2D5980F3">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w:t>
            </w:r>
          </w:p>
        </w:tc>
      </w:tr>
      <w:tr w14:paraId="3C1E008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D8FE16A">
            <w:pPr>
              <w:widowControl/>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房地产开发经营</w:t>
            </w:r>
          </w:p>
        </w:tc>
        <w:tc>
          <w:tcPr>
            <w:tcW w:w="1384" w:type="dxa"/>
            <w:tcBorders>
              <w:top w:val="nil"/>
              <w:left w:val="nil"/>
              <w:bottom w:val="single" w:color="auto" w:sz="4" w:space="0"/>
              <w:right w:val="single" w:color="auto" w:sz="4" w:space="0"/>
            </w:tcBorders>
            <w:vAlign w:val="center"/>
          </w:tcPr>
          <w:p w14:paraId="467F87D2">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42014109">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41CC4802">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1000≤Y＜200000</w:t>
            </w:r>
          </w:p>
        </w:tc>
        <w:tc>
          <w:tcPr>
            <w:tcW w:w="1440" w:type="dxa"/>
            <w:tcBorders>
              <w:top w:val="nil"/>
              <w:left w:val="nil"/>
              <w:bottom w:val="single" w:color="auto" w:sz="4" w:space="0"/>
              <w:right w:val="single" w:color="auto" w:sz="4" w:space="0"/>
            </w:tcBorders>
            <w:vAlign w:val="center"/>
          </w:tcPr>
          <w:p w14:paraId="1E6E0B77">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100≤X＜1000</w:t>
            </w:r>
          </w:p>
        </w:tc>
        <w:tc>
          <w:tcPr>
            <w:tcW w:w="925" w:type="dxa"/>
            <w:tcBorders>
              <w:top w:val="nil"/>
              <w:left w:val="nil"/>
              <w:bottom w:val="single" w:color="auto" w:sz="4" w:space="0"/>
              <w:right w:val="single" w:color="auto" w:sz="4" w:space="0"/>
            </w:tcBorders>
            <w:vAlign w:val="center"/>
          </w:tcPr>
          <w:p w14:paraId="3660A0A7">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w:t>
            </w:r>
          </w:p>
        </w:tc>
      </w:tr>
      <w:tr w14:paraId="7D6F223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E68A4B8">
            <w:pPr>
              <w:widowControl/>
              <w:jc w:val="left"/>
              <w:rPr>
                <w:rFonts w:hint="eastAsia" w:ascii="宋体" w:hAnsi="宋体" w:eastAsia="宋体"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7A201E70">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资产总额（Z）</w:t>
            </w:r>
          </w:p>
        </w:tc>
        <w:tc>
          <w:tcPr>
            <w:tcW w:w="913" w:type="dxa"/>
            <w:tcBorders>
              <w:top w:val="nil"/>
              <w:left w:val="nil"/>
              <w:bottom w:val="single" w:color="auto" w:sz="4" w:space="0"/>
              <w:right w:val="single" w:color="auto" w:sz="4" w:space="0"/>
            </w:tcBorders>
            <w:vAlign w:val="center"/>
          </w:tcPr>
          <w:p w14:paraId="3D540E19">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135B0BB0">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5000≤Z＜10000</w:t>
            </w:r>
          </w:p>
        </w:tc>
        <w:tc>
          <w:tcPr>
            <w:tcW w:w="1440" w:type="dxa"/>
            <w:tcBorders>
              <w:top w:val="nil"/>
              <w:left w:val="nil"/>
              <w:bottom w:val="single" w:color="auto" w:sz="4" w:space="0"/>
              <w:right w:val="single" w:color="auto" w:sz="4" w:space="0"/>
            </w:tcBorders>
            <w:vAlign w:val="center"/>
          </w:tcPr>
          <w:p w14:paraId="37490CF0">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2000≤Y＜5000</w:t>
            </w:r>
          </w:p>
        </w:tc>
        <w:tc>
          <w:tcPr>
            <w:tcW w:w="925" w:type="dxa"/>
            <w:tcBorders>
              <w:top w:val="nil"/>
              <w:left w:val="nil"/>
              <w:bottom w:val="single" w:color="auto" w:sz="4" w:space="0"/>
              <w:right w:val="single" w:color="auto" w:sz="4" w:space="0"/>
            </w:tcBorders>
            <w:vAlign w:val="center"/>
          </w:tcPr>
          <w:p w14:paraId="4C19262C">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Y＜2000</w:t>
            </w:r>
          </w:p>
        </w:tc>
      </w:tr>
      <w:tr w14:paraId="734F761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3631F23">
            <w:pPr>
              <w:widowControl/>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物业管理</w:t>
            </w:r>
          </w:p>
        </w:tc>
        <w:tc>
          <w:tcPr>
            <w:tcW w:w="1384" w:type="dxa"/>
            <w:tcBorders>
              <w:top w:val="nil"/>
              <w:left w:val="nil"/>
              <w:bottom w:val="single" w:color="auto" w:sz="4" w:space="0"/>
              <w:right w:val="single" w:color="auto" w:sz="4" w:space="0"/>
            </w:tcBorders>
            <w:vAlign w:val="center"/>
          </w:tcPr>
          <w:p w14:paraId="3BBD4E0E">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0000482D">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2699BB53">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1440" w:type="dxa"/>
            <w:tcBorders>
              <w:top w:val="nil"/>
              <w:left w:val="nil"/>
              <w:bottom w:val="single" w:color="auto" w:sz="4" w:space="0"/>
              <w:right w:val="single" w:color="auto" w:sz="4" w:space="0"/>
            </w:tcBorders>
            <w:vAlign w:val="center"/>
          </w:tcPr>
          <w:p w14:paraId="2E787CF7">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925" w:type="dxa"/>
            <w:tcBorders>
              <w:top w:val="nil"/>
              <w:left w:val="nil"/>
              <w:bottom w:val="single" w:color="auto" w:sz="4" w:space="0"/>
              <w:right w:val="single" w:color="auto" w:sz="4" w:space="0"/>
            </w:tcBorders>
            <w:vAlign w:val="center"/>
          </w:tcPr>
          <w:p w14:paraId="1210E8CE">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w:t>
            </w:r>
          </w:p>
        </w:tc>
      </w:tr>
      <w:tr w14:paraId="775C682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D84C362">
            <w:pPr>
              <w:widowControl/>
              <w:jc w:val="left"/>
              <w:rPr>
                <w:rFonts w:hint="eastAsia" w:ascii="宋体" w:hAnsi="宋体" w:eastAsia="宋体"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3B293FA5">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265928AD">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3679935F">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1000≤Y＜5000</w:t>
            </w:r>
          </w:p>
        </w:tc>
        <w:tc>
          <w:tcPr>
            <w:tcW w:w="1440" w:type="dxa"/>
            <w:tcBorders>
              <w:top w:val="nil"/>
              <w:left w:val="nil"/>
              <w:bottom w:val="single" w:color="auto" w:sz="4" w:space="0"/>
              <w:right w:val="single" w:color="auto" w:sz="4" w:space="0"/>
            </w:tcBorders>
            <w:vAlign w:val="center"/>
          </w:tcPr>
          <w:p w14:paraId="416E4973">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500≤Y＜1000</w:t>
            </w:r>
          </w:p>
        </w:tc>
        <w:tc>
          <w:tcPr>
            <w:tcW w:w="925" w:type="dxa"/>
            <w:tcBorders>
              <w:top w:val="nil"/>
              <w:left w:val="nil"/>
              <w:bottom w:val="single" w:color="auto" w:sz="4" w:space="0"/>
              <w:right w:val="single" w:color="auto" w:sz="4" w:space="0"/>
            </w:tcBorders>
            <w:vAlign w:val="center"/>
          </w:tcPr>
          <w:p w14:paraId="2A5620FE">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Y＜500</w:t>
            </w:r>
          </w:p>
        </w:tc>
      </w:tr>
      <w:tr w14:paraId="4C3363CF">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A8698DE">
            <w:pPr>
              <w:widowControl/>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租赁和商务服务业</w:t>
            </w:r>
          </w:p>
        </w:tc>
        <w:tc>
          <w:tcPr>
            <w:tcW w:w="1384" w:type="dxa"/>
            <w:tcBorders>
              <w:top w:val="nil"/>
              <w:left w:val="nil"/>
              <w:bottom w:val="single" w:color="auto" w:sz="4" w:space="0"/>
              <w:right w:val="single" w:color="auto" w:sz="4" w:space="0"/>
            </w:tcBorders>
            <w:vAlign w:val="center"/>
          </w:tcPr>
          <w:p w14:paraId="2831C867">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6EB13B80">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09720A6B">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1440" w:type="dxa"/>
            <w:tcBorders>
              <w:top w:val="nil"/>
              <w:left w:val="nil"/>
              <w:bottom w:val="single" w:color="auto" w:sz="4" w:space="0"/>
              <w:right w:val="single" w:color="auto" w:sz="4" w:space="0"/>
            </w:tcBorders>
            <w:vAlign w:val="center"/>
          </w:tcPr>
          <w:p w14:paraId="31E9C518">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25" w:type="dxa"/>
            <w:tcBorders>
              <w:top w:val="nil"/>
              <w:left w:val="nil"/>
              <w:bottom w:val="single" w:color="auto" w:sz="4" w:space="0"/>
              <w:right w:val="single" w:color="auto" w:sz="4" w:space="0"/>
            </w:tcBorders>
            <w:vAlign w:val="center"/>
          </w:tcPr>
          <w:p w14:paraId="5F8FBDDB">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24D29F46">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1FF2DEF">
            <w:pPr>
              <w:widowControl/>
              <w:jc w:val="left"/>
              <w:rPr>
                <w:rFonts w:hint="eastAsia" w:ascii="宋体" w:hAnsi="宋体" w:eastAsia="宋体"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269F8BE3">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资产总额（Z）</w:t>
            </w:r>
          </w:p>
        </w:tc>
        <w:tc>
          <w:tcPr>
            <w:tcW w:w="913" w:type="dxa"/>
            <w:tcBorders>
              <w:top w:val="nil"/>
              <w:left w:val="nil"/>
              <w:bottom w:val="single" w:color="auto" w:sz="4" w:space="0"/>
              <w:right w:val="single" w:color="auto" w:sz="4" w:space="0"/>
            </w:tcBorders>
            <w:vAlign w:val="center"/>
          </w:tcPr>
          <w:p w14:paraId="2B8ED40B">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11EAE72C">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8000≤Z＜120000</w:t>
            </w:r>
          </w:p>
        </w:tc>
        <w:tc>
          <w:tcPr>
            <w:tcW w:w="1440" w:type="dxa"/>
            <w:tcBorders>
              <w:top w:val="nil"/>
              <w:left w:val="nil"/>
              <w:bottom w:val="single" w:color="auto" w:sz="4" w:space="0"/>
              <w:right w:val="single" w:color="auto" w:sz="4" w:space="0"/>
            </w:tcBorders>
            <w:vAlign w:val="center"/>
          </w:tcPr>
          <w:p w14:paraId="58D08782">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100≤Z＜8000</w:t>
            </w:r>
          </w:p>
        </w:tc>
        <w:tc>
          <w:tcPr>
            <w:tcW w:w="925" w:type="dxa"/>
            <w:tcBorders>
              <w:top w:val="nil"/>
              <w:left w:val="nil"/>
              <w:bottom w:val="single" w:color="auto" w:sz="4" w:space="0"/>
              <w:right w:val="single" w:color="auto" w:sz="4" w:space="0"/>
            </w:tcBorders>
            <w:vAlign w:val="center"/>
          </w:tcPr>
          <w:p w14:paraId="48772686">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0BA4C6C3">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62322ABC">
            <w:pPr>
              <w:widowControl/>
              <w:jc w:val="center"/>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其他未列明行业</w:t>
            </w:r>
          </w:p>
        </w:tc>
        <w:tc>
          <w:tcPr>
            <w:tcW w:w="1384" w:type="dxa"/>
            <w:tcBorders>
              <w:top w:val="nil"/>
              <w:left w:val="nil"/>
              <w:bottom w:val="single" w:color="auto" w:sz="4" w:space="0"/>
              <w:right w:val="single" w:color="auto" w:sz="4" w:space="0"/>
            </w:tcBorders>
            <w:vAlign w:val="center"/>
          </w:tcPr>
          <w:p w14:paraId="7A563F4F">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7D00F09E">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0BA4A227">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1440" w:type="dxa"/>
            <w:tcBorders>
              <w:top w:val="nil"/>
              <w:left w:val="nil"/>
              <w:bottom w:val="single" w:color="auto" w:sz="4" w:space="0"/>
              <w:right w:val="single" w:color="auto" w:sz="4" w:space="0"/>
            </w:tcBorders>
            <w:vAlign w:val="center"/>
          </w:tcPr>
          <w:p w14:paraId="5F0D936F">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25" w:type="dxa"/>
            <w:tcBorders>
              <w:top w:val="nil"/>
              <w:left w:val="nil"/>
              <w:bottom w:val="single" w:color="auto" w:sz="4" w:space="0"/>
              <w:right w:val="single" w:color="auto" w:sz="4" w:space="0"/>
            </w:tcBorders>
            <w:vAlign w:val="center"/>
          </w:tcPr>
          <w:p w14:paraId="05AF1BF1">
            <w:pPr>
              <w:widowControl/>
              <w:jc w:val="left"/>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bl>
    <w:p w14:paraId="637A4F11">
      <w:pPr>
        <w:spacing w:line="360" w:lineRule="auto"/>
        <w:ind w:firstLine="525" w:firstLineChars="250"/>
        <w:rPr>
          <w:rFonts w:hint="eastAsia" w:ascii="宋体" w:hAnsi="宋体" w:eastAsia="宋体" w:cs="宋体"/>
          <w:color w:val="000000" w:themeColor="text1"/>
          <w:szCs w:val="21"/>
          <w:highlight w:val="none"/>
          <w14:textFill>
            <w14:solidFill>
              <w14:schemeClr w14:val="tx1"/>
            </w14:solidFill>
          </w14:textFill>
        </w:rPr>
      </w:pPr>
    </w:p>
    <w:p w14:paraId="5BC67286">
      <w:pPr>
        <w:spacing w:line="360" w:lineRule="auto"/>
        <w:ind w:firstLine="525" w:firstLineChars="2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说明：上述标准参照《关于印发中小企业划型标准规定的通知》（工信部联企业[2011]300号），大型、中型和小型企业须同时满足所列指标的下限，否则下划一档；微型企业只须满足所列指标中的一项即可。</w:t>
      </w:r>
    </w:p>
    <w:p w14:paraId="10240D77">
      <w:pPr>
        <w:snapToGrid w:val="0"/>
        <w:spacing w:beforeLines="50" w:after="50"/>
        <w:ind w:left="142"/>
        <w:jc w:val="left"/>
        <w:rPr>
          <w:rFonts w:hint="eastAsia" w:ascii="宋体" w:hAnsi="宋体" w:eastAsia="宋体" w:cs="宋体"/>
          <w:b/>
          <w:color w:val="000000" w:themeColor="text1"/>
          <w:sz w:val="24"/>
          <w:highlight w:val="none"/>
          <w14:textFill>
            <w14:solidFill>
              <w14:schemeClr w14:val="tx1"/>
            </w14:solidFill>
          </w14:textFill>
        </w:rPr>
      </w:pPr>
    </w:p>
    <w:p w14:paraId="0E12713A">
      <w:pPr>
        <w:snapToGrid w:val="0"/>
        <w:spacing w:beforeLines="50" w:after="50"/>
        <w:ind w:left="142"/>
        <w:jc w:val="left"/>
        <w:rPr>
          <w:rFonts w:hint="eastAsia" w:ascii="宋体" w:hAnsi="宋体" w:eastAsia="宋体" w:cs="宋体"/>
          <w:b/>
          <w:color w:val="000000" w:themeColor="text1"/>
          <w:sz w:val="24"/>
          <w:highlight w:val="none"/>
          <w14:textFill>
            <w14:solidFill>
              <w14:schemeClr w14:val="tx1"/>
            </w14:solidFill>
          </w14:textFill>
        </w:rPr>
      </w:pPr>
    </w:p>
    <w:p w14:paraId="1D1C3701">
      <w:pPr>
        <w:snapToGrid w:val="0"/>
        <w:spacing w:beforeLines="50" w:after="50"/>
        <w:ind w:left="142"/>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24"/>
          <w:highlight w:val="none"/>
          <w14:textFill>
            <w14:solidFill>
              <w14:schemeClr w14:val="tx1"/>
            </w14:solidFill>
          </w14:textFill>
        </w:rPr>
        <w:t>3.残疾人福利性单位声明函格式</w:t>
      </w:r>
    </w:p>
    <w:p w14:paraId="5F1FE207">
      <w:pPr>
        <w:spacing w:line="588" w:lineRule="exact"/>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2D22444">
      <w:pPr>
        <w:spacing w:line="588" w:lineRule="exact"/>
        <w:jc w:val="center"/>
        <w:rPr>
          <w:rFonts w:hint="eastAsia" w:ascii="宋体" w:hAnsi="宋体" w:eastAsia="宋体" w:cs="宋体"/>
          <w:bCs/>
          <w:color w:val="000000" w:themeColor="text1"/>
          <w:spacing w:val="6"/>
          <w:sz w:val="44"/>
          <w:szCs w:val="44"/>
          <w:highlight w:val="none"/>
          <w14:textFill>
            <w14:solidFill>
              <w14:schemeClr w14:val="tx1"/>
            </w14:solidFill>
          </w14:textFill>
        </w:rPr>
      </w:pPr>
      <w:r>
        <w:rPr>
          <w:rFonts w:hint="eastAsia" w:ascii="宋体" w:hAnsi="宋体" w:eastAsia="宋体" w:cs="宋体"/>
          <w:bCs/>
          <w:color w:val="000000" w:themeColor="text1"/>
          <w:spacing w:val="6"/>
          <w:sz w:val="44"/>
          <w:szCs w:val="44"/>
          <w:highlight w:val="none"/>
          <w14:textFill>
            <w14:solidFill>
              <w14:schemeClr w14:val="tx1"/>
            </w14:solidFill>
          </w14:textFill>
        </w:rPr>
        <w:t>残疾人福利性单位声明函</w:t>
      </w:r>
    </w:p>
    <w:p w14:paraId="72795988">
      <w:pPr>
        <w:spacing w:line="360" w:lineRule="auto"/>
        <w:contextualSpacing/>
        <w:rPr>
          <w:rFonts w:hint="eastAsia" w:ascii="宋体" w:hAnsi="宋体" w:eastAsia="宋体" w:cs="宋体"/>
          <w:bCs/>
          <w:color w:val="000000" w:themeColor="text1"/>
          <w:spacing w:val="6"/>
          <w:sz w:val="30"/>
          <w:szCs w:val="30"/>
          <w:highlight w:val="none"/>
          <w14:textFill>
            <w14:solidFill>
              <w14:schemeClr w14:val="tx1"/>
            </w14:solidFill>
          </w14:textFill>
        </w:rPr>
      </w:pPr>
    </w:p>
    <w:p w14:paraId="0A4C7E2A">
      <w:pPr>
        <w:spacing w:line="360" w:lineRule="auto"/>
        <w:ind w:firstLine="504" w:firstLineChars="200"/>
        <w:contextualSpacing/>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宋体"/>
          <w:color w:val="000000" w:themeColor="text1"/>
          <w:sz w:val="24"/>
          <w:highlight w:val="none"/>
          <w14:textFill>
            <w14:solidFill>
              <w14:schemeClr w14:val="tx1"/>
            </w14:solidFill>
          </w14:textFill>
        </w:rPr>
        <w:t>〔2017〕 141</w:t>
      </w:r>
      <w:r>
        <w:rPr>
          <w:rFonts w:hint="eastAsia" w:ascii="宋体" w:hAnsi="宋体" w:eastAsia="宋体" w:cs="宋体"/>
          <w:color w:val="000000" w:themeColor="text1"/>
          <w:spacing w:val="6"/>
          <w:sz w:val="24"/>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w:t>
      </w:r>
      <w:r>
        <w:rPr>
          <w:rFonts w:hint="eastAsia" w:ascii="宋体" w:hAnsi="宋体" w:eastAsia="宋体" w:cs="宋体"/>
          <w:color w:val="000000" w:themeColor="text1"/>
          <w:spacing w:val="-6"/>
          <w:sz w:val="24"/>
          <w:highlight w:val="none"/>
          <w14:textFill>
            <w14:solidFill>
              <w14:schemeClr w14:val="tx1"/>
            </w14:solidFill>
          </w14:textFill>
        </w:rPr>
        <w:t>疾人福利性单位制造的货物（不包括使用非残疾人福利性单位注册商标的货物）。</w:t>
      </w:r>
    </w:p>
    <w:p w14:paraId="37BAD43D">
      <w:pPr>
        <w:spacing w:line="360" w:lineRule="auto"/>
        <w:ind w:firstLine="504" w:firstLineChars="200"/>
        <w:contextualSpacing/>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本单位对上述声明的真实性负责。如有虚假，将依法承担相应责任。</w:t>
      </w:r>
    </w:p>
    <w:p w14:paraId="3C1F3234">
      <w:pPr>
        <w:spacing w:line="360" w:lineRule="auto"/>
        <w:ind w:firstLine="504" w:firstLineChars="200"/>
        <w:contextualSpacing/>
        <w:rPr>
          <w:rFonts w:hint="eastAsia" w:ascii="宋体" w:hAnsi="宋体" w:eastAsia="宋体" w:cs="宋体"/>
          <w:color w:val="000000" w:themeColor="text1"/>
          <w:spacing w:val="6"/>
          <w:sz w:val="24"/>
          <w:highlight w:val="none"/>
          <w14:textFill>
            <w14:solidFill>
              <w14:schemeClr w14:val="tx1"/>
            </w14:solidFill>
          </w14:textFill>
        </w:rPr>
      </w:pPr>
    </w:p>
    <w:p w14:paraId="496F18DF">
      <w:pPr>
        <w:spacing w:line="360" w:lineRule="auto"/>
        <w:ind w:firstLine="504" w:firstLineChars="200"/>
        <w:contextualSpacing/>
        <w:rPr>
          <w:rFonts w:hint="eastAsia" w:ascii="宋体" w:hAnsi="宋体" w:eastAsia="宋体" w:cs="宋体"/>
          <w:color w:val="000000" w:themeColor="text1"/>
          <w:spacing w:val="6"/>
          <w:sz w:val="24"/>
          <w:highlight w:val="none"/>
          <w14:textFill>
            <w14:solidFill>
              <w14:schemeClr w14:val="tx1"/>
            </w14:solidFill>
          </w14:textFill>
        </w:rPr>
      </w:pPr>
    </w:p>
    <w:p w14:paraId="5E9812C0">
      <w:pPr>
        <w:tabs>
          <w:tab w:val="left" w:pos="4860"/>
        </w:tabs>
        <w:spacing w:line="360" w:lineRule="auto"/>
        <w:ind w:right="1560" w:firstLine="504" w:firstLineChars="200"/>
        <w:contextualSpacing/>
        <w:jc w:val="center"/>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单位名称（电子签章）：</w:t>
      </w:r>
    </w:p>
    <w:p w14:paraId="04E489A6">
      <w:pPr>
        <w:tabs>
          <w:tab w:val="left" w:pos="4860"/>
        </w:tabs>
        <w:spacing w:line="360" w:lineRule="auto"/>
        <w:ind w:right="1560" w:firstLine="504" w:firstLineChars="200"/>
        <w:contextualSpacing/>
        <w:jc w:val="center"/>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日  期：</w:t>
      </w:r>
    </w:p>
    <w:p w14:paraId="2E04FA7A">
      <w:pPr>
        <w:spacing w:line="360" w:lineRule="auto"/>
        <w:contextualSpacing/>
        <w:rPr>
          <w:rFonts w:hint="eastAsia" w:ascii="宋体" w:hAnsi="宋体" w:eastAsia="宋体" w:cs="宋体"/>
          <w:color w:val="000000" w:themeColor="text1"/>
          <w:sz w:val="24"/>
          <w:highlight w:val="none"/>
          <w14:textFill>
            <w14:solidFill>
              <w14:schemeClr w14:val="tx1"/>
            </w14:solidFill>
          </w14:textFill>
        </w:rPr>
      </w:pPr>
    </w:p>
    <w:p w14:paraId="2057BCE2">
      <w:pPr>
        <w:spacing w:line="360" w:lineRule="auto"/>
        <w:contextualSpacing/>
        <w:rPr>
          <w:rFonts w:hint="eastAsia" w:ascii="宋体" w:hAnsi="宋体" w:eastAsia="宋体" w:cs="宋体"/>
          <w:color w:val="000000" w:themeColor="text1"/>
          <w:sz w:val="24"/>
          <w:highlight w:val="none"/>
          <w14:textFill>
            <w14:solidFill>
              <w14:schemeClr w14:val="tx1"/>
            </w14:solidFill>
          </w14:textFill>
        </w:rPr>
      </w:pPr>
    </w:p>
    <w:p w14:paraId="4135F247">
      <w:pPr>
        <w:spacing w:line="360" w:lineRule="auto"/>
        <w:contextualSpacing/>
        <w:rPr>
          <w:rFonts w:hint="eastAsia" w:ascii="宋体" w:hAnsi="宋体" w:eastAsia="宋体" w:cs="宋体"/>
          <w:color w:val="000000" w:themeColor="text1"/>
          <w:sz w:val="24"/>
          <w:highlight w:val="none"/>
          <w14:textFill>
            <w14:solidFill>
              <w14:schemeClr w14:val="tx1"/>
            </w14:solidFill>
          </w14:textFill>
        </w:rPr>
      </w:pPr>
    </w:p>
    <w:p w14:paraId="7E2CE086">
      <w:pPr>
        <w:spacing w:line="360" w:lineRule="auto"/>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注：请根据自己的真实情况出具《残疾人福利性单位声明函》。依法享受中小企业优惠政策的，采购人或者采购代理机构在公告中标结果时，同时公告其《残疾人福利性单位声明函》，接受社会监督。</w:t>
      </w:r>
    </w:p>
    <w:p w14:paraId="1E153BFD">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24"/>
          <w:highlight w:val="none"/>
          <w14:textFill>
            <w14:solidFill>
              <w14:schemeClr w14:val="tx1"/>
            </w14:solidFill>
          </w14:textFill>
        </w:rPr>
        <w:t>4.质疑函格式</w:t>
      </w:r>
    </w:p>
    <w:p w14:paraId="0000C902">
      <w:pPr>
        <w:spacing w:line="360" w:lineRule="auto"/>
        <w:jc w:val="center"/>
        <w:rPr>
          <w:rFonts w:hint="eastAsia" w:ascii="宋体" w:hAnsi="宋体" w:eastAsia="宋体" w:cs="宋体"/>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t>质疑函</w:t>
      </w:r>
    </w:p>
    <w:p w14:paraId="07342368">
      <w:pPr>
        <w:pStyle w:val="26"/>
        <w:snapToGrid w:val="0"/>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一、质疑供应商基本信息：</w:t>
      </w:r>
    </w:p>
    <w:p w14:paraId="25442581">
      <w:pPr>
        <w:pStyle w:val="26"/>
        <w:snapToGrid w:val="0"/>
        <w:spacing w:line="360" w:lineRule="auto"/>
        <w:ind w:firstLine="480" w:firstLineChars="200"/>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质疑供应商：</w:t>
      </w:r>
    </w:p>
    <w:p w14:paraId="27FFCF5E">
      <w:pPr>
        <w:pStyle w:val="26"/>
        <w:snapToGrid w:val="0"/>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地址：邮编：</w:t>
      </w:r>
    </w:p>
    <w:p w14:paraId="032029ED">
      <w:pPr>
        <w:pStyle w:val="26"/>
        <w:snapToGrid w:val="0"/>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联系人：联系电话：</w:t>
      </w:r>
    </w:p>
    <w:p w14:paraId="5AF6CC50">
      <w:pPr>
        <w:pStyle w:val="26"/>
        <w:snapToGrid w:val="0"/>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授权代表：</w:t>
      </w:r>
    </w:p>
    <w:p w14:paraId="4E717695">
      <w:pPr>
        <w:pStyle w:val="26"/>
        <w:snapToGrid w:val="0"/>
        <w:spacing w:line="360" w:lineRule="auto"/>
        <w:ind w:firstLine="480" w:firstLineChars="200"/>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联系电话：</w:t>
      </w:r>
    </w:p>
    <w:p w14:paraId="5FB0D3BB">
      <w:pPr>
        <w:pStyle w:val="26"/>
        <w:snapToGrid w:val="0"/>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地址：邮编：</w:t>
      </w:r>
    </w:p>
    <w:p w14:paraId="1E320A30">
      <w:pPr>
        <w:pStyle w:val="26"/>
        <w:snapToGrid w:val="0"/>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二、质疑项目基本情况：</w:t>
      </w:r>
    </w:p>
    <w:p w14:paraId="5B4822A8">
      <w:pPr>
        <w:pStyle w:val="26"/>
        <w:spacing w:line="360" w:lineRule="auto"/>
        <w:ind w:left="25" w:leftChars="12" w:firstLine="472" w:firstLineChars="19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质疑</w:t>
      </w:r>
      <w:r>
        <w:rPr>
          <w:rFonts w:hint="eastAsia" w:ascii="宋体" w:hAnsi="宋体" w:eastAsia="宋体" w:cs="宋体"/>
          <w:color w:val="000000" w:themeColor="text1"/>
          <w:sz w:val="24"/>
          <w:szCs w:val="24"/>
          <w:highlight w:val="none"/>
          <w14:textFill>
            <w14:solidFill>
              <w14:schemeClr w14:val="tx1"/>
            </w14:solidFill>
          </w14:textFill>
        </w:rPr>
        <w:t>项目的名称：</w:t>
      </w:r>
    </w:p>
    <w:p w14:paraId="2CB2F606">
      <w:pPr>
        <w:pStyle w:val="26"/>
        <w:spacing w:line="360" w:lineRule="auto"/>
        <w:ind w:left="25" w:leftChars="12" w:firstLine="472" w:firstLineChars="19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质疑</w:t>
      </w:r>
      <w:r>
        <w:rPr>
          <w:rFonts w:hint="eastAsia" w:ascii="宋体" w:hAnsi="宋体" w:eastAsia="宋体" w:cs="宋体"/>
          <w:color w:val="000000" w:themeColor="text1"/>
          <w:sz w:val="24"/>
          <w:szCs w:val="24"/>
          <w:highlight w:val="none"/>
          <w14:textFill>
            <w14:solidFill>
              <w14:schemeClr w14:val="tx1"/>
            </w14:solidFill>
          </w14:textFill>
        </w:rPr>
        <w:t>项目的编号：</w:t>
      </w:r>
    </w:p>
    <w:p w14:paraId="15B91A62">
      <w:pPr>
        <w:pStyle w:val="26"/>
        <w:spacing w:line="360" w:lineRule="auto"/>
        <w:ind w:left="25" w:leftChars="12" w:firstLine="472" w:firstLineChars="19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采购人名称：</w:t>
      </w:r>
    </w:p>
    <w:p w14:paraId="70593B74">
      <w:pPr>
        <w:pStyle w:val="26"/>
        <w:spacing w:line="360" w:lineRule="auto"/>
        <w:ind w:left="25" w:leftChars="12" w:firstLine="472" w:firstLineChars="19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质疑事项：</w:t>
      </w:r>
    </w:p>
    <w:p w14:paraId="4F29F502">
      <w:pPr>
        <w:pStyle w:val="26"/>
        <w:spacing w:line="360" w:lineRule="auto"/>
        <w:ind w:left="25" w:leftChars="12" w:firstLine="352" w:firstLineChars="14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□招标文件   招标文件获取日期：</w:t>
      </w:r>
    </w:p>
    <w:p w14:paraId="5B5126E1">
      <w:pPr>
        <w:pStyle w:val="26"/>
        <w:spacing w:line="360" w:lineRule="auto"/>
        <w:ind w:left="25" w:leftChars="12" w:firstLine="352" w:firstLineChars="14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□采购过程   </w:t>
      </w:r>
    </w:p>
    <w:p w14:paraId="11BD5ABC">
      <w:pPr>
        <w:pStyle w:val="26"/>
        <w:spacing w:line="360" w:lineRule="auto"/>
        <w:ind w:left="25" w:leftChars="12" w:firstLine="352" w:firstLineChars="147"/>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□中标结果   </w:t>
      </w:r>
    </w:p>
    <w:p w14:paraId="42B5FB0F">
      <w:pPr>
        <w:pStyle w:val="26"/>
        <w:spacing w:line="360" w:lineRule="auto"/>
        <w:ind w:left="25" w:leftChars="12" w:firstLine="472" w:firstLineChars="196"/>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三、质疑事项具体内容</w:t>
      </w:r>
    </w:p>
    <w:p w14:paraId="28ACA647">
      <w:pPr>
        <w:pStyle w:val="26"/>
        <w:spacing w:line="360" w:lineRule="auto"/>
        <w:ind w:left="25" w:leftChars="12" w:firstLine="472" w:firstLineChars="19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质疑事项1：</w:t>
      </w:r>
    </w:p>
    <w:p w14:paraId="15ED5F53">
      <w:pPr>
        <w:pStyle w:val="26"/>
        <w:spacing w:line="360" w:lineRule="auto"/>
        <w:ind w:left="25" w:leftChars="12" w:firstLine="472" w:firstLineChars="19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事实依据：</w:t>
      </w:r>
    </w:p>
    <w:p w14:paraId="27863788">
      <w:pPr>
        <w:pStyle w:val="26"/>
        <w:spacing w:line="360" w:lineRule="auto"/>
        <w:ind w:left="25" w:leftChars="12" w:firstLine="472" w:firstLineChars="19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法律依据：</w:t>
      </w:r>
    </w:p>
    <w:p w14:paraId="7A478FEB">
      <w:pPr>
        <w:pStyle w:val="26"/>
        <w:spacing w:line="360" w:lineRule="auto"/>
        <w:ind w:left="25" w:leftChars="12" w:firstLine="472" w:firstLineChars="19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质疑事项2</w:t>
      </w:r>
    </w:p>
    <w:p w14:paraId="031BC3C7">
      <w:pPr>
        <w:pStyle w:val="26"/>
        <w:spacing w:line="360" w:lineRule="auto"/>
        <w:ind w:left="25" w:leftChars="12" w:firstLine="472" w:firstLineChars="19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p w14:paraId="648754AB">
      <w:pPr>
        <w:pStyle w:val="26"/>
        <w:spacing w:line="360" w:lineRule="auto"/>
        <w:ind w:left="25" w:leftChars="12" w:firstLine="472" w:firstLineChars="19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四、与质疑事项相关的质疑请求：</w:t>
      </w:r>
    </w:p>
    <w:p w14:paraId="4289035B">
      <w:pPr>
        <w:pStyle w:val="26"/>
        <w:spacing w:line="360" w:lineRule="auto"/>
        <w:ind w:left="25" w:leftChars="12" w:firstLine="472" w:firstLineChars="19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请求：</w:t>
      </w:r>
    </w:p>
    <w:p w14:paraId="5AFB2CE5">
      <w:pPr>
        <w:pStyle w:val="26"/>
        <w:spacing w:line="360" w:lineRule="auto"/>
        <w:ind w:left="25" w:leftChars="12" w:firstLine="352" w:firstLineChars="147"/>
        <w:rPr>
          <w:rFonts w:hint="eastAsia" w:ascii="宋体" w:hAnsi="宋体" w:eastAsia="宋体" w:cs="宋体"/>
          <w:color w:val="000000" w:themeColor="text1"/>
          <w:sz w:val="24"/>
          <w:szCs w:val="24"/>
          <w:highlight w:val="none"/>
          <w14:textFill>
            <w14:solidFill>
              <w14:schemeClr w14:val="tx1"/>
            </w14:solidFill>
          </w14:textFill>
        </w:rPr>
      </w:pPr>
    </w:p>
    <w:p w14:paraId="21F9193C">
      <w:pPr>
        <w:pStyle w:val="26"/>
        <w:spacing w:line="360" w:lineRule="auto"/>
        <w:ind w:left="25" w:leftChars="12" w:firstLine="472" w:firstLineChars="19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签字（签章）：                                       公章：</w:t>
      </w:r>
    </w:p>
    <w:p w14:paraId="12DF3494">
      <w:pPr>
        <w:pStyle w:val="26"/>
        <w:spacing w:line="360" w:lineRule="auto"/>
        <w:ind w:left="25" w:leftChars="12" w:firstLine="352" w:firstLineChars="147"/>
        <w:rPr>
          <w:rFonts w:hint="eastAsia" w:ascii="宋体" w:hAnsi="宋体" w:eastAsia="宋体" w:cs="宋体"/>
          <w:color w:val="000000" w:themeColor="text1"/>
          <w:sz w:val="24"/>
          <w:szCs w:val="24"/>
          <w:highlight w:val="none"/>
          <w14:textFill>
            <w14:solidFill>
              <w14:schemeClr w14:val="tx1"/>
            </w14:solidFill>
          </w14:textFill>
        </w:rPr>
      </w:pPr>
    </w:p>
    <w:p w14:paraId="57646D21">
      <w:pPr>
        <w:pStyle w:val="26"/>
        <w:spacing w:line="360" w:lineRule="auto"/>
        <w:ind w:left="25" w:leftChars="12" w:firstLine="472" w:firstLineChars="19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p>
    <w:p w14:paraId="61DC1892">
      <w:pPr>
        <w:pStyle w:val="26"/>
        <w:snapToGrid w:val="0"/>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5AC63560">
      <w:pPr>
        <w:pStyle w:val="26"/>
        <w:snapToGrid w:val="0"/>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说明：</w:t>
      </w:r>
    </w:p>
    <w:p w14:paraId="664B009A">
      <w:pPr>
        <w:pStyle w:val="26"/>
        <w:spacing w:line="360" w:lineRule="auto"/>
        <w:ind w:left="25" w:leftChars="12" w:firstLine="354" w:firstLineChars="147"/>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1.供应商提出质疑时，应提交质疑函和必要的证明材料</w:t>
      </w:r>
      <w:r>
        <w:rPr>
          <w:rFonts w:hint="eastAsia" w:ascii="宋体" w:hAnsi="宋体" w:eastAsia="宋体" w:cs="宋体"/>
          <w:b/>
          <w:bCs/>
          <w:color w:val="000000" w:themeColor="text1"/>
          <w:sz w:val="24"/>
          <w:szCs w:val="24"/>
          <w:highlight w:val="none"/>
          <w14:textFill>
            <w14:solidFill>
              <w14:schemeClr w14:val="tx1"/>
            </w14:solidFill>
          </w14:textFill>
        </w:rPr>
        <w:t>。</w:t>
      </w:r>
    </w:p>
    <w:p w14:paraId="31C9C195">
      <w:pPr>
        <w:pStyle w:val="26"/>
        <w:spacing w:line="360" w:lineRule="auto"/>
        <w:ind w:left="25" w:leftChars="12" w:firstLine="354" w:firstLineChars="147"/>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87C55DE">
      <w:pPr>
        <w:pStyle w:val="26"/>
        <w:spacing w:line="360" w:lineRule="auto"/>
        <w:ind w:left="25" w:leftChars="12" w:firstLine="354" w:firstLineChars="147"/>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3.质疑函的质疑事项应具体、明确，并有必要的事实依据和法律依据。</w:t>
      </w:r>
    </w:p>
    <w:p w14:paraId="26EA9403">
      <w:pPr>
        <w:pStyle w:val="26"/>
        <w:spacing w:line="360" w:lineRule="auto"/>
        <w:ind w:left="25" w:leftChars="12" w:firstLine="354" w:firstLineChars="147"/>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4.质疑函的质疑请求应与质疑事项相关。</w:t>
      </w:r>
    </w:p>
    <w:p w14:paraId="61FEAF6F">
      <w:pPr>
        <w:pStyle w:val="26"/>
        <w:spacing w:line="360" w:lineRule="auto"/>
        <w:ind w:left="25" w:leftChars="12" w:firstLine="354" w:firstLineChars="147"/>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5.质疑供应商为法人或者其他组织的，质疑函应由法定代表人、主要负责人，或者其授权代表签字或者盖章，并加盖公章。</w:t>
      </w:r>
    </w:p>
    <w:p w14:paraId="36ECE044">
      <w:pPr>
        <w:pStyle w:val="26"/>
        <w:snapToGrid w:val="0"/>
        <w:rPr>
          <w:rFonts w:hint="eastAsia" w:ascii="宋体" w:hAnsi="宋体" w:eastAsia="宋体" w:cs="宋体"/>
          <w:b/>
          <w:color w:val="000000" w:themeColor="text1"/>
          <w:sz w:val="24"/>
          <w:szCs w:val="24"/>
          <w:highlight w:val="none"/>
          <w14:textFill>
            <w14:solidFill>
              <w14:schemeClr w14:val="tx1"/>
            </w14:solidFill>
          </w14:textFill>
        </w:rPr>
      </w:pPr>
    </w:p>
    <w:p w14:paraId="6C3F4E22">
      <w:pPr>
        <w:spacing w:line="360" w:lineRule="auto"/>
        <w:jc w:val="left"/>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44"/>
          <w:highlight w:val="none"/>
          <w14:textFill>
            <w14:solidFill>
              <w14:schemeClr w14:val="tx1"/>
            </w14:solidFill>
          </w14:textFill>
        </w:rPr>
        <w:br w:type="page"/>
      </w:r>
      <w:r>
        <w:rPr>
          <w:rFonts w:hint="eastAsia" w:ascii="宋体" w:hAnsi="宋体" w:eastAsia="宋体" w:cs="宋体"/>
          <w:b/>
          <w:color w:val="000000" w:themeColor="text1"/>
          <w:sz w:val="24"/>
          <w:highlight w:val="none"/>
          <w14:textFill>
            <w14:solidFill>
              <w14:schemeClr w14:val="tx1"/>
            </w14:solidFill>
          </w14:textFill>
        </w:rPr>
        <w:t>5.投诉书格式</w:t>
      </w:r>
    </w:p>
    <w:p w14:paraId="490E6FD7">
      <w:pPr>
        <w:jc w:val="center"/>
        <w:rPr>
          <w:rFonts w:hint="eastAsia" w:ascii="宋体" w:hAnsi="宋体" w:eastAsia="宋体" w:cs="宋体"/>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t>投诉书</w:t>
      </w:r>
    </w:p>
    <w:p w14:paraId="71038965">
      <w:pPr>
        <w:pStyle w:val="26"/>
        <w:snapToGrid w:val="0"/>
        <w:spacing w:line="440" w:lineRule="exact"/>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p>
    <w:p w14:paraId="00A07A7B">
      <w:pPr>
        <w:pStyle w:val="26"/>
        <w:snapToGrid w:val="0"/>
        <w:spacing w:line="440" w:lineRule="exact"/>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一、投诉相关主体基本情况：</w:t>
      </w:r>
    </w:p>
    <w:p w14:paraId="799A0915">
      <w:pPr>
        <w:pStyle w:val="26"/>
        <w:snapToGrid w:val="0"/>
        <w:spacing w:line="440" w:lineRule="exact"/>
        <w:ind w:firstLine="480" w:firstLineChars="200"/>
        <w:jc w:val="lef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w:t>
      </w:r>
    </w:p>
    <w:p w14:paraId="48A83EEE">
      <w:pPr>
        <w:pStyle w:val="26"/>
        <w:snapToGrid w:val="0"/>
        <w:spacing w:line="4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地址：邮编：</w:t>
      </w:r>
    </w:p>
    <w:p w14:paraId="0668A645">
      <w:pPr>
        <w:pStyle w:val="26"/>
        <w:snapToGrid w:val="0"/>
        <w:spacing w:line="440" w:lineRule="exact"/>
        <w:ind w:firstLine="480" w:firstLineChars="200"/>
        <w:jc w:val="lef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法定代表人/主要负责人：</w:t>
      </w:r>
    </w:p>
    <w:p w14:paraId="0D07FD86">
      <w:pPr>
        <w:pStyle w:val="26"/>
        <w:snapToGrid w:val="0"/>
        <w:spacing w:line="4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联系电话：</w:t>
      </w:r>
    </w:p>
    <w:p w14:paraId="3DB49977">
      <w:pPr>
        <w:pStyle w:val="26"/>
        <w:snapToGrid w:val="0"/>
        <w:spacing w:line="440" w:lineRule="exact"/>
        <w:ind w:firstLine="480" w:firstLineChars="200"/>
        <w:jc w:val="lef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授权代表：联系电话：</w:t>
      </w:r>
    </w:p>
    <w:p w14:paraId="7FF730AA">
      <w:pPr>
        <w:pStyle w:val="26"/>
        <w:snapToGrid w:val="0"/>
        <w:spacing w:line="440" w:lineRule="exact"/>
        <w:ind w:firstLine="480" w:firstLineChars="200"/>
        <w:jc w:val="lef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地址：</w:t>
      </w:r>
    </w:p>
    <w:p w14:paraId="1CE6BD82">
      <w:pPr>
        <w:pStyle w:val="26"/>
        <w:snapToGrid w:val="0"/>
        <w:spacing w:line="4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邮编：</w:t>
      </w:r>
    </w:p>
    <w:p w14:paraId="41D29496">
      <w:pPr>
        <w:pStyle w:val="26"/>
        <w:snapToGrid w:val="0"/>
        <w:spacing w:line="4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被投诉人1：</w:t>
      </w:r>
    </w:p>
    <w:p w14:paraId="2F7A26C9">
      <w:pPr>
        <w:pStyle w:val="26"/>
        <w:snapToGrid w:val="0"/>
        <w:spacing w:line="440" w:lineRule="exact"/>
        <w:ind w:firstLine="480" w:firstLineChars="200"/>
        <w:jc w:val="lef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地址：</w:t>
      </w:r>
    </w:p>
    <w:p w14:paraId="1CC9D48F">
      <w:pPr>
        <w:pStyle w:val="26"/>
        <w:snapToGrid w:val="0"/>
        <w:spacing w:line="4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邮编：</w:t>
      </w:r>
    </w:p>
    <w:p w14:paraId="34903875">
      <w:pPr>
        <w:pStyle w:val="26"/>
        <w:snapToGrid w:val="0"/>
        <w:spacing w:line="440" w:lineRule="exact"/>
        <w:ind w:firstLine="480" w:firstLineChars="200"/>
        <w:jc w:val="lef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联系人：联系电话：</w:t>
      </w:r>
    </w:p>
    <w:p w14:paraId="16DF9557">
      <w:pPr>
        <w:pStyle w:val="26"/>
        <w:snapToGrid w:val="0"/>
        <w:spacing w:line="4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被投诉人2：</w:t>
      </w:r>
    </w:p>
    <w:p w14:paraId="380EDE56">
      <w:pPr>
        <w:pStyle w:val="26"/>
        <w:snapToGrid w:val="0"/>
        <w:spacing w:line="4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w:t>
      </w:r>
    </w:p>
    <w:p w14:paraId="1CADA74C">
      <w:pPr>
        <w:pStyle w:val="26"/>
        <w:snapToGrid w:val="0"/>
        <w:spacing w:line="440" w:lineRule="exact"/>
        <w:ind w:firstLine="480" w:firstLineChars="200"/>
        <w:jc w:val="lef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相关供应商：</w:t>
      </w:r>
    </w:p>
    <w:p w14:paraId="32BA8424">
      <w:pPr>
        <w:pStyle w:val="26"/>
        <w:snapToGrid w:val="0"/>
        <w:spacing w:line="440" w:lineRule="exact"/>
        <w:ind w:firstLine="480" w:firstLineChars="200"/>
        <w:jc w:val="lef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地址：邮编：</w:t>
      </w:r>
    </w:p>
    <w:p w14:paraId="5CBA9DB4">
      <w:pPr>
        <w:pStyle w:val="26"/>
        <w:snapToGrid w:val="0"/>
        <w:spacing w:line="44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联系人：联系电话：</w:t>
      </w:r>
    </w:p>
    <w:p w14:paraId="590218CD">
      <w:pPr>
        <w:pStyle w:val="26"/>
        <w:snapToGrid w:val="0"/>
        <w:spacing w:line="440" w:lineRule="exact"/>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二、投诉项目基本情况：</w:t>
      </w:r>
    </w:p>
    <w:p w14:paraId="772ACF1F">
      <w:pPr>
        <w:pStyle w:val="26"/>
        <w:spacing w:line="440" w:lineRule="exact"/>
        <w:ind w:left="25" w:leftChars="12" w:firstLine="472" w:firstLineChars="19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项目的名称：</w:t>
      </w:r>
    </w:p>
    <w:p w14:paraId="4B43ED16">
      <w:pPr>
        <w:pStyle w:val="26"/>
        <w:spacing w:line="440" w:lineRule="exact"/>
        <w:ind w:left="25" w:leftChars="12" w:firstLine="472" w:firstLineChars="19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项目的编号：</w:t>
      </w:r>
    </w:p>
    <w:p w14:paraId="53440D24">
      <w:pPr>
        <w:pStyle w:val="26"/>
        <w:spacing w:line="440" w:lineRule="exact"/>
        <w:ind w:left="25" w:leftChars="12" w:firstLine="472" w:firstLineChars="197"/>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采购人名称：</w:t>
      </w:r>
    </w:p>
    <w:p w14:paraId="3BEFF611">
      <w:pPr>
        <w:pStyle w:val="26"/>
        <w:spacing w:line="440" w:lineRule="exact"/>
        <w:ind w:left="25" w:leftChars="12" w:firstLine="472" w:firstLineChars="197"/>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代理机构名称：</w:t>
      </w:r>
    </w:p>
    <w:p w14:paraId="4B05C5CE">
      <w:pPr>
        <w:pStyle w:val="26"/>
        <w:spacing w:line="440" w:lineRule="exact"/>
        <w:ind w:left="25" w:leftChars="12" w:firstLine="472" w:firstLineChars="197"/>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招标文件公告：</w:t>
      </w:r>
      <w:r>
        <w:rPr>
          <w:rFonts w:hint="eastAsia" w:ascii="宋体" w:hAnsi="宋体" w:eastAsia="宋体" w:cs="宋体"/>
          <w:bCs/>
          <w:color w:val="000000" w:themeColor="text1"/>
          <w:sz w:val="24"/>
          <w:szCs w:val="24"/>
          <w:highlight w:val="none"/>
          <w:u w:val="single"/>
          <w14:textFill>
            <w14:solidFill>
              <w14:schemeClr w14:val="tx1"/>
            </w14:solidFill>
          </w14:textFill>
        </w:rPr>
        <w:t>是/否</w:t>
      </w:r>
      <w:r>
        <w:rPr>
          <w:rFonts w:hint="eastAsia" w:ascii="宋体" w:hAnsi="宋体" w:eastAsia="宋体" w:cs="宋体"/>
          <w:bCs/>
          <w:color w:val="000000" w:themeColor="text1"/>
          <w:sz w:val="24"/>
          <w:szCs w:val="24"/>
          <w:highlight w:val="none"/>
          <w14:textFill>
            <w14:solidFill>
              <w14:schemeClr w14:val="tx1"/>
            </w14:solidFill>
          </w14:textFill>
        </w:rPr>
        <w:t>公告期限：</w:t>
      </w:r>
    </w:p>
    <w:p w14:paraId="0F90731E">
      <w:pPr>
        <w:pStyle w:val="26"/>
        <w:spacing w:line="440" w:lineRule="exact"/>
        <w:ind w:left="25" w:leftChars="12" w:firstLine="472" w:firstLineChars="197"/>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采购结果公告：</w:t>
      </w:r>
      <w:r>
        <w:rPr>
          <w:rFonts w:hint="eastAsia" w:ascii="宋体" w:hAnsi="宋体" w:eastAsia="宋体" w:cs="宋体"/>
          <w:bCs/>
          <w:color w:val="000000" w:themeColor="text1"/>
          <w:sz w:val="24"/>
          <w:szCs w:val="24"/>
          <w:highlight w:val="none"/>
          <w:u w:val="single"/>
          <w14:textFill>
            <w14:solidFill>
              <w14:schemeClr w14:val="tx1"/>
            </w14:solidFill>
          </w14:textFill>
        </w:rPr>
        <w:t>是/否</w:t>
      </w:r>
      <w:r>
        <w:rPr>
          <w:rFonts w:hint="eastAsia" w:ascii="宋体" w:hAnsi="宋体" w:eastAsia="宋体" w:cs="宋体"/>
          <w:bCs/>
          <w:color w:val="000000" w:themeColor="text1"/>
          <w:sz w:val="24"/>
          <w:szCs w:val="24"/>
          <w:highlight w:val="none"/>
          <w14:textFill>
            <w14:solidFill>
              <w14:schemeClr w14:val="tx1"/>
            </w14:solidFill>
          </w14:textFill>
        </w:rPr>
        <w:t>公告期限：</w:t>
      </w:r>
    </w:p>
    <w:p w14:paraId="6F876928">
      <w:pPr>
        <w:pStyle w:val="26"/>
        <w:spacing w:line="440" w:lineRule="exact"/>
        <w:ind w:left="25" w:leftChars="12" w:firstLine="472" w:firstLineChars="196"/>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三、质疑基本情况</w:t>
      </w:r>
    </w:p>
    <w:p w14:paraId="0C5E4EED">
      <w:pPr>
        <w:pStyle w:val="26"/>
        <w:spacing w:line="440" w:lineRule="exact"/>
        <w:ind w:left="25" w:leftChars="12"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投诉人于年月日，向提出质疑，质疑事项为：</w:t>
      </w:r>
    </w:p>
    <w:p w14:paraId="45450329">
      <w:pPr>
        <w:pStyle w:val="26"/>
        <w:spacing w:line="440" w:lineRule="exact"/>
        <w:ind w:firstLine="241"/>
        <w:rPr>
          <w:rFonts w:hint="eastAsia" w:ascii="宋体" w:hAnsi="宋体" w:eastAsia="宋体" w:cs="宋体"/>
          <w:bCs/>
          <w:color w:val="000000" w:themeColor="text1"/>
          <w:sz w:val="24"/>
          <w:szCs w:val="24"/>
          <w:highlight w:val="none"/>
          <w:u w:val="single"/>
          <w14:textFill>
            <w14:solidFill>
              <w14:schemeClr w14:val="tx1"/>
            </w14:solidFill>
          </w14:textFill>
        </w:rPr>
      </w:pPr>
    </w:p>
    <w:p w14:paraId="1E527F69">
      <w:pPr>
        <w:pStyle w:val="26"/>
        <w:spacing w:line="440" w:lineRule="exact"/>
        <w:ind w:firstLine="241"/>
        <w:rPr>
          <w:rFonts w:hint="eastAsia" w:ascii="宋体" w:hAnsi="宋体" w:eastAsia="宋体" w:cs="宋体"/>
          <w:bCs/>
          <w:color w:val="000000" w:themeColor="text1"/>
          <w:sz w:val="24"/>
          <w:szCs w:val="24"/>
          <w:highlight w:val="none"/>
          <w:u w:val="single"/>
          <w14:textFill>
            <w14:solidFill>
              <w14:schemeClr w14:val="tx1"/>
            </w14:solidFill>
          </w14:textFill>
        </w:rPr>
      </w:pPr>
    </w:p>
    <w:p w14:paraId="0B350BC2">
      <w:pPr>
        <w:pStyle w:val="26"/>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u w:val="single"/>
          <w14:textFill>
            <w14:solidFill>
              <w14:schemeClr w14:val="tx1"/>
            </w14:solidFill>
          </w14:textFill>
        </w:rPr>
        <w:t>采购人/代理机构</w:t>
      </w:r>
      <w:r>
        <w:rPr>
          <w:rFonts w:hint="eastAsia" w:ascii="宋体" w:hAnsi="宋体" w:eastAsia="宋体" w:cs="宋体"/>
          <w:bCs/>
          <w:color w:val="000000" w:themeColor="text1"/>
          <w:sz w:val="24"/>
          <w:szCs w:val="24"/>
          <w:highlight w:val="none"/>
          <w14:textFill>
            <w14:solidFill>
              <w14:schemeClr w14:val="tx1"/>
            </w14:solidFill>
          </w14:textFill>
        </w:rPr>
        <w:t>于</w:t>
      </w:r>
      <w:r>
        <w:rPr>
          <w:rFonts w:hint="eastAsia" w:ascii="宋体" w:hAnsi="宋体" w:eastAsia="宋体" w:cs="宋体"/>
          <w:color w:val="000000" w:themeColor="text1"/>
          <w:sz w:val="24"/>
          <w:szCs w:val="24"/>
          <w:highlight w:val="none"/>
          <w14:textFill>
            <w14:solidFill>
              <w14:schemeClr w14:val="tx1"/>
            </w14:solidFill>
          </w14:textFill>
        </w:rPr>
        <w:t>年月日，</w:t>
      </w:r>
      <w:r>
        <w:rPr>
          <w:rFonts w:hint="eastAsia" w:ascii="宋体" w:hAnsi="宋体" w:eastAsia="宋体" w:cs="宋体"/>
          <w:bCs/>
          <w:color w:val="000000" w:themeColor="text1"/>
          <w:sz w:val="24"/>
          <w:szCs w:val="24"/>
          <w:highlight w:val="none"/>
          <w14:textFill>
            <w14:solidFill>
              <w14:schemeClr w14:val="tx1"/>
            </w14:solidFill>
          </w14:textFill>
        </w:rPr>
        <w:t xml:space="preserve">就质疑事项作出了答复/没有在法定期限内作出答复。                                                                                             </w:t>
      </w:r>
    </w:p>
    <w:p w14:paraId="75B71DA2">
      <w:pPr>
        <w:pStyle w:val="26"/>
        <w:spacing w:line="440" w:lineRule="exact"/>
        <w:ind w:left="25" w:leftChars="12" w:firstLine="472" w:firstLineChars="196"/>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四、投诉事项具体内容</w:t>
      </w:r>
    </w:p>
    <w:p w14:paraId="3F36E030">
      <w:pPr>
        <w:pStyle w:val="26"/>
        <w:spacing w:line="440" w:lineRule="exact"/>
        <w:ind w:left="25" w:leftChars="12" w:firstLine="472" w:firstLineChars="197"/>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投诉事项1：</w:t>
      </w:r>
    </w:p>
    <w:p w14:paraId="1BAD995F">
      <w:pPr>
        <w:pStyle w:val="26"/>
        <w:spacing w:line="440" w:lineRule="exact"/>
        <w:ind w:firstLine="480" w:firstLineChars="200"/>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事实依据：</w:t>
      </w:r>
    </w:p>
    <w:p w14:paraId="30E0FD48">
      <w:pPr>
        <w:pStyle w:val="26"/>
        <w:spacing w:line="440" w:lineRule="exact"/>
        <w:ind w:left="25" w:leftChars="12" w:firstLine="472" w:firstLineChars="197"/>
        <w:rPr>
          <w:rFonts w:hint="eastAsia" w:ascii="宋体" w:hAnsi="宋体" w:eastAsia="宋体" w:cs="宋体"/>
          <w:color w:val="000000" w:themeColor="text1"/>
          <w:sz w:val="24"/>
          <w:szCs w:val="24"/>
          <w:highlight w:val="none"/>
          <w14:textFill>
            <w14:solidFill>
              <w14:schemeClr w14:val="tx1"/>
            </w14:solidFill>
          </w14:textFill>
        </w:rPr>
      </w:pPr>
    </w:p>
    <w:p w14:paraId="7DABBDC0">
      <w:pPr>
        <w:pStyle w:val="26"/>
        <w:spacing w:line="440" w:lineRule="exact"/>
        <w:ind w:firstLine="480" w:firstLineChars="200"/>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法律依据：</w:t>
      </w:r>
    </w:p>
    <w:p w14:paraId="22B39997">
      <w:pPr>
        <w:pStyle w:val="26"/>
        <w:spacing w:line="440" w:lineRule="exact"/>
        <w:ind w:left="25" w:leftChars="12" w:firstLine="352" w:firstLineChars="147"/>
        <w:rPr>
          <w:rFonts w:hint="eastAsia" w:ascii="宋体" w:hAnsi="宋体" w:eastAsia="宋体" w:cs="宋体"/>
          <w:bCs/>
          <w:color w:val="000000" w:themeColor="text1"/>
          <w:sz w:val="24"/>
          <w:szCs w:val="24"/>
          <w:highlight w:val="none"/>
          <w:u w:val="single"/>
          <w14:textFill>
            <w14:solidFill>
              <w14:schemeClr w14:val="tx1"/>
            </w14:solidFill>
          </w14:textFill>
        </w:rPr>
      </w:pPr>
    </w:p>
    <w:p w14:paraId="43656B4C">
      <w:pPr>
        <w:pStyle w:val="26"/>
        <w:spacing w:line="440" w:lineRule="exact"/>
        <w:ind w:left="25" w:leftChars="12" w:firstLine="472" w:firstLineChars="197"/>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投诉事项2  </w:t>
      </w:r>
    </w:p>
    <w:p w14:paraId="6443E5E3">
      <w:pPr>
        <w:pStyle w:val="26"/>
        <w:spacing w:line="440" w:lineRule="exact"/>
        <w:ind w:left="25" w:leftChars="12" w:firstLine="472" w:firstLineChars="197"/>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w:t>
      </w:r>
    </w:p>
    <w:p w14:paraId="70CB50B7">
      <w:pPr>
        <w:pStyle w:val="26"/>
        <w:spacing w:line="440" w:lineRule="exact"/>
        <w:ind w:left="25" w:leftChars="12" w:firstLine="472" w:firstLineChars="196"/>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五、与投诉事项相关的投诉请求：</w:t>
      </w:r>
    </w:p>
    <w:p w14:paraId="07A8798F">
      <w:pPr>
        <w:pStyle w:val="26"/>
        <w:spacing w:line="440" w:lineRule="exact"/>
        <w:ind w:left="25" w:leftChars="12" w:firstLine="472" w:firstLineChars="19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请求：</w:t>
      </w:r>
    </w:p>
    <w:p w14:paraId="425D3ACC">
      <w:pPr>
        <w:pStyle w:val="26"/>
        <w:spacing w:line="440" w:lineRule="exact"/>
        <w:ind w:left="25" w:leftChars="12" w:firstLine="352" w:firstLineChars="147"/>
        <w:rPr>
          <w:rFonts w:hint="eastAsia" w:ascii="宋体" w:hAnsi="宋体" w:eastAsia="宋体" w:cs="宋体"/>
          <w:color w:val="000000" w:themeColor="text1"/>
          <w:sz w:val="24"/>
          <w:szCs w:val="24"/>
          <w:highlight w:val="none"/>
          <w14:textFill>
            <w14:solidFill>
              <w14:schemeClr w14:val="tx1"/>
            </w14:solidFill>
          </w14:textFill>
        </w:rPr>
      </w:pPr>
    </w:p>
    <w:p w14:paraId="4B19A433">
      <w:pPr>
        <w:pStyle w:val="26"/>
        <w:spacing w:line="440" w:lineRule="exact"/>
        <w:ind w:left="25" w:leftChars="12" w:firstLine="472" w:firstLineChars="19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签字（签章）：                                       公章：</w:t>
      </w:r>
    </w:p>
    <w:p w14:paraId="55442C99">
      <w:pPr>
        <w:pStyle w:val="26"/>
        <w:spacing w:line="440" w:lineRule="exact"/>
        <w:ind w:left="25" w:leftChars="12" w:firstLine="352" w:firstLineChars="147"/>
        <w:rPr>
          <w:rFonts w:hint="eastAsia" w:ascii="宋体" w:hAnsi="宋体" w:eastAsia="宋体" w:cs="宋体"/>
          <w:color w:val="000000" w:themeColor="text1"/>
          <w:sz w:val="24"/>
          <w:szCs w:val="24"/>
          <w:highlight w:val="none"/>
          <w14:textFill>
            <w14:solidFill>
              <w14:schemeClr w14:val="tx1"/>
            </w14:solidFill>
          </w14:textFill>
        </w:rPr>
      </w:pPr>
    </w:p>
    <w:p w14:paraId="0210D48F">
      <w:pPr>
        <w:pStyle w:val="26"/>
        <w:spacing w:line="440" w:lineRule="exact"/>
        <w:ind w:left="25" w:leftChars="12" w:firstLine="472" w:firstLineChars="19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p>
    <w:p w14:paraId="25103A2B">
      <w:pPr>
        <w:pStyle w:val="26"/>
        <w:spacing w:line="440" w:lineRule="exact"/>
        <w:ind w:left="25" w:leftChars="12" w:firstLine="472" w:firstLineChars="197"/>
        <w:rPr>
          <w:rFonts w:hint="eastAsia" w:ascii="宋体" w:hAnsi="宋体" w:eastAsia="宋体" w:cs="宋体"/>
          <w:color w:val="000000" w:themeColor="text1"/>
          <w:sz w:val="24"/>
          <w:szCs w:val="24"/>
          <w:highlight w:val="none"/>
          <w14:textFill>
            <w14:solidFill>
              <w14:schemeClr w14:val="tx1"/>
            </w14:solidFill>
          </w14:textFill>
        </w:rPr>
      </w:pPr>
    </w:p>
    <w:p w14:paraId="5D75FD79">
      <w:pPr>
        <w:pStyle w:val="26"/>
        <w:snapToGrid w:val="0"/>
        <w:spacing w:line="440" w:lineRule="exac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说明：</w:t>
      </w:r>
    </w:p>
    <w:p w14:paraId="0A7C2DED">
      <w:pPr>
        <w:pStyle w:val="26"/>
        <w:spacing w:line="440" w:lineRule="exact"/>
        <w:ind w:left="25" w:leftChars="12" w:firstLine="354" w:firstLineChars="147"/>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1.投诉人提起投诉时，应当提交投诉书和必要的证明材料，并按照被投诉人和与投诉事项有关的供应商数量提供投诉书副本</w:t>
      </w:r>
      <w:r>
        <w:rPr>
          <w:rFonts w:hint="eastAsia" w:ascii="宋体" w:hAnsi="宋体" w:eastAsia="宋体" w:cs="宋体"/>
          <w:b/>
          <w:bCs/>
          <w:color w:val="000000" w:themeColor="text1"/>
          <w:sz w:val="24"/>
          <w:szCs w:val="24"/>
          <w:highlight w:val="none"/>
          <w14:textFill>
            <w14:solidFill>
              <w14:schemeClr w14:val="tx1"/>
            </w14:solidFill>
          </w14:textFill>
        </w:rPr>
        <w:t>。</w:t>
      </w:r>
    </w:p>
    <w:p w14:paraId="04521DB7">
      <w:pPr>
        <w:pStyle w:val="26"/>
        <w:spacing w:line="440" w:lineRule="exact"/>
        <w:ind w:left="25" w:leftChars="12" w:firstLine="354" w:firstLineChars="147"/>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A11FC66">
      <w:pPr>
        <w:pStyle w:val="26"/>
        <w:spacing w:line="440" w:lineRule="exact"/>
        <w:ind w:left="25" w:leftChars="12" w:firstLine="354" w:firstLineChars="147"/>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3.投诉书应简要列明质疑事项，质疑函、质疑答复等作为附件材料提供。</w:t>
      </w:r>
    </w:p>
    <w:p w14:paraId="11F94090">
      <w:pPr>
        <w:pStyle w:val="26"/>
        <w:spacing w:line="440" w:lineRule="exact"/>
        <w:ind w:left="25" w:leftChars="12" w:firstLine="354" w:firstLineChars="147"/>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4.投诉书的投诉事项应具体、明确，并有必要的事实依据和法律依据。</w:t>
      </w:r>
    </w:p>
    <w:p w14:paraId="05786044">
      <w:pPr>
        <w:pStyle w:val="26"/>
        <w:spacing w:line="440" w:lineRule="exact"/>
        <w:ind w:left="25" w:leftChars="12" w:firstLine="354" w:firstLineChars="147"/>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5.投诉书的投诉请求应与投诉事项相关。</w:t>
      </w:r>
    </w:p>
    <w:p w14:paraId="2B4A942A">
      <w:pPr>
        <w:pStyle w:val="26"/>
        <w:spacing w:line="440" w:lineRule="exact"/>
        <w:ind w:left="25" w:leftChars="12" w:firstLine="354" w:firstLineChars="147"/>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6.投诉人为法人或者其他组织的，投诉书应由法定代表人、主要负责人，或者其授权代表签字或者盖章，并加盖公章。</w:t>
      </w:r>
    </w:p>
    <w:sectPr>
      <w:footerReference r:id="rId10" w:type="first"/>
      <w:headerReference r:id="rId7" w:type="default"/>
      <w:footerReference r:id="rId8" w:type="default"/>
      <w:footerReference r:id="rId9" w:type="even"/>
      <w:pgSz w:w="11906" w:h="16838"/>
      <w:pgMar w:top="1361" w:right="1361" w:bottom="1361" w:left="1361" w:header="851" w:footer="992"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entury">
    <w:altName w:val="Times New Roman"/>
    <w:panose1 w:val="02040604050505020304"/>
    <w:charset w:val="00"/>
    <w:family w:val="roman"/>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5C58A">
    <w:pPr>
      <w:pStyle w:val="3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D8A5F">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7CD8A5F">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94DC1">
    <w:pPr>
      <w:pStyle w:val="32"/>
      <w:jc w:val="center"/>
    </w:pPr>
    <w:r>
      <w:fldChar w:fldCharType="begin"/>
    </w:r>
    <w:r>
      <w:instrText xml:space="preserve">PAGE   \* MERGEFORMAT</w:instrText>
    </w:r>
    <w:r>
      <w:fldChar w:fldCharType="separate"/>
    </w:r>
    <w:r>
      <w:rPr>
        <w:lang w:val="zh-CN"/>
      </w:rPr>
      <w:t>1</w:t>
    </w:r>
    <w:r>
      <w:rPr>
        <w:lang w:val="zh-CN"/>
      </w:rPr>
      <w:fldChar w:fldCharType="end"/>
    </w:r>
  </w:p>
  <w:p w14:paraId="7A25D3CF">
    <w:pPr>
      <w:pStyle w:val="32"/>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A65EC">
    <w:pPr>
      <w:pStyle w:val="3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D5F48A">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8D5F48A">
                    <w:pPr>
                      <w:pStyle w:val="32"/>
                    </w:pPr>
                    <w:r>
                      <w:fldChar w:fldCharType="begin"/>
                    </w:r>
                    <w:r>
                      <w:instrText xml:space="preserve"> PAGE  \* MERGEFORMAT </w:instrText>
                    </w:r>
                    <w:r>
                      <w:fldChar w:fldCharType="separate"/>
                    </w:r>
                    <w:r>
                      <w:t>1</w:t>
                    </w:r>
                    <w:r>
                      <w:fldChar w:fldCharType="end"/>
                    </w:r>
                  </w:p>
                </w:txbxContent>
              </v:textbox>
            </v:shape>
          </w:pict>
        </mc:Fallback>
      </mc:AlternateContent>
    </w:r>
  </w:p>
  <w:p w14:paraId="6ABE3150">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FF06E">
    <w:pPr>
      <w:pStyle w:val="3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9CC7B8">
                          <w:pPr>
                            <w:pStyle w:val="32"/>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89CC7B8">
                    <w:pPr>
                      <w:pStyle w:val="32"/>
                    </w:pPr>
                    <w:r>
                      <w:fldChar w:fldCharType="begin"/>
                    </w:r>
                    <w:r>
                      <w:instrText xml:space="preserve"> PAGE  \* MERGEFORMAT </w:instrText>
                    </w:r>
                    <w:r>
                      <w:fldChar w:fldCharType="separate"/>
                    </w:r>
                    <w:r>
                      <w:t>29</w:t>
                    </w:r>
                    <w:r>
                      <w:fldChar w:fldCharType="end"/>
                    </w:r>
                  </w:p>
                </w:txbxContent>
              </v:textbox>
            </v:shape>
          </w:pict>
        </mc:Fallback>
      </mc:AlternateContent>
    </w:r>
  </w:p>
  <w:p w14:paraId="417757FA">
    <w:pPr>
      <w:pStyle w:val="32"/>
    </w:pPr>
  </w:p>
  <w:p w14:paraId="4BE759B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F4C51">
    <w:pPr>
      <w:pStyle w:val="32"/>
      <w:framePr w:wrap="around" w:vAnchor="text" w:hAnchor="margin" w:xAlign="center" w:y="1"/>
      <w:rPr>
        <w:rStyle w:val="53"/>
      </w:rPr>
    </w:pPr>
    <w:r>
      <w:fldChar w:fldCharType="begin"/>
    </w:r>
    <w:r>
      <w:rPr>
        <w:rStyle w:val="53"/>
      </w:rPr>
      <w:instrText xml:space="preserve">PAGE  </w:instrText>
    </w:r>
    <w:r>
      <w:fldChar w:fldCharType="end"/>
    </w:r>
  </w:p>
  <w:p w14:paraId="2857B2DD">
    <w:pPr>
      <w:pStyle w:val="32"/>
    </w:pPr>
  </w:p>
  <w:p w14:paraId="579563C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B8360">
    <w:pPr>
      <w:pStyle w:val="32"/>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09951">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779A0">
    <w:pPr>
      <w:pStyle w:val="33"/>
      <w:pBdr>
        <w:bottom w:val="none" w:color="auto" w:sz="0" w:space="0"/>
      </w:pBdr>
    </w:pPr>
  </w:p>
  <w:p w14:paraId="4F20C5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01917"/>
    <w:multiLevelType w:val="singleLevel"/>
    <w:tmpl w:val="4C601917"/>
    <w:lvl w:ilvl="0" w:tentative="0">
      <w:start w:val="1"/>
      <w:numFmt w:val="decimal"/>
      <w:suff w:val="nothing"/>
      <w:lvlText w:val="（%1）"/>
      <w:lvlJc w:val="left"/>
      <w:pPr>
        <w:ind w:left="-2"/>
      </w:pPr>
    </w:lvl>
  </w:abstractNum>
  <w:abstractNum w:abstractNumId="1">
    <w:nsid w:val="5FABD14B"/>
    <w:multiLevelType w:val="singleLevel"/>
    <w:tmpl w:val="5FABD14B"/>
    <w:lvl w:ilvl="0" w:tentative="0">
      <w:start w:val="1"/>
      <w:numFmt w:val="decimal"/>
      <w:suff w:val="nothing"/>
      <w:lvlText w:val="（%1）"/>
      <w:lvlJc w:val="left"/>
    </w:lvl>
  </w:abstractNum>
  <w:abstractNum w:abstractNumId="2">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MDQyOTJlOWZmYzBlYzg5YTc2ZjY3OWU2MzM5N2MifQ=="/>
    <w:docVar w:name="KSO_WPS_MARK_KEY" w:val="679b1800-d7a1-4fa0-9d74-876ba14534a9"/>
  </w:docVars>
  <w:rsids>
    <w:rsidRoot w:val="00F9008B"/>
    <w:rsid w:val="0000010C"/>
    <w:rsid w:val="000004FE"/>
    <w:rsid w:val="00000FE0"/>
    <w:rsid w:val="00001068"/>
    <w:rsid w:val="0000114A"/>
    <w:rsid w:val="00001731"/>
    <w:rsid w:val="00001C2D"/>
    <w:rsid w:val="00001C55"/>
    <w:rsid w:val="00001CA8"/>
    <w:rsid w:val="00001ECD"/>
    <w:rsid w:val="00001FAE"/>
    <w:rsid w:val="00002291"/>
    <w:rsid w:val="00002DBF"/>
    <w:rsid w:val="00002EC0"/>
    <w:rsid w:val="00003224"/>
    <w:rsid w:val="000033F5"/>
    <w:rsid w:val="0000358C"/>
    <w:rsid w:val="0000361D"/>
    <w:rsid w:val="00003BEF"/>
    <w:rsid w:val="00004130"/>
    <w:rsid w:val="0000431F"/>
    <w:rsid w:val="00004634"/>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2137"/>
    <w:rsid w:val="000121FF"/>
    <w:rsid w:val="00012456"/>
    <w:rsid w:val="000125B8"/>
    <w:rsid w:val="00012692"/>
    <w:rsid w:val="00012705"/>
    <w:rsid w:val="00013446"/>
    <w:rsid w:val="00013509"/>
    <w:rsid w:val="000135BC"/>
    <w:rsid w:val="000135DC"/>
    <w:rsid w:val="00013654"/>
    <w:rsid w:val="000136D6"/>
    <w:rsid w:val="00014085"/>
    <w:rsid w:val="00014267"/>
    <w:rsid w:val="00014D89"/>
    <w:rsid w:val="00014DD9"/>
    <w:rsid w:val="00014EE0"/>
    <w:rsid w:val="000151E4"/>
    <w:rsid w:val="00015577"/>
    <w:rsid w:val="000156E4"/>
    <w:rsid w:val="000159A7"/>
    <w:rsid w:val="00015FB8"/>
    <w:rsid w:val="0001609F"/>
    <w:rsid w:val="0001635B"/>
    <w:rsid w:val="00016549"/>
    <w:rsid w:val="00016814"/>
    <w:rsid w:val="00016BF7"/>
    <w:rsid w:val="0001720C"/>
    <w:rsid w:val="0001767E"/>
    <w:rsid w:val="0001776D"/>
    <w:rsid w:val="00017F31"/>
    <w:rsid w:val="00020607"/>
    <w:rsid w:val="0002103A"/>
    <w:rsid w:val="000217AA"/>
    <w:rsid w:val="000217E4"/>
    <w:rsid w:val="00021852"/>
    <w:rsid w:val="00021A12"/>
    <w:rsid w:val="000223BF"/>
    <w:rsid w:val="00022622"/>
    <w:rsid w:val="000226E5"/>
    <w:rsid w:val="00023363"/>
    <w:rsid w:val="000235F3"/>
    <w:rsid w:val="00023644"/>
    <w:rsid w:val="00023712"/>
    <w:rsid w:val="00024E3C"/>
    <w:rsid w:val="00024EB0"/>
    <w:rsid w:val="00025604"/>
    <w:rsid w:val="00025DAF"/>
    <w:rsid w:val="0002646A"/>
    <w:rsid w:val="0002651D"/>
    <w:rsid w:val="00026CFD"/>
    <w:rsid w:val="00027C8B"/>
    <w:rsid w:val="00027CD9"/>
    <w:rsid w:val="00030242"/>
    <w:rsid w:val="00030B06"/>
    <w:rsid w:val="0003183A"/>
    <w:rsid w:val="00031CDC"/>
    <w:rsid w:val="00032461"/>
    <w:rsid w:val="0003263B"/>
    <w:rsid w:val="0003282C"/>
    <w:rsid w:val="00032F6D"/>
    <w:rsid w:val="0003304A"/>
    <w:rsid w:val="0003310E"/>
    <w:rsid w:val="0003317E"/>
    <w:rsid w:val="00033413"/>
    <w:rsid w:val="000337F3"/>
    <w:rsid w:val="00033DDB"/>
    <w:rsid w:val="00034B24"/>
    <w:rsid w:val="00034C27"/>
    <w:rsid w:val="00034E2A"/>
    <w:rsid w:val="0003577F"/>
    <w:rsid w:val="00035B29"/>
    <w:rsid w:val="00036466"/>
    <w:rsid w:val="0003675E"/>
    <w:rsid w:val="00037F87"/>
    <w:rsid w:val="00037FA2"/>
    <w:rsid w:val="000400D0"/>
    <w:rsid w:val="00040343"/>
    <w:rsid w:val="0004160D"/>
    <w:rsid w:val="000425AC"/>
    <w:rsid w:val="000427B8"/>
    <w:rsid w:val="00042F4A"/>
    <w:rsid w:val="00043AC8"/>
    <w:rsid w:val="00043BE5"/>
    <w:rsid w:val="00044003"/>
    <w:rsid w:val="00044527"/>
    <w:rsid w:val="000447E8"/>
    <w:rsid w:val="00044897"/>
    <w:rsid w:val="00044ACF"/>
    <w:rsid w:val="000454F4"/>
    <w:rsid w:val="00045D1E"/>
    <w:rsid w:val="00045E69"/>
    <w:rsid w:val="00045E97"/>
    <w:rsid w:val="00045EF4"/>
    <w:rsid w:val="00046547"/>
    <w:rsid w:val="000466D7"/>
    <w:rsid w:val="00046753"/>
    <w:rsid w:val="00047254"/>
    <w:rsid w:val="00047E41"/>
    <w:rsid w:val="0005022B"/>
    <w:rsid w:val="00050450"/>
    <w:rsid w:val="00050771"/>
    <w:rsid w:val="000509BA"/>
    <w:rsid w:val="000513F3"/>
    <w:rsid w:val="00052287"/>
    <w:rsid w:val="000522E0"/>
    <w:rsid w:val="000532F4"/>
    <w:rsid w:val="000535A9"/>
    <w:rsid w:val="000536AE"/>
    <w:rsid w:val="00054C2F"/>
    <w:rsid w:val="00054CD5"/>
    <w:rsid w:val="00054D03"/>
    <w:rsid w:val="000550AC"/>
    <w:rsid w:val="0005584D"/>
    <w:rsid w:val="00055CC3"/>
    <w:rsid w:val="00055CEE"/>
    <w:rsid w:val="00055FB7"/>
    <w:rsid w:val="000566FA"/>
    <w:rsid w:val="00056A2B"/>
    <w:rsid w:val="00056DA8"/>
    <w:rsid w:val="00056E37"/>
    <w:rsid w:val="00056EE2"/>
    <w:rsid w:val="00056FE2"/>
    <w:rsid w:val="000570FB"/>
    <w:rsid w:val="000575B8"/>
    <w:rsid w:val="00060131"/>
    <w:rsid w:val="0006026B"/>
    <w:rsid w:val="00060293"/>
    <w:rsid w:val="00061341"/>
    <w:rsid w:val="00061AA1"/>
    <w:rsid w:val="00061BD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896"/>
    <w:rsid w:val="00067002"/>
    <w:rsid w:val="00067993"/>
    <w:rsid w:val="00067B1C"/>
    <w:rsid w:val="00067CED"/>
    <w:rsid w:val="00067F66"/>
    <w:rsid w:val="0007041A"/>
    <w:rsid w:val="00070634"/>
    <w:rsid w:val="0007084D"/>
    <w:rsid w:val="00070883"/>
    <w:rsid w:val="00070C3F"/>
    <w:rsid w:val="0007102C"/>
    <w:rsid w:val="00071D68"/>
    <w:rsid w:val="00071FCE"/>
    <w:rsid w:val="00072661"/>
    <w:rsid w:val="00072CCC"/>
    <w:rsid w:val="0007315D"/>
    <w:rsid w:val="00073549"/>
    <w:rsid w:val="0007483E"/>
    <w:rsid w:val="000751DB"/>
    <w:rsid w:val="0007542D"/>
    <w:rsid w:val="0007578F"/>
    <w:rsid w:val="00075E43"/>
    <w:rsid w:val="00077706"/>
    <w:rsid w:val="00077878"/>
    <w:rsid w:val="000804EF"/>
    <w:rsid w:val="00080558"/>
    <w:rsid w:val="00081230"/>
    <w:rsid w:val="000814E2"/>
    <w:rsid w:val="000818C9"/>
    <w:rsid w:val="00081CBB"/>
    <w:rsid w:val="00081D42"/>
    <w:rsid w:val="000822EF"/>
    <w:rsid w:val="0008241E"/>
    <w:rsid w:val="000826F5"/>
    <w:rsid w:val="000829B1"/>
    <w:rsid w:val="00082AAB"/>
    <w:rsid w:val="0008307D"/>
    <w:rsid w:val="000831E9"/>
    <w:rsid w:val="000833BB"/>
    <w:rsid w:val="0008452D"/>
    <w:rsid w:val="0008467B"/>
    <w:rsid w:val="000850FA"/>
    <w:rsid w:val="00085758"/>
    <w:rsid w:val="000857A6"/>
    <w:rsid w:val="00085C12"/>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6098"/>
    <w:rsid w:val="000961B2"/>
    <w:rsid w:val="000969D9"/>
    <w:rsid w:val="00096C5A"/>
    <w:rsid w:val="00096C5D"/>
    <w:rsid w:val="00096F37"/>
    <w:rsid w:val="00097FE5"/>
    <w:rsid w:val="000A0354"/>
    <w:rsid w:val="000A091F"/>
    <w:rsid w:val="000A0958"/>
    <w:rsid w:val="000A0FCC"/>
    <w:rsid w:val="000A1033"/>
    <w:rsid w:val="000A2712"/>
    <w:rsid w:val="000A2877"/>
    <w:rsid w:val="000A355D"/>
    <w:rsid w:val="000A35DA"/>
    <w:rsid w:val="000A371E"/>
    <w:rsid w:val="000A3DE5"/>
    <w:rsid w:val="000A4011"/>
    <w:rsid w:val="000A45D5"/>
    <w:rsid w:val="000A46CD"/>
    <w:rsid w:val="000A490E"/>
    <w:rsid w:val="000A529E"/>
    <w:rsid w:val="000A5B49"/>
    <w:rsid w:val="000A5FE5"/>
    <w:rsid w:val="000A6684"/>
    <w:rsid w:val="000A7194"/>
    <w:rsid w:val="000A7218"/>
    <w:rsid w:val="000A740A"/>
    <w:rsid w:val="000A7446"/>
    <w:rsid w:val="000A7E7F"/>
    <w:rsid w:val="000A7ECD"/>
    <w:rsid w:val="000B04DD"/>
    <w:rsid w:val="000B0F01"/>
    <w:rsid w:val="000B1346"/>
    <w:rsid w:val="000B1914"/>
    <w:rsid w:val="000B19DC"/>
    <w:rsid w:val="000B1B44"/>
    <w:rsid w:val="000B1CA2"/>
    <w:rsid w:val="000B202E"/>
    <w:rsid w:val="000B2293"/>
    <w:rsid w:val="000B24A4"/>
    <w:rsid w:val="000B255C"/>
    <w:rsid w:val="000B395E"/>
    <w:rsid w:val="000B39C3"/>
    <w:rsid w:val="000B3A00"/>
    <w:rsid w:val="000B4840"/>
    <w:rsid w:val="000B4D79"/>
    <w:rsid w:val="000B5627"/>
    <w:rsid w:val="000B5671"/>
    <w:rsid w:val="000B5D9B"/>
    <w:rsid w:val="000B6BF0"/>
    <w:rsid w:val="000B6CE8"/>
    <w:rsid w:val="000B7DAF"/>
    <w:rsid w:val="000C006F"/>
    <w:rsid w:val="000C071C"/>
    <w:rsid w:val="000C0931"/>
    <w:rsid w:val="000C0BB4"/>
    <w:rsid w:val="000C0BEE"/>
    <w:rsid w:val="000C11BE"/>
    <w:rsid w:val="000C1CB9"/>
    <w:rsid w:val="000C1D9A"/>
    <w:rsid w:val="000C2159"/>
    <w:rsid w:val="000C21BB"/>
    <w:rsid w:val="000C289B"/>
    <w:rsid w:val="000C2EB4"/>
    <w:rsid w:val="000C352F"/>
    <w:rsid w:val="000C3F01"/>
    <w:rsid w:val="000C410D"/>
    <w:rsid w:val="000C420D"/>
    <w:rsid w:val="000C4773"/>
    <w:rsid w:val="000C4944"/>
    <w:rsid w:val="000C4E24"/>
    <w:rsid w:val="000C5851"/>
    <w:rsid w:val="000C5C4A"/>
    <w:rsid w:val="000C5F01"/>
    <w:rsid w:val="000C63C4"/>
    <w:rsid w:val="000C66C1"/>
    <w:rsid w:val="000C6F0B"/>
    <w:rsid w:val="000C6F32"/>
    <w:rsid w:val="000C6FEF"/>
    <w:rsid w:val="000C7324"/>
    <w:rsid w:val="000C778C"/>
    <w:rsid w:val="000C7833"/>
    <w:rsid w:val="000C7E1B"/>
    <w:rsid w:val="000C7E73"/>
    <w:rsid w:val="000D001B"/>
    <w:rsid w:val="000D0A45"/>
    <w:rsid w:val="000D136E"/>
    <w:rsid w:val="000D14AC"/>
    <w:rsid w:val="000D15BA"/>
    <w:rsid w:val="000D15BE"/>
    <w:rsid w:val="000D252B"/>
    <w:rsid w:val="000D2BCC"/>
    <w:rsid w:val="000D2C9B"/>
    <w:rsid w:val="000D2CCB"/>
    <w:rsid w:val="000D35FD"/>
    <w:rsid w:val="000D3D2D"/>
    <w:rsid w:val="000D3D99"/>
    <w:rsid w:val="000D451B"/>
    <w:rsid w:val="000D4653"/>
    <w:rsid w:val="000D4696"/>
    <w:rsid w:val="000D4817"/>
    <w:rsid w:val="000D4D0C"/>
    <w:rsid w:val="000D4E79"/>
    <w:rsid w:val="000D4FB9"/>
    <w:rsid w:val="000D54B4"/>
    <w:rsid w:val="000D584B"/>
    <w:rsid w:val="000D5EE9"/>
    <w:rsid w:val="000D5F55"/>
    <w:rsid w:val="000D6372"/>
    <w:rsid w:val="000D6979"/>
    <w:rsid w:val="000D6CE7"/>
    <w:rsid w:val="000D6E38"/>
    <w:rsid w:val="000D6E63"/>
    <w:rsid w:val="000D711C"/>
    <w:rsid w:val="000D741B"/>
    <w:rsid w:val="000D7B6E"/>
    <w:rsid w:val="000E0644"/>
    <w:rsid w:val="000E076D"/>
    <w:rsid w:val="000E087C"/>
    <w:rsid w:val="000E187C"/>
    <w:rsid w:val="000E1B28"/>
    <w:rsid w:val="000E1E8D"/>
    <w:rsid w:val="000E1EBC"/>
    <w:rsid w:val="000E2173"/>
    <w:rsid w:val="000E220B"/>
    <w:rsid w:val="000E2266"/>
    <w:rsid w:val="000E2A50"/>
    <w:rsid w:val="000E30F2"/>
    <w:rsid w:val="000E316B"/>
    <w:rsid w:val="000E372D"/>
    <w:rsid w:val="000E3D08"/>
    <w:rsid w:val="000E4728"/>
    <w:rsid w:val="000E4D1F"/>
    <w:rsid w:val="000E5658"/>
    <w:rsid w:val="000E5698"/>
    <w:rsid w:val="000E5723"/>
    <w:rsid w:val="000E581B"/>
    <w:rsid w:val="000E64B2"/>
    <w:rsid w:val="000E65D2"/>
    <w:rsid w:val="000E6919"/>
    <w:rsid w:val="000E6B1B"/>
    <w:rsid w:val="000E6F0C"/>
    <w:rsid w:val="000E732D"/>
    <w:rsid w:val="000F07ED"/>
    <w:rsid w:val="000F0CF2"/>
    <w:rsid w:val="000F1401"/>
    <w:rsid w:val="000F1A32"/>
    <w:rsid w:val="000F1CC2"/>
    <w:rsid w:val="000F1D15"/>
    <w:rsid w:val="000F270A"/>
    <w:rsid w:val="000F2FA3"/>
    <w:rsid w:val="000F34C8"/>
    <w:rsid w:val="000F38BC"/>
    <w:rsid w:val="000F3E2A"/>
    <w:rsid w:val="000F4D26"/>
    <w:rsid w:val="000F5639"/>
    <w:rsid w:val="000F58A4"/>
    <w:rsid w:val="000F5F99"/>
    <w:rsid w:val="000F6271"/>
    <w:rsid w:val="000F6833"/>
    <w:rsid w:val="000F6A24"/>
    <w:rsid w:val="000F7502"/>
    <w:rsid w:val="000F7616"/>
    <w:rsid w:val="000F7DE9"/>
    <w:rsid w:val="000F7F7A"/>
    <w:rsid w:val="001002F4"/>
    <w:rsid w:val="0010050C"/>
    <w:rsid w:val="001006CB"/>
    <w:rsid w:val="001011FC"/>
    <w:rsid w:val="0010165F"/>
    <w:rsid w:val="00101C69"/>
    <w:rsid w:val="00101E7C"/>
    <w:rsid w:val="001023DC"/>
    <w:rsid w:val="00102572"/>
    <w:rsid w:val="00102946"/>
    <w:rsid w:val="00102FBF"/>
    <w:rsid w:val="0010333D"/>
    <w:rsid w:val="0010372A"/>
    <w:rsid w:val="00103F41"/>
    <w:rsid w:val="00104662"/>
    <w:rsid w:val="00104F34"/>
    <w:rsid w:val="0010519C"/>
    <w:rsid w:val="001053C5"/>
    <w:rsid w:val="001055AD"/>
    <w:rsid w:val="00105C14"/>
    <w:rsid w:val="001065A3"/>
    <w:rsid w:val="00106610"/>
    <w:rsid w:val="00106831"/>
    <w:rsid w:val="0010683E"/>
    <w:rsid w:val="0010691D"/>
    <w:rsid w:val="00106B33"/>
    <w:rsid w:val="00106E69"/>
    <w:rsid w:val="0011068D"/>
    <w:rsid w:val="00110AC5"/>
    <w:rsid w:val="00110F0B"/>
    <w:rsid w:val="0011108B"/>
    <w:rsid w:val="00111136"/>
    <w:rsid w:val="00111164"/>
    <w:rsid w:val="00111761"/>
    <w:rsid w:val="00112164"/>
    <w:rsid w:val="0011241F"/>
    <w:rsid w:val="001128BF"/>
    <w:rsid w:val="00112D09"/>
    <w:rsid w:val="00112E8F"/>
    <w:rsid w:val="00112F03"/>
    <w:rsid w:val="00112F38"/>
    <w:rsid w:val="00113821"/>
    <w:rsid w:val="00114058"/>
    <w:rsid w:val="0011449E"/>
    <w:rsid w:val="001153EF"/>
    <w:rsid w:val="00115D55"/>
    <w:rsid w:val="00115E45"/>
    <w:rsid w:val="00115F85"/>
    <w:rsid w:val="0011688E"/>
    <w:rsid w:val="00116ACD"/>
    <w:rsid w:val="00116E19"/>
    <w:rsid w:val="0011718F"/>
    <w:rsid w:val="00117B7D"/>
    <w:rsid w:val="00117EFC"/>
    <w:rsid w:val="001205A8"/>
    <w:rsid w:val="00121766"/>
    <w:rsid w:val="0012291C"/>
    <w:rsid w:val="00122A64"/>
    <w:rsid w:val="00123694"/>
    <w:rsid w:val="0012388A"/>
    <w:rsid w:val="0012388C"/>
    <w:rsid w:val="00123AFA"/>
    <w:rsid w:val="00123C8C"/>
    <w:rsid w:val="00123E8B"/>
    <w:rsid w:val="00124405"/>
    <w:rsid w:val="00124B43"/>
    <w:rsid w:val="00124DF8"/>
    <w:rsid w:val="001253EA"/>
    <w:rsid w:val="00125B99"/>
    <w:rsid w:val="00126160"/>
    <w:rsid w:val="001264EE"/>
    <w:rsid w:val="00126AEC"/>
    <w:rsid w:val="00126DB5"/>
    <w:rsid w:val="0012711C"/>
    <w:rsid w:val="00127178"/>
    <w:rsid w:val="00127F09"/>
    <w:rsid w:val="0013002A"/>
    <w:rsid w:val="0013085D"/>
    <w:rsid w:val="0013089C"/>
    <w:rsid w:val="00130A2D"/>
    <w:rsid w:val="00130F54"/>
    <w:rsid w:val="00131888"/>
    <w:rsid w:val="00131F17"/>
    <w:rsid w:val="0013212F"/>
    <w:rsid w:val="00132284"/>
    <w:rsid w:val="001323F9"/>
    <w:rsid w:val="0013251F"/>
    <w:rsid w:val="00132B8C"/>
    <w:rsid w:val="00133088"/>
    <w:rsid w:val="00133346"/>
    <w:rsid w:val="001335B1"/>
    <w:rsid w:val="00133B4E"/>
    <w:rsid w:val="0013410F"/>
    <w:rsid w:val="001346AF"/>
    <w:rsid w:val="00134990"/>
    <w:rsid w:val="001354D1"/>
    <w:rsid w:val="00135840"/>
    <w:rsid w:val="00135A0A"/>
    <w:rsid w:val="00135BB9"/>
    <w:rsid w:val="00135C5A"/>
    <w:rsid w:val="0013621D"/>
    <w:rsid w:val="00136354"/>
    <w:rsid w:val="00136674"/>
    <w:rsid w:val="00136B0E"/>
    <w:rsid w:val="00136C3B"/>
    <w:rsid w:val="001376AB"/>
    <w:rsid w:val="0013777C"/>
    <w:rsid w:val="00137D5F"/>
    <w:rsid w:val="00140082"/>
    <w:rsid w:val="001400C5"/>
    <w:rsid w:val="00140175"/>
    <w:rsid w:val="00140757"/>
    <w:rsid w:val="00140D07"/>
    <w:rsid w:val="00141A3A"/>
    <w:rsid w:val="00141FD4"/>
    <w:rsid w:val="001423FA"/>
    <w:rsid w:val="001427B5"/>
    <w:rsid w:val="001428CF"/>
    <w:rsid w:val="00142D0C"/>
    <w:rsid w:val="00142E3C"/>
    <w:rsid w:val="00143387"/>
    <w:rsid w:val="001439BA"/>
    <w:rsid w:val="00144013"/>
    <w:rsid w:val="001455C3"/>
    <w:rsid w:val="00145A17"/>
    <w:rsid w:val="00145BBE"/>
    <w:rsid w:val="001460B5"/>
    <w:rsid w:val="0014641F"/>
    <w:rsid w:val="001464A8"/>
    <w:rsid w:val="001467BB"/>
    <w:rsid w:val="00146CA8"/>
    <w:rsid w:val="00147884"/>
    <w:rsid w:val="00150827"/>
    <w:rsid w:val="00150B0D"/>
    <w:rsid w:val="00150E10"/>
    <w:rsid w:val="0015120D"/>
    <w:rsid w:val="00151A32"/>
    <w:rsid w:val="00151B2C"/>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592"/>
    <w:rsid w:val="0015680F"/>
    <w:rsid w:val="00156A6C"/>
    <w:rsid w:val="00156B10"/>
    <w:rsid w:val="001576FE"/>
    <w:rsid w:val="00157823"/>
    <w:rsid w:val="0015790D"/>
    <w:rsid w:val="00157C5E"/>
    <w:rsid w:val="00157DD3"/>
    <w:rsid w:val="0016015A"/>
    <w:rsid w:val="0016020E"/>
    <w:rsid w:val="00160503"/>
    <w:rsid w:val="00160BF6"/>
    <w:rsid w:val="00160D7C"/>
    <w:rsid w:val="00160E30"/>
    <w:rsid w:val="0016106D"/>
    <w:rsid w:val="001612E1"/>
    <w:rsid w:val="001614DB"/>
    <w:rsid w:val="0016194E"/>
    <w:rsid w:val="001619DA"/>
    <w:rsid w:val="0016236C"/>
    <w:rsid w:val="00162625"/>
    <w:rsid w:val="00162DFB"/>
    <w:rsid w:val="001630A8"/>
    <w:rsid w:val="00163233"/>
    <w:rsid w:val="00163826"/>
    <w:rsid w:val="00163943"/>
    <w:rsid w:val="00163BA1"/>
    <w:rsid w:val="00163F22"/>
    <w:rsid w:val="0016417B"/>
    <w:rsid w:val="001643A6"/>
    <w:rsid w:val="0016470E"/>
    <w:rsid w:val="001649D3"/>
    <w:rsid w:val="00164C26"/>
    <w:rsid w:val="00164E0A"/>
    <w:rsid w:val="001652D7"/>
    <w:rsid w:val="00165A5F"/>
    <w:rsid w:val="00166223"/>
    <w:rsid w:val="0016793E"/>
    <w:rsid w:val="00167D4D"/>
    <w:rsid w:val="0017054C"/>
    <w:rsid w:val="00170635"/>
    <w:rsid w:val="0017070D"/>
    <w:rsid w:val="00170837"/>
    <w:rsid w:val="00171035"/>
    <w:rsid w:val="001713B7"/>
    <w:rsid w:val="00171ADB"/>
    <w:rsid w:val="00171E2C"/>
    <w:rsid w:val="00172029"/>
    <w:rsid w:val="001733A4"/>
    <w:rsid w:val="00173AB9"/>
    <w:rsid w:val="00173EED"/>
    <w:rsid w:val="00174368"/>
    <w:rsid w:val="001744EA"/>
    <w:rsid w:val="00174731"/>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1178"/>
    <w:rsid w:val="0018119E"/>
    <w:rsid w:val="0018152C"/>
    <w:rsid w:val="00181DBA"/>
    <w:rsid w:val="00181EEF"/>
    <w:rsid w:val="00181F3E"/>
    <w:rsid w:val="00182FE0"/>
    <w:rsid w:val="00183911"/>
    <w:rsid w:val="00184418"/>
    <w:rsid w:val="001845FB"/>
    <w:rsid w:val="001857FB"/>
    <w:rsid w:val="00185DA6"/>
    <w:rsid w:val="00185F64"/>
    <w:rsid w:val="00186096"/>
    <w:rsid w:val="001862FE"/>
    <w:rsid w:val="001864AC"/>
    <w:rsid w:val="00187317"/>
    <w:rsid w:val="0018772E"/>
    <w:rsid w:val="00187A94"/>
    <w:rsid w:val="0019029E"/>
    <w:rsid w:val="00190804"/>
    <w:rsid w:val="0019088F"/>
    <w:rsid w:val="00190C51"/>
    <w:rsid w:val="00192F00"/>
    <w:rsid w:val="00193ACC"/>
    <w:rsid w:val="00193BFE"/>
    <w:rsid w:val="00194B5A"/>
    <w:rsid w:val="00195322"/>
    <w:rsid w:val="0019560E"/>
    <w:rsid w:val="001958E3"/>
    <w:rsid w:val="00195FFA"/>
    <w:rsid w:val="0019601B"/>
    <w:rsid w:val="00196048"/>
    <w:rsid w:val="00196A82"/>
    <w:rsid w:val="0019769B"/>
    <w:rsid w:val="001979F9"/>
    <w:rsid w:val="00197FFE"/>
    <w:rsid w:val="001A0CA7"/>
    <w:rsid w:val="001A0D25"/>
    <w:rsid w:val="001A0E14"/>
    <w:rsid w:val="001A1570"/>
    <w:rsid w:val="001A1917"/>
    <w:rsid w:val="001A1C64"/>
    <w:rsid w:val="001A1DFB"/>
    <w:rsid w:val="001A1E7F"/>
    <w:rsid w:val="001A2918"/>
    <w:rsid w:val="001A2D02"/>
    <w:rsid w:val="001A3076"/>
    <w:rsid w:val="001A3163"/>
    <w:rsid w:val="001A31A5"/>
    <w:rsid w:val="001A389C"/>
    <w:rsid w:val="001A3B75"/>
    <w:rsid w:val="001A42A3"/>
    <w:rsid w:val="001A46FB"/>
    <w:rsid w:val="001A4EC9"/>
    <w:rsid w:val="001A5944"/>
    <w:rsid w:val="001A5FB1"/>
    <w:rsid w:val="001A618F"/>
    <w:rsid w:val="001A698A"/>
    <w:rsid w:val="001A6CCC"/>
    <w:rsid w:val="001A6E3B"/>
    <w:rsid w:val="001A70C8"/>
    <w:rsid w:val="001A71C9"/>
    <w:rsid w:val="001A7360"/>
    <w:rsid w:val="001A7429"/>
    <w:rsid w:val="001A760C"/>
    <w:rsid w:val="001A76F0"/>
    <w:rsid w:val="001A7977"/>
    <w:rsid w:val="001A799B"/>
    <w:rsid w:val="001A7AC7"/>
    <w:rsid w:val="001A7C38"/>
    <w:rsid w:val="001B02F8"/>
    <w:rsid w:val="001B2104"/>
    <w:rsid w:val="001B2279"/>
    <w:rsid w:val="001B2729"/>
    <w:rsid w:val="001B2866"/>
    <w:rsid w:val="001B2881"/>
    <w:rsid w:val="001B2B73"/>
    <w:rsid w:val="001B3675"/>
    <w:rsid w:val="001B37C8"/>
    <w:rsid w:val="001B48BA"/>
    <w:rsid w:val="001B4B2C"/>
    <w:rsid w:val="001B4F10"/>
    <w:rsid w:val="001B5154"/>
    <w:rsid w:val="001B5AB6"/>
    <w:rsid w:val="001B6E30"/>
    <w:rsid w:val="001B7C83"/>
    <w:rsid w:val="001B7F9E"/>
    <w:rsid w:val="001C0206"/>
    <w:rsid w:val="001C0246"/>
    <w:rsid w:val="001C04D4"/>
    <w:rsid w:val="001C0B34"/>
    <w:rsid w:val="001C12A3"/>
    <w:rsid w:val="001C1419"/>
    <w:rsid w:val="001C15D8"/>
    <w:rsid w:val="001C17BB"/>
    <w:rsid w:val="001C187E"/>
    <w:rsid w:val="001C1A37"/>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B5C"/>
    <w:rsid w:val="001C7155"/>
    <w:rsid w:val="001C7E48"/>
    <w:rsid w:val="001D0190"/>
    <w:rsid w:val="001D039B"/>
    <w:rsid w:val="001D0849"/>
    <w:rsid w:val="001D1258"/>
    <w:rsid w:val="001D1AB8"/>
    <w:rsid w:val="001D26F5"/>
    <w:rsid w:val="001D286F"/>
    <w:rsid w:val="001D2C94"/>
    <w:rsid w:val="001D33D9"/>
    <w:rsid w:val="001D36F6"/>
    <w:rsid w:val="001D4303"/>
    <w:rsid w:val="001D45E5"/>
    <w:rsid w:val="001D461A"/>
    <w:rsid w:val="001D4A9D"/>
    <w:rsid w:val="001D4AAD"/>
    <w:rsid w:val="001D4E16"/>
    <w:rsid w:val="001D5AFA"/>
    <w:rsid w:val="001D652D"/>
    <w:rsid w:val="001D6E5B"/>
    <w:rsid w:val="001D72D9"/>
    <w:rsid w:val="001D784A"/>
    <w:rsid w:val="001E04A4"/>
    <w:rsid w:val="001E07C5"/>
    <w:rsid w:val="001E0B45"/>
    <w:rsid w:val="001E176D"/>
    <w:rsid w:val="001E1BCE"/>
    <w:rsid w:val="001E1E05"/>
    <w:rsid w:val="001E2086"/>
    <w:rsid w:val="001E339F"/>
    <w:rsid w:val="001E3629"/>
    <w:rsid w:val="001E3E7D"/>
    <w:rsid w:val="001E40F0"/>
    <w:rsid w:val="001E4172"/>
    <w:rsid w:val="001E4D83"/>
    <w:rsid w:val="001E4F08"/>
    <w:rsid w:val="001E5490"/>
    <w:rsid w:val="001E5730"/>
    <w:rsid w:val="001E5E2E"/>
    <w:rsid w:val="001E6352"/>
    <w:rsid w:val="001E700A"/>
    <w:rsid w:val="001E70AD"/>
    <w:rsid w:val="001E7237"/>
    <w:rsid w:val="001E7AF6"/>
    <w:rsid w:val="001F01B8"/>
    <w:rsid w:val="001F0FC3"/>
    <w:rsid w:val="001F1188"/>
    <w:rsid w:val="001F1899"/>
    <w:rsid w:val="001F1B8D"/>
    <w:rsid w:val="001F1C50"/>
    <w:rsid w:val="001F274F"/>
    <w:rsid w:val="001F289C"/>
    <w:rsid w:val="001F2BF9"/>
    <w:rsid w:val="001F336D"/>
    <w:rsid w:val="001F3AF2"/>
    <w:rsid w:val="001F6008"/>
    <w:rsid w:val="001F604B"/>
    <w:rsid w:val="001F641B"/>
    <w:rsid w:val="001F6D4D"/>
    <w:rsid w:val="001F7CA7"/>
    <w:rsid w:val="0020125C"/>
    <w:rsid w:val="0020130D"/>
    <w:rsid w:val="00201916"/>
    <w:rsid w:val="00201D06"/>
    <w:rsid w:val="00201E9F"/>
    <w:rsid w:val="00202F25"/>
    <w:rsid w:val="00202FA3"/>
    <w:rsid w:val="002035B3"/>
    <w:rsid w:val="00203929"/>
    <w:rsid w:val="00203CD6"/>
    <w:rsid w:val="00203D01"/>
    <w:rsid w:val="00204460"/>
    <w:rsid w:val="0020488A"/>
    <w:rsid w:val="002051EA"/>
    <w:rsid w:val="00205CBC"/>
    <w:rsid w:val="00206259"/>
    <w:rsid w:val="002074B7"/>
    <w:rsid w:val="0020758D"/>
    <w:rsid w:val="002078B4"/>
    <w:rsid w:val="00207C7B"/>
    <w:rsid w:val="00211470"/>
    <w:rsid w:val="00211922"/>
    <w:rsid w:val="0021213A"/>
    <w:rsid w:val="0021265F"/>
    <w:rsid w:val="00213232"/>
    <w:rsid w:val="00213817"/>
    <w:rsid w:val="00214428"/>
    <w:rsid w:val="002145EB"/>
    <w:rsid w:val="00214F82"/>
    <w:rsid w:val="00214FE7"/>
    <w:rsid w:val="00215033"/>
    <w:rsid w:val="00215834"/>
    <w:rsid w:val="00215CC2"/>
    <w:rsid w:val="00215D95"/>
    <w:rsid w:val="00215ED8"/>
    <w:rsid w:val="00215FAF"/>
    <w:rsid w:val="00217700"/>
    <w:rsid w:val="002177E2"/>
    <w:rsid w:val="0021783B"/>
    <w:rsid w:val="00217B43"/>
    <w:rsid w:val="002205F3"/>
    <w:rsid w:val="0022085B"/>
    <w:rsid w:val="00220E53"/>
    <w:rsid w:val="00221391"/>
    <w:rsid w:val="0022176C"/>
    <w:rsid w:val="002220BB"/>
    <w:rsid w:val="002225D1"/>
    <w:rsid w:val="002227DC"/>
    <w:rsid w:val="002230FA"/>
    <w:rsid w:val="002232B9"/>
    <w:rsid w:val="0022375F"/>
    <w:rsid w:val="00223DF2"/>
    <w:rsid w:val="002249A2"/>
    <w:rsid w:val="00224C0C"/>
    <w:rsid w:val="002256C2"/>
    <w:rsid w:val="002256D0"/>
    <w:rsid w:val="00225C8E"/>
    <w:rsid w:val="00226428"/>
    <w:rsid w:val="002265A9"/>
    <w:rsid w:val="002266CB"/>
    <w:rsid w:val="00227052"/>
    <w:rsid w:val="002272D5"/>
    <w:rsid w:val="0022738E"/>
    <w:rsid w:val="00227906"/>
    <w:rsid w:val="00227934"/>
    <w:rsid w:val="00227E21"/>
    <w:rsid w:val="0023008A"/>
    <w:rsid w:val="002304A1"/>
    <w:rsid w:val="00231D05"/>
    <w:rsid w:val="0023241A"/>
    <w:rsid w:val="002336E2"/>
    <w:rsid w:val="00233AC2"/>
    <w:rsid w:val="00233BAF"/>
    <w:rsid w:val="00233F80"/>
    <w:rsid w:val="0023423A"/>
    <w:rsid w:val="00235420"/>
    <w:rsid w:val="00235700"/>
    <w:rsid w:val="0023788D"/>
    <w:rsid w:val="00240422"/>
    <w:rsid w:val="0024065B"/>
    <w:rsid w:val="002409A6"/>
    <w:rsid w:val="00240C63"/>
    <w:rsid w:val="00240D91"/>
    <w:rsid w:val="00240EA5"/>
    <w:rsid w:val="00241132"/>
    <w:rsid w:val="00241205"/>
    <w:rsid w:val="002418C5"/>
    <w:rsid w:val="0024261D"/>
    <w:rsid w:val="00242712"/>
    <w:rsid w:val="00242DFB"/>
    <w:rsid w:val="00243807"/>
    <w:rsid w:val="002440AC"/>
    <w:rsid w:val="00244365"/>
    <w:rsid w:val="0024459A"/>
    <w:rsid w:val="002446A3"/>
    <w:rsid w:val="00244771"/>
    <w:rsid w:val="00244903"/>
    <w:rsid w:val="00244AFB"/>
    <w:rsid w:val="002453DF"/>
    <w:rsid w:val="00245A81"/>
    <w:rsid w:val="00245CCD"/>
    <w:rsid w:val="00245D60"/>
    <w:rsid w:val="002462A5"/>
    <w:rsid w:val="00246530"/>
    <w:rsid w:val="00246B86"/>
    <w:rsid w:val="00247335"/>
    <w:rsid w:val="002473EF"/>
    <w:rsid w:val="002477B9"/>
    <w:rsid w:val="00247B69"/>
    <w:rsid w:val="00247BCE"/>
    <w:rsid w:val="00247CBE"/>
    <w:rsid w:val="00250A1F"/>
    <w:rsid w:val="00250ADA"/>
    <w:rsid w:val="00250F1D"/>
    <w:rsid w:val="00251FF1"/>
    <w:rsid w:val="002520BA"/>
    <w:rsid w:val="00252234"/>
    <w:rsid w:val="002528E3"/>
    <w:rsid w:val="00252944"/>
    <w:rsid w:val="00252D55"/>
    <w:rsid w:val="00252D82"/>
    <w:rsid w:val="00253006"/>
    <w:rsid w:val="00253165"/>
    <w:rsid w:val="002531EA"/>
    <w:rsid w:val="002533F5"/>
    <w:rsid w:val="00253C60"/>
    <w:rsid w:val="00253F21"/>
    <w:rsid w:val="0025429D"/>
    <w:rsid w:val="002549E9"/>
    <w:rsid w:val="00254FF6"/>
    <w:rsid w:val="00255099"/>
    <w:rsid w:val="002555C6"/>
    <w:rsid w:val="0025597E"/>
    <w:rsid w:val="00255E14"/>
    <w:rsid w:val="00255E45"/>
    <w:rsid w:val="00255FF9"/>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3EC7"/>
    <w:rsid w:val="0026491B"/>
    <w:rsid w:val="00264A36"/>
    <w:rsid w:val="00264B06"/>
    <w:rsid w:val="00264C1B"/>
    <w:rsid w:val="002657FB"/>
    <w:rsid w:val="00265D10"/>
    <w:rsid w:val="00265E2E"/>
    <w:rsid w:val="002661AB"/>
    <w:rsid w:val="0026742B"/>
    <w:rsid w:val="002674FE"/>
    <w:rsid w:val="00267E59"/>
    <w:rsid w:val="002702F6"/>
    <w:rsid w:val="00270748"/>
    <w:rsid w:val="00270CAB"/>
    <w:rsid w:val="0027117F"/>
    <w:rsid w:val="002712DC"/>
    <w:rsid w:val="00271875"/>
    <w:rsid w:val="002718FF"/>
    <w:rsid w:val="00271955"/>
    <w:rsid w:val="00272278"/>
    <w:rsid w:val="00272432"/>
    <w:rsid w:val="0027255E"/>
    <w:rsid w:val="00272633"/>
    <w:rsid w:val="00272D36"/>
    <w:rsid w:val="00272E48"/>
    <w:rsid w:val="00272FBF"/>
    <w:rsid w:val="00273A10"/>
    <w:rsid w:val="00273A58"/>
    <w:rsid w:val="00274C6E"/>
    <w:rsid w:val="00274CAB"/>
    <w:rsid w:val="00274E8A"/>
    <w:rsid w:val="002755A8"/>
    <w:rsid w:val="00275E2D"/>
    <w:rsid w:val="00275FCE"/>
    <w:rsid w:val="002766B8"/>
    <w:rsid w:val="0027680F"/>
    <w:rsid w:val="002777C0"/>
    <w:rsid w:val="0028076D"/>
    <w:rsid w:val="00281006"/>
    <w:rsid w:val="002815B1"/>
    <w:rsid w:val="00281893"/>
    <w:rsid w:val="00281C1F"/>
    <w:rsid w:val="00281EEA"/>
    <w:rsid w:val="00281F88"/>
    <w:rsid w:val="0028240D"/>
    <w:rsid w:val="0028288D"/>
    <w:rsid w:val="002829B7"/>
    <w:rsid w:val="00282B82"/>
    <w:rsid w:val="00282C74"/>
    <w:rsid w:val="00282E5B"/>
    <w:rsid w:val="00283995"/>
    <w:rsid w:val="00283B11"/>
    <w:rsid w:val="002841A9"/>
    <w:rsid w:val="00284313"/>
    <w:rsid w:val="00284554"/>
    <w:rsid w:val="002848AD"/>
    <w:rsid w:val="00284DE4"/>
    <w:rsid w:val="00285154"/>
    <w:rsid w:val="00285BF2"/>
    <w:rsid w:val="00285C78"/>
    <w:rsid w:val="002863CE"/>
    <w:rsid w:val="00287E20"/>
    <w:rsid w:val="0029110F"/>
    <w:rsid w:val="00291492"/>
    <w:rsid w:val="00291527"/>
    <w:rsid w:val="002916B4"/>
    <w:rsid w:val="0029199A"/>
    <w:rsid w:val="00291BBE"/>
    <w:rsid w:val="00291FEB"/>
    <w:rsid w:val="00293146"/>
    <w:rsid w:val="0029361E"/>
    <w:rsid w:val="00293D68"/>
    <w:rsid w:val="0029408A"/>
    <w:rsid w:val="00294352"/>
    <w:rsid w:val="002944A0"/>
    <w:rsid w:val="002946E4"/>
    <w:rsid w:val="0029495C"/>
    <w:rsid w:val="002957D9"/>
    <w:rsid w:val="00295B52"/>
    <w:rsid w:val="00296024"/>
    <w:rsid w:val="00296293"/>
    <w:rsid w:val="002969C7"/>
    <w:rsid w:val="00296AF7"/>
    <w:rsid w:val="00297021"/>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E69"/>
    <w:rsid w:val="002A44F9"/>
    <w:rsid w:val="002A4946"/>
    <w:rsid w:val="002A49EF"/>
    <w:rsid w:val="002A4B8B"/>
    <w:rsid w:val="002A5107"/>
    <w:rsid w:val="002A535E"/>
    <w:rsid w:val="002A5DBD"/>
    <w:rsid w:val="002A6406"/>
    <w:rsid w:val="002A6432"/>
    <w:rsid w:val="002A6CF0"/>
    <w:rsid w:val="002A6FFC"/>
    <w:rsid w:val="002A7010"/>
    <w:rsid w:val="002A70BA"/>
    <w:rsid w:val="002A7A57"/>
    <w:rsid w:val="002A7BB2"/>
    <w:rsid w:val="002A7CC1"/>
    <w:rsid w:val="002A7DCB"/>
    <w:rsid w:val="002B0685"/>
    <w:rsid w:val="002B0B53"/>
    <w:rsid w:val="002B1617"/>
    <w:rsid w:val="002B1A90"/>
    <w:rsid w:val="002B1D11"/>
    <w:rsid w:val="002B273B"/>
    <w:rsid w:val="002B29AA"/>
    <w:rsid w:val="002B2A7E"/>
    <w:rsid w:val="002B2F1B"/>
    <w:rsid w:val="002B3332"/>
    <w:rsid w:val="002B34C7"/>
    <w:rsid w:val="002B3F25"/>
    <w:rsid w:val="002B4BC0"/>
    <w:rsid w:val="002B5AFB"/>
    <w:rsid w:val="002B5E9E"/>
    <w:rsid w:val="002B6320"/>
    <w:rsid w:val="002B66AC"/>
    <w:rsid w:val="002B6852"/>
    <w:rsid w:val="002B74EF"/>
    <w:rsid w:val="002B77E1"/>
    <w:rsid w:val="002C0656"/>
    <w:rsid w:val="002C0714"/>
    <w:rsid w:val="002C0A96"/>
    <w:rsid w:val="002C13C6"/>
    <w:rsid w:val="002C1BF4"/>
    <w:rsid w:val="002C1E0D"/>
    <w:rsid w:val="002C2266"/>
    <w:rsid w:val="002C2356"/>
    <w:rsid w:val="002C238F"/>
    <w:rsid w:val="002C276F"/>
    <w:rsid w:val="002C28EB"/>
    <w:rsid w:val="002C316C"/>
    <w:rsid w:val="002C3265"/>
    <w:rsid w:val="002C3AED"/>
    <w:rsid w:val="002C3E56"/>
    <w:rsid w:val="002C414C"/>
    <w:rsid w:val="002C49F8"/>
    <w:rsid w:val="002C4C2F"/>
    <w:rsid w:val="002C5776"/>
    <w:rsid w:val="002C5EED"/>
    <w:rsid w:val="002C66DE"/>
    <w:rsid w:val="002C7193"/>
    <w:rsid w:val="002C7699"/>
    <w:rsid w:val="002C7A49"/>
    <w:rsid w:val="002D0128"/>
    <w:rsid w:val="002D0E85"/>
    <w:rsid w:val="002D0FA7"/>
    <w:rsid w:val="002D1131"/>
    <w:rsid w:val="002D12FB"/>
    <w:rsid w:val="002D19D1"/>
    <w:rsid w:val="002D1F35"/>
    <w:rsid w:val="002D1FA3"/>
    <w:rsid w:val="002D20CD"/>
    <w:rsid w:val="002D23C6"/>
    <w:rsid w:val="002D24F0"/>
    <w:rsid w:val="002D25EB"/>
    <w:rsid w:val="002D29F3"/>
    <w:rsid w:val="002D3126"/>
    <w:rsid w:val="002D3529"/>
    <w:rsid w:val="002D3D0A"/>
    <w:rsid w:val="002D3EF0"/>
    <w:rsid w:val="002D478E"/>
    <w:rsid w:val="002D47AE"/>
    <w:rsid w:val="002D4A94"/>
    <w:rsid w:val="002D4AFE"/>
    <w:rsid w:val="002D65FF"/>
    <w:rsid w:val="002D6D10"/>
    <w:rsid w:val="002D71E2"/>
    <w:rsid w:val="002D7B6A"/>
    <w:rsid w:val="002E0026"/>
    <w:rsid w:val="002E08E8"/>
    <w:rsid w:val="002E0918"/>
    <w:rsid w:val="002E0BAA"/>
    <w:rsid w:val="002E0D96"/>
    <w:rsid w:val="002E0EA5"/>
    <w:rsid w:val="002E0F1C"/>
    <w:rsid w:val="002E1E19"/>
    <w:rsid w:val="002E1FAC"/>
    <w:rsid w:val="002E283F"/>
    <w:rsid w:val="002E2854"/>
    <w:rsid w:val="002E2E74"/>
    <w:rsid w:val="002E32D2"/>
    <w:rsid w:val="002E361B"/>
    <w:rsid w:val="002E37AB"/>
    <w:rsid w:val="002E3A80"/>
    <w:rsid w:val="002E41C7"/>
    <w:rsid w:val="002E51DF"/>
    <w:rsid w:val="002E57B9"/>
    <w:rsid w:val="002E5D3D"/>
    <w:rsid w:val="002E6127"/>
    <w:rsid w:val="002E6885"/>
    <w:rsid w:val="002E72E4"/>
    <w:rsid w:val="002E739D"/>
    <w:rsid w:val="002F016F"/>
    <w:rsid w:val="002F0F36"/>
    <w:rsid w:val="002F1276"/>
    <w:rsid w:val="002F1986"/>
    <w:rsid w:val="002F1E5F"/>
    <w:rsid w:val="002F2A49"/>
    <w:rsid w:val="002F3550"/>
    <w:rsid w:val="002F3B63"/>
    <w:rsid w:val="002F3C56"/>
    <w:rsid w:val="002F4271"/>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5DA"/>
    <w:rsid w:val="00301D6A"/>
    <w:rsid w:val="00301E89"/>
    <w:rsid w:val="00302052"/>
    <w:rsid w:val="00302142"/>
    <w:rsid w:val="00302169"/>
    <w:rsid w:val="00302612"/>
    <w:rsid w:val="00303254"/>
    <w:rsid w:val="003044D9"/>
    <w:rsid w:val="00304D8A"/>
    <w:rsid w:val="00305216"/>
    <w:rsid w:val="0030555B"/>
    <w:rsid w:val="003061F5"/>
    <w:rsid w:val="00306A49"/>
    <w:rsid w:val="00306D27"/>
    <w:rsid w:val="0030739C"/>
    <w:rsid w:val="00310D51"/>
    <w:rsid w:val="00311B36"/>
    <w:rsid w:val="00311C92"/>
    <w:rsid w:val="00313321"/>
    <w:rsid w:val="003133AE"/>
    <w:rsid w:val="0031371B"/>
    <w:rsid w:val="00314156"/>
    <w:rsid w:val="00314CF8"/>
    <w:rsid w:val="0031535B"/>
    <w:rsid w:val="003154DD"/>
    <w:rsid w:val="00316F76"/>
    <w:rsid w:val="003170F4"/>
    <w:rsid w:val="00317A88"/>
    <w:rsid w:val="0032035D"/>
    <w:rsid w:val="003205E9"/>
    <w:rsid w:val="00320B28"/>
    <w:rsid w:val="0032123E"/>
    <w:rsid w:val="003216D5"/>
    <w:rsid w:val="003216FF"/>
    <w:rsid w:val="00321866"/>
    <w:rsid w:val="00321A83"/>
    <w:rsid w:val="00321C1A"/>
    <w:rsid w:val="00321F6B"/>
    <w:rsid w:val="00322389"/>
    <w:rsid w:val="003223CA"/>
    <w:rsid w:val="00322BE5"/>
    <w:rsid w:val="00322E87"/>
    <w:rsid w:val="0032312D"/>
    <w:rsid w:val="00323AA5"/>
    <w:rsid w:val="003242E4"/>
    <w:rsid w:val="0032468D"/>
    <w:rsid w:val="00324887"/>
    <w:rsid w:val="00324926"/>
    <w:rsid w:val="00324B25"/>
    <w:rsid w:val="0032522F"/>
    <w:rsid w:val="003253C4"/>
    <w:rsid w:val="0032550F"/>
    <w:rsid w:val="00325992"/>
    <w:rsid w:val="00325B74"/>
    <w:rsid w:val="0032638F"/>
    <w:rsid w:val="003263EA"/>
    <w:rsid w:val="00326B59"/>
    <w:rsid w:val="00326BD4"/>
    <w:rsid w:val="003272C6"/>
    <w:rsid w:val="00327752"/>
    <w:rsid w:val="00327C7C"/>
    <w:rsid w:val="00330009"/>
    <w:rsid w:val="003301E6"/>
    <w:rsid w:val="003310AB"/>
    <w:rsid w:val="003314D2"/>
    <w:rsid w:val="00331712"/>
    <w:rsid w:val="00331A3F"/>
    <w:rsid w:val="00332191"/>
    <w:rsid w:val="00332720"/>
    <w:rsid w:val="0033289F"/>
    <w:rsid w:val="00332EED"/>
    <w:rsid w:val="003334A7"/>
    <w:rsid w:val="00333783"/>
    <w:rsid w:val="003337E8"/>
    <w:rsid w:val="00333A14"/>
    <w:rsid w:val="00333B2A"/>
    <w:rsid w:val="00333FD5"/>
    <w:rsid w:val="00334649"/>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49E"/>
    <w:rsid w:val="003449F4"/>
    <w:rsid w:val="00344D46"/>
    <w:rsid w:val="00345337"/>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472"/>
    <w:rsid w:val="00354AE4"/>
    <w:rsid w:val="00354B0A"/>
    <w:rsid w:val="0035551B"/>
    <w:rsid w:val="003555ED"/>
    <w:rsid w:val="00355911"/>
    <w:rsid w:val="00355BFC"/>
    <w:rsid w:val="0035636B"/>
    <w:rsid w:val="003564CC"/>
    <w:rsid w:val="00357424"/>
    <w:rsid w:val="00357BE9"/>
    <w:rsid w:val="003601A2"/>
    <w:rsid w:val="003607C7"/>
    <w:rsid w:val="00361789"/>
    <w:rsid w:val="0036196D"/>
    <w:rsid w:val="00361A59"/>
    <w:rsid w:val="00362136"/>
    <w:rsid w:val="003627BD"/>
    <w:rsid w:val="00362997"/>
    <w:rsid w:val="00362C59"/>
    <w:rsid w:val="00363040"/>
    <w:rsid w:val="003630B7"/>
    <w:rsid w:val="00363786"/>
    <w:rsid w:val="003638A4"/>
    <w:rsid w:val="003639BF"/>
    <w:rsid w:val="00363E41"/>
    <w:rsid w:val="00363FD2"/>
    <w:rsid w:val="00364653"/>
    <w:rsid w:val="00364ECA"/>
    <w:rsid w:val="00364FB4"/>
    <w:rsid w:val="0036572E"/>
    <w:rsid w:val="00366168"/>
    <w:rsid w:val="003663D9"/>
    <w:rsid w:val="003666BF"/>
    <w:rsid w:val="00366707"/>
    <w:rsid w:val="00366FA9"/>
    <w:rsid w:val="00367B19"/>
    <w:rsid w:val="00367E49"/>
    <w:rsid w:val="003700E6"/>
    <w:rsid w:val="0037017C"/>
    <w:rsid w:val="00370490"/>
    <w:rsid w:val="00371C86"/>
    <w:rsid w:val="0037236C"/>
    <w:rsid w:val="003729DE"/>
    <w:rsid w:val="00372EA2"/>
    <w:rsid w:val="003735D3"/>
    <w:rsid w:val="0037386D"/>
    <w:rsid w:val="00373956"/>
    <w:rsid w:val="00374153"/>
    <w:rsid w:val="00374671"/>
    <w:rsid w:val="003750E0"/>
    <w:rsid w:val="00375AF1"/>
    <w:rsid w:val="00375C2F"/>
    <w:rsid w:val="00375FC5"/>
    <w:rsid w:val="003769BA"/>
    <w:rsid w:val="00377871"/>
    <w:rsid w:val="003778B2"/>
    <w:rsid w:val="00377E58"/>
    <w:rsid w:val="003805E3"/>
    <w:rsid w:val="00380618"/>
    <w:rsid w:val="0038062E"/>
    <w:rsid w:val="003806D7"/>
    <w:rsid w:val="003807F7"/>
    <w:rsid w:val="00381610"/>
    <w:rsid w:val="00381C9E"/>
    <w:rsid w:val="00381CA8"/>
    <w:rsid w:val="00382106"/>
    <w:rsid w:val="00382657"/>
    <w:rsid w:val="00382708"/>
    <w:rsid w:val="00382B82"/>
    <w:rsid w:val="003844BF"/>
    <w:rsid w:val="003854D5"/>
    <w:rsid w:val="0038552A"/>
    <w:rsid w:val="003859EA"/>
    <w:rsid w:val="0038709E"/>
    <w:rsid w:val="00387D30"/>
    <w:rsid w:val="00391753"/>
    <w:rsid w:val="00391C7F"/>
    <w:rsid w:val="00392454"/>
    <w:rsid w:val="00392C85"/>
    <w:rsid w:val="00392FD8"/>
    <w:rsid w:val="00393D73"/>
    <w:rsid w:val="00393E11"/>
    <w:rsid w:val="00394475"/>
    <w:rsid w:val="0039517A"/>
    <w:rsid w:val="003954FE"/>
    <w:rsid w:val="00395B51"/>
    <w:rsid w:val="00396796"/>
    <w:rsid w:val="00396EC6"/>
    <w:rsid w:val="003970BA"/>
    <w:rsid w:val="0039746C"/>
    <w:rsid w:val="00397DC6"/>
    <w:rsid w:val="003A0E82"/>
    <w:rsid w:val="003A0FAC"/>
    <w:rsid w:val="003A184D"/>
    <w:rsid w:val="003A1FB7"/>
    <w:rsid w:val="003A2773"/>
    <w:rsid w:val="003A371E"/>
    <w:rsid w:val="003A3957"/>
    <w:rsid w:val="003A3E29"/>
    <w:rsid w:val="003A439B"/>
    <w:rsid w:val="003A462A"/>
    <w:rsid w:val="003A595F"/>
    <w:rsid w:val="003A5EEC"/>
    <w:rsid w:val="003A6B7A"/>
    <w:rsid w:val="003A6C33"/>
    <w:rsid w:val="003A748F"/>
    <w:rsid w:val="003A79AE"/>
    <w:rsid w:val="003A7CA3"/>
    <w:rsid w:val="003B00B6"/>
    <w:rsid w:val="003B01C4"/>
    <w:rsid w:val="003B0BB0"/>
    <w:rsid w:val="003B11EE"/>
    <w:rsid w:val="003B15F8"/>
    <w:rsid w:val="003B166F"/>
    <w:rsid w:val="003B1B60"/>
    <w:rsid w:val="003B1F99"/>
    <w:rsid w:val="003B207E"/>
    <w:rsid w:val="003B230B"/>
    <w:rsid w:val="003B23BC"/>
    <w:rsid w:val="003B28BA"/>
    <w:rsid w:val="003B28F6"/>
    <w:rsid w:val="003B29D1"/>
    <w:rsid w:val="003B2DB5"/>
    <w:rsid w:val="003B2F05"/>
    <w:rsid w:val="003B3966"/>
    <w:rsid w:val="003B39B7"/>
    <w:rsid w:val="003B4754"/>
    <w:rsid w:val="003B4EB0"/>
    <w:rsid w:val="003B5094"/>
    <w:rsid w:val="003B5F6A"/>
    <w:rsid w:val="003B6B7F"/>
    <w:rsid w:val="003B7820"/>
    <w:rsid w:val="003C01A4"/>
    <w:rsid w:val="003C0219"/>
    <w:rsid w:val="003C0941"/>
    <w:rsid w:val="003C0C12"/>
    <w:rsid w:val="003C0E6B"/>
    <w:rsid w:val="003C16EE"/>
    <w:rsid w:val="003C1C87"/>
    <w:rsid w:val="003C1D4D"/>
    <w:rsid w:val="003C2927"/>
    <w:rsid w:val="003C2C85"/>
    <w:rsid w:val="003C2F61"/>
    <w:rsid w:val="003C345E"/>
    <w:rsid w:val="003C4409"/>
    <w:rsid w:val="003C4997"/>
    <w:rsid w:val="003C4DA5"/>
    <w:rsid w:val="003C502A"/>
    <w:rsid w:val="003C5666"/>
    <w:rsid w:val="003C60CC"/>
    <w:rsid w:val="003C64F4"/>
    <w:rsid w:val="003C6D4E"/>
    <w:rsid w:val="003C724B"/>
    <w:rsid w:val="003C73DB"/>
    <w:rsid w:val="003D0185"/>
    <w:rsid w:val="003D02CB"/>
    <w:rsid w:val="003D0382"/>
    <w:rsid w:val="003D069C"/>
    <w:rsid w:val="003D18F6"/>
    <w:rsid w:val="003D191E"/>
    <w:rsid w:val="003D1A19"/>
    <w:rsid w:val="003D2027"/>
    <w:rsid w:val="003D22A5"/>
    <w:rsid w:val="003D23A4"/>
    <w:rsid w:val="003D27DD"/>
    <w:rsid w:val="003D3414"/>
    <w:rsid w:val="003D3426"/>
    <w:rsid w:val="003D3654"/>
    <w:rsid w:val="003D3721"/>
    <w:rsid w:val="003D413A"/>
    <w:rsid w:val="003D6722"/>
    <w:rsid w:val="003D7428"/>
    <w:rsid w:val="003D77F2"/>
    <w:rsid w:val="003D78CC"/>
    <w:rsid w:val="003D7D01"/>
    <w:rsid w:val="003D7ED8"/>
    <w:rsid w:val="003E0003"/>
    <w:rsid w:val="003E0099"/>
    <w:rsid w:val="003E08C7"/>
    <w:rsid w:val="003E122B"/>
    <w:rsid w:val="003E1427"/>
    <w:rsid w:val="003E1A72"/>
    <w:rsid w:val="003E27B8"/>
    <w:rsid w:val="003E2880"/>
    <w:rsid w:val="003E28FB"/>
    <w:rsid w:val="003E2A00"/>
    <w:rsid w:val="003E382C"/>
    <w:rsid w:val="003E3D00"/>
    <w:rsid w:val="003E4487"/>
    <w:rsid w:val="003E4531"/>
    <w:rsid w:val="003E4771"/>
    <w:rsid w:val="003E52E3"/>
    <w:rsid w:val="003E541C"/>
    <w:rsid w:val="003E54A8"/>
    <w:rsid w:val="003E5833"/>
    <w:rsid w:val="003E5DA8"/>
    <w:rsid w:val="003E7109"/>
    <w:rsid w:val="003E77DC"/>
    <w:rsid w:val="003E7BC1"/>
    <w:rsid w:val="003F0453"/>
    <w:rsid w:val="003F0C9F"/>
    <w:rsid w:val="003F144A"/>
    <w:rsid w:val="003F1B02"/>
    <w:rsid w:val="003F1EFE"/>
    <w:rsid w:val="003F2240"/>
    <w:rsid w:val="003F2460"/>
    <w:rsid w:val="003F2E7B"/>
    <w:rsid w:val="003F3CD5"/>
    <w:rsid w:val="003F4473"/>
    <w:rsid w:val="003F4CF5"/>
    <w:rsid w:val="003F4E31"/>
    <w:rsid w:val="003F51EE"/>
    <w:rsid w:val="003F574E"/>
    <w:rsid w:val="003F60D6"/>
    <w:rsid w:val="003F68E9"/>
    <w:rsid w:val="003F728C"/>
    <w:rsid w:val="003F7E15"/>
    <w:rsid w:val="003F7FDA"/>
    <w:rsid w:val="00400E65"/>
    <w:rsid w:val="004013AD"/>
    <w:rsid w:val="00401BCA"/>
    <w:rsid w:val="00401E20"/>
    <w:rsid w:val="004021C0"/>
    <w:rsid w:val="004024F9"/>
    <w:rsid w:val="004028CE"/>
    <w:rsid w:val="0040313D"/>
    <w:rsid w:val="004043FA"/>
    <w:rsid w:val="00404970"/>
    <w:rsid w:val="00405181"/>
    <w:rsid w:val="0040567F"/>
    <w:rsid w:val="00405727"/>
    <w:rsid w:val="00405873"/>
    <w:rsid w:val="00405F09"/>
    <w:rsid w:val="004066F4"/>
    <w:rsid w:val="00406A32"/>
    <w:rsid w:val="0040760B"/>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D68"/>
    <w:rsid w:val="00414FD9"/>
    <w:rsid w:val="00415773"/>
    <w:rsid w:val="00415CAE"/>
    <w:rsid w:val="00415EE7"/>
    <w:rsid w:val="00415FD6"/>
    <w:rsid w:val="004160FA"/>
    <w:rsid w:val="0041669E"/>
    <w:rsid w:val="00416ACA"/>
    <w:rsid w:val="00416C56"/>
    <w:rsid w:val="00417294"/>
    <w:rsid w:val="004176B8"/>
    <w:rsid w:val="00417B99"/>
    <w:rsid w:val="00417CE0"/>
    <w:rsid w:val="004209D5"/>
    <w:rsid w:val="00420FAF"/>
    <w:rsid w:val="00421184"/>
    <w:rsid w:val="004212C1"/>
    <w:rsid w:val="004214B7"/>
    <w:rsid w:val="00421510"/>
    <w:rsid w:val="00421892"/>
    <w:rsid w:val="00421FB5"/>
    <w:rsid w:val="004226ED"/>
    <w:rsid w:val="00422AF4"/>
    <w:rsid w:val="004235F4"/>
    <w:rsid w:val="004236C9"/>
    <w:rsid w:val="00423CF3"/>
    <w:rsid w:val="00423E18"/>
    <w:rsid w:val="004245E4"/>
    <w:rsid w:val="004249A2"/>
    <w:rsid w:val="00424B7C"/>
    <w:rsid w:val="0042500C"/>
    <w:rsid w:val="00425514"/>
    <w:rsid w:val="004256BD"/>
    <w:rsid w:val="00425863"/>
    <w:rsid w:val="00425D02"/>
    <w:rsid w:val="00425D12"/>
    <w:rsid w:val="00425EDC"/>
    <w:rsid w:val="00426C3E"/>
    <w:rsid w:val="00426CF3"/>
    <w:rsid w:val="004275CD"/>
    <w:rsid w:val="00427E74"/>
    <w:rsid w:val="00427FEB"/>
    <w:rsid w:val="00427FF2"/>
    <w:rsid w:val="004305C0"/>
    <w:rsid w:val="00430B20"/>
    <w:rsid w:val="00430B6C"/>
    <w:rsid w:val="0043227C"/>
    <w:rsid w:val="004330B1"/>
    <w:rsid w:val="004335C0"/>
    <w:rsid w:val="00433B34"/>
    <w:rsid w:val="00434176"/>
    <w:rsid w:val="00435121"/>
    <w:rsid w:val="00435715"/>
    <w:rsid w:val="0043571B"/>
    <w:rsid w:val="00435EE0"/>
    <w:rsid w:val="00435F29"/>
    <w:rsid w:val="0043610C"/>
    <w:rsid w:val="004366FF"/>
    <w:rsid w:val="00436BF1"/>
    <w:rsid w:val="00437D83"/>
    <w:rsid w:val="004401DD"/>
    <w:rsid w:val="00440344"/>
    <w:rsid w:val="00441264"/>
    <w:rsid w:val="00441B0F"/>
    <w:rsid w:val="00441F06"/>
    <w:rsid w:val="004425C6"/>
    <w:rsid w:val="00443D5D"/>
    <w:rsid w:val="00445CBA"/>
    <w:rsid w:val="004463CB"/>
    <w:rsid w:val="004466F7"/>
    <w:rsid w:val="00446858"/>
    <w:rsid w:val="00447304"/>
    <w:rsid w:val="004476F6"/>
    <w:rsid w:val="00447CDD"/>
    <w:rsid w:val="00450127"/>
    <w:rsid w:val="0045075F"/>
    <w:rsid w:val="004516AD"/>
    <w:rsid w:val="00451E84"/>
    <w:rsid w:val="00451EA3"/>
    <w:rsid w:val="00451F01"/>
    <w:rsid w:val="00454660"/>
    <w:rsid w:val="004546A7"/>
    <w:rsid w:val="00454831"/>
    <w:rsid w:val="004548DF"/>
    <w:rsid w:val="00456CC0"/>
    <w:rsid w:val="00457933"/>
    <w:rsid w:val="00457C78"/>
    <w:rsid w:val="0046068D"/>
    <w:rsid w:val="00460735"/>
    <w:rsid w:val="00460AD5"/>
    <w:rsid w:val="00460EB8"/>
    <w:rsid w:val="00461090"/>
    <w:rsid w:val="00461991"/>
    <w:rsid w:val="00461ACB"/>
    <w:rsid w:val="00461C43"/>
    <w:rsid w:val="00462125"/>
    <w:rsid w:val="00462EBA"/>
    <w:rsid w:val="00463216"/>
    <w:rsid w:val="0046334D"/>
    <w:rsid w:val="00463911"/>
    <w:rsid w:val="00463C95"/>
    <w:rsid w:val="00463E1C"/>
    <w:rsid w:val="00464052"/>
    <w:rsid w:val="00465153"/>
    <w:rsid w:val="00465602"/>
    <w:rsid w:val="004656A4"/>
    <w:rsid w:val="00466A4A"/>
    <w:rsid w:val="00466AFD"/>
    <w:rsid w:val="00470696"/>
    <w:rsid w:val="004713A5"/>
    <w:rsid w:val="0047162F"/>
    <w:rsid w:val="00472177"/>
    <w:rsid w:val="00472234"/>
    <w:rsid w:val="004724C9"/>
    <w:rsid w:val="00472585"/>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F2B"/>
    <w:rsid w:val="004820C5"/>
    <w:rsid w:val="00482198"/>
    <w:rsid w:val="004823D8"/>
    <w:rsid w:val="00482F20"/>
    <w:rsid w:val="00483196"/>
    <w:rsid w:val="0048340F"/>
    <w:rsid w:val="0048423C"/>
    <w:rsid w:val="00484449"/>
    <w:rsid w:val="004852CE"/>
    <w:rsid w:val="0048540C"/>
    <w:rsid w:val="00485F92"/>
    <w:rsid w:val="004860BD"/>
    <w:rsid w:val="004866E1"/>
    <w:rsid w:val="00486C72"/>
    <w:rsid w:val="00487D3A"/>
    <w:rsid w:val="00490954"/>
    <w:rsid w:val="0049102F"/>
    <w:rsid w:val="0049277A"/>
    <w:rsid w:val="00492B38"/>
    <w:rsid w:val="00492FE4"/>
    <w:rsid w:val="00493035"/>
    <w:rsid w:val="0049330F"/>
    <w:rsid w:val="00493321"/>
    <w:rsid w:val="004936DE"/>
    <w:rsid w:val="004949B0"/>
    <w:rsid w:val="00494A50"/>
    <w:rsid w:val="0049544E"/>
    <w:rsid w:val="00495670"/>
    <w:rsid w:val="0049567B"/>
    <w:rsid w:val="0049586C"/>
    <w:rsid w:val="0049604B"/>
    <w:rsid w:val="00496666"/>
    <w:rsid w:val="00496AC9"/>
    <w:rsid w:val="004A040E"/>
    <w:rsid w:val="004A042D"/>
    <w:rsid w:val="004A11E0"/>
    <w:rsid w:val="004A1953"/>
    <w:rsid w:val="004A1FC5"/>
    <w:rsid w:val="004A2158"/>
    <w:rsid w:val="004A29A5"/>
    <w:rsid w:val="004A3225"/>
    <w:rsid w:val="004A374A"/>
    <w:rsid w:val="004A395B"/>
    <w:rsid w:val="004A3C59"/>
    <w:rsid w:val="004A3FE2"/>
    <w:rsid w:val="004A4195"/>
    <w:rsid w:val="004A480D"/>
    <w:rsid w:val="004A4D76"/>
    <w:rsid w:val="004A5851"/>
    <w:rsid w:val="004A5A91"/>
    <w:rsid w:val="004A5B0F"/>
    <w:rsid w:val="004A5CF1"/>
    <w:rsid w:val="004A6363"/>
    <w:rsid w:val="004A66E0"/>
    <w:rsid w:val="004A7AAE"/>
    <w:rsid w:val="004A7D49"/>
    <w:rsid w:val="004A7E52"/>
    <w:rsid w:val="004A7F21"/>
    <w:rsid w:val="004B08DB"/>
    <w:rsid w:val="004B1422"/>
    <w:rsid w:val="004B1DF2"/>
    <w:rsid w:val="004B24EB"/>
    <w:rsid w:val="004B29AC"/>
    <w:rsid w:val="004B29C2"/>
    <w:rsid w:val="004B3C8B"/>
    <w:rsid w:val="004B44A9"/>
    <w:rsid w:val="004B4509"/>
    <w:rsid w:val="004B452A"/>
    <w:rsid w:val="004B4871"/>
    <w:rsid w:val="004B4ADF"/>
    <w:rsid w:val="004B4C00"/>
    <w:rsid w:val="004B4E06"/>
    <w:rsid w:val="004B5493"/>
    <w:rsid w:val="004B5914"/>
    <w:rsid w:val="004B5F70"/>
    <w:rsid w:val="004B6C77"/>
    <w:rsid w:val="004B6D0A"/>
    <w:rsid w:val="004B6DA4"/>
    <w:rsid w:val="004B794C"/>
    <w:rsid w:val="004B7995"/>
    <w:rsid w:val="004C02B3"/>
    <w:rsid w:val="004C098E"/>
    <w:rsid w:val="004C0BBE"/>
    <w:rsid w:val="004C0E2F"/>
    <w:rsid w:val="004C1705"/>
    <w:rsid w:val="004C222E"/>
    <w:rsid w:val="004C2561"/>
    <w:rsid w:val="004C25B4"/>
    <w:rsid w:val="004C2806"/>
    <w:rsid w:val="004C3A7A"/>
    <w:rsid w:val="004C3ADD"/>
    <w:rsid w:val="004C428E"/>
    <w:rsid w:val="004C441A"/>
    <w:rsid w:val="004C4775"/>
    <w:rsid w:val="004C483D"/>
    <w:rsid w:val="004C48A9"/>
    <w:rsid w:val="004C49B3"/>
    <w:rsid w:val="004C4D05"/>
    <w:rsid w:val="004C4FF6"/>
    <w:rsid w:val="004C590B"/>
    <w:rsid w:val="004C6017"/>
    <w:rsid w:val="004C63C7"/>
    <w:rsid w:val="004C6D39"/>
    <w:rsid w:val="004C6D98"/>
    <w:rsid w:val="004C7217"/>
    <w:rsid w:val="004C7743"/>
    <w:rsid w:val="004C77A7"/>
    <w:rsid w:val="004D039E"/>
    <w:rsid w:val="004D04A3"/>
    <w:rsid w:val="004D0C9F"/>
    <w:rsid w:val="004D15FD"/>
    <w:rsid w:val="004D1A0A"/>
    <w:rsid w:val="004D2369"/>
    <w:rsid w:val="004D2485"/>
    <w:rsid w:val="004D249C"/>
    <w:rsid w:val="004D25D5"/>
    <w:rsid w:val="004D292A"/>
    <w:rsid w:val="004D3A57"/>
    <w:rsid w:val="004D47FF"/>
    <w:rsid w:val="004D4D35"/>
    <w:rsid w:val="004D4EA7"/>
    <w:rsid w:val="004D518F"/>
    <w:rsid w:val="004D54D7"/>
    <w:rsid w:val="004D5BB7"/>
    <w:rsid w:val="004D6053"/>
    <w:rsid w:val="004D6899"/>
    <w:rsid w:val="004D6FA4"/>
    <w:rsid w:val="004D71D6"/>
    <w:rsid w:val="004D7816"/>
    <w:rsid w:val="004D7C23"/>
    <w:rsid w:val="004E01C6"/>
    <w:rsid w:val="004E0212"/>
    <w:rsid w:val="004E0ADC"/>
    <w:rsid w:val="004E0FB1"/>
    <w:rsid w:val="004E1043"/>
    <w:rsid w:val="004E1DCA"/>
    <w:rsid w:val="004E21B4"/>
    <w:rsid w:val="004E252B"/>
    <w:rsid w:val="004E2861"/>
    <w:rsid w:val="004E2A85"/>
    <w:rsid w:val="004E3F72"/>
    <w:rsid w:val="004E4A78"/>
    <w:rsid w:val="004E551E"/>
    <w:rsid w:val="004E584D"/>
    <w:rsid w:val="004E58F6"/>
    <w:rsid w:val="004E5E37"/>
    <w:rsid w:val="004E5E4C"/>
    <w:rsid w:val="004E5F79"/>
    <w:rsid w:val="004E623E"/>
    <w:rsid w:val="004E6589"/>
    <w:rsid w:val="004E6CF9"/>
    <w:rsid w:val="004E7152"/>
    <w:rsid w:val="004E734E"/>
    <w:rsid w:val="004E7EC0"/>
    <w:rsid w:val="004E7F48"/>
    <w:rsid w:val="004F014E"/>
    <w:rsid w:val="004F023B"/>
    <w:rsid w:val="004F0BC6"/>
    <w:rsid w:val="004F1123"/>
    <w:rsid w:val="004F12D3"/>
    <w:rsid w:val="004F1715"/>
    <w:rsid w:val="004F17DA"/>
    <w:rsid w:val="004F355B"/>
    <w:rsid w:val="004F3620"/>
    <w:rsid w:val="004F3BD2"/>
    <w:rsid w:val="004F4372"/>
    <w:rsid w:val="004F43E0"/>
    <w:rsid w:val="004F45EB"/>
    <w:rsid w:val="004F5079"/>
    <w:rsid w:val="004F521B"/>
    <w:rsid w:val="004F52BB"/>
    <w:rsid w:val="004F5582"/>
    <w:rsid w:val="004F56B1"/>
    <w:rsid w:val="004F59B8"/>
    <w:rsid w:val="004F62A7"/>
    <w:rsid w:val="004F62F9"/>
    <w:rsid w:val="004F66B3"/>
    <w:rsid w:val="004F6FA7"/>
    <w:rsid w:val="004F72DA"/>
    <w:rsid w:val="004F7352"/>
    <w:rsid w:val="004F7889"/>
    <w:rsid w:val="0050015C"/>
    <w:rsid w:val="00500418"/>
    <w:rsid w:val="00500CCF"/>
    <w:rsid w:val="00500E62"/>
    <w:rsid w:val="005010DE"/>
    <w:rsid w:val="005011FD"/>
    <w:rsid w:val="0050164B"/>
    <w:rsid w:val="00501AA5"/>
    <w:rsid w:val="00502958"/>
    <w:rsid w:val="00502BD2"/>
    <w:rsid w:val="00502DA4"/>
    <w:rsid w:val="00502E1B"/>
    <w:rsid w:val="00503790"/>
    <w:rsid w:val="005038F3"/>
    <w:rsid w:val="00503F83"/>
    <w:rsid w:val="0050421C"/>
    <w:rsid w:val="005048FF"/>
    <w:rsid w:val="00504A9B"/>
    <w:rsid w:val="00504E9A"/>
    <w:rsid w:val="00504F83"/>
    <w:rsid w:val="005059B9"/>
    <w:rsid w:val="00505F64"/>
    <w:rsid w:val="0050635A"/>
    <w:rsid w:val="0050675E"/>
    <w:rsid w:val="00506DCD"/>
    <w:rsid w:val="00507325"/>
    <w:rsid w:val="00507583"/>
    <w:rsid w:val="00507C56"/>
    <w:rsid w:val="00507F13"/>
    <w:rsid w:val="005109D4"/>
    <w:rsid w:val="00510CF4"/>
    <w:rsid w:val="0051160A"/>
    <w:rsid w:val="005118BA"/>
    <w:rsid w:val="00511C56"/>
    <w:rsid w:val="00512385"/>
    <w:rsid w:val="00512A4D"/>
    <w:rsid w:val="00512D87"/>
    <w:rsid w:val="005130DA"/>
    <w:rsid w:val="00513C19"/>
    <w:rsid w:val="00513DDA"/>
    <w:rsid w:val="00513E19"/>
    <w:rsid w:val="005148B4"/>
    <w:rsid w:val="00514B29"/>
    <w:rsid w:val="00514E8C"/>
    <w:rsid w:val="005152B1"/>
    <w:rsid w:val="005152F0"/>
    <w:rsid w:val="0051532D"/>
    <w:rsid w:val="00515856"/>
    <w:rsid w:val="005163E6"/>
    <w:rsid w:val="00516D23"/>
    <w:rsid w:val="005172EC"/>
    <w:rsid w:val="0051740D"/>
    <w:rsid w:val="005178CE"/>
    <w:rsid w:val="00521356"/>
    <w:rsid w:val="00521CAB"/>
    <w:rsid w:val="00521DFB"/>
    <w:rsid w:val="005224EF"/>
    <w:rsid w:val="00522654"/>
    <w:rsid w:val="00522835"/>
    <w:rsid w:val="0052293D"/>
    <w:rsid w:val="00522AF4"/>
    <w:rsid w:val="00523499"/>
    <w:rsid w:val="005236CF"/>
    <w:rsid w:val="00523BC7"/>
    <w:rsid w:val="00523C08"/>
    <w:rsid w:val="00523C10"/>
    <w:rsid w:val="00523E23"/>
    <w:rsid w:val="005245D5"/>
    <w:rsid w:val="005247FE"/>
    <w:rsid w:val="00524889"/>
    <w:rsid w:val="0052575D"/>
    <w:rsid w:val="005259FC"/>
    <w:rsid w:val="00525A53"/>
    <w:rsid w:val="005260F1"/>
    <w:rsid w:val="00526569"/>
    <w:rsid w:val="00526726"/>
    <w:rsid w:val="00526F91"/>
    <w:rsid w:val="00527256"/>
    <w:rsid w:val="00527934"/>
    <w:rsid w:val="00527B57"/>
    <w:rsid w:val="00527C8D"/>
    <w:rsid w:val="00527C9C"/>
    <w:rsid w:val="00530114"/>
    <w:rsid w:val="00530AC4"/>
    <w:rsid w:val="00531F7B"/>
    <w:rsid w:val="00532064"/>
    <w:rsid w:val="0053268A"/>
    <w:rsid w:val="0053309E"/>
    <w:rsid w:val="00533169"/>
    <w:rsid w:val="00533194"/>
    <w:rsid w:val="005332C8"/>
    <w:rsid w:val="00534021"/>
    <w:rsid w:val="0053464E"/>
    <w:rsid w:val="00534CBD"/>
    <w:rsid w:val="005352C8"/>
    <w:rsid w:val="005354C1"/>
    <w:rsid w:val="00535F99"/>
    <w:rsid w:val="005361DE"/>
    <w:rsid w:val="00536356"/>
    <w:rsid w:val="0053693C"/>
    <w:rsid w:val="00536CBB"/>
    <w:rsid w:val="00536DDD"/>
    <w:rsid w:val="00537033"/>
    <w:rsid w:val="00540A37"/>
    <w:rsid w:val="00540B49"/>
    <w:rsid w:val="005415E2"/>
    <w:rsid w:val="005418DB"/>
    <w:rsid w:val="0054230B"/>
    <w:rsid w:val="005434EA"/>
    <w:rsid w:val="00544ABA"/>
    <w:rsid w:val="00545D55"/>
    <w:rsid w:val="005461AB"/>
    <w:rsid w:val="00546C6A"/>
    <w:rsid w:val="00546FBA"/>
    <w:rsid w:val="00547F04"/>
    <w:rsid w:val="00550924"/>
    <w:rsid w:val="00550D63"/>
    <w:rsid w:val="00550EF1"/>
    <w:rsid w:val="00551075"/>
    <w:rsid w:val="005513C8"/>
    <w:rsid w:val="0055236E"/>
    <w:rsid w:val="0055352C"/>
    <w:rsid w:val="005538A6"/>
    <w:rsid w:val="00554F94"/>
    <w:rsid w:val="00555161"/>
    <w:rsid w:val="00555A59"/>
    <w:rsid w:val="00555DE6"/>
    <w:rsid w:val="00555EB3"/>
    <w:rsid w:val="00556776"/>
    <w:rsid w:val="005567F6"/>
    <w:rsid w:val="00556E29"/>
    <w:rsid w:val="00557474"/>
    <w:rsid w:val="00557DAA"/>
    <w:rsid w:val="00557DAD"/>
    <w:rsid w:val="00561138"/>
    <w:rsid w:val="00561699"/>
    <w:rsid w:val="0056194F"/>
    <w:rsid w:val="005619E1"/>
    <w:rsid w:val="00562629"/>
    <w:rsid w:val="005628FE"/>
    <w:rsid w:val="0056364B"/>
    <w:rsid w:val="00563D49"/>
    <w:rsid w:val="00564191"/>
    <w:rsid w:val="00564557"/>
    <w:rsid w:val="0056458C"/>
    <w:rsid w:val="00564628"/>
    <w:rsid w:val="005648B9"/>
    <w:rsid w:val="00564A3C"/>
    <w:rsid w:val="00564F82"/>
    <w:rsid w:val="00564FF6"/>
    <w:rsid w:val="005653AF"/>
    <w:rsid w:val="00565501"/>
    <w:rsid w:val="00565755"/>
    <w:rsid w:val="0056601E"/>
    <w:rsid w:val="00566406"/>
    <w:rsid w:val="005664A6"/>
    <w:rsid w:val="00566538"/>
    <w:rsid w:val="0056725A"/>
    <w:rsid w:val="0056741F"/>
    <w:rsid w:val="00567647"/>
    <w:rsid w:val="0056781B"/>
    <w:rsid w:val="00567BE2"/>
    <w:rsid w:val="00570102"/>
    <w:rsid w:val="00570505"/>
    <w:rsid w:val="005712E6"/>
    <w:rsid w:val="00572942"/>
    <w:rsid w:val="005730DB"/>
    <w:rsid w:val="00573251"/>
    <w:rsid w:val="005733A8"/>
    <w:rsid w:val="005734F9"/>
    <w:rsid w:val="00573B5B"/>
    <w:rsid w:val="00573F55"/>
    <w:rsid w:val="00574070"/>
    <w:rsid w:val="00575148"/>
    <w:rsid w:val="0057540E"/>
    <w:rsid w:val="005757B6"/>
    <w:rsid w:val="005761E2"/>
    <w:rsid w:val="0058000F"/>
    <w:rsid w:val="00580557"/>
    <w:rsid w:val="0058074F"/>
    <w:rsid w:val="00580A76"/>
    <w:rsid w:val="00581042"/>
    <w:rsid w:val="00581703"/>
    <w:rsid w:val="00581B15"/>
    <w:rsid w:val="005821DD"/>
    <w:rsid w:val="00583908"/>
    <w:rsid w:val="00583C9C"/>
    <w:rsid w:val="00584757"/>
    <w:rsid w:val="00584E21"/>
    <w:rsid w:val="005858A9"/>
    <w:rsid w:val="005858EE"/>
    <w:rsid w:val="00585B7D"/>
    <w:rsid w:val="0058608B"/>
    <w:rsid w:val="005863C1"/>
    <w:rsid w:val="0058654D"/>
    <w:rsid w:val="00586786"/>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E1"/>
    <w:rsid w:val="00594B8A"/>
    <w:rsid w:val="00595009"/>
    <w:rsid w:val="005954B7"/>
    <w:rsid w:val="00595A05"/>
    <w:rsid w:val="00595E36"/>
    <w:rsid w:val="00595F17"/>
    <w:rsid w:val="00595F3D"/>
    <w:rsid w:val="00595F89"/>
    <w:rsid w:val="005960C7"/>
    <w:rsid w:val="005963FB"/>
    <w:rsid w:val="00596873"/>
    <w:rsid w:val="00596BB3"/>
    <w:rsid w:val="00596BD4"/>
    <w:rsid w:val="00596FA8"/>
    <w:rsid w:val="005971A7"/>
    <w:rsid w:val="00597310"/>
    <w:rsid w:val="005977AB"/>
    <w:rsid w:val="005A01C5"/>
    <w:rsid w:val="005A0532"/>
    <w:rsid w:val="005A071C"/>
    <w:rsid w:val="005A07E7"/>
    <w:rsid w:val="005A0A57"/>
    <w:rsid w:val="005A0B9F"/>
    <w:rsid w:val="005A0DBB"/>
    <w:rsid w:val="005A0EBD"/>
    <w:rsid w:val="005A1270"/>
    <w:rsid w:val="005A1295"/>
    <w:rsid w:val="005A17CD"/>
    <w:rsid w:val="005A1FBF"/>
    <w:rsid w:val="005A1FD5"/>
    <w:rsid w:val="005A29B1"/>
    <w:rsid w:val="005A2EBF"/>
    <w:rsid w:val="005A3750"/>
    <w:rsid w:val="005A380B"/>
    <w:rsid w:val="005A4890"/>
    <w:rsid w:val="005A49D4"/>
    <w:rsid w:val="005A4D7C"/>
    <w:rsid w:val="005A51C9"/>
    <w:rsid w:val="005A5A96"/>
    <w:rsid w:val="005A5D7F"/>
    <w:rsid w:val="005A5DC0"/>
    <w:rsid w:val="005A65C3"/>
    <w:rsid w:val="005A6B6D"/>
    <w:rsid w:val="005A6ED5"/>
    <w:rsid w:val="005A6F0E"/>
    <w:rsid w:val="005A6F57"/>
    <w:rsid w:val="005A7235"/>
    <w:rsid w:val="005A795B"/>
    <w:rsid w:val="005A7BAF"/>
    <w:rsid w:val="005B05FA"/>
    <w:rsid w:val="005B0652"/>
    <w:rsid w:val="005B1213"/>
    <w:rsid w:val="005B1B55"/>
    <w:rsid w:val="005B1DBD"/>
    <w:rsid w:val="005B26B0"/>
    <w:rsid w:val="005B3EBD"/>
    <w:rsid w:val="005B3F0C"/>
    <w:rsid w:val="005B4173"/>
    <w:rsid w:val="005B48E8"/>
    <w:rsid w:val="005B564F"/>
    <w:rsid w:val="005B56D9"/>
    <w:rsid w:val="005B5BA3"/>
    <w:rsid w:val="005B5E62"/>
    <w:rsid w:val="005B6DBE"/>
    <w:rsid w:val="005B7E97"/>
    <w:rsid w:val="005B7F46"/>
    <w:rsid w:val="005C059E"/>
    <w:rsid w:val="005C07D2"/>
    <w:rsid w:val="005C09A7"/>
    <w:rsid w:val="005C0EA8"/>
    <w:rsid w:val="005C102D"/>
    <w:rsid w:val="005C132C"/>
    <w:rsid w:val="005C17FB"/>
    <w:rsid w:val="005C1833"/>
    <w:rsid w:val="005C1838"/>
    <w:rsid w:val="005C18C2"/>
    <w:rsid w:val="005C2063"/>
    <w:rsid w:val="005C244F"/>
    <w:rsid w:val="005C2767"/>
    <w:rsid w:val="005C2922"/>
    <w:rsid w:val="005C2C01"/>
    <w:rsid w:val="005C2F60"/>
    <w:rsid w:val="005C323D"/>
    <w:rsid w:val="005C3772"/>
    <w:rsid w:val="005C39C3"/>
    <w:rsid w:val="005C4229"/>
    <w:rsid w:val="005C4580"/>
    <w:rsid w:val="005C5065"/>
    <w:rsid w:val="005C52F3"/>
    <w:rsid w:val="005C564C"/>
    <w:rsid w:val="005C6234"/>
    <w:rsid w:val="005C64DC"/>
    <w:rsid w:val="005C6605"/>
    <w:rsid w:val="005C6CCB"/>
    <w:rsid w:val="005C71A0"/>
    <w:rsid w:val="005C7802"/>
    <w:rsid w:val="005C7B50"/>
    <w:rsid w:val="005D029E"/>
    <w:rsid w:val="005D0427"/>
    <w:rsid w:val="005D0776"/>
    <w:rsid w:val="005D07AE"/>
    <w:rsid w:val="005D08FD"/>
    <w:rsid w:val="005D0C83"/>
    <w:rsid w:val="005D113B"/>
    <w:rsid w:val="005D1732"/>
    <w:rsid w:val="005D2D9A"/>
    <w:rsid w:val="005D3A6E"/>
    <w:rsid w:val="005D3B21"/>
    <w:rsid w:val="005D4019"/>
    <w:rsid w:val="005D41DC"/>
    <w:rsid w:val="005D43B7"/>
    <w:rsid w:val="005D460F"/>
    <w:rsid w:val="005D4DC5"/>
    <w:rsid w:val="005D5442"/>
    <w:rsid w:val="005D5C22"/>
    <w:rsid w:val="005D5E6C"/>
    <w:rsid w:val="005D63A9"/>
    <w:rsid w:val="005D65AF"/>
    <w:rsid w:val="005D65D5"/>
    <w:rsid w:val="005D6C56"/>
    <w:rsid w:val="005D6CED"/>
    <w:rsid w:val="005D6DBF"/>
    <w:rsid w:val="005D6F49"/>
    <w:rsid w:val="005D7E8A"/>
    <w:rsid w:val="005E06FA"/>
    <w:rsid w:val="005E11A5"/>
    <w:rsid w:val="005E13D4"/>
    <w:rsid w:val="005E1435"/>
    <w:rsid w:val="005E21F3"/>
    <w:rsid w:val="005E235C"/>
    <w:rsid w:val="005E3078"/>
    <w:rsid w:val="005E34C0"/>
    <w:rsid w:val="005E45F3"/>
    <w:rsid w:val="005E49CA"/>
    <w:rsid w:val="005E5384"/>
    <w:rsid w:val="005E5427"/>
    <w:rsid w:val="005E5428"/>
    <w:rsid w:val="005E5A7C"/>
    <w:rsid w:val="005E5C33"/>
    <w:rsid w:val="005E6976"/>
    <w:rsid w:val="005E703B"/>
    <w:rsid w:val="005E721A"/>
    <w:rsid w:val="005E74EC"/>
    <w:rsid w:val="005E7917"/>
    <w:rsid w:val="005E7AB6"/>
    <w:rsid w:val="005E7B1E"/>
    <w:rsid w:val="005E7CBC"/>
    <w:rsid w:val="005E7DB0"/>
    <w:rsid w:val="005F05F6"/>
    <w:rsid w:val="005F0A62"/>
    <w:rsid w:val="005F0FA8"/>
    <w:rsid w:val="005F1C5D"/>
    <w:rsid w:val="005F2317"/>
    <w:rsid w:val="005F2550"/>
    <w:rsid w:val="005F2B2D"/>
    <w:rsid w:val="005F2FD5"/>
    <w:rsid w:val="005F340A"/>
    <w:rsid w:val="005F359B"/>
    <w:rsid w:val="005F3869"/>
    <w:rsid w:val="005F3AE8"/>
    <w:rsid w:val="005F3B09"/>
    <w:rsid w:val="005F3B47"/>
    <w:rsid w:val="005F47C1"/>
    <w:rsid w:val="005F4926"/>
    <w:rsid w:val="005F4B6F"/>
    <w:rsid w:val="005F5009"/>
    <w:rsid w:val="005F5054"/>
    <w:rsid w:val="005F5200"/>
    <w:rsid w:val="005F530F"/>
    <w:rsid w:val="005F5D2A"/>
    <w:rsid w:val="005F65D9"/>
    <w:rsid w:val="005F6768"/>
    <w:rsid w:val="005F69CF"/>
    <w:rsid w:val="005F6E39"/>
    <w:rsid w:val="005F6E58"/>
    <w:rsid w:val="005F7031"/>
    <w:rsid w:val="005F704C"/>
    <w:rsid w:val="005F72C3"/>
    <w:rsid w:val="005F7A22"/>
    <w:rsid w:val="005F7B9D"/>
    <w:rsid w:val="00600501"/>
    <w:rsid w:val="00600B0C"/>
    <w:rsid w:val="00602DFA"/>
    <w:rsid w:val="006031D1"/>
    <w:rsid w:val="006033BF"/>
    <w:rsid w:val="00603702"/>
    <w:rsid w:val="00603B4B"/>
    <w:rsid w:val="00603F20"/>
    <w:rsid w:val="006046A9"/>
    <w:rsid w:val="0060471B"/>
    <w:rsid w:val="00604F37"/>
    <w:rsid w:val="0060508A"/>
    <w:rsid w:val="006055AF"/>
    <w:rsid w:val="00605942"/>
    <w:rsid w:val="00605A07"/>
    <w:rsid w:val="00605C9F"/>
    <w:rsid w:val="006065C1"/>
    <w:rsid w:val="006068E8"/>
    <w:rsid w:val="00606ADB"/>
    <w:rsid w:val="006072DE"/>
    <w:rsid w:val="006075F4"/>
    <w:rsid w:val="006078A8"/>
    <w:rsid w:val="00607BAD"/>
    <w:rsid w:val="00607EC7"/>
    <w:rsid w:val="006102BC"/>
    <w:rsid w:val="0061048A"/>
    <w:rsid w:val="00610AE7"/>
    <w:rsid w:val="00611178"/>
    <w:rsid w:val="0061148D"/>
    <w:rsid w:val="00611D01"/>
    <w:rsid w:val="006122EC"/>
    <w:rsid w:val="006124B3"/>
    <w:rsid w:val="00612611"/>
    <w:rsid w:val="0061279A"/>
    <w:rsid w:val="00612A10"/>
    <w:rsid w:val="00613009"/>
    <w:rsid w:val="006132EA"/>
    <w:rsid w:val="00613481"/>
    <w:rsid w:val="00613CA5"/>
    <w:rsid w:val="0061401C"/>
    <w:rsid w:val="0061420B"/>
    <w:rsid w:val="00614A59"/>
    <w:rsid w:val="00614BD4"/>
    <w:rsid w:val="00614D33"/>
    <w:rsid w:val="00614E7E"/>
    <w:rsid w:val="0061516F"/>
    <w:rsid w:val="0061537D"/>
    <w:rsid w:val="0061537F"/>
    <w:rsid w:val="006156D7"/>
    <w:rsid w:val="00615CF1"/>
    <w:rsid w:val="00615DEA"/>
    <w:rsid w:val="006165A4"/>
    <w:rsid w:val="00616A60"/>
    <w:rsid w:val="00616D0C"/>
    <w:rsid w:val="00616EE6"/>
    <w:rsid w:val="006171FB"/>
    <w:rsid w:val="00617283"/>
    <w:rsid w:val="00617A2A"/>
    <w:rsid w:val="006207F4"/>
    <w:rsid w:val="00620C67"/>
    <w:rsid w:val="00620D09"/>
    <w:rsid w:val="00621646"/>
    <w:rsid w:val="00621803"/>
    <w:rsid w:val="00621A34"/>
    <w:rsid w:val="006220F1"/>
    <w:rsid w:val="0062306D"/>
    <w:rsid w:val="00623E46"/>
    <w:rsid w:val="00624604"/>
    <w:rsid w:val="00624D2C"/>
    <w:rsid w:val="00624F7F"/>
    <w:rsid w:val="00625142"/>
    <w:rsid w:val="00625145"/>
    <w:rsid w:val="00626768"/>
    <w:rsid w:val="006268A3"/>
    <w:rsid w:val="00626F9D"/>
    <w:rsid w:val="00627402"/>
    <w:rsid w:val="00627403"/>
    <w:rsid w:val="00627474"/>
    <w:rsid w:val="00627CEA"/>
    <w:rsid w:val="00627E37"/>
    <w:rsid w:val="00630480"/>
    <w:rsid w:val="0063058E"/>
    <w:rsid w:val="006305F8"/>
    <w:rsid w:val="0063197B"/>
    <w:rsid w:val="006319D0"/>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6F62"/>
    <w:rsid w:val="006370E1"/>
    <w:rsid w:val="00637382"/>
    <w:rsid w:val="006375B2"/>
    <w:rsid w:val="006375BB"/>
    <w:rsid w:val="006409EE"/>
    <w:rsid w:val="00640BF7"/>
    <w:rsid w:val="00640FFF"/>
    <w:rsid w:val="00641761"/>
    <w:rsid w:val="006419AF"/>
    <w:rsid w:val="006425FC"/>
    <w:rsid w:val="00642631"/>
    <w:rsid w:val="00642DF5"/>
    <w:rsid w:val="0064304A"/>
    <w:rsid w:val="0064380B"/>
    <w:rsid w:val="00643A4F"/>
    <w:rsid w:val="00643FF5"/>
    <w:rsid w:val="006441FD"/>
    <w:rsid w:val="00644E5A"/>
    <w:rsid w:val="00644F2C"/>
    <w:rsid w:val="00645065"/>
    <w:rsid w:val="006450DD"/>
    <w:rsid w:val="00645141"/>
    <w:rsid w:val="00645AEE"/>
    <w:rsid w:val="00646428"/>
    <w:rsid w:val="00646AFD"/>
    <w:rsid w:val="0064707F"/>
    <w:rsid w:val="006471E8"/>
    <w:rsid w:val="00647E90"/>
    <w:rsid w:val="00647FA3"/>
    <w:rsid w:val="006500F7"/>
    <w:rsid w:val="00650769"/>
    <w:rsid w:val="0065106D"/>
    <w:rsid w:val="006516B7"/>
    <w:rsid w:val="006518E4"/>
    <w:rsid w:val="006519F4"/>
    <w:rsid w:val="00651FB8"/>
    <w:rsid w:val="0065203F"/>
    <w:rsid w:val="006520D5"/>
    <w:rsid w:val="0065239B"/>
    <w:rsid w:val="00652BA0"/>
    <w:rsid w:val="00653045"/>
    <w:rsid w:val="00653A25"/>
    <w:rsid w:val="00653D93"/>
    <w:rsid w:val="00653FDA"/>
    <w:rsid w:val="006541A0"/>
    <w:rsid w:val="00654E99"/>
    <w:rsid w:val="00655104"/>
    <w:rsid w:val="0065548F"/>
    <w:rsid w:val="00655633"/>
    <w:rsid w:val="006559BB"/>
    <w:rsid w:val="00655D93"/>
    <w:rsid w:val="00655E86"/>
    <w:rsid w:val="00656614"/>
    <w:rsid w:val="00656C4D"/>
    <w:rsid w:val="006577CD"/>
    <w:rsid w:val="00657CCC"/>
    <w:rsid w:val="00660162"/>
    <w:rsid w:val="0066036D"/>
    <w:rsid w:val="006604FA"/>
    <w:rsid w:val="00660879"/>
    <w:rsid w:val="00660B3F"/>
    <w:rsid w:val="006610B1"/>
    <w:rsid w:val="00661639"/>
    <w:rsid w:val="00661655"/>
    <w:rsid w:val="0066174D"/>
    <w:rsid w:val="00661E36"/>
    <w:rsid w:val="0066288A"/>
    <w:rsid w:val="0066318A"/>
    <w:rsid w:val="006631D3"/>
    <w:rsid w:val="00663D0F"/>
    <w:rsid w:val="00664525"/>
    <w:rsid w:val="0066465B"/>
    <w:rsid w:val="00664C81"/>
    <w:rsid w:val="0066521A"/>
    <w:rsid w:val="0066540C"/>
    <w:rsid w:val="00665EAE"/>
    <w:rsid w:val="006661EA"/>
    <w:rsid w:val="00666909"/>
    <w:rsid w:val="00666EBC"/>
    <w:rsid w:val="00667189"/>
    <w:rsid w:val="0066749E"/>
    <w:rsid w:val="0066780E"/>
    <w:rsid w:val="00667CCB"/>
    <w:rsid w:val="00667EBD"/>
    <w:rsid w:val="00667EFD"/>
    <w:rsid w:val="00670475"/>
    <w:rsid w:val="00670B8C"/>
    <w:rsid w:val="00670C4A"/>
    <w:rsid w:val="006712FE"/>
    <w:rsid w:val="00671F3E"/>
    <w:rsid w:val="00672482"/>
    <w:rsid w:val="00672A18"/>
    <w:rsid w:val="006735D0"/>
    <w:rsid w:val="006739E9"/>
    <w:rsid w:val="00674D52"/>
    <w:rsid w:val="00674F93"/>
    <w:rsid w:val="0067546F"/>
    <w:rsid w:val="00676287"/>
    <w:rsid w:val="00676CE4"/>
    <w:rsid w:val="00676EC2"/>
    <w:rsid w:val="00676F61"/>
    <w:rsid w:val="00676FA5"/>
    <w:rsid w:val="006771A4"/>
    <w:rsid w:val="006771AD"/>
    <w:rsid w:val="006774A8"/>
    <w:rsid w:val="00677572"/>
    <w:rsid w:val="00681156"/>
    <w:rsid w:val="00681229"/>
    <w:rsid w:val="00681514"/>
    <w:rsid w:val="0068185E"/>
    <w:rsid w:val="00681BE5"/>
    <w:rsid w:val="00681E30"/>
    <w:rsid w:val="0068379B"/>
    <w:rsid w:val="00683D98"/>
    <w:rsid w:val="00683D99"/>
    <w:rsid w:val="00684079"/>
    <w:rsid w:val="006848EE"/>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32F"/>
    <w:rsid w:val="0069561C"/>
    <w:rsid w:val="00695634"/>
    <w:rsid w:val="0069600D"/>
    <w:rsid w:val="006963AE"/>
    <w:rsid w:val="00697053"/>
    <w:rsid w:val="006A0214"/>
    <w:rsid w:val="006A066A"/>
    <w:rsid w:val="006A06CA"/>
    <w:rsid w:val="006A083E"/>
    <w:rsid w:val="006A0FFD"/>
    <w:rsid w:val="006A1170"/>
    <w:rsid w:val="006A14A3"/>
    <w:rsid w:val="006A159D"/>
    <w:rsid w:val="006A18BF"/>
    <w:rsid w:val="006A1F58"/>
    <w:rsid w:val="006A242E"/>
    <w:rsid w:val="006A26AB"/>
    <w:rsid w:val="006A298D"/>
    <w:rsid w:val="006A2F80"/>
    <w:rsid w:val="006A3A48"/>
    <w:rsid w:val="006A3FD6"/>
    <w:rsid w:val="006A4076"/>
    <w:rsid w:val="006A436F"/>
    <w:rsid w:val="006A4E5B"/>
    <w:rsid w:val="006A59D8"/>
    <w:rsid w:val="006A6B7B"/>
    <w:rsid w:val="006A78F8"/>
    <w:rsid w:val="006A7C26"/>
    <w:rsid w:val="006A7E27"/>
    <w:rsid w:val="006B010E"/>
    <w:rsid w:val="006B03CA"/>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855"/>
    <w:rsid w:val="006B5AB2"/>
    <w:rsid w:val="006B5C67"/>
    <w:rsid w:val="006B6B5D"/>
    <w:rsid w:val="006B6BF6"/>
    <w:rsid w:val="006B6C0D"/>
    <w:rsid w:val="006B6D1F"/>
    <w:rsid w:val="006B7657"/>
    <w:rsid w:val="006C166D"/>
    <w:rsid w:val="006C1818"/>
    <w:rsid w:val="006C1C4F"/>
    <w:rsid w:val="006C1F8B"/>
    <w:rsid w:val="006C2721"/>
    <w:rsid w:val="006C2BE5"/>
    <w:rsid w:val="006C377A"/>
    <w:rsid w:val="006C3868"/>
    <w:rsid w:val="006C38FF"/>
    <w:rsid w:val="006C3E6E"/>
    <w:rsid w:val="006C3EEA"/>
    <w:rsid w:val="006C3F92"/>
    <w:rsid w:val="006C43A6"/>
    <w:rsid w:val="006C4A4A"/>
    <w:rsid w:val="006C4E89"/>
    <w:rsid w:val="006C53EB"/>
    <w:rsid w:val="006C5434"/>
    <w:rsid w:val="006C5D29"/>
    <w:rsid w:val="006C650D"/>
    <w:rsid w:val="006C69A5"/>
    <w:rsid w:val="006C7740"/>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F86"/>
    <w:rsid w:val="006D5F98"/>
    <w:rsid w:val="006D6665"/>
    <w:rsid w:val="006D7098"/>
    <w:rsid w:val="006D740E"/>
    <w:rsid w:val="006D7F72"/>
    <w:rsid w:val="006E00B7"/>
    <w:rsid w:val="006E0E5B"/>
    <w:rsid w:val="006E2562"/>
    <w:rsid w:val="006E3023"/>
    <w:rsid w:val="006E3369"/>
    <w:rsid w:val="006E3D12"/>
    <w:rsid w:val="006E449C"/>
    <w:rsid w:val="006E4726"/>
    <w:rsid w:val="006E4E72"/>
    <w:rsid w:val="006E50D0"/>
    <w:rsid w:val="006E663E"/>
    <w:rsid w:val="006E6EDF"/>
    <w:rsid w:val="006E7BA5"/>
    <w:rsid w:val="006F01E8"/>
    <w:rsid w:val="006F02D7"/>
    <w:rsid w:val="006F03EC"/>
    <w:rsid w:val="006F059F"/>
    <w:rsid w:val="006F0EBB"/>
    <w:rsid w:val="006F1E96"/>
    <w:rsid w:val="006F2D24"/>
    <w:rsid w:val="006F3289"/>
    <w:rsid w:val="006F352A"/>
    <w:rsid w:val="006F37F7"/>
    <w:rsid w:val="006F3909"/>
    <w:rsid w:val="006F3D1B"/>
    <w:rsid w:val="006F4036"/>
    <w:rsid w:val="006F428E"/>
    <w:rsid w:val="006F48E1"/>
    <w:rsid w:val="006F4FA0"/>
    <w:rsid w:val="006F5096"/>
    <w:rsid w:val="006F5160"/>
    <w:rsid w:val="006F5374"/>
    <w:rsid w:val="006F57D7"/>
    <w:rsid w:val="006F5C15"/>
    <w:rsid w:val="006F60DF"/>
    <w:rsid w:val="006F64DE"/>
    <w:rsid w:val="006F6766"/>
    <w:rsid w:val="006F67E2"/>
    <w:rsid w:val="006F68C1"/>
    <w:rsid w:val="006F6CE2"/>
    <w:rsid w:val="006F6E10"/>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495F"/>
    <w:rsid w:val="00704B6E"/>
    <w:rsid w:val="00704F73"/>
    <w:rsid w:val="0070508D"/>
    <w:rsid w:val="0070542E"/>
    <w:rsid w:val="0070604A"/>
    <w:rsid w:val="007060D4"/>
    <w:rsid w:val="0070624C"/>
    <w:rsid w:val="00706451"/>
    <w:rsid w:val="00706721"/>
    <w:rsid w:val="00707E0F"/>
    <w:rsid w:val="0071068A"/>
    <w:rsid w:val="00710E19"/>
    <w:rsid w:val="00710E52"/>
    <w:rsid w:val="0071154B"/>
    <w:rsid w:val="0071174F"/>
    <w:rsid w:val="0071176F"/>
    <w:rsid w:val="0071196A"/>
    <w:rsid w:val="00711B11"/>
    <w:rsid w:val="00712FAE"/>
    <w:rsid w:val="007131CF"/>
    <w:rsid w:val="007133C0"/>
    <w:rsid w:val="00713613"/>
    <w:rsid w:val="007137C6"/>
    <w:rsid w:val="007138FC"/>
    <w:rsid w:val="0071393D"/>
    <w:rsid w:val="00713E79"/>
    <w:rsid w:val="00714245"/>
    <w:rsid w:val="00714A14"/>
    <w:rsid w:val="00715441"/>
    <w:rsid w:val="00715739"/>
    <w:rsid w:val="0071576C"/>
    <w:rsid w:val="00715C94"/>
    <w:rsid w:val="007165F0"/>
    <w:rsid w:val="00716A09"/>
    <w:rsid w:val="007170DB"/>
    <w:rsid w:val="00717880"/>
    <w:rsid w:val="00717CA8"/>
    <w:rsid w:val="007205E7"/>
    <w:rsid w:val="007209C4"/>
    <w:rsid w:val="00720A51"/>
    <w:rsid w:val="00720A9F"/>
    <w:rsid w:val="00721E9E"/>
    <w:rsid w:val="007223C4"/>
    <w:rsid w:val="007227FE"/>
    <w:rsid w:val="007233C3"/>
    <w:rsid w:val="00723C95"/>
    <w:rsid w:val="007244E7"/>
    <w:rsid w:val="0072505F"/>
    <w:rsid w:val="00725B00"/>
    <w:rsid w:val="0072680C"/>
    <w:rsid w:val="00726B3D"/>
    <w:rsid w:val="00726C64"/>
    <w:rsid w:val="007310B7"/>
    <w:rsid w:val="00731237"/>
    <w:rsid w:val="00731A22"/>
    <w:rsid w:val="0073207E"/>
    <w:rsid w:val="00732523"/>
    <w:rsid w:val="0073254B"/>
    <w:rsid w:val="00732664"/>
    <w:rsid w:val="00732BA7"/>
    <w:rsid w:val="007333EA"/>
    <w:rsid w:val="00733601"/>
    <w:rsid w:val="00733A22"/>
    <w:rsid w:val="00733A57"/>
    <w:rsid w:val="00733F36"/>
    <w:rsid w:val="007340CE"/>
    <w:rsid w:val="00734781"/>
    <w:rsid w:val="007349FC"/>
    <w:rsid w:val="00734B6F"/>
    <w:rsid w:val="007351A5"/>
    <w:rsid w:val="00735293"/>
    <w:rsid w:val="00735376"/>
    <w:rsid w:val="00736038"/>
    <w:rsid w:val="007363EA"/>
    <w:rsid w:val="00736A02"/>
    <w:rsid w:val="00736E06"/>
    <w:rsid w:val="00736E37"/>
    <w:rsid w:val="00737286"/>
    <w:rsid w:val="007373DB"/>
    <w:rsid w:val="00737847"/>
    <w:rsid w:val="00737F27"/>
    <w:rsid w:val="00737FD3"/>
    <w:rsid w:val="00740240"/>
    <w:rsid w:val="007407DB"/>
    <w:rsid w:val="0074096D"/>
    <w:rsid w:val="00740BFC"/>
    <w:rsid w:val="00740F76"/>
    <w:rsid w:val="00741037"/>
    <w:rsid w:val="007422B3"/>
    <w:rsid w:val="007424BF"/>
    <w:rsid w:val="007435F1"/>
    <w:rsid w:val="00743BC1"/>
    <w:rsid w:val="00743DDD"/>
    <w:rsid w:val="00744625"/>
    <w:rsid w:val="007446BB"/>
    <w:rsid w:val="00744AF1"/>
    <w:rsid w:val="00745882"/>
    <w:rsid w:val="00745A04"/>
    <w:rsid w:val="00745A0F"/>
    <w:rsid w:val="00745DFD"/>
    <w:rsid w:val="00746197"/>
    <w:rsid w:val="0074689C"/>
    <w:rsid w:val="00746B3F"/>
    <w:rsid w:val="00747117"/>
    <w:rsid w:val="007479C2"/>
    <w:rsid w:val="00747B0D"/>
    <w:rsid w:val="00751452"/>
    <w:rsid w:val="007521A5"/>
    <w:rsid w:val="007524EE"/>
    <w:rsid w:val="00752E99"/>
    <w:rsid w:val="00753959"/>
    <w:rsid w:val="00753DD6"/>
    <w:rsid w:val="007541DF"/>
    <w:rsid w:val="00754A4A"/>
    <w:rsid w:val="00755F9F"/>
    <w:rsid w:val="007566FB"/>
    <w:rsid w:val="007567A8"/>
    <w:rsid w:val="00756D6A"/>
    <w:rsid w:val="00757EE2"/>
    <w:rsid w:val="0076043F"/>
    <w:rsid w:val="00760F66"/>
    <w:rsid w:val="007611F8"/>
    <w:rsid w:val="00761200"/>
    <w:rsid w:val="00761931"/>
    <w:rsid w:val="00761BD1"/>
    <w:rsid w:val="00762323"/>
    <w:rsid w:val="007627BA"/>
    <w:rsid w:val="0076291E"/>
    <w:rsid w:val="00762C76"/>
    <w:rsid w:val="00762D81"/>
    <w:rsid w:val="0076317B"/>
    <w:rsid w:val="007643D5"/>
    <w:rsid w:val="00765366"/>
    <w:rsid w:val="00765914"/>
    <w:rsid w:val="00765AC2"/>
    <w:rsid w:val="0076614D"/>
    <w:rsid w:val="0076624C"/>
    <w:rsid w:val="0076627D"/>
    <w:rsid w:val="00766304"/>
    <w:rsid w:val="00766648"/>
    <w:rsid w:val="00767A28"/>
    <w:rsid w:val="00767DCE"/>
    <w:rsid w:val="00767DD2"/>
    <w:rsid w:val="00770264"/>
    <w:rsid w:val="0077082B"/>
    <w:rsid w:val="00770E60"/>
    <w:rsid w:val="00771324"/>
    <w:rsid w:val="00771C8F"/>
    <w:rsid w:val="0077266E"/>
    <w:rsid w:val="0077292E"/>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74AE"/>
    <w:rsid w:val="00777E7E"/>
    <w:rsid w:val="00777EFA"/>
    <w:rsid w:val="007804DD"/>
    <w:rsid w:val="00780EC1"/>
    <w:rsid w:val="00780F3B"/>
    <w:rsid w:val="0078115B"/>
    <w:rsid w:val="007816EE"/>
    <w:rsid w:val="00781B0F"/>
    <w:rsid w:val="00781EAD"/>
    <w:rsid w:val="00782071"/>
    <w:rsid w:val="00782783"/>
    <w:rsid w:val="00782946"/>
    <w:rsid w:val="00782ECD"/>
    <w:rsid w:val="00782F44"/>
    <w:rsid w:val="0078363B"/>
    <w:rsid w:val="00783CCF"/>
    <w:rsid w:val="00783F5B"/>
    <w:rsid w:val="00784609"/>
    <w:rsid w:val="00784720"/>
    <w:rsid w:val="0078481D"/>
    <w:rsid w:val="007848C8"/>
    <w:rsid w:val="00784BE8"/>
    <w:rsid w:val="007859FC"/>
    <w:rsid w:val="00785F1E"/>
    <w:rsid w:val="00785F4C"/>
    <w:rsid w:val="0078609C"/>
    <w:rsid w:val="00786355"/>
    <w:rsid w:val="00787370"/>
    <w:rsid w:val="007874AE"/>
    <w:rsid w:val="0078750B"/>
    <w:rsid w:val="00787F5E"/>
    <w:rsid w:val="0079024D"/>
    <w:rsid w:val="00791069"/>
    <w:rsid w:val="007911B8"/>
    <w:rsid w:val="00791D00"/>
    <w:rsid w:val="00791DAE"/>
    <w:rsid w:val="007930E8"/>
    <w:rsid w:val="00793A57"/>
    <w:rsid w:val="00793A9C"/>
    <w:rsid w:val="00793AA6"/>
    <w:rsid w:val="00793F28"/>
    <w:rsid w:val="007944D2"/>
    <w:rsid w:val="00794B19"/>
    <w:rsid w:val="00794FFA"/>
    <w:rsid w:val="00795B8D"/>
    <w:rsid w:val="00795E34"/>
    <w:rsid w:val="00795F0E"/>
    <w:rsid w:val="00796495"/>
    <w:rsid w:val="00797063"/>
    <w:rsid w:val="00797D8F"/>
    <w:rsid w:val="007A0C00"/>
    <w:rsid w:val="007A0E15"/>
    <w:rsid w:val="007A176E"/>
    <w:rsid w:val="007A19BF"/>
    <w:rsid w:val="007A2850"/>
    <w:rsid w:val="007A2A69"/>
    <w:rsid w:val="007A2CF1"/>
    <w:rsid w:val="007A384E"/>
    <w:rsid w:val="007A4140"/>
    <w:rsid w:val="007A41B5"/>
    <w:rsid w:val="007A4486"/>
    <w:rsid w:val="007A4682"/>
    <w:rsid w:val="007A5879"/>
    <w:rsid w:val="007A58A8"/>
    <w:rsid w:val="007A5BDC"/>
    <w:rsid w:val="007A629D"/>
    <w:rsid w:val="007A6610"/>
    <w:rsid w:val="007A6D51"/>
    <w:rsid w:val="007A6DD3"/>
    <w:rsid w:val="007A6FF3"/>
    <w:rsid w:val="007A7169"/>
    <w:rsid w:val="007A71DC"/>
    <w:rsid w:val="007A7A04"/>
    <w:rsid w:val="007B04FF"/>
    <w:rsid w:val="007B0976"/>
    <w:rsid w:val="007B0CAC"/>
    <w:rsid w:val="007B15F3"/>
    <w:rsid w:val="007B1701"/>
    <w:rsid w:val="007B1C32"/>
    <w:rsid w:val="007B1DBB"/>
    <w:rsid w:val="007B2319"/>
    <w:rsid w:val="007B2FBF"/>
    <w:rsid w:val="007B3E13"/>
    <w:rsid w:val="007B4044"/>
    <w:rsid w:val="007B4046"/>
    <w:rsid w:val="007B4300"/>
    <w:rsid w:val="007B565C"/>
    <w:rsid w:val="007B595F"/>
    <w:rsid w:val="007B5B7E"/>
    <w:rsid w:val="007B5D75"/>
    <w:rsid w:val="007B6D5E"/>
    <w:rsid w:val="007B7115"/>
    <w:rsid w:val="007B736B"/>
    <w:rsid w:val="007C012E"/>
    <w:rsid w:val="007C055A"/>
    <w:rsid w:val="007C0853"/>
    <w:rsid w:val="007C0C90"/>
    <w:rsid w:val="007C0E07"/>
    <w:rsid w:val="007C0E86"/>
    <w:rsid w:val="007C192C"/>
    <w:rsid w:val="007C249E"/>
    <w:rsid w:val="007C26CF"/>
    <w:rsid w:val="007C271B"/>
    <w:rsid w:val="007C2C14"/>
    <w:rsid w:val="007C389D"/>
    <w:rsid w:val="007C3A55"/>
    <w:rsid w:val="007C404B"/>
    <w:rsid w:val="007C4166"/>
    <w:rsid w:val="007C44E1"/>
    <w:rsid w:val="007C48DD"/>
    <w:rsid w:val="007C4A05"/>
    <w:rsid w:val="007C5711"/>
    <w:rsid w:val="007C57B9"/>
    <w:rsid w:val="007C6325"/>
    <w:rsid w:val="007C73A3"/>
    <w:rsid w:val="007C767E"/>
    <w:rsid w:val="007C7975"/>
    <w:rsid w:val="007C7EF5"/>
    <w:rsid w:val="007D06AC"/>
    <w:rsid w:val="007D0741"/>
    <w:rsid w:val="007D0997"/>
    <w:rsid w:val="007D0A53"/>
    <w:rsid w:val="007D0FFC"/>
    <w:rsid w:val="007D1013"/>
    <w:rsid w:val="007D19EC"/>
    <w:rsid w:val="007D2608"/>
    <w:rsid w:val="007D30C3"/>
    <w:rsid w:val="007D35AC"/>
    <w:rsid w:val="007D36B1"/>
    <w:rsid w:val="007D36D7"/>
    <w:rsid w:val="007D3BA1"/>
    <w:rsid w:val="007D3EC8"/>
    <w:rsid w:val="007D40AC"/>
    <w:rsid w:val="007D4317"/>
    <w:rsid w:val="007D4C12"/>
    <w:rsid w:val="007D57E0"/>
    <w:rsid w:val="007D5946"/>
    <w:rsid w:val="007D5962"/>
    <w:rsid w:val="007D5A2B"/>
    <w:rsid w:val="007D6213"/>
    <w:rsid w:val="007D63B2"/>
    <w:rsid w:val="007D651D"/>
    <w:rsid w:val="007D6E78"/>
    <w:rsid w:val="007D71B7"/>
    <w:rsid w:val="007D7C66"/>
    <w:rsid w:val="007D7CF3"/>
    <w:rsid w:val="007E0274"/>
    <w:rsid w:val="007E02A7"/>
    <w:rsid w:val="007E0415"/>
    <w:rsid w:val="007E0991"/>
    <w:rsid w:val="007E0AFE"/>
    <w:rsid w:val="007E0B2C"/>
    <w:rsid w:val="007E0BD1"/>
    <w:rsid w:val="007E107F"/>
    <w:rsid w:val="007E2FD7"/>
    <w:rsid w:val="007E310B"/>
    <w:rsid w:val="007E38DA"/>
    <w:rsid w:val="007E3D65"/>
    <w:rsid w:val="007E3EE2"/>
    <w:rsid w:val="007E47E7"/>
    <w:rsid w:val="007E4A68"/>
    <w:rsid w:val="007E4A98"/>
    <w:rsid w:val="007E4EB6"/>
    <w:rsid w:val="007E5DD7"/>
    <w:rsid w:val="007E6FB9"/>
    <w:rsid w:val="007E7139"/>
    <w:rsid w:val="007E7366"/>
    <w:rsid w:val="007E7EA1"/>
    <w:rsid w:val="007E7EA4"/>
    <w:rsid w:val="007F03CE"/>
    <w:rsid w:val="007F04D3"/>
    <w:rsid w:val="007F1095"/>
    <w:rsid w:val="007F137D"/>
    <w:rsid w:val="007F17B5"/>
    <w:rsid w:val="007F245F"/>
    <w:rsid w:val="007F2D8D"/>
    <w:rsid w:val="007F2EBF"/>
    <w:rsid w:val="007F3044"/>
    <w:rsid w:val="007F3249"/>
    <w:rsid w:val="007F3704"/>
    <w:rsid w:val="007F4657"/>
    <w:rsid w:val="007F494A"/>
    <w:rsid w:val="007F5609"/>
    <w:rsid w:val="007F5625"/>
    <w:rsid w:val="007F568A"/>
    <w:rsid w:val="007F59F7"/>
    <w:rsid w:val="007F5E21"/>
    <w:rsid w:val="007F6413"/>
    <w:rsid w:val="007F6761"/>
    <w:rsid w:val="007F676E"/>
    <w:rsid w:val="007F6B11"/>
    <w:rsid w:val="007F6E2B"/>
    <w:rsid w:val="007F7D12"/>
    <w:rsid w:val="007F7F02"/>
    <w:rsid w:val="00800258"/>
    <w:rsid w:val="00800C97"/>
    <w:rsid w:val="0080153D"/>
    <w:rsid w:val="0080220F"/>
    <w:rsid w:val="008026A7"/>
    <w:rsid w:val="00802735"/>
    <w:rsid w:val="008028C2"/>
    <w:rsid w:val="00802DDB"/>
    <w:rsid w:val="0080379D"/>
    <w:rsid w:val="008037D8"/>
    <w:rsid w:val="00803B7E"/>
    <w:rsid w:val="00803DA6"/>
    <w:rsid w:val="008040D9"/>
    <w:rsid w:val="0080436E"/>
    <w:rsid w:val="00804937"/>
    <w:rsid w:val="00804E1E"/>
    <w:rsid w:val="00804E43"/>
    <w:rsid w:val="008050F5"/>
    <w:rsid w:val="0080519C"/>
    <w:rsid w:val="0080553F"/>
    <w:rsid w:val="00805E48"/>
    <w:rsid w:val="00807ADD"/>
    <w:rsid w:val="00810BC2"/>
    <w:rsid w:val="00811683"/>
    <w:rsid w:val="00811AFF"/>
    <w:rsid w:val="00812373"/>
    <w:rsid w:val="00812D30"/>
    <w:rsid w:val="00813F3A"/>
    <w:rsid w:val="008140E8"/>
    <w:rsid w:val="008148D4"/>
    <w:rsid w:val="0081491F"/>
    <w:rsid w:val="00814941"/>
    <w:rsid w:val="00814A65"/>
    <w:rsid w:val="00814BD9"/>
    <w:rsid w:val="008158AC"/>
    <w:rsid w:val="00816805"/>
    <w:rsid w:val="008168E2"/>
    <w:rsid w:val="00816BE8"/>
    <w:rsid w:val="00816CD5"/>
    <w:rsid w:val="00816DBD"/>
    <w:rsid w:val="00816FE2"/>
    <w:rsid w:val="00817062"/>
    <w:rsid w:val="00817991"/>
    <w:rsid w:val="00817F58"/>
    <w:rsid w:val="008203C5"/>
    <w:rsid w:val="0082046A"/>
    <w:rsid w:val="00820B84"/>
    <w:rsid w:val="0082199B"/>
    <w:rsid w:val="00821C2A"/>
    <w:rsid w:val="008227B7"/>
    <w:rsid w:val="008243A8"/>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13E0"/>
    <w:rsid w:val="008317EC"/>
    <w:rsid w:val="0083195D"/>
    <w:rsid w:val="00831B7B"/>
    <w:rsid w:val="00831D90"/>
    <w:rsid w:val="008324F3"/>
    <w:rsid w:val="00832691"/>
    <w:rsid w:val="0083296B"/>
    <w:rsid w:val="00832B8A"/>
    <w:rsid w:val="00833547"/>
    <w:rsid w:val="00833852"/>
    <w:rsid w:val="00833AB9"/>
    <w:rsid w:val="00833B62"/>
    <w:rsid w:val="00834820"/>
    <w:rsid w:val="00834C82"/>
    <w:rsid w:val="00834DB6"/>
    <w:rsid w:val="00834F93"/>
    <w:rsid w:val="00835627"/>
    <w:rsid w:val="00835F6D"/>
    <w:rsid w:val="008375DA"/>
    <w:rsid w:val="00840C4A"/>
    <w:rsid w:val="008411B9"/>
    <w:rsid w:val="0084122F"/>
    <w:rsid w:val="00841573"/>
    <w:rsid w:val="00841D08"/>
    <w:rsid w:val="00842D43"/>
    <w:rsid w:val="00842F64"/>
    <w:rsid w:val="0084323E"/>
    <w:rsid w:val="00843D50"/>
    <w:rsid w:val="008441D9"/>
    <w:rsid w:val="0084464E"/>
    <w:rsid w:val="008455E6"/>
    <w:rsid w:val="008458BF"/>
    <w:rsid w:val="00846262"/>
    <w:rsid w:val="00846370"/>
    <w:rsid w:val="008463E8"/>
    <w:rsid w:val="00847665"/>
    <w:rsid w:val="00847BC5"/>
    <w:rsid w:val="00847F11"/>
    <w:rsid w:val="00850010"/>
    <w:rsid w:val="008503F4"/>
    <w:rsid w:val="008504A0"/>
    <w:rsid w:val="00850AC1"/>
    <w:rsid w:val="00850C2A"/>
    <w:rsid w:val="00850DFA"/>
    <w:rsid w:val="00851331"/>
    <w:rsid w:val="008516D1"/>
    <w:rsid w:val="00852003"/>
    <w:rsid w:val="0085212C"/>
    <w:rsid w:val="00852988"/>
    <w:rsid w:val="00852F9E"/>
    <w:rsid w:val="00853FD8"/>
    <w:rsid w:val="00854053"/>
    <w:rsid w:val="008543AC"/>
    <w:rsid w:val="008548B8"/>
    <w:rsid w:val="00854965"/>
    <w:rsid w:val="00855298"/>
    <w:rsid w:val="008554D1"/>
    <w:rsid w:val="008558E0"/>
    <w:rsid w:val="008569E0"/>
    <w:rsid w:val="00857AF7"/>
    <w:rsid w:val="00857BE5"/>
    <w:rsid w:val="00860109"/>
    <w:rsid w:val="008601BD"/>
    <w:rsid w:val="00860359"/>
    <w:rsid w:val="00860E43"/>
    <w:rsid w:val="00861252"/>
    <w:rsid w:val="0086171A"/>
    <w:rsid w:val="0086226C"/>
    <w:rsid w:val="00863237"/>
    <w:rsid w:val="00863C07"/>
    <w:rsid w:val="008640B7"/>
    <w:rsid w:val="008644A4"/>
    <w:rsid w:val="00864A6C"/>
    <w:rsid w:val="00864BB1"/>
    <w:rsid w:val="00864DF7"/>
    <w:rsid w:val="00865278"/>
    <w:rsid w:val="008654F9"/>
    <w:rsid w:val="008658C0"/>
    <w:rsid w:val="008660F7"/>
    <w:rsid w:val="00866388"/>
    <w:rsid w:val="0086644B"/>
    <w:rsid w:val="00866FE3"/>
    <w:rsid w:val="0086722D"/>
    <w:rsid w:val="00867AD8"/>
    <w:rsid w:val="00867C04"/>
    <w:rsid w:val="00867D56"/>
    <w:rsid w:val="00867D70"/>
    <w:rsid w:val="00870646"/>
    <w:rsid w:val="008706C3"/>
    <w:rsid w:val="00870BAA"/>
    <w:rsid w:val="00870D91"/>
    <w:rsid w:val="008716D1"/>
    <w:rsid w:val="008716ED"/>
    <w:rsid w:val="008718AD"/>
    <w:rsid w:val="0087193F"/>
    <w:rsid w:val="008724E6"/>
    <w:rsid w:val="008728C8"/>
    <w:rsid w:val="00873205"/>
    <w:rsid w:val="008735E8"/>
    <w:rsid w:val="0087377E"/>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80017"/>
    <w:rsid w:val="00880305"/>
    <w:rsid w:val="0088088A"/>
    <w:rsid w:val="00880A3F"/>
    <w:rsid w:val="00880EE2"/>
    <w:rsid w:val="008813BC"/>
    <w:rsid w:val="00881732"/>
    <w:rsid w:val="008818A2"/>
    <w:rsid w:val="00881FF9"/>
    <w:rsid w:val="0088213D"/>
    <w:rsid w:val="008821C6"/>
    <w:rsid w:val="0088243D"/>
    <w:rsid w:val="0088251A"/>
    <w:rsid w:val="00882D28"/>
    <w:rsid w:val="008836A3"/>
    <w:rsid w:val="00883A67"/>
    <w:rsid w:val="008848E9"/>
    <w:rsid w:val="00884FD8"/>
    <w:rsid w:val="00885244"/>
    <w:rsid w:val="008857C7"/>
    <w:rsid w:val="008858B3"/>
    <w:rsid w:val="00885BF6"/>
    <w:rsid w:val="008866CF"/>
    <w:rsid w:val="00886782"/>
    <w:rsid w:val="008869A1"/>
    <w:rsid w:val="00886B3F"/>
    <w:rsid w:val="0088727A"/>
    <w:rsid w:val="00887686"/>
    <w:rsid w:val="0089015D"/>
    <w:rsid w:val="0089021A"/>
    <w:rsid w:val="0089022E"/>
    <w:rsid w:val="00890475"/>
    <w:rsid w:val="00890A7C"/>
    <w:rsid w:val="00890D11"/>
    <w:rsid w:val="008910EE"/>
    <w:rsid w:val="00891A26"/>
    <w:rsid w:val="008923F8"/>
    <w:rsid w:val="008928F1"/>
    <w:rsid w:val="00892BBF"/>
    <w:rsid w:val="00892DB5"/>
    <w:rsid w:val="0089346D"/>
    <w:rsid w:val="008935AB"/>
    <w:rsid w:val="00893F27"/>
    <w:rsid w:val="008942BD"/>
    <w:rsid w:val="0089478A"/>
    <w:rsid w:val="0089480A"/>
    <w:rsid w:val="00894FE5"/>
    <w:rsid w:val="00895658"/>
    <w:rsid w:val="008956DA"/>
    <w:rsid w:val="00895BA9"/>
    <w:rsid w:val="00895D79"/>
    <w:rsid w:val="0089601B"/>
    <w:rsid w:val="0089647F"/>
    <w:rsid w:val="0089655D"/>
    <w:rsid w:val="00896784"/>
    <w:rsid w:val="00896C56"/>
    <w:rsid w:val="00897051"/>
    <w:rsid w:val="00897824"/>
    <w:rsid w:val="00897BCB"/>
    <w:rsid w:val="00897C07"/>
    <w:rsid w:val="00897DBA"/>
    <w:rsid w:val="008A02FA"/>
    <w:rsid w:val="008A06A8"/>
    <w:rsid w:val="008A1AAC"/>
    <w:rsid w:val="008A20CA"/>
    <w:rsid w:val="008A239B"/>
    <w:rsid w:val="008A2505"/>
    <w:rsid w:val="008A2956"/>
    <w:rsid w:val="008A2EA1"/>
    <w:rsid w:val="008A2EF6"/>
    <w:rsid w:val="008A3480"/>
    <w:rsid w:val="008A3642"/>
    <w:rsid w:val="008A4F3C"/>
    <w:rsid w:val="008A51AD"/>
    <w:rsid w:val="008A53BA"/>
    <w:rsid w:val="008A551D"/>
    <w:rsid w:val="008A56BA"/>
    <w:rsid w:val="008A570A"/>
    <w:rsid w:val="008A58E4"/>
    <w:rsid w:val="008A58E7"/>
    <w:rsid w:val="008A5C1D"/>
    <w:rsid w:val="008A615A"/>
    <w:rsid w:val="008A6357"/>
    <w:rsid w:val="008A650C"/>
    <w:rsid w:val="008A6A36"/>
    <w:rsid w:val="008A6CB9"/>
    <w:rsid w:val="008A6DC1"/>
    <w:rsid w:val="008A7083"/>
    <w:rsid w:val="008A7100"/>
    <w:rsid w:val="008A7139"/>
    <w:rsid w:val="008A776D"/>
    <w:rsid w:val="008A7BB8"/>
    <w:rsid w:val="008A7C74"/>
    <w:rsid w:val="008B03BD"/>
    <w:rsid w:val="008B04C0"/>
    <w:rsid w:val="008B09E1"/>
    <w:rsid w:val="008B0A83"/>
    <w:rsid w:val="008B0DCF"/>
    <w:rsid w:val="008B0E93"/>
    <w:rsid w:val="008B0F8D"/>
    <w:rsid w:val="008B198D"/>
    <w:rsid w:val="008B23A8"/>
    <w:rsid w:val="008B25AB"/>
    <w:rsid w:val="008B29A4"/>
    <w:rsid w:val="008B2BB4"/>
    <w:rsid w:val="008B2C30"/>
    <w:rsid w:val="008B3C2B"/>
    <w:rsid w:val="008B4679"/>
    <w:rsid w:val="008B4D00"/>
    <w:rsid w:val="008B4D13"/>
    <w:rsid w:val="008B4E78"/>
    <w:rsid w:val="008B4FE2"/>
    <w:rsid w:val="008B61A1"/>
    <w:rsid w:val="008B66D8"/>
    <w:rsid w:val="008B66EE"/>
    <w:rsid w:val="008B6793"/>
    <w:rsid w:val="008B6E87"/>
    <w:rsid w:val="008B75C2"/>
    <w:rsid w:val="008B787A"/>
    <w:rsid w:val="008C0219"/>
    <w:rsid w:val="008C0A89"/>
    <w:rsid w:val="008C0AA9"/>
    <w:rsid w:val="008C0E71"/>
    <w:rsid w:val="008C1852"/>
    <w:rsid w:val="008C2CFF"/>
    <w:rsid w:val="008C2E1E"/>
    <w:rsid w:val="008C2E22"/>
    <w:rsid w:val="008C2ED2"/>
    <w:rsid w:val="008C3612"/>
    <w:rsid w:val="008C3D4D"/>
    <w:rsid w:val="008C4026"/>
    <w:rsid w:val="008C417E"/>
    <w:rsid w:val="008C4E31"/>
    <w:rsid w:val="008C5B51"/>
    <w:rsid w:val="008C5F0A"/>
    <w:rsid w:val="008C6105"/>
    <w:rsid w:val="008C6124"/>
    <w:rsid w:val="008C6334"/>
    <w:rsid w:val="008C66BD"/>
    <w:rsid w:val="008C6968"/>
    <w:rsid w:val="008C742A"/>
    <w:rsid w:val="008C74C7"/>
    <w:rsid w:val="008C7714"/>
    <w:rsid w:val="008C7F4F"/>
    <w:rsid w:val="008D00F3"/>
    <w:rsid w:val="008D0241"/>
    <w:rsid w:val="008D0B34"/>
    <w:rsid w:val="008D0F27"/>
    <w:rsid w:val="008D11F0"/>
    <w:rsid w:val="008D15A2"/>
    <w:rsid w:val="008D18CD"/>
    <w:rsid w:val="008D1F86"/>
    <w:rsid w:val="008D20E0"/>
    <w:rsid w:val="008D2B6E"/>
    <w:rsid w:val="008D335C"/>
    <w:rsid w:val="008D35B7"/>
    <w:rsid w:val="008D4007"/>
    <w:rsid w:val="008D436A"/>
    <w:rsid w:val="008D4C72"/>
    <w:rsid w:val="008D4CF8"/>
    <w:rsid w:val="008D5246"/>
    <w:rsid w:val="008D5291"/>
    <w:rsid w:val="008D5368"/>
    <w:rsid w:val="008D561B"/>
    <w:rsid w:val="008D582B"/>
    <w:rsid w:val="008D5CF9"/>
    <w:rsid w:val="008D5D0A"/>
    <w:rsid w:val="008D6199"/>
    <w:rsid w:val="008D64B9"/>
    <w:rsid w:val="008D6794"/>
    <w:rsid w:val="008D76AC"/>
    <w:rsid w:val="008D7F65"/>
    <w:rsid w:val="008E0178"/>
    <w:rsid w:val="008E02F8"/>
    <w:rsid w:val="008E12AF"/>
    <w:rsid w:val="008E1342"/>
    <w:rsid w:val="008E1DC9"/>
    <w:rsid w:val="008E211C"/>
    <w:rsid w:val="008E28EC"/>
    <w:rsid w:val="008E2BB3"/>
    <w:rsid w:val="008E2BC5"/>
    <w:rsid w:val="008E2C79"/>
    <w:rsid w:val="008E3176"/>
    <w:rsid w:val="008E3564"/>
    <w:rsid w:val="008E3A0B"/>
    <w:rsid w:val="008E3A90"/>
    <w:rsid w:val="008E3AAB"/>
    <w:rsid w:val="008E3F34"/>
    <w:rsid w:val="008E4043"/>
    <w:rsid w:val="008E4520"/>
    <w:rsid w:val="008E54E8"/>
    <w:rsid w:val="008E5740"/>
    <w:rsid w:val="008E5868"/>
    <w:rsid w:val="008E5ADB"/>
    <w:rsid w:val="008E5DC8"/>
    <w:rsid w:val="008E6465"/>
    <w:rsid w:val="008E6C57"/>
    <w:rsid w:val="008E7082"/>
    <w:rsid w:val="008E72AF"/>
    <w:rsid w:val="008F0952"/>
    <w:rsid w:val="008F1154"/>
    <w:rsid w:val="008F1B84"/>
    <w:rsid w:val="008F1B9D"/>
    <w:rsid w:val="008F1DB6"/>
    <w:rsid w:val="008F337C"/>
    <w:rsid w:val="008F39C0"/>
    <w:rsid w:val="008F39E4"/>
    <w:rsid w:val="008F4610"/>
    <w:rsid w:val="008F51F0"/>
    <w:rsid w:val="008F57CD"/>
    <w:rsid w:val="008F5960"/>
    <w:rsid w:val="008F5CD0"/>
    <w:rsid w:val="008F629A"/>
    <w:rsid w:val="008F6A9B"/>
    <w:rsid w:val="008F6F03"/>
    <w:rsid w:val="008F7603"/>
    <w:rsid w:val="008F769D"/>
    <w:rsid w:val="008F76B7"/>
    <w:rsid w:val="008F76DC"/>
    <w:rsid w:val="008F7AC5"/>
    <w:rsid w:val="008F7D2F"/>
    <w:rsid w:val="008F7E68"/>
    <w:rsid w:val="009013C5"/>
    <w:rsid w:val="0090147B"/>
    <w:rsid w:val="00901649"/>
    <w:rsid w:val="00901CBA"/>
    <w:rsid w:val="00901DC6"/>
    <w:rsid w:val="00901EEE"/>
    <w:rsid w:val="009021DC"/>
    <w:rsid w:val="00902EFD"/>
    <w:rsid w:val="00903026"/>
    <w:rsid w:val="0090357B"/>
    <w:rsid w:val="00903832"/>
    <w:rsid w:val="009042D0"/>
    <w:rsid w:val="009044BE"/>
    <w:rsid w:val="009048EB"/>
    <w:rsid w:val="00904913"/>
    <w:rsid w:val="00904C15"/>
    <w:rsid w:val="009050B3"/>
    <w:rsid w:val="00905298"/>
    <w:rsid w:val="00905945"/>
    <w:rsid w:val="00905FEB"/>
    <w:rsid w:val="00906164"/>
    <w:rsid w:val="00906252"/>
    <w:rsid w:val="0090672E"/>
    <w:rsid w:val="00906A4F"/>
    <w:rsid w:val="00906BD6"/>
    <w:rsid w:val="00907074"/>
    <w:rsid w:val="009073C7"/>
    <w:rsid w:val="009078BA"/>
    <w:rsid w:val="009079C7"/>
    <w:rsid w:val="009079F7"/>
    <w:rsid w:val="00907B44"/>
    <w:rsid w:val="00907C33"/>
    <w:rsid w:val="009108D2"/>
    <w:rsid w:val="00910C20"/>
    <w:rsid w:val="00910FE1"/>
    <w:rsid w:val="0091106A"/>
    <w:rsid w:val="00911C09"/>
    <w:rsid w:val="00911D1C"/>
    <w:rsid w:val="00912F38"/>
    <w:rsid w:val="0091340D"/>
    <w:rsid w:val="00913C58"/>
    <w:rsid w:val="00913D36"/>
    <w:rsid w:val="009140B4"/>
    <w:rsid w:val="00914174"/>
    <w:rsid w:val="0091428A"/>
    <w:rsid w:val="00914733"/>
    <w:rsid w:val="0091495E"/>
    <w:rsid w:val="00914AA5"/>
    <w:rsid w:val="00914EAF"/>
    <w:rsid w:val="00915428"/>
    <w:rsid w:val="009162DD"/>
    <w:rsid w:val="009163E7"/>
    <w:rsid w:val="0091670A"/>
    <w:rsid w:val="0091671A"/>
    <w:rsid w:val="009169F6"/>
    <w:rsid w:val="009170FD"/>
    <w:rsid w:val="0091719D"/>
    <w:rsid w:val="00917903"/>
    <w:rsid w:val="00917BEA"/>
    <w:rsid w:val="00920189"/>
    <w:rsid w:val="00920203"/>
    <w:rsid w:val="00920997"/>
    <w:rsid w:val="00920B1E"/>
    <w:rsid w:val="00920DD5"/>
    <w:rsid w:val="00921161"/>
    <w:rsid w:val="00922492"/>
    <w:rsid w:val="009224EB"/>
    <w:rsid w:val="0092272F"/>
    <w:rsid w:val="00922BE2"/>
    <w:rsid w:val="00922EDE"/>
    <w:rsid w:val="009237D9"/>
    <w:rsid w:val="0092406C"/>
    <w:rsid w:val="00924096"/>
    <w:rsid w:val="009243BC"/>
    <w:rsid w:val="009244D5"/>
    <w:rsid w:val="00925049"/>
    <w:rsid w:val="0092523A"/>
    <w:rsid w:val="009252F1"/>
    <w:rsid w:val="00925588"/>
    <w:rsid w:val="00925733"/>
    <w:rsid w:val="00925AF5"/>
    <w:rsid w:val="00926244"/>
    <w:rsid w:val="00926268"/>
    <w:rsid w:val="009264A2"/>
    <w:rsid w:val="0092715D"/>
    <w:rsid w:val="00927299"/>
    <w:rsid w:val="009278F0"/>
    <w:rsid w:val="00930632"/>
    <w:rsid w:val="009310BC"/>
    <w:rsid w:val="00931D3F"/>
    <w:rsid w:val="009324C4"/>
    <w:rsid w:val="00932671"/>
    <w:rsid w:val="00932A7A"/>
    <w:rsid w:val="00932D26"/>
    <w:rsid w:val="009330BF"/>
    <w:rsid w:val="00933817"/>
    <w:rsid w:val="009340EB"/>
    <w:rsid w:val="00934510"/>
    <w:rsid w:val="0093476C"/>
    <w:rsid w:val="00935A1E"/>
    <w:rsid w:val="00935AA3"/>
    <w:rsid w:val="00935B7C"/>
    <w:rsid w:val="00935E3A"/>
    <w:rsid w:val="00936005"/>
    <w:rsid w:val="0093607C"/>
    <w:rsid w:val="009368F4"/>
    <w:rsid w:val="00940008"/>
    <w:rsid w:val="00940FFA"/>
    <w:rsid w:val="00941010"/>
    <w:rsid w:val="00941503"/>
    <w:rsid w:val="0094187D"/>
    <w:rsid w:val="009423ED"/>
    <w:rsid w:val="00942C90"/>
    <w:rsid w:val="00942F29"/>
    <w:rsid w:val="00942FB6"/>
    <w:rsid w:val="009430E1"/>
    <w:rsid w:val="009434EB"/>
    <w:rsid w:val="00943EA6"/>
    <w:rsid w:val="009443F2"/>
    <w:rsid w:val="009448F2"/>
    <w:rsid w:val="009451E0"/>
    <w:rsid w:val="0094524B"/>
    <w:rsid w:val="00945262"/>
    <w:rsid w:val="009456E3"/>
    <w:rsid w:val="00945759"/>
    <w:rsid w:val="00945925"/>
    <w:rsid w:val="009466E9"/>
    <w:rsid w:val="00946CB3"/>
    <w:rsid w:val="00946D20"/>
    <w:rsid w:val="00946E51"/>
    <w:rsid w:val="009473F4"/>
    <w:rsid w:val="0094767D"/>
    <w:rsid w:val="00950231"/>
    <w:rsid w:val="00950794"/>
    <w:rsid w:val="009507AA"/>
    <w:rsid w:val="009509EF"/>
    <w:rsid w:val="009512DC"/>
    <w:rsid w:val="009515CA"/>
    <w:rsid w:val="00951691"/>
    <w:rsid w:val="00951FCE"/>
    <w:rsid w:val="009521CC"/>
    <w:rsid w:val="0095226C"/>
    <w:rsid w:val="0095269B"/>
    <w:rsid w:val="00952C05"/>
    <w:rsid w:val="00952D52"/>
    <w:rsid w:val="009540B7"/>
    <w:rsid w:val="009543D0"/>
    <w:rsid w:val="00954AF9"/>
    <w:rsid w:val="00954DAE"/>
    <w:rsid w:val="00955410"/>
    <w:rsid w:val="009558EE"/>
    <w:rsid w:val="009559D5"/>
    <w:rsid w:val="00955C17"/>
    <w:rsid w:val="00955FFA"/>
    <w:rsid w:val="00956170"/>
    <w:rsid w:val="009561F8"/>
    <w:rsid w:val="00956BA1"/>
    <w:rsid w:val="00956D42"/>
    <w:rsid w:val="00956F0F"/>
    <w:rsid w:val="0095727F"/>
    <w:rsid w:val="009572AF"/>
    <w:rsid w:val="00957E41"/>
    <w:rsid w:val="0096016E"/>
    <w:rsid w:val="0096023A"/>
    <w:rsid w:val="009607AB"/>
    <w:rsid w:val="00961154"/>
    <w:rsid w:val="009615DB"/>
    <w:rsid w:val="00962683"/>
    <w:rsid w:val="00962ADC"/>
    <w:rsid w:val="00962E23"/>
    <w:rsid w:val="0096487C"/>
    <w:rsid w:val="00964BC2"/>
    <w:rsid w:val="00964D4A"/>
    <w:rsid w:val="00964EAE"/>
    <w:rsid w:val="00965023"/>
    <w:rsid w:val="009650B7"/>
    <w:rsid w:val="0096515D"/>
    <w:rsid w:val="0096554B"/>
    <w:rsid w:val="00965841"/>
    <w:rsid w:val="00966623"/>
    <w:rsid w:val="009678DB"/>
    <w:rsid w:val="00970728"/>
    <w:rsid w:val="009707C9"/>
    <w:rsid w:val="009712CD"/>
    <w:rsid w:val="00971303"/>
    <w:rsid w:val="00971E0B"/>
    <w:rsid w:val="00972101"/>
    <w:rsid w:val="00972285"/>
    <w:rsid w:val="00972FB5"/>
    <w:rsid w:val="00973607"/>
    <w:rsid w:val="009736FE"/>
    <w:rsid w:val="00973B96"/>
    <w:rsid w:val="00973E3C"/>
    <w:rsid w:val="00974763"/>
    <w:rsid w:val="009757CA"/>
    <w:rsid w:val="00976E76"/>
    <w:rsid w:val="00977A14"/>
    <w:rsid w:val="00977E9B"/>
    <w:rsid w:val="009807BF"/>
    <w:rsid w:val="009809CE"/>
    <w:rsid w:val="0098131F"/>
    <w:rsid w:val="00981479"/>
    <w:rsid w:val="00981F74"/>
    <w:rsid w:val="0098237C"/>
    <w:rsid w:val="009829B3"/>
    <w:rsid w:val="00982C31"/>
    <w:rsid w:val="00982D45"/>
    <w:rsid w:val="00983165"/>
    <w:rsid w:val="00983343"/>
    <w:rsid w:val="009833C4"/>
    <w:rsid w:val="009834E0"/>
    <w:rsid w:val="009838FF"/>
    <w:rsid w:val="00984149"/>
    <w:rsid w:val="00984788"/>
    <w:rsid w:val="00984909"/>
    <w:rsid w:val="00984FF3"/>
    <w:rsid w:val="00984FF9"/>
    <w:rsid w:val="009850C5"/>
    <w:rsid w:val="0098516C"/>
    <w:rsid w:val="00985208"/>
    <w:rsid w:val="00986326"/>
    <w:rsid w:val="00986849"/>
    <w:rsid w:val="00986BB7"/>
    <w:rsid w:val="00986D4B"/>
    <w:rsid w:val="00986F6D"/>
    <w:rsid w:val="0098727C"/>
    <w:rsid w:val="00987708"/>
    <w:rsid w:val="00987DF0"/>
    <w:rsid w:val="00987E2E"/>
    <w:rsid w:val="0099008B"/>
    <w:rsid w:val="00990387"/>
    <w:rsid w:val="0099177B"/>
    <w:rsid w:val="00991B8C"/>
    <w:rsid w:val="0099367E"/>
    <w:rsid w:val="00993FE4"/>
    <w:rsid w:val="0099425E"/>
    <w:rsid w:val="00994CDC"/>
    <w:rsid w:val="009969CD"/>
    <w:rsid w:val="00997159"/>
    <w:rsid w:val="009972FC"/>
    <w:rsid w:val="0099770A"/>
    <w:rsid w:val="00997769"/>
    <w:rsid w:val="00997A2E"/>
    <w:rsid w:val="009A048E"/>
    <w:rsid w:val="009A119F"/>
    <w:rsid w:val="009A1609"/>
    <w:rsid w:val="009A16A3"/>
    <w:rsid w:val="009A1A7E"/>
    <w:rsid w:val="009A3480"/>
    <w:rsid w:val="009A3DB8"/>
    <w:rsid w:val="009A43B3"/>
    <w:rsid w:val="009A464D"/>
    <w:rsid w:val="009A496F"/>
    <w:rsid w:val="009A4B78"/>
    <w:rsid w:val="009A4D73"/>
    <w:rsid w:val="009A4E41"/>
    <w:rsid w:val="009A5297"/>
    <w:rsid w:val="009A5851"/>
    <w:rsid w:val="009A5C0C"/>
    <w:rsid w:val="009A5D40"/>
    <w:rsid w:val="009A5E10"/>
    <w:rsid w:val="009A6665"/>
    <w:rsid w:val="009A743F"/>
    <w:rsid w:val="009A74F7"/>
    <w:rsid w:val="009B00F2"/>
    <w:rsid w:val="009B0E67"/>
    <w:rsid w:val="009B0FB2"/>
    <w:rsid w:val="009B1113"/>
    <w:rsid w:val="009B1C34"/>
    <w:rsid w:val="009B1D22"/>
    <w:rsid w:val="009B1E86"/>
    <w:rsid w:val="009B27C4"/>
    <w:rsid w:val="009B2BE6"/>
    <w:rsid w:val="009B2D92"/>
    <w:rsid w:val="009B31DE"/>
    <w:rsid w:val="009B3250"/>
    <w:rsid w:val="009B35A6"/>
    <w:rsid w:val="009B42A4"/>
    <w:rsid w:val="009B42D2"/>
    <w:rsid w:val="009B44D0"/>
    <w:rsid w:val="009B4A06"/>
    <w:rsid w:val="009B60EA"/>
    <w:rsid w:val="009B70C8"/>
    <w:rsid w:val="009B737C"/>
    <w:rsid w:val="009B742E"/>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D3D"/>
    <w:rsid w:val="009C55E2"/>
    <w:rsid w:val="009C5A4E"/>
    <w:rsid w:val="009C5EE5"/>
    <w:rsid w:val="009C61E3"/>
    <w:rsid w:val="009C6B56"/>
    <w:rsid w:val="009C7DB8"/>
    <w:rsid w:val="009C7FF0"/>
    <w:rsid w:val="009D010D"/>
    <w:rsid w:val="009D0244"/>
    <w:rsid w:val="009D0F71"/>
    <w:rsid w:val="009D111C"/>
    <w:rsid w:val="009D17A0"/>
    <w:rsid w:val="009D1F7A"/>
    <w:rsid w:val="009D2873"/>
    <w:rsid w:val="009D2942"/>
    <w:rsid w:val="009D2BB8"/>
    <w:rsid w:val="009D3A1A"/>
    <w:rsid w:val="009D426A"/>
    <w:rsid w:val="009D5BDB"/>
    <w:rsid w:val="009D6B03"/>
    <w:rsid w:val="009D6B3D"/>
    <w:rsid w:val="009D7422"/>
    <w:rsid w:val="009D7567"/>
    <w:rsid w:val="009D78E7"/>
    <w:rsid w:val="009E0742"/>
    <w:rsid w:val="009E0B29"/>
    <w:rsid w:val="009E1291"/>
    <w:rsid w:val="009E12BC"/>
    <w:rsid w:val="009E139D"/>
    <w:rsid w:val="009E224D"/>
    <w:rsid w:val="009E26D5"/>
    <w:rsid w:val="009E2A07"/>
    <w:rsid w:val="009E3398"/>
    <w:rsid w:val="009E3577"/>
    <w:rsid w:val="009E37A5"/>
    <w:rsid w:val="009E395B"/>
    <w:rsid w:val="009E3D2B"/>
    <w:rsid w:val="009E3DC2"/>
    <w:rsid w:val="009E3E84"/>
    <w:rsid w:val="009E4053"/>
    <w:rsid w:val="009E4097"/>
    <w:rsid w:val="009E4664"/>
    <w:rsid w:val="009E4D8E"/>
    <w:rsid w:val="009E4E90"/>
    <w:rsid w:val="009E4EB7"/>
    <w:rsid w:val="009E57C1"/>
    <w:rsid w:val="009E624A"/>
    <w:rsid w:val="009E6B32"/>
    <w:rsid w:val="009E7039"/>
    <w:rsid w:val="009E70F3"/>
    <w:rsid w:val="009E730A"/>
    <w:rsid w:val="009E7E98"/>
    <w:rsid w:val="009F00EE"/>
    <w:rsid w:val="009F0827"/>
    <w:rsid w:val="009F0BED"/>
    <w:rsid w:val="009F1673"/>
    <w:rsid w:val="009F3255"/>
    <w:rsid w:val="009F341D"/>
    <w:rsid w:val="009F34AA"/>
    <w:rsid w:val="009F3DCE"/>
    <w:rsid w:val="009F44FF"/>
    <w:rsid w:val="009F46E8"/>
    <w:rsid w:val="009F472D"/>
    <w:rsid w:val="009F4CF0"/>
    <w:rsid w:val="009F4E88"/>
    <w:rsid w:val="009F50D1"/>
    <w:rsid w:val="009F573B"/>
    <w:rsid w:val="009F5918"/>
    <w:rsid w:val="009F596D"/>
    <w:rsid w:val="009F6A91"/>
    <w:rsid w:val="009F71A6"/>
    <w:rsid w:val="009F71AA"/>
    <w:rsid w:val="009F754A"/>
    <w:rsid w:val="009F791F"/>
    <w:rsid w:val="009F7F86"/>
    <w:rsid w:val="00A0034D"/>
    <w:rsid w:val="00A00BFB"/>
    <w:rsid w:val="00A00DCF"/>
    <w:rsid w:val="00A0126C"/>
    <w:rsid w:val="00A012DA"/>
    <w:rsid w:val="00A0187E"/>
    <w:rsid w:val="00A026F0"/>
    <w:rsid w:val="00A028CA"/>
    <w:rsid w:val="00A02E29"/>
    <w:rsid w:val="00A02F2D"/>
    <w:rsid w:val="00A02F61"/>
    <w:rsid w:val="00A03529"/>
    <w:rsid w:val="00A03E0E"/>
    <w:rsid w:val="00A040D1"/>
    <w:rsid w:val="00A044B7"/>
    <w:rsid w:val="00A04A0A"/>
    <w:rsid w:val="00A050A8"/>
    <w:rsid w:val="00A056A3"/>
    <w:rsid w:val="00A059AF"/>
    <w:rsid w:val="00A05B51"/>
    <w:rsid w:val="00A06286"/>
    <w:rsid w:val="00A06318"/>
    <w:rsid w:val="00A063BC"/>
    <w:rsid w:val="00A068E1"/>
    <w:rsid w:val="00A06A80"/>
    <w:rsid w:val="00A06D8A"/>
    <w:rsid w:val="00A0711F"/>
    <w:rsid w:val="00A07B0B"/>
    <w:rsid w:val="00A102A0"/>
    <w:rsid w:val="00A10860"/>
    <w:rsid w:val="00A114FA"/>
    <w:rsid w:val="00A11615"/>
    <w:rsid w:val="00A11AF3"/>
    <w:rsid w:val="00A12ACF"/>
    <w:rsid w:val="00A12B42"/>
    <w:rsid w:val="00A12BD4"/>
    <w:rsid w:val="00A12C09"/>
    <w:rsid w:val="00A13084"/>
    <w:rsid w:val="00A1327F"/>
    <w:rsid w:val="00A13817"/>
    <w:rsid w:val="00A138D3"/>
    <w:rsid w:val="00A13E0F"/>
    <w:rsid w:val="00A144B7"/>
    <w:rsid w:val="00A149B4"/>
    <w:rsid w:val="00A14F55"/>
    <w:rsid w:val="00A152D3"/>
    <w:rsid w:val="00A15F4F"/>
    <w:rsid w:val="00A160AB"/>
    <w:rsid w:val="00A16745"/>
    <w:rsid w:val="00A16747"/>
    <w:rsid w:val="00A17E93"/>
    <w:rsid w:val="00A20013"/>
    <w:rsid w:val="00A2056F"/>
    <w:rsid w:val="00A20582"/>
    <w:rsid w:val="00A20C65"/>
    <w:rsid w:val="00A21767"/>
    <w:rsid w:val="00A21FD5"/>
    <w:rsid w:val="00A22751"/>
    <w:rsid w:val="00A22940"/>
    <w:rsid w:val="00A22F63"/>
    <w:rsid w:val="00A23102"/>
    <w:rsid w:val="00A233D8"/>
    <w:rsid w:val="00A2343F"/>
    <w:rsid w:val="00A23505"/>
    <w:rsid w:val="00A2428B"/>
    <w:rsid w:val="00A247E5"/>
    <w:rsid w:val="00A248BD"/>
    <w:rsid w:val="00A24D81"/>
    <w:rsid w:val="00A24EA5"/>
    <w:rsid w:val="00A25173"/>
    <w:rsid w:val="00A252F0"/>
    <w:rsid w:val="00A2542D"/>
    <w:rsid w:val="00A259F2"/>
    <w:rsid w:val="00A26463"/>
    <w:rsid w:val="00A2660E"/>
    <w:rsid w:val="00A26916"/>
    <w:rsid w:val="00A26B47"/>
    <w:rsid w:val="00A26FF1"/>
    <w:rsid w:val="00A27547"/>
    <w:rsid w:val="00A2770B"/>
    <w:rsid w:val="00A27806"/>
    <w:rsid w:val="00A3068C"/>
    <w:rsid w:val="00A3127F"/>
    <w:rsid w:val="00A31922"/>
    <w:rsid w:val="00A31BCC"/>
    <w:rsid w:val="00A31C70"/>
    <w:rsid w:val="00A31C87"/>
    <w:rsid w:val="00A31F7E"/>
    <w:rsid w:val="00A31FE6"/>
    <w:rsid w:val="00A325BB"/>
    <w:rsid w:val="00A3297A"/>
    <w:rsid w:val="00A32A58"/>
    <w:rsid w:val="00A32EEC"/>
    <w:rsid w:val="00A33097"/>
    <w:rsid w:val="00A333A5"/>
    <w:rsid w:val="00A336C5"/>
    <w:rsid w:val="00A339D9"/>
    <w:rsid w:val="00A33BD6"/>
    <w:rsid w:val="00A3510A"/>
    <w:rsid w:val="00A3515F"/>
    <w:rsid w:val="00A35751"/>
    <w:rsid w:val="00A3577F"/>
    <w:rsid w:val="00A35BBC"/>
    <w:rsid w:val="00A35DAB"/>
    <w:rsid w:val="00A36724"/>
    <w:rsid w:val="00A367AF"/>
    <w:rsid w:val="00A36C13"/>
    <w:rsid w:val="00A377C2"/>
    <w:rsid w:val="00A37A31"/>
    <w:rsid w:val="00A40B1F"/>
    <w:rsid w:val="00A40B4D"/>
    <w:rsid w:val="00A411E2"/>
    <w:rsid w:val="00A41373"/>
    <w:rsid w:val="00A41638"/>
    <w:rsid w:val="00A41B15"/>
    <w:rsid w:val="00A4224E"/>
    <w:rsid w:val="00A4229F"/>
    <w:rsid w:val="00A428A9"/>
    <w:rsid w:val="00A42ACA"/>
    <w:rsid w:val="00A4327C"/>
    <w:rsid w:val="00A43496"/>
    <w:rsid w:val="00A43665"/>
    <w:rsid w:val="00A43AAB"/>
    <w:rsid w:val="00A43AFE"/>
    <w:rsid w:val="00A441CC"/>
    <w:rsid w:val="00A447E3"/>
    <w:rsid w:val="00A44AAD"/>
    <w:rsid w:val="00A44D3B"/>
    <w:rsid w:val="00A45241"/>
    <w:rsid w:val="00A45280"/>
    <w:rsid w:val="00A452B8"/>
    <w:rsid w:val="00A45BF7"/>
    <w:rsid w:val="00A463B5"/>
    <w:rsid w:val="00A463BA"/>
    <w:rsid w:val="00A46675"/>
    <w:rsid w:val="00A46A5F"/>
    <w:rsid w:val="00A471A3"/>
    <w:rsid w:val="00A47597"/>
    <w:rsid w:val="00A47E44"/>
    <w:rsid w:val="00A47F91"/>
    <w:rsid w:val="00A507D7"/>
    <w:rsid w:val="00A50A5C"/>
    <w:rsid w:val="00A50BE2"/>
    <w:rsid w:val="00A50CC6"/>
    <w:rsid w:val="00A50E40"/>
    <w:rsid w:val="00A51462"/>
    <w:rsid w:val="00A51946"/>
    <w:rsid w:val="00A51FF7"/>
    <w:rsid w:val="00A52079"/>
    <w:rsid w:val="00A52143"/>
    <w:rsid w:val="00A521E9"/>
    <w:rsid w:val="00A5298E"/>
    <w:rsid w:val="00A52B3E"/>
    <w:rsid w:val="00A5313B"/>
    <w:rsid w:val="00A5320E"/>
    <w:rsid w:val="00A53F7B"/>
    <w:rsid w:val="00A54090"/>
    <w:rsid w:val="00A541F3"/>
    <w:rsid w:val="00A54282"/>
    <w:rsid w:val="00A549D3"/>
    <w:rsid w:val="00A54DF0"/>
    <w:rsid w:val="00A55616"/>
    <w:rsid w:val="00A57E98"/>
    <w:rsid w:val="00A60017"/>
    <w:rsid w:val="00A60849"/>
    <w:rsid w:val="00A6105B"/>
    <w:rsid w:val="00A61355"/>
    <w:rsid w:val="00A61668"/>
    <w:rsid w:val="00A621D3"/>
    <w:rsid w:val="00A628F8"/>
    <w:rsid w:val="00A62B7A"/>
    <w:rsid w:val="00A631A1"/>
    <w:rsid w:val="00A632EA"/>
    <w:rsid w:val="00A6339D"/>
    <w:rsid w:val="00A634BE"/>
    <w:rsid w:val="00A63AD7"/>
    <w:rsid w:val="00A63BFD"/>
    <w:rsid w:val="00A63E61"/>
    <w:rsid w:val="00A6491F"/>
    <w:rsid w:val="00A64A9E"/>
    <w:rsid w:val="00A64C72"/>
    <w:rsid w:val="00A64D1A"/>
    <w:rsid w:val="00A65320"/>
    <w:rsid w:val="00A65BA5"/>
    <w:rsid w:val="00A66354"/>
    <w:rsid w:val="00A66E37"/>
    <w:rsid w:val="00A66ECF"/>
    <w:rsid w:val="00A67681"/>
    <w:rsid w:val="00A67A20"/>
    <w:rsid w:val="00A67E38"/>
    <w:rsid w:val="00A703E4"/>
    <w:rsid w:val="00A704C9"/>
    <w:rsid w:val="00A70DC6"/>
    <w:rsid w:val="00A71080"/>
    <w:rsid w:val="00A71986"/>
    <w:rsid w:val="00A71E3D"/>
    <w:rsid w:val="00A71E73"/>
    <w:rsid w:val="00A72740"/>
    <w:rsid w:val="00A73A64"/>
    <w:rsid w:val="00A742AD"/>
    <w:rsid w:val="00A746D7"/>
    <w:rsid w:val="00A74AB2"/>
    <w:rsid w:val="00A75A27"/>
    <w:rsid w:val="00A75A46"/>
    <w:rsid w:val="00A75B36"/>
    <w:rsid w:val="00A7623B"/>
    <w:rsid w:val="00A7660A"/>
    <w:rsid w:val="00A7663A"/>
    <w:rsid w:val="00A7691D"/>
    <w:rsid w:val="00A7696B"/>
    <w:rsid w:val="00A769D4"/>
    <w:rsid w:val="00A8008F"/>
    <w:rsid w:val="00A804C7"/>
    <w:rsid w:val="00A80857"/>
    <w:rsid w:val="00A80A39"/>
    <w:rsid w:val="00A80DF0"/>
    <w:rsid w:val="00A80E64"/>
    <w:rsid w:val="00A81A16"/>
    <w:rsid w:val="00A823A7"/>
    <w:rsid w:val="00A824D4"/>
    <w:rsid w:val="00A825C8"/>
    <w:rsid w:val="00A82742"/>
    <w:rsid w:val="00A82A29"/>
    <w:rsid w:val="00A83984"/>
    <w:rsid w:val="00A83A1E"/>
    <w:rsid w:val="00A84198"/>
    <w:rsid w:val="00A841AB"/>
    <w:rsid w:val="00A84FFD"/>
    <w:rsid w:val="00A856A9"/>
    <w:rsid w:val="00A86104"/>
    <w:rsid w:val="00A8655A"/>
    <w:rsid w:val="00A87203"/>
    <w:rsid w:val="00A87744"/>
    <w:rsid w:val="00A87AE6"/>
    <w:rsid w:val="00A87B09"/>
    <w:rsid w:val="00A87C22"/>
    <w:rsid w:val="00A90590"/>
    <w:rsid w:val="00A90856"/>
    <w:rsid w:val="00A90A39"/>
    <w:rsid w:val="00A90A97"/>
    <w:rsid w:val="00A90CB4"/>
    <w:rsid w:val="00A910DA"/>
    <w:rsid w:val="00A920E1"/>
    <w:rsid w:val="00A92998"/>
    <w:rsid w:val="00A933AE"/>
    <w:rsid w:val="00A93863"/>
    <w:rsid w:val="00A93928"/>
    <w:rsid w:val="00A93F73"/>
    <w:rsid w:val="00A9415E"/>
    <w:rsid w:val="00A9423F"/>
    <w:rsid w:val="00A94EBD"/>
    <w:rsid w:val="00A9510D"/>
    <w:rsid w:val="00A95580"/>
    <w:rsid w:val="00A956AC"/>
    <w:rsid w:val="00A95D2A"/>
    <w:rsid w:val="00A961D6"/>
    <w:rsid w:val="00A96214"/>
    <w:rsid w:val="00A967E8"/>
    <w:rsid w:val="00A97F4B"/>
    <w:rsid w:val="00AA04C5"/>
    <w:rsid w:val="00AA10B1"/>
    <w:rsid w:val="00AA2803"/>
    <w:rsid w:val="00AA2BF2"/>
    <w:rsid w:val="00AA2D68"/>
    <w:rsid w:val="00AA2D6F"/>
    <w:rsid w:val="00AA2E92"/>
    <w:rsid w:val="00AA3987"/>
    <w:rsid w:val="00AA3B68"/>
    <w:rsid w:val="00AA3E79"/>
    <w:rsid w:val="00AA4FB4"/>
    <w:rsid w:val="00AA5C0B"/>
    <w:rsid w:val="00AA5E3B"/>
    <w:rsid w:val="00AA63AD"/>
    <w:rsid w:val="00AA65B4"/>
    <w:rsid w:val="00AA6A75"/>
    <w:rsid w:val="00AA745E"/>
    <w:rsid w:val="00AB04AB"/>
    <w:rsid w:val="00AB0733"/>
    <w:rsid w:val="00AB09D2"/>
    <w:rsid w:val="00AB0B64"/>
    <w:rsid w:val="00AB0C30"/>
    <w:rsid w:val="00AB14D3"/>
    <w:rsid w:val="00AB176B"/>
    <w:rsid w:val="00AB2C5F"/>
    <w:rsid w:val="00AB37E6"/>
    <w:rsid w:val="00AB3DBA"/>
    <w:rsid w:val="00AB431C"/>
    <w:rsid w:val="00AB470E"/>
    <w:rsid w:val="00AB4C80"/>
    <w:rsid w:val="00AB506B"/>
    <w:rsid w:val="00AB5467"/>
    <w:rsid w:val="00AB5883"/>
    <w:rsid w:val="00AB5A7E"/>
    <w:rsid w:val="00AB7538"/>
    <w:rsid w:val="00AB77F3"/>
    <w:rsid w:val="00AC0256"/>
    <w:rsid w:val="00AC0AAD"/>
    <w:rsid w:val="00AC1231"/>
    <w:rsid w:val="00AC1992"/>
    <w:rsid w:val="00AC1E14"/>
    <w:rsid w:val="00AC2CFA"/>
    <w:rsid w:val="00AC3263"/>
    <w:rsid w:val="00AC337E"/>
    <w:rsid w:val="00AC3E12"/>
    <w:rsid w:val="00AC406E"/>
    <w:rsid w:val="00AC417C"/>
    <w:rsid w:val="00AC430C"/>
    <w:rsid w:val="00AC4951"/>
    <w:rsid w:val="00AC49C9"/>
    <w:rsid w:val="00AC4A6B"/>
    <w:rsid w:val="00AC5C19"/>
    <w:rsid w:val="00AC60F0"/>
    <w:rsid w:val="00AC63C7"/>
    <w:rsid w:val="00AC6657"/>
    <w:rsid w:val="00AC6D7A"/>
    <w:rsid w:val="00AC7363"/>
    <w:rsid w:val="00AC7401"/>
    <w:rsid w:val="00AC7901"/>
    <w:rsid w:val="00AC79F3"/>
    <w:rsid w:val="00AC7FDD"/>
    <w:rsid w:val="00AD0949"/>
    <w:rsid w:val="00AD0F1D"/>
    <w:rsid w:val="00AD1179"/>
    <w:rsid w:val="00AD1359"/>
    <w:rsid w:val="00AD19F0"/>
    <w:rsid w:val="00AD1FCE"/>
    <w:rsid w:val="00AD26E1"/>
    <w:rsid w:val="00AD29CC"/>
    <w:rsid w:val="00AD3268"/>
    <w:rsid w:val="00AD3652"/>
    <w:rsid w:val="00AD3D6C"/>
    <w:rsid w:val="00AD3DE2"/>
    <w:rsid w:val="00AD4261"/>
    <w:rsid w:val="00AD46F5"/>
    <w:rsid w:val="00AD51A3"/>
    <w:rsid w:val="00AD598B"/>
    <w:rsid w:val="00AD7154"/>
    <w:rsid w:val="00AD793C"/>
    <w:rsid w:val="00AD797D"/>
    <w:rsid w:val="00AD7E02"/>
    <w:rsid w:val="00AE0034"/>
    <w:rsid w:val="00AE0483"/>
    <w:rsid w:val="00AE08DD"/>
    <w:rsid w:val="00AE13BD"/>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593B"/>
    <w:rsid w:val="00AE60E4"/>
    <w:rsid w:val="00AE6872"/>
    <w:rsid w:val="00AE6C58"/>
    <w:rsid w:val="00AE72C4"/>
    <w:rsid w:val="00AE7F05"/>
    <w:rsid w:val="00AE7F38"/>
    <w:rsid w:val="00AF054D"/>
    <w:rsid w:val="00AF0939"/>
    <w:rsid w:val="00AF0981"/>
    <w:rsid w:val="00AF0F9C"/>
    <w:rsid w:val="00AF10F0"/>
    <w:rsid w:val="00AF18E2"/>
    <w:rsid w:val="00AF19C4"/>
    <w:rsid w:val="00AF24E7"/>
    <w:rsid w:val="00AF272B"/>
    <w:rsid w:val="00AF291B"/>
    <w:rsid w:val="00AF2DAA"/>
    <w:rsid w:val="00AF2EBD"/>
    <w:rsid w:val="00AF33AE"/>
    <w:rsid w:val="00AF3CDC"/>
    <w:rsid w:val="00AF44B1"/>
    <w:rsid w:val="00AF5800"/>
    <w:rsid w:val="00AF6986"/>
    <w:rsid w:val="00AF69FE"/>
    <w:rsid w:val="00AF6A77"/>
    <w:rsid w:val="00AF6D1B"/>
    <w:rsid w:val="00AF73ED"/>
    <w:rsid w:val="00AF76A8"/>
    <w:rsid w:val="00AF7D69"/>
    <w:rsid w:val="00AF7ED2"/>
    <w:rsid w:val="00B004D8"/>
    <w:rsid w:val="00B00830"/>
    <w:rsid w:val="00B00CC5"/>
    <w:rsid w:val="00B016D2"/>
    <w:rsid w:val="00B02091"/>
    <w:rsid w:val="00B0250E"/>
    <w:rsid w:val="00B02B43"/>
    <w:rsid w:val="00B03697"/>
    <w:rsid w:val="00B03D36"/>
    <w:rsid w:val="00B04540"/>
    <w:rsid w:val="00B046F1"/>
    <w:rsid w:val="00B05116"/>
    <w:rsid w:val="00B051A7"/>
    <w:rsid w:val="00B05F1A"/>
    <w:rsid w:val="00B066A2"/>
    <w:rsid w:val="00B06D58"/>
    <w:rsid w:val="00B07B33"/>
    <w:rsid w:val="00B07FA2"/>
    <w:rsid w:val="00B100CF"/>
    <w:rsid w:val="00B1074F"/>
    <w:rsid w:val="00B10E82"/>
    <w:rsid w:val="00B111A6"/>
    <w:rsid w:val="00B115E5"/>
    <w:rsid w:val="00B118EE"/>
    <w:rsid w:val="00B11B03"/>
    <w:rsid w:val="00B11C5B"/>
    <w:rsid w:val="00B121CD"/>
    <w:rsid w:val="00B12343"/>
    <w:rsid w:val="00B12529"/>
    <w:rsid w:val="00B128C5"/>
    <w:rsid w:val="00B12B11"/>
    <w:rsid w:val="00B12C94"/>
    <w:rsid w:val="00B135AB"/>
    <w:rsid w:val="00B135DC"/>
    <w:rsid w:val="00B13797"/>
    <w:rsid w:val="00B137BF"/>
    <w:rsid w:val="00B13A1B"/>
    <w:rsid w:val="00B13A76"/>
    <w:rsid w:val="00B142D9"/>
    <w:rsid w:val="00B145D5"/>
    <w:rsid w:val="00B14BC4"/>
    <w:rsid w:val="00B158A3"/>
    <w:rsid w:val="00B15B25"/>
    <w:rsid w:val="00B15C36"/>
    <w:rsid w:val="00B15EA0"/>
    <w:rsid w:val="00B16069"/>
    <w:rsid w:val="00B16F73"/>
    <w:rsid w:val="00B1745A"/>
    <w:rsid w:val="00B17785"/>
    <w:rsid w:val="00B17A19"/>
    <w:rsid w:val="00B17A4E"/>
    <w:rsid w:val="00B17B30"/>
    <w:rsid w:val="00B17C2F"/>
    <w:rsid w:val="00B2153E"/>
    <w:rsid w:val="00B218CB"/>
    <w:rsid w:val="00B21FA7"/>
    <w:rsid w:val="00B22022"/>
    <w:rsid w:val="00B225E4"/>
    <w:rsid w:val="00B23223"/>
    <w:rsid w:val="00B23F7A"/>
    <w:rsid w:val="00B240B1"/>
    <w:rsid w:val="00B24208"/>
    <w:rsid w:val="00B24374"/>
    <w:rsid w:val="00B24728"/>
    <w:rsid w:val="00B248A9"/>
    <w:rsid w:val="00B2490A"/>
    <w:rsid w:val="00B24BE3"/>
    <w:rsid w:val="00B24D28"/>
    <w:rsid w:val="00B24F1C"/>
    <w:rsid w:val="00B25D76"/>
    <w:rsid w:val="00B27032"/>
    <w:rsid w:val="00B27085"/>
    <w:rsid w:val="00B27583"/>
    <w:rsid w:val="00B30003"/>
    <w:rsid w:val="00B3015C"/>
    <w:rsid w:val="00B30642"/>
    <w:rsid w:val="00B31201"/>
    <w:rsid w:val="00B31B4B"/>
    <w:rsid w:val="00B31E36"/>
    <w:rsid w:val="00B32E26"/>
    <w:rsid w:val="00B338B7"/>
    <w:rsid w:val="00B34061"/>
    <w:rsid w:val="00B34376"/>
    <w:rsid w:val="00B3440A"/>
    <w:rsid w:val="00B34441"/>
    <w:rsid w:val="00B35533"/>
    <w:rsid w:val="00B35534"/>
    <w:rsid w:val="00B35A87"/>
    <w:rsid w:val="00B35AFD"/>
    <w:rsid w:val="00B35F9A"/>
    <w:rsid w:val="00B3609C"/>
    <w:rsid w:val="00B36236"/>
    <w:rsid w:val="00B3662E"/>
    <w:rsid w:val="00B36645"/>
    <w:rsid w:val="00B366D2"/>
    <w:rsid w:val="00B366FA"/>
    <w:rsid w:val="00B36E86"/>
    <w:rsid w:val="00B379BA"/>
    <w:rsid w:val="00B40B30"/>
    <w:rsid w:val="00B40E47"/>
    <w:rsid w:val="00B412FD"/>
    <w:rsid w:val="00B41E1C"/>
    <w:rsid w:val="00B422BE"/>
    <w:rsid w:val="00B4241D"/>
    <w:rsid w:val="00B426BB"/>
    <w:rsid w:val="00B42EB9"/>
    <w:rsid w:val="00B436F0"/>
    <w:rsid w:val="00B441FE"/>
    <w:rsid w:val="00B44821"/>
    <w:rsid w:val="00B44AD3"/>
    <w:rsid w:val="00B450EB"/>
    <w:rsid w:val="00B45152"/>
    <w:rsid w:val="00B454DD"/>
    <w:rsid w:val="00B45E54"/>
    <w:rsid w:val="00B460B8"/>
    <w:rsid w:val="00B464E4"/>
    <w:rsid w:val="00B4689A"/>
    <w:rsid w:val="00B46D5F"/>
    <w:rsid w:val="00B46E7B"/>
    <w:rsid w:val="00B47DC5"/>
    <w:rsid w:val="00B50395"/>
    <w:rsid w:val="00B505B3"/>
    <w:rsid w:val="00B50882"/>
    <w:rsid w:val="00B50A74"/>
    <w:rsid w:val="00B5199C"/>
    <w:rsid w:val="00B520A0"/>
    <w:rsid w:val="00B5257E"/>
    <w:rsid w:val="00B525CE"/>
    <w:rsid w:val="00B52CFD"/>
    <w:rsid w:val="00B545A8"/>
    <w:rsid w:val="00B54E0B"/>
    <w:rsid w:val="00B56527"/>
    <w:rsid w:val="00B56706"/>
    <w:rsid w:val="00B57019"/>
    <w:rsid w:val="00B576DA"/>
    <w:rsid w:val="00B57710"/>
    <w:rsid w:val="00B601C9"/>
    <w:rsid w:val="00B60D04"/>
    <w:rsid w:val="00B6158F"/>
    <w:rsid w:val="00B61EE8"/>
    <w:rsid w:val="00B633A3"/>
    <w:rsid w:val="00B63533"/>
    <w:rsid w:val="00B63BDB"/>
    <w:rsid w:val="00B640D9"/>
    <w:rsid w:val="00B64A0E"/>
    <w:rsid w:val="00B64DDF"/>
    <w:rsid w:val="00B6601E"/>
    <w:rsid w:val="00B663AA"/>
    <w:rsid w:val="00B66DD5"/>
    <w:rsid w:val="00B67722"/>
    <w:rsid w:val="00B67B97"/>
    <w:rsid w:val="00B67F01"/>
    <w:rsid w:val="00B70329"/>
    <w:rsid w:val="00B711AB"/>
    <w:rsid w:val="00B714F0"/>
    <w:rsid w:val="00B71A40"/>
    <w:rsid w:val="00B71C8C"/>
    <w:rsid w:val="00B71CB4"/>
    <w:rsid w:val="00B71FD7"/>
    <w:rsid w:val="00B725E7"/>
    <w:rsid w:val="00B72C07"/>
    <w:rsid w:val="00B72DF7"/>
    <w:rsid w:val="00B72F42"/>
    <w:rsid w:val="00B73E44"/>
    <w:rsid w:val="00B74290"/>
    <w:rsid w:val="00B74510"/>
    <w:rsid w:val="00B74BD4"/>
    <w:rsid w:val="00B74BF7"/>
    <w:rsid w:val="00B751CD"/>
    <w:rsid w:val="00B760FD"/>
    <w:rsid w:val="00B76185"/>
    <w:rsid w:val="00B76BCD"/>
    <w:rsid w:val="00B779E6"/>
    <w:rsid w:val="00B804E2"/>
    <w:rsid w:val="00B811B2"/>
    <w:rsid w:val="00B81BA3"/>
    <w:rsid w:val="00B82213"/>
    <w:rsid w:val="00B8276E"/>
    <w:rsid w:val="00B827A7"/>
    <w:rsid w:val="00B82912"/>
    <w:rsid w:val="00B839A9"/>
    <w:rsid w:val="00B83A62"/>
    <w:rsid w:val="00B83B59"/>
    <w:rsid w:val="00B84252"/>
    <w:rsid w:val="00B8468F"/>
    <w:rsid w:val="00B849F1"/>
    <w:rsid w:val="00B84FC6"/>
    <w:rsid w:val="00B857F5"/>
    <w:rsid w:val="00B86D6C"/>
    <w:rsid w:val="00B86EB5"/>
    <w:rsid w:val="00B86F47"/>
    <w:rsid w:val="00B874B4"/>
    <w:rsid w:val="00B87502"/>
    <w:rsid w:val="00B8787A"/>
    <w:rsid w:val="00B87887"/>
    <w:rsid w:val="00B90123"/>
    <w:rsid w:val="00B90196"/>
    <w:rsid w:val="00B911C1"/>
    <w:rsid w:val="00B91374"/>
    <w:rsid w:val="00B9216A"/>
    <w:rsid w:val="00B922C3"/>
    <w:rsid w:val="00B9272E"/>
    <w:rsid w:val="00B927A7"/>
    <w:rsid w:val="00B92B9E"/>
    <w:rsid w:val="00B93315"/>
    <w:rsid w:val="00B93519"/>
    <w:rsid w:val="00B9372A"/>
    <w:rsid w:val="00B9425C"/>
    <w:rsid w:val="00B9477A"/>
    <w:rsid w:val="00B94AAF"/>
    <w:rsid w:val="00B953FF"/>
    <w:rsid w:val="00B9622D"/>
    <w:rsid w:val="00B96263"/>
    <w:rsid w:val="00B968A5"/>
    <w:rsid w:val="00B972CD"/>
    <w:rsid w:val="00B97D02"/>
    <w:rsid w:val="00BA0304"/>
    <w:rsid w:val="00BA0557"/>
    <w:rsid w:val="00BA19C4"/>
    <w:rsid w:val="00BA3038"/>
    <w:rsid w:val="00BA370A"/>
    <w:rsid w:val="00BA48BC"/>
    <w:rsid w:val="00BA4A29"/>
    <w:rsid w:val="00BA4BE7"/>
    <w:rsid w:val="00BA5F20"/>
    <w:rsid w:val="00BA5F44"/>
    <w:rsid w:val="00BA68D9"/>
    <w:rsid w:val="00BA695F"/>
    <w:rsid w:val="00BA6FD8"/>
    <w:rsid w:val="00BA7172"/>
    <w:rsid w:val="00BA7B01"/>
    <w:rsid w:val="00BB02D7"/>
    <w:rsid w:val="00BB0D9F"/>
    <w:rsid w:val="00BB0DEE"/>
    <w:rsid w:val="00BB0F93"/>
    <w:rsid w:val="00BB1031"/>
    <w:rsid w:val="00BB1B33"/>
    <w:rsid w:val="00BB2480"/>
    <w:rsid w:val="00BB27FD"/>
    <w:rsid w:val="00BB2C4E"/>
    <w:rsid w:val="00BB2E29"/>
    <w:rsid w:val="00BB2F74"/>
    <w:rsid w:val="00BB3206"/>
    <w:rsid w:val="00BB3277"/>
    <w:rsid w:val="00BB32C2"/>
    <w:rsid w:val="00BB39BF"/>
    <w:rsid w:val="00BB3B0D"/>
    <w:rsid w:val="00BB4927"/>
    <w:rsid w:val="00BB524C"/>
    <w:rsid w:val="00BB5DAB"/>
    <w:rsid w:val="00BB6195"/>
    <w:rsid w:val="00BB61A3"/>
    <w:rsid w:val="00BB67EA"/>
    <w:rsid w:val="00BB707E"/>
    <w:rsid w:val="00BB7568"/>
    <w:rsid w:val="00BC007C"/>
    <w:rsid w:val="00BC0986"/>
    <w:rsid w:val="00BC0AB2"/>
    <w:rsid w:val="00BC1308"/>
    <w:rsid w:val="00BC1BF4"/>
    <w:rsid w:val="00BC2600"/>
    <w:rsid w:val="00BC2F24"/>
    <w:rsid w:val="00BC33BE"/>
    <w:rsid w:val="00BC3A47"/>
    <w:rsid w:val="00BC3EEB"/>
    <w:rsid w:val="00BC4780"/>
    <w:rsid w:val="00BC4CDB"/>
    <w:rsid w:val="00BC52C8"/>
    <w:rsid w:val="00BC5485"/>
    <w:rsid w:val="00BC549C"/>
    <w:rsid w:val="00BC570E"/>
    <w:rsid w:val="00BC5A6C"/>
    <w:rsid w:val="00BC5AF6"/>
    <w:rsid w:val="00BC5B4B"/>
    <w:rsid w:val="00BC5E93"/>
    <w:rsid w:val="00BC5EDB"/>
    <w:rsid w:val="00BC69A2"/>
    <w:rsid w:val="00BC6ED6"/>
    <w:rsid w:val="00BC6F03"/>
    <w:rsid w:val="00BC6FA1"/>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6D43"/>
    <w:rsid w:val="00BD7090"/>
    <w:rsid w:val="00BD7490"/>
    <w:rsid w:val="00BD767F"/>
    <w:rsid w:val="00BD7DA0"/>
    <w:rsid w:val="00BE096B"/>
    <w:rsid w:val="00BE09C3"/>
    <w:rsid w:val="00BE0C27"/>
    <w:rsid w:val="00BE0F9B"/>
    <w:rsid w:val="00BE15BB"/>
    <w:rsid w:val="00BE198F"/>
    <w:rsid w:val="00BE3D1E"/>
    <w:rsid w:val="00BE4875"/>
    <w:rsid w:val="00BE4CCF"/>
    <w:rsid w:val="00BE5964"/>
    <w:rsid w:val="00BE5CD3"/>
    <w:rsid w:val="00BE660B"/>
    <w:rsid w:val="00BE6AFE"/>
    <w:rsid w:val="00BE6BBE"/>
    <w:rsid w:val="00BE7021"/>
    <w:rsid w:val="00BE7300"/>
    <w:rsid w:val="00BE76F7"/>
    <w:rsid w:val="00BE784F"/>
    <w:rsid w:val="00BE79C6"/>
    <w:rsid w:val="00BF0238"/>
    <w:rsid w:val="00BF0717"/>
    <w:rsid w:val="00BF1750"/>
    <w:rsid w:val="00BF178E"/>
    <w:rsid w:val="00BF189F"/>
    <w:rsid w:val="00BF1B44"/>
    <w:rsid w:val="00BF1D88"/>
    <w:rsid w:val="00BF1F01"/>
    <w:rsid w:val="00BF1FC2"/>
    <w:rsid w:val="00BF23CC"/>
    <w:rsid w:val="00BF243F"/>
    <w:rsid w:val="00BF2708"/>
    <w:rsid w:val="00BF3284"/>
    <w:rsid w:val="00BF3CDF"/>
    <w:rsid w:val="00BF4C2B"/>
    <w:rsid w:val="00BF507A"/>
    <w:rsid w:val="00BF53F1"/>
    <w:rsid w:val="00BF5717"/>
    <w:rsid w:val="00BF5B9D"/>
    <w:rsid w:val="00BF5C45"/>
    <w:rsid w:val="00BF5FA3"/>
    <w:rsid w:val="00BF62F2"/>
    <w:rsid w:val="00BF63A5"/>
    <w:rsid w:val="00BF72A7"/>
    <w:rsid w:val="00BF7558"/>
    <w:rsid w:val="00BF7DD2"/>
    <w:rsid w:val="00C0111E"/>
    <w:rsid w:val="00C02676"/>
    <w:rsid w:val="00C029AB"/>
    <w:rsid w:val="00C02D74"/>
    <w:rsid w:val="00C03BD5"/>
    <w:rsid w:val="00C03C8B"/>
    <w:rsid w:val="00C03F3C"/>
    <w:rsid w:val="00C0425C"/>
    <w:rsid w:val="00C049BE"/>
    <w:rsid w:val="00C04A71"/>
    <w:rsid w:val="00C04DF0"/>
    <w:rsid w:val="00C05A4C"/>
    <w:rsid w:val="00C05A67"/>
    <w:rsid w:val="00C0632D"/>
    <w:rsid w:val="00C0641F"/>
    <w:rsid w:val="00C06C9A"/>
    <w:rsid w:val="00C06E6F"/>
    <w:rsid w:val="00C075DB"/>
    <w:rsid w:val="00C07EBA"/>
    <w:rsid w:val="00C07FBC"/>
    <w:rsid w:val="00C100E2"/>
    <w:rsid w:val="00C100E7"/>
    <w:rsid w:val="00C11113"/>
    <w:rsid w:val="00C11687"/>
    <w:rsid w:val="00C11E28"/>
    <w:rsid w:val="00C11F66"/>
    <w:rsid w:val="00C1225B"/>
    <w:rsid w:val="00C122F9"/>
    <w:rsid w:val="00C1253A"/>
    <w:rsid w:val="00C128C9"/>
    <w:rsid w:val="00C12CF3"/>
    <w:rsid w:val="00C12D98"/>
    <w:rsid w:val="00C12F88"/>
    <w:rsid w:val="00C131A8"/>
    <w:rsid w:val="00C1322D"/>
    <w:rsid w:val="00C135A3"/>
    <w:rsid w:val="00C1477A"/>
    <w:rsid w:val="00C14A62"/>
    <w:rsid w:val="00C158EB"/>
    <w:rsid w:val="00C159B1"/>
    <w:rsid w:val="00C15D51"/>
    <w:rsid w:val="00C161F5"/>
    <w:rsid w:val="00C16C92"/>
    <w:rsid w:val="00C16ED6"/>
    <w:rsid w:val="00C1706B"/>
    <w:rsid w:val="00C179BC"/>
    <w:rsid w:val="00C17DB7"/>
    <w:rsid w:val="00C17E48"/>
    <w:rsid w:val="00C17E57"/>
    <w:rsid w:val="00C17F0B"/>
    <w:rsid w:val="00C201E7"/>
    <w:rsid w:val="00C20506"/>
    <w:rsid w:val="00C208C5"/>
    <w:rsid w:val="00C20AA2"/>
    <w:rsid w:val="00C20B91"/>
    <w:rsid w:val="00C21155"/>
    <w:rsid w:val="00C2146C"/>
    <w:rsid w:val="00C214D7"/>
    <w:rsid w:val="00C21561"/>
    <w:rsid w:val="00C217EE"/>
    <w:rsid w:val="00C22784"/>
    <w:rsid w:val="00C22FAA"/>
    <w:rsid w:val="00C23A4C"/>
    <w:rsid w:val="00C2419D"/>
    <w:rsid w:val="00C243A4"/>
    <w:rsid w:val="00C24416"/>
    <w:rsid w:val="00C248DB"/>
    <w:rsid w:val="00C26170"/>
    <w:rsid w:val="00C26B5A"/>
    <w:rsid w:val="00C26BB1"/>
    <w:rsid w:val="00C26D52"/>
    <w:rsid w:val="00C303E4"/>
    <w:rsid w:val="00C30775"/>
    <w:rsid w:val="00C30B8D"/>
    <w:rsid w:val="00C30DBE"/>
    <w:rsid w:val="00C3134E"/>
    <w:rsid w:val="00C315D8"/>
    <w:rsid w:val="00C31C4A"/>
    <w:rsid w:val="00C31D2D"/>
    <w:rsid w:val="00C3209A"/>
    <w:rsid w:val="00C32639"/>
    <w:rsid w:val="00C32808"/>
    <w:rsid w:val="00C32AD2"/>
    <w:rsid w:val="00C33114"/>
    <w:rsid w:val="00C3415E"/>
    <w:rsid w:val="00C34193"/>
    <w:rsid w:val="00C347FD"/>
    <w:rsid w:val="00C34DAE"/>
    <w:rsid w:val="00C34E1E"/>
    <w:rsid w:val="00C34E5A"/>
    <w:rsid w:val="00C35553"/>
    <w:rsid w:val="00C35D9C"/>
    <w:rsid w:val="00C36219"/>
    <w:rsid w:val="00C36656"/>
    <w:rsid w:val="00C3698E"/>
    <w:rsid w:val="00C36CCA"/>
    <w:rsid w:val="00C36E1C"/>
    <w:rsid w:val="00C36F42"/>
    <w:rsid w:val="00C3718A"/>
    <w:rsid w:val="00C379C5"/>
    <w:rsid w:val="00C37EEE"/>
    <w:rsid w:val="00C40453"/>
    <w:rsid w:val="00C404A7"/>
    <w:rsid w:val="00C40E71"/>
    <w:rsid w:val="00C41879"/>
    <w:rsid w:val="00C41A7C"/>
    <w:rsid w:val="00C42CEF"/>
    <w:rsid w:val="00C42D55"/>
    <w:rsid w:val="00C43080"/>
    <w:rsid w:val="00C4370E"/>
    <w:rsid w:val="00C43823"/>
    <w:rsid w:val="00C4384B"/>
    <w:rsid w:val="00C4393C"/>
    <w:rsid w:val="00C43F2D"/>
    <w:rsid w:val="00C44068"/>
    <w:rsid w:val="00C442AE"/>
    <w:rsid w:val="00C44C2B"/>
    <w:rsid w:val="00C4518B"/>
    <w:rsid w:val="00C45780"/>
    <w:rsid w:val="00C458D6"/>
    <w:rsid w:val="00C45919"/>
    <w:rsid w:val="00C45A5C"/>
    <w:rsid w:val="00C4655A"/>
    <w:rsid w:val="00C466BF"/>
    <w:rsid w:val="00C47282"/>
    <w:rsid w:val="00C47385"/>
    <w:rsid w:val="00C47555"/>
    <w:rsid w:val="00C476AC"/>
    <w:rsid w:val="00C47E67"/>
    <w:rsid w:val="00C47FD9"/>
    <w:rsid w:val="00C50C1A"/>
    <w:rsid w:val="00C50E1E"/>
    <w:rsid w:val="00C51132"/>
    <w:rsid w:val="00C511A7"/>
    <w:rsid w:val="00C51508"/>
    <w:rsid w:val="00C51D73"/>
    <w:rsid w:val="00C52A05"/>
    <w:rsid w:val="00C52E97"/>
    <w:rsid w:val="00C52EAF"/>
    <w:rsid w:val="00C52FBA"/>
    <w:rsid w:val="00C53189"/>
    <w:rsid w:val="00C534E5"/>
    <w:rsid w:val="00C534F4"/>
    <w:rsid w:val="00C5375B"/>
    <w:rsid w:val="00C53AD3"/>
    <w:rsid w:val="00C53B15"/>
    <w:rsid w:val="00C53DA9"/>
    <w:rsid w:val="00C53EF7"/>
    <w:rsid w:val="00C54280"/>
    <w:rsid w:val="00C54929"/>
    <w:rsid w:val="00C550B6"/>
    <w:rsid w:val="00C556B1"/>
    <w:rsid w:val="00C55A05"/>
    <w:rsid w:val="00C55F8D"/>
    <w:rsid w:val="00C56101"/>
    <w:rsid w:val="00C565F2"/>
    <w:rsid w:val="00C567E3"/>
    <w:rsid w:val="00C56C45"/>
    <w:rsid w:val="00C573CC"/>
    <w:rsid w:val="00C57B81"/>
    <w:rsid w:val="00C57FB9"/>
    <w:rsid w:val="00C6077B"/>
    <w:rsid w:val="00C60950"/>
    <w:rsid w:val="00C60DD1"/>
    <w:rsid w:val="00C61565"/>
    <w:rsid w:val="00C61574"/>
    <w:rsid w:val="00C615B4"/>
    <w:rsid w:val="00C6184A"/>
    <w:rsid w:val="00C61AC6"/>
    <w:rsid w:val="00C61ACF"/>
    <w:rsid w:val="00C6211D"/>
    <w:rsid w:val="00C62376"/>
    <w:rsid w:val="00C62B32"/>
    <w:rsid w:val="00C62D08"/>
    <w:rsid w:val="00C63DED"/>
    <w:rsid w:val="00C63E88"/>
    <w:rsid w:val="00C6436D"/>
    <w:rsid w:val="00C64F97"/>
    <w:rsid w:val="00C65585"/>
    <w:rsid w:val="00C656EB"/>
    <w:rsid w:val="00C65DF4"/>
    <w:rsid w:val="00C667F0"/>
    <w:rsid w:val="00C66AC8"/>
    <w:rsid w:val="00C67B49"/>
    <w:rsid w:val="00C711F5"/>
    <w:rsid w:val="00C713A1"/>
    <w:rsid w:val="00C714A0"/>
    <w:rsid w:val="00C71828"/>
    <w:rsid w:val="00C72105"/>
    <w:rsid w:val="00C74520"/>
    <w:rsid w:val="00C74954"/>
    <w:rsid w:val="00C75765"/>
    <w:rsid w:val="00C76028"/>
    <w:rsid w:val="00C76184"/>
    <w:rsid w:val="00C76462"/>
    <w:rsid w:val="00C7673D"/>
    <w:rsid w:val="00C76A80"/>
    <w:rsid w:val="00C76C27"/>
    <w:rsid w:val="00C76E09"/>
    <w:rsid w:val="00C76F07"/>
    <w:rsid w:val="00C77EF6"/>
    <w:rsid w:val="00C80B4B"/>
    <w:rsid w:val="00C80D63"/>
    <w:rsid w:val="00C80E85"/>
    <w:rsid w:val="00C8129D"/>
    <w:rsid w:val="00C812D5"/>
    <w:rsid w:val="00C81536"/>
    <w:rsid w:val="00C81BEA"/>
    <w:rsid w:val="00C81DF5"/>
    <w:rsid w:val="00C82188"/>
    <w:rsid w:val="00C8242B"/>
    <w:rsid w:val="00C82A50"/>
    <w:rsid w:val="00C83240"/>
    <w:rsid w:val="00C83381"/>
    <w:rsid w:val="00C83607"/>
    <w:rsid w:val="00C83768"/>
    <w:rsid w:val="00C83B18"/>
    <w:rsid w:val="00C840C3"/>
    <w:rsid w:val="00C841B4"/>
    <w:rsid w:val="00C84266"/>
    <w:rsid w:val="00C8466F"/>
    <w:rsid w:val="00C8489E"/>
    <w:rsid w:val="00C849E0"/>
    <w:rsid w:val="00C84B74"/>
    <w:rsid w:val="00C84CBF"/>
    <w:rsid w:val="00C8512A"/>
    <w:rsid w:val="00C85378"/>
    <w:rsid w:val="00C85970"/>
    <w:rsid w:val="00C85E9B"/>
    <w:rsid w:val="00C874C8"/>
    <w:rsid w:val="00C90165"/>
    <w:rsid w:val="00C902DA"/>
    <w:rsid w:val="00C90733"/>
    <w:rsid w:val="00C921C4"/>
    <w:rsid w:val="00C9235F"/>
    <w:rsid w:val="00C9257F"/>
    <w:rsid w:val="00C9302E"/>
    <w:rsid w:val="00C9319C"/>
    <w:rsid w:val="00C9330C"/>
    <w:rsid w:val="00C9341E"/>
    <w:rsid w:val="00C934F6"/>
    <w:rsid w:val="00C93874"/>
    <w:rsid w:val="00C93A4C"/>
    <w:rsid w:val="00C944EB"/>
    <w:rsid w:val="00C94FD2"/>
    <w:rsid w:val="00C95341"/>
    <w:rsid w:val="00C95B76"/>
    <w:rsid w:val="00C964C3"/>
    <w:rsid w:val="00C964D6"/>
    <w:rsid w:val="00C96635"/>
    <w:rsid w:val="00C966B7"/>
    <w:rsid w:val="00C969DB"/>
    <w:rsid w:val="00C96A6E"/>
    <w:rsid w:val="00C97A4A"/>
    <w:rsid w:val="00C97DC9"/>
    <w:rsid w:val="00C97EE3"/>
    <w:rsid w:val="00C97F78"/>
    <w:rsid w:val="00CA042A"/>
    <w:rsid w:val="00CA12BA"/>
    <w:rsid w:val="00CA165C"/>
    <w:rsid w:val="00CA1C0D"/>
    <w:rsid w:val="00CA1DAE"/>
    <w:rsid w:val="00CA1E62"/>
    <w:rsid w:val="00CA2267"/>
    <w:rsid w:val="00CA38AD"/>
    <w:rsid w:val="00CA3EEE"/>
    <w:rsid w:val="00CA5098"/>
    <w:rsid w:val="00CA5503"/>
    <w:rsid w:val="00CA612D"/>
    <w:rsid w:val="00CA66C3"/>
    <w:rsid w:val="00CA6CAD"/>
    <w:rsid w:val="00CA70A8"/>
    <w:rsid w:val="00CA70B8"/>
    <w:rsid w:val="00CA70D0"/>
    <w:rsid w:val="00CA74A4"/>
    <w:rsid w:val="00CA7683"/>
    <w:rsid w:val="00CA77AE"/>
    <w:rsid w:val="00CA7EA1"/>
    <w:rsid w:val="00CA7EEA"/>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4728"/>
    <w:rsid w:val="00CB59E7"/>
    <w:rsid w:val="00CB5D27"/>
    <w:rsid w:val="00CB5E4A"/>
    <w:rsid w:val="00CB6FCA"/>
    <w:rsid w:val="00CB724D"/>
    <w:rsid w:val="00CB73EA"/>
    <w:rsid w:val="00CB76E3"/>
    <w:rsid w:val="00CB7D4E"/>
    <w:rsid w:val="00CB7F12"/>
    <w:rsid w:val="00CB7F1F"/>
    <w:rsid w:val="00CC002B"/>
    <w:rsid w:val="00CC07E5"/>
    <w:rsid w:val="00CC09F0"/>
    <w:rsid w:val="00CC0C11"/>
    <w:rsid w:val="00CC1F52"/>
    <w:rsid w:val="00CC233F"/>
    <w:rsid w:val="00CC27FD"/>
    <w:rsid w:val="00CC29A4"/>
    <w:rsid w:val="00CC31E8"/>
    <w:rsid w:val="00CC3AB9"/>
    <w:rsid w:val="00CC3C9E"/>
    <w:rsid w:val="00CC45E0"/>
    <w:rsid w:val="00CC4BBE"/>
    <w:rsid w:val="00CC4BC3"/>
    <w:rsid w:val="00CC50C7"/>
    <w:rsid w:val="00CC55AC"/>
    <w:rsid w:val="00CC5859"/>
    <w:rsid w:val="00CC66CB"/>
    <w:rsid w:val="00CC6D1C"/>
    <w:rsid w:val="00CC71DD"/>
    <w:rsid w:val="00CC71F3"/>
    <w:rsid w:val="00CC72C0"/>
    <w:rsid w:val="00CC757D"/>
    <w:rsid w:val="00CC7C74"/>
    <w:rsid w:val="00CD00DB"/>
    <w:rsid w:val="00CD0119"/>
    <w:rsid w:val="00CD07FD"/>
    <w:rsid w:val="00CD0866"/>
    <w:rsid w:val="00CD1169"/>
    <w:rsid w:val="00CD15F1"/>
    <w:rsid w:val="00CD16C7"/>
    <w:rsid w:val="00CD1A40"/>
    <w:rsid w:val="00CD1B33"/>
    <w:rsid w:val="00CD25F3"/>
    <w:rsid w:val="00CD27FF"/>
    <w:rsid w:val="00CD2875"/>
    <w:rsid w:val="00CD2DF3"/>
    <w:rsid w:val="00CD305C"/>
    <w:rsid w:val="00CD3A6D"/>
    <w:rsid w:val="00CD3BC4"/>
    <w:rsid w:val="00CD3E5A"/>
    <w:rsid w:val="00CD3E63"/>
    <w:rsid w:val="00CD40A3"/>
    <w:rsid w:val="00CD457E"/>
    <w:rsid w:val="00CD4CD3"/>
    <w:rsid w:val="00CD589F"/>
    <w:rsid w:val="00CD60C9"/>
    <w:rsid w:val="00CD6345"/>
    <w:rsid w:val="00CD6835"/>
    <w:rsid w:val="00CD6BBB"/>
    <w:rsid w:val="00CD7482"/>
    <w:rsid w:val="00CE05BD"/>
    <w:rsid w:val="00CE07C1"/>
    <w:rsid w:val="00CE1567"/>
    <w:rsid w:val="00CE1859"/>
    <w:rsid w:val="00CE186F"/>
    <w:rsid w:val="00CE20E3"/>
    <w:rsid w:val="00CE273A"/>
    <w:rsid w:val="00CE321C"/>
    <w:rsid w:val="00CE32E8"/>
    <w:rsid w:val="00CE353C"/>
    <w:rsid w:val="00CE3700"/>
    <w:rsid w:val="00CE3B69"/>
    <w:rsid w:val="00CE4559"/>
    <w:rsid w:val="00CE4B49"/>
    <w:rsid w:val="00CE5118"/>
    <w:rsid w:val="00CE5487"/>
    <w:rsid w:val="00CE59B5"/>
    <w:rsid w:val="00CE59DB"/>
    <w:rsid w:val="00CE5D3A"/>
    <w:rsid w:val="00CE67D8"/>
    <w:rsid w:val="00CE68EA"/>
    <w:rsid w:val="00CE7381"/>
    <w:rsid w:val="00CE7447"/>
    <w:rsid w:val="00CE74CE"/>
    <w:rsid w:val="00CE7510"/>
    <w:rsid w:val="00CF0829"/>
    <w:rsid w:val="00CF0E74"/>
    <w:rsid w:val="00CF1833"/>
    <w:rsid w:val="00CF1AEA"/>
    <w:rsid w:val="00CF2091"/>
    <w:rsid w:val="00CF21F6"/>
    <w:rsid w:val="00CF2278"/>
    <w:rsid w:val="00CF2C62"/>
    <w:rsid w:val="00CF2F66"/>
    <w:rsid w:val="00CF337B"/>
    <w:rsid w:val="00CF3FE7"/>
    <w:rsid w:val="00CF4416"/>
    <w:rsid w:val="00CF5762"/>
    <w:rsid w:val="00CF65B4"/>
    <w:rsid w:val="00CF6806"/>
    <w:rsid w:val="00CF69B0"/>
    <w:rsid w:val="00CF6C05"/>
    <w:rsid w:val="00CF709F"/>
    <w:rsid w:val="00CF7485"/>
    <w:rsid w:val="00CF7E56"/>
    <w:rsid w:val="00D00FCA"/>
    <w:rsid w:val="00D01744"/>
    <w:rsid w:val="00D01C03"/>
    <w:rsid w:val="00D025CE"/>
    <w:rsid w:val="00D026A3"/>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07B44"/>
    <w:rsid w:val="00D10076"/>
    <w:rsid w:val="00D1033B"/>
    <w:rsid w:val="00D10477"/>
    <w:rsid w:val="00D107E2"/>
    <w:rsid w:val="00D11D76"/>
    <w:rsid w:val="00D121F5"/>
    <w:rsid w:val="00D126E4"/>
    <w:rsid w:val="00D131BF"/>
    <w:rsid w:val="00D136AD"/>
    <w:rsid w:val="00D13A90"/>
    <w:rsid w:val="00D140E6"/>
    <w:rsid w:val="00D14C7E"/>
    <w:rsid w:val="00D158EF"/>
    <w:rsid w:val="00D15C14"/>
    <w:rsid w:val="00D15E74"/>
    <w:rsid w:val="00D15FAA"/>
    <w:rsid w:val="00D16ECB"/>
    <w:rsid w:val="00D16EEE"/>
    <w:rsid w:val="00D17167"/>
    <w:rsid w:val="00D17BA5"/>
    <w:rsid w:val="00D17D56"/>
    <w:rsid w:val="00D2058D"/>
    <w:rsid w:val="00D208E9"/>
    <w:rsid w:val="00D2176E"/>
    <w:rsid w:val="00D2182A"/>
    <w:rsid w:val="00D218BC"/>
    <w:rsid w:val="00D2193D"/>
    <w:rsid w:val="00D22105"/>
    <w:rsid w:val="00D2211C"/>
    <w:rsid w:val="00D22B55"/>
    <w:rsid w:val="00D22C81"/>
    <w:rsid w:val="00D23055"/>
    <w:rsid w:val="00D230AD"/>
    <w:rsid w:val="00D2320E"/>
    <w:rsid w:val="00D2327A"/>
    <w:rsid w:val="00D251AB"/>
    <w:rsid w:val="00D25240"/>
    <w:rsid w:val="00D25AC6"/>
    <w:rsid w:val="00D25BF1"/>
    <w:rsid w:val="00D261D3"/>
    <w:rsid w:val="00D27086"/>
    <w:rsid w:val="00D319DF"/>
    <w:rsid w:val="00D31C02"/>
    <w:rsid w:val="00D3225E"/>
    <w:rsid w:val="00D324BC"/>
    <w:rsid w:val="00D32B9F"/>
    <w:rsid w:val="00D331A5"/>
    <w:rsid w:val="00D33565"/>
    <w:rsid w:val="00D33761"/>
    <w:rsid w:val="00D33762"/>
    <w:rsid w:val="00D33998"/>
    <w:rsid w:val="00D342BA"/>
    <w:rsid w:val="00D34BD1"/>
    <w:rsid w:val="00D35177"/>
    <w:rsid w:val="00D356E1"/>
    <w:rsid w:val="00D40609"/>
    <w:rsid w:val="00D40983"/>
    <w:rsid w:val="00D409ED"/>
    <w:rsid w:val="00D40B3B"/>
    <w:rsid w:val="00D41188"/>
    <w:rsid w:val="00D417D3"/>
    <w:rsid w:val="00D418D5"/>
    <w:rsid w:val="00D41DB1"/>
    <w:rsid w:val="00D42147"/>
    <w:rsid w:val="00D4276D"/>
    <w:rsid w:val="00D42798"/>
    <w:rsid w:val="00D42970"/>
    <w:rsid w:val="00D43468"/>
    <w:rsid w:val="00D43AED"/>
    <w:rsid w:val="00D44916"/>
    <w:rsid w:val="00D45AE4"/>
    <w:rsid w:val="00D45CA4"/>
    <w:rsid w:val="00D45EA7"/>
    <w:rsid w:val="00D45F22"/>
    <w:rsid w:val="00D47178"/>
    <w:rsid w:val="00D4752E"/>
    <w:rsid w:val="00D47842"/>
    <w:rsid w:val="00D47BEF"/>
    <w:rsid w:val="00D50826"/>
    <w:rsid w:val="00D51675"/>
    <w:rsid w:val="00D51EBA"/>
    <w:rsid w:val="00D51F73"/>
    <w:rsid w:val="00D52827"/>
    <w:rsid w:val="00D529BE"/>
    <w:rsid w:val="00D52CF6"/>
    <w:rsid w:val="00D53D3E"/>
    <w:rsid w:val="00D547E0"/>
    <w:rsid w:val="00D54992"/>
    <w:rsid w:val="00D55291"/>
    <w:rsid w:val="00D55C48"/>
    <w:rsid w:val="00D55E47"/>
    <w:rsid w:val="00D56392"/>
    <w:rsid w:val="00D56997"/>
    <w:rsid w:val="00D56BF7"/>
    <w:rsid w:val="00D570E6"/>
    <w:rsid w:val="00D5730F"/>
    <w:rsid w:val="00D575E0"/>
    <w:rsid w:val="00D5774F"/>
    <w:rsid w:val="00D60809"/>
    <w:rsid w:val="00D60D7F"/>
    <w:rsid w:val="00D61066"/>
    <w:rsid w:val="00D61C1A"/>
    <w:rsid w:val="00D61C9C"/>
    <w:rsid w:val="00D61E7B"/>
    <w:rsid w:val="00D62111"/>
    <w:rsid w:val="00D62229"/>
    <w:rsid w:val="00D625B8"/>
    <w:rsid w:val="00D626F8"/>
    <w:rsid w:val="00D636DC"/>
    <w:rsid w:val="00D63F4C"/>
    <w:rsid w:val="00D64613"/>
    <w:rsid w:val="00D64702"/>
    <w:rsid w:val="00D649DC"/>
    <w:rsid w:val="00D65A6A"/>
    <w:rsid w:val="00D66BFD"/>
    <w:rsid w:val="00D66C91"/>
    <w:rsid w:val="00D674EE"/>
    <w:rsid w:val="00D67535"/>
    <w:rsid w:val="00D67BC9"/>
    <w:rsid w:val="00D67DBC"/>
    <w:rsid w:val="00D704D9"/>
    <w:rsid w:val="00D70612"/>
    <w:rsid w:val="00D70934"/>
    <w:rsid w:val="00D70BD2"/>
    <w:rsid w:val="00D713F2"/>
    <w:rsid w:val="00D721B1"/>
    <w:rsid w:val="00D72705"/>
    <w:rsid w:val="00D738BF"/>
    <w:rsid w:val="00D73B93"/>
    <w:rsid w:val="00D73C95"/>
    <w:rsid w:val="00D7400F"/>
    <w:rsid w:val="00D745C1"/>
    <w:rsid w:val="00D74784"/>
    <w:rsid w:val="00D756F6"/>
    <w:rsid w:val="00D75731"/>
    <w:rsid w:val="00D75B45"/>
    <w:rsid w:val="00D75B5C"/>
    <w:rsid w:val="00D75F8C"/>
    <w:rsid w:val="00D76050"/>
    <w:rsid w:val="00D76210"/>
    <w:rsid w:val="00D76309"/>
    <w:rsid w:val="00D76423"/>
    <w:rsid w:val="00D767BF"/>
    <w:rsid w:val="00D77278"/>
    <w:rsid w:val="00D775B5"/>
    <w:rsid w:val="00D77961"/>
    <w:rsid w:val="00D77A47"/>
    <w:rsid w:val="00D77B20"/>
    <w:rsid w:val="00D77B3B"/>
    <w:rsid w:val="00D8007C"/>
    <w:rsid w:val="00D8079F"/>
    <w:rsid w:val="00D8103B"/>
    <w:rsid w:val="00D8111B"/>
    <w:rsid w:val="00D81242"/>
    <w:rsid w:val="00D812D2"/>
    <w:rsid w:val="00D823F6"/>
    <w:rsid w:val="00D82C80"/>
    <w:rsid w:val="00D82D02"/>
    <w:rsid w:val="00D82D0F"/>
    <w:rsid w:val="00D8316C"/>
    <w:rsid w:val="00D83A5A"/>
    <w:rsid w:val="00D84157"/>
    <w:rsid w:val="00D84AB8"/>
    <w:rsid w:val="00D84BD7"/>
    <w:rsid w:val="00D84DCA"/>
    <w:rsid w:val="00D85114"/>
    <w:rsid w:val="00D857BC"/>
    <w:rsid w:val="00D85CC6"/>
    <w:rsid w:val="00D85E10"/>
    <w:rsid w:val="00D86A92"/>
    <w:rsid w:val="00D871B6"/>
    <w:rsid w:val="00D875E1"/>
    <w:rsid w:val="00D90275"/>
    <w:rsid w:val="00D902F5"/>
    <w:rsid w:val="00D9075D"/>
    <w:rsid w:val="00D90959"/>
    <w:rsid w:val="00D91410"/>
    <w:rsid w:val="00D91438"/>
    <w:rsid w:val="00D91594"/>
    <w:rsid w:val="00D91ABE"/>
    <w:rsid w:val="00D91DFB"/>
    <w:rsid w:val="00D921DA"/>
    <w:rsid w:val="00D92A4A"/>
    <w:rsid w:val="00D92C2F"/>
    <w:rsid w:val="00D92F7F"/>
    <w:rsid w:val="00D930AC"/>
    <w:rsid w:val="00D9459D"/>
    <w:rsid w:val="00D94730"/>
    <w:rsid w:val="00D94858"/>
    <w:rsid w:val="00D9487D"/>
    <w:rsid w:val="00D94972"/>
    <w:rsid w:val="00D94C8E"/>
    <w:rsid w:val="00D954A1"/>
    <w:rsid w:val="00D95519"/>
    <w:rsid w:val="00D95744"/>
    <w:rsid w:val="00D958FC"/>
    <w:rsid w:val="00D959AE"/>
    <w:rsid w:val="00D95DC2"/>
    <w:rsid w:val="00D96678"/>
    <w:rsid w:val="00D9673A"/>
    <w:rsid w:val="00D96C73"/>
    <w:rsid w:val="00D96D46"/>
    <w:rsid w:val="00D97C27"/>
    <w:rsid w:val="00DA019F"/>
    <w:rsid w:val="00DA032C"/>
    <w:rsid w:val="00DA0526"/>
    <w:rsid w:val="00DA0639"/>
    <w:rsid w:val="00DA0B8C"/>
    <w:rsid w:val="00DA0CF7"/>
    <w:rsid w:val="00DA0E96"/>
    <w:rsid w:val="00DA1203"/>
    <w:rsid w:val="00DA14A0"/>
    <w:rsid w:val="00DA15AC"/>
    <w:rsid w:val="00DA18DA"/>
    <w:rsid w:val="00DA1F0C"/>
    <w:rsid w:val="00DA2B06"/>
    <w:rsid w:val="00DA2B20"/>
    <w:rsid w:val="00DA3565"/>
    <w:rsid w:val="00DA3A5B"/>
    <w:rsid w:val="00DA3D0B"/>
    <w:rsid w:val="00DA3F51"/>
    <w:rsid w:val="00DA45A0"/>
    <w:rsid w:val="00DA45DB"/>
    <w:rsid w:val="00DA48D9"/>
    <w:rsid w:val="00DA49F8"/>
    <w:rsid w:val="00DA4AAE"/>
    <w:rsid w:val="00DA5572"/>
    <w:rsid w:val="00DA5D5D"/>
    <w:rsid w:val="00DA6A15"/>
    <w:rsid w:val="00DA6B3A"/>
    <w:rsid w:val="00DA6CC2"/>
    <w:rsid w:val="00DA7029"/>
    <w:rsid w:val="00DA77A0"/>
    <w:rsid w:val="00DB09A2"/>
    <w:rsid w:val="00DB103D"/>
    <w:rsid w:val="00DB1448"/>
    <w:rsid w:val="00DB1907"/>
    <w:rsid w:val="00DB1998"/>
    <w:rsid w:val="00DB1FC4"/>
    <w:rsid w:val="00DB21F0"/>
    <w:rsid w:val="00DB2C5F"/>
    <w:rsid w:val="00DB3A58"/>
    <w:rsid w:val="00DB3BDF"/>
    <w:rsid w:val="00DB3C58"/>
    <w:rsid w:val="00DB3D46"/>
    <w:rsid w:val="00DB401C"/>
    <w:rsid w:val="00DB46C8"/>
    <w:rsid w:val="00DB52F0"/>
    <w:rsid w:val="00DB540E"/>
    <w:rsid w:val="00DB5A63"/>
    <w:rsid w:val="00DB6166"/>
    <w:rsid w:val="00DB6520"/>
    <w:rsid w:val="00DB656B"/>
    <w:rsid w:val="00DB6803"/>
    <w:rsid w:val="00DB691E"/>
    <w:rsid w:val="00DB6C99"/>
    <w:rsid w:val="00DB75A3"/>
    <w:rsid w:val="00DC02F5"/>
    <w:rsid w:val="00DC0574"/>
    <w:rsid w:val="00DC0C65"/>
    <w:rsid w:val="00DC10E5"/>
    <w:rsid w:val="00DC16BF"/>
    <w:rsid w:val="00DC16E1"/>
    <w:rsid w:val="00DC16FC"/>
    <w:rsid w:val="00DC1881"/>
    <w:rsid w:val="00DC1ED7"/>
    <w:rsid w:val="00DC294E"/>
    <w:rsid w:val="00DC3A6F"/>
    <w:rsid w:val="00DC3D1C"/>
    <w:rsid w:val="00DC43E1"/>
    <w:rsid w:val="00DC5199"/>
    <w:rsid w:val="00DC5A32"/>
    <w:rsid w:val="00DC5E4E"/>
    <w:rsid w:val="00DC651B"/>
    <w:rsid w:val="00DC662F"/>
    <w:rsid w:val="00DC6961"/>
    <w:rsid w:val="00DC6E78"/>
    <w:rsid w:val="00DC707F"/>
    <w:rsid w:val="00DC729A"/>
    <w:rsid w:val="00DC73B1"/>
    <w:rsid w:val="00DC7519"/>
    <w:rsid w:val="00DC7630"/>
    <w:rsid w:val="00DC7EB5"/>
    <w:rsid w:val="00DD04AC"/>
    <w:rsid w:val="00DD04DD"/>
    <w:rsid w:val="00DD0891"/>
    <w:rsid w:val="00DD0B35"/>
    <w:rsid w:val="00DD0C4D"/>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752"/>
    <w:rsid w:val="00DD7CB6"/>
    <w:rsid w:val="00DE0077"/>
    <w:rsid w:val="00DE0137"/>
    <w:rsid w:val="00DE01BA"/>
    <w:rsid w:val="00DE061F"/>
    <w:rsid w:val="00DE0DCF"/>
    <w:rsid w:val="00DE137B"/>
    <w:rsid w:val="00DE19D9"/>
    <w:rsid w:val="00DE1DC6"/>
    <w:rsid w:val="00DE1F77"/>
    <w:rsid w:val="00DE21C6"/>
    <w:rsid w:val="00DE22AA"/>
    <w:rsid w:val="00DE288F"/>
    <w:rsid w:val="00DE2C45"/>
    <w:rsid w:val="00DE2D49"/>
    <w:rsid w:val="00DE2ED5"/>
    <w:rsid w:val="00DE2F4E"/>
    <w:rsid w:val="00DE2FB5"/>
    <w:rsid w:val="00DE3E66"/>
    <w:rsid w:val="00DE3F75"/>
    <w:rsid w:val="00DE41FC"/>
    <w:rsid w:val="00DE45F5"/>
    <w:rsid w:val="00DE4AAD"/>
    <w:rsid w:val="00DE4C0C"/>
    <w:rsid w:val="00DE4FC8"/>
    <w:rsid w:val="00DE53B5"/>
    <w:rsid w:val="00DE5A50"/>
    <w:rsid w:val="00DE60C5"/>
    <w:rsid w:val="00DE7323"/>
    <w:rsid w:val="00DE75F0"/>
    <w:rsid w:val="00DE77CB"/>
    <w:rsid w:val="00DE7EBA"/>
    <w:rsid w:val="00DF04BD"/>
    <w:rsid w:val="00DF050A"/>
    <w:rsid w:val="00DF068D"/>
    <w:rsid w:val="00DF0D3A"/>
    <w:rsid w:val="00DF140A"/>
    <w:rsid w:val="00DF1A9A"/>
    <w:rsid w:val="00DF1C2D"/>
    <w:rsid w:val="00DF1F8A"/>
    <w:rsid w:val="00DF2209"/>
    <w:rsid w:val="00DF248E"/>
    <w:rsid w:val="00DF2715"/>
    <w:rsid w:val="00DF3577"/>
    <w:rsid w:val="00DF4063"/>
    <w:rsid w:val="00DF5F13"/>
    <w:rsid w:val="00DF63DD"/>
    <w:rsid w:val="00DF6B62"/>
    <w:rsid w:val="00DF7BD0"/>
    <w:rsid w:val="00DF7BDF"/>
    <w:rsid w:val="00E00303"/>
    <w:rsid w:val="00E00A62"/>
    <w:rsid w:val="00E010A0"/>
    <w:rsid w:val="00E0125E"/>
    <w:rsid w:val="00E01668"/>
    <w:rsid w:val="00E0173A"/>
    <w:rsid w:val="00E01849"/>
    <w:rsid w:val="00E020D1"/>
    <w:rsid w:val="00E02B64"/>
    <w:rsid w:val="00E02EAD"/>
    <w:rsid w:val="00E03453"/>
    <w:rsid w:val="00E03D3F"/>
    <w:rsid w:val="00E03DED"/>
    <w:rsid w:val="00E0437C"/>
    <w:rsid w:val="00E0452C"/>
    <w:rsid w:val="00E04D61"/>
    <w:rsid w:val="00E0504C"/>
    <w:rsid w:val="00E05074"/>
    <w:rsid w:val="00E052DA"/>
    <w:rsid w:val="00E05489"/>
    <w:rsid w:val="00E05741"/>
    <w:rsid w:val="00E05F7F"/>
    <w:rsid w:val="00E06549"/>
    <w:rsid w:val="00E06930"/>
    <w:rsid w:val="00E06971"/>
    <w:rsid w:val="00E06C11"/>
    <w:rsid w:val="00E07D90"/>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EFA"/>
    <w:rsid w:val="00E151B9"/>
    <w:rsid w:val="00E158C4"/>
    <w:rsid w:val="00E15CC4"/>
    <w:rsid w:val="00E161E6"/>
    <w:rsid w:val="00E167C9"/>
    <w:rsid w:val="00E1698C"/>
    <w:rsid w:val="00E16BDB"/>
    <w:rsid w:val="00E172BE"/>
    <w:rsid w:val="00E17CF7"/>
    <w:rsid w:val="00E205D6"/>
    <w:rsid w:val="00E209AB"/>
    <w:rsid w:val="00E216EC"/>
    <w:rsid w:val="00E2189A"/>
    <w:rsid w:val="00E21A60"/>
    <w:rsid w:val="00E22220"/>
    <w:rsid w:val="00E22B5A"/>
    <w:rsid w:val="00E22B68"/>
    <w:rsid w:val="00E231C9"/>
    <w:rsid w:val="00E23EBF"/>
    <w:rsid w:val="00E23F56"/>
    <w:rsid w:val="00E23FD5"/>
    <w:rsid w:val="00E24669"/>
    <w:rsid w:val="00E24A70"/>
    <w:rsid w:val="00E24C48"/>
    <w:rsid w:val="00E24EE4"/>
    <w:rsid w:val="00E25981"/>
    <w:rsid w:val="00E26056"/>
    <w:rsid w:val="00E26141"/>
    <w:rsid w:val="00E266F5"/>
    <w:rsid w:val="00E2673E"/>
    <w:rsid w:val="00E270D3"/>
    <w:rsid w:val="00E27FC7"/>
    <w:rsid w:val="00E3050B"/>
    <w:rsid w:val="00E30700"/>
    <w:rsid w:val="00E31115"/>
    <w:rsid w:val="00E31360"/>
    <w:rsid w:val="00E317F8"/>
    <w:rsid w:val="00E31D28"/>
    <w:rsid w:val="00E32425"/>
    <w:rsid w:val="00E3252C"/>
    <w:rsid w:val="00E325FF"/>
    <w:rsid w:val="00E32CB8"/>
    <w:rsid w:val="00E32F67"/>
    <w:rsid w:val="00E3440F"/>
    <w:rsid w:val="00E34F3A"/>
    <w:rsid w:val="00E35F99"/>
    <w:rsid w:val="00E35F9A"/>
    <w:rsid w:val="00E3637F"/>
    <w:rsid w:val="00E364B6"/>
    <w:rsid w:val="00E36723"/>
    <w:rsid w:val="00E3713C"/>
    <w:rsid w:val="00E3767B"/>
    <w:rsid w:val="00E37E1C"/>
    <w:rsid w:val="00E40079"/>
    <w:rsid w:val="00E40126"/>
    <w:rsid w:val="00E4013B"/>
    <w:rsid w:val="00E40C85"/>
    <w:rsid w:val="00E40CBF"/>
    <w:rsid w:val="00E40E7D"/>
    <w:rsid w:val="00E40EE4"/>
    <w:rsid w:val="00E413C6"/>
    <w:rsid w:val="00E420D5"/>
    <w:rsid w:val="00E42517"/>
    <w:rsid w:val="00E42948"/>
    <w:rsid w:val="00E42D55"/>
    <w:rsid w:val="00E42FFE"/>
    <w:rsid w:val="00E4316E"/>
    <w:rsid w:val="00E435AB"/>
    <w:rsid w:val="00E44275"/>
    <w:rsid w:val="00E44705"/>
    <w:rsid w:val="00E44777"/>
    <w:rsid w:val="00E44F67"/>
    <w:rsid w:val="00E4535F"/>
    <w:rsid w:val="00E455E3"/>
    <w:rsid w:val="00E466BC"/>
    <w:rsid w:val="00E4686A"/>
    <w:rsid w:val="00E479FD"/>
    <w:rsid w:val="00E47A76"/>
    <w:rsid w:val="00E504D6"/>
    <w:rsid w:val="00E50B6F"/>
    <w:rsid w:val="00E50EBE"/>
    <w:rsid w:val="00E50F69"/>
    <w:rsid w:val="00E50FC6"/>
    <w:rsid w:val="00E52372"/>
    <w:rsid w:val="00E5272D"/>
    <w:rsid w:val="00E52786"/>
    <w:rsid w:val="00E52F05"/>
    <w:rsid w:val="00E540CA"/>
    <w:rsid w:val="00E54C83"/>
    <w:rsid w:val="00E55460"/>
    <w:rsid w:val="00E55B28"/>
    <w:rsid w:val="00E56C40"/>
    <w:rsid w:val="00E56D4A"/>
    <w:rsid w:val="00E57119"/>
    <w:rsid w:val="00E5719E"/>
    <w:rsid w:val="00E57D7B"/>
    <w:rsid w:val="00E57EF3"/>
    <w:rsid w:val="00E57F4B"/>
    <w:rsid w:val="00E602E5"/>
    <w:rsid w:val="00E602F8"/>
    <w:rsid w:val="00E6085B"/>
    <w:rsid w:val="00E60FBA"/>
    <w:rsid w:val="00E60FBF"/>
    <w:rsid w:val="00E611AE"/>
    <w:rsid w:val="00E616F9"/>
    <w:rsid w:val="00E61852"/>
    <w:rsid w:val="00E61A0C"/>
    <w:rsid w:val="00E61D22"/>
    <w:rsid w:val="00E61D96"/>
    <w:rsid w:val="00E61E4B"/>
    <w:rsid w:val="00E61E57"/>
    <w:rsid w:val="00E62F6E"/>
    <w:rsid w:val="00E63DA2"/>
    <w:rsid w:val="00E641E8"/>
    <w:rsid w:val="00E642AF"/>
    <w:rsid w:val="00E644C6"/>
    <w:rsid w:val="00E64555"/>
    <w:rsid w:val="00E64595"/>
    <w:rsid w:val="00E646BB"/>
    <w:rsid w:val="00E64B83"/>
    <w:rsid w:val="00E64D24"/>
    <w:rsid w:val="00E64FAF"/>
    <w:rsid w:val="00E653A6"/>
    <w:rsid w:val="00E6549C"/>
    <w:rsid w:val="00E654B9"/>
    <w:rsid w:val="00E6589D"/>
    <w:rsid w:val="00E65E8C"/>
    <w:rsid w:val="00E665E7"/>
    <w:rsid w:val="00E6661C"/>
    <w:rsid w:val="00E66C96"/>
    <w:rsid w:val="00E70130"/>
    <w:rsid w:val="00E706DE"/>
    <w:rsid w:val="00E71063"/>
    <w:rsid w:val="00E715FC"/>
    <w:rsid w:val="00E71A45"/>
    <w:rsid w:val="00E71C21"/>
    <w:rsid w:val="00E72F23"/>
    <w:rsid w:val="00E730FC"/>
    <w:rsid w:val="00E73481"/>
    <w:rsid w:val="00E7385A"/>
    <w:rsid w:val="00E7391F"/>
    <w:rsid w:val="00E73CE6"/>
    <w:rsid w:val="00E74780"/>
    <w:rsid w:val="00E74956"/>
    <w:rsid w:val="00E752F7"/>
    <w:rsid w:val="00E75848"/>
    <w:rsid w:val="00E759D4"/>
    <w:rsid w:val="00E76A3C"/>
    <w:rsid w:val="00E76F9B"/>
    <w:rsid w:val="00E77100"/>
    <w:rsid w:val="00E771FC"/>
    <w:rsid w:val="00E773E5"/>
    <w:rsid w:val="00E77BDD"/>
    <w:rsid w:val="00E806D3"/>
    <w:rsid w:val="00E8104D"/>
    <w:rsid w:val="00E81C34"/>
    <w:rsid w:val="00E81D83"/>
    <w:rsid w:val="00E821BB"/>
    <w:rsid w:val="00E822E9"/>
    <w:rsid w:val="00E826FE"/>
    <w:rsid w:val="00E8275E"/>
    <w:rsid w:val="00E827AF"/>
    <w:rsid w:val="00E82DE9"/>
    <w:rsid w:val="00E8323F"/>
    <w:rsid w:val="00E83253"/>
    <w:rsid w:val="00E83714"/>
    <w:rsid w:val="00E83831"/>
    <w:rsid w:val="00E844AB"/>
    <w:rsid w:val="00E8463C"/>
    <w:rsid w:val="00E84C97"/>
    <w:rsid w:val="00E85005"/>
    <w:rsid w:val="00E85296"/>
    <w:rsid w:val="00E8533B"/>
    <w:rsid w:val="00E85E4E"/>
    <w:rsid w:val="00E86327"/>
    <w:rsid w:val="00E86DF0"/>
    <w:rsid w:val="00E871B7"/>
    <w:rsid w:val="00E87BD2"/>
    <w:rsid w:val="00E87CDC"/>
    <w:rsid w:val="00E908FD"/>
    <w:rsid w:val="00E90B33"/>
    <w:rsid w:val="00E910E4"/>
    <w:rsid w:val="00E911E0"/>
    <w:rsid w:val="00E92115"/>
    <w:rsid w:val="00E93407"/>
    <w:rsid w:val="00E940A8"/>
    <w:rsid w:val="00E94307"/>
    <w:rsid w:val="00E947E8"/>
    <w:rsid w:val="00E94B0F"/>
    <w:rsid w:val="00E9503F"/>
    <w:rsid w:val="00E956F3"/>
    <w:rsid w:val="00E95AA7"/>
    <w:rsid w:val="00E96E68"/>
    <w:rsid w:val="00E97013"/>
    <w:rsid w:val="00E97EA1"/>
    <w:rsid w:val="00EA0BBE"/>
    <w:rsid w:val="00EA18B9"/>
    <w:rsid w:val="00EA1AED"/>
    <w:rsid w:val="00EA1FBC"/>
    <w:rsid w:val="00EA20A1"/>
    <w:rsid w:val="00EA212B"/>
    <w:rsid w:val="00EA24B5"/>
    <w:rsid w:val="00EA2AAA"/>
    <w:rsid w:val="00EA2D44"/>
    <w:rsid w:val="00EA3A1D"/>
    <w:rsid w:val="00EA3CD7"/>
    <w:rsid w:val="00EA3E2D"/>
    <w:rsid w:val="00EA4010"/>
    <w:rsid w:val="00EA429D"/>
    <w:rsid w:val="00EA43AF"/>
    <w:rsid w:val="00EA4676"/>
    <w:rsid w:val="00EA47FB"/>
    <w:rsid w:val="00EA4C7C"/>
    <w:rsid w:val="00EA4D4C"/>
    <w:rsid w:val="00EA554F"/>
    <w:rsid w:val="00EA6250"/>
    <w:rsid w:val="00EA665E"/>
    <w:rsid w:val="00EA66A4"/>
    <w:rsid w:val="00EA6819"/>
    <w:rsid w:val="00EA6A1E"/>
    <w:rsid w:val="00EA6CAC"/>
    <w:rsid w:val="00EA75BD"/>
    <w:rsid w:val="00EA7C47"/>
    <w:rsid w:val="00EB0F0F"/>
    <w:rsid w:val="00EB12A5"/>
    <w:rsid w:val="00EB24D8"/>
    <w:rsid w:val="00EB277B"/>
    <w:rsid w:val="00EB2F20"/>
    <w:rsid w:val="00EB2F35"/>
    <w:rsid w:val="00EB31DB"/>
    <w:rsid w:val="00EB3422"/>
    <w:rsid w:val="00EB3A31"/>
    <w:rsid w:val="00EB4EAF"/>
    <w:rsid w:val="00EB548E"/>
    <w:rsid w:val="00EB5C41"/>
    <w:rsid w:val="00EB5F5A"/>
    <w:rsid w:val="00EB656C"/>
    <w:rsid w:val="00EB657E"/>
    <w:rsid w:val="00EB695E"/>
    <w:rsid w:val="00EB69D1"/>
    <w:rsid w:val="00EB69D4"/>
    <w:rsid w:val="00EB6A3B"/>
    <w:rsid w:val="00EB6FE9"/>
    <w:rsid w:val="00EB72FF"/>
    <w:rsid w:val="00EB756F"/>
    <w:rsid w:val="00EB79C8"/>
    <w:rsid w:val="00EB7E3F"/>
    <w:rsid w:val="00EB7E78"/>
    <w:rsid w:val="00EC0301"/>
    <w:rsid w:val="00EC08B5"/>
    <w:rsid w:val="00EC09C6"/>
    <w:rsid w:val="00EC0EA5"/>
    <w:rsid w:val="00EC1056"/>
    <w:rsid w:val="00EC1470"/>
    <w:rsid w:val="00EC222E"/>
    <w:rsid w:val="00EC2716"/>
    <w:rsid w:val="00EC2DBB"/>
    <w:rsid w:val="00EC2E83"/>
    <w:rsid w:val="00EC358E"/>
    <w:rsid w:val="00EC3FD2"/>
    <w:rsid w:val="00EC4095"/>
    <w:rsid w:val="00EC43B5"/>
    <w:rsid w:val="00EC4537"/>
    <w:rsid w:val="00EC4960"/>
    <w:rsid w:val="00EC4AE3"/>
    <w:rsid w:val="00EC5414"/>
    <w:rsid w:val="00EC54EE"/>
    <w:rsid w:val="00EC59B2"/>
    <w:rsid w:val="00EC5A3B"/>
    <w:rsid w:val="00EC6424"/>
    <w:rsid w:val="00EC786C"/>
    <w:rsid w:val="00EC7ADD"/>
    <w:rsid w:val="00EC7B23"/>
    <w:rsid w:val="00EC7C26"/>
    <w:rsid w:val="00ED04FE"/>
    <w:rsid w:val="00ED0DD0"/>
    <w:rsid w:val="00ED1122"/>
    <w:rsid w:val="00ED1989"/>
    <w:rsid w:val="00ED28F2"/>
    <w:rsid w:val="00ED2F3E"/>
    <w:rsid w:val="00ED3145"/>
    <w:rsid w:val="00ED3309"/>
    <w:rsid w:val="00ED356E"/>
    <w:rsid w:val="00ED35E1"/>
    <w:rsid w:val="00ED3792"/>
    <w:rsid w:val="00ED3BDA"/>
    <w:rsid w:val="00ED46ED"/>
    <w:rsid w:val="00ED5A3B"/>
    <w:rsid w:val="00ED5C30"/>
    <w:rsid w:val="00ED5E02"/>
    <w:rsid w:val="00ED5EED"/>
    <w:rsid w:val="00ED612A"/>
    <w:rsid w:val="00ED6B1C"/>
    <w:rsid w:val="00ED6CF7"/>
    <w:rsid w:val="00ED6F33"/>
    <w:rsid w:val="00ED70A5"/>
    <w:rsid w:val="00ED7716"/>
    <w:rsid w:val="00ED7737"/>
    <w:rsid w:val="00ED7747"/>
    <w:rsid w:val="00ED7CF4"/>
    <w:rsid w:val="00ED7FA2"/>
    <w:rsid w:val="00EE03EA"/>
    <w:rsid w:val="00EE0786"/>
    <w:rsid w:val="00EE1B0E"/>
    <w:rsid w:val="00EE21D5"/>
    <w:rsid w:val="00EE22FB"/>
    <w:rsid w:val="00EE2407"/>
    <w:rsid w:val="00EE26AE"/>
    <w:rsid w:val="00EE29C8"/>
    <w:rsid w:val="00EE2A54"/>
    <w:rsid w:val="00EE2FC2"/>
    <w:rsid w:val="00EE3B6B"/>
    <w:rsid w:val="00EE3B88"/>
    <w:rsid w:val="00EE4B75"/>
    <w:rsid w:val="00EE4D34"/>
    <w:rsid w:val="00EE4DBD"/>
    <w:rsid w:val="00EE605C"/>
    <w:rsid w:val="00EE6AC6"/>
    <w:rsid w:val="00EE6E26"/>
    <w:rsid w:val="00EE784F"/>
    <w:rsid w:val="00EE7A1D"/>
    <w:rsid w:val="00EE7DBD"/>
    <w:rsid w:val="00EF0500"/>
    <w:rsid w:val="00EF0808"/>
    <w:rsid w:val="00EF1002"/>
    <w:rsid w:val="00EF143F"/>
    <w:rsid w:val="00EF1D3B"/>
    <w:rsid w:val="00EF23D8"/>
    <w:rsid w:val="00EF2A5A"/>
    <w:rsid w:val="00EF2A87"/>
    <w:rsid w:val="00EF3A74"/>
    <w:rsid w:val="00EF3AE9"/>
    <w:rsid w:val="00EF3EA5"/>
    <w:rsid w:val="00EF49FB"/>
    <w:rsid w:val="00EF55D6"/>
    <w:rsid w:val="00EF644D"/>
    <w:rsid w:val="00EF6BAD"/>
    <w:rsid w:val="00EF6D29"/>
    <w:rsid w:val="00EF6E79"/>
    <w:rsid w:val="00EF7138"/>
    <w:rsid w:val="00EF7E0B"/>
    <w:rsid w:val="00F00881"/>
    <w:rsid w:val="00F00917"/>
    <w:rsid w:val="00F00B65"/>
    <w:rsid w:val="00F010BB"/>
    <w:rsid w:val="00F012C1"/>
    <w:rsid w:val="00F0175F"/>
    <w:rsid w:val="00F01A41"/>
    <w:rsid w:val="00F03280"/>
    <w:rsid w:val="00F0362A"/>
    <w:rsid w:val="00F0385C"/>
    <w:rsid w:val="00F038BF"/>
    <w:rsid w:val="00F03ABE"/>
    <w:rsid w:val="00F03B69"/>
    <w:rsid w:val="00F04345"/>
    <w:rsid w:val="00F047A4"/>
    <w:rsid w:val="00F04F52"/>
    <w:rsid w:val="00F0510F"/>
    <w:rsid w:val="00F0563F"/>
    <w:rsid w:val="00F05973"/>
    <w:rsid w:val="00F064EF"/>
    <w:rsid w:val="00F06558"/>
    <w:rsid w:val="00F06F42"/>
    <w:rsid w:val="00F07122"/>
    <w:rsid w:val="00F074C9"/>
    <w:rsid w:val="00F07588"/>
    <w:rsid w:val="00F07C82"/>
    <w:rsid w:val="00F07F5E"/>
    <w:rsid w:val="00F1001E"/>
    <w:rsid w:val="00F1055F"/>
    <w:rsid w:val="00F106BB"/>
    <w:rsid w:val="00F10BA6"/>
    <w:rsid w:val="00F11027"/>
    <w:rsid w:val="00F111BA"/>
    <w:rsid w:val="00F1155D"/>
    <w:rsid w:val="00F116DD"/>
    <w:rsid w:val="00F11D9F"/>
    <w:rsid w:val="00F11E31"/>
    <w:rsid w:val="00F12C53"/>
    <w:rsid w:val="00F1360C"/>
    <w:rsid w:val="00F13AA1"/>
    <w:rsid w:val="00F13F2A"/>
    <w:rsid w:val="00F14D9E"/>
    <w:rsid w:val="00F15097"/>
    <w:rsid w:val="00F153F8"/>
    <w:rsid w:val="00F15671"/>
    <w:rsid w:val="00F1643E"/>
    <w:rsid w:val="00F16695"/>
    <w:rsid w:val="00F17159"/>
    <w:rsid w:val="00F1733F"/>
    <w:rsid w:val="00F202E3"/>
    <w:rsid w:val="00F20C6E"/>
    <w:rsid w:val="00F20D6C"/>
    <w:rsid w:val="00F20F03"/>
    <w:rsid w:val="00F218D6"/>
    <w:rsid w:val="00F2255F"/>
    <w:rsid w:val="00F225CF"/>
    <w:rsid w:val="00F22882"/>
    <w:rsid w:val="00F22985"/>
    <w:rsid w:val="00F22AEF"/>
    <w:rsid w:val="00F22F7A"/>
    <w:rsid w:val="00F2343C"/>
    <w:rsid w:val="00F23CFC"/>
    <w:rsid w:val="00F24076"/>
    <w:rsid w:val="00F240CB"/>
    <w:rsid w:val="00F2492F"/>
    <w:rsid w:val="00F2500D"/>
    <w:rsid w:val="00F251B2"/>
    <w:rsid w:val="00F2596D"/>
    <w:rsid w:val="00F25CAA"/>
    <w:rsid w:val="00F26AD6"/>
    <w:rsid w:val="00F2711C"/>
    <w:rsid w:val="00F2720E"/>
    <w:rsid w:val="00F27253"/>
    <w:rsid w:val="00F277E8"/>
    <w:rsid w:val="00F27B04"/>
    <w:rsid w:val="00F27E3D"/>
    <w:rsid w:val="00F27EB2"/>
    <w:rsid w:val="00F301D0"/>
    <w:rsid w:val="00F3069F"/>
    <w:rsid w:val="00F30A02"/>
    <w:rsid w:val="00F30C3F"/>
    <w:rsid w:val="00F30C60"/>
    <w:rsid w:val="00F30F38"/>
    <w:rsid w:val="00F311D1"/>
    <w:rsid w:val="00F3158A"/>
    <w:rsid w:val="00F318DB"/>
    <w:rsid w:val="00F3199C"/>
    <w:rsid w:val="00F31F7D"/>
    <w:rsid w:val="00F31FB9"/>
    <w:rsid w:val="00F326F6"/>
    <w:rsid w:val="00F32AFF"/>
    <w:rsid w:val="00F33825"/>
    <w:rsid w:val="00F33A8B"/>
    <w:rsid w:val="00F33D3B"/>
    <w:rsid w:val="00F34A96"/>
    <w:rsid w:val="00F34EBF"/>
    <w:rsid w:val="00F34F05"/>
    <w:rsid w:val="00F356D5"/>
    <w:rsid w:val="00F359A5"/>
    <w:rsid w:val="00F35DA8"/>
    <w:rsid w:val="00F361AE"/>
    <w:rsid w:val="00F36240"/>
    <w:rsid w:val="00F363EB"/>
    <w:rsid w:val="00F365DE"/>
    <w:rsid w:val="00F366DA"/>
    <w:rsid w:val="00F367CF"/>
    <w:rsid w:val="00F36D37"/>
    <w:rsid w:val="00F3719A"/>
    <w:rsid w:val="00F379BF"/>
    <w:rsid w:val="00F37EA7"/>
    <w:rsid w:val="00F40805"/>
    <w:rsid w:val="00F40B93"/>
    <w:rsid w:val="00F40C5E"/>
    <w:rsid w:val="00F40E3E"/>
    <w:rsid w:val="00F4163A"/>
    <w:rsid w:val="00F41873"/>
    <w:rsid w:val="00F419C3"/>
    <w:rsid w:val="00F41D91"/>
    <w:rsid w:val="00F41E2B"/>
    <w:rsid w:val="00F423BE"/>
    <w:rsid w:val="00F424A5"/>
    <w:rsid w:val="00F425EF"/>
    <w:rsid w:val="00F428AC"/>
    <w:rsid w:val="00F42AAD"/>
    <w:rsid w:val="00F42EE3"/>
    <w:rsid w:val="00F43149"/>
    <w:rsid w:val="00F43660"/>
    <w:rsid w:val="00F43B91"/>
    <w:rsid w:val="00F44542"/>
    <w:rsid w:val="00F448DD"/>
    <w:rsid w:val="00F44D6A"/>
    <w:rsid w:val="00F44DB8"/>
    <w:rsid w:val="00F44F03"/>
    <w:rsid w:val="00F45760"/>
    <w:rsid w:val="00F45925"/>
    <w:rsid w:val="00F46BA6"/>
    <w:rsid w:val="00F46C97"/>
    <w:rsid w:val="00F4703E"/>
    <w:rsid w:val="00F4775F"/>
    <w:rsid w:val="00F50781"/>
    <w:rsid w:val="00F50CA3"/>
    <w:rsid w:val="00F517ED"/>
    <w:rsid w:val="00F51F3F"/>
    <w:rsid w:val="00F528B5"/>
    <w:rsid w:val="00F528E7"/>
    <w:rsid w:val="00F52C8A"/>
    <w:rsid w:val="00F5352D"/>
    <w:rsid w:val="00F53615"/>
    <w:rsid w:val="00F53A91"/>
    <w:rsid w:val="00F54466"/>
    <w:rsid w:val="00F54783"/>
    <w:rsid w:val="00F547E9"/>
    <w:rsid w:val="00F5494E"/>
    <w:rsid w:val="00F54ABE"/>
    <w:rsid w:val="00F55804"/>
    <w:rsid w:val="00F55F1A"/>
    <w:rsid w:val="00F56310"/>
    <w:rsid w:val="00F5684C"/>
    <w:rsid w:val="00F57210"/>
    <w:rsid w:val="00F577FC"/>
    <w:rsid w:val="00F602F0"/>
    <w:rsid w:val="00F60C90"/>
    <w:rsid w:val="00F619EE"/>
    <w:rsid w:val="00F61CF5"/>
    <w:rsid w:val="00F61FF9"/>
    <w:rsid w:val="00F62069"/>
    <w:rsid w:val="00F62159"/>
    <w:rsid w:val="00F62A7C"/>
    <w:rsid w:val="00F62B93"/>
    <w:rsid w:val="00F633E5"/>
    <w:rsid w:val="00F63C89"/>
    <w:rsid w:val="00F647EC"/>
    <w:rsid w:val="00F64FAB"/>
    <w:rsid w:val="00F65AC8"/>
    <w:rsid w:val="00F65CEA"/>
    <w:rsid w:val="00F65F15"/>
    <w:rsid w:val="00F66443"/>
    <w:rsid w:val="00F675EA"/>
    <w:rsid w:val="00F7073B"/>
    <w:rsid w:val="00F7074A"/>
    <w:rsid w:val="00F70AD6"/>
    <w:rsid w:val="00F71687"/>
    <w:rsid w:val="00F71708"/>
    <w:rsid w:val="00F717C1"/>
    <w:rsid w:val="00F71AAE"/>
    <w:rsid w:val="00F71CDB"/>
    <w:rsid w:val="00F725D3"/>
    <w:rsid w:val="00F7281E"/>
    <w:rsid w:val="00F72C1A"/>
    <w:rsid w:val="00F72C3D"/>
    <w:rsid w:val="00F737AB"/>
    <w:rsid w:val="00F74216"/>
    <w:rsid w:val="00F74F0F"/>
    <w:rsid w:val="00F75731"/>
    <w:rsid w:val="00F75841"/>
    <w:rsid w:val="00F76333"/>
    <w:rsid w:val="00F770C6"/>
    <w:rsid w:val="00F77100"/>
    <w:rsid w:val="00F8090F"/>
    <w:rsid w:val="00F80A8A"/>
    <w:rsid w:val="00F80B47"/>
    <w:rsid w:val="00F8139A"/>
    <w:rsid w:val="00F82AAE"/>
    <w:rsid w:val="00F834BE"/>
    <w:rsid w:val="00F838A9"/>
    <w:rsid w:val="00F849E3"/>
    <w:rsid w:val="00F84B4E"/>
    <w:rsid w:val="00F84C44"/>
    <w:rsid w:val="00F84F30"/>
    <w:rsid w:val="00F851B7"/>
    <w:rsid w:val="00F8566C"/>
    <w:rsid w:val="00F858D4"/>
    <w:rsid w:val="00F85C65"/>
    <w:rsid w:val="00F860EB"/>
    <w:rsid w:val="00F868B6"/>
    <w:rsid w:val="00F86968"/>
    <w:rsid w:val="00F86E42"/>
    <w:rsid w:val="00F876E6"/>
    <w:rsid w:val="00F87825"/>
    <w:rsid w:val="00F87838"/>
    <w:rsid w:val="00F879E8"/>
    <w:rsid w:val="00F87FCE"/>
    <w:rsid w:val="00F9008B"/>
    <w:rsid w:val="00F90232"/>
    <w:rsid w:val="00F909C7"/>
    <w:rsid w:val="00F91669"/>
    <w:rsid w:val="00F916DE"/>
    <w:rsid w:val="00F9184F"/>
    <w:rsid w:val="00F91943"/>
    <w:rsid w:val="00F9231D"/>
    <w:rsid w:val="00F92A66"/>
    <w:rsid w:val="00F931CF"/>
    <w:rsid w:val="00F93A31"/>
    <w:rsid w:val="00F93D6E"/>
    <w:rsid w:val="00F9423D"/>
    <w:rsid w:val="00F942C2"/>
    <w:rsid w:val="00F94609"/>
    <w:rsid w:val="00F94F16"/>
    <w:rsid w:val="00F95182"/>
    <w:rsid w:val="00F957D2"/>
    <w:rsid w:val="00F95D94"/>
    <w:rsid w:val="00F96F86"/>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7029"/>
    <w:rsid w:val="00FA7157"/>
    <w:rsid w:val="00FA73A6"/>
    <w:rsid w:val="00FA7662"/>
    <w:rsid w:val="00FA7698"/>
    <w:rsid w:val="00FA78C2"/>
    <w:rsid w:val="00FA7A2D"/>
    <w:rsid w:val="00FA7B4F"/>
    <w:rsid w:val="00FA7D8F"/>
    <w:rsid w:val="00FA7DA6"/>
    <w:rsid w:val="00FB02F8"/>
    <w:rsid w:val="00FB06E7"/>
    <w:rsid w:val="00FB0822"/>
    <w:rsid w:val="00FB0AC3"/>
    <w:rsid w:val="00FB1093"/>
    <w:rsid w:val="00FB13A0"/>
    <w:rsid w:val="00FB2142"/>
    <w:rsid w:val="00FB227E"/>
    <w:rsid w:val="00FB25DA"/>
    <w:rsid w:val="00FB267D"/>
    <w:rsid w:val="00FB2A18"/>
    <w:rsid w:val="00FB2BF4"/>
    <w:rsid w:val="00FB2C8D"/>
    <w:rsid w:val="00FB2DC6"/>
    <w:rsid w:val="00FB2FD0"/>
    <w:rsid w:val="00FB333A"/>
    <w:rsid w:val="00FB39EB"/>
    <w:rsid w:val="00FB4267"/>
    <w:rsid w:val="00FB59D4"/>
    <w:rsid w:val="00FB5E81"/>
    <w:rsid w:val="00FB6E6C"/>
    <w:rsid w:val="00FB71B0"/>
    <w:rsid w:val="00FB7ABA"/>
    <w:rsid w:val="00FB7C21"/>
    <w:rsid w:val="00FB7C46"/>
    <w:rsid w:val="00FC04E0"/>
    <w:rsid w:val="00FC06CE"/>
    <w:rsid w:val="00FC0D98"/>
    <w:rsid w:val="00FC0E2F"/>
    <w:rsid w:val="00FC1042"/>
    <w:rsid w:val="00FC11C6"/>
    <w:rsid w:val="00FC17D8"/>
    <w:rsid w:val="00FC279A"/>
    <w:rsid w:val="00FC324D"/>
    <w:rsid w:val="00FC39A1"/>
    <w:rsid w:val="00FC3BC3"/>
    <w:rsid w:val="00FC3E47"/>
    <w:rsid w:val="00FC4B53"/>
    <w:rsid w:val="00FC4BAE"/>
    <w:rsid w:val="00FC4F75"/>
    <w:rsid w:val="00FC5160"/>
    <w:rsid w:val="00FC5A36"/>
    <w:rsid w:val="00FC6353"/>
    <w:rsid w:val="00FC69CF"/>
    <w:rsid w:val="00FC6B0B"/>
    <w:rsid w:val="00FC713B"/>
    <w:rsid w:val="00FC7504"/>
    <w:rsid w:val="00FC7862"/>
    <w:rsid w:val="00FC79D5"/>
    <w:rsid w:val="00FC7B35"/>
    <w:rsid w:val="00FC7B53"/>
    <w:rsid w:val="00FC7BD8"/>
    <w:rsid w:val="00FD0177"/>
    <w:rsid w:val="00FD0AE7"/>
    <w:rsid w:val="00FD0B44"/>
    <w:rsid w:val="00FD0F70"/>
    <w:rsid w:val="00FD2315"/>
    <w:rsid w:val="00FD29A7"/>
    <w:rsid w:val="00FD2B15"/>
    <w:rsid w:val="00FD3092"/>
    <w:rsid w:val="00FD3D48"/>
    <w:rsid w:val="00FD412E"/>
    <w:rsid w:val="00FD420F"/>
    <w:rsid w:val="00FD4339"/>
    <w:rsid w:val="00FD4B0C"/>
    <w:rsid w:val="00FD4F2F"/>
    <w:rsid w:val="00FD51F7"/>
    <w:rsid w:val="00FD5258"/>
    <w:rsid w:val="00FD5602"/>
    <w:rsid w:val="00FD5661"/>
    <w:rsid w:val="00FD5A2A"/>
    <w:rsid w:val="00FD5AE2"/>
    <w:rsid w:val="00FD62B4"/>
    <w:rsid w:val="00FD7142"/>
    <w:rsid w:val="00FD750F"/>
    <w:rsid w:val="00FE011C"/>
    <w:rsid w:val="00FE0458"/>
    <w:rsid w:val="00FE07DC"/>
    <w:rsid w:val="00FE08FB"/>
    <w:rsid w:val="00FE1116"/>
    <w:rsid w:val="00FE2075"/>
    <w:rsid w:val="00FE2080"/>
    <w:rsid w:val="00FE27B9"/>
    <w:rsid w:val="00FE2E37"/>
    <w:rsid w:val="00FE30EF"/>
    <w:rsid w:val="00FE3640"/>
    <w:rsid w:val="00FE36B6"/>
    <w:rsid w:val="00FE3780"/>
    <w:rsid w:val="00FE3954"/>
    <w:rsid w:val="00FE3AE5"/>
    <w:rsid w:val="00FE3CF7"/>
    <w:rsid w:val="00FE4071"/>
    <w:rsid w:val="00FE42E3"/>
    <w:rsid w:val="00FE4ECD"/>
    <w:rsid w:val="00FE52B7"/>
    <w:rsid w:val="00FE53C5"/>
    <w:rsid w:val="00FE56A8"/>
    <w:rsid w:val="00FE5807"/>
    <w:rsid w:val="00FE5C39"/>
    <w:rsid w:val="00FE5C57"/>
    <w:rsid w:val="00FE624E"/>
    <w:rsid w:val="00FE6415"/>
    <w:rsid w:val="00FE69E7"/>
    <w:rsid w:val="00FE6BB8"/>
    <w:rsid w:val="00FE6E76"/>
    <w:rsid w:val="00FF027B"/>
    <w:rsid w:val="00FF1174"/>
    <w:rsid w:val="00FF165A"/>
    <w:rsid w:val="00FF1B72"/>
    <w:rsid w:val="00FF1CF1"/>
    <w:rsid w:val="00FF1F4C"/>
    <w:rsid w:val="00FF1F90"/>
    <w:rsid w:val="00FF228F"/>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1145473"/>
    <w:rsid w:val="01170BF2"/>
    <w:rsid w:val="01207171"/>
    <w:rsid w:val="01422176"/>
    <w:rsid w:val="0143581A"/>
    <w:rsid w:val="015502C6"/>
    <w:rsid w:val="015B703A"/>
    <w:rsid w:val="01AA2C10"/>
    <w:rsid w:val="01E3527C"/>
    <w:rsid w:val="01EF3980"/>
    <w:rsid w:val="021B6523"/>
    <w:rsid w:val="02423BC5"/>
    <w:rsid w:val="024E4B4B"/>
    <w:rsid w:val="02500776"/>
    <w:rsid w:val="02555813"/>
    <w:rsid w:val="025657AD"/>
    <w:rsid w:val="02CF1221"/>
    <w:rsid w:val="02DB0B53"/>
    <w:rsid w:val="02DC20C4"/>
    <w:rsid w:val="02DC29D3"/>
    <w:rsid w:val="02E30EB0"/>
    <w:rsid w:val="02EA04F8"/>
    <w:rsid w:val="02F254D6"/>
    <w:rsid w:val="03123DCA"/>
    <w:rsid w:val="031B650C"/>
    <w:rsid w:val="033643D3"/>
    <w:rsid w:val="03457CFC"/>
    <w:rsid w:val="034C6030"/>
    <w:rsid w:val="03595555"/>
    <w:rsid w:val="03667C72"/>
    <w:rsid w:val="037738D8"/>
    <w:rsid w:val="037A0B0F"/>
    <w:rsid w:val="03885BCE"/>
    <w:rsid w:val="0392072B"/>
    <w:rsid w:val="03A013D6"/>
    <w:rsid w:val="03AF33C7"/>
    <w:rsid w:val="03E94977"/>
    <w:rsid w:val="03FF60FC"/>
    <w:rsid w:val="04272850"/>
    <w:rsid w:val="0442423B"/>
    <w:rsid w:val="044E2BE0"/>
    <w:rsid w:val="044F4634"/>
    <w:rsid w:val="04765325"/>
    <w:rsid w:val="048D195A"/>
    <w:rsid w:val="04C25910"/>
    <w:rsid w:val="050D2A9B"/>
    <w:rsid w:val="05414E92"/>
    <w:rsid w:val="05790131"/>
    <w:rsid w:val="05791A60"/>
    <w:rsid w:val="05854B8E"/>
    <w:rsid w:val="059D3E1F"/>
    <w:rsid w:val="05A312E2"/>
    <w:rsid w:val="05A514AC"/>
    <w:rsid w:val="05A6010F"/>
    <w:rsid w:val="05E11832"/>
    <w:rsid w:val="05E7762B"/>
    <w:rsid w:val="06265907"/>
    <w:rsid w:val="062E4A77"/>
    <w:rsid w:val="067835DA"/>
    <w:rsid w:val="068955F4"/>
    <w:rsid w:val="06DC0977"/>
    <w:rsid w:val="070D0B30"/>
    <w:rsid w:val="071E3C0C"/>
    <w:rsid w:val="073D468D"/>
    <w:rsid w:val="075F0692"/>
    <w:rsid w:val="077A65DF"/>
    <w:rsid w:val="07BB7871"/>
    <w:rsid w:val="07DB054A"/>
    <w:rsid w:val="07F97408"/>
    <w:rsid w:val="080D4B60"/>
    <w:rsid w:val="082F2519"/>
    <w:rsid w:val="083D2AF4"/>
    <w:rsid w:val="08585DDB"/>
    <w:rsid w:val="08650F92"/>
    <w:rsid w:val="086D5141"/>
    <w:rsid w:val="0873752E"/>
    <w:rsid w:val="088C017B"/>
    <w:rsid w:val="089303A1"/>
    <w:rsid w:val="089808CE"/>
    <w:rsid w:val="08D4415D"/>
    <w:rsid w:val="08F53B23"/>
    <w:rsid w:val="092060A3"/>
    <w:rsid w:val="092F3D18"/>
    <w:rsid w:val="093738EA"/>
    <w:rsid w:val="09756D49"/>
    <w:rsid w:val="097826CE"/>
    <w:rsid w:val="098D72CE"/>
    <w:rsid w:val="099F4CD6"/>
    <w:rsid w:val="09A6526C"/>
    <w:rsid w:val="09E60F96"/>
    <w:rsid w:val="09EB2C7F"/>
    <w:rsid w:val="09F2225F"/>
    <w:rsid w:val="0A053C89"/>
    <w:rsid w:val="0A070656"/>
    <w:rsid w:val="0A147C03"/>
    <w:rsid w:val="0A1E592A"/>
    <w:rsid w:val="0A267F19"/>
    <w:rsid w:val="0A6D18E6"/>
    <w:rsid w:val="0A913ED8"/>
    <w:rsid w:val="0AA60261"/>
    <w:rsid w:val="0ABB6AF5"/>
    <w:rsid w:val="0ABD286D"/>
    <w:rsid w:val="0ABF0394"/>
    <w:rsid w:val="0AE61DC4"/>
    <w:rsid w:val="0AFB3396"/>
    <w:rsid w:val="0B154457"/>
    <w:rsid w:val="0B24171E"/>
    <w:rsid w:val="0B4E5BBB"/>
    <w:rsid w:val="0B5C3243"/>
    <w:rsid w:val="0B5E59FA"/>
    <w:rsid w:val="0B602F7F"/>
    <w:rsid w:val="0B6115E9"/>
    <w:rsid w:val="0B6902FF"/>
    <w:rsid w:val="0B7242FE"/>
    <w:rsid w:val="0B7A7000"/>
    <w:rsid w:val="0B970D88"/>
    <w:rsid w:val="0B9A7040"/>
    <w:rsid w:val="0BA120A0"/>
    <w:rsid w:val="0BAD59A4"/>
    <w:rsid w:val="0BB329F1"/>
    <w:rsid w:val="0BCC11C3"/>
    <w:rsid w:val="0BDE0106"/>
    <w:rsid w:val="0BEF6A57"/>
    <w:rsid w:val="0BEF6BE8"/>
    <w:rsid w:val="0C357211"/>
    <w:rsid w:val="0C376758"/>
    <w:rsid w:val="0C466B45"/>
    <w:rsid w:val="0C467A13"/>
    <w:rsid w:val="0C762CD4"/>
    <w:rsid w:val="0C963376"/>
    <w:rsid w:val="0CD10852"/>
    <w:rsid w:val="0CEC12AF"/>
    <w:rsid w:val="0D1F6B15"/>
    <w:rsid w:val="0D584403"/>
    <w:rsid w:val="0D6B3669"/>
    <w:rsid w:val="0D837D9E"/>
    <w:rsid w:val="0D886C01"/>
    <w:rsid w:val="0D9217FF"/>
    <w:rsid w:val="0DA57703"/>
    <w:rsid w:val="0DC24FC9"/>
    <w:rsid w:val="0DC61A39"/>
    <w:rsid w:val="0DEE7765"/>
    <w:rsid w:val="0DF62D23"/>
    <w:rsid w:val="0E0B11FA"/>
    <w:rsid w:val="0E1B3F19"/>
    <w:rsid w:val="0E2A1FC8"/>
    <w:rsid w:val="0E527771"/>
    <w:rsid w:val="0E700754"/>
    <w:rsid w:val="0EB0180F"/>
    <w:rsid w:val="0EBF032A"/>
    <w:rsid w:val="0EDE3842"/>
    <w:rsid w:val="0F0335C9"/>
    <w:rsid w:val="0F204221"/>
    <w:rsid w:val="0F213035"/>
    <w:rsid w:val="0F2B5D1F"/>
    <w:rsid w:val="0F3B3D47"/>
    <w:rsid w:val="0F6C5FE1"/>
    <w:rsid w:val="0F7D081D"/>
    <w:rsid w:val="0F803E6A"/>
    <w:rsid w:val="0F8E37C8"/>
    <w:rsid w:val="0F9A13CF"/>
    <w:rsid w:val="0FD3043D"/>
    <w:rsid w:val="0FE97C61"/>
    <w:rsid w:val="10086339"/>
    <w:rsid w:val="101C0A97"/>
    <w:rsid w:val="101F38C3"/>
    <w:rsid w:val="102313C5"/>
    <w:rsid w:val="104D01F0"/>
    <w:rsid w:val="105C6685"/>
    <w:rsid w:val="10AF4A06"/>
    <w:rsid w:val="10B822C3"/>
    <w:rsid w:val="10F67974"/>
    <w:rsid w:val="110C4121"/>
    <w:rsid w:val="11357601"/>
    <w:rsid w:val="117B2B3A"/>
    <w:rsid w:val="11A110D7"/>
    <w:rsid w:val="11D434DA"/>
    <w:rsid w:val="12312651"/>
    <w:rsid w:val="12685FCD"/>
    <w:rsid w:val="12715AC8"/>
    <w:rsid w:val="1279351E"/>
    <w:rsid w:val="1280574C"/>
    <w:rsid w:val="12AA7B7B"/>
    <w:rsid w:val="12D62275"/>
    <w:rsid w:val="12E87CB4"/>
    <w:rsid w:val="12F26454"/>
    <w:rsid w:val="13427DB4"/>
    <w:rsid w:val="134753CA"/>
    <w:rsid w:val="13A16CBF"/>
    <w:rsid w:val="13AA5959"/>
    <w:rsid w:val="13B751E9"/>
    <w:rsid w:val="13BB6B20"/>
    <w:rsid w:val="13D80DE3"/>
    <w:rsid w:val="13E44C8F"/>
    <w:rsid w:val="13EF0479"/>
    <w:rsid w:val="141F66D1"/>
    <w:rsid w:val="146F2C7A"/>
    <w:rsid w:val="14751CD5"/>
    <w:rsid w:val="149E4992"/>
    <w:rsid w:val="14C11485"/>
    <w:rsid w:val="14F00A0F"/>
    <w:rsid w:val="14FE7D0A"/>
    <w:rsid w:val="15080B89"/>
    <w:rsid w:val="150F0169"/>
    <w:rsid w:val="151A0B57"/>
    <w:rsid w:val="1528122B"/>
    <w:rsid w:val="15485AA9"/>
    <w:rsid w:val="154F1265"/>
    <w:rsid w:val="155618F4"/>
    <w:rsid w:val="158A3C94"/>
    <w:rsid w:val="158C2D9C"/>
    <w:rsid w:val="15A13C8F"/>
    <w:rsid w:val="15D05B4B"/>
    <w:rsid w:val="15D268AA"/>
    <w:rsid w:val="15E74C42"/>
    <w:rsid w:val="16101D7E"/>
    <w:rsid w:val="161248DA"/>
    <w:rsid w:val="1638724C"/>
    <w:rsid w:val="165B0ABE"/>
    <w:rsid w:val="16690834"/>
    <w:rsid w:val="166D18B3"/>
    <w:rsid w:val="167069E6"/>
    <w:rsid w:val="16A7201F"/>
    <w:rsid w:val="16BE1E47"/>
    <w:rsid w:val="170E5D26"/>
    <w:rsid w:val="17451C21"/>
    <w:rsid w:val="1757398F"/>
    <w:rsid w:val="17606E66"/>
    <w:rsid w:val="17626C76"/>
    <w:rsid w:val="17694B12"/>
    <w:rsid w:val="178633B3"/>
    <w:rsid w:val="17885FB1"/>
    <w:rsid w:val="178A7F7B"/>
    <w:rsid w:val="178B2C19"/>
    <w:rsid w:val="179606CE"/>
    <w:rsid w:val="17A27073"/>
    <w:rsid w:val="17AF353E"/>
    <w:rsid w:val="17BD5C5B"/>
    <w:rsid w:val="17BE59A2"/>
    <w:rsid w:val="17EB24DE"/>
    <w:rsid w:val="17EB6C6C"/>
    <w:rsid w:val="17EC61EC"/>
    <w:rsid w:val="17ED2C6B"/>
    <w:rsid w:val="18001DBA"/>
    <w:rsid w:val="18185849"/>
    <w:rsid w:val="18271890"/>
    <w:rsid w:val="184A42DA"/>
    <w:rsid w:val="187F1162"/>
    <w:rsid w:val="18814EDA"/>
    <w:rsid w:val="188F58CF"/>
    <w:rsid w:val="18950986"/>
    <w:rsid w:val="18C876D8"/>
    <w:rsid w:val="18E611E1"/>
    <w:rsid w:val="18ED735A"/>
    <w:rsid w:val="192166BD"/>
    <w:rsid w:val="193463F1"/>
    <w:rsid w:val="19393A07"/>
    <w:rsid w:val="194B4755"/>
    <w:rsid w:val="19A5109C"/>
    <w:rsid w:val="19C3097F"/>
    <w:rsid w:val="19D674A8"/>
    <w:rsid w:val="19E46D6E"/>
    <w:rsid w:val="1A031D3C"/>
    <w:rsid w:val="1A061349"/>
    <w:rsid w:val="1A073245"/>
    <w:rsid w:val="1A174234"/>
    <w:rsid w:val="1A442DE9"/>
    <w:rsid w:val="1A56143D"/>
    <w:rsid w:val="1A7A42D7"/>
    <w:rsid w:val="1AA616FE"/>
    <w:rsid w:val="1AAA24BD"/>
    <w:rsid w:val="1AC35C98"/>
    <w:rsid w:val="1ACA018D"/>
    <w:rsid w:val="1AD25EC1"/>
    <w:rsid w:val="1AFB2E83"/>
    <w:rsid w:val="1AFF658A"/>
    <w:rsid w:val="1B101769"/>
    <w:rsid w:val="1B1738D4"/>
    <w:rsid w:val="1B25482F"/>
    <w:rsid w:val="1B372632"/>
    <w:rsid w:val="1B3C0EE4"/>
    <w:rsid w:val="1B854CE1"/>
    <w:rsid w:val="1B953983"/>
    <w:rsid w:val="1BAF3A7B"/>
    <w:rsid w:val="1BC305D3"/>
    <w:rsid w:val="1BE06796"/>
    <w:rsid w:val="1BEA548C"/>
    <w:rsid w:val="1BF44E78"/>
    <w:rsid w:val="1BF47D8F"/>
    <w:rsid w:val="1C086F4F"/>
    <w:rsid w:val="1C24274C"/>
    <w:rsid w:val="1C2A7F82"/>
    <w:rsid w:val="1C5841A4"/>
    <w:rsid w:val="1C646FED"/>
    <w:rsid w:val="1C7E43A1"/>
    <w:rsid w:val="1C96375A"/>
    <w:rsid w:val="1CD55680"/>
    <w:rsid w:val="1D321E13"/>
    <w:rsid w:val="1D392252"/>
    <w:rsid w:val="1D772D50"/>
    <w:rsid w:val="1D81772B"/>
    <w:rsid w:val="1D8334A3"/>
    <w:rsid w:val="1DA344B8"/>
    <w:rsid w:val="1DAC50F0"/>
    <w:rsid w:val="1DB0683B"/>
    <w:rsid w:val="1DBC044E"/>
    <w:rsid w:val="1DE702CC"/>
    <w:rsid w:val="1E064B3B"/>
    <w:rsid w:val="1E1B011F"/>
    <w:rsid w:val="1E5F3164"/>
    <w:rsid w:val="1E62755C"/>
    <w:rsid w:val="1E88623C"/>
    <w:rsid w:val="1ED15378"/>
    <w:rsid w:val="1F2D4C2A"/>
    <w:rsid w:val="1F37200A"/>
    <w:rsid w:val="1F3C7DAD"/>
    <w:rsid w:val="1F4849CA"/>
    <w:rsid w:val="1F4934E4"/>
    <w:rsid w:val="1F4D3D68"/>
    <w:rsid w:val="1F574B03"/>
    <w:rsid w:val="1F751511"/>
    <w:rsid w:val="1F843F90"/>
    <w:rsid w:val="1F871C7C"/>
    <w:rsid w:val="1F873477"/>
    <w:rsid w:val="1F900A1F"/>
    <w:rsid w:val="1F9D6372"/>
    <w:rsid w:val="1FAD2191"/>
    <w:rsid w:val="1FE741BD"/>
    <w:rsid w:val="1FEC4E88"/>
    <w:rsid w:val="200456B9"/>
    <w:rsid w:val="200B5EB9"/>
    <w:rsid w:val="202A7DFC"/>
    <w:rsid w:val="204A474C"/>
    <w:rsid w:val="2059788E"/>
    <w:rsid w:val="20870D70"/>
    <w:rsid w:val="20AF45AF"/>
    <w:rsid w:val="20B00655"/>
    <w:rsid w:val="20C0517F"/>
    <w:rsid w:val="20C1476D"/>
    <w:rsid w:val="20D858B3"/>
    <w:rsid w:val="210659F0"/>
    <w:rsid w:val="2133798D"/>
    <w:rsid w:val="213D39FA"/>
    <w:rsid w:val="21455F84"/>
    <w:rsid w:val="21495609"/>
    <w:rsid w:val="216D6944"/>
    <w:rsid w:val="218A699A"/>
    <w:rsid w:val="219C2D85"/>
    <w:rsid w:val="21A07893"/>
    <w:rsid w:val="21B11354"/>
    <w:rsid w:val="21B5797F"/>
    <w:rsid w:val="21ED4154"/>
    <w:rsid w:val="220D1A93"/>
    <w:rsid w:val="22117056"/>
    <w:rsid w:val="22370D00"/>
    <w:rsid w:val="224551CB"/>
    <w:rsid w:val="227C4964"/>
    <w:rsid w:val="22A5210D"/>
    <w:rsid w:val="22E04EF3"/>
    <w:rsid w:val="22FF7A6F"/>
    <w:rsid w:val="2305307D"/>
    <w:rsid w:val="230C7A96"/>
    <w:rsid w:val="23177672"/>
    <w:rsid w:val="234A2BA6"/>
    <w:rsid w:val="23604F8C"/>
    <w:rsid w:val="23674086"/>
    <w:rsid w:val="2389558B"/>
    <w:rsid w:val="238A3DF9"/>
    <w:rsid w:val="23B35063"/>
    <w:rsid w:val="23D60969"/>
    <w:rsid w:val="23D83D9F"/>
    <w:rsid w:val="23D84719"/>
    <w:rsid w:val="23DF164F"/>
    <w:rsid w:val="24062738"/>
    <w:rsid w:val="243366B7"/>
    <w:rsid w:val="24417C14"/>
    <w:rsid w:val="246833F2"/>
    <w:rsid w:val="24977600"/>
    <w:rsid w:val="24A10C41"/>
    <w:rsid w:val="24B831E2"/>
    <w:rsid w:val="24BB5C18"/>
    <w:rsid w:val="24C148B0"/>
    <w:rsid w:val="250B120F"/>
    <w:rsid w:val="252437BD"/>
    <w:rsid w:val="25257535"/>
    <w:rsid w:val="252C7220"/>
    <w:rsid w:val="252D7B27"/>
    <w:rsid w:val="255D282B"/>
    <w:rsid w:val="255E0351"/>
    <w:rsid w:val="25855239"/>
    <w:rsid w:val="25996B41"/>
    <w:rsid w:val="25A12635"/>
    <w:rsid w:val="25A8248F"/>
    <w:rsid w:val="25BC1C48"/>
    <w:rsid w:val="25BD6D2B"/>
    <w:rsid w:val="25DD3A49"/>
    <w:rsid w:val="25EB6089"/>
    <w:rsid w:val="25F44C8B"/>
    <w:rsid w:val="26030FFB"/>
    <w:rsid w:val="261E645E"/>
    <w:rsid w:val="262E235B"/>
    <w:rsid w:val="2637307C"/>
    <w:rsid w:val="263A491A"/>
    <w:rsid w:val="26573BCF"/>
    <w:rsid w:val="26693A33"/>
    <w:rsid w:val="26972907"/>
    <w:rsid w:val="26A50560"/>
    <w:rsid w:val="26A74843"/>
    <w:rsid w:val="26E975DE"/>
    <w:rsid w:val="26F5471B"/>
    <w:rsid w:val="270A69E3"/>
    <w:rsid w:val="270C3E08"/>
    <w:rsid w:val="270F55EE"/>
    <w:rsid w:val="271413C9"/>
    <w:rsid w:val="272F1A96"/>
    <w:rsid w:val="276428BB"/>
    <w:rsid w:val="27BE5BBA"/>
    <w:rsid w:val="27F52753"/>
    <w:rsid w:val="283B4A62"/>
    <w:rsid w:val="289A0DF9"/>
    <w:rsid w:val="28AE2D85"/>
    <w:rsid w:val="28F31788"/>
    <w:rsid w:val="292304C4"/>
    <w:rsid w:val="293146FB"/>
    <w:rsid w:val="294319DA"/>
    <w:rsid w:val="29475CCC"/>
    <w:rsid w:val="2961371B"/>
    <w:rsid w:val="29622B06"/>
    <w:rsid w:val="296F27E6"/>
    <w:rsid w:val="297B0CF7"/>
    <w:rsid w:val="298B3D07"/>
    <w:rsid w:val="299A2D2E"/>
    <w:rsid w:val="29BF3AB4"/>
    <w:rsid w:val="29C14FD0"/>
    <w:rsid w:val="29CE18C8"/>
    <w:rsid w:val="29E3367D"/>
    <w:rsid w:val="2A2313DA"/>
    <w:rsid w:val="2A44625D"/>
    <w:rsid w:val="2A4A348B"/>
    <w:rsid w:val="2A68171A"/>
    <w:rsid w:val="2A8E4195"/>
    <w:rsid w:val="2AA15DF8"/>
    <w:rsid w:val="2AB8479E"/>
    <w:rsid w:val="2AC15198"/>
    <w:rsid w:val="2ADA274F"/>
    <w:rsid w:val="2AE5579D"/>
    <w:rsid w:val="2AF61A56"/>
    <w:rsid w:val="2B3F63F6"/>
    <w:rsid w:val="2B406E77"/>
    <w:rsid w:val="2B421FE8"/>
    <w:rsid w:val="2B5E72FD"/>
    <w:rsid w:val="2B822DA1"/>
    <w:rsid w:val="2BA07916"/>
    <w:rsid w:val="2BA94A1C"/>
    <w:rsid w:val="2BD5034F"/>
    <w:rsid w:val="2BD559B4"/>
    <w:rsid w:val="2BE81CF0"/>
    <w:rsid w:val="2C136339"/>
    <w:rsid w:val="2C15751B"/>
    <w:rsid w:val="2C732BFC"/>
    <w:rsid w:val="2C874CEF"/>
    <w:rsid w:val="2C9A6113"/>
    <w:rsid w:val="2CD42048"/>
    <w:rsid w:val="2CFA4778"/>
    <w:rsid w:val="2D157E8F"/>
    <w:rsid w:val="2D3C71CA"/>
    <w:rsid w:val="2D785E31"/>
    <w:rsid w:val="2DB33930"/>
    <w:rsid w:val="2DB71F51"/>
    <w:rsid w:val="2DFB3102"/>
    <w:rsid w:val="2E0F2B31"/>
    <w:rsid w:val="2E110657"/>
    <w:rsid w:val="2E163EBF"/>
    <w:rsid w:val="2E3A36BC"/>
    <w:rsid w:val="2E5B5D38"/>
    <w:rsid w:val="2E764C99"/>
    <w:rsid w:val="2E772BB0"/>
    <w:rsid w:val="2E8D23D3"/>
    <w:rsid w:val="2EA133AF"/>
    <w:rsid w:val="2EA27501"/>
    <w:rsid w:val="2EBA2A9C"/>
    <w:rsid w:val="2EDD2DD9"/>
    <w:rsid w:val="2F24275C"/>
    <w:rsid w:val="2F361F43"/>
    <w:rsid w:val="2F37233F"/>
    <w:rsid w:val="2F3945C8"/>
    <w:rsid w:val="2F395375"/>
    <w:rsid w:val="2F416D1A"/>
    <w:rsid w:val="2F431E4F"/>
    <w:rsid w:val="2F541BD8"/>
    <w:rsid w:val="2F72275C"/>
    <w:rsid w:val="2F723467"/>
    <w:rsid w:val="2F8310E0"/>
    <w:rsid w:val="2F922149"/>
    <w:rsid w:val="2FA72ADC"/>
    <w:rsid w:val="2FBB4D1E"/>
    <w:rsid w:val="2FDC4B3D"/>
    <w:rsid w:val="2FE808CB"/>
    <w:rsid w:val="2FF3245E"/>
    <w:rsid w:val="304409AC"/>
    <w:rsid w:val="305F7D9F"/>
    <w:rsid w:val="306835D0"/>
    <w:rsid w:val="306C6018"/>
    <w:rsid w:val="30B771C8"/>
    <w:rsid w:val="30BA6662"/>
    <w:rsid w:val="30C639C5"/>
    <w:rsid w:val="30E91417"/>
    <w:rsid w:val="30EA3353"/>
    <w:rsid w:val="30F027A5"/>
    <w:rsid w:val="310413CD"/>
    <w:rsid w:val="311704CD"/>
    <w:rsid w:val="313C3C3D"/>
    <w:rsid w:val="31522AEA"/>
    <w:rsid w:val="31644BD5"/>
    <w:rsid w:val="317822E6"/>
    <w:rsid w:val="318737BD"/>
    <w:rsid w:val="318B24CE"/>
    <w:rsid w:val="31A734F5"/>
    <w:rsid w:val="31CF2FA1"/>
    <w:rsid w:val="31E63BA8"/>
    <w:rsid w:val="31F6664E"/>
    <w:rsid w:val="31FB58A6"/>
    <w:rsid w:val="32153FA4"/>
    <w:rsid w:val="321F6D79"/>
    <w:rsid w:val="322F45A1"/>
    <w:rsid w:val="32364B30"/>
    <w:rsid w:val="32470AEB"/>
    <w:rsid w:val="3264232E"/>
    <w:rsid w:val="32713DBA"/>
    <w:rsid w:val="32807168"/>
    <w:rsid w:val="328D33FB"/>
    <w:rsid w:val="32A0292F"/>
    <w:rsid w:val="32A02B99"/>
    <w:rsid w:val="32A25873"/>
    <w:rsid w:val="32C475CE"/>
    <w:rsid w:val="32CD26E3"/>
    <w:rsid w:val="32D61E6F"/>
    <w:rsid w:val="32DC17A7"/>
    <w:rsid w:val="330F2BAA"/>
    <w:rsid w:val="3333106F"/>
    <w:rsid w:val="33522800"/>
    <w:rsid w:val="33541711"/>
    <w:rsid w:val="336D4FD3"/>
    <w:rsid w:val="337D5F7B"/>
    <w:rsid w:val="338A6DD2"/>
    <w:rsid w:val="33BE2A1A"/>
    <w:rsid w:val="33D414D0"/>
    <w:rsid w:val="33D95773"/>
    <w:rsid w:val="33F71E1E"/>
    <w:rsid w:val="33F754AE"/>
    <w:rsid w:val="340A454D"/>
    <w:rsid w:val="340A6B46"/>
    <w:rsid w:val="340F388A"/>
    <w:rsid w:val="3411197D"/>
    <w:rsid w:val="342009F8"/>
    <w:rsid w:val="343E5F1E"/>
    <w:rsid w:val="34403A44"/>
    <w:rsid w:val="34480B4A"/>
    <w:rsid w:val="34603E67"/>
    <w:rsid w:val="34611DF3"/>
    <w:rsid w:val="346E4CE5"/>
    <w:rsid w:val="34783FA8"/>
    <w:rsid w:val="34D146CE"/>
    <w:rsid w:val="34DD5737"/>
    <w:rsid w:val="35417A73"/>
    <w:rsid w:val="35614F37"/>
    <w:rsid w:val="356C5EA4"/>
    <w:rsid w:val="35A3428A"/>
    <w:rsid w:val="35CD358A"/>
    <w:rsid w:val="35DF7CEC"/>
    <w:rsid w:val="35E86141"/>
    <w:rsid w:val="36034D29"/>
    <w:rsid w:val="361138EA"/>
    <w:rsid w:val="36176A26"/>
    <w:rsid w:val="36232DB0"/>
    <w:rsid w:val="364572F9"/>
    <w:rsid w:val="36470DE7"/>
    <w:rsid w:val="367B576D"/>
    <w:rsid w:val="3690539D"/>
    <w:rsid w:val="36932551"/>
    <w:rsid w:val="36B3674F"/>
    <w:rsid w:val="36C7044C"/>
    <w:rsid w:val="37490E61"/>
    <w:rsid w:val="374F5C96"/>
    <w:rsid w:val="37682591"/>
    <w:rsid w:val="377D3CD2"/>
    <w:rsid w:val="37CC121B"/>
    <w:rsid w:val="381C0277"/>
    <w:rsid w:val="385F359C"/>
    <w:rsid w:val="38D368CE"/>
    <w:rsid w:val="38E54BBA"/>
    <w:rsid w:val="38F60F50"/>
    <w:rsid w:val="38FE4B0D"/>
    <w:rsid w:val="397F0106"/>
    <w:rsid w:val="3982065B"/>
    <w:rsid w:val="39A42F75"/>
    <w:rsid w:val="3A1C0AAF"/>
    <w:rsid w:val="3A555AC7"/>
    <w:rsid w:val="3A5A5133"/>
    <w:rsid w:val="3A80103E"/>
    <w:rsid w:val="3A8A13AB"/>
    <w:rsid w:val="3AA342BD"/>
    <w:rsid w:val="3AA54601"/>
    <w:rsid w:val="3ACC6D0A"/>
    <w:rsid w:val="3AFE4D0B"/>
    <w:rsid w:val="3AFF16F4"/>
    <w:rsid w:val="3B0B4358"/>
    <w:rsid w:val="3B1D77D5"/>
    <w:rsid w:val="3B331C0C"/>
    <w:rsid w:val="3B3B31B7"/>
    <w:rsid w:val="3B464036"/>
    <w:rsid w:val="3B673FAC"/>
    <w:rsid w:val="3B8C1FA8"/>
    <w:rsid w:val="3B8C63DD"/>
    <w:rsid w:val="3BA80B19"/>
    <w:rsid w:val="3BC94845"/>
    <w:rsid w:val="3BED02F0"/>
    <w:rsid w:val="3BF10EB2"/>
    <w:rsid w:val="3C0C0D78"/>
    <w:rsid w:val="3C4152C9"/>
    <w:rsid w:val="3C4240EC"/>
    <w:rsid w:val="3C4329F9"/>
    <w:rsid w:val="3C4D6860"/>
    <w:rsid w:val="3C5D3C86"/>
    <w:rsid w:val="3C6A66DB"/>
    <w:rsid w:val="3C9815BA"/>
    <w:rsid w:val="3CA1529C"/>
    <w:rsid w:val="3D076491"/>
    <w:rsid w:val="3D2959BD"/>
    <w:rsid w:val="3D2A34E3"/>
    <w:rsid w:val="3D711B40"/>
    <w:rsid w:val="3DAC3EF8"/>
    <w:rsid w:val="3DCE06B2"/>
    <w:rsid w:val="3DE80316"/>
    <w:rsid w:val="3DFF04CC"/>
    <w:rsid w:val="3E110AD0"/>
    <w:rsid w:val="3E1321C9"/>
    <w:rsid w:val="3E13381B"/>
    <w:rsid w:val="3E443DF7"/>
    <w:rsid w:val="3E772758"/>
    <w:rsid w:val="3E800AA6"/>
    <w:rsid w:val="3EB54200"/>
    <w:rsid w:val="3EEE3F97"/>
    <w:rsid w:val="3F073488"/>
    <w:rsid w:val="3F0D4E6A"/>
    <w:rsid w:val="3F21749A"/>
    <w:rsid w:val="3F2905C4"/>
    <w:rsid w:val="3F3A1FEB"/>
    <w:rsid w:val="3F457ABB"/>
    <w:rsid w:val="3F9E326F"/>
    <w:rsid w:val="3FA24D3D"/>
    <w:rsid w:val="3FA40567"/>
    <w:rsid w:val="3FAF2FE1"/>
    <w:rsid w:val="3FDF7A27"/>
    <w:rsid w:val="40170548"/>
    <w:rsid w:val="402E7F0F"/>
    <w:rsid w:val="4037219F"/>
    <w:rsid w:val="404228F2"/>
    <w:rsid w:val="405E25C9"/>
    <w:rsid w:val="408266A6"/>
    <w:rsid w:val="408C1CB6"/>
    <w:rsid w:val="40A67243"/>
    <w:rsid w:val="40B27A77"/>
    <w:rsid w:val="40C24EED"/>
    <w:rsid w:val="40CA3013"/>
    <w:rsid w:val="40D01FF9"/>
    <w:rsid w:val="40D22981"/>
    <w:rsid w:val="40D93688"/>
    <w:rsid w:val="40E35E83"/>
    <w:rsid w:val="40EA7211"/>
    <w:rsid w:val="40ED7211"/>
    <w:rsid w:val="4122462D"/>
    <w:rsid w:val="412D70FE"/>
    <w:rsid w:val="41377F7D"/>
    <w:rsid w:val="41395AA3"/>
    <w:rsid w:val="41644676"/>
    <w:rsid w:val="41790595"/>
    <w:rsid w:val="4191587A"/>
    <w:rsid w:val="41BD7202"/>
    <w:rsid w:val="41C53136"/>
    <w:rsid w:val="41E864D0"/>
    <w:rsid w:val="42253D73"/>
    <w:rsid w:val="422C7D41"/>
    <w:rsid w:val="423B7208"/>
    <w:rsid w:val="423D15C3"/>
    <w:rsid w:val="424010B3"/>
    <w:rsid w:val="42424DE7"/>
    <w:rsid w:val="42621029"/>
    <w:rsid w:val="42647F5B"/>
    <w:rsid w:val="426F03AD"/>
    <w:rsid w:val="42994282"/>
    <w:rsid w:val="42AF5FBF"/>
    <w:rsid w:val="42C41CE4"/>
    <w:rsid w:val="42D950B7"/>
    <w:rsid w:val="43160791"/>
    <w:rsid w:val="433A5C59"/>
    <w:rsid w:val="436168E4"/>
    <w:rsid w:val="436F7EA2"/>
    <w:rsid w:val="43B26C52"/>
    <w:rsid w:val="43B81529"/>
    <w:rsid w:val="43D16466"/>
    <w:rsid w:val="44075CA0"/>
    <w:rsid w:val="44232A07"/>
    <w:rsid w:val="442B7817"/>
    <w:rsid w:val="442F13DF"/>
    <w:rsid w:val="4458107A"/>
    <w:rsid w:val="44641089"/>
    <w:rsid w:val="44654E01"/>
    <w:rsid w:val="44695038"/>
    <w:rsid w:val="447C0AC8"/>
    <w:rsid w:val="448E4357"/>
    <w:rsid w:val="449E0F15"/>
    <w:rsid w:val="44CE0B7A"/>
    <w:rsid w:val="44D00A48"/>
    <w:rsid w:val="44D66D07"/>
    <w:rsid w:val="44E4602A"/>
    <w:rsid w:val="44FE14DD"/>
    <w:rsid w:val="450A60D4"/>
    <w:rsid w:val="45231264"/>
    <w:rsid w:val="452E70FA"/>
    <w:rsid w:val="45336E64"/>
    <w:rsid w:val="455A248C"/>
    <w:rsid w:val="457579CE"/>
    <w:rsid w:val="45B80788"/>
    <w:rsid w:val="45FF64CF"/>
    <w:rsid w:val="461D4BCB"/>
    <w:rsid w:val="46202E05"/>
    <w:rsid w:val="463B050F"/>
    <w:rsid w:val="465670F7"/>
    <w:rsid w:val="46574520"/>
    <w:rsid w:val="46583405"/>
    <w:rsid w:val="465B35AD"/>
    <w:rsid w:val="467B6FE2"/>
    <w:rsid w:val="46C40504"/>
    <w:rsid w:val="46C51AB9"/>
    <w:rsid w:val="46E93C25"/>
    <w:rsid w:val="46F4261E"/>
    <w:rsid w:val="4707219F"/>
    <w:rsid w:val="472A35A4"/>
    <w:rsid w:val="47456C05"/>
    <w:rsid w:val="478163F5"/>
    <w:rsid w:val="4787520B"/>
    <w:rsid w:val="47881532"/>
    <w:rsid w:val="47A63C85"/>
    <w:rsid w:val="47E9061B"/>
    <w:rsid w:val="47FC62B3"/>
    <w:rsid w:val="481B656B"/>
    <w:rsid w:val="48340C90"/>
    <w:rsid w:val="484245C7"/>
    <w:rsid w:val="484A2E46"/>
    <w:rsid w:val="484C65AB"/>
    <w:rsid w:val="484D03FF"/>
    <w:rsid w:val="488D7CFE"/>
    <w:rsid w:val="48936A28"/>
    <w:rsid w:val="48DF1625"/>
    <w:rsid w:val="49296D45"/>
    <w:rsid w:val="49323FD7"/>
    <w:rsid w:val="493C4382"/>
    <w:rsid w:val="49506EA2"/>
    <w:rsid w:val="496C3458"/>
    <w:rsid w:val="49700B0C"/>
    <w:rsid w:val="497A624B"/>
    <w:rsid w:val="49A10C72"/>
    <w:rsid w:val="49AC1B3B"/>
    <w:rsid w:val="49C15A5E"/>
    <w:rsid w:val="49D62A28"/>
    <w:rsid w:val="49DF57C2"/>
    <w:rsid w:val="49F96717"/>
    <w:rsid w:val="4A31624F"/>
    <w:rsid w:val="4A5A3051"/>
    <w:rsid w:val="4A6C027D"/>
    <w:rsid w:val="4A731F44"/>
    <w:rsid w:val="4ADC0900"/>
    <w:rsid w:val="4AE07A05"/>
    <w:rsid w:val="4AE22D20"/>
    <w:rsid w:val="4B0E19ED"/>
    <w:rsid w:val="4B55797D"/>
    <w:rsid w:val="4B8464B4"/>
    <w:rsid w:val="4BAD1567"/>
    <w:rsid w:val="4BBF74EC"/>
    <w:rsid w:val="4BC66ACD"/>
    <w:rsid w:val="4BEC0155"/>
    <w:rsid w:val="4BF00107"/>
    <w:rsid w:val="4C004579"/>
    <w:rsid w:val="4C0D64AA"/>
    <w:rsid w:val="4C12409B"/>
    <w:rsid w:val="4C15074C"/>
    <w:rsid w:val="4C283F70"/>
    <w:rsid w:val="4C2A2657"/>
    <w:rsid w:val="4C3A6B73"/>
    <w:rsid w:val="4C4B0D80"/>
    <w:rsid w:val="4CB9218D"/>
    <w:rsid w:val="4CDC302C"/>
    <w:rsid w:val="4CE91401"/>
    <w:rsid w:val="4CEA3CD9"/>
    <w:rsid w:val="4D0A29E9"/>
    <w:rsid w:val="4D467F55"/>
    <w:rsid w:val="4D53771C"/>
    <w:rsid w:val="4D5601C7"/>
    <w:rsid w:val="4DD01472"/>
    <w:rsid w:val="4DD21759"/>
    <w:rsid w:val="4E241889"/>
    <w:rsid w:val="4E273FA4"/>
    <w:rsid w:val="4E27425C"/>
    <w:rsid w:val="4E2D5B22"/>
    <w:rsid w:val="4E3F75D2"/>
    <w:rsid w:val="4E695E67"/>
    <w:rsid w:val="4EA96B98"/>
    <w:rsid w:val="4EAC5711"/>
    <w:rsid w:val="4EB42C0C"/>
    <w:rsid w:val="4EC549CB"/>
    <w:rsid w:val="4EC56BC8"/>
    <w:rsid w:val="4EDE7BD0"/>
    <w:rsid w:val="4EF61477"/>
    <w:rsid w:val="4EF72DCF"/>
    <w:rsid w:val="4F203F16"/>
    <w:rsid w:val="4F204746"/>
    <w:rsid w:val="4F492507"/>
    <w:rsid w:val="4F7F3A32"/>
    <w:rsid w:val="4F8E2368"/>
    <w:rsid w:val="4F960564"/>
    <w:rsid w:val="4FA02BC6"/>
    <w:rsid w:val="4FA709C3"/>
    <w:rsid w:val="4FBC446F"/>
    <w:rsid w:val="4FD13C29"/>
    <w:rsid w:val="4FF204EF"/>
    <w:rsid w:val="4FFA09FE"/>
    <w:rsid w:val="502D711A"/>
    <w:rsid w:val="505B09C1"/>
    <w:rsid w:val="50841C58"/>
    <w:rsid w:val="50890FCE"/>
    <w:rsid w:val="50940F47"/>
    <w:rsid w:val="50A868B7"/>
    <w:rsid w:val="50AC1958"/>
    <w:rsid w:val="50B138A7"/>
    <w:rsid w:val="50CA4969"/>
    <w:rsid w:val="50D2023D"/>
    <w:rsid w:val="50D94BCC"/>
    <w:rsid w:val="51114346"/>
    <w:rsid w:val="513A1FD3"/>
    <w:rsid w:val="51513355"/>
    <w:rsid w:val="517607E2"/>
    <w:rsid w:val="519E7A88"/>
    <w:rsid w:val="51B1646C"/>
    <w:rsid w:val="51B2004B"/>
    <w:rsid w:val="51C413B8"/>
    <w:rsid w:val="51D87B8B"/>
    <w:rsid w:val="51E3730F"/>
    <w:rsid w:val="520C6E93"/>
    <w:rsid w:val="521D4F6D"/>
    <w:rsid w:val="521F52CC"/>
    <w:rsid w:val="52350359"/>
    <w:rsid w:val="52754DA9"/>
    <w:rsid w:val="528559C7"/>
    <w:rsid w:val="5292203B"/>
    <w:rsid w:val="52A01E26"/>
    <w:rsid w:val="52BA42A7"/>
    <w:rsid w:val="52C843F7"/>
    <w:rsid w:val="5353311D"/>
    <w:rsid w:val="537E4CD3"/>
    <w:rsid w:val="537F5EDF"/>
    <w:rsid w:val="53A616BE"/>
    <w:rsid w:val="53B00574"/>
    <w:rsid w:val="53B8319F"/>
    <w:rsid w:val="53F306B5"/>
    <w:rsid w:val="540208BE"/>
    <w:rsid w:val="543F11CA"/>
    <w:rsid w:val="54535FB0"/>
    <w:rsid w:val="54556AEA"/>
    <w:rsid w:val="54622402"/>
    <w:rsid w:val="54767D3E"/>
    <w:rsid w:val="54843325"/>
    <w:rsid w:val="54977258"/>
    <w:rsid w:val="54A0435F"/>
    <w:rsid w:val="54D44008"/>
    <w:rsid w:val="55055F70"/>
    <w:rsid w:val="55131A57"/>
    <w:rsid w:val="551D59AF"/>
    <w:rsid w:val="55622629"/>
    <w:rsid w:val="55A106D3"/>
    <w:rsid w:val="55A64150"/>
    <w:rsid w:val="55BE7800"/>
    <w:rsid w:val="56206DD9"/>
    <w:rsid w:val="562B2188"/>
    <w:rsid w:val="56431BAE"/>
    <w:rsid w:val="565809C8"/>
    <w:rsid w:val="56646DA2"/>
    <w:rsid w:val="5671345B"/>
    <w:rsid w:val="56776D24"/>
    <w:rsid w:val="56B50F12"/>
    <w:rsid w:val="56BF4844"/>
    <w:rsid w:val="56E424BB"/>
    <w:rsid w:val="56E513A2"/>
    <w:rsid w:val="56F42740"/>
    <w:rsid w:val="56FE536D"/>
    <w:rsid w:val="570D0312"/>
    <w:rsid w:val="571D4801"/>
    <w:rsid w:val="575256B8"/>
    <w:rsid w:val="5755260C"/>
    <w:rsid w:val="577D71D5"/>
    <w:rsid w:val="57D67BEC"/>
    <w:rsid w:val="57DA73EC"/>
    <w:rsid w:val="58036A32"/>
    <w:rsid w:val="58127D36"/>
    <w:rsid w:val="582157B7"/>
    <w:rsid w:val="582770AC"/>
    <w:rsid w:val="585D2567"/>
    <w:rsid w:val="58874450"/>
    <w:rsid w:val="58C425E6"/>
    <w:rsid w:val="58DF5D19"/>
    <w:rsid w:val="58E32A6C"/>
    <w:rsid w:val="5901594F"/>
    <w:rsid w:val="591470C9"/>
    <w:rsid w:val="59262959"/>
    <w:rsid w:val="594F3C5E"/>
    <w:rsid w:val="598A078C"/>
    <w:rsid w:val="59A321FB"/>
    <w:rsid w:val="59B30116"/>
    <w:rsid w:val="59C77308"/>
    <w:rsid w:val="59F12F67"/>
    <w:rsid w:val="59F842F5"/>
    <w:rsid w:val="5A07278A"/>
    <w:rsid w:val="5A364E1D"/>
    <w:rsid w:val="5A3A2DDD"/>
    <w:rsid w:val="5A3D61AC"/>
    <w:rsid w:val="5A5E64D8"/>
    <w:rsid w:val="5A610A87"/>
    <w:rsid w:val="5A68299B"/>
    <w:rsid w:val="5A7A7400"/>
    <w:rsid w:val="5A8E2EAB"/>
    <w:rsid w:val="5AC16DDD"/>
    <w:rsid w:val="5AC35D44"/>
    <w:rsid w:val="5AD1633C"/>
    <w:rsid w:val="5AE40D1D"/>
    <w:rsid w:val="5AFC1A12"/>
    <w:rsid w:val="5AFC3CC2"/>
    <w:rsid w:val="5B1B1F62"/>
    <w:rsid w:val="5B1F6B55"/>
    <w:rsid w:val="5B2336CE"/>
    <w:rsid w:val="5B48738F"/>
    <w:rsid w:val="5B8D774E"/>
    <w:rsid w:val="5BA669B6"/>
    <w:rsid w:val="5BA924DB"/>
    <w:rsid w:val="5BAD1BA2"/>
    <w:rsid w:val="5BC508FC"/>
    <w:rsid w:val="5BD803C4"/>
    <w:rsid w:val="5BEC60DC"/>
    <w:rsid w:val="5BF918A2"/>
    <w:rsid w:val="5BF9258D"/>
    <w:rsid w:val="5BF94355"/>
    <w:rsid w:val="5C012E90"/>
    <w:rsid w:val="5C031F8B"/>
    <w:rsid w:val="5C071160"/>
    <w:rsid w:val="5C490CD0"/>
    <w:rsid w:val="5C9044FF"/>
    <w:rsid w:val="5C9D2F32"/>
    <w:rsid w:val="5CA22C3E"/>
    <w:rsid w:val="5CB71F40"/>
    <w:rsid w:val="5CC91BF1"/>
    <w:rsid w:val="5D00281A"/>
    <w:rsid w:val="5D184CAE"/>
    <w:rsid w:val="5D243653"/>
    <w:rsid w:val="5D496861"/>
    <w:rsid w:val="5D924A61"/>
    <w:rsid w:val="5D9B43A6"/>
    <w:rsid w:val="5DB7113F"/>
    <w:rsid w:val="5DDF0212"/>
    <w:rsid w:val="5DE216B2"/>
    <w:rsid w:val="5DE352BC"/>
    <w:rsid w:val="5E0578F6"/>
    <w:rsid w:val="5E0F451D"/>
    <w:rsid w:val="5E1330AF"/>
    <w:rsid w:val="5E285833"/>
    <w:rsid w:val="5E6737F7"/>
    <w:rsid w:val="5E8051A3"/>
    <w:rsid w:val="5E873E9A"/>
    <w:rsid w:val="5E8E1D57"/>
    <w:rsid w:val="5E9F0E3F"/>
    <w:rsid w:val="5EA05A1B"/>
    <w:rsid w:val="5EBF3633"/>
    <w:rsid w:val="5EC118C9"/>
    <w:rsid w:val="5EF07C91"/>
    <w:rsid w:val="5F04373C"/>
    <w:rsid w:val="5F060230"/>
    <w:rsid w:val="5F101CC4"/>
    <w:rsid w:val="5F4B136B"/>
    <w:rsid w:val="5F5A31A8"/>
    <w:rsid w:val="5F5B7B31"/>
    <w:rsid w:val="5F926F9A"/>
    <w:rsid w:val="5FDE21DF"/>
    <w:rsid w:val="5FE45453"/>
    <w:rsid w:val="5FF32297"/>
    <w:rsid w:val="60164BA2"/>
    <w:rsid w:val="601A43EF"/>
    <w:rsid w:val="6026563C"/>
    <w:rsid w:val="6042451C"/>
    <w:rsid w:val="60503F3D"/>
    <w:rsid w:val="60594D60"/>
    <w:rsid w:val="606E468E"/>
    <w:rsid w:val="60B57F7E"/>
    <w:rsid w:val="60CE74F7"/>
    <w:rsid w:val="6115578D"/>
    <w:rsid w:val="611C29AC"/>
    <w:rsid w:val="613100ED"/>
    <w:rsid w:val="6131633F"/>
    <w:rsid w:val="617701F5"/>
    <w:rsid w:val="617A5F38"/>
    <w:rsid w:val="61B02B17"/>
    <w:rsid w:val="61CE7F08"/>
    <w:rsid w:val="61FC694D"/>
    <w:rsid w:val="61FE26C5"/>
    <w:rsid w:val="62093465"/>
    <w:rsid w:val="622F77D6"/>
    <w:rsid w:val="62315204"/>
    <w:rsid w:val="623A1223"/>
    <w:rsid w:val="623D02C5"/>
    <w:rsid w:val="625642AF"/>
    <w:rsid w:val="62647FB0"/>
    <w:rsid w:val="626D33A6"/>
    <w:rsid w:val="626F2040"/>
    <w:rsid w:val="6280757E"/>
    <w:rsid w:val="628A3F58"/>
    <w:rsid w:val="628B15D4"/>
    <w:rsid w:val="62A56FE4"/>
    <w:rsid w:val="62B81781"/>
    <w:rsid w:val="62B8336A"/>
    <w:rsid w:val="62BB0998"/>
    <w:rsid w:val="62C27B96"/>
    <w:rsid w:val="62E95D23"/>
    <w:rsid w:val="630F29B9"/>
    <w:rsid w:val="6340703E"/>
    <w:rsid w:val="63461EEC"/>
    <w:rsid w:val="634D1699"/>
    <w:rsid w:val="6367429A"/>
    <w:rsid w:val="637067D1"/>
    <w:rsid w:val="637F4381"/>
    <w:rsid w:val="6381535B"/>
    <w:rsid w:val="63843A67"/>
    <w:rsid w:val="638D7B34"/>
    <w:rsid w:val="63AB23D8"/>
    <w:rsid w:val="63B374DF"/>
    <w:rsid w:val="63BF40D6"/>
    <w:rsid w:val="63DC07E4"/>
    <w:rsid w:val="63DF6868"/>
    <w:rsid w:val="63E56E61"/>
    <w:rsid w:val="63F41FD1"/>
    <w:rsid w:val="641F5987"/>
    <w:rsid w:val="64337579"/>
    <w:rsid w:val="64441196"/>
    <w:rsid w:val="644E7B4E"/>
    <w:rsid w:val="64541E2E"/>
    <w:rsid w:val="64750A9E"/>
    <w:rsid w:val="64872E45"/>
    <w:rsid w:val="64A82F69"/>
    <w:rsid w:val="65091B75"/>
    <w:rsid w:val="651B74E4"/>
    <w:rsid w:val="652E0D3C"/>
    <w:rsid w:val="653A1C66"/>
    <w:rsid w:val="653B59DE"/>
    <w:rsid w:val="65620FA9"/>
    <w:rsid w:val="656960A7"/>
    <w:rsid w:val="657131AE"/>
    <w:rsid w:val="65BC6440"/>
    <w:rsid w:val="65C36E7F"/>
    <w:rsid w:val="65C4453D"/>
    <w:rsid w:val="65D21A26"/>
    <w:rsid w:val="65D5373C"/>
    <w:rsid w:val="65D75FCA"/>
    <w:rsid w:val="65DC2D1D"/>
    <w:rsid w:val="660109D5"/>
    <w:rsid w:val="660E4EA0"/>
    <w:rsid w:val="6622709C"/>
    <w:rsid w:val="662E1715"/>
    <w:rsid w:val="663B7430"/>
    <w:rsid w:val="665C6A93"/>
    <w:rsid w:val="66890422"/>
    <w:rsid w:val="66935AC8"/>
    <w:rsid w:val="669C0303"/>
    <w:rsid w:val="66A80729"/>
    <w:rsid w:val="66B45A48"/>
    <w:rsid w:val="66E10EF9"/>
    <w:rsid w:val="66E62095"/>
    <w:rsid w:val="66E63727"/>
    <w:rsid w:val="6714124B"/>
    <w:rsid w:val="6714321C"/>
    <w:rsid w:val="672A0BC3"/>
    <w:rsid w:val="67535261"/>
    <w:rsid w:val="676236F6"/>
    <w:rsid w:val="67672ABA"/>
    <w:rsid w:val="67E4235D"/>
    <w:rsid w:val="6813619F"/>
    <w:rsid w:val="682B1479"/>
    <w:rsid w:val="684B418A"/>
    <w:rsid w:val="687775B2"/>
    <w:rsid w:val="68834BBC"/>
    <w:rsid w:val="68AE68FE"/>
    <w:rsid w:val="68E73A51"/>
    <w:rsid w:val="68FB170C"/>
    <w:rsid w:val="693410C2"/>
    <w:rsid w:val="6934554E"/>
    <w:rsid w:val="6934718B"/>
    <w:rsid w:val="695A5837"/>
    <w:rsid w:val="69711F76"/>
    <w:rsid w:val="69825CBF"/>
    <w:rsid w:val="69A97332"/>
    <w:rsid w:val="69B61AD7"/>
    <w:rsid w:val="69C73CE4"/>
    <w:rsid w:val="6A1B14A7"/>
    <w:rsid w:val="6A1C7012"/>
    <w:rsid w:val="6A3B684A"/>
    <w:rsid w:val="6A440E91"/>
    <w:rsid w:val="6A955B90"/>
    <w:rsid w:val="6AB95599"/>
    <w:rsid w:val="6AE5012B"/>
    <w:rsid w:val="6AF403FB"/>
    <w:rsid w:val="6AF97ECD"/>
    <w:rsid w:val="6B1148DF"/>
    <w:rsid w:val="6B1B7628"/>
    <w:rsid w:val="6B1E16E2"/>
    <w:rsid w:val="6B241A17"/>
    <w:rsid w:val="6B2A277C"/>
    <w:rsid w:val="6B3C2EFA"/>
    <w:rsid w:val="6B7636D8"/>
    <w:rsid w:val="6B923FB8"/>
    <w:rsid w:val="6B991CE8"/>
    <w:rsid w:val="6BB666ED"/>
    <w:rsid w:val="6BC93D43"/>
    <w:rsid w:val="6C016BE7"/>
    <w:rsid w:val="6C1E0F7E"/>
    <w:rsid w:val="6C3B28C0"/>
    <w:rsid w:val="6C580C23"/>
    <w:rsid w:val="6CBE13CE"/>
    <w:rsid w:val="6CF51267"/>
    <w:rsid w:val="6D0019E7"/>
    <w:rsid w:val="6D2F4E5D"/>
    <w:rsid w:val="6D392803"/>
    <w:rsid w:val="6D505D9E"/>
    <w:rsid w:val="6D527D69"/>
    <w:rsid w:val="6D6A6E60"/>
    <w:rsid w:val="6D943EDD"/>
    <w:rsid w:val="6DCF4F15"/>
    <w:rsid w:val="6DD6304C"/>
    <w:rsid w:val="6DF02DDA"/>
    <w:rsid w:val="6E04626A"/>
    <w:rsid w:val="6E1148C4"/>
    <w:rsid w:val="6E7837FF"/>
    <w:rsid w:val="6E914282"/>
    <w:rsid w:val="6E973BA3"/>
    <w:rsid w:val="6E9817AB"/>
    <w:rsid w:val="6E9C0F6F"/>
    <w:rsid w:val="6EB0599B"/>
    <w:rsid w:val="6EB64310"/>
    <w:rsid w:val="6EBF5BF3"/>
    <w:rsid w:val="6ED547AD"/>
    <w:rsid w:val="6EEB3C07"/>
    <w:rsid w:val="6EEE4FB7"/>
    <w:rsid w:val="6F0E4EC3"/>
    <w:rsid w:val="6F2C565C"/>
    <w:rsid w:val="6F3B64CA"/>
    <w:rsid w:val="6F3C482C"/>
    <w:rsid w:val="6F44464C"/>
    <w:rsid w:val="6F525DFE"/>
    <w:rsid w:val="6F810180"/>
    <w:rsid w:val="6FC35D48"/>
    <w:rsid w:val="6FE16EE1"/>
    <w:rsid w:val="6FE264A0"/>
    <w:rsid w:val="702552C0"/>
    <w:rsid w:val="702C748F"/>
    <w:rsid w:val="70344BBF"/>
    <w:rsid w:val="703674CE"/>
    <w:rsid w:val="7040644A"/>
    <w:rsid w:val="70557737"/>
    <w:rsid w:val="70596115"/>
    <w:rsid w:val="706F4CF2"/>
    <w:rsid w:val="708244C1"/>
    <w:rsid w:val="70930CB0"/>
    <w:rsid w:val="709F4389"/>
    <w:rsid w:val="70A361D6"/>
    <w:rsid w:val="70B054D2"/>
    <w:rsid w:val="70B34FC2"/>
    <w:rsid w:val="70B36D70"/>
    <w:rsid w:val="70BE4D93"/>
    <w:rsid w:val="70E1568B"/>
    <w:rsid w:val="70E227D6"/>
    <w:rsid w:val="70FE623D"/>
    <w:rsid w:val="710F044A"/>
    <w:rsid w:val="71141F49"/>
    <w:rsid w:val="712F166D"/>
    <w:rsid w:val="714B0D57"/>
    <w:rsid w:val="715E72BC"/>
    <w:rsid w:val="71755DD4"/>
    <w:rsid w:val="71922369"/>
    <w:rsid w:val="71AD7318"/>
    <w:rsid w:val="71B5159F"/>
    <w:rsid w:val="71B66B18"/>
    <w:rsid w:val="71BD6F35"/>
    <w:rsid w:val="71C346B5"/>
    <w:rsid w:val="71C37A53"/>
    <w:rsid w:val="71C7496A"/>
    <w:rsid w:val="71E511AB"/>
    <w:rsid w:val="71F17594"/>
    <w:rsid w:val="71F238C8"/>
    <w:rsid w:val="71F65166"/>
    <w:rsid w:val="71F87A6C"/>
    <w:rsid w:val="722C2936"/>
    <w:rsid w:val="72385C61"/>
    <w:rsid w:val="72553376"/>
    <w:rsid w:val="72605D30"/>
    <w:rsid w:val="726D70E7"/>
    <w:rsid w:val="72895FDA"/>
    <w:rsid w:val="72936E59"/>
    <w:rsid w:val="72A45462"/>
    <w:rsid w:val="72A63D8F"/>
    <w:rsid w:val="72AC3A77"/>
    <w:rsid w:val="72B8241C"/>
    <w:rsid w:val="72D9520E"/>
    <w:rsid w:val="72E66F89"/>
    <w:rsid w:val="72EC6F44"/>
    <w:rsid w:val="73041B05"/>
    <w:rsid w:val="730C43A4"/>
    <w:rsid w:val="73353A6C"/>
    <w:rsid w:val="733F6699"/>
    <w:rsid w:val="73770529"/>
    <w:rsid w:val="738D5656"/>
    <w:rsid w:val="7395275D"/>
    <w:rsid w:val="73A00CA7"/>
    <w:rsid w:val="73BB407D"/>
    <w:rsid w:val="73D72D76"/>
    <w:rsid w:val="742066E6"/>
    <w:rsid w:val="742F3CB1"/>
    <w:rsid w:val="743A0B69"/>
    <w:rsid w:val="74411A20"/>
    <w:rsid w:val="745B563F"/>
    <w:rsid w:val="747D74F0"/>
    <w:rsid w:val="749D3FBF"/>
    <w:rsid w:val="74C31ECB"/>
    <w:rsid w:val="74DD260E"/>
    <w:rsid w:val="750147A2"/>
    <w:rsid w:val="75186B30"/>
    <w:rsid w:val="7559678F"/>
    <w:rsid w:val="758E43BC"/>
    <w:rsid w:val="758F7694"/>
    <w:rsid w:val="75925734"/>
    <w:rsid w:val="75942919"/>
    <w:rsid w:val="75970A0E"/>
    <w:rsid w:val="75A960A7"/>
    <w:rsid w:val="75D03F20"/>
    <w:rsid w:val="75DA32B4"/>
    <w:rsid w:val="75DC69B3"/>
    <w:rsid w:val="76022ED7"/>
    <w:rsid w:val="760A11E0"/>
    <w:rsid w:val="764346F2"/>
    <w:rsid w:val="76490102"/>
    <w:rsid w:val="765C5EF1"/>
    <w:rsid w:val="765D3A06"/>
    <w:rsid w:val="768F7938"/>
    <w:rsid w:val="768F7C28"/>
    <w:rsid w:val="7691545E"/>
    <w:rsid w:val="76A519F0"/>
    <w:rsid w:val="76D1171F"/>
    <w:rsid w:val="76D370E5"/>
    <w:rsid w:val="76F9292A"/>
    <w:rsid w:val="772207AC"/>
    <w:rsid w:val="77324E93"/>
    <w:rsid w:val="77364257"/>
    <w:rsid w:val="776B78DA"/>
    <w:rsid w:val="77AA57AB"/>
    <w:rsid w:val="77C63091"/>
    <w:rsid w:val="77EB3293"/>
    <w:rsid w:val="77F263D0"/>
    <w:rsid w:val="781D7F14"/>
    <w:rsid w:val="784239DF"/>
    <w:rsid w:val="7864485D"/>
    <w:rsid w:val="786F17CF"/>
    <w:rsid w:val="788A6608"/>
    <w:rsid w:val="78C00B06"/>
    <w:rsid w:val="78C961F4"/>
    <w:rsid w:val="78D66B7E"/>
    <w:rsid w:val="78E02C7C"/>
    <w:rsid w:val="78E73002"/>
    <w:rsid w:val="78E9792E"/>
    <w:rsid w:val="78F65C56"/>
    <w:rsid w:val="78F9378E"/>
    <w:rsid w:val="79062C97"/>
    <w:rsid w:val="7910600A"/>
    <w:rsid w:val="791365FE"/>
    <w:rsid w:val="793A50D9"/>
    <w:rsid w:val="796A65B3"/>
    <w:rsid w:val="7993773F"/>
    <w:rsid w:val="79955265"/>
    <w:rsid w:val="79C35EDA"/>
    <w:rsid w:val="79D91008"/>
    <w:rsid w:val="79DC08AE"/>
    <w:rsid w:val="79EE6E94"/>
    <w:rsid w:val="79F103DA"/>
    <w:rsid w:val="79F24465"/>
    <w:rsid w:val="79FE72AE"/>
    <w:rsid w:val="79FF7621"/>
    <w:rsid w:val="7A016D9E"/>
    <w:rsid w:val="7A7B26AD"/>
    <w:rsid w:val="7A8A01C7"/>
    <w:rsid w:val="7A927D1C"/>
    <w:rsid w:val="7AAA36FF"/>
    <w:rsid w:val="7AB91427"/>
    <w:rsid w:val="7ACD0A2E"/>
    <w:rsid w:val="7ADB7A18"/>
    <w:rsid w:val="7AFF2AEA"/>
    <w:rsid w:val="7B1872A2"/>
    <w:rsid w:val="7B215048"/>
    <w:rsid w:val="7B2F3497"/>
    <w:rsid w:val="7B6B22FB"/>
    <w:rsid w:val="7B6F1D4E"/>
    <w:rsid w:val="7B774D4C"/>
    <w:rsid w:val="7B7979D7"/>
    <w:rsid w:val="7B953D8A"/>
    <w:rsid w:val="7B95779E"/>
    <w:rsid w:val="7BA619AB"/>
    <w:rsid w:val="7BB2023F"/>
    <w:rsid w:val="7BE427C9"/>
    <w:rsid w:val="7BF546E1"/>
    <w:rsid w:val="7C046713"/>
    <w:rsid w:val="7C442F72"/>
    <w:rsid w:val="7C7E46D6"/>
    <w:rsid w:val="7C906658"/>
    <w:rsid w:val="7C9C4E59"/>
    <w:rsid w:val="7CBC548E"/>
    <w:rsid w:val="7CF4697E"/>
    <w:rsid w:val="7D057903"/>
    <w:rsid w:val="7D360B0D"/>
    <w:rsid w:val="7D374F29"/>
    <w:rsid w:val="7D423956"/>
    <w:rsid w:val="7D8819B8"/>
    <w:rsid w:val="7D883F06"/>
    <w:rsid w:val="7DA17D30"/>
    <w:rsid w:val="7DCB0BE8"/>
    <w:rsid w:val="7DD547CA"/>
    <w:rsid w:val="7DDA53C2"/>
    <w:rsid w:val="7DEB2D7B"/>
    <w:rsid w:val="7E156974"/>
    <w:rsid w:val="7E157EA9"/>
    <w:rsid w:val="7E2F1D63"/>
    <w:rsid w:val="7E723DC7"/>
    <w:rsid w:val="7EBB4818"/>
    <w:rsid w:val="7ED405DD"/>
    <w:rsid w:val="7EDF0647"/>
    <w:rsid w:val="7EFC7B34"/>
    <w:rsid w:val="7F034D20"/>
    <w:rsid w:val="7F286B7B"/>
    <w:rsid w:val="7F2E417B"/>
    <w:rsid w:val="7F7F2C3F"/>
    <w:rsid w:val="7FC916DD"/>
    <w:rsid w:val="7FC92566"/>
    <w:rsid w:val="7FDA7EE4"/>
    <w:rsid w:val="7FE72592"/>
    <w:rsid w:val="7FF01447"/>
    <w:rsid w:val="7FF73F34"/>
    <w:rsid w:val="7FFB58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0"/>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6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62"/>
    <w:autoRedefine/>
    <w:qFormat/>
    <w:uiPriority w:val="0"/>
    <w:pPr>
      <w:keepNext/>
      <w:keepLines/>
      <w:spacing w:before="260" w:after="260" w:line="416" w:lineRule="auto"/>
      <w:outlineLvl w:val="2"/>
    </w:pPr>
    <w:rPr>
      <w:b/>
      <w:bCs/>
      <w:kern w:val="0"/>
      <w:sz w:val="32"/>
      <w:szCs w:val="32"/>
    </w:rPr>
  </w:style>
  <w:style w:type="paragraph" w:styleId="7">
    <w:name w:val="heading 4"/>
    <w:basedOn w:val="1"/>
    <w:next w:val="1"/>
    <w:autoRedefine/>
    <w:semiHidden/>
    <w:unhideWhenUsed/>
    <w:qFormat/>
    <w:uiPriority w:val="9"/>
    <w:pPr>
      <w:spacing w:beforeAutospacing="1" w:afterAutospacing="1"/>
      <w:jc w:val="left"/>
      <w:outlineLvl w:val="3"/>
    </w:pPr>
    <w:rPr>
      <w:rFonts w:hint="eastAsia" w:ascii="宋体" w:hAnsi="宋体"/>
      <w:b/>
      <w:bCs/>
      <w:kern w:val="0"/>
      <w:sz w:val="24"/>
    </w:rPr>
  </w:style>
  <w:style w:type="paragraph" w:styleId="8">
    <w:name w:val="heading 5"/>
    <w:basedOn w:val="1"/>
    <w:next w:val="9"/>
    <w:link w:val="63"/>
    <w:autoRedefine/>
    <w:qFormat/>
    <w:uiPriority w:val="0"/>
    <w:pPr>
      <w:keepNext/>
      <w:keepLines/>
      <w:spacing w:before="280" w:after="290" w:line="376" w:lineRule="auto"/>
      <w:outlineLvl w:val="4"/>
    </w:pPr>
    <w:rPr>
      <w:b/>
      <w:sz w:val="28"/>
    </w:rPr>
  </w:style>
  <w:style w:type="paragraph" w:styleId="10">
    <w:name w:val="heading 6"/>
    <w:basedOn w:val="1"/>
    <w:next w:val="9"/>
    <w:link w:val="64"/>
    <w:autoRedefine/>
    <w:qFormat/>
    <w:uiPriority w:val="0"/>
    <w:pPr>
      <w:keepNext/>
      <w:keepLines/>
      <w:spacing w:before="240" w:after="64" w:line="320" w:lineRule="auto"/>
      <w:outlineLvl w:val="5"/>
    </w:pPr>
    <w:rPr>
      <w:rFonts w:ascii="Arial" w:hAnsi="Arial" w:eastAsia="黑体"/>
      <w:b/>
      <w:sz w:val="24"/>
    </w:rPr>
  </w:style>
  <w:style w:type="paragraph" w:styleId="11">
    <w:name w:val="heading 7"/>
    <w:basedOn w:val="1"/>
    <w:next w:val="9"/>
    <w:link w:val="65"/>
    <w:autoRedefine/>
    <w:qFormat/>
    <w:uiPriority w:val="0"/>
    <w:pPr>
      <w:keepNext/>
      <w:keepLines/>
      <w:spacing w:before="240" w:after="64" w:line="320" w:lineRule="auto"/>
      <w:outlineLvl w:val="6"/>
    </w:pPr>
    <w:rPr>
      <w:b/>
      <w:sz w:val="24"/>
    </w:rPr>
  </w:style>
  <w:style w:type="paragraph" w:styleId="12">
    <w:name w:val="heading 8"/>
    <w:basedOn w:val="1"/>
    <w:next w:val="9"/>
    <w:link w:val="66"/>
    <w:autoRedefine/>
    <w:qFormat/>
    <w:uiPriority w:val="0"/>
    <w:pPr>
      <w:keepNext/>
      <w:keepLines/>
      <w:spacing w:before="240" w:after="64" w:line="320" w:lineRule="auto"/>
      <w:outlineLvl w:val="7"/>
    </w:pPr>
    <w:rPr>
      <w:rFonts w:ascii="Arial" w:hAnsi="Arial" w:eastAsia="黑体"/>
      <w:sz w:val="24"/>
    </w:rPr>
  </w:style>
  <w:style w:type="paragraph" w:styleId="13">
    <w:name w:val="heading 9"/>
    <w:basedOn w:val="1"/>
    <w:next w:val="9"/>
    <w:link w:val="67"/>
    <w:autoRedefine/>
    <w:qFormat/>
    <w:uiPriority w:val="0"/>
    <w:pPr>
      <w:keepNext/>
      <w:keepLines/>
      <w:spacing w:before="240" w:after="64" w:line="320" w:lineRule="auto"/>
      <w:outlineLvl w:val="8"/>
    </w:pPr>
    <w:rPr>
      <w:rFonts w:ascii="Arial" w:hAnsi="Arial" w:eastAsia="黑体"/>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71"/>
    <w:autoRedefine/>
    <w:qFormat/>
    <w:uiPriority w:val="99"/>
    <w:pPr>
      <w:spacing w:line="380" w:lineRule="exact"/>
    </w:pPr>
    <w:rPr>
      <w:kern w:val="0"/>
      <w:sz w:val="24"/>
    </w:rPr>
  </w:style>
  <w:style w:type="paragraph" w:styleId="3">
    <w:name w:val="toc 2"/>
    <w:basedOn w:val="1"/>
    <w:next w:val="1"/>
    <w:autoRedefine/>
    <w:unhideWhenUsed/>
    <w:qFormat/>
    <w:uiPriority w:val="39"/>
    <w:pPr>
      <w:ind w:left="420" w:leftChars="200"/>
    </w:pPr>
  </w:style>
  <w:style w:type="paragraph" w:styleId="9">
    <w:name w:val="Normal Indent"/>
    <w:basedOn w:val="1"/>
    <w:autoRedefine/>
    <w:qFormat/>
    <w:uiPriority w:val="0"/>
    <w:pPr>
      <w:ind w:firstLine="420"/>
    </w:pPr>
    <w:rPr>
      <w:szCs w:val="20"/>
    </w:rPr>
  </w:style>
  <w:style w:type="paragraph" w:styleId="14">
    <w:name w:val="toc 7"/>
    <w:basedOn w:val="1"/>
    <w:next w:val="1"/>
    <w:autoRedefine/>
    <w:unhideWhenUsed/>
    <w:qFormat/>
    <w:uiPriority w:val="39"/>
    <w:pPr>
      <w:ind w:left="2520" w:leftChars="1200"/>
    </w:pPr>
    <w:rPr>
      <w:rFonts w:ascii="Calibri" w:hAnsi="Calibri"/>
      <w:szCs w:val="22"/>
    </w:rPr>
  </w:style>
  <w:style w:type="paragraph" w:styleId="15">
    <w:name w:val="index 8"/>
    <w:basedOn w:val="1"/>
    <w:next w:val="1"/>
    <w:autoRedefine/>
    <w:qFormat/>
    <w:uiPriority w:val="0"/>
    <w:pPr>
      <w:ind w:left="2940"/>
    </w:pPr>
    <w:rPr>
      <w:rFonts w:ascii="Times New Roman" w:hAnsi="Times New Roman" w:eastAsia="宋体" w:cs="Times New Roman"/>
    </w:rPr>
  </w:style>
  <w:style w:type="paragraph" w:styleId="16">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7">
    <w:name w:val="caption"/>
    <w:basedOn w:val="1"/>
    <w:next w:val="1"/>
    <w:autoRedefine/>
    <w:qFormat/>
    <w:uiPriority w:val="0"/>
    <w:pPr>
      <w:spacing w:before="152" w:after="160"/>
    </w:pPr>
    <w:rPr>
      <w:rFonts w:ascii="Arial" w:hAnsi="Arial" w:eastAsia="黑体" w:cs="Arial"/>
      <w:sz w:val="20"/>
      <w:szCs w:val="20"/>
    </w:rPr>
  </w:style>
  <w:style w:type="paragraph" w:styleId="18">
    <w:name w:val="Document Map"/>
    <w:basedOn w:val="1"/>
    <w:link w:val="68"/>
    <w:autoRedefine/>
    <w:unhideWhenUsed/>
    <w:qFormat/>
    <w:uiPriority w:val="0"/>
    <w:pPr>
      <w:shd w:val="clear" w:color="auto" w:fill="000080"/>
    </w:pPr>
    <w:rPr>
      <w:rFonts w:hint="eastAsia" w:ascii="宋体" w:hAnsi="宋体"/>
      <w:kern w:val="0"/>
      <w:sz w:val="20"/>
      <w:szCs w:val="20"/>
    </w:rPr>
  </w:style>
  <w:style w:type="paragraph" w:styleId="19">
    <w:name w:val="annotation text"/>
    <w:basedOn w:val="1"/>
    <w:link w:val="69"/>
    <w:autoRedefine/>
    <w:unhideWhenUsed/>
    <w:qFormat/>
    <w:uiPriority w:val="0"/>
    <w:pPr>
      <w:jc w:val="left"/>
    </w:pPr>
  </w:style>
  <w:style w:type="paragraph" w:styleId="20">
    <w:name w:val="Body Text 3"/>
    <w:basedOn w:val="1"/>
    <w:link w:val="70"/>
    <w:autoRedefine/>
    <w:qFormat/>
    <w:uiPriority w:val="0"/>
    <w:pPr>
      <w:spacing w:line="500" w:lineRule="exact"/>
    </w:pPr>
    <w:rPr>
      <w:b/>
      <w:bCs/>
      <w:kern w:val="0"/>
      <w:sz w:val="24"/>
    </w:rPr>
  </w:style>
  <w:style w:type="paragraph" w:styleId="21">
    <w:name w:val="Body Text Indent"/>
    <w:basedOn w:val="1"/>
    <w:link w:val="72"/>
    <w:autoRedefine/>
    <w:qFormat/>
    <w:uiPriority w:val="0"/>
    <w:pPr>
      <w:ind w:firstLine="830" w:firstLineChars="352"/>
    </w:pPr>
    <w:rPr>
      <w:rFonts w:ascii="仿宋_GB2312" w:eastAsia="仿宋_GB2312"/>
      <w:kern w:val="0"/>
      <w:sz w:val="32"/>
      <w:szCs w:val="20"/>
    </w:rPr>
  </w:style>
  <w:style w:type="paragraph" w:styleId="22">
    <w:name w:val="List Number 3"/>
    <w:basedOn w:val="1"/>
    <w:autoRedefine/>
    <w:qFormat/>
    <w:uiPriority w:val="0"/>
    <w:pPr>
      <w:tabs>
        <w:tab w:val="left" w:pos="1200"/>
      </w:tabs>
      <w:ind w:left="1200" w:hanging="360"/>
    </w:pPr>
  </w:style>
  <w:style w:type="paragraph" w:styleId="23">
    <w:name w:val="List 2"/>
    <w:basedOn w:val="1"/>
    <w:autoRedefine/>
    <w:qFormat/>
    <w:uiPriority w:val="0"/>
    <w:pPr>
      <w:ind w:left="100" w:leftChars="200" w:hanging="200" w:hangingChars="200"/>
    </w:pPr>
    <w:rPr>
      <w:sz w:val="28"/>
    </w:rPr>
  </w:style>
  <w:style w:type="paragraph" w:styleId="24">
    <w:name w:val="toc 5"/>
    <w:basedOn w:val="1"/>
    <w:next w:val="1"/>
    <w:autoRedefine/>
    <w:unhideWhenUsed/>
    <w:qFormat/>
    <w:uiPriority w:val="39"/>
    <w:pPr>
      <w:ind w:left="1680" w:leftChars="800"/>
    </w:pPr>
    <w:rPr>
      <w:rFonts w:ascii="Calibri" w:hAnsi="Calibri"/>
      <w:szCs w:val="22"/>
    </w:rPr>
  </w:style>
  <w:style w:type="paragraph" w:styleId="25">
    <w:name w:val="toc 3"/>
    <w:basedOn w:val="1"/>
    <w:next w:val="1"/>
    <w:autoRedefine/>
    <w:unhideWhenUsed/>
    <w:qFormat/>
    <w:uiPriority w:val="39"/>
    <w:pPr>
      <w:ind w:left="840" w:leftChars="400"/>
    </w:pPr>
    <w:rPr>
      <w:rFonts w:ascii="Calibri" w:hAnsi="Calibri"/>
      <w:szCs w:val="22"/>
    </w:rPr>
  </w:style>
  <w:style w:type="paragraph" w:styleId="26">
    <w:name w:val="Plain Text"/>
    <w:basedOn w:val="1"/>
    <w:next w:val="15"/>
    <w:link w:val="73"/>
    <w:autoRedefine/>
    <w:qFormat/>
    <w:uiPriority w:val="0"/>
    <w:rPr>
      <w:rFonts w:ascii="宋体" w:hAnsi="Courier New"/>
      <w:kern w:val="0"/>
      <w:sz w:val="20"/>
      <w:szCs w:val="21"/>
    </w:rPr>
  </w:style>
  <w:style w:type="paragraph" w:styleId="27">
    <w:name w:val="toc 8"/>
    <w:basedOn w:val="1"/>
    <w:next w:val="1"/>
    <w:autoRedefine/>
    <w:unhideWhenUsed/>
    <w:qFormat/>
    <w:uiPriority w:val="39"/>
    <w:pPr>
      <w:ind w:left="2940" w:leftChars="1400"/>
    </w:pPr>
    <w:rPr>
      <w:rFonts w:ascii="Calibri" w:hAnsi="Calibri"/>
      <w:szCs w:val="22"/>
    </w:rPr>
  </w:style>
  <w:style w:type="paragraph" w:styleId="28">
    <w:name w:val="Date"/>
    <w:basedOn w:val="1"/>
    <w:next w:val="1"/>
    <w:link w:val="74"/>
    <w:autoRedefine/>
    <w:qFormat/>
    <w:uiPriority w:val="0"/>
    <w:pPr>
      <w:ind w:left="100" w:leftChars="2500"/>
    </w:pPr>
    <w:rPr>
      <w:rFonts w:ascii="宋体" w:hAnsi="Courier New"/>
      <w:kern w:val="0"/>
      <w:sz w:val="20"/>
      <w:szCs w:val="21"/>
    </w:rPr>
  </w:style>
  <w:style w:type="paragraph" w:styleId="29">
    <w:name w:val="Body Text Indent 2"/>
    <w:basedOn w:val="1"/>
    <w:link w:val="75"/>
    <w:autoRedefine/>
    <w:qFormat/>
    <w:uiPriority w:val="0"/>
    <w:pPr>
      <w:ind w:firstLine="630"/>
    </w:pPr>
    <w:rPr>
      <w:kern w:val="0"/>
      <w:sz w:val="32"/>
      <w:szCs w:val="20"/>
    </w:rPr>
  </w:style>
  <w:style w:type="paragraph" w:styleId="30">
    <w:name w:val="endnote text"/>
    <w:basedOn w:val="1"/>
    <w:link w:val="76"/>
    <w:autoRedefine/>
    <w:unhideWhenUsed/>
    <w:qFormat/>
    <w:uiPriority w:val="99"/>
    <w:pPr>
      <w:snapToGrid w:val="0"/>
      <w:jc w:val="left"/>
    </w:pPr>
  </w:style>
  <w:style w:type="paragraph" w:styleId="31">
    <w:name w:val="Balloon Text"/>
    <w:basedOn w:val="1"/>
    <w:link w:val="77"/>
    <w:autoRedefine/>
    <w:semiHidden/>
    <w:qFormat/>
    <w:uiPriority w:val="0"/>
    <w:rPr>
      <w:kern w:val="0"/>
      <w:sz w:val="18"/>
      <w:szCs w:val="18"/>
    </w:rPr>
  </w:style>
  <w:style w:type="paragraph" w:styleId="32">
    <w:name w:val="footer"/>
    <w:basedOn w:val="1"/>
    <w:link w:val="78"/>
    <w:autoRedefine/>
    <w:unhideWhenUsed/>
    <w:qFormat/>
    <w:uiPriority w:val="99"/>
    <w:pPr>
      <w:tabs>
        <w:tab w:val="center" w:pos="4153"/>
        <w:tab w:val="right" w:pos="8306"/>
      </w:tabs>
      <w:snapToGrid w:val="0"/>
      <w:jc w:val="left"/>
    </w:pPr>
    <w:rPr>
      <w:kern w:val="0"/>
      <w:sz w:val="18"/>
      <w:szCs w:val="18"/>
    </w:rPr>
  </w:style>
  <w:style w:type="paragraph" w:styleId="33">
    <w:name w:val="header"/>
    <w:basedOn w:val="1"/>
    <w:link w:val="79"/>
    <w:autoRedefine/>
    <w:unhideWhenUsed/>
    <w:qFormat/>
    <w:uiPriority w:val="99"/>
    <w:pPr>
      <w:pBdr>
        <w:bottom w:val="single" w:color="auto" w:sz="6" w:space="1"/>
      </w:pBdr>
      <w:tabs>
        <w:tab w:val="center" w:pos="0"/>
        <w:tab w:val="left" w:pos="8306"/>
      </w:tabs>
      <w:snapToGrid w:val="0"/>
      <w:jc w:val="center"/>
    </w:pPr>
    <w:rPr>
      <w:sz w:val="18"/>
      <w:szCs w:val="18"/>
    </w:rPr>
  </w:style>
  <w:style w:type="paragraph" w:styleId="34">
    <w:name w:val="toc 1"/>
    <w:basedOn w:val="1"/>
    <w:next w:val="1"/>
    <w:autoRedefine/>
    <w:qFormat/>
    <w:uiPriority w:val="39"/>
    <w:pPr>
      <w:tabs>
        <w:tab w:val="right" w:leader="dot" w:pos="8398"/>
      </w:tabs>
      <w:spacing w:before="120" w:after="120"/>
      <w:ind w:firstLine="240" w:firstLineChars="100"/>
      <w:jc w:val="left"/>
    </w:pPr>
    <w:rPr>
      <w:rFonts w:ascii="宋体" w:hAnsi="宋体"/>
      <w:b/>
      <w:bCs/>
      <w:caps/>
      <w:sz w:val="24"/>
    </w:rPr>
  </w:style>
  <w:style w:type="paragraph" w:styleId="35">
    <w:name w:val="toc 4"/>
    <w:basedOn w:val="1"/>
    <w:next w:val="1"/>
    <w:autoRedefine/>
    <w:unhideWhenUsed/>
    <w:qFormat/>
    <w:uiPriority w:val="39"/>
    <w:pPr>
      <w:ind w:left="1260" w:leftChars="600"/>
    </w:pPr>
    <w:rPr>
      <w:rFonts w:ascii="Calibri" w:hAnsi="Calibri"/>
      <w:szCs w:val="22"/>
    </w:rPr>
  </w:style>
  <w:style w:type="paragraph" w:styleId="36">
    <w:name w:val="List"/>
    <w:basedOn w:val="1"/>
    <w:autoRedefine/>
    <w:qFormat/>
    <w:uiPriority w:val="0"/>
    <w:pPr>
      <w:ind w:left="200" w:hanging="200" w:hangingChars="200"/>
    </w:pPr>
    <w:rPr>
      <w:sz w:val="28"/>
    </w:rPr>
  </w:style>
  <w:style w:type="paragraph" w:styleId="37">
    <w:name w:val="footnote text"/>
    <w:basedOn w:val="1"/>
    <w:link w:val="80"/>
    <w:autoRedefine/>
    <w:unhideWhenUsed/>
    <w:qFormat/>
    <w:uiPriority w:val="99"/>
    <w:pPr>
      <w:snapToGrid w:val="0"/>
      <w:jc w:val="left"/>
    </w:pPr>
    <w:rPr>
      <w:sz w:val="18"/>
      <w:szCs w:val="18"/>
    </w:rPr>
  </w:style>
  <w:style w:type="paragraph" w:styleId="38">
    <w:name w:val="toc 6"/>
    <w:basedOn w:val="1"/>
    <w:next w:val="1"/>
    <w:autoRedefine/>
    <w:unhideWhenUsed/>
    <w:qFormat/>
    <w:uiPriority w:val="39"/>
    <w:pPr>
      <w:ind w:left="2100" w:leftChars="1000"/>
    </w:pPr>
    <w:rPr>
      <w:rFonts w:ascii="Calibri" w:hAnsi="Calibri"/>
      <w:szCs w:val="22"/>
    </w:rPr>
  </w:style>
  <w:style w:type="paragraph" w:styleId="39">
    <w:name w:val="Body Text Indent 3"/>
    <w:basedOn w:val="1"/>
    <w:link w:val="81"/>
    <w:autoRedefine/>
    <w:qFormat/>
    <w:uiPriority w:val="0"/>
    <w:pPr>
      <w:spacing w:after="120"/>
      <w:ind w:left="420" w:leftChars="200"/>
    </w:pPr>
    <w:rPr>
      <w:kern w:val="0"/>
      <w:sz w:val="16"/>
      <w:szCs w:val="16"/>
    </w:rPr>
  </w:style>
  <w:style w:type="paragraph" w:styleId="40">
    <w:name w:val="toc 9"/>
    <w:basedOn w:val="1"/>
    <w:next w:val="1"/>
    <w:autoRedefine/>
    <w:unhideWhenUsed/>
    <w:qFormat/>
    <w:uiPriority w:val="39"/>
    <w:pPr>
      <w:ind w:left="3360" w:leftChars="1600"/>
    </w:pPr>
    <w:rPr>
      <w:rFonts w:ascii="Calibri" w:hAnsi="Calibri"/>
      <w:szCs w:val="22"/>
    </w:rPr>
  </w:style>
  <w:style w:type="paragraph" w:styleId="41">
    <w:name w:val="Body Text 2"/>
    <w:basedOn w:val="1"/>
    <w:link w:val="82"/>
    <w:autoRedefine/>
    <w:qFormat/>
    <w:uiPriority w:val="0"/>
    <w:pPr>
      <w:spacing w:after="120" w:line="480" w:lineRule="auto"/>
    </w:pPr>
    <w:rPr>
      <w:kern w:val="0"/>
      <w:sz w:val="20"/>
    </w:rPr>
  </w:style>
  <w:style w:type="paragraph" w:styleId="4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3">
    <w:name w:val="index 1"/>
    <w:basedOn w:val="1"/>
    <w:next w:val="1"/>
    <w:autoRedefine/>
    <w:semiHidden/>
    <w:qFormat/>
    <w:uiPriority w:val="0"/>
    <w:pPr>
      <w:spacing w:line="400" w:lineRule="exact"/>
      <w:ind w:firstLine="420" w:firstLineChars="200"/>
    </w:pPr>
    <w:rPr>
      <w:rFonts w:ascii="宋体" w:hAnsi="Courier New"/>
      <w:b/>
      <w:szCs w:val="20"/>
    </w:rPr>
  </w:style>
  <w:style w:type="paragraph" w:styleId="44">
    <w:name w:val="Title"/>
    <w:basedOn w:val="1"/>
    <w:next w:val="1"/>
    <w:link w:val="83"/>
    <w:autoRedefine/>
    <w:qFormat/>
    <w:uiPriority w:val="10"/>
    <w:pPr>
      <w:spacing w:before="240" w:after="60"/>
      <w:jc w:val="center"/>
      <w:outlineLvl w:val="0"/>
    </w:pPr>
    <w:rPr>
      <w:rFonts w:ascii="Cambria" w:hAnsi="Cambria"/>
      <w:b/>
      <w:bCs/>
      <w:sz w:val="32"/>
      <w:szCs w:val="32"/>
    </w:rPr>
  </w:style>
  <w:style w:type="paragraph" w:styleId="45">
    <w:name w:val="annotation subject"/>
    <w:basedOn w:val="19"/>
    <w:next w:val="19"/>
    <w:link w:val="84"/>
    <w:autoRedefine/>
    <w:unhideWhenUsed/>
    <w:qFormat/>
    <w:uiPriority w:val="99"/>
    <w:rPr>
      <w:b/>
      <w:bCs/>
    </w:rPr>
  </w:style>
  <w:style w:type="paragraph" w:styleId="46">
    <w:name w:val="Body Text First Indent"/>
    <w:basedOn w:val="2"/>
    <w:autoRedefine/>
    <w:qFormat/>
    <w:uiPriority w:val="0"/>
    <w:pPr>
      <w:widowControl/>
      <w:wordWrap w:val="0"/>
      <w:topLinePunct/>
      <w:spacing w:line="600" w:lineRule="exact"/>
      <w:ind w:firstLine="880" w:firstLineChars="200"/>
      <w:jc w:val="left"/>
      <w:textAlignment w:val="baseline"/>
    </w:pPr>
    <w:rPr>
      <w:rFonts w:eastAsia="仿宋_GB2312"/>
      <w:sz w:val="32"/>
      <w:lang w:eastAsia="en-US"/>
    </w:rPr>
  </w:style>
  <w:style w:type="paragraph" w:styleId="47">
    <w:name w:val="Body Text First Indent 2"/>
    <w:basedOn w:val="21"/>
    <w:autoRedefine/>
    <w:unhideWhenUsed/>
    <w:qFormat/>
    <w:uiPriority w:val="99"/>
    <w:pPr>
      <w:ind w:firstLine="420" w:firstLineChars="200"/>
    </w:pPr>
  </w:style>
  <w:style w:type="table" w:styleId="49">
    <w:name w:val="Table Grid"/>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autoRedefine/>
    <w:qFormat/>
    <w:uiPriority w:val="22"/>
    <w:rPr>
      <w:b/>
      <w:bCs/>
    </w:rPr>
  </w:style>
  <w:style w:type="character" w:styleId="52">
    <w:name w:val="endnote reference"/>
    <w:autoRedefine/>
    <w:unhideWhenUsed/>
    <w:qFormat/>
    <w:uiPriority w:val="99"/>
    <w:rPr>
      <w:vertAlign w:val="superscript"/>
    </w:rPr>
  </w:style>
  <w:style w:type="character" w:styleId="53">
    <w:name w:val="page number"/>
    <w:autoRedefine/>
    <w:qFormat/>
    <w:uiPriority w:val="0"/>
  </w:style>
  <w:style w:type="character" w:styleId="54">
    <w:name w:val="FollowedHyperlink"/>
    <w:autoRedefine/>
    <w:qFormat/>
    <w:uiPriority w:val="0"/>
    <w:rPr>
      <w:color w:val="000000"/>
      <w:u w:val="none"/>
    </w:rPr>
  </w:style>
  <w:style w:type="character" w:styleId="55">
    <w:name w:val="Hyperlink"/>
    <w:autoRedefine/>
    <w:qFormat/>
    <w:uiPriority w:val="99"/>
    <w:rPr>
      <w:color w:val="000000"/>
      <w:u w:val="none"/>
    </w:rPr>
  </w:style>
  <w:style w:type="character" w:styleId="56">
    <w:name w:val="annotation reference"/>
    <w:autoRedefine/>
    <w:unhideWhenUsed/>
    <w:qFormat/>
    <w:uiPriority w:val="0"/>
    <w:rPr>
      <w:sz w:val="21"/>
      <w:szCs w:val="21"/>
    </w:rPr>
  </w:style>
  <w:style w:type="character" w:styleId="57">
    <w:name w:val="footnote reference"/>
    <w:autoRedefine/>
    <w:unhideWhenUsed/>
    <w:qFormat/>
    <w:uiPriority w:val="99"/>
    <w:rPr>
      <w:vertAlign w:val="superscript"/>
    </w:rPr>
  </w:style>
  <w:style w:type="character" w:customStyle="1" w:styleId="58">
    <w:name w:val="标题 1 字符"/>
    <w:autoRedefine/>
    <w:qFormat/>
    <w:uiPriority w:val="9"/>
    <w:rPr>
      <w:rFonts w:ascii="Times New Roman" w:hAnsi="Times New Roman" w:eastAsia="宋体" w:cs="Times New Roman"/>
      <w:b/>
      <w:bCs/>
      <w:kern w:val="44"/>
      <w:sz w:val="44"/>
      <w:szCs w:val="44"/>
    </w:rPr>
  </w:style>
  <w:style w:type="paragraph" w:customStyle="1" w:styleId="59">
    <w:name w:val="表格文字"/>
    <w:basedOn w:val="21"/>
    <w:autoRedefine/>
    <w:qFormat/>
    <w:uiPriority w:val="0"/>
    <w:pPr>
      <w:keepNext w:val="0"/>
      <w:keepLines w:val="0"/>
      <w:widowControl w:val="0"/>
      <w:suppressLineNumbers w:val="0"/>
      <w:spacing w:before="25" w:beforeAutospacing="0" w:after="25" w:afterAutospacing="0"/>
      <w:ind w:left="0" w:right="0"/>
      <w:jc w:val="left"/>
    </w:pPr>
    <w:rPr>
      <w:rFonts w:hint="default" w:ascii="Times New Roman" w:hAnsi="Times New Roman" w:eastAsia="宋体" w:cs="Times New Roman"/>
      <w:bCs/>
      <w:spacing w:val="10"/>
      <w:kern w:val="0"/>
      <w:sz w:val="24"/>
      <w:szCs w:val="24"/>
      <w:lang w:val="en-US" w:eastAsia="zh-CN" w:bidi="ar"/>
    </w:rPr>
  </w:style>
  <w:style w:type="character" w:customStyle="1" w:styleId="60">
    <w:name w:val="标题 1 Char"/>
    <w:link w:val="4"/>
    <w:autoRedefine/>
    <w:qFormat/>
    <w:uiPriority w:val="0"/>
    <w:rPr>
      <w:rFonts w:ascii="Times New Roman" w:hAnsi="Times New Roman" w:eastAsia="宋体" w:cs="Times New Roman"/>
      <w:b/>
      <w:bCs/>
      <w:kern w:val="44"/>
      <w:sz w:val="44"/>
      <w:szCs w:val="44"/>
    </w:rPr>
  </w:style>
  <w:style w:type="character" w:customStyle="1" w:styleId="61">
    <w:name w:val="标题 2 Char"/>
    <w:link w:val="5"/>
    <w:autoRedefine/>
    <w:qFormat/>
    <w:uiPriority w:val="0"/>
    <w:rPr>
      <w:rFonts w:ascii="Arial" w:hAnsi="Arial" w:eastAsia="黑体" w:cs="Times New Roman"/>
      <w:b/>
      <w:bCs/>
      <w:sz w:val="32"/>
      <w:szCs w:val="32"/>
    </w:rPr>
  </w:style>
  <w:style w:type="character" w:customStyle="1" w:styleId="62">
    <w:name w:val="标题 3 Char"/>
    <w:link w:val="6"/>
    <w:autoRedefine/>
    <w:qFormat/>
    <w:uiPriority w:val="0"/>
    <w:rPr>
      <w:rFonts w:ascii="Times New Roman" w:hAnsi="Times New Roman" w:eastAsia="宋体" w:cs="Times New Roman"/>
      <w:b/>
      <w:bCs/>
      <w:sz w:val="32"/>
      <w:szCs w:val="32"/>
    </w:rPr>
  </w:style>
  <w:style w:type="character" w:customStyle="1" w:styleId="63">
    <w:name w:val="标题 5 Char1"/>
    <w:link w:val="8"/>
    <w:autoRedefine/>
    <w:qFormat/>
    <w:uiPriority w:val="0"/>
    <w:rPr>
      <w:b/>
      <w:kern w:val="2"/>
      <w:sz w:val="28"/>
      <w:szCs w:val="24"/>
    </w:rPr>
  </w:style>
  <w:style w:type="character" w:customStyle="1" w:styleId="64">
    <w:name w:val="标题 6 Char"/>
    <w:link w:val="10"/>
    <w:autoRedefine/>
    <w:qFormat/>
    <w:uiPriority w:val="0"/>
    <w:rPr>
      <w:rFonts w:ascii="Arial" w:hAnsi="Arial" w:eastAsia="黑体"/>
      <w:b/>
      <w:kern w:val="2"/>
      <w:sz w:val="24"/>
      <w:szCs w:val="24"/>
    </w:rPr>
  </w:style>
  <w:style w:type="character" w:customStyle="1" w:styleId="65">
    <w:name w:val="标题 7 Char"/>
    <w:link w:val="11"/>
    <w:autoRedefine/>
    <w:qFormat/>
    <w:uiPriority w:val="0"/>
    <w:rPr>
      <w:b/>
      <w:kern w:val="2"/>
      <w:sz w:val="24"/>
      <w:szCs w:val="24"/>
    </w:rPr>
  </w:style>
  <w:style w:type="character" w:customStyle="1" w:styleId="66">
    <w:name w:val="标题 8 Char"/>
    <w:link w:val="12"/>
    <w:autoRedefine/>
    <w:qFormat/>
    <w:uiPriority w:val="0"/>
    <w:rPr>
      <w:rFonts w:ascii="Arial" w:hAnsi="Arial" w:eastAsia="黑体"/>
      <w:kern w:val="2"/>
      <w:sz w:val="24"/>
      <w:szCs w:val="24"/>
    </w:rPr>
  </w:style>
  <w:style w:type="character" w:customStyle="1" w:styleId="67">
    <w:name w:val="标题 9 Char"/>
    <w:link w:val="13"/>
    <w:autoRedefine/>
    <w:qFormat/>
    <w:uiPriority w:val="0"/>
    <w:rPr>
      <w:rFonts w:ascii="Arial" w:hAnsi="Arial" w:eastAsia="黑体"/>
      <w:kern w:val="2"/>
      <w:sz w:val="21"/>
      <w:szCs w:val="24"/>
    </w:rPr>
  </w:style>
  <w:style w:type="character" w:customStyle="1" w:styleId="68">
    <w:name w:val="文档结构图 Char"/>
    <w:link w:val="18"/>
    <w:autoRedefine/>
    <w:qFormat/>
    <w:uiPriority w:val="0"/>
    <w:rPr>
      <w:rFonts w:hint="eastAsia" w:ascii="宋体" w:hAnsi="宋体" w:eastAsia="宋体" w:cs="宋体"/>
    </w:rPr>
  </w:style>
  <w:style w:type="character" w:customStyle="1" w:styleId="69">
    <w:name w:val="批注文字 Char2"/>
    <w:link w:val="19"/>
    <w:autoRedefine/>
    <w:qFormat/>
    <w:uiPriority w:val="0"/>
    <w:rPr>
      <w:rFonts w:ascii="Times New Roman" w:hAnsi="Times New Roman"/>
      <w:kern w:val="2"/>
      <w:sz w:val="21"/>
      <w:szCs w:val="24"/>
    </w:rPr>
  </w:style>
  <w:style w:type="character" w:customStyle="1" w:styleId="70">
    <w:name w:val="正文文本 3 Char"/>
    <w:link w:val="20"/>
    <w:autoRedefine/>
    <w:qFormat/>
    <w:uiPriority w:val="0"/>
    <w:rPr>
      <w:rFonts w:ascii="Times New Roman" w:hAnsi="Times New Roman" w:eastAsia="宋体" w:cs="Times New Roman"/>
      <w:b/>
      <w:bCs/>
      <w:sz w:val="24"/>
      <w:szCs w:val="24"/>
    </w:rPr>
  </w:style>
  <w:style w:type="character" w:customStyle="1" w:styleId="71">
    <w:name w:val="正文文本 Char"/>
    <w:link w:val="2"/>
    <w:autoRedefine/>
    <w:qFormat/>
    <w:uiPriority w:val="99"/>
    <w:rPr>
      <w:rFonts w:ascii="Times New Roman" w:hAnsi="Times New Roman" w:eastAsia="宋体" w:cs="Times New Roman"/>
      <w:sz w:val="24"/>
      <w:szCs w:val="24"/>
    </w:rPr>
  </w:style>
  <w:style w:type="character" w:customStyle="1" w:styleId="72">
    <w:name w:val="正文文本缩进 Char"/>
    <w:link w:val="21"/>
    <w:autoRedefine/>
    <w:qFormat/>
    <w:uiPriority w:val="0"/>
    <w:rPr>
      <w:rFonts w:ascii="仿宋_GB2312" w:hAnsi="Times New Roman" w:eastAsia="仿宋_GB2312" w:cs="Times New Roman"/>
      <w:sz w:val="32"/>
      <w:szCs w:val="20"/>
    </w:rPr>
  </w:style>
  <w:style w:type="character" w:customStyle="1" w:styleId="73">
    <w:name w:val="纯文本 Char1"/>
    <w:link w:val="26"/>
    <w:autoRedefine/>
    <w:qFormat/>
    <w:uiPriority w:val="0"/>
    <w:rPr>
      <w:rFonts w:ascii="宋体" w:hAnsi="Courier New" w:eastAsia="宋体" w:cs="Courier New"/>
      <w:szCs w:val="21"/>
    </w:rPr>
  </w:style>
  <w:style w:type="character" w:customStyle="1" w:styleId="74">
    <w:name w:val="日期 Char"/>
    <w:link w:val="28"/>
    <w:autoRedefine/>
    <w:qFormat/>
    <w:uiPriority w:val="0"/>
    <w:rPr>
      <w:rFonts w:ascii="宋体" w:hAnsi="Courier New" w:eastAsia="宋体" w:cs="Courier New"/>
      <w:szCs w:val="21"/>
    </w:rPr>
  </w:style>
  <w:style w:type="character" w:customStyle="1" w:styleId="75">
    <w:name w:val="正文文本缩进 2 Char"/>
    <w:link w:val="29"/>
    <w:autoRedefine/>
    <w:qFormat/>
    <w:uiPriority w:val="0"/>
    <w:rPr>
      <w:rFonts w:ascii="Times New Roman" w:hAnsi="Times New Roman" w:eastAsia="宋体" w:cs="Times New Roman"/>
      <w:sz w:val="32"/>
      <w:szCs w:val="20"/>
    </w:rPr>
  </w:style>
  <w:style w:type="character" w:customStyle="1" w:styleId="76">
    <w:name w:val="尾注文本 Char"/>
    <w:link w:val="30"/>
    <w:autoRedefine/>
    <w:semiHidden/>
    <w:qFormat/>
    <w:uiPriority w:val="99"/>
    <w:rPr>
      <w:rFonts w:ascii="Times New Roman" w:hAnsi="Times New Roman"/>
      <w:kern w:val="2"/>
      <w:sz w:val="21"/>
      <w:szCs w:val="24"/>
    </w:rPr>
  </w:style>
  <w:style w:type="character" w:customStyle="1" w:styleId="77">
    <w:name w:val="批注框文本 Char"/>
    <w:link w:val="31"/>
    <w:autoRedefine/>
    <w:semiHidden/>
    <w:qFormat/>
    <w:uiPriority w:val="0"/>
    <w:rPr>
      <w:rFonts w:ascii="Times New Roman" w:hAnsi="Times New Roman" w:eastAsia="宋体" w:cs="Times New Roman"/>
      <w:sz w:val="18"/>
      <w:szCs w:val="18"/>
    </w:rPr>
  </w:style>
  <w:style w:type="character" w:customStyle="1" w:styleId="78">
    <w:name w:val="页脚 Char"/>
    <w:link w:val="32"/>
    <w:autoRedefine/>
    <w:qFormat/>
    <w:uiPriority w:val="99"/>
    <w:rPr>
      <w:sz w:val="18"/>
      <w:szCs w:val="18"/>
    </w:rPr>
  </w:style>
  <w:style w:type="character" w:customStyle="1" w:styleId="79">
    <w:name w:val="页眉 Char"/>
    <w:link w:val="33"/>
    <w:autoRedefine/>
    <w:qFormat/>
    <w:uiPriority w:val="99"/>
    <w:rPr>
      <w:rFonts w:ascii="Times New Roman" w:hAnsi="Times New Roman"/>
      <w:kern w:val="2"/>
      <w:sz w:val="18"/>
      <w:szCs w:val="18"/>
    </w:rPr>
  </w:style>
  <w:style w:type="character" w:customStyle="1" w:styleId="80">
    <w:name w:val="脚注文本 Char"/>
    <w:link w:val="37"/>
    <w:autoRedefine/>
    <w:semiHidden/>
    <w:qFormat/>
    <w:uiPriority w:val="99"/>
    <w:rPr>
      <w:rFonts w:ascii="Times New Roman" w:hAnsi="Times New Roman"/>
      <w:kern w:val="2"/>
      <w:sz w:val="18"/>
      <w:szCs w:val="18"/>
    </w:rPr>
  </w:style>
  <w:style w:type="character" w:customStyle="1" w:styleId="81">
    <w:name w:val="正文文本缩进 3 Char"/>
    <w:link w:val="39"/>
    <w:autoRedefine/>
    <w:qFormat/>
    <w:uiPriority w:val="0"/>
    <w:rPr>
      <w:rFonts w:ascii="Times New Roman" w:hAnsi="Times New Roman" w:eastAsia="宋体" w:cs="Times New Roman"/>
      <w:sz w:val="16"/>
      <w:szCs w:val="16"/>
    </w:rPr>
  </w:style>
  <w:style w:type="character" w:customStyle="1" w:styleId="82">
    <w:name w:val="正文文本 2 Char"/>
    <w:link w:val="41"/>
    <w:autoRedefine/>
    <w:qFormat/>
    <w:uiPriority w:val="0"/>
    <w:rPr>
      <w:rFonts w:ascii="Times New Roman" w:hAnsi="Times New Roman" w:eastAsia="宋体" w:cs="Times New Roman"/>
      <w:szCs w:val="24"/>
    </w:rPr>
  </w:style>
  <w:style w:type="character" w:customStyle="1" w:styleId="83">
    <w:name w:val="标题 Char"/>
    <w:link w:val="44"/>
    <w:autoRedefine/>
    <w:qFormat/>
    <w:uiPriority w:val="10"/>
    <w:rPr>
      <w:rFonts w:ascii="Cambria" w:hAnsi="Cambria" w:cs="Times New Roman"/>
      <w:b/>
      <w:bCs/>
      <w:kern w:val="2"/>
      <w:sz w:val="32"/>
      <w:szCs w:val="32"/>
    </w:rPr>
  </w:style>
  <w:style w:type="character" w:customStyle="1" w:styleId="84">
    <w:name w:val="批注主题 Char"/>
    <w:link w:val="45"/>
    <w:autoRedefine/>
    <w:semiHidden/>
    <w:qFormat/>
    <w:uiPriority w:val="99"/>
    <w:rPr>
      <w:rFonts w:ascii="Times New Roman" w:hAnsi="Times New Roman"/>
      <w:b/>
      <w:bCs/>
      <w:kern w:val="2"/>
      <w:sz w:val="21"/>
      <w:szCs w:val="24"/>
    </w:rPr>
  </w:style>
  <w:style w:type="character" w:customStyle="1" w:styleId="85">
    <w:name w:val="批注文字 Char1"/>
    <w:autoRedefine/>
    <w:qFormat/>
    <w:locked/>
    <w:uiPriority w:val="0"/>
    <w:rPr>
      <w:rFonts w:ascii="Times New Roman" w:hAnsi="Times New Roman"/>
      <w:kern w:val="2"/>
      <w:sz w:val="21"/>
      <w:szCs w:val="24"/>
    </w:rPr>
  </w:style>
  <w:style w:type="character" w:customStyle="1" w:styleId="86">
    <w:name w:val="case31"/>
    <w:autoRedefine/>
    <w:qFormat/>
    <w:uiPriority w:val="0"/>
    <w:rPr>
      <w:rFonts w:hint="default"/>
      <w:sz w:val="21"/>
      <w:szCs w:val="21"/>
    </w:rPr>
  </w:style>
  <w:style w:type="character" w:customStyle="1" w:styleId="87">
    <w:name w:val="批注文字 Char"/>
    <w:autoRedefine/>
    <w:qFormat/>
    <w:uiPriority w:val="0"/>
    <w:rPr>
      <w:rFonts w:ascii="Times New Roman" w:hAnsi="Times New Roman"/>
      <w:kern w:val="2"/>
      <w:sz w:val="21"/>
      <w:szCs w:val="24"/>
    </w:rPr>
  </w:style>
  <w:style w:type="character" w:customStyle="1" w:styleId="88">
    <w:name w:val="纯文本 Char"/>
    <w:autoRedefine/>
    <w:qFormat/>
    <w:uiPriority w:val="0"/>
    <w:rPr>
      <w:rFonts w:ascii="宋体" w:hAnsi="Courier New" w:eastAsia="宋体"/>
      <w:kern w:val="2"/>
      <w:sz w:val="21"/>
      <w:lang w:val="en-US" w:eastAsia="zh-CN" w:bidi="ar-SA"/>
    </w:rPr>
  </w:style>
  <w:style w:type="character" w:customStyle="1" w:styleId="89">
    <w:name w:val="纯文本 字符1"/>
    <w:autoRedefine/>
    <w:qFormat/>
    <w:uiPriority w:val="0"/>
    <w:rPr>
      <w:rFonts w:ascii="宋体" w:hAnsi="Courier New"/>
    </w:rPr>
  </w:style>
  <w:style w:type="character" w:customStyle="1" w:styleId="90">
    <w:name w:val="批注文字 字符1"/>
    <w:autoRedefine/>
    <w:qFormat/>
    <w:uiPriority w:val="0"/>
    <w:rPr>
      <w:rFonts w:ascii="Times New Roman" w:hAnsi="Times New Roman"/>
      <w:kern w:val="2"/>
      <w:sz w:val="21"/>
      <w:szCs w:val="24"/>
    </w:rPr>
  </w:style>
  <w:style w:type="character" w:customStyle="1" w:styleId="91">
    <w:name w:val="正文文本 Char1"/>
    <w:autoRedefine/>
    <w:semiHidden/>
    <w:qFormat/>
    <w:locked/>
    <w:uiPriority w:val="99"/>
    <w:rPr>
      <w:sz w:val="24"/>
      <w:szCs w:val="24"/>
    </w:rPr>
  </w:style>
  <w:style w:type="character" w:customStyle="1" w:styleId="92">
    <w:name w:val="apple-style-span"/>
    <w:autoRedefine/>
    <w:qFormat/>
    <w:uiPriority w:val="0"/>
  </w:style>
  <w:style w:type="character" w:customStyle="1" w:styleId="93">
    <w:name w:val="textcontents"/>
    <w:autoRedefine/>
    <w:qFormat/>
    <w:uiPriority w:val="0"/>
  </w:style>
  <w:style w:type="character" w:customStyle="1" w:styleId="94">
    <w:name w:val="普通文字 Char Char2"/>
    <w:autoRedefine/>
    <w:qFormat/>
    <w:uiPriority w:val="0"/>
    <w:rPr>
      <w:rFonts w:ascii="宋体" w:hAnsi="Courier New" w:eastAsia="宋体"/>
      <w:kern w:val="2"/>
      <w:sz w:val="21"/>
      <w:lang w:val="en-US" w:eastAsia="zh-CN" w:bidi="ar-SA"/>
    </w:rPr>
  </w:style>
  <w:style w:type="character" w:customStyle="1" w:styleId="95">
    <w:name w:val="标题 5 Char"/>
    <w:autoRedefine/>
    <w:qFormat/>
    <w:uiPriority w:val="9"/>
    <w:rPr>
      <w:b/>
      <w:kern w:val="2"/>
      <w:sz w:val="28"/>
      <w:szCs w:val="24"/>
    </w:rPr>
  </w:style>
  <w:style w:type="character" w:customStyle="1" w:styleId="96">
    <w:name w:val="批注文字 字符"/>
    <w:autoRedefine/>
    <w:qFormat/>
    <w:uiPriority w:val="0"/>
    <w:rPr>
      <w:rFonts w:ascii="Times New Roman" w:hAnsi="Times New Roman"/>
      <w:kern w:val="2"/>
      <w:sz w:val="21"/>
      <w:szCs w:val="24"/>
    </w:rPr>
  </w:style>
  <w:style w:type="character" w:customStyle="1" w:styleId="97">
    <w:name w:val="纯文本 字符"/>
    <w:autoRedefine/>
    <w:qFormat/>
    <w:uiPriority w:val="0"/>
    <w:rPr>
      <w:rFonts w:ascii="宋体" w:hAnsi="Courier New" w:eastAsia="宋体" w:cs="Courier New"/>
      <w:szCs w:val="21"/>
    </w:rPr>
  </w:style>
  <w:style w:type="character" w:customStyle="1" w:styleId="98">
    <w:name w:val="headline-content4"/>
    <w:autoRedefine/>
    <w:qFormat/>
    <w:uiPriority w:val="0"/>
  </w:style>
  <w:style w:type="character" w:customStyle="1" w:styleId="99">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00">
    <w:name w:val="正文文本缩进 字符"/>
    <w:autoRedefine/>
    <w:qFormat/>
    <w:uiPriority w:val="0"/>
    <w:rPr>
      <w:rFonts w:ascii="仿宋_GB2312" w:hAnsi="Times New Roman" w:eastAsia="仿宋_GB2312" w:cs="Times New Roman"/>
      <w:sz w:val="32"/>
      <w:szCs w:val="20"/>
    </w:rPr>
  </w:style>
  <w:style w:type="paragraph" w:customStyle="1" w:styleId="101">
    <w:name w:val="Char1"/>
    <w:basedOn w:val="1"/>
    <w:autoRedefine/>
    <w:qFormat/>
    <w:uiPriority w:val="0"/>
    <w:rPr>
      <w:szCs w:val="21"/>
    </w:rPr>
  </w:style>
  <w:style w:type="paragraph" w:styleId="102">
    <w:name w:val="List Paragraph"/>
    <w:basedOn w:val="1"/>
    <w:autoRedefine/>
    <w:qFormat/>
    <w:uiPriority w:val="34"/>
    <w:pPr>
      <w:ind w:firstLine="420" w:firstLineChars="200"/>
    </w:pPr>
  </w:style>
  <w:style w:type="paragraph" w:customStyle="1" w:styleId="103">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cs="宋体"/>
      <w:b w:val="0"/>
      <w:bCs w:val="0"/>
      <w:sz w:val="28"/>
      <w:szCs w:val="20"/>
    </w:rPr>
  </w:style>
  <w:style w:type="paragraph" w:customStyle="1" w:styleId="104">
    <w:name w:val="默认段落字体 Para Char Char Char Char Char Char Char Char Char1 Char Char Char Char"/>
    <w:basedOn w:val="1"/>
    <w:autoRedefine/>
    <w:qFormat/>
    <w:uiPriority w:val="0"/>
    <w:rPr>
      <w:rFonts w:ascii="Tahoma" w:hAnsi="Tahoma"/>
      <w:sz w:val="24"/>
      <w:szCs w:val="20"/>
    </w:rPr>
  </w:style>
  <w:style w:type="paragraph" w:customStyle="1" w:styleId="105">
    <w:name w:val="样式"/>
    <w:autoRedefine/>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6">
    <w:name w:val="纯文本1"/>
    <w:basedOn w:val="1"/>
    <w:autoRedefine/>
    <w:qFormat/>
    <w:uiPriority w:val="0"/>
    <w:rPr>
      <w:rFonts w:ascii="宋体" w:hAnsi="Courier New" w:cs="Century"/>
      <w:szCs w:val="21"/>
    </w:rPr>
  </w:style>
  <w:style w:type="paragraph" w:customStyle="1" w:styleId="107">
    <w:name w:val="Table Paragraph"/>
    <w:basedOn w:val="1"/>
    <w:autoRedefine/>
    <w:qFormat/>
    <w:uiPriority w:val="1"/>
    <w:pPr>
      <w:jc w:val="left"/>
    </w:pPr>
    <w:rPr>
      <w:rFonts w:ascii="Calibri" w:hAnsi="Calibri"/>
      <w:kern w:val="0"/>
      <w:sz w:val="22"/>
      <w:szCs w:val="22"/>
      <w:lang w:eastAsia="en-US"/>
    </w:rPr>
  </w:style>
  <w:style w:type="paragraph" w:customStyle="1" w:styleId="108">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109">
    <w:name w:val="表格"/>
    <w:basedOn w:val="1"/>
    <w:autoRedefine/>
    <w:qFormat/>
    <w:uiPriority w:val="0"/>
    <w:pPr>
      <w:spacing w:line="400" w:lineRule="exact"/>
    </w:pPr>
    <w:rPr>
      <w:sz w:val="24"/>
    </w:rPr>
  </w:style>
  <w:style w:type="paragraph" w:customStyle="1" w:styleId="110">
    <w:name w:val="样式 首行缩进:  2 字符"/>
    <w:basedOn w:val="1"/>
    <w:autoRedefine/>
    <w:qFormat/>
    <w:uiPriority w:val="0"/>
    <w:pPr>
      <w:spacing w:line="400" w:lineRule="exact"/>
      <w:ind w:firstLine="200" w:firstLineChars="200"/>
    </w:pPr>
    <w:rPr>
      <w:rFonts w:cs="宋体"/>
      <w:sz w:val="24"/>
    </w:rPr>
  </w:style>
  <w:style w:type="paragraph" w:customStyle="1" w:styleId="111">
    <w:name w:val="xl22"/>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2">
    <w:name w:val="样式 标题 3 + (中文) 黑体 小四 非加粗 段前: 7.8 磅 段后: 0 磅 行距: 固定值 20 磅"/>
    <w:basedOn w:val="6"/>
    <w:autoRedefine/>
    <w:qFormat/>
    <w:uiPriority w:val="0"/>
    <w:pPr>
      <w:spacing w:before="0" w:after="0" w:line="400" w:lineRule="exact"/>
    </w:pPr>
    <w:rPr>
      <w:rFonts w:eastAsia="黑体" w:cs="宋体"/>
      <w:b w:val="0"/>
      <w:bCs w:val="0"/>
      <w:sz w:val="24"/>
      <w:szCs w:val="20"/>
    </w:rPr>
  </w:style>
  <w:style w:type="paragraph" w:customStyle="1" w:styleId="113">
    <w:name w:val="正文首行缩进两字符"/>
    <w:basedOn w:val="1"/>
    <w:autoRedefine/>
    <w:qFormat/>
    <w:uiPriority w:val="0"/>
    <w:pPr>
      <w:spacing w:line="360" w:lineRule="auto"/>
      <w:ind w:firstLine="200" w:firstLineChars="200"/>
    </w:pPr>
  </w:style>
  <w:style w:type="paragraph" w:customStyle="1" w:styleId="114">
    <w:name w:val="正文段"/>
    <w:basedOn w:val="1"/>
    <w:autoRedefine/>
    <w:qFormat/>
    <w:uiPriority w:val="0"/>
    <w:pPr>
      <w:widowControl/>
      <w:snapToGrid w:val="0"/>
      <w:spacing w:afterLines="50"/>
      <w:ind w:firstLine="200" w:firstLineChars="200"/>
    </w:pPr>
    <w:rPr>
      <w:kern w:val="0"/>
      <w:sz w:val="24"/>
      <w:szCs w:val="20"/>
    </w:rPr>
  </w:style>
  <w:style w:type="table" w:customStyle="1" w:styleId="115">
    <w:name w:val="Table Normal"/>
    <w:autoRedefine/>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16">
    <w:name w:val="页脚 字符"/>
    <w:autoRedefine/>
    <w:qFormat/>
    <w:uiPriority w:val="99"/>
  </w:style>
  <w:style w:type="character" w:customStyle="1" w:styleId="117">
    <w:name w:val="标题 1 Char1"/>
    <w:autoRedefine/>
    <w:qFormat/>
    <w:uiPriority w:val="0"/>
    <w:rPr>
      <w:rFonts w:eastAsia="宋体"/>
      <w:b/>
      <w:bCs/>
      <w:kern w:val="44"/>
      <w:sz w:val="44"/>
      <w:szCs w:val="44"/>
      <w:lang w:val="en-US" w:eastAsia="zh-CN" w:bidi="ar-SA"/>
    </w:rPr>
  </w:style>
  <w:style w:type="character" w:customStyle="1" w:styleId="118">
    <w:name w:val="批注文字 字符2"/>
    <w:autoRedefine/>
    <w:qFormat/>
    <w:uiPriority w:val="0"/>
    <w:rPr>
      <w:rFonts w:ascii="Times New Roman" w:hAnsi="Times New Roman"/>
      <w:kern w:val="2"/>
      <w:sz w:val="21"/>
      <w:szCs w:val="24"/>
    </w:rPr>
  </w:style>
  <w:style w:type="paragraph" w:customStyle="1" w:styleId="119">
    <w:name w:val="Title1"/>
    <w:basedOn w:val="1"/>
    <w:next w:val="1"/>
    <w:autoRedefine/>
    <w:qFormat/>
    <w:uiPriority w:val="0"/>
    <w:pPr>
      <w:jc w:val="center"/>
      <w:outlineLvl w:val="0"/>
    </w:pPr>
    <w:rPr>
      <w:rFonts w:ascii="Calibri Light" w:hAnsi="Calibri Light" w:eastAsia="Arial Unicode MS"/>
      <w:b/>
    </w:rPr>
  </w:style>
  <w:style w:type="character" w:customStyle="1" w:styleId="120">
    <w:name w:val="bookmark-item"/>
    <w:basedOn w:val="50"/>
    <w:autoRedefine/>
    <w:qFormat/>
    <w:uiPriority w:val="0"/>
  </w:style>
  <w:style w:type="character" w:customStyle="1" w:styleId="121">
    <w:name w:val="font31"/>
    <w:basedOn w:val="50"/>
    <w:autoRedefine/>
    <w:qFormat/>
    <w:uiPriority w:val="0"/>
    <w:rPr>
      <w:rFonts w:ascii="Cambria Math" w:hAnsi="Cambria Math" w:eastAsia="Cambria Math" w:cs="Cambria Math"/>
      <w:color w:val="000000"/>
      <w:sz w:val="18"/>
      <w:szCs w:val="18"/>
      <w:u w:val="none"/>
    </w:rPr>
  </w:style>
  <w:style w:type="character" w:customStyle="1" w:styleId="122">
    <w:name w:val="font21"/>
    <w:basedOn w:val="50"/>
    <w:autoRedefine/>
    <w:qFormat/>
    <w:uiPriority w:val="0"/>
    <w:rPr>
      <w:rFonts w:hint="eastAsia" w:ascii="宋体" w:hAnsi="宋体" w:eastAsia="宋体" w:cs="宋体"/>
      <w:color w:val="000000"/>
      <w:sz w:val="18"/>
      <w:szCs w:val="18"/>
      <w:u w:val="none"/>
    </w:rPr>
  </w:style>
  <w:style w:type="character" w:customStyle="1" w:styleId="123">
    <w:name w:val="font41"/>
    <w:basedOn w:val="50"/>
    <w:autoRedefine/>
    <w:qFormat/>
    <w:uiPriority w:val="0"/>
    <w:rPr>
      <w:rFonts w:ascii="Arial" w:hAnsi="Arial" w:cs="Arial"/>
      <w:color w:val="000000"/>
      <w:sz w:val="18"/>
      <w:szCs w:val="18"/>
      <w:u w:val="none"/>
    </w:rPr>
  </w:style>
  <w:style w:type="character" w:customStyle="1" w:styleId="124">
    <w:name w:val="font51"/>
    <w:basedOn w:val="50"/>
    <w:autoRedefine/>
    <w:qFormat/>
    <w:uiPriority w:val="0"/>
    <w:rPr>
      <w:rFonts w:hint="eastAsia" w:ascii="宋体" w:hAnsi="宋体" w:eastAsia="宋体" w:cs="宋体"/>
      <w:color w:val="000000"/>
      <w:sz w:val="16"/>
      <w:szCs w:val="16"/>
      <w:u w:val="none"/>
    </w:rPr>
  </w:style>
  <w:style w:type="character" w:customStyle="1" w:styleId="125">
    <w:name w:val="font61"/>
    <w:basedOn w:val="50"/>
    <w:autoRedefine/>
    <w:qFormat/>
    <w:uiPriority w:val="0"/>
    <w:rPr>
      <w:rFonts w:ascii="Calibri" w:hAnsi="Calibri" w:cs="Calibri"/>
      <w:color w:val="000000"/>
      <w:sz w:val="16"/>
      <w:szCs w:val="16"/>
      <w:u w:val="none"/>
    </w:rPr>
  </w:style>
  <w:style w:type="character" w:customStyle="1" w:styleId="126">
    <w:name w:val="font71"/>
    <w:basedOn w:val="50"/>
    <w:autoRedefine/>
    <w:qFormat/>
    <w:uiPriority w:val="0"/>
    <w:rPr>
      <w:rFonts w:ascii="Arial" w:hAnsi="Arial" w:cs="Arial"/>
      <w:color w:val="000000"/>
      <w:sz w:val="16"/>
      <w:szCs w:val="16"/>
      <w:u w:val="none"/>
    </w:rPr>
  </w:style>
  <w:style w:type="paragraph" w:customStyle="1" w:styleId="12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28">
    <w:name w:val="font01"/>
    <w:basedOn w:val="50"/>
    <w:autoRedefine/>
    <w:qFormat/>
    <w:uiPriority w:val="0"/>
    <w:rPr>
      <w:rFonts w:hint="eastAsia" w:ascii="宋体" w:hAnsi="宋体" w:eastAsia="宋体" w:cs="宋体"/>
      <w:color w:val="000000"/>
      <w:sz w:val="22"/>
      <w:szCs w:val="22"/>
      <w:u w:val="none"/>
    </w:rPr>
  </w:style>
  <w:style w:type="paragraph" w:customStyle="1" w:styleId="129">
    <w:name w:val="列出段落1"/>
    <w:basedOn w:val="1"/>
    <w:autoRedefine/>
    <w:qFormat/>
    <w:uiPriority w:val="0"/>
    <w:pPr>
      <w:ind w:firstLine="420" w:firstLineChars="200"/>
    </w:pPr>
  </w:style>
  <w:style w:type="paragraph" w:customStyle="1" w:styleId="130">
    <w:name w:val="正文2"/>
    <w:basedOn w:val="1"/>
    <w:autoRedefine/>
    <w:qFormat/>
    <w:uiPriority w:val="0"/>
    <w:pPr>
      <w:adjustRightInd w:val="0"/>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106</Pages>
  <Words>23025</Words>
  <Characters>26433</Characters>
  <Lines>453</Lines>
  <Paragraphs>127</Paragraphs>
  <TotalTime>84</TotalTime>
  <ScaleCrop>false</ScaleCrop>
  <LinksUpToDate>false</LinksUpToDate>
  <CharactersWithSpaces>27454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2024-09-19T09:24:00Z</dcterms:created>
  <dc:creator>广西国泰招标</dc:creator>
  <cp:lastModifiedBy>啊榕</cp:lastModifiedBy>
  <cp:lastPrinted>2024-11-04T02:37:00Z</cp:lastPrinted>
  <dcterms:modified xsi:type="dcterms:W3CDTF">2025-06-23T02:33:49Z</dcterms:modified>
  <dc:title>公开招标采购文件范本</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BDDFEE5C49F0407DB91790CD67CE3B62_13</vt:lpwstr>
  </property>
  <property fmtid="{D5CDD505-2E9C-101B-9397-08002B2CF9AE}" pid="4" name="KSOTemplateDocerSaveRecord">
    <vt:lpwstr>eyJoZGlkIjoiYTgyZGNkNzVmY2MwNDkwOTEwYWI1YjliMDkyOGQ4ZDEiLCJ1c2VySWQiOiI3MjM0ODgxNjQifQ==</vt:lpwstr>
  </property>
</Properties>
</file>