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cs="宋体"/>
          <w:b/>
          <w:color w:val="auto"/>
          <w:sz w:val="28"/>
          <w:highlight w:val="none"/>
        </w:rPr>
      </w:pPr>
    </w:p>
    <w:p>
      <w:pPr>
        <w:spacing w:line="400" w:lineRule="exact"/>
        <w:rPr>
          <w:rFonts w:ascii="宋体" w:hAnsi="宋体" w:cs="宋体"/>
          <w:b/>
          <w:color w:val="auto"/>
          <w:sz w:val="28"/>
          <w:highlight w:val="none"/>
        </w:rPr>
      </w:pPr>
    </w:p>
    <w:p>
      <w:pPr>
        <w:spacing w:line="400" w:lineRule="exact"/>
        <w:rPr>
          <w:rFonts w:ascii="宋体" w:hAnsi="宋体" w:cs="宋体"/>
          <w:b/>
          <w:color w:val="auto"/>
          <w:sz w:val="28"/>
          <w:highlight w:val="none"/>
        </w:rPr>
      </w:pPr>
    </w:p>
    <w:p>
      <w:pPr>
        <w:spacing w:line="600" w:lineRule="exact"/>
        <w:ind w:firstLine="1533" w:firstLineChars="347"/>
        <w:rPr>
          <w:rFonts w:ascii="宋体" w:hAnsi="宋体" w:cs="宋体"/>
          <w:b/>
          <w:color w:val="auto"/>
          <w:sz w:val="44"/>
          <w:szCs w:val="44"/>
          <w:highlight w:val="none"/>
        </w:rPr>
      </w:pPr>
    </w:p>
    <w:p>
      <w:pPr>
        <w:autoSpaceDE w:val="0"/>
        <w:autoSpaceDN w:val="0"/>
        <w:jc w:val="both"/>
        <w:rPr>
          <w:rFonts w:ascii="宋体" w:hAnsi="宋体" w:cs="宋体"/>
          <w:b/>
          <w:color w:val="auto"/>
          <w:sz w:val="70"/>
          <w:szCs w:val="70"/>
          <w:highlight w:val="none"/>
        </w:rPr>
      </w:pPr>
    </w:p>
    <w:p>
      <w:pPr>
        <w:autoSpaceDE w:val="0"/>
        <w:autoSpaceDN w:val="0"/>
        <w:jc w:val="center"/>
        <w:rPr>
          <w:rFonts w:ascii="宋体" w:hAnsi="宋体" w:cs="宋体"/>
          <w:b/>
          <w:color w:val="auto"/>
          <w:sz w:val="70"/>
          <w:szCs w:val="70"/>
          <w:highlight w:val="none"/>
        </w:rPr>
      </w:pPr>
    </w:p>
    <w:p>
      <w:pPr>
        <w:autoSpaceDE w:val="0"/>
        <w:autoSpaceDN w:val="0"/>
        <w:jc w:val="center"/>
        <w:rPr>
          <w:rFonts w:ascii="宋体" w:hAnsi="宋体" w:cs="宋体"/>
          <w:b/>
          <w:color w:val="auto"/>
          <w:sz w:val="90"/>
          <w:highlight w:val="none"/>
        </w:rPr>
      </w:pPr>
      <w:r>
        <w:rPr>
          <w:rFonts w:hint="eastAsia" w:ascii="宋体" w:hAnsi="宋体" w:cs="宋体"/>
          <w:b/>
          <w:color w:val="auto"/>
          <w:sz w:val="70"/>
          <w:szCs w:val="70"/>
          <w:highlight w:val="none"/>
        </w:rPr>
        <w:t>竞争性磋商采购文件</w:t>
      </w:r>
    </w:p>
    <w:p>
      <w:pPr>
        <w:spacing w:line="400" w:lineRule="exact"/>
        <w:jc w:val="center"/>
        <w:rPr>
          <w:rFonts w:ascii="宋体" w:hAnsi="宋体" w:cs="宋体"/>
          <w:b/>
          <w:color w:val="auto"/>
          <w:sz w:val="32"/>
          <w:szCs w:val="32"/>
          <w:highlight w:val="none"/>
        </w:rPr>
      </w:pPr>
    </w:p>
    <w:p>
      <w:pPr>
        <w:pStyle w:val="18"/>
        <w:spacing w:line="400" w:lineRule="exact"/>
        <w:jc w:val="center"/>
        <w:rPr>
          <w:rFonts w:hAnsi="宋体" w:cs="宋体"/>
          <w:b/>
          <w:color w:val="auto"/>
          <w:sz w:val="32"/>
          <w:szCs w:val="32"/>
          <w:highlight w:val="none"/>
        </w:rPr>
      </w:pPr>
    </w:p>
    <w:p>
      <w:pPr>
        <w:pStyle w:val="18"/>
        <w:spacing w:line="400" w:lineRule="exact"/>
        <w:jc w:val="center"/>
        <w:rPr>
          <w:rFonts w:hAnsi="宋体" w:cs="宋体"/>
          <w:b/>
          <w:color w:val="auto"/>
          <w:sz w:val="32"/>
          <w:szCs w:val="32"/>
          <w:highlight w:val="none"/>
        </w:rPr>
      </w:pPr>
    </w:p>
    <w:p>
      <w:pPr>
        <w:pStyle w:val="1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宋体"/>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1687" w:firstLineChars="600"/>
        <w:jc w:val="both"/>
        <w:textAlignment w:val="auto"/>
        <w:rPr>
          <w:rFonts w:hint="eastAsia" w:hAnsi="宋体" w:cs="宋体"/>
          <w:b/>
          <w:color w:val="auto"/>
          <w:sz w:val="28"/>
          <w:szCs w:val="28"/>
          <w:highlight w:val="none"/>
          <w:lang w:eastAsia="zh-CN"/>
        </w:rPr>
      </w:pPr>
      <w:r>
        <w:rPr>
          <w:rFonts w:hint="eastAsia" w:hAnsi="宋体" w:cs="宋体"/>
          <w:b/>
          <w:color w:val="auto"/>
          <w:sz w:val="28"/>
          <w:szCs w:val="28"/>
          <w:highlight w:val="none"/>
        </w:rPr>
        <w:t>项目名称：</w:t>
      </w:r>
      <w:bookmarkStart w:id="0" w:name="_Toc251051298"/>
      <w:r>
        <w:rPr>
          <w:rFonts w:hint="eastAsia" w:hAnsi="宋体" w:cs="宋体"/>
          <w:b/>
          <w:color w:val="auto"/>
          <w:sz w:val="28"/>
          <w:szCs w:val="28"/>
          <w:highlight w:val="none"/>
          <w:lang w:eastAsia="zh-CN"/>
        </w:rPr>
        <w:t>《富川瑶族自治县民族医医院中医瑶医诊疗业务用房及附属设施项目瑶医专科专病诊疗中心》施工勘察和基坑设计服务</w:t>
      </w:r>
    </w:p>
    <w:p>
      <w:pPr>
        <w:pStyle w:val="9"/>
        <w:rPr>
          <w:rFonts w:hint="eastAsia" w:hAnsi="宋体" w:cs="宋体"/>
          <w:b/>
          <w:color w:val="auto"/>
          <w:sz w:val="28"/>
          <w:szCs w:val="28"/>
          <w:highlight w:val="none"/>
          <w:lang w:eastAsia="zh-CN"/>
        </w:rPr>
      </w:pPr>
    </w:p>
    <w:p>
      <w:pPr>
        <w:rPr>
          <w:rFonts w:hint="eastAsia"/>
          <w:color w:val="auto"/>
          <w:highlight w:val="none"/>
          <w:lang w:eastAsia="zh-CN"/>
        </w:rPr>
      </w:pPr>
    </w:p>
    <w:p>
      <w:pPr>
        <w:spacing w:line="400" w:lineRule="exact"/>
        <w:jc w:val="center"/>
        <w:rPr>
          <w:rFonts w:ascii="宋体" w:hAnsi="宋体" w:cs="宋体"/>
          <w:b/>
          <w:color w:val="auto"/>
          <w:sz w:val="28"/>
          <w:szCs w:val="28"/>
          <w:highlight w:val="none"/>
        </w:rPr>
      </w:pPr>
      <w:r>
        <w:rPr>
          <w:rFonts w:hint="eastAsia" w:hAnsi="宋体" w:cs="宋体"/>
          <w:b/>
          <w:color w:val="auto"/>
          <w:sz w:val="28"/>
          <w:szCs w:val="28"/>
          <w:highlight w:val="none"/>
        </w:rPr>
        <w:t>项目编号：</w:t>
      </w:r>
      <w:bookmarkEnd w:id="0"/>
      <w:r>
        <w:rPr>
          <w:rFonts w:hint="eastAsia" w:hAnsi="宋体" w:cs="宋体"/>
          <w:b/>
          <w:color w:val="auto"/>
          <w:sz w:val="28"/>
          <w:szCs w:val="28"/>
          <w:highlight w:val="none"/>
          <w:lang w:eastAsia="zh-CN"/>
        </w:rPr>
        <w:t>HZZC2025-C3-230050-GXZH</w:t>
      </w:r>
    </w:p>
    <w:p>
      <w:pPr>
        <w:spacing w:line="400" w:lineRule="exact"/>
        <w:jc w:val="center"/>
        <w:rPr>
          <w:rFonts w:ascii="宋体" w:hAnsi="宋体" w:cs="宋体"/>
          <w:b/>
          <w:color w:val="auto"/>
          <w:sz w:val="28"/>
          <w:szCs w:val="28"/>
          <w:highlight w:val="none"/>
        </w:rPr>
      </w:pPr>
    </w:p>
    <w:p>
      <w:pPr>
        <w:pStyle w:val="64"/>
        <w:rPr>
          <w:rFonts w:hAnsi="宋体" w:cs="宋体"/>
          <w:color w:val="auto"/>
          <w:highlight w:val="none"/>
        </w:rPr>
      </w:pPr>
    </w:p>
    <w:p>
      <w:pPr>
        <w:spacing w:line="400" w:lineRule="exact"/>
        <w:ind w:firstLine="551" w:firstLineChars="196"/>
        <w:rPr>
          <w:rFonts w:ascii="宋体" w:hAnsi="宋体" w:cs="宋体"/>
          <w:b/>
          <w:color w:val="auto"/>
          <w:sz w:val="28"/>
          <w:szCs w:val="28"/>
          <w:highlight w:val="none"/>
          <w:u w:val="double"/>
        </w:rPr>
      </w:pPr>
    </w:p>
    <w:p>
      <w:pPr>
        <w:spacing w:line="400" w:lineRule="exact"/>
        <w:jc w:val="left"/>
        <w:rPr>
          <w:rFonts w:ascii="宋体" w:hAnsi="宋体" w:cs="宋体"/>
          <w:bCs/>
          <w:color w:val="auto"/>
          <w:sz w:val="28"/>
          <w:szCs w:val="28"/>
          <w:highlight w:val="none"/>
          <w:u w:val="double"/>
        </w:rPr>
      </w:pPr>
    </w:p>
    <w:p>
      <w:pPr>
        <w:spacing w:line="500" w:lineRule="exact"/>
        <w:jc w:val="center"/>
        <w:rPr>
          <w:rFonts w:hint="eastAsia" w:ascii="宋体" w:hAnsi="宋体" w:cs="宋体"/>
          <w:b/>
          <w:bCs/>
          <w:color w:val="auto"/>
          <w:sz w:val="28"/>
          <w:szCs w:val="28"/>
          <w:highlight w:val="none"/>
          <w:lang w:eastAsia="zh-CN"/>
        </w:rPr>
      </w:pPr>
      <w:bookmarkStart w:id="1" w:name="_Toc251051300"/>
      <w:r>
        <w:rPr>
          <w:rFonts w:hint="eastAsia" w:ascii="宋体" w:hAnsi="宋体" w:cs="宋体"/>
          <w:b/>
          <w:bCs/>
          <w:color w:val="auto"/>
          <w:sz w:val="28"/>
          <w:szCs w:val="28"/>
          <w:highlight w:val="none"/>
        </w:rPr>
        <w:t>采购人:</w:t>
      </w:r>
      <w:bookmarkEnd w:id="1"/>
      <w:bookmarkStart w:id="2" w:name="_Toc251051301"/>
      <w:r>
        <w:rPr>
          <w:rFonts w:hint="eastAsia" w:ascii="宋体" w:hAnsi="宋体" w:cs="宋体"/>
          <w:b/>
          <w:bCs/>
          <w:color w:val="auto"/>
          <w:sz w:val="28"/>
          <w:szCs w:val="28"/>
          <w:highlight w:val="none"/>
          <w:lang w:eastAsia="zh-CN"/>
        </w:rPr>
        <w:t>富川瑶族自治县民族医医院</w:t>
      </w:r>
    </w:p>
    <w:p>
      <w:pPr>
        <w:pStyle w:val="9"/>
        <w:rPr>
          <w:rFonts w:hint="eastAsia"/>
          <w:color w:val="auto"/>
          <w:highlight w:val="none"/>
          <w:lang w:eastAsia="zh-CN"/>
        </w:rPr>
      </w:pPr>
    </w:p>
    <w:p>
      <w:pPr>
        <w:spacing w:line="500" w:lineRule="exact"/>
        <w:jc w:val="center"/>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rPr>
        <w:t>采购代理机构:</w:t>
      </w:r>
      <w:bookmarkEnd w:id="2"/>
      <w:r>
        <w:rPr>
          <w:rFonts w:hint="eastAsia" w:ascii="宋体" w:hAnsi="宋体" w:cs="宋体"/>
          <w:b/>
          <w:bCs/>
          <w:color w:val="auto"/>
          <w:sz w:val="28"/>
          <w:szCs w:val="28"/>
          <w:highlight w:val="none"/>
          <w:lang w:eastAsia="zh-CN"/>
        </w:rPr>
        <w:t>广西中恒工程咨询有限公司</w:t>
      </w:r>
    </w:p>
    <w:p>
      <w:pPr>
        <w:ind w:firstLine="3373" w:firstLineChars="1200"/>
        <w:rPr>
          <w:rFonts w:ascii="宋体" w:hAnsi="宋体" w:cs="宋体"/>
          <w:b/>
          <w:color w:val="auto"/>
          <w:sz w:val="44"/>
          <w:szCs w:val="44"/>
          <w:highlight w:val="none"/>
        </w:rPr>
      </w:pPr>
      <w:r>
        <w:rPr>
          <w:rFonts w:hint="eastAsia" w:ascii="宋体" w:hAnsi="宋体" w:cs="宋体"/>
          <w:b/>
          <w:bCs/>
          <w:color w:val="auto"/>
          <w:sz w:val="28"/>
          <w:szCs w:val="28"/>
          <w:highlight w:val="none"/>
        </w:rPr>
        <w:t>发布日期：</w:t>
      </w:r>
      <w:r>
        <w:rPr>
          <w:rFonts w:hint="eastAsia" w:ascii="宋体" w:hAnsi="宋体" w:cs="宋体"/>
          <w:b/>
          <w:bCs/>
          <w:color w:val="auto"/>
          <w:sz w:val="28"/>
          <w:szCs w:val="28"/>
          <w:highlight w:val="none"/>
          <w:lang w:eastAsia="zh-CN"/>
        </w:rPr>
        <w:t>202</w:t>
      </w: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lang w:eastAsia="zh-CN"/>
        </w:rPr>
        <w:t>年</w:t>
      </w:r>
      <w:r>
        <w:rPr>
          <w:rFonts w:hint="eastAsia" w:ascii="宋体" w:hAnsi="宋体" w:cs="宋体"/>
          <w:b/>
          <w:bCs/>
          <w:color w:val="auto"/>
          <w:sz w:val="28"/>
          <w:szCs w:val="28"/>
          <w:highlight w:val="none"/>
          <w:lang w:val="en-US" w:eastAsia="zh-CN"/>
        </w:rPr>
        <w:t>06</w:t>
      </w:r>
      <w:r>
        <w:rPr>
          <w:rFonts w:hint="eastAsia" w:ascii="宋体" w:hAnsi="宋体" w:cs="宋体"/>
          <w:b/>
          <w:bCs/>
          <w:color w:val="auto"/>
          <w:sz w:val="28"/>
          <w:szCs w:val="28"/>
          <w:highlight w:val="none"/>
          <w:lang w:eastAsia="zh-CN"/>
        </w:rPr>
        <w:t>月</w:t>
      </w:r>
    </w:p>
    <w:p>
      <w:pPr>
        <w:rPr>
          <w:rFonts w:hint="eastAsia" w:ascii="宋体" w:hAnsi="宋体" w:cs="宋体"/>
          <w:b/>
          <w:color w:val="auto"/>
          <w:sz w:val="44"/>
          <w:szCs w:val="44"/>
          <w:highlight w:val="none"/>
        </w:rPr>
      </w:pPr>
      <w:r>
        <w:rPr>
          <w:rFonts w:hint="eastAsia" w:ascii="宋体" w:hAnsi="宋体" w:cs="宋体"/>
          <w:b/>
          <w:color w:val="auto"/>
          <w:sz w:val="44"/>
          <w:szCs w:val="44"/>
          <w:highlight w:val="none"/>
        </w:rPr>
        <w:br w:type="page"/>
      </w: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pPr>
        <w:spacing w:line="400" w:lineRule="exact"/>
        <w:jc w:val="center"/>
        <w:rPr>
          <w:rFonts w:ascii="宋体" w:hAnsi="宋体" w:cs="宋体"/>
          <w:b/>
          <w:color w:val="auto"/>
          <w:sz w:val="44"/>
          <w:szCs w:val="44"/>
          <w:highlight w:val="none"/>
        </w:rPr>
      </w:pPr>
    </w:p>
    <w:p>
      <w:pPr>
        <w:pStyle w:val="25"/>
        <w:tabs>
          <w:tab w:val="right" w:leader="dot" w:pos="9638"/>
          <w:tab w:val="clear" w:pos="8296"/>
        </w:tabs>
        <w:rPr>
          <w:color w:val="auto"/>
        </w:rPr>
      </w:pPr>
      <w:r>
        <w:rPr>
          <w:rFonts w:hint="eastAsia" w:ascii="宋体" w:hAnsi="宋体" w:cs="宋体"/>
          <w:b/>
          <w:color w:val="auto"/>
          <w:szCs w:val="21"/>
          <w:highlight w:val="none"/>
        </w:rPr>
        <w:fldChar w:fldCharType="begin"/>
      </w:r>
      <w:r>
        <w:rPr>
          <w:rFonts w:hint="eastAsia" w:ascii="宋体" w:hAnsi="宋体" w:cs="宋体"/>
          <w:b/>
          <w:color w:val="auto"/>
          <w:szCs w:val="21"/>
          <w:highlight w:val="none"/>
        </w:rPr>
        <w:instrText xml:space="preserve">TOC \o "1-3" \h \z \u</w:instrText>
      </w:r>
      <w:r>
        <w:rPr>
          <w:rFonts w:hint="eastAsia" w:ascii="宋体" w:hAnsi="宋体" w:cs="宋体"/>
          <w:b/>
          <w:color w:val="auto"/>
          <w:szCs w:val="21"/>
          <w:highlight w:val="none"/>
        </w:rPr>
        <w:fldChar w:fldCharType="separate"/>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_Toc25116 </w:instrText>
      </w:r>
      <w:r>
        <w:rPr>
          <w:rFonts w:hint="eastAsia" w:ascii="宋体" w:hAnsi="宋体" w:cs="宋体"/>
          <w:color w:val="auto"/>
          <w:szCs w:val="21"/>
          <w:highlight w:val="none"/>
        </w:rPr>
        <w:fldChar w:fldCharType="separate"/>
      </w:r>
      <w:r>
        <w:rPr>
          <w:rFonts w:hint="eastAsia" w:ascii="宋体" w:hAnsi="宋体" w:cs="Times New Roman"/>
          <w:color w:val="auto"/>
          <w:szCs w:val="21"/>
        </w:rPr>
        <w:t xml:space="preserve">第一章 </w:t>
      </w:r>
      <w:r>
        <w:rPr>
          <w:rFonts w:hint="eastAsia" w:ascii="宋体" w:hAnsi="宋体" w:cs="宋体"/>
          <w:color w:val="auto"/>
          <w:highlight w:val="none"/>
        </w:rPr>
        <w:t>竞争性磋商公告</w:t>
      </w:r>
      <w:r>
        <w:rPr>
          <w:color w:val="auto"/>
        </w:rPr>
        <w:tab/>
      </w:r>
      <w:r>
        <w:rPr>
          <w:color w:val="auto"/>
        </w:rPr>
        <w:fldChar w:fldCharType="begin"/>
      </w:r>
      <w:r>
        <w:rPr>
          <w:color w:val="auto"/>
        </w:rPr>
        <w:instrText xml:space="preserve"> PAGEREF _Toc25116 \h </w:instrText>
      </w:r>
      <w:r>
        <w:rPr>
          <w:color w:val="auto"/>
        </w:rPr>
        <w:fldChar w:fldCharType="separate"/>
      </w:r>
      <w:r>
        <w:rPr>
          <w:color w:val="auto"/>
        </w:rPr>
        <w:t>2</w:t>
      </w:r>
      <w:r>
        <w:rPr>
          <w:color w:val="auto"/>
        </w:rPr>
        <w:fldChar w:fldCharType="end"/>
      </w:r>
      <w:r>
        <w:rPr>
          <w:rFonts w:hint="eastAsia" w:ascii="宋体" w:hAnsi="宋体" w:cs="宋体"/>
          <w:color w:val="auto"/>
          <w:szCs w:val="21"/>
          <w:highlight w:val="none"/>
        </w:rPr>
        <w:fldChar w:fldCharType="end"/>
      </w:r>
    </w:p>
    <w:p>
      <w:pPr>
        <w:pStyle w:val="25"/>
        <w:tabs>
          <w:tab w:val="right" w:leader="dot" w:pos="9638"/>
          <w:tab w:val="clear" w:pos="8296"/>
        </w:tabs>
        <w:rPr>
          <w:color w:val="auto"/>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_Toc6025 </w:instrText>
      </w:r>
      <w:r>
        <w:rPr>
          <w:rFonts w:hint="eastAsia" w:ascii="宋体" w:hAnsi="宋体" w:cs="宋体"/>
          <w:color w:val="auto"/>
          <w:szCs w:val="21"/>
          <w:highlight w:val="none"/>
        </w:rPr>
        <w:fldChar w:fldCharType="separate"/>
      </w:r>
      <w:r>
        <w:rPr>
          <w:rFonts w:hint="eastAsia"/>
          <w:color w:val="auto"/>
          <w:highlight w:val="none"/>
        </w:rPr>
        <w:t>第二章供应商须知</w:t>
      </w:r>
      <w:r>
        <w:rPr>
          <w:color w:val="auto"/>
        </w:rPr>
        <w:tab/>
      </w:r>
      <w:r>
        <w:rPr>
          <w:color w:val="auto"/>
        </w:rPr>
        <w:fldChar w:fldCharType="begin"/>
      </w:r>
      <w:r>
        <w:rPr>
          <w:color w:val="auto"/>
        </w:rPr>
        <w:instrText xml:space="preserve"> PAGEREF _Toc6025 \h </w:instrText>
      </w:r>
      <w:r>
        <w:rPr>
          <w:color w:val="auto"/>
        </w:rPr>
        <w:fldChar w:fldCharType="separate"/>
      </w:r>
      <w:r>
        <w:rPr>
          <w:color w:val="auto"/>
        </w:rPr>
        <w:t>5</w:t>
      </w:r>
      <w:r>
        <w:rPr>
          <w:color w:val="auto"/>
        </w:rPr>
        <w:fldChar w:fldCharType="end"/>
      </w:r>
      <w:r>
        <w:rPr>
          <w:rFonts w:hint="eastAsia" w:ascii="宋体" w:hAnsi="宋体" w:cs="宋体"/>
          <w:color w:val="auto"/>
          <w:szCs w:val="21"/>
          <w:highlight w:val="none"/>
        </w:rPr>
        <w:fldChar w:fldCharType="end"/>
      </w:r>
    </w:p>
    <w:p>
      <w:pPr>
        <w:pStyle w:val="25"/>
        <w:tabs>
          <w:tab w:val="right" w:leader="dot" w:pos="9638"/>
          <w:tab w:val="clear" w:pos="8296"/>
        </w:tabs>
        <w:rPr>
          <w:color w:val="auto"/>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_Toc11092 </w:instrText>
      </w:r>
      <w:r>
        <w:rPr>
          <w:rFonts w:hint="eastAsia" w:ascii="宋体" w:hAnsi="宋体" w:cs="宋体"/>
          <w:color w:val="auto"/>
          <w:szCs w:val="21"/>
          <w:highlight w:val="none"/>
        </w:rPr>
        <w:fldChar w:fldCharType="separate"/>
      </w:r>
      <w:r>
        <w:rPr>
          <w:rFonts w:hint="eastAsia" w:ascii="宋体" w:hAnsi="宋体" w:cs="Times New Roman"/>
          <w:color w:val="auto"/>
        </w:rPr>
        <w:t xml:space="preserve">第三章 </w:t>
      </w:r>
      <w:r>
        <w:rPr>
          <w:rFonts w:hint="eastAsia" w:ascii="宋体" w:hAnsi="宋体" w:cs="宋体"/>
          <w:color w:val="auto"/>
          <w:highlight w:val="none"/>
        </w:rPr>
        <w:t>采购需求</w:t>
      </w:r>
      <w:r>
        <w:rPr>
          <w:color w:val="auto"/>
        </w:rPr>
        <w:tab/>
      </w:r>
      <w:r>
        <w:rPr>
          <w:color w:val="auto"/>
        </w:rPr>
        <w:fldChar w:fldCharType="begin"/>
      </w:r>
      <w:r>
        <w:rPr>
          <w:color w:val="auto"/>
        </w:rPr>
        <w:instrText xml:space="preserve"> PAGEREF _Toc11092 \h </w:instrText>
      </w:r>
      <w:r>
        <w:rPr>
          <w:color w:val="auto"/>
        </w:rPr>
        <w:fldChar w:fldCharType="separate"/>
      </w:r>
      <w:r>
        <w:rPr>
          <w:color w:val="auto"/>
        </w:rPr>
        <w:t>23</w:t>
      </w:r>
      <w:r>
        <w:rPr>
          <w:color w:val="auto"/>
        </w:rPr>
        <w:fldChar w:fldCharType="end"/>
      </w:r>
      <w:r>
        <w:rPr>
          <w:rFonts w:hint="eastAsia" w:ascii="宋体" w:hAnsi="宋体" w:cs="宋体"/>
          <w:color w:val="auto"/>
          <w:szCs w:val="21"/>
          <w:highlight w:val="none"/>
        </w:rPr>
        <w:fldChar w:fldCharType="end"/>
      </w:r>
    </w:p>
    <w:p>
      <w:pPr>
        <w:pStyle w:val="24"/>
        <w:tabs>
          <w:tab w:val="right" w:leader="dot" w:pos="9638"/>
        </w:tabs>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fldChar w:fldCharType="begin"/>
      </w:r>
      <w:r>
        <w:rPr>
          <w:rFonts w:hint="eastAsia" w:ascii="Times New Roman" w:hAnsi="Times New Roman" w:eastAsia="宋体" w:cs="Times New Roman"/>
          <w:color w:val="auto"/>
          <w:kern w:val="2"/>
          <w:sz w:val="21"/>
          <w:szCs w:val="24"/>
          <w:highlight w:val="none"/>
          <w:lang w:val="en-US" w:eastAsia="zh-CN" w:bidi="ar-SA"/>
        </w:rPr>
        <w:instrText xml:space="preserve"> HYPERLINK \l _Toc3057 </w:instrText>
      </w:r>
      <w:r>
        <w:rPr>
          <w:rFonts w:hint="eastAsia" w:ascii="Times New Roman" w:hAnsi="Times New Roman" w:eastAsia="宋体" w:cs="Times New Roman"/>
          <w:color w:val="auto"/>
          <w:kern w:val="2"/>
          <w:sz w:val="21"/>
          <w:szCs w:val="24"/>
          <w:highlight w:val="none"/>
          <w:lang w:val="en-US" w:eastAsia="zh-CN" w:bidi="ar-SA"/>
        </w:rPr>
        <w:fldChar w:fldCharType="separate"/>
      </w:r>
      <w:r>
        <w:rPr>
          <w:rFonts w:hint="eastAsia" w:ascii="Times New Roman" w:hAnsi="Times New Roman" w:eastAsia="宋体" w:cs="Times New Roman"/>
          <w:color w:val="auto"/>
          <w:kern w:val="2"/>
          <w:sz w:val="21"/>
          <w:szCs w:val="24"/>
          <w:highlight w:val="none"/>
          <w:lang w:val="en-US" w:eastAsia="zh-CN" w:bidi="ar-SA"/>
        </w:rPr>
        <w:t>第四章、评审程序和评审方法</w:t>
      </w:r>
      <w:r>
        <w:rPr>
          <w:rFonts w:hint="eastAsia" w:ascii="Times New Roman" w:hAnsi="Times New Roman" w:eastAsia="宋体" w:cs="Times New Roman"/>
          <w:color w:val="auto"/>
          <w:kern w:val="2"/>
          <w:sz w:val="21"/>
          <w:szCs w:val="24"/>
          <w:highlight w:val="none"/>
          <w:lang w:val="en-US" w:eastAsia="zh-CN" w:bidi="ar-SA"/>
        </w:rPr>
        <w:tab/>
      </w:r>
      <w:r>
        <w:rPr>
          <w:rFonts w:hint="eastAsia" w:ascii="Times New Roman" w:hAnsi="Times New Roman" w:eastAsia="宋体" w:cs="Times New Roman"/>
          <w:color w:val="auto"/>
          <w:kern w:val="2"/>
          <w:sz w:val="21"/>
          <w:szCs w:val="24"/>
          <w:highlight w:val="none"/>
          <w:lang w:val="en-US" w:eastAsia="zh-CN" w:bidi="ar-SA"/>
        </w:rPr>
        <w:fldChar w:fldCharType="begin"/>
      </w:r>
      <w:r>
        <w:rPr>
          <w:rFonts w:hint="eastAsia" w:ascii="Times New Roman" w:hAnsi="Times New Roman" w:eastAsia="宋体" w:cs="Times New Roman"/>
          <w:color w:val="auto"/>
          <w:kern w:val="2"/>
          <w:sz w:val="21"/>
          <w:szCs w:val="24"/>
          <w:highlight w:val="none"/>
          <w:lang w:val="en-US" w:eastAsia="zh-CN" w:bidi="ar-SA"/>
        </w:rPr>
        <w:instrText xml:space="preserve"> PAGEREF _Toc3057 \h </w:instrText>
      </w:r>
      <w:r>
        <w:rPr>
          <w:rFonts w:hint="eastAsia" w:ascii="Times New Roman" w:hAnsi="Times New Roman" w:eastAsia="宋体" w:cs="Times New Roman"/>
          <w:color w:val="auto"/>
          <w:kern w:val="2"/>
          <w:sz w:val="21"/>
          <w:szCs w:val="24"/>
          <w:highlight w:val="none"/>
          <w:lang w:val="en-US" w:eastAsia="zh-CN" w:bidi="ar-SA"/>
        </w:rPr>
        <w:fldChar w:fldCharType="separate"/>
      </w:r>
      <w:r>
        <w:rPr>
          <w:rFonts w:hint="eastAsia" w:ascii="Times New Roman" w:hAnsi="Times New Roman" w:eastAsia="宋体" w:cs="Times New Roman"/>
          <w:color w:val="auto"/>
          <w:kern w:val="2"/>
          <w:sz w:val="21"/>
          <w:szCs w:val="24"/>
          <w:highlight w:val="none"/>
          <w:lang w:val="en-US" w:eastAsia="zh-CN" w:bidi="ar-SA"/>
        </w:rPr>
        <w:t>31</w:t>
      </w:r>
      <w:r>
        <w:rPr>
          <w:rFonts w:hint="eastAsia" w:ascii="Times New Roman" w:hAnsi="Times New Roman" w:eastAsia="宋体" w:cs="Times New Roman"/>
          <w:color w:val="auto"/>
          <w:kern w:val="2"/>
          <w:sz w:val="21"/>
          <w:szCs w:val="24"/>
          <w:highlight w:val="none"/>
          <w:lang w:val="en-US" w:eastAsia="zh-CN" w:bidi="ar-SA"/>
        </w:rPr>
        <w:fldChar w:fldCharType="end"/>
      </w:r>
      <w:r>
        <w:rPr>
          <w:rFonts w:hint="eastAsia" w:ascii="Times New Roman" w:hAnsi="Times New Roman" w:eastAsia="宋体" w:cs="Times New Roman"/>
          <w:color w:val="auto"/>
          <w:kern w:val="2"/>
          <w:sz w:val="21"/>
          <w:szCs w:val="24"/>
          <w:highlight w:val="none"/>
          <w:lang w:val="en-US" w:eastAsia="zh-CN" w:bidi="ar-SA"/>
        </w:rPr>
        <w:fldChar w:fldCharType="end"/>
      </w:r>
    </w:p>
    <w:p>
      <w:pPr>
        <w:pStyle w:val="25"/>
        <w:tabs>
          <w:tab w:val="right" w:leader="dot" w:pos="9638"/>
          <w:tab w:val="clear" w:pos="8296"/>
        </w:tabs>
        <w:rPr>
          <w:color w:val="auto"/>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_Toc11661 </w:instrText>
      </w:r>
      <w:r>
        <w:rPr>
          <w:rFonts w:hint="eastAsia" w:ascii="宋体" w:hAnsi="宋体" w:cs="宋体"/>
          <w:color w:val="auto"/>
          <w:szCs w:val="21"/>
          <w:highlight w:val="none"/>
        </w:rPr>
        <w:fldChar w:fldCharType="separate"/>
      </w:r>
      <w:r>
        <w:rPr>
          <w:rFonts w:hint="eastAsia"/>
          <w:color w:val="auto"/>
          <w:highlight w:val="none"/>
        </w:rPr>
        <w:t>第五章响应文件格式</w:t>
      </w:r>
      <w:r>
        <w:rPr>
          <w:color w:val="auto"/>
        </w:rPr>
        <w:tab/>
      </w:r>
      <w:r>
        <w:rPr>
          <w:color w:val="auto"/>
        </w:rPr>
        <w:fldChar w:fldCharType="begin"/>
      </w:r>
      <w:r>
        <w:rPr>
          <w:color w:val="auto"/>
        </w:rPr>
        <w:instrText xml:space="preserve"> PAGEREF _Toc11661 \h </w:instrText>
      </w:r>
      <w:r>
        <w:rPr>
          <w:color w:val="auto"/>
        </w:rPr>
        <w:fldChar w:fldCharType="separate"/>
      </w:r>
      <w:r>
        <w:rPr>
          <w:color w:val="auto"/>
        </w:rPr>
        <w:t>39</w:t>
      </w:r>
      <w:r>
        <w:rPr>
          <w:color w:val="auto"/>
        </w:rPr>
        <w:fldChar w:fldCharType="end"/>
      </w:r>
      <w:r>
        <w:rPr>
          <w:rFonts w:hint="eastAsia" w:ascii="宋体" w:hAnsi="宋体" w:cs="宋体"/>
          <w:color w:val="auto"/>
          <w:szCs w:val="21"/>
          <w:highlight w:val="none"/>
        </w:rPr>
        <w:fldChar w:fldCharType="end"/>
      </w:r>
    </w:p>
    <w:p>
      <w:pPr>
        <w:pStyle w:val="25"/>
        <w:tabs>
          <w:tab w:val="right" w:leader="dot" w:pos="9638"/>
          <w:tab w:val="clear" w:pos="8296"/>
        </w:tabs>
        <w:rPr>
          <w:rFonts w:hint="eastAsia" w:eastAsia="宋体"/>
          <w:color w:val="auto"/>
          <w:lang w:val="en-US" w:eastAsia="zh-CN"/>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_Toc30738 </w:instrText>
      </w:r>
      <w:r>
        <w:rPr>
          <w:rFonts w:hint="eastAsia" w:ascii="宋体" w:hAnsi="宋体" w:cs="宋体"/>
          <w:color w:val="auto"/>
          <w:szCs w:val="21"/>
          <w:highlight w:val="none"/>
        </w:rPr>
        <w:fldChar w:fldCharType="separate"/>
      </w:r>
      <w:r>
        <w:rPr>
          <w:rFonts w:hint="eastAsia" w:ascii="宋体" w:hAnsi="宋体" w:cs="宋体"/>
          <w:color w:val="auto"/>
          <w:highlight w:val="none"/>
        </w:rPr>
        <w:t>第六章</w:t>
      </w:r>
      <w:r>
        <w:rPr>
          <w:rFonts w:hint="eastAsia" w:ascii="宋体" w:hAnsi="宋体" w:cs="宋体"/>
          <w:color w:val="auto"/>
          <w:highlight w:val="none"/>
          <w:lang w:val="en-US" w:eastAsia="zh-CN"/>
        </w:rPr>
        <w:t xml:space="preserve">  </w:t>
      </w:r>
      <w:r>
        <w:rPr>
          <w:rFonts w:hint="eastAsia" w:ascii="宋体" w:hAnsi="宋体" w:cs="宋体"/>
          <w:color w:val="auto"/>
          <w:highlight w:val="none"/>
        </w:rPr>
        <w:t>合同文本</w:t>
      </w:r>
      <w:r>
        <w:rPr>
          <w:color w:val="auto"/>
        </w:rPr>
        <w:tab/>
      </w:r>
      <w:r>
        <w:rPr>
          <w:rFonts w:hint="eastAsia"/>
          <w:color w:val="auto"/>
          <w:lang w:val="en-US" w:eastAsia="zh-CN"/>
        </w:rPr>
        <w:t>5</w:t>
      </w:r>
      <w:r>
        <w:rPr>
          <w:rFonts w:hint="eastAsia" w:ascii="宋体" w:hAnsi="宋体" w:cs="宋体"/>
          <w:color w:val="auto"/>
          <w:szCs w:val="21"/>
          <w:highlight w:val="none"/>
        </w:rPr>
        <w:fldChar w:fldCharType="end"/>
      </w:r>
      <w:r>
        <w:rPr>
          <w:rFonts w:hint="eastAsia" w:ascii="宋体" w:hAnsi="宋体" w:cs="宋体"/>
          <w:color w:val="auto"/>
          <w:szCs w:val="21"/>
          <w:highlight w:val="none"/>
          <w:lang w:val="en-US" w:eastAsia="zh-CN"/>
        </w:rPr>
        <w:t>5</w:t>
      </w:r>
    </w:p>
    <w:p>
      <w:pPr>
        <w:pStyle w:val="25"/>
        <w:jc w:val="center"/>
        <w:rPr>
          <w:rFonts w:ascii="宋体" w:hAnsi="宋体" w:cs="宋体"/>
          <w:color w:val="auto"/>
          <w:sz w:val="28"/>
          <w:szCs w:val="28"/>
          <w:highlight w:val="none"/>
        </w:rPr>
      </w:pPr>
      <w:r>
        <w:rPr>
          <w:rFonts w:hint="eastAsia" w:ascii="宋体" w:hAnsi="宋体" w:cs="宋体"/>
          <w:color w:val="auto"/>
          <w:szCs w:val="21"/>
          <w:highlight w:val="none"/>
        </w:rPr>
        <w:fldChar w:fldCharType="end"/>
      </w:r>
    </w:p>
    <w:p>
      <w:pPr>
        <w:spacing w:line="400" w:lineRule="exact"/>
        <w:jc w:val="left"/>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p>
    <w:p>
      <w:pPr>
        <w:spacing w:line="400" w:lineRule="exact"/>
        <w:rPr>
          <w:rFonts w:ascii="宋体" w:hAnsi="宋体" w:cs="宋体"/>
          <w:b/>
          <w:color w:val="auto"/>
          <w:sz w:val="32"/>
          <w:szCs w:val="32"/>
          <w:highlight w:val="none"/>
        </w:rPr>
        <w:sectPr>
          <w:headerReference r:id="rId4" w:type="first"/>
          <w:footerReference r:id="rId6" w:type="first"/>
          <w:headerReference r:id="rId3" w:type="default"/>
          <w:footerReference r:id="rId5" w:type="default"/>
          <w:pgSz w:w="11906" w:h="16838"/>
          <w:pgMar w:top="1134" w:right="1134" w:bottom="1134" w:left="1134" w:header="851" w:footer="992" w:gutter="0"/>
          <w:pgNumType w:start="0"/>
          <w:cols w:space="0" w:num="1"/>
          <w:titlePg/>
          <w:docGrid w:type="lines" w:linePitch="312" w:charSpace="0"/>
        </w:sectPr>
      </w:pPr>
    </w:p>
    <w:p>
      <w:pPr>
        <w:pStyle w:val="3"/>
        <w:numPr>
          <w:ilvl w:val="0"/>
          <w:numId w:val="2"/>
        </w:numPr>
        <w:jc w:val="center"/>
        <w:rPr>
          <w:rFonts w:ascii="宋体" w:hAnsi="宋体" w:cs="宋体"/>
          <w:color w:val="auto"/>
          <w:szCs w:val="21"/>
          <w:highlight w:val="none"/>
        </w:rPr>
      </w:pPr>
      <w:bookmarkStart w:id="3" w:name="_Toc25116"/>
      <w:r>
        <w:rPr>
          <w:rFonts w:hint="eastAsia" w:ascii="宋体" w:hAnsi="宋体" w:cs="宋体"/>
          <w:color w:val="auto"/>
          <w:highlight w:val="none"/>
        </w:rPr>
        <w:t>竞争性磋商公告</w:t>
      </w:r>
      <w:bookmarkEnd w:id="3"/>
    </w:p>
    <w:p>
      <w:pPr>
        <w:keepNext/>
        <w:keepLines/>
        <w:pageBreakBefore w:val="0"/>
        <w:kinsoku/>
        <w:wordWrap/>
        <w:overflowPunct/>
        <w:topLinePunct w:val="0"/>
        <w:autoSpaceDE/>
        <w:autoSpaceDN/>
        <w:bidi w:val="0"/>
        <w:adjustRightInd/>
        <w:spacing w:line="380" w:lineRule="exact"/>
        <w:jc w:val="center"/>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lang w:eastAsia="zh-CN"/>
        </w:rPr>
        <w:t>广西中恒工程咨询有限公司</w:t>
      </w:r>
      <w:r>
        <w:rPr>
          <w:rFonts w:hint="eastAsia" w:ascii="宋体" w:hAnsi="宋体" w:cs="宋体"/>
          <w:b/>
          <w:bCs/>
          <w:color w:val="auto"/>
          <w:sz w:val="28"/>
          <w:szCs w:val="28"/>
          <w:highlight w:val="none"/>
        </w:rPr>
        <w:t>关于</w:t>
      </w:r>
      <w:r>
        <w:rPr>
          <w:rFonts w:hint="eastAsia" w:ascii="宋体" w:hAnsi="宋体" w:cs="宋体"/>
          <w:b/>
          <w:bCs/>
          <w:color w:val="auto"/>
          <w:sz w:val="28"/>
          <w:szCs w:val="28"/>
          <w:highlight w:val="none"/>
          <w:lang w:eastAsia="zh-CN"/>
        </w:rPr>
        <w:t>《富川瑶族自治县民族医医院中医瑶医诊疗业务用房及附属设施项目瑶医专科专病诊疗中心》施工勘察和基坑设计服务</w:t>
      </w:r>
      <w:r>
        <w:rPr>
          <w:rFonts w:hint="eastAsia" w:ascii="宋体" w:hAnsi="宋体" w:cs="宋体"/>
          <w:b/>
          <w:bCs/>
          <w:color w:val="auto"/>
          <w:sz w:val="28"/>
          <w:szCs w:val="28"/>
          <w:highlight w:val="none"/>
        </w:rPr>
        <w:t>（项目编号：</w:t>
      </w:r>
      <w:r>
        <w:rPr>
          <w:rFonts w:hint="eastAsia" w:ascii="宋体" w:hAnsi="宋体" w:cs="宋体"/>
          <w:b/>
          <w:bCs/>
          <w:color w:val="auto"/>
          <w:sz w:val="28"/>
          <w:szCs w:val="28"/>
          <w:highlight w:val="none"/>
          <w:lang w:eastAsia="zh-CN"/>
        </w:rPr>
        <w:t>HZZC2025-C3-230050-GXZH</w:t>
      </w:r>
      <w:r>
        <w:rPr>
          <w:rFonts w:hint="eastAsia" w:ascii="宋体" w:hAnsi="宋体" w:cs="宋体"/>
          <w:b/>
          <w:bCs/>
          <w:color w:val="auto"/>
          <w:sz w:val="28"/>
          <w:szCs w:val="28"/>
          <w:highlight w:val="none"/>
        </w:rPr>
        <w:t>）</w:t>
      </w:r>
    </w:p>
    <w:p>
      <w:pPr>
        <w:keepNext/>
        <w:keepLines/>
        <w:pageBreakBefore w:val="0"/>
        <w:kinsoku/>
        <w:wordWrap/>
        <w:overflowPunct/>
        <w:topLinePunct w:val="0"/>
        <w:autoSpaceDE/>
        <w:autoSpaceDN/>
        <w:bidi w:val="0"/>
        <w:adjustRightInd/>
        <w:spacing w:line="380" w:lineRule="exact"/>
        <w:jc w:val="center"/>
        <w:textAlignment w:val="auto"/>
        <w:rPr>
          <w:rFonts w:ascii="宋体" w:hAnsi="宋体" w:cs="宋体"/>
          <w:color w:val="auto"/>
          <w:sz w:val="28"/>
          <w:szCs w:val="28"/>
          <w:highlight w:val="none"/>
        </w:rPr>
      </w:pPr>
      <w:r>
        <w:rPr>
          <w:rFonts w:hint="eastAsia" w:ascii="宋体" w:hAnsi="宋体" w:cs="宋体"/>
          <w:b/>
          <w:bCs/>
          <w:color w:val="auto"/>
          <w:sz w:val="28"/>
          <w:szCs w:val="28"/>
          <w:highlight w:val="none"/>
        </w:rPr>
        <w:t>竞争性磋商公告</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80" w:lineRule="exact"/>
        <w:ind w:firstLine="420" w:firstLineChars="200"/>
        <w:textAlignment w:val="auto"/>
        <w:rPr>
          <w:rFonts w:ascii="宋体" w:hAnsi="宋体" w:cs="宋体"/>
          <w:color w:val="auto"/>
          <w:szCs w:val="21"/>
          <w:highlight w:val="none"/>
        </w:rPr>
      </w:pPr>
      <w:bookmarkStart w:id="4" w:name="_Hlk37430271"/>
      <w:r>
        <w:rPr>
          <w:rFonts w:hint="eastAsia" w:ascii="宋体" w:hAnsi="宋体" w:cs="宋体"/>
          <w:color w:val="auto"/>
          <w:szCs w:val="21"/>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8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lang w:eastAsia="zh-CN"/>
        </w:rPr>
        <w:t>《富川瑶族自治县民族医医院中医瑶医诊疗业务用房及附属设施项目瑶医专科专病诊疗中心》施工勘察和基坑设计服务</w:t>
      </w:r>
      <w:r>
        <w:rPr>
          <w:rFonts w:hint="eastAsia" w:ascii="宋体" w:hAnsi="宋体" w:cs="宋体"/>
          <w:color w:val="auto"/>
          <w:szCs w:val="21"/>
          <w:highlight w:val="none"/>
        </w:rPr>
        <w:t>的潜在供应商应在</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广西政府采购</w:t>
      </w:r>
      <w:r>
        <w:rPr>
          <w:rFonts w:hint="eastAsia" w:ascii="宋体" w:hAnsi="宋体" w:cs="宋体"/>
          <w:color w:val="auto"/>
          <w:szCs w:val="21"/>
          <w:highlight w:val="none"/>
          <w:u w:val="single"/>
        </w:rPr>
        <w:t>云”平台（https://www.zcygov.cn/）</w:t>
      </w:r>
      <w:r>
        <w:rPr>
          <w:rFonts w:hint="eastAsia" w:ascii="宋体" w:hAnsi="宋体" w:cs="宋体"/>
          <w:color w:val="auto"/>
          <w:szCs w:val="21"/>
          <w:highlight w:val="none"/>
        </w:rPr>
        <w:t>下载竞争性磋商文件，并于</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 xml:space="preserve"> 26</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rPr>
        <w:t>09</w:t>
      </w:r>
      <w:r>
        <w:rPr>
          <w:rFonts w:hint="eastAsia" w:ascii="宋体" w:hAnsi="宋体" w:cs="宋体"/>
          <w:color w:val="auto"/>
          <w:szCs w:val="21"/>
          <w:highlight w:val="none"/>
          <w:u w:val="single"/>
        </w:rPr>
        <w:t>时00分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pPr>
        <w:keepNext w:val="0"/>
        <w:keepLines w:val="0"/>
        <w:pageBreakBefore w:val="0"/>
        <w:kinsoku/>
        <w:wordWrap/>
        <w:overflowPunct/>
        <w:topLinePunct w:val="0"/>
        <w:autoSpaceDE/>
        <w:autoSpaceDN/>
        <w:bidi w:val="0"/>
        <w:adjustRightInd/>
        <w:spacing w:line="380" w:lineRule="exact"/>
        <w:ind w:firstLine="422" w:firstLineChars="200"/>
        <w:textAlignment w:val="auto"/>
        <w:rPr>
          <w:rFonts w:ascii="宋体" w:hAnsi="宋体" w:cs="宋体"/>
          <w:color w:val="auto"/>
          <w:szCs w:val="21"/>
          <w:highlight w:val="none"/>
        </w:rPr>
      </w:pPr>
      <w:bookmarkStart w:id="5" w:name="_Toc35393798"/>
      <w:bookmarkStart w:id="6" w:name="_Toc35393629"/>
      <w:bookmarkStart w:id="7" w:name="_Toc28359089"/>
      <w:bookmarkStart w:id="8" w:name="_Toc28359012"/>
      <w:bookmarkStart w:id="9" w:name="_Toc44229878"/>
      <w:r>
        <w:rPr>
          <w:rFonts w:hint="eastAsia" w:ascii="宋体" w:hAnsi="宋体" w:cs="宋体"/>
          <w:b/>
          <w:bCs/>
          <w:color w:val="auto"/>
          <w:szCs w:val="21"/>
          <w:highlight w:val="none"/>
        </w:rPr>
        <w:t>一、项目基本情况</w:t>
      </w:r>
      <w:bookmarkEnd w:id="5"/>
      <w:bookmarkEnd w:id="6"/>
      <w:bookmarkEnd w:id="7"/>
      <w:bookmarkEnd w:id="8"/>
      <w:bookmarkEnd w:id="9"/>
      <w:bookmarkStart w:id="101" w:name="_GoBack"/>
      <w:bookmarkEnd w:id="101"/>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4"/>
          <w:szCs w:val="24"/>
          <w:highlight w:val="none"/>
        </w:rPr>
      </w:pPr>
      <w:r>
        <w:rPr>
          <w:rFonts w:hint="eastAsia" w:ascii="宋体" w:hAnsi="宋体" w:cs="宋体"/>
          <w:color w:val="auto"/>
          <w:szCs w:val="21"/>
          <w:highlight w:val="none"/>
        </w:rPr>
        <w:t>1.项目编号：</w:t>
      </w:r>
      <w:r>
        <w:rPr>
          <w:rFonts w:hint="eastAsia" w:ascii="宋体" w:hAnsi="宋体" w:cs="宋体"/>
          <w:color w:val="auto"/>
          <w:sz w:val="24"/>
          <w:szCs w:val="24"/>
          <w:highlight w:val="none"/>
          <w:lang w:eastAsia="zh-CN"/>
        </w:rPr>
        <w:t>HZZC2025-C3-230050-GXZH</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《富川瑶族自治县民族医医院中医瑶医诊疗业务用房及附属设施项目瑶医专科专病诊疗中心》施工勘察和基坑设计服务</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3.采购方式：竞争性磋商</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4.预算金额：</w:t>
      </w:r>
      <w:r>
        <w:rPr>
          <w:rFonts w:hint="eastAsia" w:ascii="宋体" w:hAnsi="宋体" w:cs="宋体"/>
          <w:color w:val="auto"/>
          <w:szCs w:val="21"/>
          <w:highlight w:val="none"/>
          <w:lang w:val="en-US" w:eastAsia="zh-CN"/>
        </w:rPr>
        <w:t>88.07</w:t>
      </w:r>
      <w:r>
        <w:rPr>
          <w:rFonts w:hint="eastAsia" w:ascii="宋体" w:hAnsi="宋体" w:cs="宋体"/>
          <w:color w:val="auto"/>
          <w:szCs w:val="21"/>
          <w:highlight w:val="none"/>
        </w:rPr>
        <w:t>万</w:t>
      </w:r>
      <w:r>
        <w:rPr>
          <w:rFonts w:hint="eastAsia" w:ascii="宋体" w:hAnsi="宋体" w:cs="宋体"/>
          <w:color w:val="auto"/>
          <w:szCs w:val="21"/>
          <w:highlight w:val="none"/>
          <w:lang w:val="en-US" w:eastAsia="zh-CN"/>
        </w:rPr>
        <w:t>元</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color w:val="auto"/>
          <w:szCs w:val="21"/>
          <w:highlight w:val="none"/>
          <w:u w:val="none"/>
        </w:rPr>
      </w:pPr>
      <w:r>
        <w:rPr>
          <w:rFonts w:hint="eastAsia" w:ascii="宋体" w:hAnsi="宋体" w:cs="宋体"/>
          <w:color w:val="auto"/>
          <w:szCs w:val="21"/>
          <w:highlight w:val="none"/>
        </w:rPr>
        <w:t>5.最高限价：</w:t>
      </w:r>
      <w:r>
        <w:rPr>
          <w:rFonts w:hint="eastAsia" w:ascii="宋体" w:hAnsi="宋体" w:cs="宋体"/>
          <w:color w:val="auto"/>
          <w:szCs w:val="21"/>
          <w:highlight w:val="none"/>
          <w:u w:val="none"/>
        </w:rPr>
        <w:t>本项目以预算价为最高限价。</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color w:val="auto"/>
          <w:szCs w:val="21"/>
          <w:highlight w:val="none"/>
          <w:u w:val="none"/>
        </w:rPr>
      </w:pPr>
      <w:r>
        <w:rPr>
          <w:rFonts w:hint="eastAsia" w:ascii="宋体" w:hAnsi="宋体" w:cs="宋体"/>
          <w:color w:val="auto"/>
          <w:szCs w:val="21"/>
          <w:highlight w:val="none"/>
          <w:u w:val="none"/>
        </w:rPr>
        <w:t>6.采购需求：</w:t>
      </w:r>
      <w:r>
        <w:rPr>
          <w:rFonts w:hint="eastAsia" w:ascii="宋体" w:hAnsi="宋体" w:cs="宋体"/>
          <w:color w:val="auto"/>
          <w:szCs w:val="21"/>
          <w:highlight w:val="none"/>
          <w:u w:val="none"/>
          <w:lang w:eastAsia="zh-CN"/>
        </w:rPr>
        <w:t>《富川瑶族自治县民族医医院中医瑶医诊疗业务用房及附属设施项目瑶医专科专病诊疗中心》施工勘察和基坑设计服务</w:t>
      </w:r>
      <w:r>
        <w:rPr>
          <w:rFonts w:hint="eastAsia" w:ascii="宋体" w:hAnsi="宋体" w:cs="宋体"/>
          <w:color w:val="auto"/>
          <w:szCs w:val="21"/>
          <w:highlight w:val="none"/>
          <w:u w:val="none"/>
        </w:rPr>
        <w:t>，详见采购文件第三章“采购需求和说明”。</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cs="宋体"/>
          <w:color w:val="auto"/>
          <w:highlight w:val="none"/>
          <w:u w:val="none"/>
        </w:rPr>
      </w:pPr>
      <w:r>
        <w:rPr>
          <w:rFonts w:hint="eastAsia" w:ascii="宋体" w:hAnsi="宋体" w:cs="宋体"/>
          <w:color w:val="auto"/>
          <w:szCs w:val="21"/>
          <w:highlight w:val="none"/>
          <w:u w:val="none"/>
        </w:rPr>
        <w:t>7.</w:t>
      </w:r>
      <w:r>
        <w:rPr>
          <w:rFonts w:hint="eastAsia" w:ascii="宋体" w:hAnsi="宋体" w:cs="宋体"/>
          <w:color w:val="auto"/>
          <w:highlight w:val="none"/>
          <w:u w:val="none"/>
        </w:rPr>
        <w:t>合同履行期限：（1）自《项目合同》生效之日</w:t>
      </w:r>
      <w:r>
        <w:rPr>
          <w:rFonts w:hint="eastAsia" w:ascii="宋体" w:hAnsi="宋体" w:cs="宋体"/>
          <w:color w:val="auto"/>
          <w:highlight w:val="none"/>
          <w:u w:val="none"/>
        </w:rPr>
        <w:t>起</w:t>
      </w:r>
      <w:r>
        <w:rPr>
          <w:rFonts w:hint="eastAsia" w:ascii="宋体" w:hAnsi="宋体" w:cs="宋体"/>
          <w:color w:val="auto"/>
          <w:highlight w:val="none"/>
          <w:u w:val="none"/>
          <w:lang w:val="en-US" w:eastAsia="zh-CN"/>
        </w:rPr>
        <w:t>25</w:t>
      </w:r>
      <w:r>
        <w:rPr>
          <w:rFonts w:hint="eastAsia" w:ascii="宋体" w:hAnsi="宋体" w:cs="宋体"/>
          <w:color w:val="auto"/>
          <w:highlight w:val="none"/>
          <w:u w:val="none"/>
        </w:rPr>
        <w:t xml:space="preserve"> 个工</w:t>
      </w:r>
      <w:r>
        <w:rPr>
          <w:rFonts w:hint="eastAsia" w:ascii="宋体" w:hAnsi="宋体" w:cs="宋体"/>
          <w:color w:val="auto"/>
          <w:highlight w:val="none"/>
          <w:u w:val="none"/>
        </w:rPr>
        <w:t>作日内提交《建设工程施工勘察成果文件》；（2）配套服务期为自《项目合同》生效之日起至本项目工程竣工验收合格之日止，期间每自收到项目发包人《异议函》之</w:t>
      </w:r>
      <w:r>
        <w:rPr>
          <w:rFonts w:hint="eastAsia" w:ascii="宋体" w:hAnsi="宋体" w:cs="宋体"/>
          <w:color w:val="auto"/>
          <w:highlight w:val="none"/>
          <w:u w:val="none"/>
        </w:rPr>
        <w:t>日起 3 个日</w:t>
      </w:r>
      <w:r>
        <w:rPr>
          <w:rFonts w:hint="eastAsia" w:ascii="宋体" w:hAnsi="宋体" w:cs="宋体"/>
          <w:color w:val="auto"/>
          <w:highlight w:val="none"/>
          <w:u w:val="none"/>
        </w:rPr>
        <w:t>历天内提交相应《答疑（或澄清或修订）函（稿）》送达发包人审核。</w:t>
      </w:r>
    </w:p>
    <w:p>
      <w:pPr>
        <w:keepNext w:val="0"/>
        <w:keepLines w:val="0"/>
        <w:pageBreakBefore w:val="0"/>
        <w:numPr>
          <w:ilvl w:val="0"/>
          <w:numId w:val="3"/>
        </w:numPr>
        <w:kinsoku/>
        <w:wordWrap/>
        <w:overflowPunct/>
        <w:topLinePunct w:val="0"/>
        <w:autoSpaceDE/>
        <w:autoSpaceDN/>
        <w:bidi w:val="0"/>
        <w:adjustRightInd/>
        <w:spacing w:line="380" w:lineRule="exact"/>
        <w:ind w:left="420" w:leftChars="200" w:firstLine="0" w:firstLineChars="0"/>
        <w:textAlignment w:val="auto"/>
        <w:rPr>
          <w:rFonts w:hint="eastAsia" w:ascii="宋体" w:hAnsi="宋体" w:eastAsia="宋体" w:cs="宋体"/>
          <w:color w:val="auto"/>
          <w:sz w:val="20"/>
          <w:szCs w:val="20"/>
          <w:highlight w:val="none"/>
          <w:u w:val="none"/>
          <w:lang w:eastAsia="zh-CN"/>
        </w:rPr>
      </w:pPr>
      <w:r>
        <w:rPr>
          <w:rFonts w:hint="eastAsia" w:ascii="宋体" w:hAnsi="宋体" w:eastAsia="宋体" w:cs="宋体"/>
          <w:color w:val="auto"/>
          <w:sz w:val="20"/>
          <w:szCs w:val="20"/>
          <w:highlight w:val="none"/>
          <w:u w:val="none"/>
          <w:lang w:eastAsia="zh-CN"/>
        </w:rPr>
        <w:t>本项目不接受联合体竞标。</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20" w:firstLineChars="200"/>
        <w:textAlignment w:val="auto"/>
        <w:rPr>
          <w:rFonts w:hint="eastAsia"/>
          <w:color w:val="auto"/>
          <w:lang w:eastAsia="zh-CN"/>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质量要求：</w:t>
      </w:r>
      <w:r>
        <w:rPr>
          <w:rFonts w:hint="eastAsia" w:ascii="宋体" w:hAnsi="宋体" w:eastAsia="宋体" w:cs="宋体"/>
          <w:color w:val="auto"/>
          <w:szCs w:val="21"/>
          <w:highlight w:val="none"/>
          <w:lang w:eastAsia="zh-CN"/>
        </w:rPr>
        <w:t xml:space="preserve">符合国家、主管部门现行规范、规程和有关政策、法规规定的深度要求及验收规范合格标准。   </w:t>
      </w:r>
    </w:p>
    <w:p>
      <w:pPr>
        <w:keepNext w:val="0"/>
        <w:keepLines w:val="0"/>
        <w:pageBreakBefore w:val="0"/>
        <w:kinsoku/>
        <w:wordWrap/>
        <w:overflowPunct/>
        <w:topLinePunct w:val="0"/>
        <w:autoSpaceDE/>
        <w:autoSpaceDN/>
        <w:bidi w:val="0"/>
        <w:adjustRightInd/>
        <w:spacing w:line="380" w:lineRule="exact"/>
        <w:ind w:firstLine="402" w:firstLineChars="200"/>
        <w:textAlignment w:val="auto"/>
        <w:rPr>
          <w:rFonts w:ascii="宋体" w:hAnsi="宋体" w:cs="宋体"/>
          <w:b/>
          <w:bCs/>
          <w:color w:val="auto"/>
          <w:sz w:val="20"/>
          <w:szCs w:val="20"/>
          <w:highlight w:val="none"/>
        </w:rPr>
      </w:pPr>
      <w:bookmarkStart w:id="10" w:name="_Toc28359090"/>
      <w:bookmarkStart w:id="11" w:name="_Toc35393630"/>
      <w:bookmarkStart w:id="12" w:name="_Toc44229879"/>
      <w:bookmarkStart w:id="13" w:name="_Toc28359013"/>
      <w:bookmarkStart w:id="14" w:name="_Toc35393799"/>
      <w:r>
        <w:rPr>
          <w:rFonts w:hint="eastAsia" w:ascii="宋体" w:hAnsi="宋体" w:cs="宋体"/>
          <w:b/>
          <w:bCs/>
          <w:color w:val="auto"/>
          <w:sz w:val="20"/>
          <w:szCs w:val="20"/>
          <w:highlight w:val="none"/>
        </w:rPr>
        <w:t>二、供应商的资格条件：</w:t>
      </w:r>
      <w:bookmarkEnd w:id="10"/>
      <w:bookmarkEnd w:id="11"/>
      <w:bookmarkEnd w:id="12"/>
      <w:bookmarkEnd w:id="13"/>
      <w:bookmarkEnd w:id="14"/>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color w:val="auto"/>
          <w:szCs w:val="21"/>
          <w:highlight w:val="none"/>
        </w:rPr>
      </w:pPr>
      <w:bookmarkStart w:id="15" w:name="_Toc28359014"/>
      <w:bookmarkStart w:id="16" w:name="_Toc35393800"/>
      <w:bookmarkStart w:id="17" w:name="_Toc35393631"/>
      <w:bookmarkStart w:id="18" w:name="_Toc28359091"/>
      <w:bookmarkStart w:id="19" w:name="_Toc44229880"/>
      <w:r>
        <w:rPr>
          <w:rFonts w:hint="eastAsia" w:ascii="宋体" w:hAnsi="宋体" w:cs="宋体"/>
          <w:color w:val="auto"/>
          <w:szCs w:val="21"/>
          <w:highlight w:val="none"/>
        </w:rPr>
        <w:t>1.满足《中华人民共和国政府采购法》第二十二条规定；</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2.落实政府采购政策需满足的资格要求：本项目属于专门面向中小企业采购的项目；</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color w:val="auto"/>
          <w:kern w:val="1"/>
          <w:szCs w:val="21"/>
          <w:highlight w:val="none"/>
        </w:rPr>
      </w:pPr>
      <w:r>
        <w:rPr>
          <w:rFonts w:hint="eastAsia" w:ascii="宋体" w:hAnsi="宋体" w:cs="宋体"/>
          <w:color w:val="auto"/>
          <w:szCs w:val="21"/>
          <w:highlight w:val="none"/>
        </w:rPr>
        <w:t>3.本项目的特定资格要求：</w:t>
      </w:r>
      <w:r>
        <w:rPr>
          <w:rFonts w:ascii="宋体" w:hAnsi="宋体" w:cs="宋体" w:eastAsiaTheme="minorEastAsia"/>
          <w:color w:val="auto"/>
          <w:sz w:val="21"/>
          <w:szCs w:val="22"/>
          <w:lang w:val="en-US" w:eastAsia="en-US" w:bidi="ar-SA"/>
        </w:rPr>
        <w:t>竞争性磋商供应商应具备工程勘察综合甲级资质或工程勘察专业类（岩土工程勘察）乙级及以上资质</w:t>
      </w:r>
      <w:r>
        <w:rPr>
          <w:rFonts w:hint="eastAsia" w:ascii="宋体" w:hAnsi="宋体" w:cs="宋体"/>
          <w:color w:val="auto"/>
          <w:szCs w:val="21"/>
          <w:highlight w:val="none"/>
        </w:rPr>
        <w:t>；</w:t>
      </w:r>
      <w:r>
        <w:rPr>
          <w:rFonts w:ascii="宋体" w:hAnsi="宋体" w:cs="宋体" w:eastAsiaTheme="minorEastAsia"/>
          <w:color w:val="auto"/>
          <w:sz w:val="21"/>
          <w:szCs w:val="22"/>
          <w:lang w:val="en-US" w:eastAsia="en-US" w:bidi="ar-SA"/>
        </w:rPr>
        <w:t>项目总负责人的资格要求：持有有效的《中华人民共和国注册土木工程师(岩土)执业资格证书》。</w:t>
      </w:r>
    </w:p>
    <w:p>
      <w:pPr>
        <w:pStyle w:val="62"/>
        <w:keepNext w:val="0"/>
        <w:keepLines w:val="0"/>
        <w:pageBreakBefore w:val="0"/>
        <w:kinsoku/>
        <w:wordWrap/>
        <w:overflowPunct/>
        <w:topLinePunct w:val="0"/>
        <w:autoSpaceDE/>
        <w:autoSpaceDN/>
        <w:bidi w:val="0"/>
        <w:adjustRightInd/>
        <w:spacing w:before="0" w:beforeAutospacing="0" w:after="0" w:afterAutospacing="0" w:line="380" w:lineRule="exact"/>
        <w:ind w:firstLine="420"/>
        <w:contextualSpacing/>
        <w:textAlignment w:val="auto"/>
        <w:rPr>
          <w:b w:val="0"/>
          <w:bCs w:val="0"/>
          <w:color w:val="auto"/>
          <w:kern w:val="1"/>
          <w:highlight w:val="none"/>
        </w:rPr>
      </w:pPr>
      <w:r>
        <w:rPr>
          <w:rFonts w:hint="eastAsia"/>
          <w:b w:val="0"/>
          <w:bCs w:val="0"/>
          <w:color w:val="auto"/>
          <w:kern w:val="1"/>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color w:val="auto"/>
          <w:szCs w:val="21"/>
          <w:highlight w:val="none"/>
        </w:rPr>
      </w:pPr>
      <w:r>
        <w:rPr>
          <w:rFonts w:hint="eastAsia" w:ascii="宋体" w:hAnsi="宋体" w:cs="宋体"/>
          <w:color w:val="auto"/>
          <w:kern w:val="1"/>
          <w:szCs w:val="21"/>
          <w:highlight w:val="none"/>
        </w:rPr>
        <w:t>5.</w:t>
      </w:r>
      <w:r>
        <w:rPr>
          <w:rFonts w:hint="eastAsia" w:ascii="宋体" w:hAnsi="宋体" w:cs="宋体"/>
          <w:color w:val="auto"/>
          <w:szCs w:val="21"/>
          <w:highlight w:val="none"/>
        </w:rPr>
        <w:t>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政府采购活动。（以评标阶段在“信用中国”网站（www.creditchina.gov.cn）或中国政府采购网（www.ccgp.gov.cn）的信用记录查询结果为准）</w:t>
      </w:r>
    </w:p>
    <w:p>
      <w:pPr>
        <w:keepNext w:val="0"/>
        <w:keepLines w:val="0"/>
        <w:pageBreakBefore w:val="0"/>
        <w:kinsoku/>
        <w:wordWrap/>
        <w:overflowPunct/>
        <w:topLinePunct w:val="0"/>
        <w:autoSpaceDE/>
        <w:autoSpaceDN/>
        <w:bidi w:val="0"/>
        <w:adjustRightInd/>
        <w:spacing w:line="380"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rPr>
        <w:t>三、获取竞争性磋商文件</w:t>
      </w:r>
      <w:bookmarkEnd w:id="15"/>
      <w:bookmarkEnd w:id="16"/>
      <w:bookmarkEnd w:id="17"/>
      <w:bookmarkEnd w:id="18"/>
      <w:bookmarkEnd w:id="19"/>
    </w:p>
    <w:p>
      <w:pPr>
        <w:keepNext w:val="0"/>
        <w:keepLines w:val="0"/>
        <w:pageBreakBefore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szCs w:val="21"/>
          <w:highlight w:val="none"/>
        </w:rPr>
      </w:pPr>
      <w:bookmarkStart w:id="20" w:name="_Toc35393793"/>
      <w:r>
        <w:rPr>
          <w:rFonts w:hint="eastAsia" w:ascii="宋体" w:hAnsi="宋体" w:cs="宋体"/>
          <w:color w:val="auto"/>
          <w:szCs w:val="21"/>
          <w:highlight w:val="none"/>
        </w:rPr>
        <w:t>1.时间：</w:t>
      </w:r>
      <w:bookmarkEnd w:id="20"/>
      <w:r>
        <w:rPr>
          <w:rFonts w:hint="eastAsia" w:ascii="宋体" w:hAnsi="宋体" w:cs="宋体"/>
          <w:color w:val="auto"/>
          <w:szCs w:val="21"/>
          <w:highlight w:val="none"/>
        </w:rPr>
        <w:t>公告发布之时至</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 xml:space="preserve"> 20</w:t>
      </w:r>
      <w:r>
        <w:rPr>
          <w:rFonts w:hint="eastAsia" w:ascii="宋体" w:hAnsi="宋体" w:cs="宋体"/>
          <w:color w:val="auto"/>
          <w:szCs w:val="21"/>
          <w:highlight w:val="none"/>
        </w:rPr>
        <w:t>日</w:t>
      </w:r>
      <w:r>
        <w:rPr>
          <w:rFonts w:hint="eastAsia" w:ascii="宋体" w:hAnsi="宋体" w:cs="宋体"/>
          <w:color w:val="auto"/>
          <w:szCs w:val="21"/>
          <w:highlight w:val="none"/>
        </w:rPr>
        <w:t>18:00（北京时间）。</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b/>
          <w:bCs/>
          <w:color w:val="auto"/>
          <w:szCs w:val="21"/>
          <w:highlight w:val="none"/>
        </w:rPr>
      </w:pPr>
      <w:bookmarkStart w:id="21" w:name="_Toc35393801"/>
      <w:bookmarkStart w:id="22" w:name="_Toc35393632"/>
      <w:bookmarkStart w:id="23" w:name="_Toc44229881"/>
      <w:bookmarkStart w:id="24" w:name="_Toc28359092"/>
      <w:bookmarkStart w:id="25" w:name="_Toc28359015"/>
      <w:r>
        <w:rPr>
          <w:rFonts w:hint="eastAsia" w:ascii="宋体" w:hAnsi="宋体" w:cs="宋体"/>
          <w:color w:val="auto"/>
          <w:szCs w:val="21"/>
          <w:highlight w:val="none"/>
        </w:rPr>
        <w:t>2.地点：</w:t>
      </w:r>
      <w:r>
        <w:rPr>
          <w:rFonts w:hint="eastAsia" w:ascii="宋体" w:hAnsi="宋体" w:cs="宋体"/>
          <w:color w:val="auto"/>
          <w:szCs w:val="21"/>
          <w:highlight w:val="none"/>
          <w:lang w:val="en-US" w:eastAsia="zh-CN"/>
        </w:rPr>
        <w:t>广西政府采购</w:t>
      </w:r>
      <w:r>
        <w:rPr>
          <w:rFonts w:hint="eastAsia" w:ascii="宋体" w:hAnsi="宋体" w:cs="宋体"/>
          <w:color w:val="auto"/>
          <w:szCs w:val="21"/>
          <w:highlight w:val="none"/>
        </w:rPr>
        <w:t>云平台（https://www.zcygov.cn/）</w:t>
      </w:r>
    </w:p>
    <w:p>
      <w:pPr>
        <w:keepNext w:val="0"/>
        <w:keepLines w:val="0"/>
        <w:pageBreakBefore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3.方式：供应商登录</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https://www.zcygov.cn/在线申请获取采购文件（进入“项目采购”应用，在获取采购文件菜单中选择项目，申请获取采购文件）</w:t>
      </w:r>
    </w:p>
    <w:p>
      <w:pPr>
        <w:keepNext w:val="0"/>
        <w:keepLines w:val="0"/>
        <w:pageBreakBefore w:val="0"/>
        <w:kinsoku/>
        <w:wordWrap/>
        <w:overflowPunct/>
        <w:topLinePunct w:val="0"/>
        <w:autoSpaceDE/>
        <w:autoSpaceDN/>
        <w:bidi w:val="0"/>
        <w:adjustRightInd/>
        <w:snapToGrid w:val="0"/>
        <w:spacing w:line="380" w:lineRule="exact"/>
        <w:ind w:firstLine="472" w:firstLineChars="225"/>
        <w:textAlignment w:val="auto"/>
        <w:rPr>
          <w:rFonts w:ascii="宋体" w:hAnsi="宋体" w:cs="宋体"/>
          <w:color w:val="auto"/>
          <w:szCs w:val="21"/>
          <w:highlight w:val="none"/>
        </w:rPr>
      </w:pPr>
      <w:r>
        <w:rPr>
          <w:rFonts w:hint="eastAsia" w:ascii="宋体" w:hAnsi="宋体" w:cs="宋体"/>
          <w:color w:val="auto"/>
          <w:szCs w:val="21"/>
          <w:highlight w:val="none"/>
        </w:rPr>
        <w:t>4.售价：0元。</w:t>
      </w:r>
    </w:p>
    <w:bookmarkEnd w:id="21"/>
    <w:bookmarkEnd w:id="22"/>
    <w:bookmarkEnd w:id="23"/>
    <w:bookmarkEnd w:id="24"/>
    <w:bookmarkEnd w:id="25"/>
    <w:p>
      <w:pPr>
        <w:keepNext w:val="0"/>
        <w:keepLines w:val="0"/>
        <w:pageBreakBefore w:val="0"/>
        <w:kinsoku/>
        <w:wordWrap/>
        <w:overflowPunct/>
        <w:topLinePunct w:val="0"/>
        <w:autoSpaceDE/>
        <w:autoSpaceDN/>
        <w:bidi w:val="0"/>
        <w:adjustRightInd/>
        <w:spacing w:line="380" w:lineRule="exact"/>
        <w:ind w:firstLine="422" w:firstLineChars="200"/>
        <w:textAlignment w:val="auto"/>
        <w:rPr>
          <w:rFonts w:hint="eastAsia" w:ascii="宋体" w:hAnsi="宋体" w:cs="宋体"/>
          <w:bCs/>
          <w:color w:val="auto"/>
          <w:szCs w:val="21"/>
          <w:highlight w:val="none"/>
          <w:lang w:val="en-US" w:eastAsia="zh-CN"/>
        </w:rPr>
      </w:pPr>
      <w:bookmarkStart w:id="26" w:name="_Toc35393803"/>
      <w:bookmarkStart w:id="27" w:name="_Toc28359017"/>
      <w:bookmarkStart w:id="28" w:name="_Toc28359094"/>
      <w:bookmarkStart w:id="29" w:name="_Toc44229883"/>
      <w:bookmarkStart w:id="30" w:name="_Toc35393634"/>
      <w:r>
        <w:rPr>
          <w:rFonts w:hint="eastAsia" w:ascii="宋体" w:hAnsi="宋体" w:cs="宋体"/>
          <w:b/>
          <w:bCs w:val="0"/>
          <w:color w:val="auto"/>
          <w:szCs w:val="21"/>
          <w:highlight w:val="none"/>
          <w:lang w:val="en-US" w:eastAsia="zh-CN"/>
        </w:rPr>
        <w:t>四、响应文件提交</w:t>
      </w:r>
      <w:r>
        <w:rPr>
          <w:rFonts w:hint="eastAsia" w:ascii="宋体" w:hAnsi="宋体" w:cs="宋体"/>
          <w:bCs/>
          <w:color w:val="auto"/>
          <w:szCs w:val="21"/>
          <w:highlight w:val="none"/>
          <w:lang w:val="en-US" w:eastAsia="zh-CN"/>
        </w:rPr>
        <w:t> </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截止时间：2025年6</w:t>
      </w:r>
      <w:r>
        <w:rPr>
          <w:rFonts w:hint="eastAsia" w:ascii="宋体" w:hAnsi="宋体" w:cs="宋体"/>
          <w:bCs/>
          <w:color w:val="auto"/>
          <w:szCs w:val="21"/>
          <w:highlight w:val="none"/>
          <w:lang w:val="en-US" w:eastAsia="zh-CN"/>
        </w:rPr>
        <w:t>月26 日0</w:t>
      </w:r>
      <w:r>
        <w:rPr>
          <w:rFonts w:hint="eastAsia" w:ascii="宋体" w:hAnsi="宋体" w:cs="宋体"/>
          <w:bCs/>
          <w:color w:val="auto"/>
          <w:szCs w:val="21"/>
          <w:highlight w:val="none"/>
          <w:lang w:val="en-US" w:eastAsia="zh-CN"/>
        </w:rPr>
        <w:t>9:00（北京时间）</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地点（网址）：请登录广西政府采购云平台投标客户端投标 </w:t>
      </w:r>
    </w:p>
    <w:p>
      <w:pPr>
        <w:keepNext w:val="0"/>
        <w:keepLines w:val="0"/>
        <w:pageBreakBefore w:val="0"/>
        <w:kinsoku/>
        <w:wordWrap/>
        <w:overflowPunct/>
        <w:topLinePunct w:val="0"/>
        <w:autoSpaceDE/>
        <w:autoSpaceDN/>
        <w:bidi w:val="0"/>
        <w:adjustRightInd/>
        <w:spacing w:line="380" w:lineRule="exact"/>
        <w:ind w:firstLine="422" w:firstLineChars="200"/>
        <w:textAlignment w:val="auto"/>
        <w:rPr>
          <w:rFonts w:hint="eastAsia" w:ascii="宋体" w:hAnsi="宋体" w:cs="宋体"/>
          <w:bCs/>
          <w:color w:val="auto"/>
          <w:szCs w:val="21"/>
          <w:highlight w:val="none"/>
          <w:lang w:val="en-US" w:eastAsia="zh-CN"/>
        </w:rPr>
      </w:pPr>
      <w:r>
        <w:rPr>
          <w:rFonts w:hint="eastAsia" w:ascii="宋体" w:hAnsi="宋体" w:cs="宋体"/>
          <w:b/>
          <w:bCs w:val="0"/>
          <w:color w:val="auto"/>
          <w:szCs w:val="21"/>
          <w:highlight w:val="none"/>
          <w:lang w:val="en-US" w:eastAsia="zh-CN"/>
        </w:rPr>
        <w:t>五、响应文件开启</w:t>
      </w:r>
      <w:r>
        <w:rPr>
          <w:rFonts w:hint="eastAsia" w:ascii="宋体" w:hAnsi="宋体" w:cs="宋体"/>
          <w:bCs/>
          <w:color w:val="auto"/>
          <w:szCs w:val="21"/>
          <w:highlight w:val="none"/>
          <w:lang w:val="en-US" w:eastAsia="zh-CN"/>
        </w:rPr>
        <w:t> </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开启时间：2025年6</w:t>
      </w:r>
      <w:r>
        <w:rPr>
          <w:rFonts w:hint="eastAsia" w:ascii="宋体" w:hAnsi="宋体" w:cs="宋体"/>
          <w:bCs/>
          <w:color w:val="auto"/>
          <w:szCs w:val="21"/>
          <w:highlight w:val="none"/>
          <w:lang w:val="en-US" w:eastAsia="zh-CN"/>
        </w:rPr>
        <w:t>月  26日</w:t>
      </w:r>
      <w:r>
        <w:rPr>
          <w:rFonts w:hint="eastAsia" w:ascii="宋体" w:hAnsi="宋体" w:cs="宋体"/>
          <w:bCs/>
          <w:color w:val="auto"/>
          <w:szCs w:val="21"/>
          <w:highlight w:val="none"/>
          <w:lang w:val="en-US" w:eastAsia="zh-CN"/>
        </w:rPr>
        <w:t>09:00（北京时间）</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地点：“广西政府采购云平台（www.zcygov.cn）”。</w:t>
      </w:r>
    </w:p>
    <w:p>
      <w:pPr>
        <w:pStyle w:val="47"/>
        <w:rPr>
          <w:rFonts w:hint="default" w:ascii="宋体" w:hAnsi="宋体" w:eastAsia="宋体" w:cs="宋体"/>
          <w:color w:val="auto"/>
          <w:kern w:val="0"/>
          <w:sz w:val="21"/>
          <w:szCs w:val="21"/>
          <w:highlight w:val="none"/>
          <w:lang w:val="en-US" w:eastAsia="zh-CN" w:bidi="ar-SA"/>
        </w:rPr>
      </w:pPr>
      <w:r>
        <w:rPr>
          <w:rFonts w:hint="eastAsia" w:ascii="宋体" w:hAnsi="宋体" w:cs="宋体"/>
          <w:bCs/>
          <w:color w:val="auto"/>
          <w:szCs w:val="21"/>
          <w:highlight w:val="none"/>
          <w:lang w:val="en-US" w:eastAsia="zh-CN"/>
        </w:rPr>
        <w:t xml:space="preserve">  </w:t>
      </w:r>
      <w:r>
        <w:rPr>
          <w:rFonts w:hint="eastAsia" w:ascii="宋体" w:hAnsi="宋体" w:eastAsia="宋体" w:cs="宋体"/>
          <w:color w:val="auto"/>
          <w:kern w:val="0"/>
          <w:sz w:val="21"/>
          <w:szCs w:val="21"/>
          <w:highlight w:val="none"/>
          <w:lang w:val="en-US" w:eastAsia="zh-CN" w:bidi="ar-SA"/>
        </w:rPr>
        <w:t xml:space="preserve">  主场评审场地：【贺州市公共资源交易中心(贺州市政府采购中心)】贺州市贺州市政务服务中心东侧附属楼政采评审室三，</w:t>
      </w:r>
      <w:r>
        <w:rPr>
          <w:rFonts w:hint="eastAsia" w:ascii="宋体" w:hAnsi="宋体" w:eastAsia="宋体" w:cs="宋体"/>
          <w:color w:val="auto"/>
          <w:kern w:val="0"/>
          <w:sz w:val="21"/>
          <w:szCs w:val="21"/>
          <w:highlight w:val="none"/>
          <w:lang w:val="en-US" w:eastAsia="zh-CN" w:bidi="ar-SA"/>
        </w:rPr>
        <w:t>副场评审场地：百色市公共资源交易中心靖西分中心】靖西县百色市公共资源交易中心靖西分中心第三专家评标室。</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六、公告期限</w:t>
      </w:r>
      <w:bookmarkEnd w:id="26"/>
      <w:bookmarkEnd w:id="27"/>
      <w:bookmarkEnd w:id="28"/>
      <w:bookmarkEnd w:id="29"/>
      <w:bookmarkEnd w:id="30"/>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keepNext w:val="0"/>
        <w:keepLines w:val="0"/>
        <w:pageBreakBefore w:val="0"/>
        <w:kinsoku/>
        <w:wordWrap/>
        <w:overflowPunct/>
        <w:topLinePunct w:val="0"/>
        <w:autoSpaceDE/>
        <w:autoSpaceDN/>
        <w:bidi w:val="0"/>
        <w:adjustRightInd/>
        <w:spacing w:line="380" w:lineRule="exact"/>
        <w:ind w:firstLine="422" w:firstLineChars="200"/>
        <w:textAlignment w:val="auto"/>
        <w:rPr>
          <w:rFonts w:ascii="宋体" w:hAnsi="宋体" w:cs="宋体"/>
          <w:b/>
          <w:bCs/>
          <w:color w:val="auto"/>
          <w:szCs w:val="21"/>
          <w:highlight w:val="none"/>
        </w:rPr>
      </w:pPr>
      <w:bookmarkStart w:id="31" w:name="_Toc35393804"/>
      <w:bookmarkStart w:id="32" w:name="_Toc35393635"/>
      <w:bookmarkStart w:id="33" w:name="_Toc44229884"/>
      <w:r>
        <w:rPr>
          <w:rFonts w:hint="eastAsia" w:ascii="宋体" w:hAnsi="宋体" w:cs="宋体"/>
          <w:b/>
          <w:bCs/>
          <w:color w:val="auto"/>
          <w:szCs w:val="21"/>
          <w:highlight w:val="none"/>
          <w:lang w:val="en-US" w:eastAsia="zh-CN"/>
        </w:rPr>
        <w:t>七</w:t>
      </w:r>
      <w:r>
        <w:rPr>
          <w:rFonts w:hint="eastAsia" w:ascii="宋体" w:hAnsi="宋体" w:cs="宋体"/>
          <w:b/>
          <w:bCs/>
          <w:color w:val="auto"/>
          <w:szCs w:val="21"/>
          <w:highlight w:val="none"/>
        </w:rPr>
        <w:t>、其他补充事宜</w:t>
      </w:r>
      <w:bookmarkEnd w:id="31"/>
      <w:bookmarkEnd w:id="32"/>
      <w:bookmarkEnd w:id="33"/>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rPr>
        <w:t>1.磋商保证金：</w:t>
      </w:r>
      <w:r>
        <w:rPr>
          <w:rFonts w:hint="eastAsia" w:ascii="宋体" w:hAnsi="宋体" w:cs="宋体"/>
          <w:color w:val="auto"/>
          <w:kern w:val="0"/>
          <w:szCs w:val="21"/>
          <w:highlight w:val="none"/>
          <w:lang w:val="en-US" w:eastAsia="zh-CN"/>
        </w:rPr>
        <w:t>本项目不要求提交。</w:t>
      </w:r>
      <w:r>
        <w:rPr>
          <w:rFonts w:hint="eastAsia" w:ascii="宋体" w:hAnsi="宋体" w:cs="宋体"/>
          <w:color w:val="auto"/>
          <w:szCs w:val="21"/>
          <w:highlight w:val="none"/>
          <w:lang w:val="en-US" w:eastAsia="zh-CN"/>
        </w:rPr>
        <w:t xml:space="preserve"> </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b/>
          <w:color w:val="auto"/>
          <w:szCs w:val="21"/>
          <w:highlight w:val="none"/>
        </w:rPr>
      </w:pPr>
      <w:bookmarkStart w:id="34" w:name="_Toc28359018"/>
      <w:bookmarkStart w:id="35" w:name="_Toc28359095"/>
      <w:bookmarkStart w:id="36" w:name="_Toc35393636"/>
      <w:bookmarkStart w:id="37" w:name="_Toc44229885"/>
      <w:bookmarkStart w:id="38" w:name="_Toc35393805"/>
      <w:r>
        <w:rPr>
          <w:rFonts w:hint="eastAsia" w:ascii="宋体" w:hAnsi="宋体" w:cs="宋体"/>
          <w:color w:val="auto"/>
          <w:kern w:val="0"/>
          <w:szCs w:val="21"/>
          <w:highlight w:val="none"/>
        </w:rPr>
        <w:t>2.本项目需要落实的政府采购政策：《政府采购促进中小企业发展管理办法》（财库〔2020〕46号）、财库〔2022〕19号文件及《广西壮族自治区财政厅 广西壮族自治区工业和信息化厅关于转发财政部工业和信息化部政府采购促进中小企业发展管理办法的通知》（桂财采〔2021〕70号）、《贺州市财政局贺州市工业和信息化局关于转发财政部工业和信息化部政府采购促进中小企业发展管理办法的通知》（贺财采〔2021〕19号）、《财政部、司法部关于政府采购支持监狱企业发展有关问题的通知》（财库〔2014〕68号）、《关于促进残疾人就业政府采购政策的通知》（财库〔2017〕141号）等政府采购相关政策。</w:t>
      </w:r>
    </w:p>
    <w:p>
      <w:pPr>
        <w:keepNext w:val="0"/>
        <w:keepLines w:val="0"/>
        <w:pageBreakBefore w:val="0"/>
        <w:kinsoku/>
        <w:wordWrap/>
        <w:overflowPunct/>
        <w:topLinePunct w:val="0"/>
        <w:autoSpaceDE/>
        <w:autoSpaceDN/>
        <w:bidi w:val="0"/>
        <w:adjustRightInd/>
        <w:spacing w:line="38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3.在线投标响应（电子投标）说明：</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（1）本项目通过</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实行在线投标响应（电子投标），供应商需要先安装“政采云电子交易客户端”，并按照本竞争性磋商采购文件和</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的要求，通过“政采云电子交易客户端”编制并加密响应文件。供应商未按规定编制并加密的响应文件，</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将予以拒收。</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2）“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政采云投标客户端时，建议使用WIN7及以上操作系统，通过</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参与在线投标时如遇平台技术问题详询400-881-7190。</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3）为确保网上操作合法、有效和安全，磋商供应商应当在开标截止时间前完成在“政府采购云平台”的身份认证，确保在电子投标过程中能够对相关数据电文进行加密和使用电子签章。使用“政采云电子交易客户端”需要提前申领CA数字证书，申领流程请自行前往相关网站进行查阅（完成CA数字证书办理预计一周左右，建议供应商获取竞争性磋商采购文件后立即办理）。</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（4）磋商供应商应当在开标截止时间前，将生成的“电子加密响应文件”上传递交至</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响应文件递交截止时间前可以补充、修改或者撤回电子磋商响应文件。补充或者修改电子磋商响应文件的，应当先行撤回原文件，补充、修改后重新传输递交，开标截止时间前未完成传输的，视为撤回响应文件。</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5）响应文件递交截止时间后，政采云（电子交易平台）自动提取所有响应文件，各供应商须在提交响应文件截止后30分钟内对上传政采云的响应文件进行解密，所有供应商在规定的解密时限内解密完成或解密时限到后，采购代理机构开启响应文件；供应商超过解密时限的，系统默认自动放弃。</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（6）因未注册入库、未办理CA数字证书、CA证书故障、操作不当等原因造成无法投标或投标失败等后果由供应商自行承担。</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（7）在供应商提交了电子备份响应文件后，如通过</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 xml:space="preserve">上传递交的电子加密响应文件无法按时解密且无法通过政采云“异常处理”端口处理的视为响应文件撤回，所造成的后果由供应商自行承担。                 </w:t>
      </w:r>
    </w:p>
    <w:p>
      <w:pPr>
        <w:pStyle w:val="5"/>
        <w:ind w:firstLine="420" w:firstLineChars="200"/>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4.发布公告的媒介：中国政府采购网、广西壮族自治区政府采购网、全国公共资源交易平台（广西贺州）网。    </w:t>
      </w:r>
    </w:p>
    <w:p>
      <w:pPr>
        <w:keepNext w:val="0"/>
        <w:keepLines w:val="0"/>
        <w:pageBreakBefore w:val="0"/>
        <w:kinsoku/>
        <w:wordWrap/>
        <w:overflowPunct/>
        <w:topLinePunct w:val="0"/>
        <w:autoSpaceDE/>
        <w:autoSpaceDN/>
        <w:bidi w:val="0"/>
        <w:adjustRightInd/>
        <w:spacing w:line="38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lang w:val="en-US" w:eastAsia="zh-CN"/>
        </w:rPr>
        <w:t>八</w:t>
      </w:r>
      <w:r>
        <w:rPr>
          <w:rFonts w:hint="eastAsia" w:ascii="宋体" w:hAnsi="宋体" w:cs="宋体"/>
          <w:b/>
          <w:color w:val="auto"/>
          <w:szCs w:val="21"/>
          <w:highlight w:val="none"/>
        </w:rPr>
        <w:t>、凡对本次采购提出询问，请按以下方式联系。</w:t>
      </w:r>
      <w:bookmarkEnd w:id="34"/>
      <w:bookmarkEnd w:id="35"/>
      <w:bookmarkEnd w:id="36"/>
      <w:bookmarkEnd w:id="37"/>
      <w:bookmarkEnd w:id="38"/>
    </w:p>
    <w:bookmarkEnd w:id="4"/>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1.采购人信息</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名   称：富川瑶族自治县民族医医院</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地   址：富川瑶族自治县富阳至古城路段三里亭处</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联系方式：陈工，13627749168</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cs="宋体"/>
          <w:bCs/>
          <w:color w:val="auto"/>
          <w:szCs w:val="21"/>
          <w:highlight w:val="none"/>
        </w:rPr>
      </w:pPr>
      <w:r>
        <w:rPr>
          <w:rFonts w:hint="default" w:ascii="宋体" w:hAnsi="宋体" w:cs="宋体"/>
          <w:bCs/>
          <w:color w:val="auto"/>
          <w:szCs w:val="21"/>
          <w:highlight w:val="none"/>
          <w:lang w:val="en-US" w:eastAsia="zh-CN"/>
        </w:rPr>
        <w:t>2.</w:t>
      </w:r>
      <w:r>
        <w:rPr>
          <w:rFonts w:hint="eastAsia" w:ascii="宋体" w:hAnsi="宋体" w:cs="宋体"/>
          <w:bCs/>
          <w:color w:val="auto"/>
          <w:szCs w:val="21"/>
          <w:highlight w:val="none"/>
          <w:lang w:val="en-US" w:eastAsia="zh-CN"/>
        </w:rPr>
        <w:t>采购代理机构信息</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名    称：广西中恒工程咨询有限公司</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地　　址：贺州市新风街</w:t>
      </w:r>
      <w:r>
        <w:rPr>
          <w:rFonts w:hint="default" w:ascii="宋体" w:hAnsi="宋体" w:cs="宋体"/>
          <w:bCs/>
          <w:color w:val="auto"/>
          <w:szCs w:val="21"/>
          <w:highlight w:val="none"/>
          <w:lang w:val="en-US" w:eastAsia="zh-CN"/>
        </w:rPr>
        <w:t>92</w:t>
      </w:r>
      <w:r>
        <w:rPr>
          <w:rFonts w:hint="eastAsia" w:ascii="宋体" w:hAnsi="宋体" w:cs="宋体"/>
          <w:bCs/>
          <w:color w:val="auto"/>
          <w:szCs w:val="21"/>
          <w:highlight w:val="none"/>
          <w:lang w:val="en-US" w:eastAsia="zh-CN"/>
        </w:rPr>
        <w:t>号</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项目联系人：古工</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项目联系方式：0774-5270990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420" w:right="-25" w:firstLine="0"/>
        <w:jc w:val="left"/>
        <w:rPr>
          <w:rFonts w:ascii="微软雅黑" w:hAnsi="微软雅黑" w:eastAsia="微软雅黑" w:cs="微软雅黑"/>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shd w:val="clear" w:fill="FFFFFF"/>
          <w:lang w:val="en-US" w:eastAsia="zh-CN" w:bidi="ar"/>
        </w:rPr>
        <w:t>3.监督部门信息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420" w:right="-25" w:firstLine="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名称（全称）：富川瑶族自治县财政局政府采购服务中心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420" w:right="-25" w:firstLine="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地址：富川瑶族自治县富阳镇财源路1号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420" w:right="-25" w:firstLine="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联系电话：07747882324</w:t>
      </w:r>
    </w:p>
    <w:p>
      <w:pPr>
        <w:pStyle w:val="24"/>
        <w:rPr>
          <w:rFonts w:hint="default"/>
          <w:color w:val="auto"/>
          <w:lang w:val="en-US"/>
        </w:rPr>
      </w:pPr>
    </w:p>
    <w:p>
      <w:pPr>
        <w:keepNext w:val="0"/>
        <w:keepLines w:val="0"/>
        <w:pageBreakBefore w:val="0"/>
        <w:kinsoku/>
        <w:wordWrap/>
        <w:overflowPunct/>
        <w:topLinePunct w:val="0"/>
        <w:autoSpaceDE/>
        <w:autoSpaceDN/>
        <w:bidi w:val="0"/>
        <w:adjustRightInd/>
        <w:spacing w:line="380" w:lineRule="exact"/>
        <w:ind w:firstLine="424" w:firstLineChars="202"/>
        <w:jc w:val="right"/>
        <w:textAlignment w:val="auto"/>
        <w:rPr>
          <w:rFonts w:ascii="宋体" w:hAnsi="宋体" w:cs="宋体"/>
          <w:color w:val="auto"/>
          <w:szCs w:val="21"/>
          <w:highlight w:val="none"/>
        </w:rPr>
      </w:pPr>
      <w:r>
        <w:rPr>
          <w:rFonts w:hint="eastAsia" w:ascii="宋体" w:hAnsi="宋体" w:cs="宋体"/>
          <w:color w:val="auto"/>
          <w:szCs w:val="21"/>
          <w:highlight w:val="none"/>
        </w:rPr>
        <w:t>采购人：</w:t>
      </w:r>
      <w:r>
        <w:rPr>
          <w:rFonts w:hint="eastAsia" w:ascii="宋体" w:hAnsi="宋体" w:cs="宋体"/>
          <w:color w:val="auto"/>
          <w:szCs w:val="21"/>
          <w:highlight w:val="none"/>
          <w:lang w:eastAsia="zh-CN"/>
        </w:rPr>
        <w:t>富川瑶族自治县民族医医院</w:t>
      </w:r>
      <w:r>
        <w:rPr>
          <w:rFonts w:hint="eastAsia" w:ascii="宋体" w:hAnsi="宋体" w:cs="宋体"/>
          <w:color w:val="auto"/>
          <w:szCs w:val="21"/>
          <w:highlight w:val="none"/>
        </w:rPr>
        <w:t xml:space="preserve">                          </w:t>
      </w:r>
    </w:p>
    <w:p>
      <w:pPr>
        <w:keepNext w:val="0"/>
        <w:keepLines w:val="0"/>
        <w:pageBreakBefore w:val="0"/>
        <w:kinsoku/>
        <w:wordWrap/>
        <w:overflowPunct/>
        <w:topLinePunct w:val="0"/>
        <w:autoSpaceDE/>
        <w:autoSpaceDN/>
        <w:bidi w:val="0"/>
        <w:adjustRightInd/>
        <w:spacing w:line="380" w:lineRule="exact"/>
        <w:ind w:firstLine="424" w:firstLineChars="202"/>
        <w:jc w:val="righ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采购代理机构：</w:t>
      </w:r>
      <w:r>
        <w:rPr>
          <w:rFonts w:hint="eastAsia" w:ascii="宋体" w:hAnsi="宋体" w:cs="宋体"/>
          <w:color w:val="auto"/>
          <w:szCs w:val="21"/>
          <w:highlight w:val="none"/>
          <w:lang w:eastAsia="zh-CN"/>
        </w:rPr>
        <w:t>广西中恒工程咨询有限公司</w:t>
      </w:r>
    </w:p>
    <w:p>
      <w:pPr>
        <w:keepNext w:val="0"/>
        <w:keepLines w:val="0"/>
        <w:pageBreakBefore w:val="0"/>
        <w:kinsoku/>
        <w:wordWrap/>
        <w:overflowPunct/>
        <w:topLinePunct w:val="0"/>
        <w:autoSpaceDE/>
        <w:autoSpaceDN/>
        <w:bidi w:val="0"/>
        <w:adjustRightInd/>
        <w:spacing w:line="380" w:lineRule="exact"/>
        <w:ind w:firstLine="424" w:firstLineChars="202"/>
        <w:jc w:val="righ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 xml:space="preserve"> 13</w:t>
      </w:r>
      <w:r>
        <w:rPr>
          <w:rFonts w:hint="eastAsia" w:ascii="宋体" w:hAnsi="宋体" w:cs="宋体"/>
          <w:color w:val="auto"/>
          <w:szCs w:val="21"/>
          <w:highlight w:val="none"/>
          <w:lang w:eastAsia="zh-CN"/>
        </w:rPr>
        <w:t>日</w:t>
      </w:r>
    </w:p>
    <w:p>
      <w:pPr>
        <w:rPr>
          <w:rStyle w:val="50"/>
          <w:color w:val="auto"/>
          <w:highlight w:val="none"/>
        </w:rPr>
      </w:pPr>
      <w:r>
        <w:rPr>
          <w:rStyle w:val="50"/>
          <w:rFonts w:hint="eastAsia"/>
          <w:color w:val="auto"/>
          <w:highlight w:val="none"/>
        </w:rPr>
        <w:br w:type="page"/>
      </w:r>
    </w:p>
    <w:p>
      <w:pPr>
        <w:spacing w:line="376" w:lineRule="exact"/>
        <w:jc w:val="center"/>
        <w:outlineLvl w:val="1"/>
        <w:rPr>
          <w:rStyle w:val="50"/>
          <w:color w:val="auto"/>
          <w:highlight w:val="none"/>
        </w:rPr>
      </w:pPr>
      <w:bookmarkStart w:id="39" w:name="_Toc6025"/>
      <w:r>
        <w:rPr>
          <w:rStyle w:val="50"/>
          <w:rFonts w:hint="eastAsia"/>
          <w:color w:val="auto"/>
          <w:highlight w:val="none"/>
        </w:rPr>
        <w:t>第二章供应商须知</w:t>
      </w:r>
      <w:bookmarkEnd w:id="39"/>
    </w:p>
    <w:p>
      <w:pPr>
        <w:spacing w:line="40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供应商须知前附表</w:t>
      </w:r>
    </w:p>
    <w:p>
      <w:pPr>
        <w:spacing w:line="400" w:lineRule="exact"/>
        <w:jc w:val="center"/>
        <w:rPr>
          <w:rFonts w:ascii="宋体" w:hAnsi="宋体" w:cs="宋体"/>
          <w:b/>
          <w:color w:val="auto"/>
          <w:szCs w:val="21"/>
          <w:highlight w:val="none"/>
        </w:rPr>
      </w:pPr>
    </w:p>
    <w:tbl>
      <w:tblPr>
        <w:tblStyle w:val="44"/>
        <w:tblW w:w="890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tcPr>
          <w:p>
            <w:pPr>
              <w:spacing w:line="38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pPr>
              <w:spacing w:line="380" w:lineRule="exact"/>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pPr>
              <w:spacing w:line="380" w:lineRule="exact"/>
              <w:jc w:val="left"/>
              <w:rPr>
                <w:rFonts w:ascii="宋体" w:hAnsi="宋体" w:cs="宋体"/>
                <w:color w:val="auto"/>
                <w:szCs w:val="21"/>
                <w:highlight w:val="none"/>
              </w:rPr>
            </w:pPr>
            <w:r>
              <w:rPr>
                <w:rFonts w:hint="eastAsia" w:ascii="宋体" w:hAnsi="宋体" w:cs="宋体"/>
                <w:bCs/>
                <w:color w:val="auto"/>
                <w:szCs w:val="21"/>
                <w:highlight w:val="none"/>
              </w:rPr>
              <w:t>供应商的资格条件：详见竞争性磋商公告</w:t>
            </w:r>
            <w:r>
              <w:rPr>
                <w:rFonts w:hint="eastAsia" w:ascii="宋体" w:hAnsi="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7912" w:type="dxa"/>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是否接受联合体竞标: </w:t>
            </w:r>
            <w:r>
              <w:rPr>
                <w:rFonts w:hint="eastAsia" w:ascii="宋体" w:hAnsi="宋体" w:cs="宋体"/>
                <w:bCs/>
                <w:color w:val="auto"/>
                <w:szCs w:val="21"/>
                <w:highlight w:val="none"/>
              </w:rPr>
              <w:t>详见竞争性磋商公告</w:t>
            </w:r>
            <w:r>
              <w:rPr>
                <w:rFonts w:hint="eastAsia" w:ascii="宋体" w:hAnsi="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7912" w:type="dxa"/>
            <w:vAlign w:val="center"/>
          </w:tcPr>
          <w:p>
            <w:pPr>
              <w:pStyle w:val="7"/>
              <w:spacing w:line="380" w:lineRule="exact"/>
              <w:rPr>
                <w:rFonts w:ascii="宋体" w:hAnsi="宋体" w:cs="宋体"/>
                <w:color w:val="auto"/>
                <w:szCs w:val="21"/>
                <w:highlight w:val="none"/>
              </w:rPr>
            </w:pPr>
            <w:r>
              <w:rPr>
                <w:rFonts w:hint="eastAsia" w:ascii="宋体" w:hAnsi="宋体" w:cs="宋体"/>
                <w:color w:val="auto"/>
                <w:szCs w:val="21"/>
                <w:highlight w:val="none"/>
              </w:rPr>
              <w:t>如接受联合体竞标，联合体竞标要求如下：无。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6.2</w:t>
            </w:r>
          </w:p>
        </w:tc>
        <w:tc>
          <w:tcPr>
            <w:tcW w:w="7912" w:type="dxa"/>
            <w:vAlign w:val="center"/>
          </w:tcPr>
          <w:p>
            <w:pPr>
              <w:pStyle w:val="7"/>
              <w:spacing w:line="380" w:lineRule="exact"/>
              <w:rPr>
                <w:rFonts w:ascii="宋体" w:hAnsi="宋体" w:cs="宋体"/>
                <w:color w:val="auto"/>
                <w:szCs w:val="21"/>
                <w:highlight w:val="none"/>
              </w:rPr>
            </w:pPr>
            <w:r>
              <w:rPr>
                <w:rFonts w:hint="eastAsia" w:hAnsi="宋体" w:cs="宋体"/>
                <w:color w:val="auto"/>
                <w:highlight w:val="none"/>
                <w:lang w:eastAsia="zh-CN"/>
              </w:rPr>
              <w:t>□</w:t>
            </w:r>
            <w:r>
              <w:rPr>
                <w:rFonts w:hint="eastAsia" w:ascii="宋体" w:hAnsi="宋体" w:cs="宋体"/>
                <w:color w:val="auto"/>
                <w:szCs w:val="21"/>
                <w:highlight w:val="none"/>
              </w:rPr>
              <w:t>不允许分包</w:t>
            </w:r>
          </w:p>
          <w:p>
            <w:pPr>
              <w:pStyle w:val="7"/>
              <w:spacing w:line="380" w:lineRule="exact"/>
              <w:rPr>
                <w:rFonts w:ascii="宋体" w:hAnsi="宋体" w:cs="宋体"/>
                <w:color w:val="auto"/>
                <w:szCs w:val="21"/>
                <w:highlight w:val="none"/>
              </w:rPr>
            </w:pPr>
            <w:r>
              <w:rPr>
                <w:rFonts w:hint="eastAsia" w:hAnsi="宋体" w:cs="宋体"/>
                <w:color w:val="auto"/>
                <w:highlight w:val="none"/>
              </w:rPr>
              <w:t>☑</w:t>
            </w:r>
            <w:r>
              <w:rPr>
                <w:rFonts w:hint="eastAsia" w:ascii="宋体" w:hAnsi="宋体" w:cs="宋体"/>
                <w:color w:val="auto"/>
                <w:szCs w:val="21"/>
                <w:highlight w:val="none"/>
              </w:rPr>
              <w:t>允许分包</w:t>
            </w:r>
          </w:p>
          <w:p>
            <w:pPr>
              <w:pStyle w:val="7"/>
              <w:spacing w:line="380" w:lineRule="exact"/>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lang w:val="en-US" w:eastAsia="zh-CN"/>
              </w:rPr>
              <w:t>基坑设计服务</w:t>
            </w:r>
            <w:r>
              <w:rPr>
                <w:rFonts w:hint="eastAsia" w:ascii="宋体" w:hAnsi="宋体" w:cs="宋体"/>
                <w:color w:val="auto"/>
                <w:szCs w:val="21"/>
                <w:highlight w:val="none"/>
                <w:u w:val="single"/>
              </w:rPr>
              <w:t>。</w:t>
            </w:r>
          </w:p>
          <w:p>
            <w:pPr>
              <w:pStyle w:val="7"/>
              <w:spacing w:line="380" w:lineRule="exact"/>
              <w:rPr>
                <w:rFonts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7912" w:type="dxa"/>
            <w:vAlign w:val="center"/>
          </w:tcPr>
          <w:p>
            <w:pPr>
              <w:snapToGrid w:val="0"/>
              <w:spacing w:line="380" w:lineRule="exact"/>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pPr>
              <w:keepNext w:val="0"/>
              <w:keepLines w:val="0"/>
              <w:pageBreakBefore w:val="0"/>
              <w:kinsoku/>
              <w:wordWrap/>
              <w:overflowPunct/>
              <w:topLinePunct w:val="0"/>
              <w:autoSpaceDE/>
              <w:autoSpaceDN/>
              <w:bidi w:val="0"/>
              <w:adjustRightInd/>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供应商为法人或者其他组织的提供其营业执照等证明文件（如营业执照或者事业单位法人证书或者执业许可证等），供应商为自然人的提供其身份证复印件；</w:t>
            </w:r>
            <w:r>
              <w:rPr>
                <w:rFonts w:hint="eastAsia" w:ascii="宋体" w:hAnsi="宋体" w:cs="宋体"/>
                <w:color w:val="auto"/>
                <w:szCs w:val="21"/>
                <w:highlight w:val="none"/>
                <w:lang w:val="en-US" w:eastAsia="zh-CN"/>
              </w:rPr>
              <w:t>特定资质：</w:t>
            </w:r>
            <w:r>
              <w:rPr>
                <w:rFonts w:ascii="宋体" w:hAnsi="宋体" w:cs="宋体" w:eastAsiaTheme="minorEastAsia"/>
                <w:color w:val="auto"/>
                <w:sz w:val="21"/>
                <w:szCs w:val="22"/>
                <w:lang w:val="en-US" w:eastAsia="en-US" w:bidi="ar-SA"/>
              </w:rPr>
              <w:t>竞争性磋商供应商应具备工程勘察综合甲级资质或工程勘察专业类（岩土工程勘察）乙级及以上资质</w:t>
            </w:r>
            <w:r>
              <w:rPr>
                <w:rFonts w:hint="eastAsia" w:ascii="宋体" w:hAnsi="宋体" w:cs="宋体"/>
                <w:color w:val="auto"/>
                <w:szCs w:val="21"/>
                <w:highlight w:val="none"/>
              </w:rPr>
              <w:t>；</w:t>
            </w:r>
            <w:r>
              <w:rPr>
                <w:rFonts w:ascii="宋体" w:hAnsi="宋体" w:cs="宋体" w:eastAsiaTheme="minorEastAsia"/>
                <w:color w:val="auto"/>
                <w:sz w:val="21"/>
                <w:szCs w:val="22"/>
                <w:lang w:val="en-US" w:eastAsia="en-US" w:bidi="ar-SA"/>
              </w:rPr>
              <w:t>项目总负责人的资格要求：持有有效的《中华人民共和国注册土木工程师(岩土)执业资格证书》。</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pStyle w:val="24"/>
              <w:tabs>
                <w:tab w:val="right" w:leader="dot" w:pos="9185"/>
              </w:tabs>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政府采购供应商资格信用承诺函（格式后附）；</w:t>
            </w:r>
            <w:r>
              <w:rPr>
                <w:rFonts w:hint="eastAsia" w:ascii="宋体" w:hAnsi="宋体" w:eastAsia="宋体" w:cs="宋体"/>
                <w:b/>
                <w:color w:val="auto"/>
                <w:kern w:val="2"/>
                <w:sz w:val="21"/>
                <w:szCs w:val="21"/>
                <w:highlight w:val="none"/>
                <w:lang w:val="en-US" w:eastAsia="zh-CN" w:bidi="ar-SA"/>
              </w:rPr>
              <w:t>（必须提供，否则响应文件按无效响应处理）</w:t>
            </w:r>
          </w:p>
          <w:p>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8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5.中小企业声明函（格式后附）</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.联合体协议书（格式后附）；（</w:t>
            </w:r>
            <w:r>
              <w:rPr>
                <w:rFonts w:hint="eastAsia" w:ascii="宋体" w:hAnsi="宋体" w:cs="宋体"/>
                <w:b/>
                <w:color w:val="auto"/>
                <w:szCs w:val="21"/>
                <w:highlight w:val="none"/>
              </w:rPr>
              <w:t>联合体竞标时必须提供，否则响应文件按无效响应处理</w:t>
            </w:r>
            <w:r>
              <w:rPr>
                <w:rFonts w:hint="eastAsia" w:ascii="宋体" w:hAnsi="宋体" w:cs="宋体"/>
                <w:color w:val="auto"/>
                <w:szCs w:val="21"/>
                <w:highlight w:val="none"/>
              </w:rPr>
              <w:t>）</w:t>
            </w:r>
          </w:p>
          <w:p>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.除磋商文件规定必须提供以外，供应商认为需要提供的其他证明材料；</w:t>
            </w:r>
          </w:p>
          <w:p>
            <w:pPr>
              <w:snapToGrid w:val="0"/>
              <w:spacing w:line="380" w:lineRule="exact"/>
              <w:jc w:val="left"/>
              <w:rPr>
                <w:rFonts w:ascii="宋体" w:hAnsi="宋体" w:cs="宋体"/>
                <w:b/>
                <w:color w:val="auto"/>
                <w:szCs w:val="21"/>
                <w:highlight w:val="none"/>
              </w:rPr>
            </w:pPr>
            <w:r>
              <w:rPr>
                <w:rFonts w:hint="eastAsia" w:ascii="宋体" w:hAnsi="宋体" w:cs="宋体"/>
                <w:b/>
                <w:color w:val="auto"/>
                <w:szCs w:val="21"/>
                <w:highlight w:val="none"/>
              </w:rPr>
              <w:t>注：</w:t>
            </w:r>
          </w:p>
          <w:p>
            <w:pPr>
              <w:snapToGrid w:val="0"/>
              <w:spacing w:line="380" w:lineRule="exact"/>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1.以上标明“必须提供”的材料属于复印件的，必须加盖供应商电子公章，否则响应文件按无效响应处理。</w:t>
            </w:r>
          </w:p>
          <w:p>
            <w:pPr>
              <w:snapToGrid w:val="0"/>
              <w:spacing w:line="38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2.竞标声明必须由法定代表人在规定签章处签字并加盖供应商电子公章，否则响应文件按无效响应处理。</w:t>
            </w:r>
          </w:p>
          <w:p>
            <w:pPr>
              <w:snapToGrid w:val="0"/>
              <w:spacing w:line="38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3.供应商直接控股、管理关系信息表必须由法定代表人或者委托代理人在规定签章处签字并加盖供应商电子公章，否则响应文件按无效响应处理。</w:t>
            </w:r>
          </w:p>
          <w:p>
            <w:pPr>
              <w:pStyle w:val="7"/>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4.联合体竞标时，第1-5项资格证明文件联合体各方均必须分别提供，联合体各方分别盖章和签字，否则响应文件按无效响应处理。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7912" w:type="dxa"/>
            <w:vAlign w:val="center"/>
          </w:tcPr>
          <w:p>
            <w:pPr>
              <w:spacing w:line="380" w:lineRule="exact"/>
              <w:rPr>
                <w:rFonts w:ascii="宋体" w:hAnsi="宋体" w:cs="宋体"/>
                <w:b/>
                <w:bCs/>
                <w:color w:val="auto"/>
                <w:szCs w:val="21"/>
                <w:highlight w:val="none"/>
              </w:rPr>
            </w:pPr>
            <w:r>
              <w:rPr>
                <w:rFonts w:hint="eastAsia" w:ascii="宋体" w:hAnsi="宋体" w:cs="宋体"/>
                <w:b/>
                <w:bCs/>
                <w:color w:val="auto"/>
                <w:szCs w:val="21"/>
                <w:highlight w:val="none"/>
              </w:rPr>
              <w:t>报价商务技术文件</w:t>
            </w:r>
          </w:p>
          <w:p>
            <w:pPr>
              <w:spacing w:line="380" w:lineRule="exact"/>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80" w:lineRule="exact"/>
              <w:rPr>
                <w:rFonts w:ascii="宋体" w:hAnsi="宋体" w:cs="宋体"/>
                <w:color w:val="auto"/>
                <w:szCs w:val="21"/>
                <w:highlight w:val="none"/>
              </w:rPr>
            </w:pPr>
            <w:r>
              <w:rPr>
                <w:rFonts w:hint="eastAsia" w:ascii="宋体" w:hAnsi="宋体" w:cs="宋体"/>
                <w:color w:val="auto"/>
                <w:szCs w:val="21"/>
                <w:highlight w:val="none"/>
              </w:rPr>
              <w:t>2.竞标报价表（格式后附）；（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3.法定代表人身份证明书及法定代表人有效身份证正反面复印件（格式后附）；（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4.法定代表人授权委托书及委托代理人有效身份证正反面复印件（格式后附）；（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pPr>
              <w:pStyle w:val="24"/>
              <w:rPr>
                <w:rFonts w:hint="eastAsia" w:ascii="宋体" w:hAnsi="宋体" w:eastAsia="宋体" w:cs="宋体"/>
                <w:b/>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r>
              <w:rPr>
                <w:rFonts w:hint="eastAsia" w:ascii="宋体" w:hAnsi="宋体" w:eastAsia="宋体" w:cs="宋体"/>
                <w:color w:val="auto"/>
                <w:kern w:val="2"/>
                <w:sz w:val="21"/>
                <w:szCs w:val="21"/>
                <w:highlight w:val="none"/>
                <w:lang w:val="en-US" w:eastAsia="zh-CN" w:bidi="ar-SA"/>
              </w:rPr>
              <w:t>拟投入本项目项目负责人情况表</w:t>
            </w:r>
            <w:r>
              <w:rPr>
                <w:rFonts w:hint="eastAsia" w:ascii="宋体" w:hAnsi="宋体" w:eastAsia="宋体" w:cs="宋体"/>
                <w:b/>
                <w:color w:val="auto"/>
                <w:kern w:val="2"/>
                <w:sz w:val="21"/>
                <w:szCs w:val="21"/>
                <w:highlight w:val="none"/>
                <w:lang w:val="en-US" w:eastAsia="zh-CN" w:bidi="ar-SA"/>
              </w:rPr>
              <w:t>（必须提供，否则响应文件按无效响应处理）</w:t>
            </w:r>
          </w:p>
          <w:p>
            <w:pP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6.项目实施人员一览表</w:t>
            </w:r>
            <w:r>
              <w:rPr>
                <w:rFonts w:hint="eastAsia" w:ascii="宋体" w:hAnsi="宋体" w:eastAsia="宋体" w:cs="宋体"/>
                <w:b/>
                <w:bCs/>
                <w:color w:val="auto"/>
                <w:kern w:val="2"/>
                <w:sz w:val="21"/>
                <w:szCs w:val="21"/>
                <w:highlight w:val="none"/>
                <w:lang w:val="en-US" w:eastAsia="zh-CN" w:bidi="ar-SA"/>
              </w:rPr>
              <w:t>（必须提供，否则响应文件按无效响应处理）</w:t>
            </w:r>
          </w:p>
          <w:p>
            <w:pPr>
              <w:spacing w:line="380" w:lineRule="exact"/>
              <w:rPr>
                <w:rFonts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en-US" w:bidi="ar-SA"/>
              </w:rPr>
              <w:t>技术文件（勘察纲要）</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 xml:space="preserve">）； </w:t>
            </w:r>
          </w:p>
          <w:p>
            <w:pPr>
              <w:spacing w:line="380" w:lineRule="exact"/>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.对应采购需求的服务需求、商务条款提供的其他文件资料；</w:t>
            </w:r>
          </w:p>
          <w:p>
            <w:pPr>
              <w:spacing w:line="380" w:lineRule="exact"/>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.供应商认为需要提供的其他有关资料</w:t>
            </w:r>
            <w:r>
              <w:rPr>
                <w:rFonts w:hint="eastAsia" w:ascii="宋体" w:hAnsi="宋体" w:cs="宋体"/>
                <w:color w:val="auto"/>
                <w:szCs w:val="21"/>
                <w:highlight w:val="none"/>
                <w:lang w:val="en-US" w:eastAsia="zh-CN"/>
              </w:rPr>
              <w:t>如：类似业绩等</w:t>
            </w:r>
            <w:r>
              <w:rPr>
                <w:rFonts w:hint="eastAsia" w:ascii="宋体" w:hAnsi="宋体" w:cs="宋体"/>
                <w:color w:val="auto"/>
                <w:szCs w:val="21"/>
                <w:highlight w:val="none"/>
              </w:rPr>
              <w:t>。</w:t>
            </w:r>
          </w:p>
          <w:p>
            <w:pPr>
              <w:snapToGrid w:val="0"/>
              <w:spacing w:line="380" w:lineRule="exact"/>
              <w:jc w:val="left"/>
              <w:rPr>
                <w:rFonts w:ascii="宋体" w:hAnsi="宋体" w:cs="宋体"/>
                <w:b/>
                <w:color w:val="auto"/>
                <w:szCs w:val="21"/>
                <w:highlight w:val="none"/>
              </w:rPr>
            </w:pPr>
            <w:r>
              <w:rPr>
                <w:rFonts w:hint="eastAsia" w:ascii="宋体" w:hAnsi="宋体" w:cs="宋体"/>
                <w:b/>
                <w:color w:val="auto"/>
                <w:szCs w:val="21"/>
                <w:highlight w:val="none"/>
              </w:rPr>
              <w:t xml:space="preserve">注： </w:t>
            </w:r>
          </w:p>
          <w:p>
            <w:pPr>
              <w:snapToGrid w:val="0"/>
              <w:spacing w:line="380" w:lineRule="exact"/>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1.法定代表人授权委托书必须由法定代表人及委托代理人签字，并加盖供应商电子公章，否则响应文件按无效响应处理。</w:t>
            </w:r>
          </w:p>
          <w:p>
            <w:pPr>
              <w:spacing w:line="380" w:lineRule="exact"/>
              <w:ind w:firstLine="413" w:firstLineChars="196"/>
              <w:rPr>
                <w:rFonts w:ascii="宋体" w:hAnsi="宋体" w:cs="宋体"/>
                <w:b/>
                <w:color w:val="auto"/>
                <w:szCs w:val="21"/>
                <w:highlight w:val="none"/>
              </w:rPr>
            </w:pPr>
            <w:r>
              <w:rPr>
                <w:rFonts w:hint="eastAsia" w:ascii="宋体" w:hAnsi="宋体" w:cs="宋体"/>
                <w:b/>
                <w:color w:val="auto"/>
                <w:szCs w:val="21"/>
                <w:highlight w:val="none"/>
              </w:rPr>
              <w:t>2.以上标明“必须提供”的材料属于复印件的，必须加盖供应商电子公章，否则响应文件按无效响应处理。</w:t>
            </w:r>
          </w:p>
          <w:p>
            <w:pPr>
              <w:spacing w:line="380" w:lineRule="exact"/>
              <w:ind w:firstLine="413" w:firstLineChars="196"/>
              <w:rPr>
                <w:rFonts w:ascii="宋体" w:hAnsi="宋体" w:cs="宋体"/>
                <w:color w:val="auto"/>
                <w:szCs w:val="21"/>
                <w:highlight w:val="none"/>
              </w:rPr>
            </w:pPr>
            <w:r>
              <w:rPr>
                <w:rFonts w:hint="eastAsia" w:ascii="宋体" w:hAnsi="宋体" w:cs="宋体"/>
                <w:b/>
                <w:color w:val="auto"/>
                <w:szCs w:val="21"/>
                <w:highlight w:val="none"/>
              </w:rPr>
              <w:t>3.以上材料未附格式的，由供应商自行拟定。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7912" w:type="dxa"/>
            <w:vAlign w:val="center"/>
          </w:tcPr>
          <w:p>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响应文件应按资格证明文件、报价商务技术文件分别编制，资格证明文件、报价商务技术文件按顺序合并生成电子文件。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15.2</w:t>
            </w:r>
          </w:p>
        </w:tc>
        <w:tc>
          <w:tcPr>
            <w:tcW w:w="7912" w:type="dxa"/>
            <w:vAlign w:val="center"/>
          </w:tcPr>
          <w:p>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竞标报价必须包含满足本次竞标全部采购需求所应提供的服务，以及伴随的货物和工程（如有）的价格；包含竞标服务、货物、工程的成本及设计、运输（含保险）、安装和拆装（如有）、调试、检验、技术服务、培训、税费等所有费用。</w:t>
            </w:r>
            <w:r>
              <w:rPr>
                <w:rFonts w:hint="eastAsia" w:ascii="宋体" w:hAnsi="宋体" w:cs="宋体"/>
                <w:b/>
                <w:color w:val="auto"/>
                <w:szCs w:val="21"/>
                <w:highlight w:val="none"/>
              </w:rPr>
              <w:t>（采购需求另有约定的，从其约定。）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jc w:val="center"/>
        </w:trPr>
        <w:tc>
          <w:tcPr>
            <w:tcW w:w="992"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16.2</w:t>
            </w:r>
          </w:p>
        </w:tc>
        <w:tc>
          <w:tcPr>
            <w:tcW w:w="7912" w:type="dxa"/>
            <w:vAlign w:val="center"/>
          </w:tcPr>
          <w:p>
            <w:pPr>
              <w:pStyle w:val="11"/>
              <w:numPr>
                <w:ilvl w:val="0"/>
                <w:numId w:val="0"/>
              </w:numPr>
              <w:tabs>
                <w:tab w:val="left" w:pos="720"/>
                <w:tab w:val="left" w:pos="840"/>
                <w:tab w:val="clear" w:pos="360"/>
              </w:tabs>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竞标有效期：自首次响应文件提交截止之日起</w:t>
            </w:r>
            <w:r>
              <w:rPr>
                <w:rFonts w:hint="eastAsia" w:ascii="宋体" w:hAnsi="宋体" w:cs="宋体"/>
                <w:color w:val="auto"/>
                <w:szCs w:val="21"/>
                <w:highlight w:val="none"/>
                <w:u w:val="single"/>
              </w:rPr>
              <w:t xml:space="preserve"> 45</w:t>
            </w:r>
            <w:r>
              <w:rPr>
                <w:rFonts w:hint="eastAsia" w:ascii="宋体" w:hAnsi="宋体" w:cs="宋体"/>
                <w:color w:val="auto"/>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17.1</w:t>
            </w:r>
          </w:p>
        </w:tc>
        <w:tc>
          <w:tcPr>
            <w:tcW w:w="7912" w:type="dxa"/>
            <w:vAlign w:val="center"/>
          </w:tcPr>
          <w:p>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本项目不收取磋商保证金。</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本项目收取磋商保证金，具体规定如下：</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磋商保证金的交纳方式：详见竞争性磋商公告。</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磋商保证金的金额：详见竞争性磋商公告。</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相关要求：</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1.磋商保证金采用银行转账交纳方式的，在首次响应文件提交截止时间前交至采购代理机构指定账户并且到账，供应商应将银行转账底单的复印件作为磋商保证金提交凭证，放置于报价商务技术文件中，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2.磋商保证金采用支票、汇票、本票或者金融、担保机构出具的保函交纳方式的，供应商应将支票、汇票、本票或者金融、担保机构出具的保函的复印件作为磋商保证金提交凭证，放置于报价商务技术文件中，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宋体" w:hAnsi="宋体" w:cs="宋体"/>
                <w:b/>
                <w:color w:val="auto"/>
                <w:szCs w:val="21"/>
                <w:highlight w:val="none"/>
              </w:rPr>
              <w:t>否则竞标无效</w:t>
            </w:r>
            <w:r>
              <w:rPr>
                <w:rFonts w:hint="eastAsia" w:ascii="宋体" w:hAnsi="宋体" w:cs="宋体"/>
                <w:color w:val="auto"/>
                <w:szCs w:val="21"/>
                <w:highlight w:val="none"/>
              </w:rPr>
              <w:t>。供应商必须于递交竞标文件时将支票、汇票、本票或者金融、担保机构出具的保函原件提交给采购人或者采购代理机构，由采购人或者采购代理机构向供应商出具回执，并妥善保管。</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3.磋商保证金指定帐户：详见竞争性磋商公告或者邀请函。</w:t>
            </w:r>
          </w:p>
          <w:p>
            <w:pPr>
              <w:snapToGrid w:val="0"/>
              <w:spacing w:line="380" w:lineRule="exact"/>
              <w:rPr>
                <w:rFonts w:ascii="宋体" w:hAnsi="宋体" w:cs="宋体"/>
                <w:b/>
                <w:color w:val="auto"/>
                <w:szCs w:val="21"/>
                <w:highlight w:val="none"/>
              </w:rPr>
            </w:pPr>
            <w:r>
              <w:rPr>
                <w:rFonts w:hint="eastAsia" w:ascii="宋体" w:hAnsi="宋体" w:cs="宋体"/>
                <w:color w:val="auto"/>
                <w:szCs w:val="21"/>
                <w:highlight w:val="none"/>
              </w:rPr>
              <w:t>4.供应商为联合体的，可以由联合体中的一方或者多方共同交纳磋商保证金，其交纳的保证金对联合体各方均具有约束力。</w:t>
            </w:r>
          </w:p>
          <w:p>
            <w:pPr>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 xml:space="preserve">备注： </w:t>
            </w:r>
          </w:p>
          <w:p>
            <w:pPr>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1.磋商保证金在首次响应文件提交截止时间后提交的，或者不按规定交纳方式交纳的，或者未足额交纳的（包含保函额度不足的），视为无效磋商保证金。</w:t>
            </w:r>
          </w:p>
          <w:p>
            <w:pPr>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2.供应商采用现钞方式或者从个人账户（自然人竞标除外）转出的磋商保证金，视为无效磋商保证金。</w:t>
            </w:r>
          </w:p>
          <w:p>
            <w:pPr>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3.支票、汇票或者本票出现无效或者背书情形的，视为无效磋商保证金。</w:t>
            </w:r>
          </w:p>
          <w:p>
            <w:pPr>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4.保函有效期低于竞标有效期的，视为无效磋商保证金。</w:t>
            </w:r>
          </w:p>
          <w:p>
            <w:pPr>
              <w:snapToGrid w:val="0"/>
              <w:spacing w:line="380" w:lineRule="exact"/>
              <w:rPr>
                <w:rFonts w:ascii="宋体" w:hAnsi="宋体" w:cs="宋体"/>
                <w:color w:val="auto"/>
                <w:szCs w:val="21"/>
                <w:highlight w:val="none"/>
              </w:rPr>
            </w:pPr>
            <w:r>
              <w:rPr>
                <w:rFonts w:hint="eastAsia" w:ascii="宋体" w:hAnsi="宋体" w:cs="宋体"/>
                <w:b/>
                <w:color w:val="auto"/>
                <w:szCs w:val="21"/>
                <w:highlight w:val="none"/>
              </w:rPr>
              <w:t>5.采用金融、担保机构出具保函的，必须为无条件保函，否则视为无效磋商保证金。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19</w:t>
            </w:r>
          </w:p>
        </w:tc>
        <w:tc>
          <w:tcPr>
            <w:tcW w:w="7912" w:type="dxa"/>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备份响应文件：本项目不接受备份响应文件。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912" w:type="dxa"/>
            <w:vAlign w:val="center"/>
          </w:tcPr>
          <w:p>
            <w:pPr>
              <w:snapToGrid w:val="0"/>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首次响应文件提交起止时间：详见竞争性磋商公告。</w:t>
            </w:r>
          </w:p>
          <w:p>
            <w:pPr>
              <w:snapToGrid w:val="0"/>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首次响应文件提交截止时间：详见竞争性磋商公告。</w:t>
            </w:r>
          </w:p>
          <w:p>
            <w:pPr>
              <w:snapToGrid w:val="0"/>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首次响应文件提交地点：详见竞争性磋商公告。</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在首次响应文件提交截止时间后提交的响应文件为无效文件，采购代理机构应当拒收。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24.1</w:t>
            </w:r>
          </w:p>
        </w:tc>
        <w:tc>
          <w:tcPr>
            <w:tcW w:w="7912" w:type="dxa"/>
            <w:vAlign w:val="center"/>
          </w:tcPr>
          <w:p>
            <w:pPr>
              <w:snapToGrid w:val="0"/>
              <w:spacing w:line="380" w:lineRule="exact"/>
              <w:jc w:val="left"/>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人。</w:t>
            </w:r>
            <w:r>
              <w:rPr>
                <w:rFonts w:hint="eastAsia" w:ascii="宋体" w:hAnsi="宋体" w:cs="宋体"/>
                <w:color w:val="auto"/>
                <w:szCs w:val="21"/>
                <w:highlight w:val="none"/>
                <w:lang w:val="en-US" w:eastAsia="zh-CN"/>
              </w:rPr>
              <w:t>其中采购人代表1人，评审专家2人。本项目采取异地评审方式。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0" w:hRule="atLeast"/>
          <w:jc w:val="center"/>
        </w:trPr>
        <w:tc>
          <w:tcPr>
            <w:tcW w:w="992"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26.2</w:t>
            </w:r>
          </w:p>
        </w:tc>
        <w:tc>
          <w:tcPr>
            <w:tcW w:w="7912" w:type="dxa"/>
            <w:vAlign w:val="center"/>
          </w:tcPr>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pPr>
              <w:snapToGrid w:val="0"/>
              <w:spacing w:line="38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服务需求评审中允许负偏离的条款数为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rPr>
              <w:t>项。</w:t>
            </w:r>
            <w:r>
              <w:rPr>
                <w:rFonts w:hint="eastAsia" w:ascii="宋体" w:hAnsi="宋体" w:cs="宋体"/>
                <w:color w:val="auto"/>
                <w:szCs w:val="21"/>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00" w:lineRule="exact"/>
              <w:jc w:val="center"/>
              <w:rPr>
                <w:rFonts w:ascii="宋体" w:hAnsi="宋体" w:cs="宋体"/>
                <w:color w:val="auto"/>
                <w:szCs w:val="21"/>
                <w:highlight w:val="none"/>
              </w:rPr>
            </w:pPr>
            <w:r>
              <w:rPr>
                <w:rFonts w:hint="eastAsia" w:ascii="宋体" w:hAnsi="宋体" w:eastAsia="宋体" w:cs="宋体"/>
                <w:color w:val="auto"/>
                <w:szCs w:val="21"/>
                <w:highlight w:val="none"/>
              </w:rPr>
              <w:t>28.1</w:t>
            </w:r>
          </w:p>
        </w:tc>
        <w:tc>
          <w:tcPr>
            <w:tcW w:w="7912" w:type="dxa"/>
            <w:vAlign w:val="center"/>
          </w:tcPr>
          <w:p>
            <w:pPr>
              <w:keepNext w:val="0"/>
              <w:keepLines w:val="0"/>
              <w:pageBreakBefore w:val="0"/>
              <w:widowControl w:val="0"/>
              <w:kinsoku/>
              <w:wordWrap/>
              <w:overflowPunct/>
              <w:topLinePunct w:val="0"/>
              <w:bidi w:val="0"/>
              <w:adjustRightInd/>
              <w:snapToGrid w:val="0"/>
              <w:spacing w:line="400" w:lineRule="exact"/>
              <w:rPr>
                <w:rFonts w:hint="eastAsia"/>
                <w:color w:val="auto"/>
                <w:highlight w:val="none"/>
              </w:rPr>
            </w:pPr>
            <w:r>
              <w:rPr>
                <w:rFonts w:hint="eastAsia"/>
                <w:color w:val="auto"/>
                <w:highlight w:val="none"/>
              </w:rPr>
              <w:sym w:font="Wingdings" w:char="00FE"/>
            </w:r>
            <w:r>
              <w:rPr>
                <w:rFonts w:hint="eastAsia"/>
                <w:color w:val="auto"/>
                <w:highlight w:val="none"/>
              </w:rPr>
              <w:t>本项目</w:t>
            </w:r>
            <w:r>
              <w:rPr>
                <w:rFonts w:hint="eastAsia"/>
                <w:color w:val="auto"/>
                <w:highlight w:val="none"/>
                <w:lang w:val="en-US" w:eastAsia="zh-CN"/>
              </w:rPr>
              <w:t>不</w:t>
            </w:r>
            <w:r>
              <w:rPr>
                <w:rFonts w:hint="eastAsia"/>
                <w:color w:val="auto"/>
                <w:highlight w:val="none"/>
              </w:rPr>
              <w:t>收取履约保证金。</w:t>
            </w:r>
          </w:p>
          <w:p>
            <w:pPr>
              <w:autoSpaceDE w:val="0"/>
              <w:autoSpaceDN w:val="0"/>
              <w:snapToGrid w:val="0"/>
              <w:spacing w:line="380" w:lineRule="exact"/>
              <w:jc w:val="left"/>
              <w:textAlignment w:val="bottom"/>
              <w:rPr>
                <w:rFonts w:hint="eastAsia" w:ascii="宋体" w:hAnsi="宋体" w:eastAsia="宋体" w:cs="宋体"/>
                <w:color w:val="auto"/>
                <w:sz w:val="21"/>
                <w:szCs w:val="21"/>
                <w:highlight w:val="none"/>
              </w:rPr>
            </w:pPr>
            <w:r>
              <w:rPr>
                <w:rFonts w:hint="eastAsia" w:ascii="宋体" w:hAnsi="宋体" w:cs="宋体"/>
                <w:b/>
                <w:bCs/>
                <w:color w:val="auto"/>
                <w:szCs w:val="21"/>
                <w:highlight w:val="none"/>
              </w:rPr>
              <w:t>履约保证金金额</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无</w:t>
            </w:r>
            <w:r>
              <w:rPr>
                <w:rFonts w:hint="eastAsia" w:ascii="宋体" w:hAnsi="宋体" w:eastAsia="宋体" w:cs="宋体"/>
                <w:color w:val="auto"/>
                <w:sz w:val="21"/>
                <w:szCs w:val="21"/>
                <w:highlight w:val="none"/>
              </w:rPr>
              <w:t>。</w:t>
            </w:r>
          </w:p>
          <w:p>
            <w:pPr>
              <w:autoSpaceDE w:val="0"/>
              <w:autoSpaceDN w:val="0"/>
              <w:snapToGrid w:val="0"/>
              <w:spacing w:line="380" w:lineRule="exact"/>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根据桂财采【2022】30号文《广西壮族自治区财政厅关于进一步发挥政府采购政策功能促进企业发展的通知》，采购文件要求中标或者成交供应商提交履约保证金的，履约保证金数额不得超过政府采购合同金额的5%，对中小企业收取的履约保证金数额不得超过政府采购合同金额的2%。</w:t>
            </w:r>
          </w:p>
          <w:p>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2.履约保证金不足额缴纳的，或者金融、担保机构出具的保函额度不足的或者保函有效期低于合同履行期限（即签订采购合同之日起至履行完合同约定的权利及义务之日止）的，不予签订合同。</w:t>
            </w:r>
          </w:p>
          <w:p>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3.采用金融、担保机构出具的保函的，必须为无条件保函，否则不予签订合同。</w:t>
            </w:r>
          </w:p>
          <w:p>
            <w:pPr>
              <w:snapToGrid w:val="0"/>
              <w:spacing w:line="400" w:lineRule="exact"/>
              <w:rPr>
                <w:rFonts w:ascii="宋体" w:hAnsi="宋体" w:cs="宋体"/>
                <w:color w:val="auto"/>
                <w:szCs w:val="21"/>
                <w:highlight w:val="none"/>
              </w:rPr>
            </w:pPr>
            <w:r>
              <w:rPr>
                <w:rFonts w:hint="eastAsia" w:ascii="宋体" w:hAnsi="宋体" w:eastAsia="宋体" w:cs="宋体"/>
                <w:b/>
                <w:color w:val="auto"/>
                <w:szCs w:val="21"/>
                <w:highlight w:val="none"/>
              </w:rPr>
              <w:t>4.供应商为联合体的，由联合体任意一方按规定提交的履约保证金，视为有效履约保证金。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29.1</w:t>
            </w:r>
          </w:p>
        </w:tc>
        <w:tc>
          <w:tcPr>
            <w:tcW w:w="7912" w:type="dxa"/>
            <w:vAlign w:val="center"/>
          </w:tcPr>
          <w:p>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签订合同携带的证明材料： 电子采购合同需要供应商通过有效CA证书进行电子签名与签章。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31.2</w:t>
            </w:r>
          </w:p>
        </w:tc>
        <w:tc>
          <w:tcPr>
            <w:tcW w:w="7912" w:type="dxa"/>
            <w:vAlign w:val="center"/>
          </w:tcPr>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pPr>
              <w:pStyle w:val="18"/>
              <w:snapToGrid w:val="0"/>
              <w:spacing w:line="380" w:lineRule="exact"/>
              <w:rPr>
                <w:rFonts w:hint="default" w:hAnsi="宋体" w:eastAsia="宋体" w:cs="宋体"/>
                <w:color w:val="auto"/>
                <w:kern w:val="2"/>
                <w:sz w:val="21"/>
                <w:highlight w:val="none"/>
                <w:lang w:val="en-US" w:eastAsia="zh-CN"/>
              </w:rPr>
            </w:pPr>
            <w:r>
              <w:rPr>
                <w:rFonts w:hint="eastAsia" w:hAnsi="宋体" w:cs="宋体"/>
                <w:color w:val="auto"/>
                <w:kern w:val="2"/>
                <w:sz w:val="21"/>
                <w:highlight w:val="none"/>
              </w:rPr>
              <w:t>质疑联系部门及联系方式：</w:t>
            </w:r>
            <w:r>
              <w:rPr>
                <w:rFonts w:hint="eastAsia" w:hAnsi="宋体" w:cs="宋体"/>
                <w:color w:val="auto"/>
                <w:kern w:val="2"/>
                <w:sz w:val="21"/>
                <w:highlight w:val="none"/>
                <w:u w:val="single"/>
                <w:lang w:eastAsia="zh-CN"/>
              </w:rPr>
              <w:t>广西中恒工程咨询有限公司</w:t>
            </w:r>
            <w:r>
              <w:rPr>
                <w:rFonts w:hint="eastAsia" w:hAnsi="宋体" w:cs="宋体"/>
                <w:color w:val="auto"/>
                <w:kern w:val="2"/>
                <w:sz w:val="21"/>
                <w:highlight w:val="none"/>
              </w:rPr>
              <w:t>，联系电话：0774-</w:t>
            </w:r>
            <w:r>
              <w:rPr>
                <w:rFonts w:hint="eastAsia" w:hAnsi="宋体" w:cs="宋体"/>
                <w:color w:val="auto"/>
                <w:kern w:val="2"/>
                <w:sz w:val="21"/>
                <w:highlight w:val="none"/>
                <w:lang w:val="en-US" w:eastAsia="zh-CN"/>
              </w:rPr>
              <w:t>5270990</w:t>
            </w:r>
            <w:r>
              <w:rPr>
                <w:rFonts w:hint="eastAsia" w:hAnsi="宋体" w:cs="宋体"/>
                <w:color w:val="auto"/>
                <w:kern w:val="2"/>
                <w:sz w:val="21"/>
                <w:highlight w:val="none"/>
              </w:rPr>
              <w:t>，通讯地址：</w:t>
            </w:r>
            <w:r>
              <w:rPr>
                <w:rFonts w:hint="eastAsia" w:hAnsi="宋体" w:cs="宋体"/>
                <w:color w:val="auto"/>
                <w:kern w:val="2"/>
                <w:sz w:val="21"/>
                <w:highlight w:val="none"/>
                <w:lang w:val="en-US" w:eastAsia="zh-CN"/>
              </w:rPr>
              <w:t>贺州市新风街92号</w:t>
            </w:r>
          </w:p>
          <w:p>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业务时间：上午8时00分到12时00分，下午3时00分到6时00分，业务时间以外、双休日和法定节假日不办理业务。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32.1</w:t>
            </w:r>
          </w:p>
        </w:tc>
        <w:tc>
          <w:tcPr>
            <w:tcW w:w="7912" w:type="dxa"/>
            <w:vAlign w:val="center"/>
          </w:tcPr>
          <w:p>
            <w:pPr>
              <w:pStyle w:val="18"/>
              <w:snapToGrid w:val="0"/>
              <w:spacing w:line="380" w:lineRule="exact"/>
              <w:rPr>
                <w:rFonts w:hAnsi="宋体" w:cs="宋体"/>
                <w:color w:val="auto"/>
                <w:sz w:val="21"/>
                <w:highlight w:val="none"/>
              </w:rPr>
            </w:pPr>
            <w:r>
              <w:rPr>
                <w:rFonts w:hint="eastAsia" w:hAnsi="宋体" w:cs="宋体"/>
                <w:color w:val="auto"/>
                <w:sz w:val="21"/>
                <w:highlight w:val="none"/>
              </w:rPr>
              <w:t>1.采购代理费支付方式：</w:t>
            </w:r>
          </w:p>
          <w:p>
            <w:pPr>
              <w:pStyle w:val="18"/>
              <w:snapToGrid w:val="0"/>
              <w:spacing w:line="380" w:lineRule="exact"/>
              <w:rPr>
                <w:rFonts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领取成交通知书前，一次性向采购代理机构支付。</w:t>
            </w:r>
          </w:p>
          <w:p>
            <w:pPr>
              <w:pStyle w:val="18"/>
              <w:snapToGrid w:val="0"/>
              <w:spacing w:line="380" w:lineRule="exact"/>
              <w:rPr>
                <w:rFonts w:hAnsi="宋体" w:cs="宋体"/>
                <w:color w:val="auto"/>
                <w:sz w:val="21"/>
                <w:highlight w:val="none"/>
              </w:rPr>
            </w:pPr>
            <w:r>
              <w:rPr>
                <w:rFonts w:hint="eastAsia" w:hAnsi="宋体" w:cs="宋体"/>
                <w:color w:val="auto"/>
                <w:sz w:val="21"/>
                <w:highlight w:val="none"/>
              </w:rPr>
              <w:t>□采购人支付。</w:t>
            </w:r>
          </w:p>
          <w:p>
            <w:pPr>
              <w:pStyle w:val="18"/>
              <w:snapToGrid w:val="0"/>
              <w:spacing w:line="380" w:lineRule="exact"/>
              <w:rPr>
                <w:rFonts w:hAnsi="宋体" w:cs="宋体"/>
                <w:color w:val="auto"/>
                <w:sz w:val="21"/>
                <w:highlight w:val="none"/>
              </w:rPr>
            </w:pPr>
            <w:r>
              <w:rPr>
                <w:rFonts w:hint="eastAsia" w:hAnsi="宋体" w:cs="宋体"/>
                <w:color w:val="auto"/>
                <w:sz w:val="21"/>
                <w:highlight w:val="none"/>
              </w:rPr>
              <w:t>2.采购代理费收取标准：</w:t>
            </w:r>
          </w:p>
          <w:p>
            <w:pPr>
              <w:pStyle w:val="18"/>
              <w:snapToGrid w:val="0"/>
              <w:spacing w:line="380" w:lineRule="exact"/>
              <w:rPr>
                <w:rFonts w:hAnsi="宋体" w:cs="宋体"/>
                <w:color w:val="auto"/>
                <w:sz w:val="21"/>
                <w:highlight w:val="none"/>
              </w:rPr>
            </w:pPr>
            <w:r>
              <w:rPr>
                <w:rFonts w:hint="eastAsia" w:hAnsi="宋体" w:cs="宋体"/>
                <w:color w:val="auto"/>
                <w:sz w:val="21"/>
                <w:highlight w:val="none"/>
              </w:rPr>
              <w:t>□以分标（</w:t>
            </w:r>
            <w:r>
              <w:rPr>
                <w:rFonts w:hint="eastAsia" w:hAnsi="宋体" w:cs="宋体"/>
                <w:color w:val="auto"/>
                <w:highlight w:val="none"/>
              </w:rPr>
              <w:t>☑</w:t>
            </w:r>
            <w:r>
              <w:rPr>
                <w:rFonts w:hint="eastAsia" w:hAnsi="宋体" w:cs="宋体"/>
                <w:color w:val="auto"/>
                <w:sz w:val="21"/>
                <w:highlight w:val="none"/>
              </w:rPr>
              <w:t>成交金额/□采购预算/□暂定成交金额/□其他</w:t>
            </w:r>
            <w:r>
              <w:rPr>
                <w:rFonts w:hint="eastAsia" w:hAnsi="宋体" w:cs="宋体"/>
                <w:color w:val="auto"/>
                <w:sz w:val="21"/>
                <w:highlight w:val="none"/>
                <w:u w:val="single"/>
              </w:rPr>
              <w:t xml:space="preserve">   </w:t>
            </w:r>
            <w:r>
              <w:rPr>
                <w:rFonts w:hint="eastAsia" w:hAnsi="宋体" w:cs="宋体"/>
                <w:color w:val="auto"/>
                <w:sz w:val="21"/>
                <w:highlight w:val="none"/>
              </w:rPr>
              <w:t>）为计费额，按本须知正文第32.2条规定的收费计算标准（□货物类/☑服务类/□工程类）采用差额定率累进法计算出收费基准价格，采购代理收费以（</w:t>
            </w:r>
            <w:r>
              <w:rPr>
                <w:rFonts w:hint="eastAsia" w:hAnsi="宋体" w:cs="宋体"/>
                <w:color w:val="auto"/>
                <w:sz w:val="21"/>
                <w:highlight w:val="none"/>
                <w:lang w:eastAsia="zh-CN"/>
              </w:rPr>
              <w:t>☑</w:t>
            </w:r>
            <w:r>
              <w:rPr>
                <w:rFonts w:hint="eastAsia" w:hAnsi="宋体" w:cs="宋体"/>
                <w:color w:val="auto"/>
                <w:sz w:val="21"/>
                <w:highlight w:val="none"/>
              </w:rPr>
              <w:t>收费基准价格/</w:t>
            </w:r>
            <w:r>
              <w:rPr>
                <w:rFonts w:hint="eastAsia" w:hAnsi="宋体" w:cs="宋体"/>
                <w:color w:val="auto"/>
                <w:sz w:val="21"/>
                <w:highlight w:val="none"/>
                <w:lang w:eastAsia="zh-CN"/>
              </w:rPr>
              <w:t>□</w:t>
            </w:r>
            <w:r>
              <w:rPr>
                <w:rFonts w:hint="eastAsia" w:hAnsi="宋体" w:cs="宋体"/>
                <w:color w:val="auto"/>
                <w:sz w:val="21"/>
                <w:highlight w:val="none"/>
              </w:rPr>
              <w:t>收费基准价格下浮</w:t>
            </w:r>
            <w:r>
              <w:rPr>
                <w:rFonts w:hint="eastAsia" w:hAnsi="宋体" w:cs="宋体"/>
                <w:color w:val="auto"/>
                <w:sz w:val="21"/>
                <w:highlight w:val="none"/>
                <w:u w:val="single"/>
              </w:rPr>
              <w:t xml:space="preserve"> </w:t>
            </w:r>
            <w:r>
              <w:rPr>
                <w:rFonts w:hint="eastAsia" w:hAnsi="宋体" w:cs="宋体"/>
                <w:color w:val="auto"/>
                <w:sz w:val="21"/>
                <w:highlight w:val="none"/>
                <w:u w:val="single"/>
                <w:lang w:val="en-US" w:eastAsia="zh-CN"/>
              </w:rPr>
              <w:t xml:space="preserve"> </w:t>
            </w:r>
            <w:r>
              <w:rPr>
                <w:rFonts w:hint="eastAsia" w:hAnsi="宋体" w:cs="宋体"/>
                <w:color w:val="auto"/>
                <w:sz w:val="21"/>
                <w:highlight w:val="none"/>
                <w:u w:val="single"/>
              </w:rPr>
              <w:t xml:space="preserve"> %</w:t>
            </w:r>
            <w:r>
              <w:rPr>
                <w:rFonts w:hint="eastAsia" w:hAnsi="宋体" w:cs="宋体"/>
                <w:color w:val="auto"/>
                <w:sz w:val="21"/>
                <w:highlight w:val="none"/>
              </w:rPr>
              <w:t>/□收费基准价格上浮</w:t>
            </w:r>
            <w:r>
              <w:rPr>
                <w:rFonts w:hint="eastAsia" w:hAnsi="宋体" w:cs="宋体"/>
                <w:color w:val="auto"/>
                <w:sz w:val="21"/>
                <w:highlight w:val="none"/>
                <w:u w:val="single"/>
              </w:rPr>
              <w:t xml:space="preserve">   %</w:t>
            </w:r>
            <w:r>
              <w:rPr>
                <w:rFonts w:hint="eastAsia" w:hAnsi="宋体" w:cs="宋体"/>
                <w:color w:val="auto"/>
                <w:sz w:val="21"/>
                <w:highlight w:val="none"/>
              </w:rPr>
              <w:t>）收取。</w:t>
            </w:r>
          </w:p>
          <w:p>
            <w:pPr>
              <w:pStyle w:val="18"/>
              <w:snapToGrid w:val="0"/>
              <w:spacing w:line="380" w:lineRule="exact"/>
              <w:rPr>
                <w:rFonts w:hAnsi="宋体" w:cs="宋体"/>
                <w:color w:val="auto"/>
                <w:sz w:val="21"/>
                <w:highlight w:val="none"/>
                <w:u w:val="single"/>
              </w:rPr>
            </w:pPr>
            <w:r>
              <w:rPr>
                <w:rFonts w:hint="eastAsia" w:hAnsi="宋体" w:cs="宋体"/>
                <w:color w:val="auto"/>
                <w:sz w:val="21"/>
                <w:highlight w:val="none"/>
              </w:rPr>
              <w:t>□固定采购代理收费</w:t>
            </w:r>
            <w:r>
              <w:rPr>
                <w:rFonts w:hint="eastAsia" w:hAnsi="宋体" w:cs="宋体"/>
                <w:color w:val="auto"/>
                <w:sz w:val="21"/>
                <w:highlight w:val="none"/>
                <w:u w:val="single"/>
              </w:rPr>
              <w:t xml:space="preserve">              。</w:t>
            </w:r>
          </w:p>
          <w:p>
            <w:pPr>
              <w:pStyle w:val="18"/>
              <w:snapToGrid w:val="0"/>
              <w:spacing w:line="380" w:lineRule="exact"/>
              <w:rPr>
                <w:rFonts w:hAnsi="宋体" w:cs="宋体"/>
                <w:color w:val="auto"/>
                <w:sz w:val="21"/>
                <w:highlight w:val="none"/>
              </w:rPr>
            </w:pPr>
            <w:r>
              <w:rPr>
                <w:rFonts w:hint="eastAsia" w:hAnsi="宋体" w:cs="宋体"/>
                <w:color w:val="auto"/>
                <w:sz w:val="21"/>
                <w:highlight w:val="none"/>
              </w:rPr>
              <w:t>3.采购代理费收取银行账户</w:t>
            </w:r>
          </w:p>
          <w:p>
            <w:pPr>
              <w:pStyle w:val="18"/>
              <w:snapToGrid w:val="0"/>
              <w:spacing w:line="380" w:lineRule="exact"/>
              <w:rPr>
                <w:rFonts w:hint="eastAsia" w:hAnsi="宋体" w:eastAsia="宋体" w:cs="宋体"/>
                <w:color w:val="auto"/>
                <w:sz w:val="21"/>
                <w:highlight w:val="none"/>
                <w:lang w:eastAsia="zh-CN"/>
              </w:rPr>
            </w:pPr>
            <w:r>
              <w:rPr>
                <w:rFonts w:hint="eastAsia" w:hAnsi="宋体" w:cs="宋体"/>
                <w:color w:val="auto"/>
                <w:sz w:val="21"/>
                <w:highlight w:val="none"/>
              </w:rPr>
              <w:t>开户名：</w:t>
            </w:r>
            <w:r>
              <w:rPr>
                <w:rFonts w:hint="eastAsia" w:hAnsi="宋体" w:cs="宋体"/>
                <w:color w:val="auto"/>
                <w:sz w:val="21"/>
                <w:highlight w:val="none"/>
                <w:lang w:eastAsia="zh-CN"/>
              </w:rPr>
              <w:t>广西中恒工程咨询有限公司</w:t>
            </w:r>
          </w:p>
          <w:p>
            <w:pPr>
              <w:pStyle w:val="18"/>
              <w:snapToGrid w:val="0"/>
              <w:spacing w:line="380" w:lineRule="exact"/>
              <w:rPr>
                <w:rFonts w:hint="default" w:hAnsi="宋体" w:eastAsia="宋体" w:cs="宋体"/>
                <w:color w:val="auto"/>
                <w:sz w:val="21"/>
                <w:highlight w:val="none"/>
                <w:lang w:val="en-US" w:eastAsia="zh-CN"/>
              </w:rPr>
            </w:pPr>
            <w:r>
              <w:rPr>
                <w:rFonts w:hint="eastAsia" w:hAnsi="宋体" w:cs="宋体"/>
                <w:color w:val="auto"/>
                <w:sz w:val="21"/>
                <w:highlight w:val="none"/>
              </w:rPr>
              <w:t>开户银行：</w:t>
            </w:r>
            <w:r>
              <w:rPr>
                <w:rFonts w:hint="eastAsia" w:hAnsi="宋体" w:cs="宋体"/>
                <w:color w:val="auto"/>
                <w:sz w:val="21"/>
                <w:highlight w:val="none"/>
                <w:lang w:val="en-US" w:eastAsia="zh-CN"/>
              </w:rPr>
              <w:t>中国工商银行股份有限公司贺州市建设路支行</w:t>
            </w:r>
          </w:p>
          <w:p>
            <w:pPr>
              <w:pStyle w:val="18"/>
              <w:snapToGrid w:val="0"/>
              <w:spacing w:line="380" w:lineRule="exact"/>
              <w:rPr>
                <w:rFonts w:hint="default" w:hAnsi="宋体" w:eastAsia="宋体" w:cs="宋体"/>
                <w:color w:val="auto"/>
                <w:sz w:val="21"/>
                <w:highlight w:val="none"/>
                <w:lang w:val="en-US" w:eastAsia="zh-CN"/>
              </w:rPr>
            </w:pPr>
            <w:r>
              <w:rPr>
                <w:rFonts w:hint="eastAsia" w:hAnsi="宋体" w:cs="宋体"/>
                <w:color w:val="auto"/>
                <w:sz w:val="21"/>
                <w:highlight w:val="none"/>
              </w:rPr>
              <w:t>帐   号：</w:t>
            </w:r>
            <w:r>
              <w:rPr>
                <w:rFonts w:hint="eastAsia" w:hAnsi="宋体" w:cs="宋体"/>
                <w:color w:val="auto"/>
                <w:sz w:val="21"/>
                <w:highlight w:val="none"/>
                <w:lang w:val="en-US" w:eastAsia="zh-CN"/>
              </w:rPr>
              <w:t>2109 3800 0910 0316 032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7912" w:type="dxa"/>
            <w:vAlign w:val="center"/>
          </w:tcPr>
          <w:p>
            <w:pPr>
              <w:pStyle w:val="18"/>
              <w:snapToGrid w:val="0"/>
              <w:spacing w:line="380" w:lineRule="exact"/>
              <w:rPr>
                <w:rFonts w:hAnsi="宋体" w:cs="宋体"/>
                <w:color w:val="auto"/>
                <w:kern w:val="2"/>
                <w:sz w:val="21"/>
                <w:highlight w:val="none"/>
              </w:rPr>
            </w:pPr>
            <w:r>
              <w:rPr>
                <w:rFonts w:hint="eastAsia" w:hAnsi="宋体" w:cs="宋体"/>
                <w:color w:val="auto"/>
                <w:sz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33.2</w:t>
            </w:r>
          </w:p>
        </w:tc>
        <w:tc>
          <w:tcPr>
            <w:tcW w:w="7912" w:type="dxa"/>
            <w:vAlign w:val="center"/>
          </w:tcPr>
          <w:p>
            <w:pPr>
              <w:pStyle w:val="18"/>
              <w:snapToGrid w:val="0"/>
              <w:spacing w:line="380" w:lineRule="exact"/>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18"/>
              <w:snapToGrid w:val="0"/>
              <w:spacing w:line="380" w:lineRule="exact"/>
              <w:rPr>
                <w:rFonts w:hAnsi="宋体" w:cs="宋体"/>
                <w:color w:val="auto"/>
                <w:sz w:val="21"/>
                <w:highlight w:val="none"/>
              </w:rPr>
            </w:pPr>
            <w:r>
              <w:rPr>
                <w:rFonts w:hint="eastAsia" w:hAnsi="宋体" w:cs="宋体"/>
                <w:color w:val="auto"/>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18"/>
              <w:snapToGrid w:val="0"/>
              <w:spacing w:line="380" w:lineRule="exact"/>
              <w:rPr>
                <w:rFonts w:hAnsi="宋体" w:cs="宋体"/>
                <w:color w:val="auto"/>
                <w:sz w:val="21"/>
                <w:highlight w:val="none"/>
              </w:rPr>
            </w:pPr>
            <w:r>
              <w:rPr>
                <w:rFonts w:hint="eastAsia" w:hAnsi="宋体" w:cs="宋体"/>
                <w:color w:val="auto"/>
                <w:sz w:val="21"/>
                <w:highlight w:val="none"/>
              </w:rPr>
              <w:t>3.本磋商文件中描述供应商的“签字”是指供应商的法定代表人或者委托代理人亲自在文件规定签署处亲笔写上个人的名字或盖电子签章的行为，私章、签字章、印鉴、影印等其他形式均不能代替亲笔签字。</w:t>
            </w:r>
          </w:p>
          <w:p>
            <w:pPr>
              <w:pStyle w:val="18"/>
              <w:snapToGrid w:val="0"/>
              <w:spacing w:line="380" w:lineRule="exact"/>
              <w:rPr>
                <w:rFonts w:hAnsi="宋体" w:cs="宋体"/>
                <w:color w:val="auto"/>
                <w:sz w:val="21"/>
                <w:highlight w:val="none"/>
              </w:rPr>
            </w:pPr>
            <w:r>
              <w:rPr>
                <w:rFonts w:hint="eastAsia" w:hAnsi="宋体" w:cs="宋体"/>
                <w:color w:val="auto"/>
                <w:sz w:val="21"/>
                <w:highlight w:val="none"/>
              </w:rPr>
              <w:t>4.自然人竞标的，磋商文件规定盖公章处由自然人摁手指指印。</w:t>
            </w:r>
          </w:p>
          <w:p>
            <w:pPr>
              <w:pStyle w:val="18"/>
              <w:snapToGrid w:val="0"/>
              <w:spacing w:line="380" w:lineRule="exact"/>
              <w:rPr>
                <w:rFonts w:hAnsi="宋体" w:cs="宋体"/>
                <w:color w:val="auto"/>
                <w:sz w:val="21"/>
                <w:highlight w:val="none"/>
              </w:rPr>
            </w:pPr>
            <w:r>
              <w:rPr>
                <w:rFonts w:hint="eastAsia" w:hAnsi="宋体" w:cs="宋体"/>
                <w:color w:val="auto"/>
                <w:sz w:val="21"/>
                <w:highlight w:val="none"/>
              </w:rPr>
              <w:t>5.本磋商文件所称的“以上”“以下”“以内”“届满”，包括本数；所称的“不满”“超过”“以外”，不包括本数。</w:t>
            </w:r>
          </w:p>
        </w:tc>
      </w:tr>
    </w:tbl>
    <w:p>
      <w:pPr>
        <w:spacing w:line="400" w:lineRule="exact"/>
        <w:jc w:val="center"/>
        <w:rPr>
          <w:rFonts w:ascii="宋体" w:hAnsi="宋体" w:cs="宋体"/>
          <w:b/>
          <w:color w:val="auto"/>
          <w:sz w:val="32"/>
          <w:szCs w:val="32"/>
          <w:highlight w:val="none"/>
        </w:rPr>
      </w:pPr>
      <w:r>
        <w:rPr>
          <w:rFonts w:hint="eastAsia" w:ascii="宋体" w:hAnsi="宋体" w:cs="宋体"/>
          <w:b/>
          <w:color w:val="auto"/>
          <w:szCs w:val="21"/>
          <w:highlight w:val="none"/>
        </w:rPr>
        <w:br w:type="page"/>
      </w:r>
      <w:r>
        <w:rPr>
          <w:rFonts w:hint="eastAsia" w:ascii="宋体" w:hAnsi="宋体" w:cs="宋体"/>
          <w:b/>
          <w:color w:val="auto"/>
          <w:sz w:val="32"/>
          <w:szCs w:val="32"/>
          <w:highlight w:val="none"/>
        </w:rPr>
        <w:t>供应商须知正文</w:t>
      </w:r>
    </w:p>
    <w:p>
      <w:pPr>
        <w:spacing w:line="400" w:lineRule="exact"/>
        <w:jc w:val="center"/>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一、总则</w:t>
      </w:r>
    </w:p>
    <w:p>
      <w:pPr>
        <w:spacing w:line="400" w:lineRule="exact"/>
        <w:rPr>
          <w:rFonts w:ascii="宋体" w:hAnsi="宋体" w:cs="宋体"/>
          <w:color w:val="auto"/>
          <w:szCs w:val="21"/>
          <w:highlight w:val="none"/>
        </w:rPr>
      </w:pP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1.适用范围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2.定义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是指：供应商根据本磋商文件要求，编制包含资格证明、报价商务技术等所有内容的文件。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2.13“评审报价”是指供应商提交的最后报价并经修正（如有）和政策功能价格扣除（如有）后的价格。</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3.供应商的资格条件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4.竞标费用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5.联合体竞标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如接受联合体竞标，</w:t>
      </w:r>
      <w:r>
        <w:rPr>
          <w:rFonts w:hint="eastAsia" w:ascii="宋体" w:hAnsi="宋体" w:cs="宋体"/>
          <w:color w:val="auto"/>
          <w:szCs w:val="21"/>
          <w:highlight w:val="none"/>
        </w:rPr>
        <w:t>联合体竞标要求详见“供应商须知前附表”。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w:t>
      </w:r>
      <w:bookmarkStart w:id="40" w:name="_Hlk66782192"/>
      <w:r>
        <w:rPr>
          <w:rFonts w:hint="eastAsia" w:ascii="宋体" w:hAnsi="宋体" w:cs="宋体"/>
          <w:color w:val="auto"/>
          <w:szCs w:val="21"/>
          <w:highlight w:val="none"/>
        </w:rPr>
        <w:t>根据《政府采购促进中小企业发展管理办法》（财库〔2020〕46号）第九条第二款、《广西壮族自治区财政厅关于进一步发挥政府采购政策功能促进企业发展的通知》（财库〔2022〕30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40"/>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6.1本项目不允许转包。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w:t>
      </w:r>
    </w:p>
    <w:p>
      <w:pPr>
        <w:spacing w:line="360" w:lineRule="auto"/>
        <w:ind w:firstLine="482" w:firstLineChars="200"/>
        <w:rPr>
          <w:rFonts w:ascii="宋体" w:hAnsi="宋体" w:cs="宋体"/>
          <w:b/>
          <w:bCs/>
          <w:color w:val="auto"/>
          <w:sz w:val="24"/>
          <w:highlight w:val="none"/>
        </w:rPr>
      </w:pPr>
      <w:bookmarkStart w:id="41" w:name="_Toc254970532"/>
      <w:bookmarkStart w:id="42" w:name="_Toc254970673"/>
      <w:r>
        <w:rPr>
          <w:rFonts w:hint="eastAsia" w:ascii="宋体" w:hAnsi="宋体" w:cs="宋体"/>
          <w:b/>
          <w:bCs/>
          <w:color w:val="auto"/>
          <w:sz w:val="24"/>
          <w:highlight w:val="none"/>
        </w:rPr>
        <w:t>7.特别说明</w:t>
      </w:r>
      <w:bookmarkEnd w:id="41"/>
      <w:bookmarkEnd w:id="42"/>
    </w:p>
    <w:p>
      <w:pPr>
        <w:spacing w:line="360" w:lineRule="auto"/>
        <w:ind w:firstLine="420" w:firstLineChars="200"/>
        <w:rPr>
          <w:rFonts w:ascii="宋体" w:hAnsi="宋体" w:cs="宋体"/>
          <w:color w:val="auto"/>
          <w:szCs w:val="21"/>
          <w:highlight w:val="none"/>
        </w:rPr>
      </w:pPr>
      <w:bookmarkStart w:id="43" w:name="_8.1提供相同品牌产品且通过资格审查、符合性审查的不同投标人参加同一合"/>
      <w:bookmarkEnd w:id="43"/>
      <w:r>
        <w:rPr>
          <w:rFonts w:hint="eastAsia" w:ascii="宋体" w:hAnsi="宋体" w:cs="宋体"/>
          <w:color w:val="auto"/>
          <w:szCs w:val="21"/>
          <w:highlight w:val="none"/>
        </w:rPr>
        <w:t>7.1</w:t>
      </w:r>
      <w:bookmarkStart w:id="44"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44"/>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pPr>
        <w:pStyle w:val="12"/>
        <w:rPr>
          <w:rFonts w:ascii="宋体" w:hAnsi="宋体" w:cs="宋体"/>
          <w:color w:val="auto"/>
          <w:szCs w:val="21"/>
          <w:highlight w:val="none"/>
        </w:rPr>
      </w:pPr>
    </w:p>
    <w:p>
      <w:pPr>
        <w:pStyle w:val="12"/>
        <w:rPr>
          <w:rFonts w:ascii="宋体" w:hAnsi="宋体" w:cs="宋体"/>
          <w:color w:val="auto"/>
          <w:szCs w:val="21"/>
          <w:highlight w:val="none"/>
        </w:rPr>
      </w:pPr>
    </w:p>
    <w:p>
      <w:pPr>
        <w:pStyle w:val="12"/>
        <w:rPr>
          <w:rFonts w:ascii="宋体" w:hAnsi="宋体" w:cs="宋体"/>
          <w:color w:val="auto"/>
          <w:szCs w:val="21"/>
          <w:highlight w:val="none"/>
        </w:rPr>
      </w:pPr>
    </w:p>
    <w:p>
      <w:pPr>
        <w:spacing w:line="360" w:lineRule="auto"/>
        <w:jc w:val="center"/>
        <w:rPr>
          <w:rFonts w:ascii="宋体" w:hAnsi="宋体" w:cs="宋体"/>
          <w:b/>
          <w:bCs/>
          <w:color w:val="auto"/>
          <w:sz w:val="32"/>
          <w:szCs w:val="32"/>
          <w:highlight w:val="none"/>
        </w:rPr>
      </w:pPr>
      <w:bookmarkStart w:id="45" w:name="_Toc254970675"/>
      <w:bookmarkStart w:id="46" w:name="_Toc254970534"/>
      <w:r>
        <w:rPr>
          <w:rFonts w:hint="eastAsia" w:ascii="宋体" w:hAnsi="宋体" w:cs="宋体"/>
          <w:b/>
          <w:bCs/>
          <w:color w:val="auto"/>
          <w:sz w:val="32"/>
          <w:szCs w:val="32"/>
          <w:highlight w:val="none"/>
        </w:rPr>
        <w:t>二、磋商文件</w:t>
      </w:r>
      <w:bookmarkEnd w:id="45"/>
      <w:bookmarkEnd w:id="46"/>
    </w:p>
    <w:p>
      <w:pPr>
        <w:spacing w:line="360" w:lineRule="auto"/>
        <w:rPr>
          <w:rFonts w:ascii="宋体" w:hAnsi="宋体" w:cs="宋体"/>
          <w:color w:val="auto"/>
          <w:szCs w:val="21"/>
          <w:highlight w:val="none"/>
        </w:rPr>
      </w:pP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8.磋商文件的构成</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（1）竞争性磋商公告；</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（2）供应商须知； </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（3）采购需求；</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（4）评审程序、评审方法和评审标准；</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（5）响应文件格式；</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（6）合同文本。</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9.供应商的询问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10.磋商文件的澄清和修改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pPr>
        <w:spacing w:line="360" w:lineRule="auto"/>
        <w:rPr>
          <w:rFonts w:ascii="宋体" w:hAnsi="宋体" w:cs="宋体"/>
          <w:color w:val="auto"/>
          <w:szCs w:val="21"/>
          <w:highlight w:val="none"/>
        </w:rPr>
      </w:pPr>
    </w:p>
    <w:p>
      <w:pPr>
        <w:spacing w:line="360" w:lineRule="auto"/>
        <w:jc w:val="center"/>
        <w:rPr>
          <w:rFonts w:ascii="宋体" w:hAnsi="宋体" w:cs="宋体"/>
          <w:b/>
          <w:bCs/>
          <w:color w:val="auto"/>
          <w:szCs w:val="21"/>
          <w:highlight w:val="none"/>
        </w:rPr>
      </w:pPr>
      <w:r>
        <w:rPr>
          <w:rFonts w:hint="eastAsia" w:ascii="宋体" w:hAnsi="宋体" w:cs="宋体"/>
          <w:b/>
          <w:bCs/>
          <w:color w:val="auto"/>
          <w:sz w:val="32"/>
          <w:szCs w:val="32"/>
          <w:highlight w:val="none"/>
        </w:rPr>
        <w:t>三、响应文件的编制</w:t>
      </w:r>
    </w:p>
    <w:p>
      <w:pPr>
        <w:spacing w:line="360" w:lineRule="auto"/>
        <w:rPr>
          <w:rFonts w:ascii="宋体" w:hAnsi="宋体" w:cs="宋体"/>
          <w:color w:val="auto"/>
          <w:szCs w:val="21"/>
          <w:highlight w:val="none"/>
        </w:rPr>
      </w:pP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12.响应文件的组成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12.1响应文件由资格证明文件、报价商务技术文件两部分组成。</w:t>
      </w:r>
    </w:p>
    <w:p>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12.1.1资格证明文件：详见须知前附表</w:t>
      </w:r>
    </w:p>
    <w:p>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12.1.2报价商务技术文件：详见须知前附表</w:t>
      </w:r>
    </w:p>
    <w:p>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12.2响应文件电子版：详见须知前附表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13.计量单位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14.竞标的风险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15.竞标报价要求和构成</w:t>
      </w:r>
    </w:p>
    <w:p>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15.2竞标报价的价格构成见“供应商须知前附表”。</w:t>
      </w:r>
    </w:p>
    <w:p>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15.3.1供应商的竞标报价应符合以下要求，否则响应文件按无效响应处理：</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15.3.2竞标报价（包含首次报价、最后报价）超过所竞标分标规定的采购预算金额或者最高限价的，其响应文件将作无效处理。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15.3.3</w:t>
      </w:r>
      <w:bookmarkStart w:id="47" w:name="_Hlk42592874"/>
      <w:r>
        <w:rPr>
          <w:rFonts w:hint="eastAsia" w:ascii="宋体" w:hAnsi="宋体" w:cs="宋体"/>
          <w:color w:val="auto"/>
          <w:szCs w:val="21"/>
          <w:highlight w:val="none"/>
        </w:rPr>
        <w:t>竞标报价（包含首次报价、最后报价）超过分项采购预算金额或者最高限价的，其响应文件将作无效处理。</w:t>
      </w:r>
    </w:p>
    <w:bookmarkEnd w:id="47"/>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16.竞标有效期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17.磋商保证金</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pPr>
        <w:spacing w:line="360" w:lineRule="auto"/>
        <w:ind w:firstLine="420" w:firstLineChars="200"/>
        <w:rPr>
          <w:rFonts w:ascii="宋体" w:hAnsi="宋体" w:cs="宋体"/>
          <w:color w:val="auto"/>
          <w:szCs w:val="21"/>
          <w:highlight w:val="none"/>
        </w:rPr>
      </w:pPr>
      <w:bookmarkStart w:id="48"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成交供应商的竞标保证金自成交通知书发出之日起4个工作日内退还；</w:t>
      </w:r>
      <w:r>
        <w:rPr>
          <w:rFonts w:hint="eastAsia" w:ascii="宋体" w:hAnsi="宋体" w:cs="宋体"/>
          <w:color w:val="auto"/>
          <w:szCs w:val="21"/>
          <w:highlight w:val="none"/>
        </w:rPr>
        <w:t>成交供应商的磋商保证金自签订合同之日起4个工作日内退还。</w:t>
      </w:r>
      <w:bookmarkEnd w:id="48"/>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17.3磋商保证金不计息。</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（3）除因不可抗力或者磋商文件认可的情形以外，成交供应商不与采购人签订合同的；</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（5）磋商文件规定的其他情形。</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18.响应文件编制的要求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响应文件编制要求详见“供应商须知前附表”。供应商应按本采购文件规定的格式和顺序编制、装订响应文件并标注页码，响应文件内容不完整、编排混乱导致响应文件被误读、漏读或者查找不到相关内容的，由此引发的后果由供应商承担。</w:t>
      </w:r>
      <w:bookmarkStart w:id="49" w:name="_19.2投标文件应按报价文件、资格证明文件、商务文件、技术文件分别编制"/>
      <w:bookmarkEnd w:id="49"/>
    </w:p>
    <w:p>
      <w:pPr>
        <w:pStyle w:val="63"/>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18.2响应文件按照采购文件第五章响应文件格式要求在规定位置进行签署、盖章。供应商的响应文件未按照采购文件要求签署、盖章的，</w:t>
      </w:r>
      <w:r>
        <w:rPr>
          <w:rFonts w:hint="eastAsia" w:ascii="宋体" w:hAnsi="宋体" w:cs="宋体"/>
          <w:b/>
          <w:color w:val="auto"/>
          <w:sz w:val="21"/>
          <w:szCs w:val="21"/>
          <w:highlight w:val="none"/>
        </w:rPr>
        <w:t>其响应文件按无效响应处理。</w:t>
      </w:r>
      <w:r>
        <w:rPr>
          <w:rFonts w:hint="eastAsia" w:ascii="宋体" w:hAnsi="宋体" w:cs="宋体"/>
          <w:color w:val="auto"/>
          <w:sz w:val="21"/>
          <w:szCs w:val="21"/>
          <w:highlight w:val="none"/>
        </w:rPr>
        <w:t>骑缝盖公章不视为在规定位置盖章。</w:t>
      </w:r>
    </w:p>
    <w:p>
      <w:pPr>
        <w:pStyle w:val="63"/>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18.3为确保网上操作合法、有效和安全，供应商应当在投标截止时间前完成在“政采云”平台的身份认证，确保在电子投标过程中能够对相关数据电文进行加密和使用电子签名。</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18.4响应文件中标注的供应商名称应与主体资格证明（如营业执照、事业单位法人证书、执业许可证、自然人身份证等）及公章一致，</w:t>
      </w:r>
      <w:r>
        <w:rPr>
          <w:rFonts w:hint="eastAsia" w:ascii="宋体" w:hAnsi="宋体" w:cs="宋体"/>
          <w:color w:val="auto"/>
          <w:szCs w:val="21"/>
          <w:highlight w:val="none"/>
        </w:rPr>
        <w:t>否则作无效投标处理</w:t>
      </w:r>
      <w:r>
        <w:rPr>
          <w:rFonts w:hint="eastAsia" w:ascii="宋体" w:hAnsi="宋体" w:cs="宋体"/>
          <w:b/>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18.5响应文件应避免涂改、行间插字或者删除，</w:t>
      </w:r>
      <w:r>
        <w:rPr>
          <w:rFonts w:hint="eastAsia" w:ascii="宋体" w:hAnsi="宋体" w:cs="宋体"/>
          <w:b/>
          <w:color w:val="auto"/>
          <w:szCs w:val="21"/>
          <w:highlight w:val="none"/>
        </w:rPr>
        <w:t>否则其投标无效。</w:t>
      </w:r>
    </w:p>
    <w:p>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18.6 对采购文件的实质性要求和条件作出响应是指供应商必须对采购文件中标注为实质性要求和条件的</w:t>
      </w:r>
      <w:r>
        <w:rPr>
          <w:rFonts w:hint="eastAsia" w:ascii="宋体" w:hAnsi="宋体" w:cs="宋体"/>
          <w:color w:val="auto"/>
          <w:szCs w:val="21"/>
          <w:highlight w:val="none"/>
        </w:rPr>
        <w:t>服务内容及要求</w:t>
      </w:r>
      <w:r>
        <w:rPr>
          <w:rFonts w:hint="eastAsia" w:ascii="宋体" w:hAnsi="宋体" w:cs="宋体"/>
          <w:color w:val="auto"/>
          <w:highlight w:val="none"/>
        </w:rPr>
        <w:t>、商务条款及其它内容</w:t>
      </w:r>
      <w:r>
        <w:rPr>
          <w:rFonts w:hint="eastAsia" w:ascii="宋体" w:hAnsi="宋体" w:cs="宋体"/>
          <w:b/>
          <w:color w:val="auto"/>
          <w:highlight w:val="none"/>
        </w:rPr>
        <w:t>作出满足或者优于原要求和条件的承诺</w:t>
      </w:r>
      <w:r>
        <w:rPr>
          <w:rFonts w:hint="eastAsia" w:ascii="宋体" w:hAnsi="宋体" w:cs="宋体"/>
          <w:color w:val="auto"/>
          <w:highlight w:val="none"/>
        </w:rPr>
        <w:t>。</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u w:val="single"/>
        </w:rPr>
        <w:t>18.7本项目为贺州市电子化项目，异常情况见“供应商须知正文”中“25.3开标程序。</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19.备份响应文件</w:t>
      </w:r>
    </w:p>
    <w:p>
      <w:pPr>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详见在“供应商须知前附表”。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20.响应文件的提交</w:t>
      </w:r>
    </w:p>
    <w:p>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20.1</w:t>
      </w:r>
      <w:r>
        <w:rPr>
          <w:rFonts w:hint="eastAsia" w:ascii="宋体" w:hAnsi="宋体" w:cs="宋体"/>
          <w:bCs/>
          <w:color w:val="auto"/>
          <w:szCs w:val="21"/>
          <w:highlight w:val="none"/>
        </w:rPr>
        <w:t>供应商必须在“供应商须知前附表”规定的响应文件接收时间和投标地点提交电子版响应文件。电子响应文件应在制作完成后，在投标截止时间前通过有效数字证书（CA认证锁）进行电子签章、加密，然后通过网络将加密的电子响应文件递交至“</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w:t>
      </w:r>
    </w:p>
    <w:p>
      <w:pPr>
        <w:spacing w:line="360" w:lineRule="auto"/>
        <w:ind w:firstLine="422" w:firstLineChars="200"/>
        <w:rPr>
          <w:rFonts w:ascii="宋体" w:hAnsi="宋体" w:cs="宋体"/>
          <w:b/>
          <w:color w:val="auto"/>
          <w:szCs w:val="20"/>
          <w:highlight w:val="none"/>
        </w:rPr>
      </w:pPr>
      <w:r>
        <w:rPr>
          <w:rFonts w:hint="eastAsia" w:ascii="宋体" w:hAnsi="宋体" w:cs="宋体"/>
          <w:b/>
          <w:color w:val="auto"/>
          <w:szCs w:val="21"/>
          <w:highlight w:val="none"/>
        </w:rPr>
        <w:t>21.2未在规定时间内提交或者未按照采购文件要求密封或者标记的电子响应文件，“政采云”平台将拒收。</w:t>
      </w:r>
    </w:p>
    <w:p>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21.3电子版响应文件提交方式见“竞争性磋商公告”中“四、提交响应文件截止时间、开标时间和地点”</w:t>
      </w:r>
      <w:r>
        <w:rPr>
          <w:rFonts w:hint="eastAsia" w:ascii="宋体" w:hAnsi="宋体" w:cs="宋体"/>
          <w:b/>
          <w:color w:val="auto"/>
          <w:szCs w:val="21"/>
          <w:highlight w:val="none"/>
        </w:rPr>
        <w:t>。</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首次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360" w:lineRule="auto"/>
        <w:ind w:firstLine="482" w:firstLineChars="200"/>
        <w:rPr>
          <w:rFonts w:ascii="宋体" w:hAnsi="宋体" w:cs="宋体"/>
          <w:b/>
          <w:bCs/>
          <w:color w:val="auto"/>
          <w:sz w:val="24"/>
          <w:highlight w:val="none"/>
        </w:rPr>
      </w:pPr>
      <w:bookmarkStart w:id="50" w:name="_Hlk45702405"/>
      <w:r>
        <w:rPr>
          <w:rFonts w:hint="eastAsia" w:ascii="宋体" w:hAnsi="宋体" w:cs="宋体"/>
          <w:b/>
          <w:bCs/>
          <w:color w:val="auto"/>
          <w:sz w:val="24"/>
          <w:highlight w:val="none"/>
        </w:rPr>
        <w:t>22. 首次响应文件的退回</w:t>
      </w:r>
    </w:p>
    <w:p>
      <w:pPr>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22.1 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政采云”平台将拒收。（补充、修改或者撤回方式见公告附件“电子响应文件制作与投送教程”）</w:t>
      </w:r>
    </w:p>
    <w:p>
      <w:pPr>
        <w:pStyle w:val="63"/>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22.2“政采云”平台收到响应文件，将妥善保存并即时向供应商发出确认回执通知。在投标截止时间前，除供应商补充、修改或者撤回响应文件外，任何单位和个人不得解密或提取响应文件。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22.3在投标截止时间止提交电子版响应文件的供应商不足3家时，电子版响应文件由代理机构在“政采云”平台操作退回，除此之外采购人和采购代理机构对已提交的响应文件概不退回。</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 截止时间后的撤回</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供应商在首次响应文件提交截止时间后向采购人、采购代理机构书面申请撤回响应文件的，将根据本须知正文17.4的规定不予退还其磋商保证金。</w:t>
      </w:r>
    </w:p>
    <w:bookmarkEnd w:id="50"/>
    <w:p>
      <w:pPr>
        <w:spacing w:line="360" w:lineRule="auto"/>
        <w:rPr>
          <w:rFonts w:ascii="宋体" w:hAnsi="宋体" w:cs="宋体"/>
          <w:color w:val="auto"/>
          <w:szCs w:val="21"/>
          <w:highlight w:val="none"/>
        </w:rPr>
      </w:pPr>
    </w:p>
    <w:p>
      <w:pPr>
        <w:spacing w:line="360" w:lineRule="auto"/>
        <w:ind w:left="420" w:firstLine="42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四、评审及磋商</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24.磋商小组成立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25.开标时间和地点</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25.1开标时间及地点详见“供应商须知前附表”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25.2如</w:t>
      </w:r>
      <w:r>
        <w:rPr>
          <w:rFonts w:hint="eastAsia" w:ascii="宋体" w:hAnsi="宋体" w:cs="宋体"/>
          <w:bCs/>
          <w:color w:val="auto"/>
          <w:highlight w:val="none"/>
        </w:rPr>
        <w:t>供应商成功解密响应文件，但未在“政采云”电子开标大厅参加开标的，视同认可开标过程和结果，</w:t>
      </w:r>
      <w:r>
        <w:rPr>
          <w:rFonts w:hint="eastAsia" w:ascii="宋体" w:hAnsi="宋体" w:cs="宋体"/>
          <w:color w:val="auto"/>
          <w:highlight w:val="none"/>
        </w:rPr>
        <w:t>由此产生的后果由供应商自行负责。供应商不足3家的，不得开标。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25.3开标程序</w:t>
      </w:r>
    </w:p>
    <w:p>
      <w:pPr>
        <w:autoSpaceDE w:val="0"/>
        <w:autoSpaceDN w:val="0"/>
        <w:adjustRightInd w:val="0"/>
        <w:spacing w:line="440" w:lineRule="exact"/>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25.3.1</w:t>
      </w:r>
      <w:r>
        <w:rPr>
          <w:rFonts w:hint="eastAsia" w:ascii="宋体" w:hAnsi="宋体" w:cs="宋体"/>
          <w:color w:val="auto"/>
          <w:kern w:val="0"/>
          <w:szCs w:val="21"/>
          <w:highlight w:val="none"/>
        </w:rPr>
        <w:t>开标形式：</w:t>
      </w:r>
    </w:p>
    <w:p>
      <w:pPr>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开标的准备工作由采购代理机构负责落实，采购代理机构必须基于“政采云”平台选取评审专家，如采购代理机构未按规定选取专家的，视为本次开评标无效，应当重新采购；</w:t>
      </w:r>
    </w:p>
    <w:p>
      <w:pPr>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采购代理机构将按照采购文件规定的时间通过“政采云”平台组织线上开标活动、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pPr>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25.3.2开标程序：</w:t>
      </w:r>
    </w:p>
    <w:p>
      <w:pPr>
        <w:pStyle w:val="18"/>
        <w:snapToGrid w:val="0"/>
        <w:spacing w:line="440" w:lineRule="exact"/>
        <w:ind w:firstLine="422" w:firstLineChars="200"/>
        <w:rPr>
          <w:rFonts w:hAnsi="宋体" w:cs="宋体"/>
          <w:color w:val="auto"/>
          <w:sz w:val="21"/>
          <w:highlight w:val="none"/>
        </w:rPr>
      </w:pPr>
      <w:r>
        <w:rPr>
          <w:rFonts w:hint="eastAsia" w:hAnsi="宋体" w:cs="宋体"/>
          <w:b/>
          <w:color w:val="auto"/>
          <w:sz w:val="21"/>
          <w:highlight w:val="none"/>
        </w:rPr>
        <w:t>（1）解密电子响应文件。“</w:t>
      </w:r>
      <w:r>
        <w:rPr>
          <w:rFonts w:hint="eastAsia" w:hAnsi="宋体" w:cs="宋体"/>
          <w:color w:val="auto"/>
          <w:sz w:val="21"/>
          <w:highlight w:val="none"/>
        </w:rPr>
        <w:t>政采云”平台按开标时间自动提取所有响应文件。采购代理机构依托“政采云”平台向各供应商发出电子加密响应文件【开始解密】通知，由供应商按采购文件规定的时间内自行进行响应文件解密。供应商的法定代表人或其委托代理人</w:t>
      </w:r>
      <w:r>
        <w:rPr>
          <w:rFonts w:hint="eastAsia" w:hAnsi="宋体" w:cs="宋体"/>
          <w:b/>
          <w:color w:val="auto"/>
          <w:sz w:val="21"/>
          <w:highlight w:val="none"/>
        </w:rPr>
        <w:t>须携带加密时所用的CA锁准时登录到“政采云”平台电子开标大厅签到并对电子响应文件解密</w:t>
      </w:r>
      <w:r>
        <w:rPr>
          <w:rFonts w:hint="eastAsia" w:hAnsi="宋体" w:cs="宋体"/>
          <w:color w:val="auto"/>
          <w:sz w:val="21"/>
          <w:highlight w:val="none"/>
        </w:rPr>
        <w:t>。开标后5分钟供应商还未进行解密的，代理机构要通知供应商。通知后，响应文件仍未按时解密，或者供应商没预留联系方式或预留联系方式无效，导致代理机构无法联系到供应商进行解密的，</w:t>
      </w:r>
      <w:r>
        <w:rPr>
          <w:rFonts w:hint="eastAsia" w:hAnsi="宋体" w:cs="宋体"/>
          <w:b/>
          <w:color w:val="auto"/>
          <w:sz w:val="21"/>
          <w:highlight w:val="none"/>
        </w:rPr>
        <w:t>均视为无效投标。</w:t>
      </w:r>
    </w:p>
    <w:p>
      <w:pPr>
        <w:pStyle w:val="18"/>
        <w:snapToGrid w:val="0"/>
        <w:spacing w:line="440" w:lineRule="exact"/>
        <w:ind w:firstLine="420" w:firstLineChars="200"/>
        <w:rPr>
          <w:rFonts w:hAnsi="宋体" w:cs="宋体"/>
          <w:color w:val="auto"/>
          <w:sz w:val="21"/>
          <w:highlight w:val="none"/>
        </w:rPr>
      </w:pPr>
      <w:r>
        <w:rPr>
          <w:rFonts w:hint="eastAsia" w:hAnsi="宋体" w:cs="宋体"/>
          <w:color w:val="auto"/>
          <w:sz w:val="21"/>
          <w:highlight w:val="none"/>
        </w:rPr>
        <w:t>（解密</w:t>
      </w:r>
      <w:r>
        <w:rPr>
          <w:rFonts w:hint="eastAsia" w:hAnsi="宋体" w:cs="宋体"/>
          <w:bCs/>
          <w:color w:val="auto"/>
          <w:sz w:val="21"/>
          <w:highlight w:val="none"/>
        </w:rPr>
        <w:t>异常情况处理：详见本章26.4评标方法及评标标准（3）</w:t>
      </w:r>
      <w:r>
        <w:rPr>
          <w:rFonts w:hint="eastAsia" w:hAnsi="宋体" w:cs="宋体"/>
          <w:color w:val="auto"/>
          <w:sz w:val="21"/>
          <w:highlight w:val="none"/>
        </w:rPr>
        <w:t>电子交易活动的中止。）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电子唱标。</w:t>
      </w:r>
      <w:r>
        <w:rPr>
          <w:rFonts w:hint="eastAsia" w:ascii="宋体" w:hAnsi="宋体" w:cs="宋体"/>
          <w:color w:val="auto"/>
          <w:szCs w:val="21"/>
          <w:highlight w:val="none"/>
        </w:rPr>
        <w:t>响应文件解密结束，各竞标供应商报价均在“政采云”平台远程不见面开标大厅展示；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签署电子《政府采购活动现场确认声明书》。</w:t>
      </w:r>
      <w:r>
        <w:rPr>
          <w:rFonts w:hint="eastAsia" w:ascii="宋体" w:hAnsi="宋体" w:cs="宋体"/>
          <w:color w:val="auto"/>
          <w:szCs w:val="21"/>
          <w:highlight w:val="none"/>
        </w:rPr>
        <w:t>通过邮件形式在远程不见面开标大厅发送各供应商签署电子《政府采购活动现场确认声明书》。</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（4）开标过程由采购代理机构如实记录，并电子留痕，由参加电子开标的各供应商代表对电子开标记录在开标记录公布后15分钟内进行当场校核及勘误，并线上确认，未确认的视同认可开标结果。</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供应商代表对开标过程和开标记录有疑义，以及认为采购人、采购代理机构相关工作人员有需要回避的情形的，应当场提出在线询问或者回避申请。采购人、采购代理机构对供应商代表提出的询问或者回避申请应当及时处理。</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（6）开标结束。</w:t>
      </w:r>
    </w:p>
    <w:p>
      <w:pPr>
        <w:pStyle w:val="18"/>
        <w:snapToGrid w:val="0"/>
        <w:spacing w:line="440" w:lineRule="exact"/>
        <w:ind w:firstLine="422" w:firstLineChars="200"/>
        <w:rPr>
          <w:rFonts w:hAnsi="宋体" w:cs="宋体"/>
          <w:color w:val="auto"/>
          <w:sz w:val="21"/>
          <w:highlight w:val="none"/>
        </w:rPr>
      </w:pPr>
      <w:r>
        <w:rPr>
          <w:rFonts w:hint="eastAsia" w:hAnsi="宋体" w:cs="宋体"/>
          <w:b/>
          <w:bCs/>
          <w:color w:val="auto"/>
          <w:sz w:val="21"/>
          <w:highlight w:val="none"/>
        </w:rPr>
        <w:t>特别说明：</w:t>
      </w:r>
      <w:r>
        <w:rPr>
          <w:rFonts w:hint="eastAsia" w:hAnsi="宋体" w:cs="宋体"/>
          <w:color w:val="auto"/>
          <w:sz w:val="21"/>
          <w:highlight w:val="none"/>
        </w:rPr>
        <w:t>如遇“政采云”平台电子化开标或评审程序调整的，按调整后执行。</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26.1本项目的评审方法为综合评分法。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26.2磋商小组按照“第四章 评审程序、评审方法和评审标准”规定的方法、评审因素、标准和程序对响应文件进行评审。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26.3评标原则</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评标原则。磋商小组评标时必须公平、公正、客观，不带任何倾向性和启发性；不得向外界透露任何与评标有关的内容；任何单位和个人不得干扰、影响评标的正常进行；磋商小组及有关工作人员不得私下与供应商接触，不得收受利害关系人的财物或者其他好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评委表决。在评标过程中出现法律法规和采购文件均没有明确规定的情形时，由磋商小组现场协商解决，协商不一致的，由全体评委投票表决，以得票率二分之一以上专家的意见为准并由采购代理机构作记录。</w:t>
      </w:r>
      <w:bookmarkStart w:id="51" w:name="_28.3评标方法。本项目将按须知前附表规定的评标办法进行评标，具体评标"/>
      <w:bookmarkEnd w:id="51"/>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（4）评标过程的监控。本项目电子评标过程实行网上留痕、全程录音、录像监控，供应商在评标过程中所进行的试图影响评标结果的不公正活动，可能导致其投标按无效处理。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26.4评标方法及评标标准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（1）本项目的评标方法详见</w:t>
      </w:r>
      <w:r>
        <w:rPr>
          <w:rFonts w:hint="eastAsia" w:ascii="宋体" w:hAnsi="宋体" w:cs="宋体"/>
          <w:b/>
          <w:bCs/>
          <w:color w:val="auto"/>
          <w:highlight w:val="none"/>
        </w:rPr>
        <w:t>“供应商须知前附表”。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（2）磋商小组按照</w:t>
      </w:r>
      <w:r>
        <w:rPr>
          <w:rFonts w:hint="eastAsia" w:ascii="宋体" w:hAnsi="宋体" w:cs="宋体"/>
          <w:b/>
          <w:color w:val="auto"/>
          <w:highlight w:val="none"/>
        </w:rPr>
        <w:t>“第四章评审程序、评审方法和评审标准”</w:t>
      </w:r>
      <w:r>
        <w:rPr>
          <w:rFonts w:hint="eastAsia" w:ascii="宋体" w:hAnsi="宋体" w:cs="宋体"/>
          <w:color w:val="auto"/>
          <w:highlight w:val="none"/>
        </w:rPr>
        <w:t>规定的方法、评审因素、标准和程序对响应文件进行评审。</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（3）电子交易活动的中止。采购过程中出现以下情形，导致电子交易平台无法正常运行，或者无法保证电子交易的公平、公正和安全时，采购机构可中止电子交易活动：</w:t>
      </w:r>
    </w:p>
    <w:p>
      <w:pPr>
        <w:spacing w:line="360" w:lineRule="auto"/>
        <w:ind w:firstLine="630" w:firstLineChars="300"/>
        <w:rPr>
          <w:rFonts w:ascii="宋体" w:hAnsi="宋体" w:cs="宋体"/>
          <w:color w:val="auto"/>
          <w:highlight w:val="none"/>
        </w:rPr>
      </w:pPr>
      <w:r>
        <w:rPr>
          <w:rFonts w:hint="eastAsia" w:ascii="宋体" w:hAnsi="宋体" w:cs="宋体"/>
          <w:color w:val="auto"/>
          <w:highlight w:val="none"/>
        </w:rPr>
        <w:t>1）电子交易平台发生故障而无法登录访问的；</w:t>
      </w:r>
    </w:p>
    <w:p>
      <w:pPr>
        <w:spacing w:line="360" w:lineRule="auto"/>
        <w:ind w:firstLine="630" w:firstLineChars="3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pPr>
        <w:spacing w:line="360" w:lineRule="auto"/>
        <w:ind w:firstLine="630" w:firstLineChars="3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pPr>
        <w:spacing w:line="360" w:lineRule="auto"/>
        <w:ind w:firstLine="630" w:firstLineChars="300"/>
        <w:rPr>
          <w:rFonts w:ascii="宋体" w:hAnsi="宋体" w:cs="宋体"/>
          <w:color w:val="auto"/>
          <w:highlight w:val="none"/>
        </w:rPr>
      </w:pPr>
      <w:r>
        <w:rPr>
          <w:rFonts w:hint="eastAsia" w:ascii="宋体" w:hAnsi="宋体" w:cs="宋体"/>
          <w:color w:val="auto"/>
          <w:highlight w:val="none"/>
        </w:rPr>
        <w:t>4）病毒发作导致不能进行正常操作的；</w:t>
      </w:r>
    </w:p>
    <w:p>
      <w:pPr>
        <w:spacing w:line="360" w:lineRule="auto"/>
        <w:ind w:firstLine="630" w:firstLineChars="3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52" w:name="_Hlk66782294"/>
      <w:r>
        <w:rPr>
          <w:rFonts w:hint="eastAsia" w:ascii="宋体" w:hAnsi="宋体" w:cs="宋体"/>
          <w:color w:val="auto"/>
          <w:szCs w:val="21"/>
          <w:highlight w:val="none"/>
        </w:rPr>
        <w:t>成交供应商享受《政府采购促进中小企业发展管理办法》（财库〔2020〕46号）、《广西壮族自治区财政厅关于进一步发挥政府采购政策功能促进企业发展的通知》（财库〔2022〕30号）规定的中小企业扶持政策的，采购人、采购代理机构应当随成交结果公开成交供应商的《中小企业声明函》。</w:t>
      </w:r>
      <w:bookmarkEnd w:id="52"/>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28.履约保证金</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28.1履约保证金的金额、提交方式、退付的时间和条件详见 “供应商须知前附表”。成交供应商未按规定提交履约保证金的，视为拒绝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签订合同，采购人可以按照评审报告推荐的成交候选人名单排序，确定下一候选人为成交供应商，也可以重新开展政府采购活动。</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28.2签订合同后，如成交供应商不按双方签订的合同规定履约，则没收其全部履约保证金，履约保证金不足以赔偿损失的，按实际损失赔偿。</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28.3在履约保证金退还日期前，若成交供应商的开户名称、开户银行、帐号有变动的，请以书面形式通知履约保证金收取单位，否则由此产生的后果由成交供应商自行承担。</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29.签订合同</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29.1成交供应商在收到成交通知书后，应当在签订合同时向采购人出示相关证明材料，具体内容详见 “供应商须知前附表”，经采购人核验合格后方可签订合同。</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 签订合同时间：按成交通知书规定的时间与采购人签订政府采购合同。</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30.政府采购合同公告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 询问、质疑和投诉</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（1）对可以质疑的磋商文件提出质疑的，为收到磋商文件之日或者竞争性磋商公告期限届满之日；</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32.其他内容</w:t>
      </w:r>
    </w:p>
    <w:p>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32.1代理服务收费标准及缴费账户详见“供应商须知前附表”，供应商为联合体的，可以由联合体中的一方或者多方共同交纳代理服务费。</w:t>
      </w:r>
    </w:p>
    <w:p>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32.2代理服务费收费计算标准：</w:t>
      </w:r>
    </w:p>
    <w:tbl>
      <w:tblPr>
        <w:tblStyle w:val="44"/>
        <w:tblW w:w="8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Borders>
              <w:tl2br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（1）按本表费率计算的收费为采购代理的收费基准价格；</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（2）采购代理收费按差额定率累进法计算。</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例如：某服务采购代理业务成交金额或者暂定价为150万元，计算采购代理收费额如下：</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100 万元 ×l.5 %＝ 1.5 万元</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150 － 100 ）万元 ×0.8%＝ 0.4万元</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合计收费＝ 1.5 ＋ 0.4＝ 1.9 万元</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33.需要补充的其他内容</w:t>
      </w:r>
    </w:p>
    <w:p>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33.1本磋商文件解释规则详见“供应商须知前附表”。</w:t>
      </w:r>
    </w:p>
    <w:p>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33.2 其他事项详见“供应商须知前附表”。</w:t>
      </w:r>
    </w:p>
    <w:p>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33.3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color w:val="auto"/>
          <w:kern w:val="2"/>
          <w:sz w:val="21"/>
          <w:highlight w:val="none"/>
        </w:rPr>
        <w:t>，享受本文件规定的中小企业扶持政策。</w:t>
      </w:r>
    </w:p>
    <w:p>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以联合体形式参加政府采购活动，联合体各方均为中小企业的，联合体视同中小企业。其中，联合体各方均为小微企业的，联合体视同小微企业。</w:t>
      </w:r>
    </w:p>
    <w:p>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依据本文件规定享受扶持政策获得政府采购合同的，小微企业不得将合同分包给大中型企业，中型企业不得将合同分包给大型企业。</w:t>
      </w:r>
    </w:p>
    <w:p>
      <w:pPr>
        <w:spacing w:line="360" w:lineRule="auto"/>
        <w:ind w:firstLine="422" w:firstLineChars="200"/>
        <w:rPr>
          <w:rFonts w:ascii="宋体" w:hAnsi="宋体" w:cs="宋体"/>
          <w:color w:val="auto"/>
          <w:highlight w:val="none"/>
        </w:rPr>
      </w:pPr>
      <w:r>
        <w:rPr>
          <w:rFonts w:hint="eastAsia" w:ascii="宋体" w:hAnsi="宋体" w:cs="宋体"/>
          <w:b/>
          <w:color w:val="auto"/>
          <w:highlight w:val="none"/>
        </w:rPr>
        <w:br w:type="page"/>
      </w:r>
      <w:r>
        <w:rPr>
          <w:rFonts w:hint="eastAsia" w:ascii="宋体" w:hAnsi="宋体" w:cs="宋体"/>
          <w:bCs/>
          <w:color w:val="auto"/>
          <w:sz w:val="32"/>
          <w:szCs w:val="32"/>
          <w:highlight w:val="none"/>
        </w:rPr>
        <w:t>附件1：</w:t>
      </w:r>
    </w:p>
    <w:p>
      <w:pPr>
        <w:widowControl/>
        <w:shd w:val="clear" w:color="auto" w:fill="FFFFFF"/>
        <w:spacing w:line="480" w:lineRule="atLeast"/>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w:t>
      </w:r>
    </w:p>
    <w:p>
      <w:pPr>
        <w:widowControl/>
        <w:shd w:val="clear" w:color="auto" w:fill="FFFFFF"/>
        <w:spacing w:line="480" w:lineRule="atLeast"/>
        <w:jc w:val="center"/>
        <w:rPr>
          <w:rFonts w:ascii="宋体" w:hAnsi="宋体" w:cs="宋体"/>
          <w:color w:val="auto"/>
          <w:kern w:val="0"/>
          <w:sz w:val="32"/>
          <w:szCs w:val="32"/>
          <w:highlight w:val="none"/>
        </w:rPr>
      </w:pPr>
    </w:p>
    <w:p>
      <w:pPr>
        <w:widowControl/>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提供的（服务）进行了验收，验收情况如下：</w:t>
      </w:r>
    </w:p>
    <w:tbl>
      <w:tblPr>
        <w:tblStyle w:val="44"/>
        <w:tblW w:w="8445" w:type="dxa"/>
        <w:jc w:val="center"/>
        <w:tblInd w:w="0" w:type="dxa"/>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Layout w:type="fixed"/>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0"/>
                <w:highlight w:val="none"/>
              </w:rPr>
              <w:sym w:font="Wingdings 2" w:char="0052"/>
            </w:r>
            <w:r>
              <w:rPr>
                <w:rFonts w:hint="eastAsia" w:ascii="宋体" w:hAnsi="宋体" w:cs="宋体"/>
                <w:color w:val="auto"/>
                <w:kern w:val="0"/>
                <w:szCs w:val="21"/>
                <w:highlight w:val="none"/>
              </w:rPr>
              <w:t>自行验收</w:t>
            </w:r>
            <w:r>
              <w:rPr>
                <w:rFonts w:hint="eastAsia" w:ascii="宋体" w:hAnsi="宋体" w:cs="宋体"/>
                <w:color w:val="auto"/>
                <w:kern w:val="0"/>
                <w:szCs w:val="20"/>
                <w:highlight w:val="none"/>
              </w:rPr>
              <w:sym w:font="Wingdings 2" w:char="F0A3"/>
            </w:r>
            <w:r>
              <w:rPr>
                <w:rFonts w:hint="eastAsia" w:ascii="宋体" w:hAnsi="宋体" w:cs="宋体"/>
                <w:color w:val="auto"/>
                <w:kern w:val="0"/>
                <w:szCs w:val="21"/>
                <w:highlight w:val="none"/>
              </w:rPr>
              <w:t>委托验收</w:t>
            </w:r>
          </w:p>
        </w:tc>
      </w:tr>
      <w:tr>
        <w:tblPrEx>
          <w:tblLayout w:type="fixed"/>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金额</w:t>
            </w:r>
          </w:p>
        </w:tc>
      </w:tr>
      <w:tr>
        <w:tblPrEx>
          <w:tblLayout w:type="fixed"/>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r>
      <w:tr>
        <w:tblPrEx>
          <w:tblLayout w:type="fixed"/>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r>
      <w:tr>
        <w:tblPrEx>
          <w:tblLayout w:type="fixed"/>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r>
      <w:tr>
        <w:tblPrEx>
          <w:tblLayout w:type="fixed"/>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r>
      <w:tr>
        <w:tblPrEx>
          <w:tblLayout w:type="fixed"/>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w:t>
            </w:r>
          </w:p>
        </w:tc>
      </w:tr>
      <w:tr>
        <w:tblPrEx>
          <w:tblLayout w:type="fixed"/>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hAnsi="宋体" w:cs="宋体"/>
                <w:color w:val="auto"/>
                <w:kern w:val="0"/>
                <w:szCs w:val="21"/>
                <w:highlight w:val="none"/>
              </w:rPr>
            </w:pPr>
          </w:p>
        </w:tc>
      </w:tr>
      <w:tr>
        <w:tblPrEx>
          <w:tblLayout w:type="fixed"/>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Layout w:type="fixed"/>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tblPrEx>
          <w:tblLayout w:type="fixed"/>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tblPrEx>
          <w:tblLayout w:type="fixed"/>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tblPrEx>
          <w:tblLayout w:type="fixed"/>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监督人员或者其他相关人员签字：</w:t>
            </w:r>
          </w:p>
          <w:p>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或者受邀机构的意见（盖章）：</w:t>
            </w:r>
          </w:p>
        </w:tc>
      </w:tr>
      <w:tr>
        <w:tblPrEx>
          <w:tblLayout w:type="fixed"/>
          <w:tblCellMar>
            <w:top w:w="0" w:type="dxa"/>
            <w:left w:w="0" w:type="dxa"/>
            <w:bottom w:w="0" w:type="dxa"/>
            <w:right w:w="0" w:type="dxa"/>
          </w:tblCellMar>
        </w:tblPrEx>
        <w:trPr>
          <w:trHeight w:val="758" w:hRule="atLeast"/>
          <w:jc w:val="center"/>
        </w:trPr>
        <w:tc>
          <w:tcPr>
            <w:tcW w:w="415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成交供应商负责人签字或者盖章：</w:t>
            </w:r>
          </w:p>
          <w:p>
            <w:pPr>
              <w:widowControl/>
              <w:spacing w:before="100" w:beforeAutospacing="1" w:after="100" w:afterAutospacing="1" w:line="320" w:lineRule="atLeast"/>
              <w:jc w:val="left"/>
              <w:rPr>
                <w:rFonts w:ascii="宋体" w:hAnsi="宋体" w:cs="宋体"/>
                <w:color w:val="auto"/>
                <w:kern w:val="0"/>
                <w:szCs w:val="21"/>
                <w:highlight w:val="none"/>
              </w:rPr>
            </w:pPr>
          </w:p>
          <w:p>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联系电话：年月日</w:t>
            </w:r>
          </w:p>
        </w:tc>
        <w:tc>
          <w:tcPr>
            <w:tcW w:w="4293"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采购人或者受托机构的意见（盖章）：</w:t>
            </w:r>
          </w:p>
          <w:p>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p>
          <w:p>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联系电话：年月日</w:t>
            </w:r>
          </w:p>
        </w:tc>
      </w:tr>
    </w:tbl>
    <w:p>
      <w:pPr>
        <w:pStyle w:val="18"/>
        <w:snapToGrid w:val="0"/>
        <w:rPr>
          <w:rFonts w:hAnsi="宋体" w:cs="宋体"/>
          <w:color w:val="auto"/>
          <w:sz w:val="32"/>
          <w:szCs w:val="32"/>
          <w:highlight w:val="none"/>
        </w:rPr>
      </w:pPr>
      <w:r>
        <w:rPr>
          <w:rFonts w:hint="eastAsia" w:hAnsi="宋体" w:cs="宋体"/>
          <w:color w:val="auto"/>
          <w:highlight w:val="none"/>
        </w:rPr>
        <w:br w:type="page"/>
      </w:r>
      <w:r>
        <w:rPr>
          <w:rFonts w:hint="eastAsia" w:hAnsi="宋体" w:cs="宋体"/>
          <w:color w:val="auto"/>
          <w:sz w:val="32"/>
          <w:szCs w:val="32"/>
          <w:highlight w:val="none"/>
        </w:rPr>
        <w:t>附件2：</w:t>
      </w:r>
    </w:p>
    <w:p>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政府采购项目履约保证金退付意见书</w:t>
      </w:r>
    </w:p>
    <w:p>
      <w:pPr>
        <w:jc w:val="center"/>
        <w:rPr>
          <w:rFonts w:ascii="宋体" w:hAnsi="宋体" w:cs="宋体"/>
          <w:color w:val="auto"/>
          <w:sz w:val="36"/>
          <w:szCs w:val="36"/>
          <w:highlight w:val="none"/>
        </w:rPr>
      </w:pPr>
    </w:p>
    <w:tbl>
      <w:tblPr>
        <w:tblStyle w:val="44"/>
        <w:tblW w:w="8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817" w:type="dxa"/>
            <w:vMerge w:val="restart"/>
            <w:vAlign w:val="center"/>
          </w:tcPr>
          <w:p>
            <w:pPr>
              <w:jc w:val="center"/>
              <w:rPr>
                <w:rFonts w:ascii="宋体" w:hAnsi="宋体" w:cs="宋体"/>
                <w:color w:val="auto"/>
                <w:sz w:val="24"/>
                <w:highlight w:val="none"/>
              </w:rPr>
            </w:pPr>
            <w:r>
              <w:rPr>
                <w:rFonts w:hint="eastAsia" w:ascii="宋体" w:hAnsi="宋体" w:cs="宋体"/>
                <w:color w:val="auto"/>
                <w:sz w:val="24"/>
                <w:highlight w:val="none"/>
              </w:rPr>
              <w:t>供</w:t>
            </w:r>
          </w:p>
          <w:p>
            <w:pPr>
              <w:jc w:val="center"/>
              <w:rPr>
                <w:rFonts w:ascii="宋体" w:hAnsi="宋体" w:cs="宋体"/>
                <w:color w:val="auto"/>
                <w:sz w:val="24"/>
                <w:highlight w:val="none"/>
              </w:rPr>
            </w:pPr>
            <w:r>
              <w:rPr>
                <w:rFonts w:hint="eastAsia" w:ascii="宋体" w:hAnsi="宋体" w:cs="宋体"/>
                <w:color w:val="auto"/>
                <w:sz w:val="24"/>
                <w:highlight w:val="none"/>
              </w:rPr>
              <w:t>应</w:t>
            </w:r>
          </w:p>
          <w:p>
            <w:pPr>
              <w:jc w:val="center"/>
              <w:rPr>
                <w:rFonts w:ascii="宋体" w:hAnsi="宋体" w:cs="宋体"/>
                <w:color w:val="auto"/>
                <w:sz w:val="24"/>
                <w:highlight w:val="none"/>
              </w:rPr>
            </w:pPr>
            <w:r>
              <w:rPr>
                <w:rFonts w:hint="eastAsia" w:ascii="宋体" w:hAnsi="宋体" w:cs="宋体"/>
                <w:color w:val="auto"/>
                <w:sz w:val="24"/>
                <w:highlight w:val="none"/>
              </w:rPr>
              <w:t>商</w:t>
            </w:r>
          </w:p>
          <w:p>
            <w:pPr>
              <w:jc w:val="center"/>
              <w:rPr>
                <w:rFonts w:ascii="宋体" w:hAnsi="宋体" w:cs="宋体"/>
                <w:color w:val="auto"/>
                <w:sz w:val="24"/>
                <w:highlight w:val="none"/>
              </w:rPr>
            </w:pPr>
            <w:r>
              <w:rPr>
                <w:rFonts w:hint="eastAsia" w:ascii="宋体" w:hAnsi="宋体" w:cs="宋体"/>
                <w:color w:val="auto"/>
                <w:sz w:val="24"/>
                <w:highlight w:val="none"/>
              </w:rPr>
              <w:t>申</w:t>
            </w:r>
          </w:p>
          <w:p>
            <w:pPr>
              <w:jc w:val="center"/>
              <w:rPr>
                <w:rFonts w:ascii="宋体" w:hAnsi="宋体" w:cs="宋体"/>
                <w:color w:val="auto"/>
                <w:sz w:val="24"/>
                <w:highlight w:val="none"/>
              </w:rPr>
            </w:pPr>
            <w:r>
              <w:rPr>
                <w:rFonts w:hint="eastAsia" w:ascii="宋体" w:hAnsi="宋体" w:cs="宋体"/>
                <w:color w:val="auto"/>
                <w:sz w:val="24"/>
                <w:highlight w:val="none"/>
              </w:rPr>
              <w:t>请</w:t>
            </w:r>
          </w:p>
        </w:tc>
        <w:tc>
          <w:tcPr>
            <w:tcW w:w="8009" w:type="dxa"/>
            <w:vAlign w:val="center"/>
          </w:tcPr>
          <w:p>
            <w:pPr>
              <w:rPr>
                <w:rFonts w:ascii="宋体" w:hAnsi="宋体" w:cs="宋体"/>
                <w:color w:val="auto"/>
                <w:sz w:val="24"/>
                <w:highlight w:val="none"/>
              </w:rPr>
            </w:pPr>
            <w:r>
              <w:rPr>
                <w:rFonts w:hint="eastAsia" w:ascii="宋体" w:hAnsi="宋体" w:cs="宋体"/>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jc w:val="center"/>
        </w:trPr>
        <w:tc>
          <w:tcPr>
            <w:tcW w:w="817" w:type="dxa"/>
            <w:vMerge w:val="continue"/>
            <w:vAlign w:val="center"/>
          </w:tcPr>
          <w:p>
            <w:pPr>
              <w:rPr>
                <w:rFonts w:ascii="宋体" w:hAnsi="宋体" w:cs="宋体"/>
                <w:color w:val="auto"/>
                <w:sz w:val="24"/>
                <w:highlight w:val="none"/>
              </w:rPr>
            </w:pPr>
          </w:p>
        </w:tc>
        <w:tc>
          <w:tcPr>
            <w:tcW w:w="8009" w:type="dxa"/>
            <w:vAlign w:val="center"/>
          </w:tcPr>
          <w:p>
            <w:pPr>
              <w:rPr>
                <w:rFonts w:ascii="宋体" w:hAnsi="宋体" w:cs="宋体"/>
                <w:color w:val="auto"/>
                <w:sz w:val="24"/>
                <w:highlight w:val="none"/>
              </w:rPr>
            </w:pPr>
            <w:r>
              <w:rPr>
                <w:rFonts w:hint="eastAsia" w:ascii="宋体" w:hAnsi="宋体" w:cs="宋体"/>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17" w:type="dxa"/>
            <w:vMerge w:val="continue"/>
          </w:tcPr>
          <w:p>
            <w:pPr>
              <w:rPr>
                <w:rFonts w:ascii="宋体" w:hAnsi="宋体" w:cs="宋体"/>
                <w:color w:val="auto"/>
                <w:sz w:val="24"/>
                <w:highlight w:val="none"/>
              </w:rPr>
            </w:pPr>
          </w:p>
        </w:tc>
        <w:tc>
          <w:tcPr>
            <w:tcW w:w="8009" w:type="dxa"/>
          </w:tcPr>
          <w:p>
            <w:pPr>
              <w:rPr>
                <w:rFonts w:ascii="宋体" w:hAnsi="宋体" w:cs="宋体"/>
                <w:color w:val="auto"/>
                <w:sz w:val="24"/>
                <w:highlight w:val="none"/>
              </w:rPr>
            </w:pPr>
          </w:p>
          <w:p>
            <w:pPr>
              <w:ind w:firstLine="480" w:firstLineChars="200"/>
              <w:rPr>
                <w:rFonts w:ascii="宋体" w:hAnsi="宋体" w:cs="宋体"/>
                <w:color w:val="auto"/>
                <w:sz w:val="24"/>
                <w:highlight w:val="none"/>
              </w:rPr>
            </w:pPr>
            <w:r>
              <w:rPr>
                <w:rFonts w:hint="eastAsia" w:ascii="宋体" w:hAnsi="宋体" w:cs="宋体"/>
                <w:color w:val="auto"/>
                <w:sz w:val="24"/>
                <w:highlight w:val="none"/>
              </w:rPr>
              <w:t>该项目已于年月日验收并交付使用。根据合同规定，该项目的履约保证金期限于年月日已满，请将履约保证金</w:t>
            </w:r>
          </w:p>
          <w:p>
            <w:pPr>
              <w:rPr>
                <w:rFonts w:ascii="宋体" w:hAnsi="宋体" w:cs="宋体"/>
                <w:color w:val="auto"/>
                <w:sz w:val="24"/>
                <w:highlight w:val="none"/>
              </w:rPr>
            </w:pPr>
            <w:r>
              <w:rPr>
                <w:rFonts w:hint="eastAsia" w:ascii="宋体" w:hAnsi="宋体" w:cs="宋体"/>
                <w:color w:val="auto"/>
                <w:sz w:val="24"/>
                <w:highlight w:val="none"/>
              </w:rPr>
              <w:t>（大写）￥（小写）退付到达以下帐户。</w:t>
            </w:r>
          </w:p>
          <w:p>
            <w:pPr>
              <w:rPr>
                <w:rFonts w:ascii="宋体" w:hAnsi="宋体" w:cs="宋体"/>
                <w:color w:val="auto"/>
                <w:sz w:val="24"/>
                <w:highlight w:val="none"/>
              </w:rPr>
            </w:pPr>
            <w:r>
              <w:rPr>
                <w:rFonts w:hint="eastAsia" w:ascii="宋体" w:hAnsi="宋体" w:cs="宋体"/>
                <w:color w:val="auto"/>
                <w:sz w:val="24"/>
                <w:highlight w:val="none"/>
              </w:rPr>
              <w:t>单位名称：</w:t>
            </w:r>
          </w:p>
          <w:p>
            <w:pPr>
              <w:rPr>
                <w:rFonts w:ascii="宋体" w:hAnsi="宋体" w:cs="宋体"/>
                <w:color w:val="auto"/>
                <w:sz w:val="24"/>
                <w:highlight w:val="none"/>
              </w:rPr>
            </w:pPr>
            <w:r>
              <w:rPr>
                <w:rFonts w:hint="eastAsia" w:ascii="宋体" w:hAnsi="宋体" w:cs="宋体"/>
                <w:color w:val="auto"/>
                <w:sz w:val="24"/>
                <w:highlight w:val="none"/>
              </w:rPr>
              <w:t>开户银行：</w:t>
            </w:r>
          </w:p>
          <w:p>
            <w:pPr>
              <w:rPr>
                <w:rFonts w:ascii="宋体" w:hAnsi="宋体" w:cs="宋体"/>
                <w:color w:val="auto"/>
                <w:sz w:val="24"/>
                <w:highlight w:val="none"/>
              </w:rPr>
            </w:pPr>
            <w:r>
              <w:rPr>
                <w:rFonts w:hint="eastAsia" w:ascii="宋体" w:hAnsi="宋体" w:cs="宋体"/>
                <w:color w:val="auto"/>
                <w:sz w:val="24"/>
                <w:highlight w:val="none"/>
              </w:rPr>
              <w:t>帐号：</w:t>
            </w:r>
          </w:p>
          <w:p>
            <w:pPr>
              <w:rPr>
                <w:rFonts w:ascii="宋体" w:hAnsi="宋体" w:cs="宋体"/>
                <w:color w:val="auto"/>
                <w:sz w:val="24"/>
                <w:highlight w:val="none"/>
              </w:rPr>
            </w:pPr>
            <w:r>
              <w:rPr>
                <w:rFonts w:hint="eastAsia" w:ascii="宋体" w:hAnsi="宋体" w:cs="宋体"/>
                <w:color w:val="auto"/>
                <w:sz w:val="24"/>
                <w:highlight w:val="none"/>
              </w:rPr>
              <w:t>联系人及电话：</w:t>
            </w:r>
          </w:p>
          <w:p>
            <w:pPr>
              <w:rPr>
                <w:rFonts w:ascii="宋体" w:hAnsi="宋体" w:cs="宋体"/>
                <w:color w:val="auto"/>
                <w:sz w:val="24"/>
                <w:highlight w:val="none"/>
              </w:rPr>
            </w:pPr>
          </w:p>
          <w:p>
            <w:pPr>
              <w:jc w:val="center"/>
              <w:rPr>
                <w:rFonts w:ascii="宋体" w:hAnsi="宋体" w:cs="宋体"/>
                <w:color w:val="auto"/>
                <w:sz w:val="24"/>
                <w:highlight w:val="none"/>
              </w:rPr>
            </w:pPr>
            <w:r>
              <w:rPr>
                <w:rFonts w:hint="eastAsia" w:ascii="宋体" w:hAnsi="宋体" w:cs="宋体"/>
                <w:color w:val="auto"/>
                <w:sz w:val="24"/>
                <w:highlight w:val="none"/>
              </w:rPr>
              <w:t>供应商签章：</w:t>
            </w:r>
          </w:p>
          <w:p>
            <w:pPr>
              <w:jc w:val="center"/>
              <w:rPr>
                <w:rFonts w:ascii="宋体" w:hAnsi="宋体" w:cs="宋体"/>
                <w:color w:val="auto"/>
                <w:sz w:val="24"/>
                <w:highlight w:val="none"/>
              </w:rPr>
            </w:pPr>
            <w:r>
              <w:rPr>
                <w:rFonts w:hint="eastAsia" w:ascii="宋体" w:hAnsi="宋体" w:cs="宋体"/>
                <w:color w:val="auto"/>
                <w:sz w:val="24"/>
                <w:highlight w:val="none"/>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5" w:hRule="atLeast"/>
          <w:jc w:val="center"/>
        </w:trPr>
        <w:tc>
          <w:tcPr>
            <w:tcW w:w="81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采</w:t>
            </w:r>
          </w:p>
          <w:p>
            <w:pPr>
              <w:jc w:val="center"/>
              <w:rPr>
                <w:rFonts w:ascii="宋体" w:hAnsi="宋体" w:cs="宋体"/>
                <w:color w:val="auto"/>
                <w:sz w:val="24"/>
                <w:highlight w:val="none"/>
              </w:rPr>
            </w:pPr>
            <w:r>
              <w:rPr>
                <w:rFonts w:hint="eastAsia" w:ascii="宋体" w:hAnsi="宋体" w:cs="宋体"/>
                <w:color w:val="auto"/>
                <w:sz w:val="24"/>
                <w:highlight w:val="none"/>
              </w:rPr>
              <w:t>购</w:t>
            </w:r>
          </w:p>
          <w:p>
            <w:pPr>
              <w:jc w:val="center"/>
              <w:rPr>
                <w:rFonts w:ascii="宋体" w:hAnsi="宋体" w:cs="宋体"/>
                <w:color w:val="auto"/>
                <w:sz w:val="24"/>
                <w:highlight w:val="none"/>
              </w:rPr>
            </w:pPr>
            <w:r>
              <w:rPr>
                <w:rFonts w:hint="eastAsia" w:ascii="宋体" w:hAnsi="宋体" w:cs="宋体"/>
                <w:color w:val="auto"/>
                <w:sz w:val="24"/>
                <w:highlight w:val="none"/>
              </w:rPr>
              <w:t>单</w:t>
            </w:r>
          </w:p>
          <w:p>
            <w:pPr>
              <w:jc w:val="center"/>
              <w:rPr>
                <w:rFonts w:ascii="宋体" w:hAnsi="宋体" w:cs="宋体"/>
                <w:color w:val="auto"/>
                <w:sz w:val="24"/>
                <w:highlight w:val="none"/>
              </w:rPr>
            </w:pPr>
            <w:r>
              <w:rPr>
                <w:rFonts w:hint="eastAsia" w:ascii="宋体" w:hAnsi="宋体" w:cs="宋体"/>
                <w:color w:val="auto"/>
                <w:sz w:val="24"/>
                <w:highlight w:val="none"/>
              </w:rPr>
              <w:t>位</w:t>
            </w:r>
          </w:p>
          <w:p>
            <w:pPr>
              <w:jc w:val="center"/>
              <w:rPr>
                <w:rFonts w:ascii="宋体" w:hAnsi="宋体" w:cs="宋体"/>
                <w:color w:val="auto"/>
                <w:sz w:val="24"/>
                <w:highlight w:val="none"/>
              </w:rPr>
            </w:pPr>
            <w:r>
              <w:rPr>
                <w:rFonts w:hint="eastAsia" w:ascii="宋体" w:hAnsi="宋体" w:cs="宋体"/>
                <w:color w:val="auto"/>
                <w:sz w:val="24"/>
                <w:highlight w:val="none"/>
              </w:rPr>
              <w:t>意</w:t>
            </w:r>
          </w:p>
          <w:p>
            <w:pPr>
              <w:jc w:val="center"/>
              <w:rPr>
                <w:rFonts w:ascii="宋体" w:hAnsi="宋体" w:cs="宋体"/>
                <w:color w:val="auto"/>
                <w:sz w:val="24"/>
                <w:highlight w:val="none"/>
              </w:rPr>
            </w:pPr>
            <w:r>
              <w:rPr>
                <w:rFonts w:hint="eastAsia" w:ascii="宋体" w:hAnsi="宋体" w:cs="宋体"/>
                <w:color w:val="auto"/>
                <w:sz w:val="24"/>
                <w:highlight w:val="none"/>
              </w:rPr>
              <w:t>见</w:t>
            </w:r>
          </w:p>
        </w:tc>
        <w:tc>
          <w:tcPr>
            <w:tcW w:w="8009"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退付意见：是否同意退付履约保证金及退付金额：</w:t>
            </w: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联系人及电话：</w:t>
            </w:r>
          </w:p>
          <w:p>
            <w:pPr>
              <w:rPr>
                <w:rFonts w:ascii="宋体" w:hAnsi="宋体" w:cs="宋体"/>
                <w:color w:val="auto"/>
                <w:sz w:val="24"/>
                <w:highlight w:val="none"/>
              </w:rPr>
            </w:pPr>
          </w:p>
          <w:p>
            <w:pPr>
              <w:ind w:firstLine="4560" w:firstLineChars="1900"/>
              <w:rPr>
                <w:rFonts w:ascii="宋体" w:hAnsi="宋体" w:cs="宋体"/>
                <w:color w:val="auto"/>
                <w:sz w:val="24"/>
                <w:highlight w:val="none"/>
              </w:rPr>
            </w:pPr>
            <w:r>
              <w:rPr>
                <w:rFonts w:hint="eastAsia" w:ascii="宋体" w:hAnsi="宋体" w:cs="宋体"/>
                <w:color w:val="auto"/>
                <w:sz w:val="24"/>
                <w:highlight w:val="none"/>
              </w:rPr>
              <w:t>采购人签章：</w:t>
            </w:r>
          </w:p>
          <w:p>
            <w:pPr>
              <w:jc w:val="right"/>
              <w:rPr>
                <w:rFonts w:ascii="宋体" w:hAnsi="宋体" w:cs="宋体"/>
                <w:color w:val="auto"/>
                <w:sz w:val="24"/>
                <w:highlight w:val="none"/>
              </w:rPr>
            </w:pPr>
            <w:r>
              <w:rPr>
                <w:rFonts w:hint="eastAsia" w:ascii="宋体" w:hAnsi="宋体" w:cs="宋体"/>
                <w:color w:val="auto"/>
                <w:sz w:val="24"/>
                <w:highlight w:val="none"/>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3" w:hRule="atLeast"/>
          <w:jc w:val="center"/>
        </w:trPr>
        <w:tc>
          <w:tcPr>
            <w:tcW w:w="81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备注</w:t>
            </w:r>
          </w:p>
        </w:tc>
        <w:tc>
          <w:tcPr>
            <w:tcW w:w="8009" w:type="dxa"/>
          </w:tcPr>
          <w:p>
            <w:pPr>
              <w:rPr>
                <w:rFonts w:ascii="宋体" w:hAnsi="宋体" w:cs="宋体"/>
                <w:color w:val="auto"/>
                <w:sz w:val="24"/>
                <w:highlight w:val="none"/>
              </w:rPr>
            </w:pPr>
          </w:p>
        </w:tc>
      </w:tr>
    </w:tbl>
    <w:p>
      <w:pPr>
        <w:pStyle w:val="9"/>
        <w:ind w:left="1" w:firstLine="2" w:firstLineChars="1"/>
        <w:rPr>
          <w:rFonts w:ascii="宋体" w:hAnsi="宋体" w:cs="宋体"/>
          <w:b/>
          <w:bCs/>
          <w:color w:val="auto"/>
          <w:sz w:val="18"/>
          <w:szCs w:val="18"/>
          <w:highlight w:val="none"/>
        </w:rPr>
      </w:pPr>
      <w:r>
        <w:rPr>
          <w:rFonts w:hint="eastAsia" w:ascii="宋体" w:hAnsi="宋体" w:cs="宋体"/>
          <w:b/>
          <w:bCs/>
          <w:color w:val="auto"/>
          <w:sz w:val="18"/>
          <w:szCs w:val="18"/>
          <w:highlight w:val="none"/>
        </w:rPr>
        <w:t>注：供应商凭经采购人审批的退付意见书到履约保证金收取单位财务部门办理履约保证金退付事宜。</w:t>
      </w:r>
    </w:p>
    <w:p>
      <w:pPr>
        <w:pStyle w:val="18"/>
        <w:snapToGrid w:val="0"/>
        <w:spacing w:before="120" w:after="120"/>
        <w:rPr>
          <w:rFonts w:hAnsi="宋体" w:cs="宋体"/>
          <w:color w:val="auto"/>
          <w:highlight w:val="none"/>
        </w:rPr>
      </w:pPr>
    </w:p>
    <w:p>
      <w:pPr>
        <w:rPr>
          <w:rFonts w:ascii="宋体" w:hAnsi="宋体" w:cs="宋体"/>
          <w:color w:val="auto"/>
          <w:highlight w:val="none"/>
        </w:rPr>
      </w:pPr>
    </w:p>
    <w:p>
      <w:pPr>
        <w:jc w:val="left"/>
        <w:rPr>
          <w:rFonts w:ascii="宋体" w:hAnsi="宋体" w:cs="宋体"/>
          <w:b/>
          <w:color w:val="auto"/>
          <w:sz w:val="32"/>
          <w:szCs w:val="32"/>
          <w:highlight w:val="none"/>
        </w:rPr>
      </w:pPr>
    </w:p>
    <w:p>
      <w:pPr>
        <w:pStyle w:val="3"/>
        <w:numPr>
          <w:ilvl w:val="0"/>
          <w:numId w:val="4"/>
        </w:numPr>
        <w:jc w:val="center"/>
        <w:rPr>
          <w:rFonts w:ascii="宋体" w:hAnsi="宋体" w:cs="宋体"/>
          <w:color w:val="auto"/>
          <w:highlight w:val="none"/>
        </w:rPr>
      </w:pPr>
      <w:bookmarkStart w:id="53" w:name="_Toc11092"/>
      <w:r>
        <w:rPr>
          <w:rFonts w:hint="eastAsia" w:ascii="宋体" w:hAnsi="宋体" w:cs="宋体"/>
          <w:color w:val="auto"/>
          <w:highlight w:val="none"/>
        </w:rPr>
        <w:t>采购需求</w:t>
      </w:r>
      <w:bookmarkEnd w:id="53"/>
    </w:p>
    <w:p>
      <w:pPr>
        <w:numPr>
          <w:ilvl w:val="0"/>
          <w:numId w:val="0"/>
        </w:numPr>
        <w:spacing w:line="360" w:lineRule="auto"/>
        <w:ind w:firstLine="480" w:firstLineChars="200"/>
        <w:rPr>
          <w:rFonts w:hint="eastAsia" w:hAnsi="宋体"/>
          <w:bCs/>
          <w:color w:val="auto"/>
          <w:sz w:val="24"/>
          <w:szCs w:val="32"/>
          <w:u w:val="none"/>
          <w:lang w:val="en-US" w:eastAsia="zh-CN"/>
        </w:rPr>
      </w:pPr>
      <w:r>
        <w:rPr>
          <w:rFonts w:hint="eastAsia" w:hAnsi="宋体"/>
          <w:bCs/>
          <w:color w:val="auto"/>
          <w:sz w:val="24"/>
          <w:szCs w:val="32"/>
          <w:lang w:val="en-US" w:eastAsia="zh-CN"/>
        </w:rPr>
        <w:t>我单位《富川瑶族自治县民族医医院中医瑶医诊疗业务用房及附属设施项目瑶医专科专病诊疗中心》施工勘察服务，采购控制价金额约</w:t>
      </w:r>
      <w:r>
        <w:rPr>
          <w:rFonts w:hint="eastAsia" w:hAnsi="宋体"/>
          <w:bCs/>
          <w:color w:val="auto"/>
          <w:sz w:val="24"/>
          <w:szCs w:val="32"/>
          <w:u w:val="single"/>
          <w:lang w:val="en-US" w:eastAsia="zh-CN"/>
        </w:rPr>
        <w:t>88.07万</w:t>
      </w:r>
      <w:r>
        <w:rPr>
          <w:rFonts w:hint="eastAsia" w:ascii="Times New Roman" w:hAnsi="Times New Roman" w:cs="Times New Roman"/>
          <w:i w:val="0"/>
          <w:iCs w:val="0"/>
          <w:caps w:val="0"/>
          <w:color w:val="auto"/>
          <w:spacing w:val="0"/>
          <w:sz w:val="27"/>
          <w:szCs w:val="27"/>
          <w:u w:val="single"/>
          <w:lang w:val="en-US" w:eastAsia="zh-CN"/>
        </w:rPr>
        <w:t>元</w:t>
      </w:r>
      <w:r>
        <w:rPr>
          <w:rFonts w:hint="eastAsia" w:hAnsi="宋体"/>
          <w:bCs/>
          <w:color w:val="auto"/>
          <w:sz w:val="24"/>
          <w:szCs w:val="32"/>
          <w:u w:val="none"/>
          <w:lang w:val="en-US" w:eastAsia="zh-CN"/>
        </w:rPr>
        <w:t>。</w:t>
      </w:r>
    </w:p>
    <w:p>
      <w:pPr>
        <w:numPr>
          <w:ilvl w:val="0"/>
          <w:numId w:val="0"/>
        </w:numPr>
        <w:spacing w:line="360" w:lineRule="auto"/>
        <w:ind w:firstLine="480" w:firstLineChars="200"/>
        <w:rPr>
          <w:rFonts w:hint="eastAsia" w:hAnsi="宋体"/>
          <w:bCs/>
          <w:color w:val="auto"/>
          <w:sz w:val="24"/>
          <w:szCs w:val="32"/>
          <w:lang w:val="en-US" w:eastAsia="zh-CN"/>
        </w:rPr>
      </w:pPr>
      <w:r>
        <w:rPr>
          <w:rFonts w:hint="eastAsia" w:hAnsi="宋体"/>
          <w:bCs/>
          <w:color w:val="auto"/>
          <w:sz w:val="24"/>
          <w:szCs w:val="32"/>
          <w:lang w:val="en-US" w:eastAsia="zh-CN"/>
        </w:rPr>
        <w:t>拟建项目地上6F，地下室1F，地上9647.31㎡，地下2516.13㎡，本工程采用柱下独立基础以及旋挖成孔灌注墩基础，基础设计等级为乙级，以石灰岩作为持力层，需对拟建项目基础地基进行施工勘察，严格按照《岩土工程勘察规范》(GB50021-2001)(2009年版)、《广西壮族自治区岩土工程勘察规范》DBJ/T45-066-2018、《岩溶地区建筑地基基础技术规范》DBJ/024-2016、《建筑地基基础设计规范》（GB50007-2011）和《管波探测技术规程》（DBJ/T45-124-2022）等规范要求进行施工勘察。</w:t>
      </w:r>
    </w:p>
    <w:p>
      <w:pPr>
        <w:spacing w:line="400" w:lineRule="exact"/>
        <w:rPr>
          <w:rFonts w:hint="eastAsia" w:ascii="黑体" w:hAnsi="黑体" w:eastAsia="黑体" w:cs="黑体"/>
          <w:b/>
          <w:color w:val="auto"/>
          <w:sz w:val="24"/>
          <w:highlight w:val="none"/>
        </w:rPr>
      </w:pPr>
      <w:r>
        <w:rPr>
          <w:rFonts w:hint="eastAsia" w:ascii="黑体" w:hAnsi="黑体" w:eastAsia="黑体" w:cs="黑体"/>
          <w:b/>
          <w:color w:val="auto"/>
          <w:sz w:val="24"/>
          <w:highlight w:val="none"/>
          <w:lang w:val="en-US" w:eastAsia="zh-CN"/>
        </w:rPr>
        <w:t>二</w:t>
      </w:r>
      <w:r>
        <w:rPr>
          <w:rFonts w:hint="eastAsia" w:ascii="黑体" w:hAnsi="黑体" w:eastAsia="黑体" w:cs="黑体"/>
          <w:b/>
          <w:color w:val="auto"/>
          <w:sz w:val="24"/>
          <w:highlight w:val="none"/>
        </w:rPr>
        <w:t>.</w:t>
      </w:r>
      <w:r>
        <w:rPr>
          <w:rFonts w:hint="eastAsia" w:ascii="黑体" w:hAnsi="黑体" w:eastAsia="黑体" w:cs="黑体"/>
          <w:b/>
          <w:color w:val="auto"/>
          <w:sz w:val="24"/>
          <w:highlight w:val="none"/>
          <w:lang w:val="en-US" w:eastAsia="zh-CN"/>
        </w:rPr>
        <w:t>商务</w:t>
      </w:r>
      <w:r>
        <w:rPr>
          <w:rFonts w:hint="eastAsia" w:ascii="黑体" w:hAnsi="黑体" w:eastAsia="黑体" w:cs="黑体"/>
          <w:b/>
          <w:color w:val="auto"/>
          <w:sz w:val="24"/>
          <w:highlight w:val="none"/>
        </w:rPr>
        <w:t>要求</w:t>
      </w:r>
      <w:r>
        <w:rPr>
          <w:rFonts w:hint="eastAsia" w:ascii="黑体" w:hAnsi="黑体" w:eastAsia="黑体" w:cs="黑体"/>
          <w:b/>
          <w:color w:val="auto"/>
          <w:sz w:val="24"/>
          <w:highlight w:val="none"/>
          <w:lang w:eastAsia="zh-CN"/>
        </w:rPr>
        <w:t>（</w:t>
      </w:r>
      <w:r>
        <w:rPr>
          <w:rFonts w:hint="eastAsia" w:ascii="黑体" w:hAnsi="黑体" w:eastAsia="黑体" w:cs="黑体"/>
          <w:b/>
          <w:color w:val="auto"/>
          <w:sz w:val="24"/>
          <w:highlight w:val="none"/>
          <w:lang w:val="en-US" w:eastAsia="zh-CN"/>
        </w:rPr>
        <w:t>标准</w:t>
      </w:r>
      <w:r>
        <w:rPr>
          <w:rFonts w:hint="eastAsia" w:ascii="黑体" w:hAnsi="黑体" w:eastAsia="黑体" w:cs="黑体"/>
          <w:b/>
          <w:color w:val="auto"/>
          <w:sz w:val="24"/>
          <w:highlight w:val="none"/>
          <w:lang w:eastAsia="zh-CN"/>
        </w:rPr>
        <w:t>）</w:t>
      </w:r>
    </w:p>
    <w:p>
      <w:pPr>
        <w:spacing w:line="400" w:lineRule="exact"/>
        <w:ind w:firstLine="420" w:firstLineChars="200"/>
        <w:rPr>
          <w:rFonts w:ascii="宋体" w:hAnsi="宋体"/>
          <w:color w:val="auto"/>
          <w:highlight w:val="none"/>
        </w:rPr>
      </w:pPr>
      <w:r>
        <w:rPr>
          <w:rFonts w:hint="eastAsia" w:ascii="宋体" w:hAnsi="宋体"/>
          <w:color w:val="auto"/>
          <w:highlight w:val="none"/>
        </w:rPr>
        <w:t>1.项目承接（包）人派往本项目的人员应是其在职员工</w:t>
      </w:r>
      <w:r>
        <w:rPr>
          <w:rFonts w:hint="eastAsia" w:ascii="宋体" w:hAnsi="宋体"/>
          <w:color w:val="auto"/>
          <w:highlight w:val="none"/>
          <w:lang w:eastAsia="zh-CN"/>
        </w:rPr>
        <w:t>（</w:t>
      </w:r>
      <w:r>
        <w:rPr>
          <w:rFonts w:hint="eastAsia" w:ascii="宋体" w:hAnsi="宋体"/>
          <w:color w:val="auto"/>
          <w:highlight w:val="none"/>
          <w:lang w:val="en-US" w:eastAsia="zh-CN"/>
        </w:rPr>
        <w:t>以该公司为人员购买的</w:t>
      </w:r>
      <w:r>
        <w:rPr>
          <w:rFonts w:hint="default" w:ascii="宋体" w:hAnsi="宋体" w:eastAsia="宋体" w:cs="Times New Roman"/>
          <w:color w:val="auto"/>
          <w:highlight w:val="none"/>
          <w:lang w:val="en-US" w:eastAsia="zh-CN"/>
        </w:rPr>
        <w:t>社会保险缴纳证明材料</w:t>
      </w:r>
      <w:r>
        <w:rPr>
          <w:rFonts w:hint="eastAsia" w:ascii="宋体" w:hAnsi="宋体" w:eastAsia="宋体" w:cs="Times New Roman"/>
          <w:color w:val="auto"/>
          <w:highlight w:val="none"/>
          <w:lang w:val="en-US" w:eastAsia="zh-CN"/>
        </w:rPr>
        <w:t>为准</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s="Courier New"/>
          <w:bCs/>
          <w:color w:val="auto"/>
          <w:szCs w:val="21"/>
          <w:highlight w:val="none"/>
        </w:rPr>
        <w:t>项目承接（包）人须对本项目</w:t>
      </w:r>
      <w:r>
        <w:rPr>
          <w:rFonts w:hint="eastAsia" w:ascii="宋体" w:hAnsi="宋体" w:cs="Courier New"/>
          <w:bCs/>
          <w:color w:val="auto"/>
          <w:szCs w:val="21"/>
          <w:highlight w:val="none"/>
          <w:lang w:val="en-US" w:eastAsia="zh-CN"/>
        </w:rPr>
        <w:t>资料收集在《成果文件》完成本</w:t>
      </w:r>
      <w:r>
        <w:rPr>
          <w:rFonts w:hint="eastAsia" w:ascii="宋体" w:hAnsi="宋体" w:eastAsia="宋体" w:cs="Times New Roman"/>
          <w:color w:val="auto"/>
          <w:szCs w:val="21"/>
          <w:highlight w:val="none"/>
          <w:shd w:val="clear" w:color="auto" w:fill="auto"/>
          <w:lang w:val="en-US" w:eastAsia="zh-CN"/>
        </w:rPr>
        <w:t>级人民政府</w:t>
      </w:r>
      <w:r>
        <w:rPr>
          <w:rFonts w:hint="eastAsia" w:ascii="宋体" w:hAnsi="宋体" w:cs="Times New Roman"/>
          <w:color w:val="auto"/>
          <w:szCs w:val="21"/>
          <w:highlight w:val="none"/>
          <w:shd w:val="clear" w:color="auto" w:fill="auto"/>
          <w:lang w:val="en-US" w:eastAsia="zh-CN"/>
        </w:rPr>
        <w:t>公示前</w:t>
      </w:r>
      <w:r>
        <w:rPr>
          <w:rFonts w:hint="eastAsia" w:ascii="宋体" w:hAnsi="宋体" w:cs="Courier New"/>
          <w:bCs/>
          <w:color w:val="auto"/>
          <w:szCs w:val="21"/>
          <w:highlight w:val="none"/>
        </w:rPr>
        <w:t>和</w:t>
      </w:r>
      <w:r>
        <w:rPr>
          <w:rFonts w:hint="eastAsia" w:ascii="宋体" w:hAnsi="宋体" w:cs="Courier New"/>
          <w:bCs/>
          <w:color w:val="auto"/>
          <w:szCs w:val="21"/>
          <w:highlight w:val="none"/>
          <w:lang w:val="en-US" w:eastAsia="zh-CN"/>
        </w:rPr>
        <w:t>规划</w:t>
      </w:r>
      <w:r>
        <w:rPr>
          <w:rFonts w:hint="eastAsia" w:ascii="宋体" w:hAnsi="宋体" w:cs="Courier New"/>
          <w:bCs/>
          <w:color w:val="auto"/>
          <w:szCs w:val="21"/>
          <w:highlight w:val="none"/>
        </w:rPr>
        <w:t>技术资料保密，未经项目发包人允许不得泄露给任何第三方；</w:t>
      </w:r>
      <w:r>
        <w:rPr>
          <w:rFonts w:hint="eastAsia" w:ascii="宋体" w:hAnsi="宋体"/>
          <w:color w:val="auto"/>
          <w:highlight w:val="none"/>
        </w:rPr>
        <w:t>项目承接（包）人应保障驻点人员及所需相关设备。</w:t>
      </w:r>
    </w:p>
    <w:p>
      <w:pPr>
        <w:spacing w:line="400" w:lineRule="exact"/>
        <w:ind w:firstLine="420" w:firstLineChars="200"/>
        <w:rPr>
          <w:rFonts w:hint="default" w:ascii="宋体" w:hAnsi="宋体" w:eastAsia="宋体"/>
          <w:color w:val="auto"/>
          <w:highlight w:val="none"/>
          <w:lang w:val="en-US" w:eastAsia="zh-CN"/>
        </w:rPr>
      </w:pPr>
      <w:r>
        <w:rPr>
          <w:rFonts w:hint="eastAsia" w:ascii="宋体" w:hAnsi="宋体"/>
          <w:color w:val="auto"/>
          <w:highlight w:val="none"/>
        </w:rPr>
        <w:t>2.《项目合同》履行期限内，如遇项目发包人发出会议或现场配合指令的，项目承接（包）人应按项目发包人指令中涉及的对应岗位人员在24小时内到达项目所在地出席会议。</w:t>
      </w:r>
      <w:r>
        <w:rPr>
          <w:rFonts w:hint="eastAsia" w:ascii="宋体" w:hAnsi="宋体"/>
          <w:color w:val="auto"/>
          <w:highlight w:val="none"/>
          <w:lang w:val="en-US" w:eastAsia="zh-CN"/>
        </w:rPr>
        <w:t>项目发包人随时有权要求更换其认为不满足工作标准的具体人员，项目承接（包）人接到更换指令后6小时内应提交新人员资料供项目发包人审查。项目发包人同意后24小时内到位服务。</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3.《成果文件》署名权归项目承接（包）人所有，版权归项目发包人所有，项目发包人有权在《成果文件》审定后公开展示《成果文件》，并通过传播、媒介、专业杂志、书刊及其他形式介绍、展示、评价《成果文件》。</w:t>
      </w:r>
    </w:p>
    <w:p>
      <w:pPr>
        <w:spacing w:line="400" w:lineRule="exact"/>
        <w:ind w:firstLine="420" w:firstLineChars="200"/>
        <w:rPr>
          <w:rFonts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.《成果文件》批准实施前，任何单位和个人未经同意都无权以任何形式向社会公开展示《成果文件》。</w:t>
      </w:r>
    </w:p>
    <w:p>
      <w:pPr>
        <w:spacing w:line="400" w:lineRule="exact"/>
        <w:ind w:firstLine="420" w:firstLineChars="200"/>
        <w:rPr>
          <w:rFonts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.项目承接（包）人提交的《成果文件》有下列情形之一的，项目发包人将有权终止《项目合同》：</w:t>
      </w:r>
    </w:p>
    <w:p>
      <w:pPr>
        <w:spacing w:line="400" w:lineRule="exact"/>
        <w:ind w:firstLine="415" w:firstLineChars="198"/>
        <w:rPr>
          <w:rFonts w:ascii="宋体" w:hAnsi="宋体"/>
          <w:color w:val="auto"/>
          <w:highlight w:val="none"/>
        </w:rPr>
      </w:pPr>
      <w:r>
        <w:rPr>
          <w:rFonts w:hint="eastAsia" w:ascii="宋体" w:hAnsi="宋体"/>
          <w:color w:val="auto"/>
          <w:highlight w:val="none"/>
        </w:rPr>
        <w:t>（1）提交的《成果文件》不符合本项目需求和说明规定的。</w:t>
      </w:r>
    </w:p>
    <w:p>
      <w:pPr>
        <w:spacing w:line="400" w:lineRule="exact"/>
        <w:ind w:firstLine="415" w:firstLineChars="198"/>
        <w:rPr>
          <w:rFonts w:ascii="宋体" w:hAnsi="宋体"/>
          <w:color w:val="auto"/>
          <w:highlight w:val="none"/>
        </w:rPr>
      </w:pPr>
      <w:r>
        <w:rPr>
          <w:rFonts w:hint="eastAsia" w:ascii="宋体" w:hAnsi="宋体"/>
          <w:color w:val="auto"/>
          <w:highlight w:val="none"/>
        </w:rPr>
        <w:t>（2）提交的成果图纸和文字辨认不清，内容不全或粗制滥造的。</w:t>
      </w:r>
    </w:p>
    <w:p>
      <w:pPr>
        <w:spacing w:line="400" w:lineRule="exact"/>
        <w:ind w:firstLine="415" w:firstLineChars="198"/>
        <w:rPr>
          <w:rFonts w:ascii="宋体" w:hAnsi="宋体"/>
          <w:color w:val="auto"/>
          <w:highlight w:val="none"/>
        </w:rPr>
      </w:pPr>
      <w:r>
        <w:rPr>
          <w:rFonts w:hint="eastAsia" w:ascii="宋体" w:hAnsi="宋体"/>
          <w:color w:val="auto"/>
          <w:highlight w:val="none"/>
        </w:rPr>
        <w:t>（3）未经项目发包人同意，逾期上报《成果文件》的。</w:t>
      </w:r>
    </w:p>
    <w:p>
      <w:pPr>
        <w:spacing w:line="400" w:lineRule="exact"/>
        <w:ind w:firstLine="415" w:firstLineChars="198"/>
        <w:rPr>
          <w:rFonts w:ascii="宋体" w:hAnsi="宋体"/>
          <w:color w:val="auto"/>
          <w:highlight w:val="none"/>
        </w:rPr>
      </w:pPr>
      <w:r>
        <w:rPr>
          <w:rFonts w:hint="eastAsia" w:ascii="宋体" w:hAnsi="宋体"/>
          <w:color w:val="auto"/>
          <w:highlight w:val="none"/>
        </w:rPr>
        <w:t>（4）编制成果不能通过法定程序审批的。</w:t>
      </w:r>
    </w:p>
    <w:p>
      <w:pPr>
        <w:spacing w:line="400" w:lineRule="exact"/>
        <w:ind w:firstLine="415" w:firstLineChars="198"/>
        <w:rPr>
          <w:rFonts w:ascii="宋体" w:hAnsi="宋体"/>
          <w:color w:val="auto"/>
          <w:highlight w:val="none"/>
        </w:rPr>
      </w:pPr>
      <w:r>
        <w:rPr>
          <w:rFonts w:hint="eastAsia" w:ascii="宋体" w:hAnsi="宋体"/>
          <w:color w:val="auto"/>
          <w:highlight w:val="none"/>
        </w:rPr>
        <w:t>（5）项目承接（包）人未经项目发包人正式书面同意擅自修改《成果文件》的。</w:t>
      </w:r>
    </w:p>
    <w:p>
      <w:pPr>
        <w:numPr>
          <w:ilvl w:val="0"/>
          <w:numId w:val="0"/>
        </w:numPr>
        <w:spacing w:line="400" w:lineRule="exact"/>
        <w:ind w:firstLine="420" w:firstLineChars="200"/>
        <w:rPr>
          <w:rFonts w:hint="default" w:ascii="宋体" w:hAnsi="宋体"/>
          <w:b w:val="0"/>
          <w:bCs/>
          <w:color w:val="auto"/>
          <w:highlight w:val="none"/>
          <w:lang w:val="en-US" w:eastAsia="zh-CN"/>
        </w:rPr>
      </w:pPr>
      <w:r>
        <w:rPr>
          <w:rFonts w:hint="eastAsia" w:ascii="宋体" w:hAnsi="宋体"/>
          <w:b w:val="0"/>
          <w:bCs/>
          <w:color w:val="auto"/>
          <w:szCs w:val="21"/>
          <w:highlight w:val="none"/>
          <w:lang w:val="en-US" w:eastAsia="zh-CN"/>
        </w:rPr>
        <w:t>6.</w:t>
      </w:r>
      <w:r>
        <w:rPr>
          <w:rFonts w:hint="eastAsia" w:ascii="宋体" w:hAnsi="宋体"/>
          <w:b w:val="0"/>
          <w:bCs/>
          <w:color w:val="auto"/>
          <w:highlight w:val="none"/>
          <w:lang w:val="en-US" w:eastAsia="zh-CN"/>
        </w:rPr>
        <w:t>验收标准：乙方的《最终成果文件》，以通过自治区级住房和城乡建设主管部门组织专家评审和验收标准为准。</w:t>
      </w:r>
    </w:p>
    <w:p>
      <w:pPr>
        <w:numPr>
          <w:ilvl w:val="0"/>
          <w:numId w:val="0"/>
        </w:numPr>
        <w:spacing w:line="400" w:lineRule="exact"/>
        <w:ind w:firstLine="420" w:firstLineChars="200"/>
        <w:rPr>
          <w:color w:val="auto"/>
        </w:rPr>
      </w:pPr>
      <w:r>
        <w:rPr>
          <w:rFonts w:hint="eastAsia" w:ascii="宋体" w:hAnsi="宋体"/>
          <w:b w:val="0"/>
          <w:bCs/>
          <w:color w:val="auto"/>
          <w:highlight w:val="none"/>
          <w:lang w:val="en-US" w:eastAsia="zh-CN"/>
        </w:rPr>
        <w:t>7.验收时间：在项目完成且收到供应商验收申请后5个工作日内组织开展履约验收。</w:t>
      </w:r>
    </w:p>
    <w:p>
      <w:pPr>
        <w:rPr>
          <w:rFonts w:hint="eastAsia"/>
          <w:color w:val="auto"/>
          <w:lang w:val="en-US" w:eastAsia="zh-CN"/>
        </w:rPr>
      </w:pPr>
      <w:bookmarkStart w:id="54" w:name="_Toc3057"/>
      <w:r>
        <w:rPr>
          <w:rFonts w:hint="eastAsia"/>
          <w:color w:val="auto"/>
          <w:lang w:val="en-US" w:eastAsia="zh-CN"/>
        </w:rPr>
        <w:br w:type="page"/>
      </w:r>
    </w:p>
    <w:p>
      <w:pPr>
        <w:pStyle w:val="2"/>
        <w:bidi w:val="0"/>
        <w:jc w:val="center"/>
        <w:rPr>
          <w:color w:val="auto"/>
        </w:rPr>
      </w:pPr>
      <w:r>
        <w:rPr>
          <w:rFonts w:hint="eastAsia"/>
          <w:color w:val="auto"/>
          <w:lang w:val="en-US" w:eastAsia="zh-CN"/>
        </w:rPr>
        <w:t>第四章</w:t>
      </w:r>
      <w:r>
        <w:rPr>
          <w:rFonts w:hint="eastAsia"/>
          <w:color w:val="auto"/>
        </w:rPr>
        <w:t>、评审程序和评审方法</w:t>
      </w:r>
      <w:bookmarkEnd w:id="54"/>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1.资格审查</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1.1响应文件开启后，磋商小组依法对供应商的资格证明文件进行审查。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1.3供应商有下列情形之一的，资格审查不通过，其响应文件按无效响应处理：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1.4通过资格审查的合格供应商不足3家的，不得进入符合性审查环节，采购人或者采购代理机构应当重新开展采购活动。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2.符合性审查</w:t>
      </w:r>
    </w:p>
    <w:p>
      <w:pPr>
        <w:spacing w:line="360" w:lineRule="auto"/>
        <w:ind w:firstLine="420" w:firstLineChars="200"/>
        <w:rPr>
          <w:rFonts w:ascii="宋体" w:hAnsi="宋体" w:cs="宋体"/>
          <w:color w:val="auto"/>
          <w:szCs w:val="21"/>
          <w:highlight w:val="none"/>
        </w:rPr>
      </w:pPr>
      <w:bookmarkStart w:id="55" w:name="_Hlk42528882"/>
      <w:r>
        <w:rPr>
          <w:rFonts w:hint="eastAsia" w:ascii="宋体" w:hAnsi="宋体" w:cs="宋体"/>
          <w:color w:val="auto"/>
          <w:szCs w:val="21"/>
          <w:highlight w:val="none"/>
        </w:rPr>
        <w:t>2.1由磋商小组对通过资格审查的合格供应商的响应文件的竞标报价、商务、技术等实质性要求进行符合性审查，以确定其是否满足磋商文件的实质性要求。</w:t>
      </w:r>
    </w:p>
    <w:bookmarkEnd w:id="55"/>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2.3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Pr>
          <w:rFonts w:hint="eastAsia" w:ascii="宋体" w:hAnsi="宋体" w:cs="宋体"/>
          <w:bCs/>
          <w:color w:val="auto"/>
          <w:szCs w:val="21"/>
          <w:highlight w:val="none"/>
        </w:rPr>
        <w:t>若委托代理人不是响应文件中授权的委托代理人时，必须同时出示有效的法定代表人授权委托书原件</w:t>
      </w:r>
      <w:r>
        <w:rPr>
          <w:rFonts w:hint="eastAsia" w:ascii="宋体" w:hAnsi="宋体" w:cs="宋体"/>
          <w:color w:val="auto"/>
          <w:spacing w:val="-6"/>
          <w:szCs w:val="21"/>
          <w:highlight w:val="none"/>
        </w:rPr>
        <w:t>。供应商为自然人的，必须由本人签字并附身份证明。</w:t>
      </w:r>
    </w:p>
    <w:p>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2.5商务技术报价评审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3）提交的磋商保证金无效的或者未按照磋商文件的规定提交磋商保证金；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5）商务条款中标“▲”的条款发生负偏离的或者允许负偏离的条款数超过“供应商须知前附表”规定项数的或者标明实质性的要求发生负偏离；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6）未对竞标有效期作出响应或者响应文件承诺的竞标有效期不满足磋商文件要求；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7）响应文件的实质性内容未使用中文表述、使用计量单位不符合磋商文件要求；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8）响应文件中的文件资料因填写不齐全或者内容虚假或者出现其他情形而导致被磋商小组认定无效；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9）响应文件含有采购人不能接受的附加条件；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10）属于“供应商须知正文”第7.5条情形；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11）技术需求允许负偏离的条款数超过“供应商须知前附表”规定项数；</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12）虚假竞标，或者出现其他情形而导致被磋商小组认定无效；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13）竞标技术方案不明确，磋商文件未允许但响应文件中存在一个或者一个以上备选（替代）竞标方案；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14）响应文件标注的项目名称或者项目编号与竞争性磋商文件标注的项目名称或者项目编号不一致的；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15）未响应磋商文件实质性要求；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16）法律、法规和磋商文件规定的其他无效情形。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1)响应文件未提供“供应商须知前附表” 报价商务技术文件中规定的“竞标报价表”；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w:t>
      </w:r>
      <w:bookmarkStart w:id="56" w:name="_Hlk42596405"/>
      <w:r>
        <w:rPr>
          <w:rFonts w:hint="eastAsia" w:ascii="宋体" w:hAnsi="宋体" w:cs="宋体"/>
          <w:color w:val="auto"/>
          <w:szCs w:val="21"/>
          <w:highlight w:val="none"/>
        </w:rPr>
        <w:t>竞标报价（包含首次报价、最后报价）</w:t>
      </w:r>
      <w:bookmarkEnd w:id="56"/>
      <w:bookmarkStart w:id="57" w:name="_Hlk42596276"/>
      <w:r>
        <w:rPr>
          <w:rFonts w:hint="eastAsia" w:ascii="宋体" w:hAnsi="宋体" w:cs="宋体"/>
          <w:color w:val="auto"/>
          <w:szCs w:val="21"/>
          <w:highlight w:val="none"/>
        </w:rPr>
        <w:t>超过磋商文件分项采购预算金额或者最高限价的</w:t>
      </w:r>
      <w:bookmarkEnd w:id="57"/>
      <w:r>
        <w:rPr>
          <w:rFonts w:hint="eastAsia" w:ascii="宋体" w:hAnsi="宋体" w:cs="宋体"/>
          <w:color w:val="auto"/>
          <w:szCs w:val="21"/>
          <w:highlight w:val="none"/>
        </w:rPr>
        <w:t>（如本项目公布了最高限价）；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6）响应文件响应的标的数量及单位与竞争性磋商采购文件要求实质性不一致的。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2.7通过符合性审查的合格供应商不足3家的，不得进入磋商环节，采购人或者采购代理机构应当重新开展采购活动。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3.磋商程序</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3.1磋商小组按照“供应商须知前附表”确定的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3.3对磋商文件作出的实质性变动是磋商文件的有效组成部分，由磋商小组及时以书面形式同时通知所有参加磋商的供应商。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3.4供应商必须按照磋商文件的变动情况和磋商小组的要求重新提交响应文件，并由其法定代表人或者授权代表签字或者加盖公章。由委托代理人签字的，</w:t>
      </w:r>
      <w:r>
        <w:rPr>
          <w:rFonts w:hint="eastAsia" w:ascii="宋体" w:hAnsi="宋体" w:cs="宋体"/>
          <w:bCs/>
          <w:color w:val="auto"/>
          <w:szCs w:val="21"/>
          <w:highlight w:val="none"/>
        </w:rPr>
        <w:t>若委托代理人不是响应文件中授权的委托代理人时，必须同时出示有效的法定代表人授权委托书原件</w:t>
      </w:r>
      <w:r>
        <w:rPr>
          <w:rFonts w:hint="eastAsia" w:ascii="宋体" w:hAnsi="宋体" w:cs="宋体"/>
          <w:color w:val="auto"/>
          <w:szCs w:val="21"/>
          <w:highlight w:val="none"/>
        </w:rPr>
        <w:t>。供应商为自然人的，必须由本人签字并附身份证明。参加磋商的供应商未在规定时间内重新提交响应文件的，视同退出磋商。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3.5磋商中，</w:t>
      </w:r>
      <w:r>
        <w:rPr>
          <w:rFonts w:hint="eastAsia" w:ascii="宋体" w:hAnsi="宋体" w:cs="宋体"/>
          <w:color w:val="auto"/>
          <w:spacing w:val="-6"/>
          <w:szCs w:val="21"/>
          <w:highlight w:val="none"/>
        </w:rPr>
        <w:t>磋商的任何一方不得透露与磋商有关的其他供应商的技术资料、价格和其他信息。</w:t>
      </w:r>
    </w:p>
    <w:p>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3.6采购代理机构对磋商过程和重要磋商内容进行记录，磋商双方在记录上签字确认。</w:t>
      </w:r>
    </w:p>
    <w:p>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3.7磋商过程中重新提交的响应文件，供应商可以在开启前补充、修改。</w:t>
      </w:r>
    </w:p>
    <w:p>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3.8对磋商过程提交的响应文件进行有效性、完整性和响应程度审查，通过审查的合格供应商不足3家的，采购人或者采购代理机构应当重新开展采购活动。</w:t>
      </w:r>
    </w:p>
    <w:p>
      <w:pPr>
        <w:spacing w:line="360" w:lineRule="auto"/>
        <w:ind w:firstLine="482" w:firstLineChars="200"/>
        <w:rPr>
          <w:rFonts w:ascii="宋体" w:hAnsi="宋体" w:cs="宋体"/>
          <w:color w:val="auto"/>
          <w:szCs w:val="21"/>
          <w:highlight w:val="none"/>
        </w:rPr>
      </w:pPr>
      <w:r>
        <w:rPr>
          <w:rFonts w:hint="eastAsia" w:ascii="宋体" w:hAnsi="宋体" w:cs="宋体"/>
          <w:b/>
          <w:bCs/>
          <w:color w:val="auto"/>
          <w:sz w:val="24"/>
          <w:highlight w:val="none"/>
        </w:rPr>
        <w:t>4. 最后报价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磋商文件能够详细列明采购标的的技术、服务要求的，磋商结束后，由磋商小组要求所有继续参加磋商的供应商在规定时间内密封提交最后报价，除本章第4.3条外，提交最后报价的供应商不得少于3家，否则必须重新采购。</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4.5供应商未在规定时间内提交最后报价的，视同退出磋商。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4.6磋商小组收齐某一分标最后报价后统一开启，磋商小组对最后报价进行有效性、完整性和响应程度的审查。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4.7响应文件最后报价出现前后不一致的，按照本章第2.4条的规定修正。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4.8修正后的报价出现下列情形的，按无效响应处理：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4.9经供应商确认修正后的最后报价作为评审及签订合同的依据。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5.比较与评价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5.1评审方法：综合评分法。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5.3评审时，磋商小组各成员应当独立对每个有效响应的文件进行评价、打分，然后汇总每个供应商每项评分因素的得分。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5.5由磋商小组根据综合评分情况，按照评审得分由高到低顺序推荐3名以上成交候选供应商，并编写评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jc w:val="center"/>
        <w:rPr>
          <w:rFonts w:ascii="宋体" w:hAnsi="宋体" w:cs="宋体"/>
          <w:b/>
          <w:color w:val="auto"/>
          <w:sz w:val="32"/>
          <w:szCs w:val="32"/>
          <w:highlight w:val="none"/>
        </w:rPr>
      </w:pPr>
    </w:p>
    <w:p>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二、评审标准</w:t>
      </w:r>
    </w:p>
    <w:p>
      <w:pPr>
        <w:keepNext w:val="0"/>
        <w:keepLines w:val="0"/>
        <w:pageBreakBefore w:val="0"/>
        <w:kinsoku/>
        <w:wordWrap/>
        <w:overflowPunct/>
        <w:topLinePunct w:val="0"/>
        <w:autoSpaceDE/>
        <w:autoSpaceDN/>
        <w:bidi w:val="0"/>
        <w:spacing w:line="360" w:lineRule="exact"/>
        <w:ind w:firstLine="482" w:firstLineChars="200"/>
        <w:rPr>
          <w:rFonts w:hint="eastAsia" w:ascii="宋体" w:hAnsi="宋体" w:cs="宋体"/>
          <w:bCs/>
          <w:color w:val="auto"/>
          <w:szCs w:val="21"/>
          <w:highlight w:val="none"/>
        </w:rPr>
      </w:pPr>
      <w:r>
        <w:rPr>
          <w:rFonts w:hint="eastAsia" w:ascii="宋体" w:hAnsi="宋体" w:cs="宋体"/>
          <w:b/>
          <w:bCs/>
          <w:color w:val="auto"/>
          <w:sz w:val="24"/>
          <w:highlight w:val="none"/>
        </w:rPr>
        <w:t>6.评审依据</w:t>
      </w:r>
      <w:r>
        <w:rPr>
          <w:rFonts w:hint="eastAsia" w:ascii="宋体" w:hAnsi="宋体" w:cs="宋体"/>
          <w:bCs/>
          <w:color w:val="auto"/>
          <w:szCs w:val="21"/>
          <w:highlight w:val="none"/>
        </w:rPr>
        <w:t>：磋商小组将以磋商响应文件为评审依据，对供应商的报价、技术、商务等方面内容按百分制打分。（计分方法按四舍五入取至百分位）</w:t>
      </w:r>
    </w:p>
    <w:tbl>
      <w:tblPr>
        <w:tblStyle w:val="44"/>
        <w:tblW w:w="96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200"/>
        <w:gridCol w:w="6916"/>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评审因素</w:t>
            </w:r>
          </w:p>
        </w:tc>
        <w:tc>
          <w:tcPr>
            <w:tcW w:w="6916"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评标标准</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价格分</w:t>
            </w:r>
          </w:p>
        </w:tc>
        <w:tc>
          <w:tcPr>
            <w:tcW w:w="6916"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本项目为专门面向中小企业采购的项目</w:t>
            </w:r>
            <w:r>
              <w:rPr>
                <w:rFonts w:hint="eastAsia" w:ascii="仿宋" w:hAnsi="仿宋" w:eastAsia="仿宋" w:cs="仿宋"/>
                <w:color w:val="auto"/>
                <w:sz w:val="24"/>
                <w:szCs w:val="24"/>
                <w:highlight w:val="none"/>
              </w:rPr>
              <w:t xml:space="preserve">，按照《政府采购促进中小企业发展管理办法》（财库〔2020〕46 号）的规定，不再对供应商的最后报价进行政策性扣除。评审价为供应商的最后报价，评审价只是作为评审时使用。最终成交供应商的成交金额等于最后报价（如有修正，以确认修正后的最后报价为准）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（1）以进入比较与评价环节的最低的评审价为基准价，基准价得分为10分。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（2）价格分计算公式：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价格分=（基准价/最后报价）×10分</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技术分</w:t>
            </w:r>
          </w:p>
        </w:tc>
        <w:tc>
          <w:tcPr>
            <w:tcW w:w="6916"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评审因素</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40</w:t>
            </w:r>
            <w:r>
              <w:rPr>
                <w:rFonts w:hint="eastAsia" w:ascii="仿宋" w:hAnsi="仿宋" w:eastAsia="仿宋" w:cs="仿宋"/>
                <w:b/>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8" w:hRule="atLeast"/>
          <w:jc w:val="center"/>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Hans"/>
              </w:rPr>
              <w:t>项目理解</w:t>
            </w:r>
            <w:r>
              <w:rPr>
                <w:rFonts w:hint="eastAsia" w:ascii="仿宋" w:hAnsi="仿宋" w:eastAsia="仿宋" w:cs="仿宋"/>
                <w:color w:val="auto"/>
                <w:sz w:val="24"/>
                <w:szCs w:val="24"/>
                <w:highlight w:val="none"/>
                <w:lang w:val="en-US" w:eastAsia="zh-CN"/>
              </w:rPr>
              <w:t>和总体思路</w:t>
            </w:r>
          </w:p>
        </w:tc>
        <w:tc>
          <w:tcPr>
            <w:tcW w:w="6916"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hAnsi="宋体" w:cs="宋体" w:eastAsiaTheme="minorEastAsia"/>
                <w:color w:val="auto"/>
                <w:sz w:val="21"/>
                <w:szCs w:val="22"/>
                <w:lang w:val="en-US" w:eastAsia="en-US" w:bidi="ar-SA"/>
              </w:rPr>
            </w:pPr>
            <w:r>
              <w:rPr>
                <w:rFonts w:ascii="宋体" w:hAnsi="宋体" w:cs="宋体" w:eastAsiaTheme="minorEastAsia"/>
                <w:color w:val="auto"/>
                <w:sz w:val="21"/>
                <w:szCs w:val="22"/>
                <w:lang w:val="en-US" w:eastAsia="en-US" w:bidi="ar-SA"/>
              </w:rPr>
              <w:t>◆一档（0.1-3</w:t>
            </w:r>
            <w:r>
              <w:rPr>
                <w:rFonts w:hAnsiTheme="minorHAnsi" w:eastAsiaTheme="minorEastAsia" w:cstheme="minorBidi"/>
                <w:color w:val="auto"/>
                <w:spacing w:val="-1"/>
                <w:sz w:val="21"/>
                <w:szCs w:val="22"/>
                <w:lang w:val="en-US" w:eastAsia="en-US" w:bidi="ar-SA"/>
              </w:rPr>
              <w:t xml:space="preserve"> </w:t>
            </w:r>
            <w:r>
              <w:rPr>
                <w:rFonts w:ascii="宋体" w:hAnsi="宋体" w:cs="宋体" w:eastAsiaTheme="minorEastAsia"/>
                <w:color w:val="auto"/>
                <w:sz w:val="21"/>
                <w:szCs w:val="22"/>
                <w:lang w:val="en-US" w:eastAsia="en-US" w:bidi="ar-SA"/>
              </w:rPr>
              <w:t>分）：勘察方案内容基本完整。</w:t>
            </w:r>
          </w:p>
          <w:p>
            <w:pPr>
              <w:pStyle w:val="24"/>
              <w:rPr>
                <w:rFonts w:ascii="宋体" w:hAnsi="宋体" w:cs="宋体" w:eastAsiaTheme="minorEastAsia"/>
                <w:color w:val="auto"/>
                <w:sz w:val="21"/>
                <w:szCs w:val="22"/>
                <w:lang w:val="en-US" w:eastAsia="en-US" w:bidi="ar-SA"/>
              </w:rPr>
            </w:pPr>
            <w:r>
              <w:rPr>
                <w:rFonts w:ascii="宋体" w:hAnsi="宋体" w:cs="宋体" w:eastAsiaTheme="minorEastAsia"/>
                <w:color w:val="auto"/>
                <w:spacing w:val="1"/>
                <w:sz w:val="21"/>
                <w:szCs w:val="22"/>
                <w:lang w:val="en-US" w:eastAsia="en-US" w:bidi="ar-SA"/>
              </w:rPr>
              <w:t>◆二档（3.1-7</w:t>
            </w:r>
            <w:r>
              <w:rPr>
                <w:rFonts w:hAnsiTheme="minorHAnsi" w:eastAsiaTheme="minorEastAsia" w:cstheme="minorBidi"/>
                <w:color w:val="auto"/>
                <w:sz w:val="21"/>
                <w:szCs w:val="22"/>
                <w:lang w:val="en-US" w:eastAsia="en-US" w:bidi="ar-SA"/>
              </w:rPr>
              <w:t xml:space="preserve"> </w:t>
            </w:r>
            <w:r>
              <w:rPr>
                <w:rFonts w:ascii="宋体" w:hAnsi="宋体" w:cs="宋体" w:eastAsiaTheme="minorEastAsia"/>
                <w:color w:val="auto"/>
                <w:spacing w:val="2"/>
                <w:sz w:val="21"/>
                <w:szCs w:val="22"/>
                <w:lang w:val="en-US" w:eastAsia="en-US" w:bidi="ar-SA"/>
              </w:rPr>
              <w:t>分）：勘察方案内容与深度基本符合《竞争性磋商文件》要求，对项目理</w:t>
            </w:r>
            <w:r>
              <w:rPr>
                <w:rFonts w:ascii="宋体" w:hAnsi="宋体" w:cs="宋体" w:eastAsiaTheme="minorEastAsia"/>
                <w:color w:val="auto"/>
                <w:sz w:val="21"/>
                <w:szCs w:val="22"/>
                <w:lang w:val="en-US" w:eastAsia="en-US" w:bidi="ar-SA"/>
              </w:rPr>
              <w:t>解和把握基本准确，勘察方案思路基本清晰，勘察理念普通。</w:t>
            </w:r>
          </w:p>
          <w:p>
            <w:pPr>
              <w:spacing w:before="98" w:after="0" w:line="231" w:lineRule="exact"/>
              <w:ind w:right="0"/>
              <w:jc w:val="left"/>
              <w:rPr>
                <w:rFonts w:hAnsiTheme="minorHAnsi" w:eastAsiaTheme="minorEastAsia" w:cstheme="minorBidi"/>
                <w:color w:val="auto"/>
                <w:sz w:val="21"/>
                <w:szCs w:val="22"/>
                <w:lang w:val="en-US" w:eastAsia="en-US" w:bidi="ar-SA"/>
              </w:rPr>
            </w:pPr>
            <w:r>
              <w:rPr>
                <w:rFonts w:ascii="宋体" w:hAnsi="宋体" w:cs="宋体" w:eastAsiaTheme="minorEastAsia"/>
                <w:color w:val="auto"/>
                <w:spacing w:val="-1"/>
                <w:sz w:val="21"/>
                <w:szCs w:val="22"/>
                <w:lang w:val="en-US" w:eastAsia="en-US" w:bidi="ar-SA"/>
              </w:rPr>
              <w:t>◆三档（7.1-10</w:t>
            </w:r>
            <w:r>
              <w:rPr>
                <w:rFonts w:hAnsiTheme="minorHAnsi" w:eastAsiaTheme="minorEastAsia" w:cstheme="minorBidi"/>
                <w:color w:val="auto"/>
                <w:sz w:val="21"/>
                <w:szCs w:val="22"/>
                <w:lang w:val="en-US" w:eastAsia="en-US" w:bidi="ar-SA"/>
              </w:rPr>
              <w:t xml:space="preserve"> </w:t>
            </w:r>
            <w:r>
              <w:rPr>
                <w:rFonts w:ascii="宋体" w:hAnsi="宋体" w:cs="宋体" w:eastAsiaTheme="minorEastAsia"/>
                <w:color w:val="auto"/>
                <w:spacing w:val="-1"/>
                <w:sz w:val="21"/>
                <w:szCs w:val="22"/>
                <w:lang w:val="en-US" w:eastAsia="en-US" w:bidi="ar-SA"/>
              </w:rPr>
              <w:t>分）：方案内容与深度符合《竞争性磋商文件》要求，对项目理解和把握</w:t>
            </w:r>
            <w:r>
              <w:rPr>
                <w:rFonts w:ascii="宋体" w:hAnsi="宋体" w:cs="宋体" w:eastAsiaTheme="minorEastAsia"/>
                <w:color w:val="auto"/>
                <w:sz w:val="21"/>
                <w:szCs w:val="22"/>
                <w:lang w:val="en-US" w:eastAsia="en-US" w:bidi="ar-SA"/>
              </w:rPr>
              <w:t>准确，勘察方案思路清晰，勘察理念先进。</w:t>
            </w:r>
          </w:p>
          <w:p>
            <w:pPr>
              <w:rPr>
                <w:rFonts w:hint="eastAsia"/>
                <w:color w:val="auto"/>
                <w:lang w:val="en-US" w:eastAsia="zh-CN"/>
              </w:rPr>
            </w:pP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4" w:hRule="atLeast"/>
          <w:jc w:val="center"/>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勘察大纲</w:t>
            </w:r>
          </w:p>
        </w:tc>
        <w:tc>
          <w:tcPr>
            <w:tcW w:w="6916" w:type="dxa"/>
            <w:vAlign w:val="center"/>
          </w:tcPr>
          <w:p>
            <w:pPr>
              <w:spacing w:before="153" w:after="0" w:line="219" w:lineRule="exact"/>
              <w:ind w:right="0"/>
              <w:jc w:val="left"/>
              <w:rPr>
                <w:rFonts w:hAnsiTheme="minorHAnsi" w:eastAsiaTheme="minorEastAsia" w:cstheme="minorBidi"/>
                <w:color w:val="auto"/>
                <w:sz w:val="21"/>
                <w:szCs w:val="22"/>
                <w:lang w:val="en-US" w:eastAsia="en-US" w:bidi="ar-SA"/>
              </w:rPr>
            </w:pPr>
            <w:r>
              <w:rPr>
                <w:rFonts w:ascii="宋体" w:hAnsi="宋体" w:cs="宋体" w:eastAsiaTheme="minorEastAsia"/>
                <w:color w:val="auto"/>
                <w:spacing w:val="-8"/>
                <w:sz w:val="21"/>
                <w:szCs w:val="22"/>
                <w:lang w:val="en-US" w:eastAsia="en-US" w:bidi="ar-SA"/>
              </w:rPr>
              <w:t>内容至少应包含勘察范围、勘察内容、勘察依据、勘察工作目标、勘察机构设置和岗位职责、</w:t>
            </w:r>
            <w:r>
              <w:rPr>
                <w:rFonts w:ascii="宋体" w:hAnsi="宋体" w:cs="宋体" w:eastAsiaTheme="minorEastAsia"/>
                <w:color w:val="auto"/>
                <w:sz w:val="21"/>
                <w:szCs w:val="22"/>
                <w:lang w:val="en-US" w:eastAsia="en-US" w:bidi="ar-SA"/>
              </w:rPr>
              <w:t>勘察说明、方案与投资控制、关键技术问题的认识及对策措施等。</w:t>
            </w:r>
          </w:p>
          <w:p>
            <w:pPr>
              <w:spacing w:before="122" w:after="0" w:line="219" w:lineRule="exact"/>
              <w:ind w:right="0"/>
              <w:jc w:val="left"/>
              <w:rPr>
                <w:rFonts w:ascii="宋体" w:hAnsi="宋体" w:cs="宋体" w:eastAsiaTheme="minorEastAsia"/>
                <w:color w:val="auto"/>
                <w:sz w:val="21"/>
                <w:szCs w:val="22"/>
                <w:lang w:val="en-US" w:eastAsia="en-US" w:bidi="ar-SA"/>
              </w:rPr>
            </w:pPr>
            <w:r>
              <w:rPr>
                <w:rFonts w:ascii="宋体" w:hAnsi="宋体" w:cs="宋体" w:eastAsiaTheme="minorEastAsia"/>
                <w:color w:val="auto"/>
                <w:spacing w:val="1"/>
                <w:sz w:val="21"/>
                <w:szCs w:val="22"/>
                <w:lang w:val="en-US" w:eastAsia="en-US" w:bidi="ar-SA"/>
              </w:rPr>
              <w:t>◆一档（0.1-3</w:t>
            </w:r>
            <w:r>
              <w:rPr>
                <w:rFonts w:hAnsiTheme="minorHAnsi" w:eastAsiaTheme="minorEastAsia" w:cstheme="minorBidi"/>
                <w:color w:val="auto"/>
                <w:sz w:val="21"/>
                <w:szCs w:val="22"/>
                <w:lang w:val="en-US" w:eastAsia="en-US" w:bidi="ar-SA"/>
              </w:rPr>
              <w:t xml:space="preserve"> </w:t>
            </w:r>
            <w:r>
              <w:rPr>
                <w:rFonts w:ascii="宋体" w:hAnsi="宋体" w:cs="宋体" w:eastAsiaTheme="minorEastAsia"/>
                <w:color w:val="auto"/>
                <w:spacing w:val="1"/>
                <w:sz w:val="21"/>
                <w:szCs w:val="22"/>
                <w:lang w:val="en-US" w:eastAsia="en-US" w:bidi="ar-SA"/>
              </w:rPr>
              <w:t>分）：大纲内容不齐全，重点不突出、方案与投资控制不协调、技术建议</w:t>
            </w:r>
            <w:r>
              <w:rPr>
                <w:rFonts w:ascii="宋体" w:hAnsi="宋体" w:cs="宋体" w:eastAsiaTheme="minorEastAsia"/>
                <w:color w:val="auto"/>
                <w:sz w:val="21"/>
                <w:szCs w:val="22"/>
                <w:lang w:val="en-US" w:eastAsia="en-US" w:bidi="ar-SA"/>
              </w:rPr>
              <w:t>叙述基本全面、合理，措施基本可行，无合理化建议。</w:t>
            </w:r>
          </w:p>
          <w:p>
            <w:pPr>
              <w:spacing w:before="122" w:after="0" w:line="219" w:lineRule="exact"/>
              <w:ind w:right="0"/>
              <w:jc w:val="left"/>
              <w:rPr>
                <w:rFonts w:ascii="宋体" w:hAnsi="宋体" w:cs="宋体" w:eastAsiaTheme="minorEastAsia"/>
                <w:color w:val="auto"/>
                <w:sz w:val="21"/>
                <w:szCs w:val="22"/>
                <w:lang w:val="en-US" w:eastAsia="en-US" w:bidi="ar-SA"/>
              </w:rPr>
            </w:pPr>
            <w:r>
              <w:rPr>
                <w:rFonts w:ascii="宋体" w:hAnsi="宋体" w:cs="宋体" w:eastAsiaTheme="minorEastAsia"/>
                <w:color w:val="auto"/>
                <w:spacing w:val="1"/>
                <w:sz w:val="21"/>
                <w:szCs w:val="22"/>
                <w:lang w:val="en-US" w:eastAsia="en-US" w:bidi="ar-SA"/>
              </w:rPr>
              <w:t>◆二档（3.1-7</w:t>
            </w:r>
            <w:r>
              <w:rPr>
                <w:rFonts w:hAnsiTheme="minorHAnsi" w:eastAsiaTheme="minorEastAsia" w:cstheme="minorBidi"/>
                <w:color w:val="auto"/>
                <w:sz w:val="21"/>
                <w:szCs w:val="22"/>
                <w:lang w:val="en-US" w:eastAsia="en-US" w:bidi="ar-SA"/>
              </w:rPr>
              <w:t xml:space="preserve"> </w:t>
            </w:r>
            <w:r>
              <w:rPr>
                <w:rFonts w:ascii="宋体" w:hAnsi="宋体" w:cs="宋体" w:eastAsiaTheme="minorEastAsia"/>
                <w:color w:val="auto"/>
                <w:spacing w:val="1"/>
                <w:sz w:val="21"/>
                <w:szCs w:val="22"/>
                <w:lang w:val="en-US" w:eastAsia="en-US" w:bidi="ar-SA"/>
              </w:rPr>
              <w:t>分）：大纲内容一般，重点一般、方案与投资控制协调、技术建议叙述较</w:t>
            </w:r>
            <w:r>
              <w:rPr>
                <w:rFonts w:ascii="宋体" w:hAnsi="宋体" w:cs="宋体" w:eastAsiaTheme="minorEastAsia"/>
                <w:color w:val="auto"/>
                <w:sz w:val="21"/>
                <w:szCs w:val="22"/>
                <w:lang w:val="en-US" w:eastAsia="en-US" w:bidi="ar-SA"/>
              </w:rPr>
              <w:t>为全面、合理，措施基本可行，有合理化建议。</w:t>
            </w:r>
          </w:p>
          <w:p>
            <w:pPr>
              <w:spacing w:before="119" w:after="0" w:line="219" w:lineRule="exact"/>
              <w:ind w:right="0"/>
              <w:jc w:val="left"/>
              <w:rPr>
                <w:rFonts w:hint="eastAsia" w:ascii="仿宋" w:hAnsi="仿宋" w:eastAsia="仿宋" w:cs="仿宋"/>
                <w:color w:val="auto"/>
                <w:sz w:val="24"/>
                <w:szCs w:val="24"/>
                <w:highlight w:val="none"/>
                <w:lang w:val="en-US"/>
              </w:rPr>
            </w:pPr>
            <w:r>
              <w:rPr>
                <w:rFonts w:ascii="宋体" w:hAnsi="宋体" w:cs="宋体" w:eastAsiaTheme="minorEastAsia"/>
                <w:color w:val="auto"/>
                <w:spacing w:val="-1"/>
                <w:sz w:val="21"/>
                <w:szCs w:val="22"/>
                <w:lang w:val="en-US" w:eastAsia="en-US" w:bidi="ar-SA"/>
              </w:rPr>
              <w:t>◆三档（7.1-10</w:t>
            </w:r>
            <w:r>
              <w:rPr>
                <w:rFonts w:hAnsiTheme="minorHAnsi" w:eastAsiaTheme="minorEastAsia" w:cstheme="minorBidi"/>
                <w:color w:val="auto"/>
                <w:spacing w:val="2"/>
                <w:sz w:val="21"/>
                <w:szCs w:val="22"/>
                <w:lang w:val="en-US" w:eastAsia="en-US" w:bidi="ar-SA"/>
              </w:rPr>
              <w:t xml:space="preserve"> </w:t>
            </w:r>
            <w:r>
              <w:rPr>
                <w:rFonts w:ascii="宋体" w:hAnsi="宋体" w:cs="宋体" w:eastAsiaTheme="minorEastAsia"/>
                <w:color w:val="auto"/>
                <w:spacing w:val="-1"/>
                <w:sz w:val="21"/>
                <w:szCs w:val="22"/>
                <w:lang w:val="en-US" w:eastAsia="en-US" w:bidi="ar-SA"/>
              </w:rPr>
              <w:t>分）：大纲内容良好、完整，重点突出、方案与投资控制优化、技术建议</w:t>
            </w:r>
            <w:r>
              <w:rPr>
                <w:rFonts w:ascii="宋体" w:hAnsi="宋体" w:cs="宋体" w:eastAsiaTheme="minorEastAsia"/>
                <w:color w:val="auto"/>
                <w:sz w:val="21"/>
                <w:szCs w:val="22"/>
                <w:lang w:val="en-US" w:eastAsia="en-US" w:bidi="ar-SA"/>
              </w:rPr>
              <w:t>叙述全面、合理、科学，措施可行，有针对性和合理化建议。</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勘察工作重点难点分析及对策措施</w:t>
            </w:r>
          </w:p>
        </w:tc>
        <w:tc>
          <w:tcPr>
            <w:tcW w:w="6916" w:type="dxa"/>
            <w:vAlign w:val="center"/>
          </w:tcPr>
          <w:p>
            <w:pPr>
              <w:spacing w:before="131" w:after="0" w:line="219" w:lineRule="exact"/>
              <w:ind w:right="0"/>
              <w:jc w:val="left"/>
              <w:rPr>
                <w:rFonts w:ascii="宋体" w:hAnsi="宋体" w:cs="宋体" w:eastAsiaTheme="minorEastAsia"/>
                <w:color w:val="auto"/>
                <w:sz w:val="21"/>
                <w:szCs w:val="22"/>
                <w:lang w:val="en-US" w:eastAsia="en-US" w:bidi="ar-SA"/>
              </w:rPr>
            </w:pPr>
            <w:r>
              <w:rPr>
                <w:rFonts w:ascii="宋体" w:hAnsi="宋体" w:cs="宋体" w:eastAsiaTheme="minorEastAsia"/>
                <w:color w:val="auto"/>
                <w:spacing w:val="1"/>
                <w:sz w:val="21"/>
                <w:szCs w:val="22"/>
                <w:lang w:val="en-US" w:eastAsia="en-US" w:bidi="ar-SA"/>
              </w:rPr>
              <w:t>◆一档（0.1-3</w:t>
            </w:r>
            <w:r>
              <w:rPr>
                <w:rFonts w:hAnsiTheme="minorHAnsi" w:eastAsiaTheme="minorEastAsia" w:cstheme="minorBidi"/>
                <w:color w:val="auto"/>
                <w:sz w:val="21"/>
                <w:szCs w:val="22"/>
                <w:lang w:val="en-US" w:eastAsia="en-US" w:bidi="ar-SA"/>
              </w:rPr>
              <w:t xml:space="preserve"> </w:t>
            </w:r>
            <w:r>
              <w:rPr>
                <w:rFonts w:ascii="宋体" w:hAnsi="宋体" w:cs="宋体" w:eastAsiaTheme="minorEastAsia"/>
                <w:color w:val="auto"/>
                <w:spacing w:val="1"/>
                <w:sz w:val="21"/>
                <w:szCs w:val="22"/>
                <w:lang w:val="en-US" w:eastAsia="en-US" w:bidi="ar-SA"/>
              </w:rPr>
              <w:t>分）：对本项目工作实施的重点和难点分析及对策措施一般，措施基本合</w:t>
            </w:r>
            <w:r>
              <w:rPr>
                <w:rFonts w:ascii="宋体" w:hAnsi="宋体" w:cs="宋体" w:eastAsiaTheme="minorEastAsia"/>
                <w:color w:val="auto"/>
                <w:sz w:val="21"/>
                <w:szCs w:val="22"/>
                <w:lang w:val="en-US" w:eastAsia="en-US" w:bidi="ar-SA"/>
              </w:rPr>
              <w:t>理、可靠；</w:t>
            </w:r>
          </w:p>
          <w:p>
            <w:pPr>
              <w:pStyle w:val="24"/>
              <w:rPr>
                <w:rFonts w:ascii="宋体" w:hAnsi="宋体" w:cs="宋体" w:eastAsiaTheme="minorEastAsia"/>
                <w:color w:val="auto"/>
                <w:sz w:val="21"/>
                <w:szCs w:val="22"/>
                <w:lang w:val="en-US" w:eastAsia="en-US" w:bidi="ar-SA"/>
              </w:rPr>
            </w:pPr>
            <w:r>
              <w:rPr>
                <w:rFonts w:ascii="宋体" w:hAnsi="宋体" w:cs="宋体" w:eastAsiaTheme="minorEastAsia"/>
                <w:color w:val="auto"/>
                <w:spacing w:val="1"/>
                <w:sz w:val="21"/>
                <w:szCs w:val="22"/>
                <w:lang w:val="en-US" w:eastAsia="en-US" w:bidi="ar-SA"/>
              </w:rPr>
              <w:t>◆二档（3.1-7</w:t>
            </w:r>
            <w:r>
              <w:rPr>
                <w:rFonts w:hAnsiTheme="minorHAnsi" w:eastAsiaTheme="minorEastAsia" w:cstheme="minorBidi"/>
                <w:color w:val="auto"/>
                <w:sz w:val="21"/>
                <w:szCs w:val="22"/>
                <w:lang w:val="en-US" w:eastAsia="en-US" w:bidi="ar-SA"/>
              </w:rPr>
              <w:t xml:space="preserve"> </w:t>
            </w:r>
            <w:r>
              <w:rPr>
                <w:rFonts w:ascii="宋体" w:hAnsi="宋体" w:cs="宋体" w:eastAsiaTheme="minorEastAsia"/>
                <w:color w:val="auto"/>
                <w:spacing w:val="1"/>
                <w:sz w:val="21"/>
                <w:szCs w:val="22"/>
                <w:lang w:val="en-US" w:eastAsia="en-US" w:bidi="ar-SA"/>
              </w:rPr>
              <w:t>分）：对本项目工作实施的重点和难点及对策措施分析较准确、清晰，措</w:t>
            </w:r>
            <w:r>
              <w:rPr>
                <w:rFonts w:ascii="宋体" w:hAnsi="宋体" w:cs="宋体" w:eastAsiaTheme="minorEastAsia"/>
                <w:color w:val="auto"/>
                <w:sz w:val="21"/>
                <w:szCs w:val="22"/>
                <w:lang w:val="en-US" w:eastAsia="en-US" w:bidi="ar-SA"/>
              </w:rPr>
              <w:t>施较合理、可靠；</w:t>
            </w:r>
          </w:p>
          <w:p>
            <w:pPr>
              <w:spacing w:before="122" w:after="0" w:line="219" w:lineRule="exact"/>
              <w:ind w:left="278" w:right="0" w:firstLine="0"/>
              <w:jc w:val="left"/>
              <w:rPr>
                <w:rFonts w:hint="eastAsia" w:ascii="仿宋" w:hAnsi="仿宋" w:eastAsia="仿宋" w:cs="仿宋"/>
                <w:color w:val="auto"/>
                <w:sz w:val="24"/>
                <w:szCs w:val="24"/>
                <w:highlight w:val="none"/>
                <w:lang w:val="en-US" w:eastAsia="zh-CN"/>
              </w:rPr>
            </w:pPr>
            <w:r>
              <w:rPr>
                <w:rFonts w:ascii="宋体" w:hAnsi="宋体" w:cs="宋体" w:eastAsiaTheme="minorEastAsia"/>
                <w:color w:val="auto"/>
                <w:spacing w:val="-1"/>
                <w:sz w:val="21"/>
                <w:szCs w:val="22"/>
                <w:lang w:val="en-US" w:eastAsia="en-US" w:bidi="ar-SA"/>
              </w:rPr>
              <w:t>◆三档（7.1-10</w:t>
            </w:r>
            <w:r>
              <w:rPr>
                <w:rFonts w:hAnsiTheme="minorHAnsi" w:eastAsiaTheme="minorEastAsia" w:cstheme="minorBidi"/>
                <w:color w:val="auto"/>
                <w:spacing w:val="2"/>
                <w:sz w:val="21"/>
                <w:szCs w:val="22"/>
                <w:lang w:val="en-US" w:eastAsia="en-US" w:bidi="ar-SA"/>
              </w:rPr>
              <w:t xml:space="preserve"> </w:t>
            </w:r>
            <w:r>
              <w:rPr>
                <w:rFonts w:ascii="宋体" w:hAnsi="宋体" w:cs="宋体" w:eastAsiaTheme="minorEastAsia"/>
                <w:color w:val="auto"/>
                <w:spacing w:val="-1"/>
                <w:sz w:val="21"/>
                <w:szCs w:val="22"/>
                <w:lang w:val="en-US" w:eastAsia="en-US" w:bidi="ar-SA"/>
              </w:rPr>
              <w:t>分）：对本项目工作实施的重点和难点及对策措施分析准确、清晰，措施</w:t>
            </w:r>
            <w:r>
              <w:rPr>
                <w:rFonts w:ascii="宋体" w:hAnsi="宋体" w:cs="宋体" w:eastAsiaTheme="minorEastAsia"/>
                <w:color w:val="auto"/>
                <w:sz w:val="21"/>
                <w:szCs w:val="22"/>
                <w:lang w:val="en-US" w:eastAsia="en-US" w:bidi="ar-SA"/>
              </w:rPr>
              <w:t>合理、可靠。</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勘察与设计施工的配合</w:t>
            </w:r>
          </w:p>
        </w:tc>
        <w:tc>
          <w:tcPr>
            <w:tcW w:w="6916" w:type="dxa"/>
            <w:vAlign w:val="center"/>
          </w:tcPr>
          <w:p>
            <w:pPr>
              <w:spacing w:before="0" w:after="0" w:line="209" w:lineRule="exact"/>
              <w:ind w:right="0"/>
              <w:jc w:val="left"/>
              <w:rPr>
                <w:rFonts w:hAnsiTheme="minorHAnsi" w:eastAsiaTheme="minorEastAsia" w:cstheme="minorBidi"/>
                <w:color w:val="auto"/>
                <w:sz w:val="21"/>
                <w:szCs w:val="22"/>
                <w:lang w:val="en-US" w:eastAsia="en-US" w:bidi="ar-SA"/>
              </w:rPr>
            </w:pPr>
            <w:r>
              <w:rPr>
                <w:rFonts w:ascii="宋体" w:hAnsi="宋体" w:cs="宋体" w:eastAsiaTheme="minorEastAsia"/>
                <w:color w:val="auto"/>
                <w:spacing w:val="1"/>
                <w:sz w:val="21"/>
                <w:szCs w:val="22"/>
                <w:lang w:val="en-US" w:eastAsia="en-US" w:bidi="ar-SA"/>
              </w:rPr>
              <w:t>◆一档（0.1-3</w:t>
            </w:r>
            <w:r>
              <w:rPr>
                <w:rFonts w:hAnsiTheme="minorHAnsi" w:eastAsiaTheme="minorEastAsia" w:cstheme="minorBidi"/>
                <w:color w:val="auto"/>
                <w:sz w:val="21"/>
                <w:szCs w:val="22"/>
                <w:lang w:val="en-US" w:eastAsia="en-US" w:bidi="ar-SA"/>
              </w:rPr>
              <w:t xml:space="preserve"> </w:t>
            </w:r>
            <w:r>
              <w:rPr>
                <w:rFonts w:ascii="宋体" w:hAnsi="宋体" w:cs="宋体" w:eastAsiaTheme="minorEastAsia"/>
                <w:color w:val="auto"/>
                <w:spacing w:val="1"/>
                <w:sz w:val="21"/>
                <w:szCs w:val="22"/>
                <w:lang w:val="en-US" w:eastAsia="en-US" w:bidi="ar-SA"/>
              </w:rPr>
              <w:t>分）：勘察与设计、施工的配合方案总体评价一般，服务期间项目负责人</w:t>
            </w:r>
            <w:r>
              <w:rPr>
                <w:rFonts w:ascii="宋体" w:hAnsi="宋体" w:cs="宋体" w:eastAsiaTheme="minorEastAsia"/>
                <w:color w:val="auto"/>
                <w:sz w:val="21"/>
                <w:szCs w:val="22"/>
                <w:lang w:val="en-US" w:eastAsia="en-US" w:bidi="ar-SA"/>
              </w:rPr>
              <w:t>承诺到位率达</w:t>
            </w:r>
            <w:r>
              <w:rPr>
                <w:rFonts w:hAnsiTheme="minorHAnsi" w:eastAsiaTheme="minorEastAsia" w:cstheme="minorBidi"/>
                <w:color w:val="auto"/>
                <w:spacing w:val="-1"/>
                <w:sz w:val="21"/>
                <w:szCs w:val="22"/>
                <w:lang w:val="en-US" w:eastAsia="en-US" w:bidi="ar-SA"/>
              </w:rPr>
              <w:t xml:space="preserve"> </w:t>
            </w:r>
            <w:r>
              <w:rPr>
                <w:rFonts w:ascii="宋体" w:hAnsi="宋体" w:cs="宋体" w:eastAsiaTheme="minorEastAsia"/>
                <w:color w:val="auto"/>
                <w:spacing w:val="1"/>
                <w:sz w:val="21"/>
                <w:szCs w:val="22"/>
                <w:lang w:val="en-US" w:eastAsia="en-US" w:bidi="ar-SA"/>
              </w:rPr>
              <w:t>75%。</w:t>
            </w:r>
          </w:p>
          <w:p>
            <w:pPr>
              <w:spacing w:before="0" w:after="0" w:line="209" w:lineRule="exact"/>
              <w:ind w:right="0"/>
              <w:jc w:val="left"/>
              <w:rPr>
                <w:rFonts w:ascii="宋体" w:hAnsi="宋体" w:cs="宋体" w:eastAsiaTheme="minorEastAsia"/>
                <w:color w:val="auto"/>
                <w:sz w:val="21"/>
                <w:szCs w:val="22"/>
                <w:lang w:val="en-US" w:eastAsia="en-US" w:bidi="ar-SA"/>
              </w:rPr>
            </w:pPr>
            <w:r>
              <w:rPr>
                <w:rFonts w:ascii="宋体" w:hAnsi="宋体" w:cs="宋体" w:eastAsiaTheme="minorEastAsia"/>
                <w:color w:val="auto"/>
                <w:spacing w:val="1"/>
                <w:sz w:val="21"/>
                <w:szCs w:val="22"/>
                <w:lang w:val="en-US" w:eastAsia="en-US" w:bidi="ar-SA"/>
              </w:rPr>
              <w:t>◆二档（3.1-7</w:t>
            </w:r>
            <w:r>
              <w:rPr>
                <w:rFonts w:hAnsiTheme="minorHAnsi" w:eastAsiaTheme="minorEastAsia" w:cstheme="minorBidi"/>
                <w:color w:val="auto"/>
                <w:sz w:val="21"/>
                <w:szCs w:val="22"/>
                <w:lang w:val="en-US" w:eastAsia="en-US" w:bidi="ar-SA"/>
              </w:rPr>
              <w:t xml:space="preserve"> </w:t>
            </w:r>
            <w:r>
              <w:rPr>
                <w:rFonts w:ascii="宋体" w:hAnsi="宋体" w:cs="宋体" w:eastAsiaTheme="minorEastAsia"/>
                <w:color w:val="auto"/>
                <w:spacing w:val="1"/>
                <w:sz w:val="21"/>
                <w:szCs w:val="22"/>
                <w:lang w:val="en-US" w:eastAsia="en-US" w:bidi="ar-SA"/>
              </w:rPr>
              <w:t>分）：协助设计变更或补充优化及图审备案，可行性较强，服务期间项目</w:t>
            </w:r>
            <w:r>
              <w:rPr>
                <w:rFonts w:ascii="宋体" w:hAnsi="宋体" w:cs="宋体" w:eastAsiaTheme="minorEastAsia"/>
                <w:color w:val="auto"/>
                <w:sz w:val="21"/>
                <w:szCs w:val="22"/>
                <w:lang w:val="en-US" w:eastAsia="en-US" w:bidi="ar-SA"/>
              </w:rPr>
              <w:t>负责人承诺到位率达</w:t>
            </w:r>
            <w:r>
              <w:rPr>
                <w:rFonts w:hAnsiTheme="minorHAnsi" w:eastAsiaTheme="minorEastAsia" w:cstheme="minorBidi"/>
                <w:color w:val="auto"/>
                <w:spacing w:val="-1"/>
                <w:sz w:val="21"/>
                <w:szCs w:val="22"/>
                <w:lang w:val="en-US" w:eastAsia="en-US" w:bidi="ar-SA"/>
              </w:rPr>
              <w:t xml:space="preserve"> </w:t>
            </w:r>
            <w:r>
              <w:rPr>
                <w:rFonts w:ascii="宋体" w:hAnsi="宋体" w:cs="宋体" w:eastAsiaTheme="minorEastAsia"/>
                <w:color w:val="auto"/>
                <w:sz w:val="21"/>
                <w:szCs w:val="22"/>
                <w:lang w:val="en-US" w:eastAsia="en-US" w:bidi="ar-SA"/>
              </w:rPr>
              <w:t>75%~95%。</w:t>
            </w:r>
          </w:p>
          <w:p>
            <w:pPr>
              <w:spacing w:before="129" w:after="0" w:line="219" w:lineRule="exact"/>
              <w:ind w:right="0"/>
              <w:jc w:val="left"/>
              <w:rPr>
                <w:rFonts w:hAnsiTheme="minorHAnsi" w:eastAsiaTheme="minorEastAsia" w:cstheme="minorBidi"/>
                <w:color w:val="auto"/>
                <w:sz w:val="21"/>
                <w:szCs w:val="22"/>
                <w:lang w:val="en-US" w:eastAsia="en-US" w:bidi="ar-SA"/>
              </w:rPr>
            </w:pPr>
            <w:r>
              <w:rPr>
                <w:rFonts w:ascii="宋体" w:hAnsi="宋体" w:cs="宋体" w:eastAsiaTheme="minorEastAsia"/>
                <w:color w:val="auto"/>
                <w:spacing w:val="-2"/>
                <w:sz w:val="21"/>
                <w:szCs w:val="22"/>
                <w:lang w:val="en-US" w:eastAsia="en-US" w:bidi="ar-SA"/>
              </w:rPr>
              <w:t>◆三档（7.1-10</w:t>
            </w:r>
            <w:r>
              <w:rPr>
                <w:rFonts w:hAnsiTheme="minorHAnsi" w:eastAsiaTheme="minorEastAsia" w:cstheme="minorBidi"/>
                <w:color w:val="auto"/>
                <w:sz w:val="21"/>
                <w:szCs w:val="22"/>
                <w:lang w:val="en-US" w:eastAsia="en-US" w:bidi="ar-SA"/>
              </w:rPr>
              <w:t xml:space="preserve"> </w:t>
            </w:r>
            <w:r>
              <w:rPr>
                <w:rFonts w:ascii="宋体" w:hAnsi="宋体" w:cs="宋体" w:eastAsiaTheme="minorEastAsia"/>
                <w:color w:val="auto"/>
                <w:spacing w:val="-1"/>
                <w:sz w:val="21"/>
                <w:szCs w:val="22"/>
                <w:lang w:val="en-US" w:eastAsia="en-US" w:bidi="ar-SA"/>
              </w:rPr>
              <w:t>分）：协助设计变更或补充优化及图审备案，解决施工现场与勘察相关的</w:t>
            </w:r>
            <w:r>
              <w:rPr>
                <w:rFonts w:ascii="宋体" w:hAnsi="宋体" w:cs="宋体" w:eastAsiaTheme="minorEastAsia"/>
                <w:color w:val="auto"/>
                <w:sz w:val="21"/>
                <w:szCs w:val="22"/>
                <w:lang w:val="en-US" w:eastAsia="en-US" w:bidi="ar-SA"/>
              </w:rPr>
              <w:t>问题至工程通过竣工验收，服务期间项目负责人承诺到位率≥95%。</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rPr>
            </w:pP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商务</w:t>
            </w:r>
            <w:r>
              <w:rPr>
                <w:rFonts w:hint="eastAsia" w:ascii="仿宋" w:hAnsi="仿宋" w:eastAsia="仿宋" w:cs="仿宋"/>
                <w:b/>
                <w:bCs/>
                <w:color w:val="auto"/>
                <w:sz w:val="24"/>
                <w:szCs w:val="24"/>
                <w:highlight w:val="none"/>
              </w:rPr>
              <w:t>分</w:t>
            </w:r>
          </w:p>
        </w:tc>
        <w:tc>
          <w:tcPr>
            <w:tcW w:w="6916"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评审因素</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50</w:t>
            </w:r>
            <w:r>
              <w:rPr>
                <w:rFonts w:hint="eastAsia" w:ascii="仿宋" w:hAnsi="仿宋" w:eastAsia="仿宋" w:cs="仿宋"/>
                <w:b/>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企业信誉实力</w:t>
            </w:r>
          </w:p>
        </w:tc>
        <w:tc>
          <w:tcPr>
            <w:tcW w:w="6916"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◆-1：竞争性磋商供应商自 2021 年 06 月 01 日至本项目竞标截止之日获得省级及以上住房城乡建设主管部门（或省级及以上勘察设计协会）评定的年度“先进企业”或“优秀会员单位”的，每获得一次得 4 分，满分 12 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◆-2：竞争性磋商供应商企业法定代表人自 2021 年 06 月 01 日至本项目竞标截止之日获得省级及以上住房城乡建设主管部门（或省级及以上勘察设计协会）评定的年度“先进个人”或“优秀个人”的，每获得一次得 4 分，满分 8 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◆-3：竞争性磋商供应商 2021 年 06 月 01 日至本项目竞标截止之日获得过省级及以上住房城乡建设主管部门（或省级及以上勘察设计协会）评定的年度“工程勘察收入前五十名”的，得 5 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en-US"/>
              </w:rPr>
              <w:t>注：竞争性磋商供应商《响应文件》中须提供盖单位公章有效的证明材料复印件（或扫描件）。</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类似项目业绩</w:t>
            </w:r>
          </w:p>
        </w:tc>
        <w:tc>
          <w:tcPr>
            <w:tcW w:w="6916" w:type="dxa"/>
            <w:vAlign w:val="top"/>
          </w:tcPr>
          <w:p>
            <w:pPr>
              <w:spacing w:before="0" w:after="0" w:line="209" w:lineRule="exact"/>
              <w:ind w:right="0"/>
              <w:jc w:val="left"/>
              <w:rPr>
                <w:rFonts w:ascii="宋体" w:hAnsi="宋体" w:cs="宋体" w:eastAsiaTheme="minorEastAsia"/>
                <w:color w:val="auto"/>
                <w:sz w:val="21"/>
                <w:szCs w:val="22"/>
                <w:lang w:val="en-US" w:eastAsia="en-US" w:bidi="ar-SA"/>
              </w:rPr>
            </w:pPr>
          </w:p>
          <w:p>
            <w:pPr>
              <w:spacing w:before="0" w:after="0" w:line="209" w:lineRule="exact"/>
              <w:ind w:right="0"/>
              <w:jc w:val="left"/>
              <w:rPr>
                <w:rFonts w:hAnsiTheme="minorHAnsi" w:eastAsiaTheme="minorEastAsia" w:cstheme="minorBidi"/>
                <w:color w:val="auto"/>
                <w:sz w:val="21"/>
                <w:szCs w:val="22"/>
                <w:lang w:val="en-US" w:eastAsia="en-US" w:bidi="ar-SA"/>
              </w:rPr>
            </w:pPr>
            <w:r>
              <w:rPr>
                <w:rFonts w:ascii="宋体" w:hAnsi="宋体" w:cs="宋体" w:eastAsiaTheme="minorEastAsia"/>
                <w:color w:val="auto"/>
                <w:sz w:val="21"/>
                <w:szCs w:val="22"/>
                <w:lang w:val="en-US" w:eastAsia="en-US" w:bidi="ar-SA"/>
              </w:rPr>
              <w:t>按《竞争性磋商文件》第二章“竞争性磋商供应商须知--竞争性磋商供应商须知前附表--类似项目业绩”对应内容解析评审。</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rPr>
            </w:pPr>
            <w:r>
              <w:rPr>
                <w:rFonts w:ascii="宋体" w:hAnsi="宋体" w:cs="宋体" w:eastAsiaTheme="minorEastAsia"/>
                <w:color w:val="auto"/>
                <w:sz w:val="21"/>
                <w:szCs w:val="22"/>
                <w:lang w:val="en-US" w:eastAsia="en-US" w:bidi="ar-SA"/>
              </w:rPr>
              <w:t>◆竞争性磋商供应商每有一项类似项目业绩的，得</w:t>
            </w:r>
            <w:r>
              <w:rPr>
                <w:rFonts w:hAnsiTheme="minorHAnsi" w:eastAsiaTheme="minorEastAsia" w:cstheme="minorBidi"/>
                <w:color w:val="auto"/>
                <w:spacing w:val="-1"/>
                <w:sz w:val="21"/>
                <w:szCs w:val="22"/>
                <w:lang w:val="en-US" w:eastAsia="en-US" w:bidi="ar-SA"/>
              </w:rPr>
              <w:t xml:space="preserve"> </w:t>
            </w:r>
            <w:r>
              <w:rPr>
                <w:rFonts w:ascii="宋体" w:hAnsiTheme="minorHAnsi" w:eastAsiaTheme="minorEastAsia" w:cstheme="minorBidi"/>
                <w:color w:val="auto"/>
                <w:sz w:val="21"/>
                <w:szCs w:val="22"/>
                <w:lang w:val="en-US" w:eastAsia="en-US" w:bidi="ar-SA"/>
              </w:rPr>
              <w:t>1</w:t>
            </w:r>
            <w:r>
              <w:rPr>
                <w:rFonts w:hAnsiTheme="minorHAnsi" w:eastAsiaTheme="minorEastAsia" w:cstheme="minorBidi"/>
                <w:color w:val="auto"/>
                <w:spacing w:val="1"/>
                <w:sz w:val="21"/>
                <w:szCs w:val="22"/>
                <w:lang w:val="en-US" w:eastAsia="en-US" w:bidi="ar-SA"/>
              </w:rPr>
              <w:t xml:space="preserve"> </w:t>
            </w:r>
            <w:r>
              <w:rPr>
                <w:rFonts w:ascii="宋体" w:hAnsi="宋体" w:cs="宋体" w:eastAsiaTheme="minorEastAsia"/>
                <w:color w:val="auto"/>
                <w:sz w:val="21"/>
                <w:szCs w:val="22"/>
                <w:lang w:val="en-US" w:eastAsia="en-US" w:bidi="ar-SA"/>
              </w:rPr>
              <w:t>分，满分</w:t>
            </w:r>
            <w:r>
              <w:rPr>
                <w:rFonts w:hAnsiTheme="minorHAnsi" w:eastAsiaTheme="minorEastAsia" w:cstheme="minorBidi"/>
                <w:color w:val="auto"/>
                <w:sz w:val="21"/>
                <w:szCs w:val="22"/>
                <w:lang w:val="en-US" w:eastAsia="en-US" w:bidi="ar-SA"/>
              </w:rPr>
              <w:t xml:space="preserve"> </w:t>
            </w:r>
            <w:r>
              <w:rPr>
                <w:rFonts w:ascii="宋体" w:hAnsiTheme="minorHAnsi" w:eastAsiaTheme="minorEastAsia" w:cstheme="minorBidi"/>
                <w:color w:val="auto"/>
                <w:sz w:val="21"/>
                <w:szCs w:val="22"/>
                <w:lang w:val="en-US" w:eastAsia="en-US" w:bidi="ar-SA"/>
              </w:rPr>
              <w:t>5</w:t>
            </w:r>
            <w:r>
              <w:rPr>
                <w:rFonts w:hAnsiTheme="minorHAnsi" w:eastAsiaTheme="minorEastAsia" w:cstheme="minorBidi"/>
                <w:color w:val="auto"/>
                <w:spacing w:val="1"/>
                <w:sz w:val="21"/>
                <w:szCs w:val="22"/>
                <w:lang w:val="en-US" w:eastAsia="en-US" w:bidi="ar-SA"/>
              </w:rPr>
              <w:t xml:space="preserve"> </w:t>
            </w:r>
            <w:r>
              <w:rPr>
                <w:rFonts w:ascii="宋体" w:hAnsi="宋体" w:cs="宋体" w:eastAsiaTheme="minorEastAsia"/>
                <w:color w:val="auto"/>
                <w:spacing w:val="-1"/>
                <w:sz w:val="21"/>
                <w:szCs w:val="22"/>
                <w:lang w:val="en-US" w:eastAsia="en-US" w:bidi="ar-SA"/>
              </w:rPr>
              <w:t>分。</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项目管理机构</w:t>
            </w:r>
          </w:p>
        </w:tc>
        <w:tc>
          <w:tcPr>
            <w:tcW w:w="6916" w:type="dxa"/>
            <w:vAlign w:val="top"/>
          </w:tcPr>
          <w:p>
            <w:pPr>
              <w:spacing w:before="141" w:after="0" w:line="219" w:lineRule="exact"/>
              <w:ind w:right="0"/>
              <w:jc w:val="left"/>
              <w:rPr>
                <w:rFonts w:hAnsiTheme="minorHAnsi" w:eastAsiaTheme="minorEastAsia" w:cstheme="minorBidi"/>
                <w:color w:val="auto"/>
                <w:sz w:val="21"/>
                <w:szCs w:val="22"/>
                <w:lang w:val="en-US" w:eastAsia="en-US" w:bidi="ar-SA"/>
              </w:rPr>
            </w:pPr>
            <w:r>
              <w:rPr>
                <w:rFonts w:ascii="宋体" w:hAnsi="宋体" w:cs="宋体" w:eastAsiaTheme="minorEastAsia"/>
                <w:color w:val="auto"/>
                <w:spacing w:val="1"/>
                <w:sz w:val="21"/>
                <w:szCs w:val="22"/>
                <w:lang w:val="en-US" w:eastAsia="en-US" w:bidi="ar-SA"/>
              </w:rPr>
              <w:t>1.项目总负责人资历（</w:t>
            </w:r>
            <w:r>
              <w:rPr>
                <w:rFonts w:hint="eastAsia" w:ascii="宋体" w:hAnsi="宋体" w:cs="宋体" w:eastAsiaTheme="minorEastAsia"/>
                <w:color w:val="auto"/>
                <w:spacing w:val="1"/>
                <w:sz w:val="21"/>
                <w:szCs w:val="22"/>
                <w:lang w:val="en-US" w:eastAsia="zh-CN" w:bidi="ar-SA"/>
              </w:rPr>
              <w:t>15</w:t>
            </w:r>
            <w:r>
              <w:rPr>
                <w:rFonts w:hAnsiTheme="minorHAnsi" w:eastAsiaTheme="minorEastAsia" w:cstheme="minorBidi"/>
                <w:color w:val="auto"/>
                <w:sz w:val="21"/>
                <w:szCs w:val="22"/>
                <w:lang w:val="en-US" w:eastAsia="en-US" w:bidi="ar-SA"/>
              </w:rPr>
              <w:t xml:space="preserve"> </w:t>
            </w:r>
            <w:r>
              <w:rPr>
                <w:rFonts w:ascii="宋体" w:hAnsi="宋体" w:cs="宋体" w:eastAsiaTheme="minorEastAsia"/>
                <w:color w:val="auto"/>
                <w:spacing w:val="1"/>
                <w:sz w:val="21"/>
                <w:szCs w:val="22"/>
                <w:lang w:val="en-US" w:eastAsia="en-US" w:bidi="ar-SA"/>
              </w:rPr>
              <w:t>分）</w:t>
            </w:r>
          </w:p>
          <w:p>
            <w:pPr>
              <w:spacing w:before="115" w:after="0" w:line="219" w:lineRule="exact"/>
              <w:ind w:right="0"/>
              <w:jc w:val="left"/>
              <w:rPr>
                <w:rFonts w:hAnsiTheme="minorHAnsi" w:eastAsiaTheme="minorEastAsia" w:cstheme="minorBidi"/>
                <w:color w:val="auto"/>
                <w:sz w:val="21"/>
                <w:szCs w:val="22"/>
                <w:lang w:val="en-US" w:eastAsia="en-US" w:bidi="ar-SA"/>
              </w:rPr>
            </w:pPr>
            <w:r>
              <w:rPr>
                <w:rFonts w:ascii="宋体" w:hAnsi="宋体" w:cs="宋体" w:eastAsiaTheme="minorEastAsia"/>
                <w:color w:val="auto"/>
                <w:spacing w:val="1"/>
                <w:sz w:val="21"/>
                <w:szCs w:val="22"/>
                <w:lang w:val="en-US" w:eastAsia="en-US" w:bidi="ar-SA"/>
              </w:rPr>
              <w:t>◆优：拟委任本项目勘察项目负责人满足下述①、</w:t>
            </w:r>
            <w:r>
              <w:rPr>
                <w:rFonts w:hint="eastAsia" w:ascii="宋体" w:hAnsi="宋体" w:cs="宋体" w:eastAsiaTheme="minorEastAsia"/>
                <w:color w:val="auto"/>
                <w:spacing w:val="1"/>
                <w:sz w:val="21"/>
                <w:szCs w:val="22"/>
                <w:lang w:val="en-US" w:eastAsia="zh-CN" w:bidi="ar-SA"/>
              </w:rPr>
              <w:t>③</w:t>
            </w:r>
            <w:r>
              <w:rPr>
                <w:rFonts w:ascii="宋体" w:hAnsi="宋体" w:cs="宋体" w:eastAsiaTheme="minorEastAsia"/>
                <w:color w:val="auto"/>
                <w:spacing w:val="1"/>
                <w:sz w:val="21"/>
                <w:szCs w:val="22"/>
                <w:lang w:val="en-US" w:eastAsia="en-US" w:bidi="ar-SA"/>
              </w:rPr>
              <w:t>项资历标准的，得</w:t>
            </w:r>
            <w:r>
              <w:rPr>
                <w:rFonts w:hAnsiTheme="minorHAnsi" w:eastAsiaTheme="minorEastAsia" w:cstheme="minorBidi"/>
                <w:color w:val="auto"/>
                <w:spacing w:val="1"/>
                <w:sz w:val="21"/>
                <w:szCs w:val="22"/>
                <w:lang w:val="en-US" w:eastAsia="en-US" w:bidi="ar-SA"/>
              </w:rPr>
              <w:t xml:space="preserve"> </w:t>
            </w:r>
            <w:r>
              <w:rPr>
                <w:rFonts w:hint="eastAsia" w:ascii="宋体" w:hAnsiTheme="minorHAnsi" w:eastAsiaTheme="minorEastAsia" w:cstheme="minorBidi"/>
                <w:color w:val="auto"/>
                <w:spacing w:val="1"/>
                <w:sz w:val="21"/>
                <w:szCs w:val="22"/>
                <w:lang w:val="en-US" w:eastAsia="zh-CN" w:bidi="ar-SA"/>
              </w:rPr>
              <w:t>15</w:t>
            </w:r>
            <w:r>
              <w:rPr>
                <w:rFonts w:hAnsiTheme="minorHAnsi" w:eastAsiaTheme="minorEastAsia" w:cstheme="minorBidi"/>
                <w:color w:val="auto"/>
                <w:sz w:val="21"/>
                <w:szCs w:val="22"/>
                <w:lang w:val="en-US" w:eastAsia="en-US" w:bidi="ar-SA"/>
              </w:rPr>
              <w:t xml:space="preserve"> </w:t>
            </w:r>
            <w:r>
              <w:rPr>
                <w:rFonts w:ascii="宋体" w:hAnsi="宋体" w:cs="宋体" w:eastAsiaTheme="minorEastAsia"/>
                <w:color w:val="auto"/>
                <w:spacing w:val="1"/>
                <w:sz w:val="21"/>
                <w:szCs w:val="22"/>
                <w:lang w:val="en-US" w:eastAsia="en-US" w:bidi="ar-SA"/>
              </w:rPr>
              <w:t>分。</w:t>
            </w:r>
          </w:p>
          <w:p>
            <w:pPr>
              <w:spacing w:before="119" w:after="0" w:line="219" w:lineRule="exact"/>
              <w:ind w:right="0"/>
              <w:jc w:val="left"/>
              <w:rPr>
                <w:rFonts w:hAnsiTheme="minorHAnsi" w:eastAsiaTheme="minorEastAsia" w:cstheme="minorBidi"/>
                <w:color w:val="auto"/>
                <w:sz w:val="21"/>
                <w:szCs w:val="22"/>
                <w:lang w:val="en-US" w:eastAsia="en-US" w:bidi="ar-SA"/>
              </w:rPr>
            </w:pPr>
            <w:r>
              <w:rPr>
                <w:rFonts w:ascii="宋体" w:hAnsi="宋体" w:cs="宋体" w:eastAsiaTheme="minorEastAsia"/>
                <w:color w:val="auto"/>
                <w:spacing w:val="1"/>
                <w:sz w:val="21"/>
                <w:szCs w:val="22"/>
                <w:lang w:val="en-US" w:eastAsia="en-US" w:bidi="ar-SA"/>
              </w:rPr>
              <w:t>◆良：拟委任本项目勘察项目负责人满足下述①、</w:t>
            </w:r>
            <w:r>
              <w:rPr>
                <w:rFonts w:hint="eastAsia" w:ascii="宋体" w:hAnsi="宋体" w:cs="宋体" w:eastAsiaTheme="minorEastAsia"/>
                <w:color w:val="auto"/>
                <w:spacing w:val="1"/>
                <w:sz w:val="21"/>
                <w:szCs w:val="22"/>
                <w:lang w:val="en-US" w:eastAsia="zh-CN" w:bidi="ar-SA"/>
              </w:rPr>
              <w:t>④</w:t>
            </w:r>
            <w:r>
              <w:rPr>
                <w:rFonts w:ascii="宋体" w:hAnsi="宋体" w:cs="宋体" w:eastAsiaTheme="minorEastAsia"/>
                <w:color w:val="auto"/>
                <w:spacing w:val="1"/>
                <w:sz w:val="21"/>
                <w:szCs w:val="22"/>
                <w:lang w:val="en-US" w:eastAsia="en-US" w:bidi="ar-SA"/>
              </w:rPr>
              <w:t>项资历标准的，得</w:t>
            </w:r>
            <w:r>
              <w:rPr>
                <w:rFonts w:hAnsiTheme="minorHAnsi" w:eastAsiaTheme="minorEastAsia" w:cstheme="minorBidi"/>
                <w:color w:val="auto"/>
                <w:spacing w:val="1"/>
                <w:sz w:val="21"/>
                <w:szCs w:val="22"/>
                <w:lang w:val="en-US" w:eastAsia="en-US" w:bidi="ar-SA"/>
              </w:rPr>
              <w:t xml:space="preserve"> </w:t>
            </w:r>
            <w:r>
              <w:rPr>
                <w:rFonts w:hint="eastAsia" w:ascii="宋体" w:hAnsiTheme="minorHAnsi" w:eastAsiaTheme="minorEastAsia" w:cstheme="minorBidi"/>
                <w:color w:val="auto"/>
                <w:sz w:val="21"/>
                <w:szCs w:val="22"/>
                <w:lang w:val="en-US" w:eastAsia="zh-CN" w:bidi="ar-SA"/>
              </w:rPr>
              <w:t>10</w:t>
            </w:r>
            <w:r>
              <w:rPr>
                <w:rFonts w:hAnsiTheme="minorHAnsi" w:eastAsiaTheme="minorEastAsia" w:cstheme="minorBidi"/>
                <w:color w:val="auto"/>
                <w:spacing w:val="1"/>
                <w:sz w:val="21"/>
                <w:szCs w:val="22"/>
                <w:lang w:val="en-US" w:eastAsia="en-US" w:bidi="ar-SA"/>
              </w:rPr>
              <w:t xml:space="preserve"> </w:t>
            </w:r>
            <w:r>
              <w:rPr>
                <w:rFonts w:ascii="宋体" w:hAnsi="宋体" w:cs="宋体" w:eastAsiaTheme="minorEastAsia"/>
                <w:color w:val="auto"/>
                <w:spacing w:val="1"/>
                <w:sz w:val="21"/>
                <w:szCs w:val="22"/>
                <w:lang w:val="en-US" w:eastAsia="en-US" w:bidi="ar-SA"/>
              </w:rPr>
              <w:t>分。</w:t>
            </w:r>
          </w:p>
          <w:p>
            <w:pPr>
              <w:spacing w:before="122" w:after="0" w:line="219" w:lineRule="exact"/>
              <w:ind w:right="0"/>
              <w:jc w:val="left"/>
              <w:rPr>
                <w:rFonts w:hAnsiTheme="minorHAnsi" w:eastAsiaTheme="minorEastAsia" w:cstheme="minorBidi"/>
                <w:color w:val="auto"/>
                <w:sz w:val="21"/>
                <w:szCs w:val="22"/>
                <w:lang w:val="en-US" w:eastAsia="en-US" w:bidi="ar-SA"/>
              </w:rPr>
            </w:pPr>
            <w:r>
              <w:rPr>
                <w:rFonts w:ascii="宋体" w:hAnsi="宋体" w:cs="宋体" w:eastAsiaTheme="minorEastAsia"/>
                <w:color w:val="auto"/>
                <w:spacing w:val="1"/>
                <w:sz w:val="21"/>
                <w:szCs w:val="22"/>
                <w:lang w:val="en-US" w:eastAsia="en-US" w:bidi="ar-SA"/>
              </w:rPr>
              <w:t>◆中：拟委任本项目勘察项目负责人满足下述②、</w:t>
            </w:r>
            <w:r>
              <w:rPr>
                <w:rFonts w:hint="eastAsia" w:ascii="宋体" w:hAnsi="宋体" w:cs="宋体" w:eastAsiaTheme="minorEastAsia"/>
                <w:color w:val="auto"/>
                <w:spacing w:val="1"/>
                <w:sz w:val="21"/>
                <w:szCs w:val="22"/>
                <w:lang w:val="en-US" w:eastAsia="zh-CN" w:bidi="ar-SA"/>
              </w:rPr>
              <w:t>③或①、⑤或②、④</w:t>
            </w:r>
            <w:r>
              <w:rPr>
                <w:rFonts w:ascii="宋体" w:hAnsi="宋体" w:cs="宋体" w:eastAsiaTheme="minorEastAsia"/>
                <w:color w:val="auto"/>
                <w:spacing w:val="1"/>
                <w:sz w:val="21"/>
                <w:szCs w:val="22"/>
                <w:lang w:val="en-US" w:eastAsia="en-US" w:bidi="ar-SA"/>
              </w:rPr>
              <w:t>项资历标准的，得</w:t>
            </w:r>
            <w:r>
              <w:rPr>
                <w:rFonts w:hAnsiTheme="minorHAnsi" w:eastAsiaTheme="minorEastAsia" w:cstheme="minorBidi"/>
                <w:color w:val="auto"/>
                <w:spacing w:val="1"/>
                <w:sz w:val="21"/>
                <w:szCs w:val="22"/>
                <w:lang w:val="en-US" w:eastAsia="en-US" w:bidi="ar-SA"/>
              </w:rPr>
              <w:t xml:space="preserve"> </w:t>
            </w:r>
            <w:r>
              <w:rPr>
                <w:rFonts w:hint="eastAsia" w:ascii="宋体" w:hAnsiTheme="minorHAnsi" w:eastAsiaTheme="minorEastAsia" w:cstheme="minorBidi"/>
                <w:color w:val="auto"/>
                <w:sz w:val="21"/>
                <w:szCs w:val="22"/>
                <w:lang w:val="en-US" w:eastAsia="zh-CN" w:bidi="ar-SA"/>
              </w:rPr>
              <w:t>5</w:t>
            </w:r>
            <w:r>
              <w:rPr>
                <w:rFonts w:hAnsiTheme="minorHAnsi" w:eastAsiaTheme="minorEastAsia" w:cstheme="minorBidi"/>
                <w:color w:val="auto"/>
                <w:spacing w:val="1"/>
                <w:sz w:val="21"/>
                <w:szCs w:val="22"/>
                <w:lang w:val="en-US" w:eastAsia="en-US" w:bidi="ar-SA"/>
              </w:rPr>
              <w:t xml:space="preserve"> </w:t>
            </w:r>
            <w:r>
              <w:rPr>
                <w:rFonts w:ascii="宋体" w:hAnsi="宋体" w:cs="宋体" w:eastAsiaTheme="minorEastAsia"/>
                <w:color w:val="auto"/>
                <w:spacing w:val="1"/>
                <w:sz w:val="21"/>
                <w:szCs w:val="22"/>
                <w:lang w:val="en-US" w:eastAsia="en-US" w:bidi="ar-SA"/>
              </w:rPr>
              <w:t>分。</w:t>
            </w:r>
          </w:p>
          <w:p>
            <w:pPr>
              <w:spacing w:before="122" w:after="0" w:line="219" w:lineRule="exact"/>
              <w:ind w:right="0"/>
              <w:jc w:val="left"/>
              <w:rPr>
                <w:rFonts w:hAnsiTheme="minorHAnsi" w:eastAsiaTheme="minorEastAsia" w:cstheme="minorBidi"/>
                <w:color w:val="auto"/>
                <w:sz w:val="21"/>
                <w:szCs w:val="22"/>
                <w:lang w:val="en-US" w:eastAsia="en-US" w:bidi="ar-SA"/>
              </w:rPr>
            </w:pPr>
            <w:r>
              <w:rPr>
                <w:rFonts w:ascii="宋体" w:hAnsi="宋体" w:cs="宋体" w:eastAsiaTheme="minorEastAsia"/>
                <w:color w:val="auto"/>
                <w:spacing w:val="1"/>
                <w:sz w:val="21"/>
                <w:szCs w:val="22"/>
                <w:lang w:val="en-US" w:eastAsia="en-US" w:bidi="ar-SA"/>
              </w:rPr>
              <w:t>◆差：拟委任本项目勘察项目负责人满足下述②、</w:t>
            </w:r>
            <w:r>
              <w:rPr>
                <w:rFonts w:hint="eastAsia" w:ascii="宋体" w:hAnsi="宋体" w:cs="宋体" w:eastAsiaTheme="minorEastAsia"/>
                <w:color w:val="auto"/>
                <w:spacing w:val="1"/>
                <w:sz w:val="21"/>
                <w:szCs w:val="22"/>
                <w:lang w:val="en-US" w:eastAsia="zh-CN" w:bidi="ar-SA"/>
              </w:rPr>
              <w:t>⑤</w:t>
            </w:r>
            <w:r>
              <w:rPr>
                <w:rFonts w:ascii="宋体" w:hAnsi="宋体" w:cs="宋体" w:eastAsiaTheme="minorEastAsia"/>
                <w:color w:val="auto"/>
                <w:spacing w:val="1"/>
                <w:sz w:val="21"/>
                <w:szCs w:val="22"/>
                <w:lang w:val="en-US" w:eastAsia="en-US" w:bidi="ar-SA"/>
              </w:rPr>
              <w:t>项资历标准的，得</w:t>
            </w:r>
            <w:r>
              <w:rPr>
                <w:rFonts w:hAnsiTheme="minorHAnsi" w:eastAsiaTheme="minorEastAsia" w:cstheme="minorBidi"/>
                <w:color w:val="auto"/>
                <w:spacing w:val="1"/>
                <w:sz w:val="21"/>
                <w:szCs w:val="22"/>
                <w:lang w:val="en-US" w:eastAsia="en-US" w:bidi="ar-SA"/>
              </w:rPr>
              <w:t xml:space="preserve"> </w:t>
            </w:r>
            <w:r>
              <w:rPr>
                <w:rFonts w:hint="eastAsia" w:ascii="宋体" w:hAnsiTheme="minorHAnsi" w:eastAsiaTheme="minorEastAsia" w:cstheme="minorBidi"/>
                <w:color w:val="auto"/>
                <w:sz w:val="21"/>
                <w:szCs w:val="22"/>
                <w:lang w:val="en-US" w:eastAsia="zh-CN" w:bidi="ar-SA"/>
              </w:rPr>
              <w:t>1</w:t>
            </w:r>
            <w:r>
              <w:rPr>
                <w:rFonts w:hAnsiTheme="minorHAnsi" w:eastAsiaTheme="minorEastAsia" w:cstheme="minorBidi"/>
                <w:color w:val="auto"/>
                <w:spacing w:val="1"/>
                <w:sz w:val="21"/>
                <w:szCs w:val="22"/>
                <w:lang w:val="en-US" w:eastAsia="en-US" w:bidi="ar-SA"/>
              </w:rPr>
              <w:t xml:space="preserve"> </w:t>
            </w:r>
            <w:r>
              <w:rPr>
                <w:rFonts w:ascii="宋体" w:hAnsi="宋体" w:cs="宋体" w:eastAsiaTheme="minorEastAsia"/>
                <w:color w:val="auto"/>
                <w:spacing w:val="1"/>
                <w:sz w:val="21"/>
                <w:szCs w:val="22"/>
                <w:lang w:val="en-US" w:eastAsia="en-US" w:bidi="ar-SA"/>
              </w:rPr>
              <w:t>分。</w:t>
            </w:r>
          </w:p>
          <w:p>
            <w:pPr>
              <w:spacing w:before="127" w:after="0" w:line="219" w:lineRule="exact"/>
              <w:ind w:right="0"/>
              <w:jc w:val="left"/>
              <w:rPr>
                <w:rFonts w:ascii="宋体" w:hAnsi="宋体" w:cs="宋体" w:eastAsiaTheme="minorEastAsia"/>
                <w:color w:val="auto"/>
                <w:spacing w:val="-16"/>
                <w:sz w:val="21"/>
                <w:szCs w:val="22"/>
                <w:lang w:val="en-US" w:eastAsia="en-US" w:bidi="ar-SA"/>
              </w:rPr>
            </w:pPr>
            <w:r>
              <w:rPr>
                <w:rFonts w:ascii="宋体" w:hAnsi="宋体" w:cs="宋体" w:eastAsiaTheme="minorEastAsia"/>
                <w:color w:val="auto"/>
                <w:spacing w:val="-16"/>
                <w:sz w:val="21"/>
                <w:szCs w:val="22"/>
                <w:lang w:val="en-US" w:eastAsia="en-US" w:bidi="ar-SA"/>
              </w:rPr>
              <w:t>①持有有效的《专业技术资格证书（职称证书）》，“专业所属类别”为“岩土工程或水文”，“资格等级（名称）”为“高级工程师（高级）及以上”。</w:t>
            </w:r>
          </w:p>
          <w:p>
            <w:pPr>
              <w:spacing w:before="0" w:after="0" w:line="209" w:lineRule="exact"/>
              <w:ind w:right="0"/>
              <w:jc w:val="left"/>
              <w:rPr>
                <w:rFonts w:ascii="宋体" w:hAnsi="宋体" w:cs="宋体" w:eastAsiaTheme="minorEastAsia"/>
                <w:color w:val="auto"/>
                <w:spacing w:val="-16"/>
                <w:sz w:val="21"/>
                <w:szCs w:val="22"/>
                <w:lang w:val="en-US" w:eastAsia="en-US" w:bidi="ar-SA"/>
              </w:rPr>
            </w:pPr>
            <w:r>
              <w:rPr>
                <w:rFonts w:ascii="宋体" w:hAnsi="宋体" w:cs="宋体" w:eastAsiaTheme="minorEastAsia"/>
                <w:color w:val="auto"/>
                <w:spacing w:val="-16"/>
                <w:sz w:val="21"/>
                <w:szCs w:val="22"/>
                <w:lang w:val="en-US" w:eastAsia="en-US" w:bidi="ar-SA"/>
              </w:rPr>
              <w:t>②持有有效的《专业技术资格证书（职称证书）》，“专业所属类别”为“岩土工程或水文”，“资格等级（名称）”为“工程师（中级）”。</w:t>
            </w:r>
          </w:p>
          <w:p>
            <w:pPr>
              <w:keepNext w:val="0"/>
              <w:keepLines w:val="0"/>
              <w:pageBreakBefore w:val="0"/>
              <w:widowControl w:val="0"/>
              <w:kinsoku/>
              <w:wordWrap/>
              <w:overflowPunct/>
              <w:topLinePunct w:val="0"/>
              <w:autoSpaceDE/>
              <w:autoSpaceDN/>
              <w:bidi w:val="0"/>
              <w:adjustRightInd/>
              <w:snapToGrid/>
              <w:spacing w:line="300" w:lineRule="auto"/>
              <w:textAlignment w:val="auto"/>
              <w:rPr>
                <w:color w:val="auto"/>
                <w:lang w:val="en-US" w:eastAsia="en-US"/>
              </w:rPr>
            </w:pPr>
            <w:r>
              <w:rPr>
                <w:rFonts w:hint="eastAsia" w:ascii="宋体" w:hAnsi="宋体" w:cs="宋体" w:eastAsiaTheme="minorEastAsia"/>
                <w:color w:val="auto"/>
                <w:spacing w:val="-14"/>
                <w:sz w:val="21"/>
                <w:szCs w:val="22"/>
                <w:lang w:val="en-US" w:eastAsia="zh-CN" w:bidi="ar-SA"/>
              </w:rPr>
              <w:t>③</w:t>
            </w:r>
            <w:r>
              <w:rPr>
                <w:rFonts w:ascii="宋体" w:hAnsi="宋体" w:cs="宋体" w:eastAsiaTheme="minorEastAsia"/>
                <w:color w:val="auto"/>
                <w:spacing w:val="-14"/>
                <w:sz w:val="21"/>
                <w:szCs w:val="22"/>
                <w:lang w:val="en-US" w:eastAsia="en-US" w:bidi="ar-SA"/>
              </w:rPr>
              <w:t>持有有效的《毕业（学历（位））证书》，“学历”为“研究生”且“学位”为</w:t>
            </w:r>
            <w:r>
              <w:rPr>
                <w:rFonts w:hint="eastAsia" w:ascii="宋体" w:hAnsi="宋体" w:cs="宋体" w:eastAsiaTheme="minorEastAsia"/>
                <w:color w:val="auto"/>
                <w:spacing w:val="-14"/>
                <w:sz w:val="21"/>
                <w:szCs w:val="22"/>
                <w:lang w:val="en-US" w:eastAsia="en-US" w:bidi="ar-SA"/>
              </w:rPr>
              <w:t>“</w:t>
            </w:r>
            <w:r>
              <w:rPr>
                <w:rFonts w:hint="eastAsia" w:ascii="宋体" w:hAnsi="宋体" w:cs="宋体" w:eastAsiaTheme="minorEastAsia"/>
                <w:color w:val="auto"/>
                <w:spacing w:val="-14"/>
                <w:sz w:val="21"/>
                <w:szCs w:val="22"/>
                <w:lang w:val="en-US" w:eastAsia="zh-CN" w:bidi="ar-SA"/>
              </w:rPr>
              <w:t>博士</w:t>
            </w:r>
            <w:r>
              <w:rPr>
                <w:rFonts w:hint="eastAsia" w:ascii="宋体" w:hAnsi="宋体" w:cs="宋体" w:eastAsiaTheme="minorEastAsia"/>
                <w:color w:val="auto"/>
                <w:spacing w:val="-14"/>
                <w:sz w:val="21"/>
                <w:szCs w:val="22"/>
                <w:lang w:val="en-US" w:eastAsia="en-US" w:bidi="ar-SA"/>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cs="宋体" w:eastAsiaTheme="minorEastAsia"/>
                <w:color w:val="auto"/>
                <w:spacing w:val="-14"/>
                <w:sz w:val="21"/>
                <w:szCs w:val="22"/>
                <w:lang w:val="en-US" w:eastAsia="en-US" w:bidi="ar-SA"/>
              </w:rPr>
            </w:pPr>
            <w:r>
              <w:rPr>
                <w:rFonts w:hint="eastAsia" w:ascii="宋体" w:hAnsi="宋体" w:cs="宋体" w:eastAsiaTheme="minorEastAsia"/>
                <w:color w:val="auto"/>
                <w:spacing w:val="-14"/>
                <w:sz w:val="21"/>
                <w:szCs w:val="22"/>
                <w:lang w:val="en-US" w:eastAsia="zh-CN" w:bidi="ar-SA"/>
              </w:rPr>
              <w:t>④</w:t>
            </w:r>
            <w:r>
              <w:rPr>
                <w:rFonts w:ascii="宋体" w:hAnsi="宋体" w:cs="宋体" w:eastAsiaTheme="minorEastAsia"/>
                <w:color w:val="auto"/>
                <w:spacing w:val="-14"/>
                <w:sz w:val="21"/>
                <w:szCs w:val="22"/>
                <w:lang w:val="en-US" w:eastAsia="en-US" w:bidi="ar-SA"/>
              </w:rPr>
              <w:t>持有有效的《毕业（学历（位））证书》，“学历”为“研究生”且“学位”为</w:t>
            </w:r>
            <w:r>
              <w:rPr>
                <w:rFonts w:hint="eastAsia" w:ascii="宋体" w:hAnsi="宋体" w:cs="宋体" w:eastAsiaTheme="minorEastAsia"/>
                <w:color w:val="auto"/>
                <w:spacing w:val="-14"/>
                <w:sz w:val="21"/>
                <w:szCs w:val="22"/>
                <w:lang w:val="en-US" w:eastAsia="en-US" w:bidi="ar-SA"/>
              </w:rPr>
              <w:t>“硕士”。</w:t>
            </w:r>
          </w:p>
          <w:p>
            <w:pPr>
              <w:pStyle w:val="24"/>
              <w:rPr>
                <w:rFonts w:ascii="宋体" w:hAnsi="宋体" w:cs="宋体" w:eastAsiaTheme="minorEastAsia"/>
                <w:color w:val="auto"/>
                <w:spacing w:val="-20"/>
                <w:sz w:val="21"/>
                <w:szCs w:val="22"/>
                <w:lang w:val="en-US" w:eastAsia="en-US" w:bidi="ar-SA"/>
              </w:rPr>
            </w:pPr>
            <w:r>
              <w:rPr>
                <w:rFonts w:hint="eastAsia" w:ascii="宋体" w:hAnsi="宋体" w:cs="宋体" w:eastAsiaTheme="minorEastAsia"/>
                <w:color w:val="auto"/>
                <w:spacing w:val="-20"/>
                <w:sz w:val="21"/>
                <w:szCs w:val="22"/>
                <w:lang w:val="en-US" w:eastAsia="zh-CN" w:bidi="ar-SA"/>
              </w:rPr>
              <w:t>⑤</w:t>
            </w:r>
            <w:r>
              <w:rPr>
                <w:rFonts w:ascii="宋体" w:hAnsi="宋体" w:cs="宋体" w:eastAsiaTheme="minorEastAsia"/>
                <w:color w:val="auto"/>
                <w:spacing w:val="-20"/>
                <w:sz w:val="21"/>
                <w:szCs w:val="22"/>
                <w:lang w:val="en-US" w:eastAsia="en-US" w:bidi="ar-SA"/>
              </w:rPr>
              <w:t>持有有效的《毕业（学历（位））证书》，“学历”为“本科”且“学位”为“学士及以上”</w:t>
            </w:r>
          </w:p>
          <w:p>
            <w:pPr>
              <w:pStyle w:val="24"/>
              <w:rPr>
                <w:rFonts w:hAnsiTheme="minorHAnsi" w:eastAsiaTheme="minorEastAsia" w:cstheme="minorBidi"/>
                <w:color w:val="auto"/>
                <w:sz w:val="21"/>
                <w:szCs w:val="22"/>
                <w:lang w:val="en-US" w:eastAsia="en-US" w:bidi="ar-SA"/>
              </w:rPr>
            </w:pPr>
            <w:r>
              <w:rPr>
                <w:rFonts w:ascii="宋体" w:hAnsi="宋体" w:cs="宋体" w:eastAsiaTheme="minorEastAsia"/>
                <w:color w:val="auto"/>
                <w:spacing w:val="1"/>
                <w:sz w:val="21"/>
                <w:szCs w:val="22"/>
                <w:lang w:val="en-US" w:eastAsia="en-US" w:bidi="ar-SA"/>
              </w:rPr>
              <w:t>2.其他主要人员资历（除项目总负责人外）（</w:t>
            </w:r>
            <w:r>
              <w:rPr>
                <w:rFonts w:hint="eastAsia" w:ascii="宋体" w:hAnsi="宋体" w:cs="宋体" w:eastAsiaTheme="minorEastAsia"/>
                <w:color w:val="auto"/>
                <w:spacing w:val="1"/>
                <w:sz w:val="21"/>
                <w:szCs w:val="22"/>
                <w:lang w:val="en-US" w:eastAsia="zh-CN" w:bidi="ar-SA"/>
              </w:rPr>
              <w:t>5</w:t>
            </w:r>
            <w:r>
              <w:rPr>
                <w:rFonts w:hAnsiTheme="minorHAnsi" w:eastAsiaTheme="minorEastAsia" w:cstheme="minorBidi"/>
                <w:color w:val="auto"/>
                <w:sz w:val="21"/>
                <w:szCs w:val="22"/>
                <w:lang w:val="en-US" w:eastAsia="en-US" w:bidi="ar-SA"/>
              </w:rPr>
              <w:t xml:space="preserve"> </w:t>
            </w:r>
            <w:r>
              <w:rPr>
                <w:rFonts w:ascii="宋体" w:hAnsi="宋体" w:cs="宋体" w:eastAsiaTheme="minorEastAsia"/>
                <w:color w:val="auto"/>
                <w:spacing w:val="1"/>
                <w:sz w:val="21"/>
                <w:szCs w:val="22"/>
                <w:lang w:val="en-US" w:eastAsia="en-US" w:bidi="ar-SA"/>
              </w:rPr>
              <w:t>分）</w:t>
            </w:r>
            <w:r>
              <w:rPr>
                <w:rFonts w:ascii="宋体" w:hAnsi="宋体" w:cs="宋体" w:eastAsiaTheme="minorEastAsia"/>
                <w:color w:val="auto"/>
                <w:sz w:val="21"/>
                <w:szCs w:val="22"/>
                <w:lang w:val="en-US" w:eastAsia="en-US" w:bidi="ar-SA"/>
              </w:rPr>
              <w:t>至少设置有“技术负责人”、“审核员”、“审定员”、“现场编录员”和“测量员”</w:t>
            </w:r>
          </w:p>
          <w:p>
            <w:pPr>
              <w:spacing w:before="122" w:after="0" w:line="219" w:lineRule="exact"/>
              <w:ind w:right="0"/>
              <w:jc w:val="left"/>
              <w:rPr>
                <w:rFonts w:ascii="宋体" w:hAnsi="宋体" w:cs="宋体" w:eastAsiaTheme="minorEastAsia"/>
                <w:color w:val="auto"/>
                <w:sz w:val="21"/>
                <w:szCs w:val="22"/>
                <w:lang w:val="en-US" w:eastAsia="en-US" w:bidi="ar-SA"/>
              </w:rPr>
            </w:pPr>
            <w:r>
              <w:rPr>
                <w:rFonts w:ascii="宋体" w:hAnsi="宋体" w:cs="宋体" w:eastAsiaTheme="minorEastAsia"/>
                <w:color w:val="auto"/>
                <w:sz w:val="21"/>
                <w:szCs w:val="22"/>
                <w:lang w:val="en-US" w:eastAsia="en-US" w:bidi="ar-SA"/>
              </w:rPr>
              <w:t>专业负责岗位，每岗位至少</w:t>
            </w:r>
            <w:r>
              <w:rPr>
                <w:rFonts w:hAnsiTheme="minorHAnsi" w:eastAsiaTheme="minorEastAsia" w:cstheme="minorBidi"/>
                <w:color w:val="auto"/>
                <w:spacing w:val="-3"/>
                <w:sz w:val="21"/>
                <w:szCs w:val="22"/>
                <w:lang w:val="en-US" w:eastAsia="en-US" w:bidi="ar-SA"/>
              </w:rPr>
              <w:t xml:space="preserve"> </w:t>
            </w:r>
            <w:r>
              <w:rPr>
                <w:rFonts w:ascii="宋体" w:hAnsiTheme="minorHAnsi" w:eastAsiaTheme="minorEastAsia" w:cstheme="minorBidi"/>
                <w:color w:val="auto"/>
                <w:sz w:val="21"/>
                <w:szCs w:val="22"/>
                <w:lang w:val="en-US" w:eastAsia="en-US" w:bidi="ar-SA"/>
              </w:rPr>
              <w:t>1</w:t>
            </w:r>
            <w:r>
              <w:rPr>
                <w:rFonts w:hAnsiTheme="minorHAnsi" w:eastAsiaTheme="minorEastAsia" w:cstheme="minorBidi"/>
                <w:color w:val="auto"/>
                <w:spacing w:val="1"/>
                <w:sz w:val="21"/>
                <w:szCs w:val="22"/>
                <w:lang w:val="en-US" w:eastAsia="en-US" w:bidi="ar-SA"/>
              </w:rPr>
              <w:t xml:space="preserve"> </w:t>
            </w:r>
            <w:r>
              <w:rPr>
                <w:rFonts w:ascii="宋体" w:hAnsi="宋体" w:cs="宋体" w:eastAsiaTheme="minorEastAsia"/>
                <w:color w:val="auto"/>
                <w:sz w:val="21"/>
                <w:szCs w:val="22"/>
                <w:lang w:val="en-US" w:eastAsia="en-US" w:bidi="ar-SA"/>
              </w:rPr>
              <w:t>人，各岗位的任职人员应为本单位在岗人员，且不应重复交叉其任职的岗位，否则不予计分。</w:t>
            </w:r>
          </w:p>
          <w:p>
            <w:pPr>
              <w:spacing w:before="119" w:after="0" w:line="219" w:lineRule="exact"/>
              <w:ind w:right="0"/>
              <w:jc w:val="left"/>
              <w:rPr>
                <w:rFonts w:hAnsiTheme="minorHAnsi" w:eastAsiaTheme="minorEastAsia" w:cstheme="minorBidi"/>
                <w:color w:val="auto"/>
                <w:sz w:val="21"/>
                <w:szCs w:val="22"/>
                <w:lang w:val="en-US" w:eastAsia="en-US" w:bidi="ar-SA"/>
              </w:rPr>
            </w:pPr>
            <w:r>
              <w:rPr>
                <w:rFonts w:ascii="宋体" w:hAnsi="宋体" w:cs="宋体" w:eastAsiaTheme="minorEastAsia"/>
                <w:color w:val="auto"/>
                <w:sz w:val="21"/>
                <w:szCs w:val="22"/>
                <w:lang w:val="en-US" w:eastAsia="en-US" w:bidi="ar-SA"/>
              </w:rPr>
              <w:t>◆-1：持有有效的《专业技术资格证书（职称证书）》，“专业所属类别”为“岩土工程或地质与岩土工程”，</w:t>
            </w:r>
            <w:r>
              <w:rPr>
                <w:rFonts w:hAnsiTheme="minorHAnsi" w:eastAsiaTheme="minorEastAsia" w:cstheme="minorBidi"/>
                <w:color w:val="auto"/>
                <w:spacing w:val="52"/>
                <w:sz w:val="21"/>
                <w:szCs w:val="22"/>
                <w:lang w:val="en-US" w:eastAsia="en-US" w:bidi="ar-SA"/>
              </w:rPr>
              <w:t xml:space="preserve"> </w:t>
            </w:r>
            <w:r>
              <w:rPr>
                <w:rFonts w:ascii="宋体" w:hAnsi="宋体" w:cs="宋体" w:eastAsiaTheme="minorEastAsia"/>
                <w:color w:val="auto"/>
                <w:sz w:val="21"/>
                <w:szCs w:val="22"/>
                <w:lang w:val="en-US" w:eastAsia="en-US" w:bidi="ar-SA"/>
              </w:rPr>
              <w:t>“资格等级（名称）”为“工程师（中级）及以上”的，每名得</w:t>
            </w:r>
            <w:r>
              <w:rPr>
                <w:rFonts w:hAnsiTheme="minorHAnsi" w:eastAsiaTheme="minorEastAsia" w:cstheme="minorBidi"/>
                <w:color w:val="auto"/>
                <w:spacing w:val="-1"/>
                <w:sz w:val="21"/>
                <w:szCs w:val="22"/>
                <w:lang w:val="en-US" w:eastAsia="en-US" w:bidi="ar-SA"/>
              </w:rPr>
              <w:t xml:space="preserve"> </w:t>
            </w:r>
            <w:r>
              <w:rPr>
                <w:rFonts w:ascii="宋体" w:hAnsiTheme="minorHAnsi" w:eastAsiaTheme="minorEastAsia" w:cstheme="minorBidi"/>
                <w:color w:val="auto"/>
                <w:sz w:val="21"/>
                <w:szCs w:val="22"/>
                <w:lang w:val="en-US" w:eastAsia="en-US" w:bidi="ar-SA"/>
              </w:rPr>
              <w:t>1</w:t>
            </w:r>
            <w:r>
              <w:rPr>
                <w:rFonts w:hAnsiTheme="minorHAnsi" w:eastAsiaTheme="minorEastAsia" w:cstheme="minorBidi"/>
                <w:color w:val="auto"/>
                <w:spacing w:val="1"/>
                <w:sz w:val="21"/>
                <w:szCs w:val="22"/>
                <w:lang w:val="en-US" w:eastAsia="en-US" w:bidi="ar-SA"/>
              </w:rPr>
              <w:t xml:space="preserve"> </w:t>
            </w:r>
            <w:r>
              <w:rPr>
                <w:rFonts w:ascii="宋体" w:hAnsi="宋体" w:cs="宋体" w:eastAsiaTheme="minorEastAsia"/>
                <w:color w:val="auto"/>
                <w:spacing w:val="-1"/>
                <w:sz w:val="21"/>
                <w:szCs w:val="22"/>
                <w:lang w:val="en-US" w:eastAsia="en-US" w:bidi="ar-SA"/>
              </w:rPr>
              <w:t>分，</w:t>
            </w:r>
            <w:r>
              <w:rPr>
                <w:rFonts w:ascii="宋体" w:hAnsi="宋体" w:cs="宋体" w:eastAsiaTheme="minorEastAsia"/>
                <w:color w:val="auto"/>
                <w:spacing w:val="1"/>
                <w:sz w:val="21"/>
                <w:szCs w:val="22"/>
                <w:lang w:val="en-US" w:eastAsia="en-US" w:bidi="ar-SA"/>
              </w:rPr>
              <w:t>满分</w:t>
            </w:r>
            <w:r>
              <w:rPr>
                <w:rFonts w:hAnsiTheme="minorHAnsi" w:eastAsiaTheme="minorEastAsia" w:cstheme="minorBidi"/>
                <w:color w:val="auto"/>
                <w:spacing w:val="-2"/>
                <w:sz w:val="21"/>
                <w:szCs w:val="22"/>
                <w:lang w:val="en-US" w:eastAsia="en-US" w:bidi="ar-SA"/>
              </w:rPr>
              <w:t xml:space="preserve"> </w:t>
            </w:r>
            <w:r>
              <w:rPr>
                <w:rFonts w:hint="eastAsia" w:ascii="宋体" w:hAnsiTheme="minorHAnsi" w:eastAsiaTheme="minorEastAsia" w:cstheme="minorBidi"/>
                <w:color w:val="auto"/>
                <w:sz w:val="21"/>
                <w:szCs w:val="22"/>
                <w:lang w:val="en-US" w:eastAsia="zh-CN" w:bidi="ar-SA"/>
              </w:rPr>
              <w:t>5</w:t>
            </w:r>
            <w:r>
              <w:rPr>
                <w:rFonts w:hAnsiTheme="minorHAnsi" w:eastAsiaTheme="minorEastAsia" w:cstheme="minorBidi"/>
                <w:color w:val="auto"/>
                <w:spacing w:val="1"/>
                <w:sz w:val="21"/>
                <w:szCs w:val="22"/>
                <w:lang w:val="en-US" w:eastAsia="en-US" w:bidi="ar-SA"/>
              </w:rPr>
              <w:t xml:space="preserve"> </w:t>
            </w:r>
            <w:r>
              <w:rPr>
                <w:rFonts w:ascii="宋体" w:hAnsi="宋体" w:cs="宋体" w:eastAsiaTheme="minorEastAsia"/>
                <w:color w:val="auto"/>
                <w:spacing w:val="1"/>
                <w:sz w:val="21"/>
                <w:szCs w:val="22"/>
                <w:lang w:val="en-US" w:eastAsia="en-US" w:bidi="ar-SA"/>
              </w:rPr>
              <w:t>分。</w:t>
            </w:r>
          </w:p>
          <w:p>
            <w:pPr>
              <w:spacing w:before="127" w:after="0" w:line="219" w:lineRule="exact"/>
              <w:ind w:right="0"/>
              <w:jc w:val="left"/>
              <w:rPr>
                <w:color w:val="auto"/>
                <w:lang w:val="en-US" w:eastAsia="en-US"/>
              </w:rPr>
            </w:pPr>
            <w:r>
              <w:rPr>
                <w:rFonts w:ascii="宋体" w:hAnsi="宋体" w:cs="宋体" w:eastAsiaTheme="minorEastAsia"/>
                <w:color w:val="auto"/>
                <w:sz w:val="21"/>
                <w:szCs w:val="22"/>
                <w:lang w:val="en-US" w:eastAsia="en-US" w:bidi="ar-SA"/>
              </w:rPr>
              <w:t>说明：拟委任项目管理机构应为竞争性磋商供应商本单位的在职人员，须按《竞争性磋商供应商文件》“第五章《响应文件》（格式）--4.技术文件（勘察纲要）”要求如实填报相关信息提供有效的《中华人民共和国居民身份证》、《执业（或职业或职称或岗位或培训或学历（位））证书》及社会保险缴纳证明材料，否则不予计分。</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68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b/>
                <w:bCs/>
                <w:color w:val="auto"/>
                <w:sz w:val="24"/>
                <w:szCs w:val="24"/>
                <w:highlight w:val="none"/>
              </w:rPr>
              <w:t>总得分=1+2+3</w:t>
            </w:r>
          </w:p>
        </w:tc>
      </w:tr>
    </w:tbl>
    <w:p>
      <w:pPr>
        <w:pStyle w:val="9"/>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highlight w:val="none"/>
        </w:rPr>
      </w:pPr>
      <w:r>
        <w:rPr>
          <w:rFonts w:hint="eastAsia" w:ascii="宋体" w:hAnsi="宋体" w:cs="宋体"/>
          <w:bCs/>
          <w:color w:val="auto"/>
          <w:szCs w:val="21"/>
          <w:highlight w:val="none"/>
        </w:rPr>
        <w:t>7.由磋商小组根据综合评分情况，按照评审</w:t>
      </w:r>
      <w:r>
        <w:rPr>
          <w:rFonts w:hint="eastAsia" w:ascii="宋体" w:hAnsi="宋体" w:cs="宋体"/>
          <w:color w:val="auto"/>
          <w:highlight w:val="none"/>
        </w:rPr>
        <w:t>总得分</w:t>
      </w:r>
      <w:r>
        <w:rPr>
          <w:rFonts w:hint="eastAsia" w:ascii="宋体" w:hAnsi="宋体" w:cs="宋体"/>
          <w:bCs/>
          <w:color w:val="auto"/>
          <w:szCs w:val="21"/>
          <w:highlight w:val="none"/>
        </w:rPr>
        <w:t>由高到低顺序推荐3名以上成交候选供应商，并编写评审报告。符合本章第4.3条情形的，可以推荐2家成交候选供应商。评审得分相同的，按照最终磋商报价（不计算价格折扣）由低到高的顺序推荐。评审得分且</w:t>
      </w:r>
      <w:r>
        <w:rPr>
          <w:rFonts w:hint="eastAsia" w:ascii="宋体" w:hAnsi="宋体" w:cs="宋体"/>
          <w:color w:val="auto"/>
          <w:szCs w:val="21"/>
          <w:highlight w:val="none"/>
        </w:rPr>
        <w:t>最终磋商报价</w:t>
      </w:r>
      <w:r>
        <w:rPr>
          <w:rFonts w:hint="eastAsia" w:ascii="宋体" w:hAnsi="宋体" w:cs="宋体"/>
          <w:bCs/>
          <w:color w:val="auto"/>
          <w:szCs w:val="21"/>
          <w:highlight w:val="none"/>
        </w:rPr>
        <w:t>（不计算价格折扣）相同的，</w:t>
      </w:r>
      <w:r>
        <w:rPr>
          <w:rFonts w:hint="eastAsia" w:ascii="宋体" w:hAnsi="宋体" w:cs="宋体"/>
          <w:color w:val="auto"/>
          <w:highlight w:val="none"/>
        </w:rPr>
        <w:t>依次按照技术分、商务分高优先排名。</w:t>
      </w:r>
      <w:r>
        <w:rPr>
          <w:rFonts w:hint="eastAsia" w:ascii="宋体" w:hAnsi="宋体" w:cs="宋体"/>
          <w:bCs/>
          <w:color w:val="auto"/>
          <w:szCs w:val="21"/>
          <w:highlight w:val="none"/>
        </w:rPr>
        <w:t>评审得分、</w:t>
      </w:r>
      <w:r>
        <w:rPr>
          <w:rFonts w:hint="eastAsia" w:ascii="宋体" w:hAnsi="宋体" w:cs="宋体"/>
          <w:color w:val="auto"/>
          <w:szCs w:val="21"/>
          <w:highlight w:val="none"/>
        </w:rPr>
        <w:t>最终磋商</w:t>
      </w:r>
      <w:r>
        <w:rPr>
          <w:rFonts w:hint="eastAsia"/>
          <w:color w:val="auto"/>
          <w:highlight w:val="none"/>
        </w:rPr>
        <w:t>报价</w:t>
      </w:r>
      <w:r>
        <w:rPr>
          <w:rFonts w:hint="eastAsia" w:ascii="宋体" w:hAnsi="宋体" w:cs="宋体"/>
          <w:bCs/>
          <w:color w:val="auto"/>
          <w:szCs w:val="21"/>
          <w:highlight w:val="none"/>
        </w:rPr>
        <w:t>（不计算价格折扣）、技术分、商务分均相同的，由磋商小组随机抽取推荐。</w:t>
      </w:r>
    </w:p>
    <w:p>
      <w:pPr>
        <w:rPr>
          <w:rFonts w:ascii="宋体" w:hAnsi="宋体" w:cs="宋体"/>
          <w:b/>
          <w:bCs/>
          <w:color w:val="auto"/>
          <w:sz w:val="52"/>
          <w:szCs w:val="72"/>
          <w:highlight w:val="none"/>
        </w:rPr>
      </w:pPr>
      <w:r>
        <w:rPr>
          <w:rFonts w:hint="eastAsia" w:ascii="宋体" w:hAnsi="宋体" w:cs="宋体"/>
          <w:b/>
          <w:bCs/>
          <w:color w:val="auto"/>
          <w:sz w:val="52"/>
          <w:szCs w:val="72"/>
          <w:highlight w:val="none"/>
        </w:rPr>
        <w:br w:type="page"/>
      </w:r>
    </w:p>
    <w:p>
      <w:pPr>
        <w:pStyle w:val="3"/>
        <w:jc w:val="center"/>
        <w:rPr>
          <w:color w:val="auto"/>
          <w:highlight w:val="none"/>
        </w:rPr>
      </w:pPr>
      <w:bookmarkStart w:id="58" w:name="_Toc11661"/>
      <w:r>
        <w:rPr>
          <w:rFonts w:hint="eastAsia"/>
          <w:color w:val="auto"/>
          <w:highlight w:val="none"/>
        </w:rPr>
        <w:t>第五章响应文件格式</w:t>
      </w:r>
      <w:bookmarkEnd w:id="58"/>
    </w:p>
    <w:p>
      <w:pPr>
        <w:spacing w:line="240" w:lineRule="atLeast"/>
        <w:rPr>
          <w:rFonts w:ascii="宋体" w:hAnsi="宋体" w:cs="宋体"/>
          <w:b/>
          <w:color w:val="auto"/>
          <w:sz w:val="32"/>
          <w:szCs w:val="32"/>
          <w:highlight w:val="none"/>
        </w:rPr>
      </w:pPr>
    </w:p>
    <w:p>
      <w:pPr>
        <w:snapToGrid w:val="0"/>
        <w:spacing w:before="50" w:after="50"/>
        <w:rPr>
          <w:rFonts w:ascii="宋体" w:hAnsi="宋体" w:cs="宋体"/>
          <w:b/>
          <w:bCs/>
          <w:color w:val="auto"/>
          <w:sz w:val="24"/>
          <w:highlight w:val="none"/>
        </w:rPr>
      </w:pPr>
    </w:p>
    <w:p>
      <w:pPr>
        <w:snapToGrid w:val="0"/>
        <w:spacing w:before="50" w:after="50"/>
        <w:rPr>
          <w:rFonts w:ascii="宋体" w:hAnsi="宋体" w:cs="宋体"/>
          <w:b/>
          <w:bCs/>
          <w:color w:val="auto"/>
          <w:sz w:val="32"/>
          <w:szCs w:val="32"/>
          <w:highlight w:val="none"/>
        </w:rPr>
      </w:pPr>
      <w:bookmarkStart w:id="59" w:name="_Toc44229898"/>
      <w:r>
        <w:rPr>
          <w:rFonts w:hint="eastAsia" w:ascii="宋体" w:hAnsi="宋体" w:cs="宋体"/>
          <w:b/>
          <w:color w:val="auto"/>
          <w:sz w:val="32"/>
          <w:szCs w:val="32"/>
          <w:highlight w:val="none"/>
        </w:rPr>
        <w:t>（</w:t>
      </w:r>
      <w:bookmarkStart w:id="60" w:name="_Toc35611437"/>
      <w:bookmarkStart w:id="61" w:name="_Toc35611515"/>
      <w:r>
        <w:rPr>
          <w:rFonts w:hint="eastAsia" w:ascii="宋体" w:hAnsi="宋体" w:cs="宋体"/>
          <w:b/>
          <w:bCs/>
          <w:color w:val="auto"/>
          <w:sz w:val="32"/>
          <w:szCs w:val="32"/>
          <w:highlight w:val="none"/>
        </w:rPr>
        <w:t>响应文件外层包装封面格式</w:t>
      </w:r>
      <w:bookmarkEnd w:id="60"/>
      <w:bookmarkEnd w:id="61"/>
      <w:r>
        <w:rPr>
          <w:rFonts w:hint="eastAsia" w:ascii="宋体" w:hAnsi="宋体" w:cs="宋体"/>
          <w:b/>
          <w:color w:val="auto"/>
          <w:sz w:val="32"/>
          <w:szCs w:val="32"/>
          <w:highlight w:val="none"/>
        </w:rPr>
        <w:t xml:space="preserve"> ）</w:t>
      </w:r>
      <w:bookmarkEnd w:id="59"/>
    </w:p>
    <w:p>
      <w:pPr>
        <w:snapToGrid w:val="0"/>
        <w:spacing w:before="156" w:beforeLines="50" w:after="50"/>
        <w:rPr>
          <w:rFonts w:ascii="宋体" w:hAnsi="宋体" w:cs="宋体"/>
          <w:color w:val="auto"/>
          <w:sz w:val="24"/>
          <w:szCs w:val="20"/>
          <w:highlight w:val="none"/>
        </w:rPr>
      </w:pPr>
    </w:p>
    <w:p>
      <w:pPr>
        <w:snapToGrid w:val="0"/>
        <w:spacing w:before="156" w:beforeLines="50" w:after="50"/>
        <w:jc w:val="center"/>
        <w:rPr>
          <w:rFonts w:ascii="宋体" w:hAnsi="宋体" w:cs="宋体"/>
          <w:bCs/>
          <w:color w:val="auto"/>
          <w:sz w:val="24"/>
          <w:szCs w:val="20"/>
          <w:highlight w:val="none"/>
        </w:rPr>
      </w:pPr>
    </w:p>
    <w:p>
      <w:pPr>
        <w:snapToGrid w:val="0"/>
        <w:spacing w:before="156"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  应  文  件</w:t>
      </w:r>
    </w:p>
    <w:p>
      <w:pPr>
        <w:snapToGrid w:val="0"/>
        <w:spacing w:before="156" w:beforeLines="50" w:after="50"/>
        <w:rPr>
          <w:rFonts w:ascii="宋体" w:hAnsi="宋体" w:cs="宋体"/>
          <w:bCs/>
          <w:color w:val="auto"/>
          <w:sz w:val="24"/>
          <w:szCs w:val="20"/>
          <w:highlight w:val="none"/>
        </w:rPr>
      </w:pPr>
    </w:p>
    <w:p>
      <w:pPr>
        <w:jc w:val="center"/>
        <w:rPr>
          <w:rFonts w:ascii="宋体" w:hAnsi="宋体" w:cs="宋体"/>
          <w:color w:val="auto"/>
          <w:sz w:val="24"/>
          <w:highlight w:val="none"/>
        </w:rPr>
      </w:pPr>
      <w:r>
        <w:rPr>
          <w:rFonts w:hint="eastAsia" w:ascii="宋体" w:hAnsi="宋体" w:cs="宋体"/>
          <w:color w:val="auto"/>
          <w:sz w:val="24"/>
          <w:highlight w:val="none"/>
        </w:rPr>
        <w:t>（电子响应文件）</w:t>
      </w:r>
    </w:p>
    <w:p>
      <w:pPr>
        <w:snapToGrid w:val="0"/>
        <w:spacing w:before="156" w:beforeLines="50" w:after="50"/>
        <w:rPr>
          <w:rFonts w:ascii="宋体" w:hAnsi="宋体" w:cs="宋体"/>
          <w:bCs/>
          <w:color w:val="auto"/>
          <w:sz w:val="24"/>
          <w:szCs w:val="20"/>
          <w:highlight w:val="none"/>
        </w:rPr>
      </w:pPr>
    </w:p>
    <w:p>
      <w:pPr>
        <w:snapToGrid w:val="0"/>
        <w:spacing w:before="156" w:beforeLines="50" w:after="50"/>
        <w:rPr>
          <w:rFonts w:ascii="宋体" w:hAnsi="宋体" w:cs="宋体"/>
          <w:bCs/>
          <w:color w:val="auto"/>
          <w:sz w:val="32"/>
          <w:szCs w:val="32"/>
          <w:highlight w:val="none"/>
        </w:rPr>
      </w:pPr>
    </w:p>
    <w:p>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pPr>
        <w:snapToGrid w:val="0"/>
        <w:spacing w:before="156" w:beforeLines="50" w:after="50"/>
        <w:ind w:firstLine="480" w:firstLineChars="150"/>
        <w:rPr>
          <w:rFonts w:ascii="宋体" w:hAnsi="宋体" w:cs="宋体"/>
          <w:bCs/>
          <w:color w:val="auto"/>
          <w:sz w:val="32"/>
          <w:szCs w:val="32"/>
          <w:highlight w:val="none"/>
        </w:rPr>
      </w:pPr>
    </w:p>
    <w:p>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pPr>
        <w:snapToGrid w:val="0"/>
        <w:spacing w:before="156" w:beforeLines="50" w:after="50"/>
        <w:rPr>
          <w:rFonts w:ascii="宋体" w:hAnsi="宋体" w:cs="宋体"/>
          <w:bCs/>
          <w:color w:val="auto"/>
          <w:sz w:val="32"/>
          <w:szCs w:val="32"/>
          <w:highlight w:val="none"/>
        </w:rPr>
      </w:pPr>
    </w:p>
    <w:p>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pPr>
        <w:snapToGrid w:val="0"/>
        <w:spacing w:before="156" w:beforeLines="50" w:after="50"/>
        <w:rPr>
          <w:rFonts w:ascii="宋体" w:hAnsi="宋体" w:cs="宋体"/>
          <w:bCs/>
          <w:color w:val="auto"/>
          <w:sz w:val="32"/>
          <w:szCs w:val="32"/>
          <w:highlight w:val="none"/>
        </w:rPr>
      </w:pPr>
    </w:p>
    <w:p>
      <w:pPr>
        <w:snapToGrid w:val="0"/>
        <w:spacing w:before="156" w:beforeLines="50" w:after="50"/>
        <w:ind w:firstLine="480" w:firstLineChars="150"/>
        <w:jc w:val="center"/>
        <w:rPr>
          <w:rFonts w:ascii="宋体" w:hAnsi="宋体" w:cs="宋体"/>
          <w:bCs/>
          <w:color w:val="auto"/>
          <w:sz w:val="32"/>
          <w:szCs w:val="32"/>
          <w:highlight w:val="none"/>
        </w:rPr>
      </w:pPr>
      <w:r>
        <w:rPr>
          <w:rFonts w:hint="eastAsia" w:ascii="宋体" w:hAnsi="宋体" w:cs="宋体"/>
          <w:bCs/>
          <w:color w:val="auto"/>
          <w:sz w:val="32"/>
          <w:szCs w:val="32"/>
          <w:highlight w:val="none"/>
        </w:rPr>
        <w:t>首次响应文件提交截止时间前不得解密</w:t>
      </w:r>
    </w:p>
    <w:p>
      <w:pPr>
        <w:snapToGrid w:val="0"/>
        <w:spacing w:before="156" w:beforeLines="50" w:after="50"/>
        <w:ind w:firstLine="5440" w:firstLineChars="1700"/>
        <w:jc w:val="center"/>
        <w:rPr>
          <w:rFonts w:ascii="宋体" w:hAnsi="宋体" w:cs="宋体"/>
          <w:bCs/>
          <w:color w:val="auto"/>
          <w:sz w:val="32"/>
          <w:szCs w:val="32"/>
          <w:highlight w:val="none"/>
        </w:rPr>
      </w:pPr>
    </w:p>
    <w:p>
      <w:pPr>
        <w:snapToGrid w:val="0"/>
        <w:spacing w:before="156" w:beforeLines="50" w:after="50"/>
        <w:ind w:firstLine="645"/>
        <w:jc w:val="center"/>
        <w:rPr>
          <w:rFonts w:ascii="宋体" w:hAnsi="宋体" w:cs="宋体"/>
          <w:bCs/>
          <w:color w:val="auto"/>
          <w:sz w:val="32"/>
          <w:szCs w:val="32"/>
          <w:highlight w:val="none"/>
        </w:rPr>
      </w:pPr>
      <w:r>
        <w:rPr>
          <w:rFonts w:hint="eastAsia" w:ascii="宋体" w:hAnsi="宋体" w:cs="宋体"/>
          <w:bCs/>
          <w:color w:val="auto"/>
          <w:sz w:val="32"/>
          <w:szCs w:val="32"/>
          <w:highlight w:val="none"/>
        </w:rPr>
        <w:t>年    月    日</w:t>
      </w:r>
    </w:p>
    <w:p>
      <w:pPr>
        <w:spacing w:line="240" w:lineRule="atLeast"/>
        <w:rPr>
          <w:rFonts w:ascii="宋体" w:hAnsi="宋体" w:cs="宋体"/>
          <w:bCs/>
          <w:color w:val="auto"/>
          <w:sz w:val="32"/>
          <w:szCs w:val="32"/>
          <w:highlight w:val="none"/>
        </w:rPr>
      </w:pPr>
      <w:r>
        <w:rPr>
          <w:rFonts w:hint="eastAsia" w:ascii="宋体" w:hAnsi="宋体" w:cs="宋体"/>
          <w:bCs/>
          <w:color w:val="auto"/>
          <w:sz w:val="24"/>
          <w:highlight w:val="none"/>
        </w:rPr>
        <w:br w:type="page"/>
      </w:r>
      <w:r>
        <w:rPr>
          <w:rFonts w:hint="eastAsia" w:ascii="宋体" w:hAnsi="宋体" w:cs="宋体"/>
          <w:b/>
          <w:bCs/>
          <w:color w:val="auto"/>
          <w:sz w:val="32"/>
          <w:szCs w:val="32"/>
          <w:highlight w:val="none"/>
        </w:rPr>
        <w:t>（响应文件封面格式）</w:t>
      </w:r>
    </w:p>
    <w:p>
      <w:pPr>
        <w:spacing w:line="240" w:lineRule="atLeast"/>
        <w:jc w:val="center"/>
        <w:rPr>
          <w:rFonts w:ascii="宋体" w:hAnsi="宋体" w:cs="宋体"/>
          <w:bCs/>
          <w:color w:val="auto"/>
          <w:sz w:val="24"/>
          <w:highlight w:val="none"/>
        </w:rPr>
      </w:pPr>
    </w:p>
    <w:p>
      <w:pPr>
        <w:spacing w:line="240" w:lineRule="atLeast"/>
        <w:jc w:val="center"/>
        <w:rPr>
          <w:rFonts w:ascii="宋体" w:hAnsi="宋体" w:cs="宋体"/>
          <w:bCs/>
          <w:color w:val="auto"/>
          <w:sz w:val="24"/>
          <w:highlight w:val="none"/>
        </w:rPr>
      </w:pPr>
    </w:p>
    <w:p>
      <w:pPr>
        <w:spacing w:line="240" w:lineRule="atLeast"/>
        <w:jc w:val="center"/>
        <w:rPr>
          <w:rFonts w:ascii="宋体" w:hAnsi="宋体" w:cs="宋体"/>
          <w:bCs/>
          <w:color w:val="auto"/>
          <w:sz w:val="24"/>
          <w:highlight w:val="none"/>
        </w:rPr>
      </w:pPr>
    </w:p>
    <w:p>
      <w:pPr>
        <w:spacing w:line="240" w:lineRule="atLeast"/>
        <w:jc w:val="center"/>
        <w:rPr>
          <w:rFonts w:ascii="宋体" w:hAnsi="宋体" w:cs="宋体"/>
          <w:bCs/>
          <w:color w:val="auto"/>
          <w:sz w:val="44"/>
          <w:szCs w:val="44"/>
          <w:highlight w:val="none"/>
        </w:rPr>
      </w:pPr>
    </w:p>
    <w:p>
      <w:pPr>
        <w:spacing w:line="240" w:lineRule="atLeast"/>
        <w:jc w:val="center"/>
        <w:rPr>
          <w:rFonts w:ascii="宋体" w:hAnsi="宋体" w:cs="宋体"/>
          <w:bCs/>
          <w:color w:val="auto"/>
          <w:sz w:val="44"/>
          <w:szCs w:val="44"/>
          <w:highlight w:val="none"/>
        </w:rPr>
      </w:pPr>
    </w:p>
    <w:p>
      <w:pPr>
        <w:spacing w:line="240" w:lineRule="atLeast"/>
        <w:jc w:val="center"/>
        <w:rPr>
          <w:rFonts w:ascii="宋体" w:hAnsi="宋体" w:cs="宋体"/>
          <w:b/>
          <w:color w:val="auto"/>
          <w:sz w:val="32"/>
          <w:szCs w:val="32"/>
          <w:highlight w:val="none"/>
        </w:rPr>
      </w:pPr>
      <w:r>
        <w:rPr>
          <w:rFonts w:hint="eastAsia" w:ascii="宋体" w:hAnsi="宋体" w:cs="宋体"/>
          <w:bCs/>
          <w:color w:val="auto"/>
          <w:sz w:val="44"/>
          <w:szCs w:val="44"/>
          <w:highlight w:val="none"/>
        </w:rPr>
        <w:t>响  应  文  件</w:t>
      </w:r>
      <w:r>
        <w:rPr>
          <w:rFonts w:hint="eastAsia" w:ascii="宋体" w:hAnsi="宋体" w:cs="宋体"/>
          <w:color w:val="auto"/>
          <w:szCs w:val="21"/>
          <w:highlight w:val="none"/>
        </w:rPr>
        <w:t>(封面)</w:t>
      </w:r>
    </w:p>
    <w:p>
      <w:pPr>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p>
    <w:p>
      <w:pPr>
        <w:spacing w:line="360" w:lineRule="auto"/>
        <w:jc w:val="left"/>
        <w:rPr>
          <w:rFonts w:ascii="宋体" w:hAnsi="宋体" w:cs="宋体"/>
          <w:color w:val="auto"/>
          <w:sz w:val="32"/>
          <w:szCs w:val="32"/>
          <w:highlight w:val="none"/>
        </w:rPr>
      </w:pPr>
    </w:p>
    <w:p>
      <w:pPr>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项目编号：</w:t>
      </w:r>
    </w:p>
    <w:p>
      <w:pPr>
        <w:spacing w:line="360" w:lineRule="auto"/>
        <w:ind w:firstLine="640" w:firstLineChars="200"/>
        <w:jc w:val="left"/>
        <w:rPr>
          <w:rFonts w:ascii="宋体" w:hAnsi="宋体" w:cs="宋体"/>
          <w:color w:val="auto"/>
          <w:sz w:val="32"/>
          <w:szCs w:val="32"/>
          <w:highlight w:val="none"/>
          <w:u w:val="single"/>
        </w:rPr>
      </w:pPr>
    </w:p>
    <w:p>
      <w:pPr>
        <w:tabs>
          <w:tab w:val="left" w:pos="3240"/>
        </w:tabs>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项目名称：</w:t>
      </w:r>
    </w:p>
    <w:p>
      <w:pPr>
        <w:spacing w:line="360" w:lineRule="auto"/>
        <w:jc w:val="left"/>
        <w:rPr>
          <w:rFonts w:ascii="宋体" w:hAnsi="宋体" w:cs="宋体"/>
          <w:color w:val="auto"/>
          <w:sz w:val="32"/>
          <w:szCs w:val="32"/>
          <w:highlight w:val="none"/>
          <w:u w:val="single"/>
        </w:rPr>
      </w:pPr>
    </w:p>
    <w:p>
      <w:pPr>
        <w:spacing w:line="360" w:lineRule="auto"/>
        <w:ind w:firstLine="640" w:firstLineChars="200"/>
        <w:jc w:val="left"/>
        <w:rPr>
          <w:rFonts w:ascii="宋体" w:hAnsi="宋体" w:cs="宋体"/>
          <w:color w:val="auto"/>
          <w:sz w:val="32"/>
          <w:szCs w:val="32"/>
          <w:highlight w:val="none"/>
          <w:u w:val="single"/>
        </w:rPr>
      </w:pPr>
      <w:r>
        <w:rPr>
          <w:rFonts w:hint="eastAsia" w:ascii="宋体" w:hAnsi="宋体" w:cs="宋体"/>
          <w:color w:val="auto"/>
          <w:sz w:val="32"/>
          <w:szCs w:val="32"/>
          <w:highlight w:val="none"/>
        </w:rPr>
        <w:t>供应商名称：</w:t>
      </w:r>
    </w:p>
    <w:p>
      <w:pPr>
        <w:snapToGrid w:val="0"/>
        <w:spacing w:before="156" w:beforeLines="50" w:after="50"/>
        <w:rPr>
          <w:rFonts w:ascii="宋体" w:hAnsi="宋体" w:cs="宋体"/>
          <w:color w:val="auto"/>
          <w:sz w:val="32"/>
          <w:szCs w:val="32"/>
          <w:highlight w:val="none"/>
        </w:rPr>
      </w:pPr>
    </w:p>
    <w:p>
      <w:pPr>
        <w:snapToGrid w:val="0"/>
        <w:spacing w:before="156" w:beforeLines="50" w:after="50"/>
        <w:rPr>
          <w:rFonts w:ascii="宋体" w:hAnsi="宋体" w:cs="宋体"/>
          <w:color w:val="auto"/>
          <w:sz w:val="32"/>
          <w:szCs w:val="32"/>
          <w:highlight w:val="none"/>
        </w:rPr>
      </w:pPr>
    </w:p>
    <w:p>
      <w:pPr>
        <w:snapToGrid w:val="0"/>
        <w:spacing w:before="156" w:beforeLines="50" w:after="50"/>
        <w:rPr>
          <w:rFonts w:ascii="宋体" w:hAnsi="宋体" w:cs="宋体"/>
          <w:color w:val="auto"/>
          <w:sz w:val="32"/>
          <w:szCs w:val="32"/>
          <w:highlight w:val="none"/>
        </w:rPr>
      </w:pPr>
    </w:p>
    <w:p>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pPr>
        <w:snapToGrid w:val="0"/>
        <w:spacing w:before="156" w:beforeLines="50" w:after="50"/>
        <w:jc w:val="center"/>
        <w:rPr>
          <w:rFonts w:ascii="宋体" w:hAnsi="宋体" w:cs="宋体"/>
          <w:bCs/>
          <w:color w:val="auto"/>
          <w:sz w:val="32"/>
          <w:szCs w:val="32"/>
          <w:highlight w:val="none"/>
        </w:rPr>
      </w:pPr>
      <w:r>
        <w:rPr>
          <w:rFonts w:hint="eastAsia" w:ascii="宋体" w:hAnsi="宋体" w:cs="宋体"/>
          <w:color w:val="auto"/>
          <w:sz w:val="32"/>
          <w:szCs w:val="32"/>
          <w:highlight w:val="none"/>
        </w:rPr>
        <w:br w:type="page"/>
      </w:r>
    </w:p>
    <w:p>
      <w:pPr>
        <w:snapToGrid w:val="0"/>
        <w:spacing w:before="156" w:beforeLines="50" w:after="50" w:line="360" w:lineRule="auto"/>
        <w:rPr>
          <w:rFonts w:ascii="宋体" w:hAnsi="宋体" w:cs="宋体"/>
          <w:b/>
          <w:bCs/>
          <w:color w:val="auto"/>
          <w:sz w:val="32"/>
          <w:szCs w:val="32"/>
          <w:highlight w:val="none"/>
        </w:rPr>
      </w:pPr>
      <w:bookmarkStart w:id="62" w:name="_Toc35611516"/>
      <w:bookmarkStart w:id="63" w:name="_Toc31723070"/>
      <w:bookmarkStart w:id="64" w:name="_Toc35611438"/>
      <w:bookmarkStart w:id="65" w:name="_Toc44229899"/>
      <w:bookmarkStart w:id="66" w:name="_Toc31728084"/>
      <w:r>
        <w:rPr>
          <w:rFonts w:hint="eastAsia" w:ascii="宋体" w:hAnsi="宋体" w:cs="宋体"/>
          <w:b/>
          <w:bCs/>
          <w:color w:val="auto"/>
          <w:sz w:val="32"/>
          <w:szCs w:val="32"/>
          <w:highlight w:val="none"/>
        </w:rPr>
        <w:t>一、资格证明文件格式</w:t>
      </w:r>
      <w:bookmarkEnd w:id="62"/>
      <w:bookmarkEnd w:id="63"/>
      <w:bookmarkEnd w:id="64"/>
      <w:bookmarkEnd w:id="65"/>
      <w:bookmarkEnd w:id="66"/>
    </w:p>
    <w:p>
      <w:pPr>
        <w:snapToGrid w:val="0"/>
        <w:spacing w:before="156" w:beforeLines="50" w:after="50" w:line="360" w:lineRule="auto"/>
        <w:jc w:val="left"/>
        <w:rPr>
          <w:rFonts w:ascii="宋体" w:hAnsi="宋体" w:cs="宋体"/>
          <w:b/>
          <w:color w:val="auto"/>
          <w:sz w:val="24"/>
          <w:highlight w:val="none"/>
        </w:rPr>
      </w:pPr>
      <w:r>
        <w:rPr>
          <w:rFonts w:hint="eastAsia" w:ascii="宋体" w:hAnsi="宋体" w:cs="宋体"/>
          <w:b/>
          <w:color w:val="auto"/>
          <w:sz w:val="32"/>
          <w:szCs w:val="32"/>
          <w:highlight w:val="none"/>
        </w:rPr>
        <w:t>1.资格证明文件封面格式：</w:t>
      </w:r>
    </w:p>
    <w:p>
      <w:pPr>
        <w:snapToGrid w:val="0"/>
        <w:spacing w:before="156" w:beforeLines="50" w:after="50"/>
        <w:rPr>
          <w:rFonts w:ascii="宋体" w:hAnsi="宋体" w:cs="宋体"/>
          <w:bCs/>
          <w:color w:val="auto"/>
          <w:sz w:val="32"/>
          <w:szCs w:val="20"/>
          <w:highlight w:val="none"/>
        </w:rPr>
      </w:pPr>
      <w:r>
        <w:rPr>
          <w:rFonts w:hint="eastAsia" w:ascii="宋体" w:hAnsi="宋体" w:cs="宋体"/>
          <w:bCs/>
          <w:color w:val="auto"/>
          <w:highlight w:val="none"/>
        </w:rPr>
        <w:t>电子响应文件</w:t>
      </w:r>
    </w:p>
    <w:p>
      <w:pPr>
        <w:snapToGrid w:val="0"/>
        <w:spacing w:before="156" w:beforeLines="50" w:after="50"/>
        <w:rPr>
          <w:rFonts w:ascii="宋体" w:hAnsi="宋体" w:cs="宋体"/>
          <w:color w:val="auto"/>
          <w:sz w:val="24"/>
          <w:szCs w:val="20"/>
          <w:highlight w:val="none"/>
        </w:rPr>
      </w:pPr>
    </w:p>
    <w:p>
      <w:pPr>
        <w:snapToGrid w:val="0"/>
        <w:spacing w:before="156" w:beforeLines="50" w:after="50"/>
        <w:rPr>
          <w:rFonts w:ascii="宋体" w:hAnsi="宋体" w:cs="宋体"/>
          <w:color w:val="auto"/>
          <w:sz w:val="24"/>
          <w:szCs w:val="20"/>
          <w:highlight w:val="none"/>
        </w:rPr>
      </w:pPr>
    </w:p>
    <w:p>
      <w:pPr>
        <w:snapToGrid w:val="0"/>
        <w:spacing w:before="156"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资  格  证  明  文  件</w:t>
      </w:r>
    </w:p>
    <w:p>
      <w:pPr>
        <w:snapToGrid w:val="0"/>
        <w:spacing w:before="156" w:beforeLines="50" w:after="50"/>
        <w:rPr>
          <w:rFonts w:ascii="宋体" w:hAnsi="宋体" w:cs="宋体"/>
          <w:bCs/>
          <w:color w:val="auto"/>
          <w:sz w:val="24"/>
          <w:szCs w:val="20"/>
          <w:highlight w:val="none"/>
        </w:rPr>
      </w:pPr>
    </w:p>
    <w:p>
      <w:pPr>
        <w:snapToGrid w:val="0"/>
        <w:spacing w:before="156" w:beforeLines="50" w:after="50"/>
        <w:rPr>
          <w:rFonts w:ascii="宋体" w:hAnsi="宋体" w:cs="宋体"/>
          <w:bCs/>
          <w:color w:val="auto"/>
          <w:sz w:val="24"/>
          <w:szCs w:val="20"/>
          <w:highlight w:val="none"/>
        </w:rPr>
      </w:pPr>
    </w:p>
    <w:p>
      <w:pPr>
        <w:snapToGrid w:val="0"/>
        <w:spacing w:before="156" w:beforeLines="50" w:after="50"/>
        <w:rPr>
          <w:rFonts w:ascii="宋体" w:hAnsi="宋体" w:cs="宋体"/>
          <w:bCs/>
          <w:color w:val="auto"/>
          <w:sz w:val="24"/>
          <w:szCs w:val="20"/>
          <w:highlight w:val="none"/>
        </w:rPr>
      </w:pPr>
    </w:p>
    <w:p>
      <w:pPr>
        <w:snapToGrid w:val="0"/>
        <w:spacing w:before="156" w:beforeLines="50" w:after="50"/>
        <w:rPr>
          <w:rFonts w:ascii="宋体" w:hAnsi="宋体" w:cs="宋体"/>
          <w:bCs/>
          <w:color w:val="auto"/>
          <w:sz w:val="24"/>
          <w:szCs w:val="20"/>
          <w:highlight w:val="none"/>
        </w:rPr>
      </w:pPr>
    </w:p>
    <w:p>
      <w:pPr>
        <w:snapToGrid w:val="0"/>
        <w:spacing w:before="156" w:beforeLines="50" w:after="50"/>
        <w:rPr>
          <w:rFonts w:ascii="宋体" w:hAnsi="宋体" w:cs="宋体"/>
          <w:bCs/>
          <w:color w:val="auto"/>
          <w:sz w:val="24"/>
          <w:szCs w:val="20"/>
          <w:highlight w:val="none"/>
        </w:rPr>
      </w:pPr>
    </w:p>
    <w:p>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pPr>
        <w:snapToGrid w:val="0"/>
        <w:spacing w:before="156" w:beforeLines="50" w:after="50"/>
        <w:ind w:firstLine="720" w:firstLineChars="225"/>
        <w:rPr>
          <w:rFonts w:ascii="宋体" w:hAnsi="宋体" w:cs="宋体"/>
          <w:bCs/>
          <w:color w:val="auto"/>
          <w:sz w:val="32"/>
          <w:szCs w:val="32"/>
          <w:highlight w:val="none"/>
        </w:rPr>
      </w:pPr>
    </w:p>
    <w:p>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pPr>
        <w:snapToGrid w:val="0"/>
        <w:spacing w:before="156" w:beforeLines="50" w:after="50"/>
        <w:rPr>
          <w:rFonts w:ascii="宋体" w:hAnsi="宋体" w:cs="宋体"/>
          <w:bCs/>
          <w:color w:val="auto"/>
          <w:sz w:val="32"/>
          <w:szCs w:val="32"/>
          <w:highlight w:val="none"/>
        </w:rPr>
      </w:pPr>
    </w:p>
    <w:p>
      <w:pPr>
        <w:pStyle w:val="12"/>
        <w:snapToGrid w:val="0"/>
        <w:spacing w:before="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pPr>
        <w:pStyle w:val="12"/>
        <w:snapToGrid w:val="0"/>
        <w:spacing w:before="50" w:after="50"/>
        <w:ind w:firstLine="720" w:firstLineChars="225"/>
        <w:rPr>
          <w:rFonts w:ascii="宋体" w:hAnsi="宋体" w:cs="宋体"/>
          <w:bCs/>
          <w:color w:val="auto"/>
          <w:sz w:val="32"/>
          <w:szCs w:val="32"/>
          <w:highlight w:val="none"/>
        </w:rPr>
      </w:pPr>
    </w:p>
    <w:p>
      <w:pPr>
        <w:pStyle w:val="12"/>
        <w:snapToGrid w:val="0"/>
        <w:spacing w:before="50" w:after="50"/>
        <w:ind w:firstLine="720" w:firstLineChars="225"/>
        <w:rPr>
          <w:rFonts w:ascii="宋体" w:hAnsi="宋体" w:cs="宋体"/>
          <w:bCs/>
          <w:color w:val="auto"/>
          <w:sz w:val="32"/>
          <w:szCs w:val="32"/>
          <w:highlight w:val="none"/>
        </w:rPr>
      </w:pPr>
    </w:p>
    <w:p>
      <w:pPr>
        <w:pStyle w:val="12"/>
        <w:snapToGrid w:val="0"/>
        <w:spacing w:before="50" w:after="50"/>
        <w:ind w:firstLine="720" w:firstLineChars="225"/>
        <w:rPr>
          <w:rFonts w:ascii="宋体" w:hAnsi="宋体" w:cs="宋体"/>
          <w:bCs/>
          <w:color w:val="auto"/>
          <w:sz w:val="32"/>
          <w:szCs w:val="32"/>
          <w:highlight w:val="none"/>
        </w:rPr>
      </w:pPr>
    </w:p>
    <w:p>
      <w:pPr>
        <w:pStyle w:val="12"/>
        <w:snapToGrid w:val="0"/>
        <w:spacing w:before="50" w:after="50"/>
        <w:ind w:firstLine="1280" w:firstLineChars="400"/>
        <w:rPr>
          <w:rFonts w:ascii="宋体" w:hAnsi="宋体" w:cs="宋体"/>
          <w:bCs/>
          <w:color w:val="auto"/>
          <w:sz w:val="32"/>
          <w:szCs w:val="32"/>
          <w:highlight w:val="none"/>
        </w:rPr>
      </w:pPr>
    </w:p>
    <w:p>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pPr>
        <w:snapToGrid w:val="0"/>
        <w:spacing w:before="156" w:beforeLines="50" w:after="50" w:line="360" w:lineRule="auto"/>
        <w:ind w:left="142"/>
        <w:jc w:val="left"/>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2.资格证明文件目录</w:t>
      </w:r>
    </w:p>
    <w:p>
      <w:pPr>
        <w:snapToGrid w:val="0"/>
        <w:spacing w:before="156" w:beforeLines="50" w:after="50" w:line="360" w:lineRule="auto"/>
        <w:ind w:firstLine="645"/>
        <w:rPr>
          <w:rFonts w:ascii="宋体" w:hAnsi="宋体" w:cs="宋体"/>
          <w:color w:val="auto"/>
          <w:sz w:val="32"/>
          <w:szCs w:val="32"/>
          <w:highlight w:val="none"/>
        </w:rPr>
      </w:pPr>
      <w:r>
        <w:rPr>
          <w:rFonts w:hint="eastAsia" w:ascii="宋体" w:hAnsi="宋体" w:cs="宋体"/>
          <w:color w:val="auto"/>
          <w:sz w:val="32"/>
          <w:szCs w:val="32"/>
          <w:highlight w:val="none"/>
        </w:rPr>
        <w:t>根据磋商文件规定及供应商提供的材料自行编写目录（部分格式后附）。</w:t>
      </w:r>
    </w:p>
    <w:p>
      <w:pPr>
        <w:snapToGrid w:val="0"/>
        <w:spacing w:before="156" w:beforeLines="50" w:after="50"/>
        <w:rPr>
          <w:rFonts w:ascii="宋体" w:hAnsi="宋体" w:cs="宋体"/>
          <w:color w:val="auto"/>
          <w:sz w:val="24"/>
          <w:szCs w:val="20"/>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20" w:lineRule="exact"/>
        <w:jc w:val="left"/>
        <w:rPr>
          <w:rFonts w:ascii="宋体" w:hAnsi="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b/>
          <w:color w:val="auto"/>
          <w:sz w:val="32"/>
          <w:szCs w:val="32"/>
          <w:highlight w:val="none"/>
        </w:rPr>
        <w:t>供应商直接控股、管理关系信息表</w:t>
      </w:r>
    </w:p>
    <w:p>
      <w:pPr>
        <w:snapToGrid w:val="0"/>
        <w:spacing w:before="156" w:beforeLines="50" w:after="50" w:line="360" w:lineRule="auto"/>
        <w:jc w:val="center"/>
        <w:rPr>
          <w:rFonts w:ascii="宋体" w:hAnsi="宋体"/>
          <w:b/>
          <w:color w:val="auto"/>
          <w:sz w:val="24"/>
          <w:highlight w:val="none"/>
        </w:rPr>
      </w:pPr>
    </w:p>
    <w:p>
      <w:pPr>
        <w:spacing w:line="360" w:lineRule="auto"/>
        <w:contextualSpacing/>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p>
      <w:pPr>
        <w:spacing w:line="360" w:lineRule="auto"/>
        <w:contextualSpacing/>
        <w:jc w:val="center"/>
        <w:rPr>
          <w:rFonts w:ascii="宋体" w:hAnsi="宋体"/>
          <w:b/>
          <w:color w:val="auto"/>
          <w:sz w:val="24"/>
          <w:highlight w:val="none"/>
        </w:rPr>
      </w:pPr>
    </w:p>
    <w:tbl>
      <w:tblPr>
        <w:tblStyle w:val="44"/>
        <w:tblW w:w="10147" w:type="dxa"/>
        <w:jc w:val="center"/>
        <w:tblInd w:w="0" w:type="dxa"/>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Layout w:type="fixed"/>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Layout w:type="fixed"/>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r>
        <w:tblPrEx>
          <w:tblLayout w:type="fixed"/>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r>
        <w:tblPrEx>
          <w:tblLayout w:type="fixed"/>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r>
        <w:tblPrEx>
          <w:tblLayout w:type="fixed"/>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bl>
    <w:p>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spacing w:line="360" w:lineRule="auto"/>
        <w:ind w:firstLine="1440" w:firstLineChars="600"/>
        <w:contextualSpacing/>
        <w:rPr>
          <w:rFonts w:ascii="宋体" w:hAnsi="宋体" w:cs="宋体"/>
          <w:color w:val="auto"/>
          <w:sz w:val="24"/>
          <w:highlight w:val="none"/>
        </w:rPr>
      </w:pPr>
      <w:r>
        <w:rPr>
          <w:rFonts w:hint="eastAsia" w:ascii="宋体" w:hAnsi="宋体" w:cs="宋体"/>
          <w:color w:val="auto"/>
          <w:sz w:val="24"/>
          <w:highlight w:val="none"/>
        </w:rPr>
        <w:t>法定代表人或者委托代理人（签字或签章）：</w:t>
      </w:r>
      <w:r>
        <w:rPr>
          <w:rFonts w:hint="eastAsia" w:ascii="宋体" w:hAnsi="宋体"/>
          <w:color w:val="auto"/>
          <w:sz w:val="24"/>
          <w:highlight w:val="none"/>
          <w:u w:val="single"/>
        </w:rPr>
        <w:t xml:space="preserve">               </w:t>
      </w:r>
    </w:p>
    <w:p>
      <w:pPr>
        <w:spacing w:line="360" w:lineRule="auto"/>
        <w:contextualSpacing/>
        <w:jc w:val="center"/>
        <w:rPr>
          <w:rFonts w:ascii="宋体" w:hAnsi="宋体" w:cs="宋体"/>
          <w:color w:val="auto"/>
          <w:sz w:val="24"/>
          <w:highlight w:val="none"/>
          <w:u w:val="single"/>
        </w:rPr>
      </w:pPr>
      <w:r>
        <w:rPr>
          <w:rFonts w:hint="eastAsia" w:ascii="宋体" w:hAnsi="宋体" w:cs="宋体"/>
          <w:color w:val="auto"/>
          <w:sz w:val="24"/>
          <w:highlight w:val="none"/>
        </w:rPr>
        <w:t>供应商(电子签章)：</w:t>
      </w:r>
      <w:r>
        <w:rPr>
          <w:rFonts w:hint="eastAsia" w:ascii="宋体" w:hAnsi="宋体"/>
          <w:color w:val="auto"/>
          <w:sz w:val="24"/>
          <w:highlight w:val="none"/>
          <w:u w:val="single"/>
        </w:rPr>
        <w:t xml:space="preserve">               </w:t>
      </w:r>
      <w:r>
        <w:rPr>
          <w:rFonts w:hint="eastAsia" w:ascii="宋体" w:hAnsi="宋体" w:cs="宋体"/>
          <w:color w:val="auto"/>
          <w:sz w:val="24"/>
          <w:highlight w:val="none"/>
          <w:u w:val="single"/>
        </w:rPr>
        <w:t xml:space="preserve"> </w:t>
      </w:r>
    </w:p>
    <w:p>
      <w:pPr>
        <w:snapToGrid w:val="0"/>
        <w:spacing w:before="156" w:beforeLines="50" w:after="50" w:line="360" w:lineRule="auto"/>
        <w:ind w:right="480" w:firstLine="5280" w:firstLineChars="2200"/>
        <w:rPr>
          <w:rFonts w:ascii="宋体" w:hAnsi="宋体" w:cs="宋体"/>
          <w:color w:val="auto"/>
          <w:sz w:val="28"/>
          <w:szCs w:val="28"/>
          <w:highlight w:val="none"/>
        </w:rPr>
      </w:pPr>
      <w:r>
        <w:rPr>
          <w:rFonts w:hint="eastAsia" w:ascii="宋体" w:hAnsi="宋体" w:cs="宋体"/>
          <w:color w:val="auto"/>
          <w:sz w:val="24"/>
          <w:highlight w:val="none"/>
        </w:rPr>
        <w:t>年    月    日</w:t>
      </w:r>
    </w:p>
    <w:p>
      <w:pPr>
        <w:snapToGrid w:val="0"/>
        <w:jc w:val="center"/>
        <w:rPr>
          <w:rFonts w:ascii="宋体" w:hAnsi="宋体"/>
          <w:b/>
          <w:color w:val="auto"/>
          <w:sz w:val="28"/>
          <w:szCs w:val="28"/>
          <w:highlight w:val="none"/>
        </w:rPr>
      </w:pPr>
      <w:r>
        <w:rPr>
          <w:rFonts w:ascii="宋体" w:hAnsi="宋体"/>
          <w:b/>
          <w:color w:val="auto"/>
          <w:sz w:val="28"/>
          <w:szCs w:val="28"/>
          <w:highlight w:val="none"/>
        </w:rPr>
        <w:br w:type="page"/>
      </w:r>
    </w:p>
    <w:p>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供应商直接管理关系信息表</w:t>
      </w:r>
    </w:p>
    <w:p>
      <w:pPr>
        <w:snapToGrid w:val="0"/>
        <w:spacing w:line="360" w:lineRule="auto"/>
        <w:jc w:val="center"/>
        <w:rPr>
          <w:rFonts w:ascii="宋体" w:hAnsi="宋体"/>
          <w:b/>
          <w:color w:val="auto"/>
          <w:sz w:val="24"/>
          <w:highlight w:val="none"/>
        </w:rPr>
      </w:pPr>
    </w:p>
    <w:tbl>
      <w:tblPr>
        <w:tblStyle w:val="44"/>
        <w:tblW w:w="9652" w:type="dxa"/>
        <w:jc w:val="center"/>
        <w:tblInd w:w="0" w:type="dxa"/>
        <w:shd w:val="clear" w:color="auto" w:fill="FBFBFB"/>
        <w:tblLayout w:type="fixed"/>
        <w:tblCellMar>
          <w:top w:w="0" w:type="dxa"/>
          <w:left w:w="0" w:type="dxa"/>
          <w:bottom w:w="0" w:type="dxa"/>
          <w:right w:w="0" w:type="dxa"/>
        </w:tblCellMar>
      </w:tblPr>
      <w:tblGrid>
        <w:gridCol w:w="808"/>
        <w:gridCol w:w="3600"/>
        <w:gridCol w:w="3555"/>
        <w:gridCol w:w="1689"/>
      </w:tblGrid>
      <w:tr>
        <w:tblPrEx>
          <w:tblLayout w:type="fixed"/>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Layout w:type="fixed"/>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r>
        <w:tblPrEx>
          <w:tblLayout w:type="fixed"/>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r>
        <w:tblPrEx>
          <w:tblLayout w:type="fixed"/>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r>
        <w:tblPrEx>
          <w:shd w:val="clear" w:color="auto" w:fill="FBFBFB"/>
          <w:tblLayout w:type="fixed"/>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bl>
    <w:p>
      <w:pPr>
        <w:spacing w:line="360" w:lineRule="auto"/>
        <w:contextualSpacing/>
        <w:jc w:val="left"/>
        <w:rPr>
          <w:rFonts w:ascii="宋体" w:hAnsi="宋体"/>
          <w:color w:val="auto"/>
          <w:sz w:val="24"/>
          <w:highlight w:val="none"/>
        </w:rPr>
      </w:pPr>
      <w:r>
        <w:rPr>
          <w:rFonts w:hint="eastAsia" w:ascii="宋体" w:hAnsi="宋体"/>
          <w:color w:val="auto"/>
          <w:sz w:val="24"/>
          <w:highlight w:val="none"/>
        </w:rPr>
        <w:t>注：</w:t>
      </w:r>
    </w:p>
    <w:p>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3.供应商不存在直接管理关系的，则填“无”。</w:t>
      </w:r>
    </w:p>
    <w:p>
      <w:pPr>
        <w:spacing w:line="360" w:lineRule="auto"/>
        <w:contextualSpacing/>
        <w:jc w:val="left"/>
        <w:rPr>
          <w:rFonts w:ascii="宋体" w:hAnsi="宋体"/>
          <w:color w:val="auto"/>
          <w:sz w:val="24"/>
          <w:highlight w:val="none"/>
        </w:rPr>
      </w:pPr>
    </w:p>
    <w:p>
      <w:pPr>
        <w:spacing w:line="360" w:lineRule="auto"/>
        <w:contextualSpacing/>
        <w:jc w:val="left"/>
        <w:rPr>
          <w:rFonts w:ascii="宋体" w:hAnsi="宋体"/>
          <w:color w:val="auto"/>
          <w:sz w:val="24"/>
          <w:highlight w:val="none"/>
        </w:rPr>
      </w:pPr>
    </w:p>
    <w:p>
      <w:pPr>
        <w:spacing w:line="360" w:lineRule="auto"/>
        <w:contextualSpacing/>
        <w:jc w:val="left"/>
        <w:rPr>
          <w:color w:val="auto"/>
          <w:sz w:val="24"/>
          <w:highlight w:val="none"/>
        </w:rPr>
      </w:pPr>
    </w:p>
    <w:p>
      <w:pPr>
        <w:spacing w:line="360" w:lineRule="auto"/>
        <w:contextualSpacing/>
        <w:jc w:val="left"/>
        <w:rPr>
          <w:color w:val="auto"/>
          <w:sz w:val="24"/>
          <w:highlight w:val="none"/>
        </w:rPr>
      </w:pPr>
    </w:p>
    <w:p>
      <w:pPr>
        <w:spacing w:line="360" w:lineRule="auto"/>
        <w:contextualSpacing/>
        <w:jc w:val="left"/>
        <w:rPr>
          <w:color w:val="auto"/>
          <w:sz w:val="24"/>
          <w:highlight w:val="none"/>
        </w:rPr>
      </w:pPr>
    </w:p>
    <w:p>
      <w:pPr>
        <w:spacing w:line="360" w:lineRule="auto"/>
        <w:ind w:firstLine="1440" w:firstLineChars="600"/>
        <w:contextualSpacing/>
        <w:rPr>
          <w:rFonts w:ascii="宋体" w:hAnsi="宋体" w:cs="宋体"/>
          <w:color w:val="auto"/>
          <w:sz w:val="24"/>
          <w:highlight w:val="none"/>
        </w:rPr>
      </w:pPr>
      <w:r>
        <w:rPr>
          <w:rFonts w:hint="eastAsia" w:ascii="宋体" w:hAnsi="宋体" w:cs="宋体"/>
          <w:color w:val="auto"/>
          <w:sz w:val="24"/>
          <w:highlight w:val="none"/>
        </w:rPr>
        <w:t>法定代表人或者委托代理人（签字或签章）：</w:t>
      </w:r>
      <w:r>
        <w:rPr>
          <w:rFonts w:hint="eastAsia" w:ascii="宋体" w:hAnsi="宋体"/>
          <w:color w:val="auto"/>
          <w:sz w:val="24"/>
          <w:highlight w:val="none"/>
          <w:u w:val="single"/>
        </w:rPr>
        <w:t xml:space="preserve">               </w:t>
      </w:r>
    </w:p>
    <w:p>
      <w:pPr>
        <w:spacing w:line="360" w:lineRule="auto"/>
        <w:contextualSpacing/>
        <w:jc w:val="center"/>
        <w:rPr>
          <w:rFonts w:ascii="宋体" w:hAnsi="宋体"/>
          <w:color w:val="auto"/>
          <w:sz w:val="24"/>
          <w:highlight w:val="none"/>
        </w:rPr>
      </w:pPr>
      <w:r>
        <w:rPr>
          <w:rFonts w:hint="eastAsia" w:ascii="宋体" w:hAnsi="宋体" w:cs="宋体"/>
          <w:color w:val="auto"/>
          <w:sz w:val="24"/>
          <w:highlight w:val="none"/>
        </w:rPr>
        <w:t>供应商(电子签章)：</w:t>
      </w:r>
      <w:r>
        <w:rPr>
          <w:rFonts w:hint="eastAsia" w:ascii="宋体" w:hAnsi="宋体"/>
          <w:color w:val="auto"/>
          <w:sz w:val="24"/>
          <w:highlight w:val="none"/>
          <w:u w:val="single"/>
        </w:rPr>
        <w:t xml:space="preserve">               </w:t>
      </w:r>
    </w:p>
    <w:p>
      <w:pPr>
        <w:rPr>
          <w:rFonts w:ascii="宋体" w:hAnsi="宋体" w:cs="宋体"/>
          <w:b/>
          <w:color w:val="auto"/>
          <w:sz w:val="32"/>
          <w:szCs w:val="32"/>
          <w:highlight w:val="none"/>
        </w:rPr>
      </w:pPr>
      <w:r>
        <w:rPr>
          <w:rFonts w:hint="eastAsia" w:ascii="宋体" w:hAnsi="宋体"/>
          <w:color w:val="auto"/>
          <w:sz w:val="24"/>
          <w:highlight w:val="none"/>
        </w:rPr>
        <w:t xml:space="preserve">                                        年    月    日</w:t>
      </w:r>
    </w:p>
    <w:p>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pPr>
        <w:spacing w:line="44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竞标声明</w:t>
      </w:r>
    </w:p>
    <w:p>
      <w:pPr>
        <w:spacing w:line="320" w:lineRule="exact"/>
        <w:jc w:val="center"/>
        <w:rPr>
          <w:rFonts w:ascii="宋体" w:hAnsi="宋体" w:cs="宋体"/>
          <w:color w:val="auto"/>
          <w:sz w:val="24"/>
          <w:szCs w:val="20"/>
          <w:highlight w:val="none"/>
        </w:rPr>
      </w:pPr>
    </w:p>
    <w:p>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p>
    <w:p>
      <w:pPr>
        <w:pStyle w:val="18"/>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7.与本磋商有关的一切正式往来信函请寄：邮政编号：</w:t>
      </w:r>
    </w:p>
    <w:p>
      <w:pPr>
        <w:pStyle w:val="18"/>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 电子函件：</w:t>
      </w:r>
    </w:p>
    <w:p>
      <w:pPr>
        <w:pStyle w:val="17"/>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  帐号：</w:t>
      </w:r>
    </w:p>
    <w:p>
      <w:pPr>
        <w:pStyle w:val="17"/>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pPr>
        <w:pStyle w:val="17"/>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pPr>
        <w:pStyle w:val="17"/>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注：如为联合体竞标，盖章处须加盖联合体各方公章并由联合体各方法定代表人签署，否则其响应文件按无效响应处理。</w:t>
      </w:r>
    </w:p>
    <w:p>
      <w:pPr>
        <w:pStyle w:val="17"/>
        <w:tabs>
          <w:tab w:val="left" w:pos="939"/>
        </w:tabs>
        <w:spacing w:line="360" w:lineRule="auto"/>
        <w:ind w:left="0" w:leftChars="0" w:firstLine="480" w:firstLineChars="200"/>
        <w:rPr>
          <w:rFonts w:ascii="宋体" w:hAnsi="宋体" w:cs="宋体"/>
          <w:color w:val="auto"/>
          <w:sz w:val="24"/>
          <w:highlight w:val="none"/>
        </w:rPr>
      </w:pPr>
    </w:p>
    <w:p>
      <w:pPr>
        <w:spacing w:line="360" w:lineRule="auto"/>
        <w:ind w:firstLine="3360" w:firstLineChars="1400"/>
        <w:contextualSpacing/>
        <w:rPr>
          <w:rFonts w:ascii="宋体" w:hAnsi="宋体" w:cs="宋体"/>
          <w:color w:val="auto"/>
          <w:sz w:val="24"/>
          <w:highlight w:val="none"/>
        </w:rPr>
      </w:pPr>
      <w:r>
        <w:rPr>
          <w:rFonts w:hint="eastAsia" w:ascii="宋体" w:hAnsi="宋体" w:cs="宋体"/>
          <w:color w:val="auto"/>
          <w:sz w:val="24"/>
          <w:highlight w:val="none"/>
        </w:rPr>
        <w:t>法定代表人（签字或签章）：</w:t>
      </w:r>
    </w:p>
    <w:p>
      <w:pPr>
        <w:spacing w:line="360" w:lineRule="auto"/>
        <w:ind w:firstLine="4320" w:firstLineChars="1800"/>
        <w:contextualSpacing/>
        <w:rPr>
          <w:rFonts w:ascii="宋体" w:hAnsi="宋体" w:cs="宋体"/>
          <w:color w:val="auto"/>
          <w:sz w:val="24"/>
          <w:highlight w:val="none"/>
          <w:u w:val="single"/>
        </w:rPr>
      </w:pPr>
      <w:r>
        <w:rPr>
          <w:rFonts w:hint="eastAsia" w:ascii="宋体" w:hAnsi="宋体" w:cs="宋体"/>
          <w:color w:val="auto"/>
          <w:sz w:val="24"/>
          <w:highlight w:val="none"/>
        </w:rPr>
        <w:t>供应商(电子签章)：</w:t>
      </w:r>
    </w:p>
    <w:p>
      <w:pPr>
        <w:spacing w:line="360" w:lineRule="auto"/>
        <w:ind w:right="480" w:firstLine="240" w:firstLineChars="100"/>
        <w:contextualSpacing/>
        <w:jc w:val="right"/>
        <w:rPr>
          <w:rFonts w:hint="eastAsia" w:ascii="宋体" w:hAnsi="宋体" w:cs="宋体"/>
          <w:color w:val="auto"/>
          <w:sz w:val="24"/>
          <w:highlight w:val="none"/>
        </w:rPr>
      </w:pPr>
      <w:r>
        <w:rPr>
          <w:rFonts w:hint="eastAsia" w:ascii="宋体" w:hAnsi="宋体" w:cs="宋体"/>
          <w:color w:val="auto"/>
          <w:sz w:val="24"/>
          <w:highlight w:val="none"/>
        </w:rPr>
        <w:t>年月日</w:t>
      </w:r>
    </w:p>
    <w:p>
      <w:pPr>
        <w:rPr>
          <w:rFonts w:hint="eastAsia" w:ascii="宋体" w:hAnsi="宋体" w:cs="宋体"/>
          <w:color w:val="auto"/>
          <w:sz w:val="24"/>
          <w:highlight w:val="none"/>
        </w:rPr>
      </w:pPr>
      <w:r>
        <w:rPr>
          <w:rFonts w:hint="eastAsia" w:ascii="宋体" w:hAnsi="宋体" w:cs="宋体"/>
          <w:color w:val="auto"/>
          <w:sz w:val="24"/>
          <w:highlight w:val="none"/>
        </w:rPr>
        <w:br w:type="page"/>
      </w:r>
    </w:p>
    <w:p>
      <w:pPr>
        <w:pStyle w:val="9"/>
        <w:rPr>
          <w:color w:val="auto"/>
          <w:highlight w:val="none"/>
        </w:rPr>
      </w:pPr>
    </w:p>
    <w:p>
      <w:pPr>
        <w:pStyle w:val="12"/>
        <w:overflowPunct w:val="0"/>
        <w:spacing w:line="520" w:lineRule="exact"/>
        <w:ind w:firstLine="0"/>
        <w:rPr>
          <w:rFonts w:ascii="宋体" w:hAnsi="宋体" w:cs="宋体"/>
          <w:b/>
          <w:bCs/>
          <w:color w:val="auto"/>
          <w:sz w:val="32"/>
          <w:szCs w:val="32"/>
          <w:highlight w:val="none"/>
        </w:rPr>
      </w:pPr>
    </w:p>
    <w:p>
      <w:pPr>
        <w:numPr>
          <w:ilvl w:val="0"/>
          <w:numId w:val="5"/>
        </w:numPr>
        <w:spacing w:line="336" w:lineRule="auto"/>
        <w:ind w:left="0" w:leftChars="0" w:right="-153" w:rightChars="-73" w:firstLine="0" w:firstLineChars="0"/>
        <w:jc w:val="center"/>
        <w:rPr>
          <w:rFonts w:hint="eastAsia" w:ascii="宋体" w:hAnsi="宋体" w:cs="宋体"/>
          <w:b/>
          <w:color w:val="auto"/>
          <w:sz w:val="24"/>
          <w:highlight w:val="none"/>
        </w:rPr>
      </w:pPr>
      <w:r>
        <w:rPr>
          <w:rFonts w:hint="eastAsia" w:ascii="宋体" w:hAnsi="宋体" w:cs="宋体"/>
          <w:b/>
          <w:color w:val="auto"/>
          <w:sz w:val="24"/>
          <w:highlight w:val="none"/>
        </w:rPr>
        <w:t>政府采购供应商资格信用承诺函</w:t>
      </w:r>
    </w:p>
    <w:p>
      <w:pPr>
        <w:spacing w:line="480" w:lineRule="auto"/>
        <w:rPr>
          <w:rFonts w:hint="eastAsia"/>
          <w:color w:val="auto"/>
          <w:highlight w:val="none"/>
          <w:lang w:val="en-US" w:eastAsia="zh-CN"/>
        </w:rPr>
      </w:pPr>
      <w:r>
        <w:rPr>
          <w:rFonts w:hint="eastAsia"/>
          <w:color w:val="auto"/>
          <w:highlight w:val="none"/>
          <w:lang w:val="en-US" w:eastAsia="zh-CN"/>
        </w:rPr>
        <w:t>致（采购人或采购代理机构）：</w:t>
      </w:r>
    </w:p>
    <w:p>
      <w:pPr>
        <w:spacing w:line="480" w:lineRule="auto"/>
        <w:ind w:firstLine="420" w:firstLineChars="200"/>
        <w:rPr>
          <w:rFonts w:hint="eastAsia"/>
          <w:color w:val="auto"/>
          <w:highlight w:val="none"/>
          <w:lang w:val="en-US" w:eastAsia="zh-CN"/>
        </w:rPr>
      </w:pPr>
      <w:r>
        <w:rPr>
          <w:rFonts w:hint="eastAsia"/>
          <w:color w:val="auto"/>
          <w:highlight w:val="none"/>
          <w:lang w:val="en-US" w:eastAsia="zh-CN"/>
        </w:rPr>
        <w:t>供应商名称：</w:t>
      </w:r>
    </w:p>
    <w:p>
      <w:pPr>
        <w:spacing w:line="480" w:lineRule="auto"/>
        <w:ind w:firstLine="420" w:firstLineChars="200"/>
        <w:rPr>
          <w:rFonts w:hint="eastAsia"/>
          <w:color w:val="auto"/>
          <w:highlight w:val="none"/>
          <w:lang w:val="en-US" w:eastAsia="zh-CN"/>
        </w:rPr>
      </w:pPr>
      <w:r>
        <w:rPr>
          <w:rFonts w:hint="eastAsia"/>
          <w:color w:val="auto"/>
          <w:highlight w:val="none"/>
          <w:lang w:val="en-US" w:eastAsia="zh-CN"/>
        </w:rPr>
        <w:t>统一社会信用代码：</w:t>
      </w:r>
    </w:p>
    <w:p>
      <w:pPr>
        <w:spacing w:line="480" w:lineRule="auto"/>
        <w:ind w:firstLine="420" w:firstLineChars="200"/>
        <w:rPr>
          <w:rFonts w:hint="eastAsia"/>
          <w:color w:val="auto"/>
          <w:highlight w:val="none"/>
          <w:lang w:val="en-US" w:eastAsia="zh-CN"/>
        </w:rPr>
      </w:pPr>
      <w:r>
        <w:rPr>
          <w:rFonts w:hint="eastAsia"/>
          <w:color w:val="auto"/>
          <w:highlight w:val="none"/>
          <w:lang w:val="en-US" w:eastAsia="zh-CN"/>
        </w:rPr>
        <w:t>供应商地址：</w:t>
      </w:r>
    </w:p>
    <w:p>
      <w:pPr>
        <w:spacing w:line="480" w:lineRule="auto"/>
        <w:ind w:firstLine="420" w:firstLineChars="200"/>
        <w:rPr>
          <w:rFonts w:hint="eastAsia"/>
          <w:color w:val="auto"/>
          <w:highlight w:val="none"/>
          <w:lang w:val="en-US" w:eastAsia="zh-CN"/>
        </w:rPr>
      </w:pPr>
      <w:r>
        <w:rPr>
          <w:rFonts w:hint="eastAsia"/>
          <w:color w:val="auto"/>
          <w:highlight w:val="none"/>
          <w:lang w:val="en-US" w:eastAsia="zh-CN"/>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pPr>
        <w:numPr>
          <w:ilvl w:val="0"/>
          <w:numId w:val="6"/>
        </w:numPr>
        <w:spacing w:line="480" w:lineRule="auto"/>
        <w:rPr>
          <w:rFonts w:hint="eastAsia"/>
          <w:color w:val="auto"/>
          <w:highlight w:val="none"/>
          <w:lang w:val="en-US" w:eastAsia="zh-CN"/>
        </w:rPr>
      </w:pPr>
      <w:r>
        <w:rPr>
          <w:rFonts w:hint="eastAsia"/>
          <w:color w:val="auto"/>
          <w:highlight w:val="none"/>
          <w:lang w:val="en-US" w:eastAsia="zh-CN"/>
        </w:rPr>
        <w:t>我单位具有符合采购文件资格要求独立承担民事责任的能力。</w:t>
      </w:r>
    </w:p>
    <w:p>
      <w:pPr>
        <w:numPr>
          <w:ilvl w:val="0"/>
          <w:numId w:val="6"/>
        </w:numPr>
        <w:spacing w:line="480" w:lineRule="auto"/>
        <w:rPr>
          <w:rFonts w:hint="default"/>
          <w:color w:val="auto"/>
          <w:highlight w:val="none"/>
          <w:lang w:val="en-US" w:eastAsia="zh-CN"/>
        </w:rPr>
      </w:pPr>
      <w:r>
        <w:rPr>
          <w:rFonts w:hint="eastAsia"/>
          <w:color w:val="auto"/>
          <w:highlight w:val="none"/>
          <w:lang w:val="en-US" w:eastAsia="zh-CN"/>
        </w:rPr>
        <w:t>我单位具有符合采购文件资格要求的财务状况报告。</w:t>
      </w:r>
    </w:p>
    <w:p>
      <w:pPr>
        <w:numPr>
          <w:ilvl w:val="0"/>
          <w:numId w:val="6"/>
        </w:numPr>
        <w:spacing w:line="480" w:lineRule="auto"/>
        <w:rPr>
          <w:rFonts w:hint="default"/>
          <w:color w:val="auto"/>
          <w:highlight w:val="none"/>
          <w:lang w:val="en-US" w:eastAsia="zh-CN"/>
        </w:rPr>
      </w:pPr>
      <w:r>
        <w:rPr>
          <w:rFonts w:hint="eastAsia"/>
          <w:color w:val="auto"/>
          <w:highlight w:val="none"/>
          <w:lang w:val="en-US" w:eastAsia="zh-CN"/>
        </w:rPr>
        <w:t>我单位具有符合采购文件资格要求的依法缴纳税收和社会保障记录的良好记录。</w:t>
      </w:r>
    </w:p>
    <w:p>
      <w:pPr>
        <w:numPr>
          <w:ilvl w:val="0"/>
          <w:numId w:val="6"/>
        </w:numPr>
        <w:spacing w:line="480" w:lineRule="auto"/>
        <w:rPr>
          <w:rFonts w:hint="default"/>
          <w:color w:val="auto"/>
          <w:highlight w:val="none"/>
          <w:lang w:val="en-US" w:eastAsia="zh-CN"/>
        </w:rPr>
      </w:pPr>
      <w:r>
        <w:rPr>
          <w:rFonts w:hint="eastAsia"/>
          <w:color w:val="auto"/>
          <w:highlight w:val="none"/>
          <w:lang w:val="en-US" w:eastAsia="zh-CN"/>
        </w:rPr>
        <w:t>我单位具有符合采购文件资格要求履行合同所必须的设备和专业技术能力。</w:t>
      </w:r>
    </w:p>
    <w:p>
      <w:pPr>
        <w:numPr>
          <w:ilvl w:val="0"/>
          <w:numId w:val="6"/>
        </w:numPr>
        <w:spacing w:line="480" w:lineRule="auto"/>
        <w:rPr>
          <w:rFonts w:hint="default"/>
          <w:color w:val="auto"/>
          <w:highlight w:val="none"/>
          <w:lang w:val="en-US" w:eastAsia="zh-CN"/>
        </w:rPr>
      </w:pPr>
      <w:r>
        <w:rPr>
          <w:rFonts w:hint="eastAsia"/>
          <w:color w:val="auto"/>
          <w:highlight w:val="none"/>
          <w:lang w:val="en-US" w:eastAsia="zh-CN"/>
        </w:rPr>
        <w:t>参加政府采购活动前三年内，在经营活动中没有重大违法记录。</w:t>
      </w:r>
    </w:p>
    <w:p>
      <w:pPr>
        <w:numPr>
          <w:ilvl w:val="0"/>
          <w:numId w:val="0"/>
        </w:numPr>
        <w:spacing w:line="480" w:lineRule="auto"/>
        <w:ind w:firstLine="420" w:firstLineChars="200"/>
        <w:rPr>
          <w:rFonts w:hint="eastAsia"/>
          <w:color w:val="auto"/>
          <w:highlight w:val="none"/>
          <w:lang w:val="en-US" w:eastAsia="zh-CN"/>
        </w:rPr>
      </w:pPr>
      <w:r>
        <w:rPr>
          <w:rFonts w:hint="eastAsia"/>
          <w:color w:val="auto"/>
          <w:highlight w:val="none"/>
          <w:lang w:val="en-US" w:eastAsia="zh-CN"/>
        </w:rPr>
        <w:t>若我单位承诺不实，自愿承担提供虚假材料谋取中标、成交的法律责任。</w:t>
      </w:r>
    </w:p>
    <w:p>
      <w:pPr>
        <w:numPr>
          <w:ilvl w:val="0"/>
          <w:numId w:val="0"/>
        </w:numPr>
        <w:spacing w:line="480" w:lineRule="auto"/>
        <w:ind w:firstLine="4200" w:firstLineChars="2000"/>
        <w:rPr>
          <w:rFonts w:hint="eastAsia"/>
          <w:color w:val="auto"/>
          <w:highlight w:val="none"/>
          <w:lang w:val="en-US" w:eastAsia="zh-CN"/>
        </w:rPr>
      </w:pPr>
      <w:r>
        <w:rPr>
          <w:rFonts w:hint="eastAsia"/>
          <w:color w:val="auto"/>
          <w:highlight w:val="none"/>
          <w:lang w:val="en-US" w:eastAsia="zh-CN"/>
        </w:rPr>
        <w:t>供应商名称（公章）：</w:t>
      </w:r>
    </w:p>
    <w:p>
      <w:pPr>
        <w:numPr>
          <w:ilvl w:val="0"/>
          <w:numId w:val="0"/>
        </w:numPr>
        <w:spacing w:line="480" w:lineRule="auto"/>
        <w:ind w:firstLine="3990" w:firstLineChars="1900"/>
        <w:rPr>
          <w:rFonts w:hint="eastAsia"/>
          <w:color w:val="auto"/>
          <w:highlight w:val="none"/>
          <w:lang w:val="en-US" w:eastAsia="zh-CN"/>
        </w:rPr>
      </w:pPr>
      <w:r>
        <w:rPr>
          <w:rFonts w:hint="eastAsia"/>
          <w:color w:val="auto"/>
          <w:highlight w:val="none"/>
          <w:lang w:val="en-US" w:eastAsia="zh-CN"/>
        </w:rPr>
        <w:t>法定代表人或授权代表（签名）：</w:t>
      </w:r>
    </w:p>
    <w:p>
      <w:pPr>
        <w:numPr>
          <w:ilvl w:val="0"/>
          <w:numId w:val="0"/>
        </w:numPr>
        <w:spacing w:line="480" w:lineRule="auto"/>
        <w:ind w:firstLine="4200" w:firstLineChars="2000"/>
        <w:rPr>
          <w:rFonts w:hint="eastAsia"/>
          <w:color w:val="auto"/>
          <w:highlight w:val="none"/>
          <w:lang w:val="en-US" w:eastAsia="zh-CN"/>
        </w:rPr>
      </w:pPr>
      <w:r>
        <w:rPr>
          <w:rFonts w:hint="eastAsia"/>
          <w:color w:val="auto"/>
          <w:highlight w:val="none"/>
          <w:lang w:val="en-US" w:eastAsia="zh-CN"/>
        </w:rPr>
        <w:t>日期：     年 月  日</w:t>
      </w:r>
    </w:p>
    <w:p>
      <w:pPr>
        <w:numPr>
          <w:ilvl w:val="0"/>
          <w:numId w:val="0"/>
        </w:numPr>
        <w:spacing w:line="480" w:lineRule="auto"/>
        <w:rPr>
          <w:rFonts w:hint="eastAsia"/>
          <w:color w:val="auto"/>
          <w:highlight w:val="none"/>
          <w:lang w:val="en-US" w:eastAsia="zh-CN"/>
        </w:rPr>
      </w:pPr>
      <w:r>
        <w:rPr>
          <w:rFonts w:hint="eastAsia"/>
          <w:color w:val="auto"/>
          <w:highlight w:val="none"/>
          <w:lang w:val="en-US" w:eastAsia="zh-CN"/>
        </w:rPr>
        <w:t>注：1、供应商须在投标（响应）文件中按此模板提供承诺函，未提供视为未实质性响应招标（采购）文件要求，按无效投标（响应）处理。</w:t>
      </w:r>
    </w:p>
    <w:p>
      <w:pPr>
        <w:numPr>
          <w:ilvl w:val="0"/>
          <w:numId w:val="0"/>
        </w:numPr>
        <w:spacing w:line="480" w:lineRule="auto"/>
        <w:rPr>
          <w:rFonts w:hint="default"/>
          <w:color w:val="auto"/>
          <w:highlight w:val="none"/>
          <w:lang w:val="en-US" w:eastAsia="zh-CN"/>
        </w:rPr>
      </w:pPr>
      <w:r>
        <w:rPr>
          <w:rFonts w:hint="eastAsia"/>
          <w:color w:val="auto"/>
          <w:highlight w:val="none"/>
          <w:lang w:val="en-US" w:eastAsia="zh-CN"/>
        </w:rPr>
        <w:t>2、供应商的法定代表人（其他组织的为负责人）或者授权代理的签名或盖章应真实、有效，如由授权代表签名或盖章的，应提供“法定代表人授权书”。</w:t>
      </w:r>
    </w:p>
    <w:p>
      <w:pPr>
        <w:pStyle w:val="18"/>
        <w:spacing w:line="360" w:lineRule="auto"/>
        <w:ind w:firstLine="602" w:firstLineChars="200"/>
        <w:rPr>
          <w:rFonts w:ascii="仿宋" w:hAnsi="仿宋" w:eastAsia="仿宋" w:cs="仿宋_GB2312"/>
          <w:b/>
          <w:color w:val="auto"/>
          <w:sz w:val="30"/>
          <w:szCs w:val="30"/>
          <w:highlight w:val="none"/>
        </w:rPr>
      </w:pPr>
    </w:p>
    <w:p>
      <w:pPr>
        <w:snapToGrid w:val="0"/>
        <w:spacing w:before="156" w:beforeLines="50" w:after="50" w:line="360" w:lineRule="auto"/>
        <w:ind w:right="480" w:firstLine="321" w:firstLineChars="100"/>
        <w:jc w:val="center"/>
        <w:rPr>
          <w:rFonts w:ascii="宋体" w:hAnsi="宋体" w:cs="宋体"/>
          <w:b/>
          <w:color w:val="auto"/>
          <w:sz w:val="32"/>
          <w:szCs w:val="32"/>
          <w:highlight w:val="none"/>
        </w:rPr>
      </w:pPr>
      <w:r>
        <w:rPr>
          <w:rFonts w:hint="eastAsia" w:ascii="宋体" w:hAnsi="宋体" w:cs="宋体"/>
          <w:b/>
          <w:bCs/>
          <w:color w:val="auto"/>
          <w:sz w:val="32"/>
          <w:szCs w:val="32"/>
          <w:highlight w:val="none"/>
        </w:rPr>
        <w:t>二、</w:t>
      </w:r>
      <w:r>
        <w:rPr>
          <w:rFonts w:hint="eastAsia" w:ascii="宋体" w:hAnsi="宋体" w:cs="宋体"/>
          <w:b/>
          <w:color w:val="auto"/>
          <w:sz w:val="32"/>
          <w:szCs w:val="32"/>
          <w:highlight w:val="none"/>
        </w:rPr>
        <w:t>报价商务技术文件格式</w:t>
      </w:r>
    </w:p>
    <w:p>
      <w:pPr>
        <w:snapToGrid w:val="0"/>
        <w:spacing w:before="156" w:beforeLines="50" w:after="50"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1.报价商务技术文件封面格式</w:t>
      </w:r>
    </w:p>
    <w:p>
      <w:pPr>
        <w:snapToGrid w:val="0"/>
        <w:spacing w:before="156" w:beforeLines="50" w:after="50"/>
        <w:rPr>
          <w:rFonts w:ascii="宋体" w:hAnsi="宋体" w:cs="宋体"/>
          <w:bCs/>
          <w:color w:val="auto"/>
          <w:sz w:val="32"/>
          <w:szCs w:val="20"/>
          <w:highlight w:val="none"/>
        </w:rPr>
      </w:pPr>
      <w:r>
        <w:rPr>
          <w:rFonts w:hint="eastAsia" w:ascii="宋体" w:hAnsi="宋体" w:cs="宋体"/>
          <w:bCs/>
          <w:color w:val="auto"/>
          <w:highlight w:val="none"/>
        </w:rPr>
        <w:t>电子响应文件</w:t>
      </w:r>
    </w:p>
    <w:p>
      <w:pPr>
        <w:snapToGrid w:val="0"/>
        <w:spacing w:before="156" w:beforeLines="50" w:after="50"/>
        <w:rPr>
          <w:rFonts w:ascii="宋体" w:hAnsi="宋体" w:cs="宋体"/>
          <w:color w:val="auto"/>
          <w:sz w:val="24"/>
          <w:szCs w:val="20"/>
          <w:highlight w:val="none"/>
        </w:rPr>
      </w:pPr>
    </w:p>
    <w:p>
      <w:pPr>
        <w:snapToGrid w:val="0"/>
        <w:spacing w:before="156" w:beforeLines="50" w:after="50"/>
        <w:rPr>
          <w:rFonts w:ascii="宋体" w:hAnsi="宋体" w:cs="宋体"/>
          <w:color w:val="auto"/>
          <w:sz w:val="24"/>
          <w:szCs w:val="20"/>
          <w:highlight w:val="none"/>
        </w:rPr>
      </w:pPr>
    </w:p>
    <w:p>
      <w:pPr>
        <w:snapToGrid w:val="0"/>
        <w:spacing w:before="156" w:beforeLines="50" w:after="50"/>
        <w:rPr>
          <w:rFonts w:ascii="宋体" w:hAnsi="宋体" w:cs="宋体"/>
          <w:color w:val="auto"/>
          <w:sz w:val="24"/>
          <w:szCs w:val="20"/>
          <w:highlight w:val="none"/>
        </w:rPr>
      </w:pPr>
    </w:p>
    <w:p>
      <w:pPr>
        <w:snapToGrid w:val="0"/>
        <w:spacing w:before="156"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报  价  商  务  技  术  文  件</w:t>
      </w:r>
    </w:p>
    <w:p>
      <w:pPr>
        <w:snapToGrid w:val="0"/>
        <w:spacing w:before="156" w:beforeLines="50" w:after="50"/>
        <w:rPr>
          <w:rFonts w:ascii="宋体" w:hAnsi="宋体" w:cs="宋体"/>
          <w:bCs/>
          <w:color w:val="auto"/>
          <w:sz w:val="24"/>
          <w:szCs w:val="20"/>
          <w:highlight w:val="none"/>
        </w:rPr>
      </w:pPr>
    </w:p>
    <w:p>
      <w:pPr>
        <w:snapToGrid w:val="0"/>
        <w:spacing w:before="156" w:beforeLines="50" w:after="50"/>
        <w:rPr>
          <w:rFonts w:ascii="宋体" w:hAnsi="宋体" w:cs="宋体"/>
          <w:bCs/>
          <w:color w:val="auto"/>
          <w:sz w:val="24"/>
          <w:szCs w:val="20"/>
          <w:highlight w:val="none"/>
        </w:rPr>
      </w:pPr>
    </w:p>
    <w:p>
      <w:pPr>
        <w:snapToGrid w:val="0"/>
        <w:spacing w:before="156" w:beforeLines="50" w:after="50"/>
        <w:rPr>
          <w:rFonts w:ascii="宋体" w:hAnsi="宋体" w:cs="宋体"/>
          <w:bCs/>
          <w:color w:val="auto"/>
          <w:sz w:val="24"/>
          <w:szCs w:val="20"/>
          <w:highlight w:val="none"/>
        </w:rPr>
      </w:pPr>
    </w:p>
    <w:p>
      <w:pPr>
        <w:snapToGrid w:val="0"/>
        <w:spacing w:before="156" w:beforeLines="50" w:after="50"/>
        <w:rPr>
          <w:rFonts w:ascii="宋体" w:hAnsi="宋体" w:cs="宋体"/>
          <w:bCs/>
          <w:color w:val="auto"/>
          <w:sz w:val="24"/>
          <w:szCs w:val="20"/>
          <w:highlight w:val="none"/>
        </w:rPr>
      </w:pPr>
    </w:p>
    <w:p>
      <w:pPr>
        <w:snapToGrid w:val="0"/>
        <w:spacing w:before="156" w:beforeLines="50" w:after="50"/>
        <w:rPr>
          <w:rFonts w:ascii="宋体" w:hAnsi="宋体" w:cs="宋体"/>
          <w:bCs/>
          <w:color w:val="auto"/>
          <w:sz w:val="24"/>
          <w:szCs w:val="20"/>
          <w:highlight w:val="none"/>
        </w:rPr>
      </w:pPr>
    </w:p>
    <w:p>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pPr>
        <w:snapToGrid w:val="0"/>
        <w:spacing w:before="156" w:beforeLines="50" w:after="50"/>
        <w:ind w:firstLine="720" w:firstLineChars="225"/>
        <w:rPr>
          <w:rFonts w:ascii="宋体" w:hAnsi="宋体" w:cs="宋体"/>
          <w:bCs/>
          <w:color w:val="auto"/>
          <w:sz w:val="32"/>
          <w:szCs w:val="32"/>
          <w:highlight w:val="none"/>
        </w:rPr>
      </w:pPr>
    </w:p>
    <w:p>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pPr>
        <w:snapToGrid w:val="0"/>
        <w:spacing w:before="156" w:beforeLines="50" w:after="50"/>
        <w:rPr>
          <w:rFonts w:ascii="宋体" w:hAnsi="宋体" w:cs="宋体"/>
          <w:bCs/>
          <w:color w:val="auto"/>
          <w:sz w:val="32"/>
          <w:szCs w:val="32"/>
          <w:highlight w:val="none"/>
        </w:rPr>
      </w:pPr>
    </w:p>
    <w:p>
      <w:pPr>
        <w:pStyle w:val="12"/>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pPr>
        <w:pStyle w:val="12"/>
        <w:snapToGrid w:val="0"/>
        <w:spacing w:before="50" w:after="50"/>
        <w:ind w:firstLine="720" w:firstLineChars="225"/>
        <w:rPr>
          <w:rFonts w:ascii="宋体" w:hAnsi="宋体" w:cs="宋体"/>
          <w:bCs/>
          <w:color w:val="auto"/>
          <w:sz w:val="32"/>
          <w:szCs w:val="32"/>
          <w:highlight w:val="none"/>
        </w:rPr>
      </w:pPr>
    </w:p>
    <w:p>
      <w:pPr>
        <w:pStyle w:val="12"/>
        <w:snapToGrid w:val="0"/>
        <w:spacing w:before="50" w:after="50"/>
        <w:ind w:firstLine="720" w:firstLineChars="225"/>
        <w:rPr>
          <w:rFonts w:ascii="宋体" w:hAnsi="宋体" w:cs="宋体"/>
          <w:bCs/>
          <w:color w:val="auto"/>
          <w:sz w:val="32"/>
          <w:szCs w:val="32"/>
          <w:highlight w:val="none"/>
        </w:rPr>
      </w:pPr>
    </w:p>
    <w:p>
      <w:pPr>
        <w:pStyle w:val="12"/>
        <w:snapToGrid w:val="0"/>
        <w:spacing w:before="50" w:after="50"/>
        <w:ind w:firstLine="1280" w:firstLineChars="400"/>
        <w:rPr>
          <w:rFonts w:ascii="宋体" w:hAnsi="宋体" w:cs="宋体"/>
          <w:bCs/>
          <w:color w:val="auto"/>
          <w:sz w:val="32"/>
          <w:szCs w:val="32"/>
          <w:highlight w:val="none"/>
        </w:rPr>
      </w:pPr>
    </w:p>
    <w:p>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pPr>
        <w:snapToGrid w:val="0"/>
        <w:spacing w:before="156" w:beforeLines="50" w:after="50" w:line="360" w:lineRule="auto"/>
        <w:ind w:left="142"/>
        <w:jc w:val="left"/>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2.报价商务技术文件目录</w:t>
      </w:r>
    </w:p>
    <w:p>
      <w:pPr>
        <w:snapToGrid w:val="0"/>
        <w:spacing w:before="156" w:beforeLines="50" w:after="50" w:line="360" w:lineRule="auto"/>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根据磋商文件规定及供应商提供的材料自行编写目录（部分格式后附）。</w:t>
      </w:r>
    </w:p>
    <w:p>
      <w:pPr>
        <w:spacing w:line="400" w:lineRule="exact"/>
        <w:rPr>
          <w:rFonts w:ascii="宋体" w:hAnsi="宋体" w:cs="宋体"/>
          <w:color w:val="auto"/>
          <w:sz w:val="32"/>
          <w:szCs w:val="32"/>
          <w:highlight w:val="none"/>
        </w:rPr>
      </w:pPr>
    </w:p>
    <w:p>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br w:type="page"/>
      </w:r>
      <w:r>
        <w:rPr>
          <w:rFonts w:hint="eastAsia" w:ascii="宋体" w:hAnsi="宋体" w:cs="宋体"/>
          <w:color w:val="auto"/>
          <w:sz w:val="44"/>
          <w:szCs w:val="44"/>
          <w:highlight w:val="none"/>
        </w:rPr>
        <w:t>无串通竞标行为的承诺函</w:t>
      </w:r>
    </w:p>
    <w:p>
      <w:pPr>
        <w:spacing w:line="360" w:lineRule="auto"/>
        <w:ind w:firstLine="640" w:firstLineChars="200"/>
        <w:contextualSpacing/>
        <w:rPr>
          <w:rFonts w:ascii="宋体" w:hAnsi="宋体" w:cs="宋体"/>
          <w:color w:val="auto"/>
          <w:sz w:val="32"/>
          <w:szCs w:val="32"/>
          <w:highlight w:val="none"/>
        </w:rPr>
      </w:pPr>
    </w:p>
    <w:p>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 xml:space="preserve">1.不同供应商的响应文件由同一单位或者个人编制； </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同供应商的响应文件异常一致或者竞标报价呈规律性差异；</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5.不同供应商的响应文件相互混装；</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6.不同供应商的磋商保证金从同一单位或者个人账户转出。</w:t>
      </w:r>
    </w:p>
    <w:p>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pPr>
        <w:spacing w:line="360" w:lineRule="auto"/>
        <w:ind w:firstLine="480" w:firstLineChars="200"/>
        <w:contextualSpacing/>
        <w:rPr>
          <w:rFonts w:ascii="宋体" w:hAnsi="宋体" w:cs="宋体"/>
          <w:color w:val="auto"/>
          <w:sz w:val="24"/>
          <w:highlight w:val="none"/>
        </w:rPr>
      </w:pPr>
    </w:p>
    <w:p>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以上情形一经核查属实，我方愿意承担一切后果，并不再寻求任何旨在减轻或者免除法律责任的辩解。</w:t>
      </w:r>
    </w:p>
    <w:p>
      <w:pPr>
        <w:spacing w:line="360" w:lineRule="auto"/>
        <w:contextualSpacing/>
        <w:rPr>
          <w:rFonts w:ascii="宋体" w:hAnsi="宋体" w:cs="宋体"/>
          <w:color w:val="auto"/>
          <w:sz w:val="24"/>
          <w:highlight w:val="none"/>
        </w:rPr>
      </w:pPr>
    </w:p>
    <w:p>
      <w:pPr>
        <w:spacing w:line="360" w:lineRule="auto"/>
        <w:ind w:firstLine="3600" w:firstLineChars="1500"/>
        <w:contextualSpacing/>
        <w:rPr>
          <w:rFonts w:ascii="宋体" w:hAnsi="宋体" w:cs="宋体"/>
          <w:color w:val="auto"/>
          <w:sz w:val="24"/>
          <w:highlight w:val="none"/>
        </w:rPr>
      </w:pPr>
      <w:r>
        <w:rPr>
          <w:rFonts w:hint="eastAsia" w:ascii="宋体" w:hAnsi="宋体" w:cs="宋体"/>
          <w:color w:val="auto"/>
          <w:sz w:val="24"/>
          <w:highlight w:val="none"/>
        </w:rPr>
        <w:t>供应商(电子签章)：</w:t>
      </w:r>
    </w:p>
    <w:p>
      <w:pPr>
        <w:spacing w:line="360" w:lineRule="auto"/>
        <w:ind w:firstLine="480" w:firstLineChars="200"/>
        <w:contextualSpacing/>
        <w:jc w:val="center"/>
        <w:rPr>
          <w:rFonts w:ascii="宋体" w:hAnsi="宋体" w:cs="宋体"/>
          <w:color w:val="auto"/>
          <w:sz w:val="32"/>
          <w:szCs w:val="32"/>
          <w:highlight w:val="none"/>
        </w:rPr>
      </w:pPr>
      <w:r>
        <w:rPr>
          <w:rFonts w:hint="eastAsia" w:ascii="宋体" w:hAnsi="宋体" w:cs="宋体"/>
          <w:color w:val="auto"/>
          <w:sz w:val="24"/>
          <w:highlight w:val="none"/>
        </w:rPr>
        <w:t xml:space="preserve">                               年   月   日</w:t>
      </w:r>
    </w:p>
    <w:p>
      <w:pPr>
        <w:spacing w:line="520" w:lineRule="exact"/>
        <w:jc w:val="center"/>
        <w:rPr>
          <w:rFonts w:ascii="宋体" w:hAnsi="宋体" w:cs="宋体"/>
          <w:bCs/>
          <w:color w:val="auto"/>
          <w:sz w:val="32"/>
          <w:szCs w:val="32"/>
          <w:highlight w:val="none"/>
        </w:rPr>
      </w:pPr>
      <w:r>
        <w:rPr>
          <w:rFonts w:hint="eastAsia" w:ascii="宋体" w:hAnsi="宋体" w:cs="宋体"/>
          <w:bCs/>
          <w:color w:val="auto"/>
          <w:sz w:val="44"/>
          <w:szCs w:val="44"/>
          <w:highlight w:val="none"/>
        </w:rPr>
        <w:br w:type="page"/>
      </w:r>
      <w:r>
        <w:rPr>
          <w:rFonts w:hint="eastAsia" w:ascii="宋体" w:hAnsi="宋体" w:cs="宋体"/>
          <w:bCs/>
          <w:color w:val="auto"/>
          <w:sz w:val="44"/>
          <w:szCs w:val="44"/>
          <w:highlight w:val="none"/>
        </w:rPr>
        <w:t>竞  标  报  价  表</w:t>
      </w:r>
    </w:p>
    <w:p>
      <w:pPr>
        <w:spacing w:line="440" w:lineRule="exact"/>
        <w:jc w:val="center"/>
        <w:rPr>
          <w:rFonts w:ascii="宋体" w:hAnsi="宋体" w:cs="宋体"/>
          <w:bCs/>
          <w:color w:val="auto"/>
          <w:sz w:val="32"/>
          <w:szCs w:val="32"/>
          <w:highlight w:val="none"/>
        </w:rPr>
      </w:pPr>
    </w:p>
    <w:p>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项目名称：</w:t>
      </w:r>
    </w:p>
    <w:p>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项目编号：</w:t>
      </w:r>
    </w:p>
    <w:p>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供应商名称：</w:t>
      </w:r>
    </w:p>
    <w:p>
      <w:pPr>
        <w:spacing w:line="360" w:lineRule="auto"/>
        <w:contextualSpacing/>
        <w:jc w:val="right"/>
        <w:rPr>
          <w:rFonts w:hint="eastAsia" w:ascii="宋体" w:hAnsi="宋体" w:cs="宋体"/>
          <w:color w:val="auto"/>
          <w:sz w:val="24"/>
          <w:highlight w:val="none"/>
        </w:rPr>
      </w:pPr>
      <w:r>
        <w:rPr>
          <w:rFonts w:hint="eastAsia" w:ascii="宋体" w:hAnsi="宋体" w:cs="宋体"/>
          <w:color w:val="auto"/>
          <w:sz w:val="24"/>
          <w:highlight w:val="none"/>
        </w:rPr>
        <w:t xml:space="preserve">      单位：元</w:t>
      </w:r>
    </w:p>
    <w:tbl>
      <w:tblPr>
        <w:tblStyle w:val="44"/>
        <w:tblW w:w="9520"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12"/>
        <w:gridCol w:w="1521"/>
        <w:gridCol w:w="1418"/>
        <w:gridCol w:w="1673"/>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7"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r>
              <w:rPr>
                <w:rFonts w:ascii="宋体" w:hAnsi="宋体" w:cs="仿宋_GB2312"/>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r>
              <w:rPr>
                <w:rFonts w:hint="eastAsia" w:ascii="宋体" w:hAnsi="宋体"/>
                <w:b/>
                <w:color w:val="auto"/>
                <w:sz w:val="24"/>
                <w:highlight w:val="none"/>
              </w:rPr>
              <w:t>标的的名称</w:t>
            </w:r>
          </w:p>
        </w:tc>
        <w:tc>
          <w:tcPr>
            <w:tcW w:w="15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数量及单位</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单价</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总价</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r>
              <w:rPr>
                <w:rFonts w:ascii="宋体" w:hAnsi="宋体"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r>
              <w:rPr>
                <w:rFonts w:ascii="宋体" w:hAnsi="宋体" w:cs="仿宋_GB2312"/>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2</w:t>
            </w:r>
          </w:p>
        </w:tc>
        <w:tc>
          <w:tcPr>
            <w:tcW w:w="2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r>
              <w:rPr>
                <w:rFonts w:hint="eastAsia" w:ascii="宋体" w:hAnsi="宋体"/>
                <w:b/>
                <w:color w:val="auto"/>
                <w:sz w:val="24"/>
                <w:highlight w:val="none"/>
              </w:rPr>
              <w:t>……</w:t>
            </w:r>
          </w:p>
        </w:tc>
        <w:tc>
          <w:tcPr>
            <w:tcW w:w="2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highlight w:val="none"/>
              </w:rPr>
            </w:pPr>
            <w:r>
              <w:rPr>
                <w:rFonts w:hint="eastAsia" w:ascii="宋体" w:hAnsi="宋体"/>
                <w:b/>
                <w:color w:val="auto"/>
                <w:sz w:val="24"/>
                <w:highlight w:val="none"/>
              </w:rPr>
              <w:t>……</w:t>
            </w:r>
          </w:p>
        </w:tc>
        <w:tc>
          <w:tcPr>
            <w:tcW w:w="15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right"/>
        </w:trPr>
        <w:tc>
          <w:tcPr>
            <w:tcW w:w="9520"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仿宋_GB2312"/>
                <w:color w:val="auto"/>
                <w:sz w:val="24"/>
                <w:highlight w:val="none"/>
              </w:rPr>
            </w:pPr>
            <w:r>
              <w:rPr>
                <w:rFonts w:hint="eastAsia" w:ascii="宋体" w:hAnsi="宋体" w:cs="仿宋_GB2312"/>
                <w:color w:val="auto"/>
                <w:sz w:val="24"/>
                <w:highlight w:val="none"/>
              </w:rPr>
              <w:t>合计金额大写：人民币</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right"/>
        </w:trPr>
        <w:tc>
          <w:tcPr>
            <w:tcW w:w="9520"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仿宋_GB2312"/>
                <w:color w:val="auto"/>
                <w:sz w:val="24"/>
                <w:highlight w:val="none"/>
              </w:rPr>
            </w:pPr>
            <w:r>
              <w:rPr>
                <w:rFonts w:hint="eastAsia" w:ascii="宋体" w:hAnsi="宋体" w:cs="仿宋_GB2312"/>
                <w:color w:val="auto"/>
                <w:sz w:val="24"/>
                <w:highlight w:val="none"/>
              </w:rPr>
              <w:t>合同履行期限：（1）自《项目合同》生效之日起25 个工作日内提交《建设工程施工勘察成果文件》；（2）配套服务期为自《项目合同》生效之日起至本项目工程竣工验收合格之日止，期间每自收到项目发包人《异议函》之日起 3 个日历天内提交相应《答疑（或澄清或修订）函（稿）》送达发包人审核。</w:t>
            </w:r>
          </w:p>
        </w:tc>
      </w:tr>
    </w:tbl>
    <w:p>
      <w:pPr>
        <w:pStyle w:val="22"/>
        <w:rPr>
          <w:rFonts w:hint="eastAsia"/>
          <w:color w:val="auto"/>
          <w:highlight w:val="none"/>
        </w:rPr>
      </w:pPr>
    </w:p>
    <w:p>
      <w:pPr>
        <w:spacing w:line="360" w:lineRule="auto"/>
        <w:contextualSpacing/>
        <w:jc w:val="both"/>
        <w:rPr>
          <w:rFonts w:ascii="宋体" w:hAnsi="宋体" w:cs="宋体"/>
          <w:color w:val="auto"/>
          <w:sz w:val="24"/>
          <w:highlight w:val="none"/>
        </w:rPr>
      </w:pP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70" w:lineRule="exact"/>
        <w:contextualSpacing/>
        <w:jc w:val="left"/>
        <w:textAlignment w:val="auto"/>
        <w:rPr>
          <w:rFonts w:ascii="宋体" w:hAnsi="宋体" w:cs="宋体"/>
          <w:color w:val="auto"/>
          <w:sz w:val="24"/>
          <w:highlight w:val="none"/>
        </w:rPr>
      </w:pPr>
      <w:r>
        <w:rPr>
          <w:rFonts w:hint="eastAsia" w:ascii="宋体" w:hAnsi="宋体" w:cs="宋体"/>
          <w:color w:val="auto"/>
          <w:sz w:val="24"/>
          <w:highlight w:val="none"/>
        </w:rPr>
        <w:t xml:space="preserve">注: </w:t>
      </w:r>
    </w:p>
    <w:p>
      <w:pPr>
        <w:keepNext w:val="0"/>
        <w:keepLines w:val="0"/>
        <w:pageBreakBefore w:val="0"/>
        <w:widowControl w:val="0"/>
        <w:kinsoku/>
        <w:wordWrap/>
        <w:overflowPunct/>
        <w:topLinePunct w:val="0"/>
        <w:autoSpaceDE/>
        <w:autoSpaceDN/>
        <w:bidi w:val="0"/>
        <w:adjustRightInd/>
        <w:snapToGrid/>
        <w:spacing w:line="370" w:lineRule="exact"/>
        <w:ind w:firstLine="480" w:firstLineChars="200"/>
        <w:contextualSpacing/>
        <w:jc w:val="left"/>
        <w:textAlignment w:val="auto"/>
        <w:rPr>
          <w:rFonts w:ascii="宋体" w:hAnsi="宋体" w:cs="宋体"/>
          <w:color w:val="auto"/>
          <w:sz w:val="24"/>
          <w:highlight w:val="none"/>
        </w:rPr>
      </w:pPr>
      <w:r>
        <w:rPr>
          <w:rFonts w:hint="eastAsia" w:ascii="宋体" w:hAnsi="宋体" w:cs="宋体"/>
          <w:color w:val="auto"/>
          <w:sz w:val="24"/>
          <w:highlight w:val="none"/>
        </w:rPr>
        <w:t>1.供应商的报价表必须加盖供应商公章并由法定代表人或者委托代理人签字，</w:t>
      </w:r>
      <w:r>
        <w:rPr>
          <w:rFonts w:hint="eastAsia" w:ascii="宋体" w:hAnsi="宋体" w:cs="宋体"/>
          <w:b/>
          <w:color w:val="auto"/>
          <w:sz w:val="24"/>
          <w:highlight w:val="none"/>
        </w:rPr>
        <w:t>否则其响应文件按无效响应处理</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70" w:lineRule="exact"/>
        <w:ind w:firstLine="480" w:firstLineChars="200"/>
        <w:contextualSpacing/>
        <w:jc w:val="left"/>
        <w:textAlignment w:val="auto"/>
        <w:rPr>
          <w:rFonts w:ascii="宋体" w:hAnsi="宋体" w:cs="宋体"/>
          <w:b/>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报价一经涂改，应在涂改处加盖供应商公章或者由法定代表人或者委托代理人签字或者盖章</w:t>
      </w:r>
      <w:r>
        <w:rPr>
          <w:rFonts w:hint="eastAsia" w:ascii="宋体" w:hAnsi="宋体" w:cs="宋体"/>
          <w:b/>
          <w:color w:val="auto"/>
          <w:sz w:val="24"/>
          <w:highlight w:val="none"/>
        </w:rPr>
        <w:t>，否则其响应文件按无效响应处理。</w:t>
      </w:r>
    </w:p>
    <w:p>
      <w:pPr>
        <w:keepNext w:val="0"/>
        <w:keepLines w:val="0"/>
        <w:pageBreakBefore w:val="0"/>
        <w:widowControl w:val="0"/>
        <w:kinsoku/>
        <w:wordWrap/>
        <w:overflowPunct/>
        <w:topLinePunct w:val="0"/>
        <w:autoSpaceDE/>
        <w:autoSpaceDN/>
        <w:bidi w:val="0"/>
        <w:adjustRightInd/>
        <w:snapToGrid/>
        <w:spacing w:line="370" w:lineRule="exact"/>
        <w:ind w:firstLine="480" w:firstLineChars="200"/>
        <w:contextualSpacing/>
        <w:jc w:val="left"/>
        <w:textAlignment w:val="auto"/>
        <w:rPr>
          <w:rFonts w:ascii="宋体" w:hAnsi="宋体" w:cs="宋体"/>
          <w:color w:val="auto"/>
          <w:sz w:val="24"/>
          <w:highlight w:val="none"/>
        </w:rPr>
      </w:pPr>
      <w:r>
        <w:rPr>
          <w:rFonts w:hint="eastAsia" w:ascii="宋体" w:hAnsi="宋体" w:cs="宋体"/>
          <w:color w:val="auto"/>
          <w:sz w:val="24"/>
          <w:highlight w:val="none"/>
        </w:rPr>
        <w:t>3.如为联合体竞标，“供应商名称”处必须列明联合体各方名称，标注联合体牵头人名称，</w:t>
      </w:r>
      <w:r>
        <w:rPr>
          <w:rFonts w:hint="eastAsia" w:ascii="宋体" w:hAnsi="宋体" w:cs="宋体"/>
          <w:b/>
          <w:color w:val="auto"/>
          <w:sz w:val="24"/>
          <w:highlight w:val="none"/>
        </w:rPr>
        <w:t>否则其响应文件按无效响应处理。（采购人可根据项目情况自行修改是否需要联合体各方签字盖章）。</w:t>
      </w:r>
    </w:p>
    <w:p>
      <w:pPr>
        <w:keepNext w:val="0"/>
        <w:keepLines w:val="0"/>
        <w:pageBreakBefore w:val="0"/>
        <w:widowControl w:val="0"/>
        <w:kinsoku/>
        <w:wordWrap/>
        <w:overflowPunct/>
        <w:topLinePunct w:val="0"/>
        <w:autoSpaceDE/>
        <w:autoSpaceDN/>
        <w:bidi w:val="0"/>
        <w:adjustRightInd/>
        <w:snapToGrid/>
        <w:spacing w:line="370" w:lineRule="exact"/>
        <w:ind w:firstLine="480" w:firstLineChars="200"/>
        <w:contextualSpacing/>
        <w:jc w:val="left"/>
        <w:textAlignment w:val="auto"/>
        <w:rPr>
          <w:rFonts w:ascii="宋体" w:hAnsi="宋体" w:cs="宋体"/>
          <w:color w:val="auto"/>
          <w:sz w:val="24"/>
          <w:highlight w:val="none"/>
        </w:rPr>
      </w:pPr>
      <w:r>
        <w:rPr>
          <w:rFonts w:hint="eastAsia" w:ascii="宋体" w:hAnsi="宋体" w:cs="宋体"/>
          <w:color w:val="auto"/>
          <w:sz w:val="24"/>
          <w:highlight w:val="none"/>
        </w:rPr>
        <w:t>4.如为联合体竞标，盖章处须加盖联合体各方公章，</w:t>
      </w:r>
      <w:bookmarkStart w:id="67" w:name="_Hlk65851776"/>
      <w:r>
        <w:rPr>
          <w:rFonts w:hint="eastAsia" w:ascii="宋体" w:hAnsi="宋体" w:cs="宋体"/>
          <w:b/>
          <w:color w:val="auto"/>
          <w:sz w:val="24"/>
          <w:highlight w:val="none"/>
        </w:rPr>
        <w:t>否则其响应文件按无效响应处理。</w:t>
      </w:r>
      <w:bookmarkEnd w:id="67"/>
      <w:r>
        <w:rPr>
          <w:rFonts w:hint="eastAsia" w:ascii="宋体" w:hAnsi="宋体" w:cs="宋体"/>
          <w:b/>
          <w:color w:val="auto"/>
          <w:sz w:val="24"/>
          <w:highlight w:val="none"/>
        </w:rPr>
        <w:t>（采购人可根据项目情况自行修改是否需要联合体各方签字盖章）。</w:t>
      </w:r>
    </w:p>
    <w:p>
      <w:pPr>
        <w:keepNext w:val="0"/>
        <w:keepLines w:val="0"/>
        <w:pageBreakBefore w:val="0"/>
        <w:widowControl w:val="0"/>
        <w:kinsoku/>
        <w:wordWrap/>
        <w:overflowPunct/>
        <w:topLinePunct w:val="0"/>
        <w:autoSpaceDE/>
        <w:autoSpaceDN/>
        <w:bidi w:val="0"/>
        <w:adjustRightInd/>
        <w:snapToGrid/>
        <w:spacing w:line="370" w:lineRule="exact"/>
        <w:ind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pacing w:val="-6"/>
          <w:sz w:val="24"/>
          <w:highlight w:val="none"/>
        </w:rPr>
        <w:t>如有多分标，分别列明各分标的报价表，</w:t>
      </w:r>
      <w:r>
        <w:rPr>
          <w:rFonts w:hint="eastAsia" w:ascii="宋体" w:hAnsi="宋体" w:cs="宋体"/>
          <w:b/>
          <w:color w:val="auto"/>
          <w:spacing w:val="-6"/>
          <w:sz w:val="24"/>
          <w:highlight w:val="none"/>
        </w:rPr>
        <w:t>否则其响应文件按无效响应处理。</w:t>
      </w:r>
    </w:p>
    <w:p>
      <w:pPr>
        <w:keepNext w:val="0"/>
        <w:keepLines w:val="0"/>
        <w:pageBreakBefore w:val="0"/>
        <w:widowControl w:val="0"/>
        <w:kinsoku/>
        <w:wordWrap/>
        <w:overflowPunct/>
        <w:topLinePunct w:val="0"/>
        <w:autoSpaceDE/>
        <w:autoSpaceDN/>
        <w:bidi w:val="0"/>
        <w:adjustRightInd/>
        <w:snapToGrid/>
        <w:spacing w:line="370" w:lineRule="exact"/>
        <w:ind w:right="-817" w:rightChars="-389" w:firstLine="960" w:firstLineChars="400"/>
        <w:contextualSpacing/>
        <w:textAlignment w:val="auto"/>
        <w:rPr>
          <w:rFonts w:ascii="宋体" w:hAnsi="宋体" w:cs="宋体"/>
          <w:color w:val="auto"/>
          <w:sz w:val="24"/>
          <w:highlight w:val="none"/>
        </w:rPr>
      </w:pPr>
      <w:r>
        <w:rPr>
          <w:rFonts w:hint="eastAsia" w:ascii="宋体" w:hAnsi="宋体" w:cs="宋体"/>
          <w:color w:val="auto"/>
          <w:sz w:val="24"/>
          <w:highlight w:val="none"/>
        </w:rPr>
        <w:t>法定代表人或者委托代理人（签字或</w:t>
      </w:r>
      <w:r>
        <w:rPr>
          <w:rFonts w:hint="eastAsia" w:ascii="宋体" w:hAnsi="宋体" w:cs="宋体"/>
          <w:color w:val="auto"/>
          <w:spacing w:val="20"/>
          <w:sz w:val="24"/>
          <w:highlight w:val="none"/>
        </w:rPr>
        <w:t>签章</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70" w:lineRule="exact"/>
        <w:ind w:right="-817" w:rightChars="-389" w:firstLine="2640" w:firstLineChars="1100"/>
        <w:contextualSpacing/>
        <w:textAlignment w:val="auto"/>
        <w:rPr>
          <w:rFonts w:ascii="宋体" w:hAnsi="宋体" w:cs="宋体"/>
          <w:color w:val="auto"/>
          <w:sz w:val="24"/>
          <w:highlight w:val="none"/>
        </w:rPr>
      </w:pPr>
      <w:r>
        <w:rPr>
          <w:rFonts w:hint="eastAsia" w:ascii="宋体" w:hAnsi="宋体" w:cs="宋体"/>
          <w:color w:val="auto"/>
          <w:sz w:val="24"/>
          <w:highlight w:val="none"/>
        </w:rPr>
        <w:t xml:space="preserve">供应商(电子签章)：      </w:t>
      </w:r>
    </w:p>
    <w:p>
      <w:pPr>
        <w:keepNext w:val="0"/>
        <w:keepLines w:val="0"/>
        <w:pageBreakBefore w:val="0"/>
        <w:widowControl w:val="0"/>
        <w:kinsoku/>
        <w:wordWrap/>
        <w:overflowPunct/>
        <w:topLinePunct w:val="0"/>
        <w:autoSpaceDE/>
        <w:autoSpaceDN/>
        <w:bidi w:val="0"/>
        <w:adjustRightInd/>
        <w:snapToGrid/>
        <w:spacing w:line="370" w:lineRule="exact"/>
        <w:ind w:right="-817" w:rightChars="-389" w:firstLine="4080" w:firstLineChars="1700"/>
        <w:contextualSpacing/>
        <w:textAlignment w:val="auto"/>
        <w:rPr>
          <w:rFonts w:ascii="宋体" w:hAnsi="宋体" w:cs="宋体"/>
          <w:b/>
          <w:color w:val="auto"/>
          <w:sz w:val="24"/>
          <w:highlight w:val="none"/>
        </w:rPr>
      </w:pPr>
      <w:r>
        <w:rPr>
          <w:rFonts w:hint="eastAsia" w:ascii="宋体" w:hAnsi="宋体" w:cs="宋体"/>
          <w:color w:val="auto"/>
          <w:sz w:val="24"/>
          <w:highlight w:val="none"/>
        </w:rPr>
        <w:t>日期：   年   月   日</w:t>
      </w:r>
    </w:p>
    <w:p>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pPr>
        <w:spacing w:before="312" w:beforeLines="100" w:after="156" w:afterLines="50" w:line="520" w:lineRule="exact"/>
        <w:ind w:left="540"/>
        <w:jc w:val="center"/>
        <w:rPr>
          <w:rFonts w:ascii="宋体" w:hAnsi="宋体" w:cs="宋体"/>
          <w:color w:val="auto"/>
          <w:sz w:val="32"/>
          <w:szCs w:val="32"/>
          <w:highlight w:val="none"/>
        </w:rPr>
      </w:pPr>
      <w:r>
        <w:rPr>
          <w:rFonts w:hint="eastAsia" w:ascii="宋体" w:hAnsi="宋体" w:cs="宋体"/>
          <w:bCs/>
          <w:color w:val="auto"/>
          <w:sz w:val="44"/>
          <w:szCs w:val="44"/>
          <w:highlight w:val="none"/>
        </w:rPr>
        <w:t>法定代表人证明书</w:t>
      </w:r>
    </w:p>
    <w:p>
      <w:pPr>
        <w:spacing w:line="360" w:lineRule="auto"/>
        <w:ind w:left="540"/>
        <w:contextualSpacing/>
        <w:rPr>
          <w:rFonts w:ascii="宋体" w:hAnsi="宋体" w:cs="宋体"/>
          <w:color w:val="auto"/>
          <w:sz w:val="32"/>
          <w:szCs w:val="32"/>
          <w:highlight w:val="none"/>
        </w:rPr>
      </w:pP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供应商名称：</w:t>
      </w: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地    址：</w:t>
      </w: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姓    名：性     别：</w:t>
      </w:r>
    </w:p>
    <w:p>
      <w:pPr>
        <w:spacing w:line="360" w:lineRule="auto"/>
        <w:ind w:left="540"/>
        <w:contextualSpacing/>
        <w:rPr>
          <w:rFonts w:ascii="宋体" w:hAnsi="宋体" w:cs="宋体"/>
          <w:color w:val="auto"/>
          <w:sz w:val="24"/>
          <w:highlight w:val="none"/>
          <w:u w:val="single"/>
        </w:rPr>
      </w:pPr>
      <w:r>
        <w:rPr>
          <w:rFonts w:hint="eastAsia" w:ascii="宋体" w:hAnsi="宋体" w:cs="宋体"/>
          <w:color w:val="auto"/>
          <w:sz w:val="24"/>
          <w:highlight w:val="none"/>
        </w:rPr>
        <w:t>年    龄：职     务：</w:t>
      </w: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身份证号码：</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特此证明。</w:t>
      </w:r>
    </w:p>
    <w:p>
      <w:pPr>
        <w:spacing w:line="360" w:lineRule="auto"/>
        <w:ind w:left="540"/>
        <w:contextualSpacing/>
        <w:rPr>
          <w:rFonts w:ascii="宋体" w:hAnsi="宋体" w:cs="宋体"/>
          <w:color w:val="auto"/>
          <w:sz w:val="24"/>
          <w:highlight w:val="none"/>
        </w:rPr>
      </w:pPr>
    </w:p>
    <w:p>
      <w:pPr>
        <w:spacing w:line="360" w:lineRule="auto"/>
        <w:ind w:left="540"/>
        <w:contextualSpacing/>
        <w:rPr>
          <w:rFonts w:ascii="宋体" w:hAnsi="宋体" w:cs="宋体"/>
          <w:color w:val="auto"/>
          <w:sz w:val="24"/>
          <w:highlight w:val="none"/>
        </w:rPr>
      </w:pPr>
    </w:p>
    <w:p>
      <w:pPr>
        <w:spacing w:line="360" w:lineRule="auto"/>
        <w:ind w:left="540"/>
        <w:contextualSpacing/>
        <w:rPr>
          <w:rFonts w:ascii="宋体" w:hAnsi="宋体" w:cs="宋体"/>
          <w:color w:val="auto"/>
          <w:sz w:val="24"/>
          <w:highlight w:val="none"/>
        </w:rPr>
      </w:pP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pPr>
        <w:spacing w:line="360" w:lineRule="auto"/>
        <w:ind w:left="540"/>
        <w:contextualSpacing/>
        <w:rPr>
          <w:rFonts w:ascii="宋体" w:hAnsi="宋体" w:cs="宋体"/>
          <w:color w:val="auto"/>
          <w:sz w:val="24"/>
          <w:highlight w:val="none"/>
        </w:rPr>
      </w:pPr>
    </w:p>
    <w:p>
      <w:pPr>
        <w:spacing w:line="360" w:lineRule="auto"/>
        <w:ind w:left="540"/>
        <w:contextualSpacing/>
        <w:jc w:val="right"/>
        <w:rPr>
          <w:rFonts w:ascii="宋体" w:hAnsi="宋体" w:cs="宋体"/>
          <w:color w:val="auto"/>
          <w:sz w:val="24"/>
          <w:highlight w:val="none"/>
        </w:rPr>
      </w:pPr>
      <w:r>
        <w:rPr>
          <w:rFonts w:hint="eastAsia" w:ascii="宋体" w:hAnsi="宋体" w:cs="宋体"/>
          <w:color w:val="auto"/>
          <w:sz w:val="24"/>
          <w:highlight w:val="none"/>
        </w:rPr>
        <w:t>供应商(电子签章)：</w:t>
      </w:r>
    </w:p>
    <w:p>
      <w:pPr>
        <w:spacing w:line="360" w:lineRule="auto"/>
        <w:ind w:firstLine="4080" w:firstLineChars="1700"/>
        <w:contextualSpacing/>
        <w:jc w:val="right"/>
        <w:rPr>
          <w:rFonts w:ascii="宋体" w:hAnsi="宋体" w:cs="宋体"/>
          <w:color w:val="auto"/>
          <w:sz w:val="24"/>
          <w:highlight w:val="none"/>
        </w:rPr>
      </w:pPr>
      <w:r>
        <w:rPr>
          <w:rFonts w:hint="eastAsia" w:ascii="宋体" w:hAnsi="宋体" w:cs="宋体"/>
          <w:color w:val="auto"/>
          <w:sz w:val="24"/>
          <w:highlight w:val="none"/>
        </w:rPr>
        <w:t>年月日</w:t>
      </w:r>
    </w:p>
    <w:p>
      <w:pPr>
        <w:spacing w:line="360" w:lineRule="auto"/>
        <w:contextualSpacing/>
        <w:jc w:val="center"/>
        <w:rPr>
          <w:rFonts w:ascii="宋体" w:hAnsi="宋体" w:cs="宋体"/>
          <w:b/>
          <w:color w:val="auto"/>
          <w:sz w:val="24"/>
          <w:highlight w:val="none"/>
        </w:rPr>
      </w:pPr>
    </w:p>
    <w:p>
      <w:pPr>
        <w:spacing w:line="360" w:lineRule="auto"/>
        <w:contextualSpacing/>
        <w:jc w:val="left"/>
        <w:rPr>
          <w:rFonts w:ascii="宋体" w:hAnsi="宋体" w:cs="宋体"/>
          <w:color w:val="auto"/>
          <w:sz w:val="24"/>
          <w:highlight w:val="none"/>
        </w:rPr>
      </w:pPr>
    </w:p>
    <w:p>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注：1.自然人竞标的无需提供，联合体竞标的只需牵头人出具。</w:t>
      </w:r>
    </w:p>
    <w:p>
      <w:pPr>
        <w:spacing w:line="360" w:lineRule="auto"/>
        <w:ind w:firstLine="480" w:firstLineChars="200"/>
        <w:contextualSpacing/>
        <w:jc w:val="left"/>
        <w:rPr>
          <w:rFonts w:ascii="宋体" w:hAnsi="宋体" w:cs="宋体"/>
          <w:b/>
          <w:color w:val="auto"/>
          <w:sz w:val="32"/>
          <w:szCs w:val="32"/>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adjustRightInd w:val="0"/>
        <w:snapToGrid w:val="0"/>
        <w:spacing w:line="300" w:lineRule="auto"/>
        <w:jc w:val="left"/>
        <w:rPr>
          <w:rFonts w:ascii="宋体" w:hAnsi="宋体" w:cs="宋体"/>
          <w:b/>
          <w:color w:val="auto"/>
          <w:szCs w:val="21"/>
          <w:highlight w:val="none"/>
        </w:rPr>
      </w:pPr>
    </w:p>
    <w:p>
      <w:pPr>
        <w:spacing w:line="5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br w:type="page"/>
      </w:r>
    </w:p>
    <w:p>
      <w:pPr>
        <w:spacing w:line="520" w:lineRule="exact"/>
        <w:jc w:val="center"/>
        <w:rPr>
          <w:rFonts w:ascii="宋体" w:hAnsi="宋体" w:cs="宋体"/>
          <w:color w:val="auto"/>
          <w:sz w:val="44"/>
          <w:szCs w:val="44"/>
          <w:highlight w:val="none"/>
        </w:rPr>
      </w:pPr>
      <w:bookmarkStart w:id="68" w:name="_Hlk65853643"/>
      <w:r>
        <w:rPr>
          <w:rFonts w:hint="eastAsia" w:ascii="宋体" w:hAnsi="宋体" w:cs="宋体"/>
          <w:color w:val="auto"/>
          <w:sz w:val="44"/>
          <w:szCs w:val="44"/>
          <w:highlight w:val="none"/>
        </w:rPr>
        <w:t>授权委托书（如有委托时）</w:t>
      </w:r>
    </w:p>
    <w:p>
      <w:pPr>
        <w:spacing w:line="520" w:lineRule="exact"/>
        <w:rPr>
          <w:rFonts w:ascii="宋体" w:hAnsi="宋体" w:cs="宋体"/>
          <w:color w:val="auto"/>
          <w:sz w:val="32"/>
          <w:szCs w:val="32"/>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（项目名称、项目编号）</w:t>
      </w:r>
      <w:r>
        <w:rPr>
          <w:rFonts w:hint="eastAsia" w:ascii="宋体" w:hAnsi="宋体" w:cs="宋体"/>
          <w:color w:val="auto"/>
          <w:sz w:val="24"/>
          <w:highlight w:val="none"/>
        </w:rPr>
        <w:t>项目的竞标活动，并代表我方全权办理针对上述项目的所有采购程序和环节的具体事务和签署相关文件。</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附：法定代表人身份证及委托代理人有效身份证正反面复印件</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委托代理人（签字或盖章）：         法定代表人（签字或盖章）：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委托代理人身份证号码：                              </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供应商（电子签章）：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注：1. 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bookmarkStart w:id="69" w:name="_Hlk65853109"/>
      <w:bookmarkStart w:id="70" w:name="_Hlk65853542"/>
      <w:r>
        <w:rPr>
          <w:rFonts w:hint="eastAsia" w:ascii="宋体" w:hAnsi="宋体" w:cs="宋体"/>
          <w:color w:val="auto"/>
          <w:sz w:val="24"/>
          <w:highlight w:val="none"/>
        </w:rPr>
        <w:t>法人、其他组织竞标时“我方”是指“我单位”，自然人竞标时“我方”是指“本人”。</w:t>
      </w:r>
      <w:bookmarkEnd w:id="69"/>
    </w:p>
    <w:bookmarkEnd w:id="70"/>
    <w:p>
      <w:pPr>
        <w:spacing w:line="360" w:lineRule="auto"/>
        <w:ind w:firstLine="420" w:firstLineChars="200"/>
        <w:jc w:val="left"/>
        <w:rPr>
          <w:rFonts w:ascii="宋体" w:hAnsi="宋体" w:cs="宋体"/>
          <w:color w:val="auto"/>
          <w:szCs w:val="21"/>
          <w:highlight w:val="none"/>
        </w:rPr>
      </w:pPr>
    </w:p>
    <w:p>
      <w:pPr>
        <w:adjustRightInd w:val="0"/>
        <w:snapToGrid w:val="0"/>
        <w:spacing w:line="520" w:lineRule="exact"/>
        <w:ind w:firstLine="3360" w:firstLineChars="1600"/>
        <w:jc w:val="center"/>
        <w:rPr>
          <w:rFonts w:ascii="宋体" w:hAnsi="宋体" w:cs="宋体"/>
          <w:bCs/>
          <w:color w:val="auto"/>
          <w:sz w:val="44"/>
          <w:szCs w:val="44"/>
          <w:highlight w:val="none"/>
        </w:rPr>
      </w:pPr>
      <w:r>
        <w:rPr>
          <w:rFonts w:hint="eastAsia" w:ascii="宋体" w:hAnsi="宋体" w:cs="宋体"/>
          <w:color w:val="auto"/>
          <w:szCs w:val="21"/>
          <w:highlight w:val="none"/>
        </w:rPr>
        <w:br w:type="page"/>
      </w:r>
      <w:bookmarkEnd w:id="68"/>
    </w:p>
    <w:p>
      <w:pPr>
        <w:spacing w:line="360" w:lineRule="auto"/>
        <w:ind w:right="-817" w:rightChars="-389"/>
        <w:contextualSpacing/>
        <w:rPr>
          <w:rFonts w:ascii="宋体" w:hAnsi="宋体" w:cs="宋体"/>
          <w:color w:val="auto"/>
          <w:sz w:val="24"/>
          <w:highlight w:val="none"/>
        </w:rPr>
      </w:pPr>
    </w:p>
    <w:p>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拟投入本项目项目负责人情况表；</w:t>
      </w:r>
    </w:p>
    <w:p>
      <w:pPr>
        <w:spacing w:line="400" w:lineRule="exact"/>
        <w:jc w:val="center"/>
        <w:rPr>
          <w:rFonts w:hint="eastAsia" w:ascii="宋体" w:hAnsi="宋体" w:eastAsia="宋体" w:cs="宋体"/>
          <w:b/>
          <w:color w:val="auto"/>
          <w:sz w:val="24"/>
          <w:szCs w:val="24"/>
          <w:highlight w:val="none"/>
        </w:rPr>
      </w:pPr>
    </w:p>
    <w:p>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项目负责人情况表</w:t>
      </w:r>
    </w:p>
    <w:p>
      <w:pPr>
        <w:spacing w:line="400" w:lineRule="exact"/>
        <w:ind w:firstLine="240" w:firstLineChars="100"/>
        <w:rPr>
          <w:rFonts w:hint="eastAsia" w:ascii="宋体" w:hAnsi="宋体" w:eastAsia="宋体" w:cs="宋体"/>
          <w:color w:val="auto"/>
          <w:kern w:val="0"/>
          <w:sz w:val="24"/>
          <w:highlight w:val="none"/>
        </w:rPr>
      </w:pPr>
    </w:p>
    <w:tbl>
      <w:tblPr>
        <w:tblStyle w:val="44"/>
        <w:tblW w:w="850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0"/>
        <w:gridCol w:w="615"/>
        <w:gridCol w:w="803"/>
        <w:gridCol w:w="262"/>
        <w:gridCol w:w="615"/>
        <w:gridCol w:w="190"/>
        <w:gridCol w:w="140"/>
        <w:gridCol w:w="233"/>
        <w:gridCol w:w="1020"/>
        <w:gridCol w:w="727"/>
        <w:gridCol w:w="668"/>
        <w:gridCol w:w="18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jc w:val="center"/>
        </w:trPr>
        <w:tc>
          <w:tcPr>
            <w:tcW w:w="1380" w:type="dxa"/>
            <w:vAlign w:val="center"/>
          </w:tcPr>
          <w:p>
            <w:pPr>
              <w:autoSpaceDE w:val="0"/>
              <w:autoSpaceDN w:val="0"/>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  名</w:t>
            </w:r>
          </w:p>
        </w:tc>
        <w:tc>
          <w:tcPr>
            <w:tcW w:w="1680" w:type="dxa"/>
            <w:gridSpan w:val="3"/>
            <w:vAlign w:val="center"/>
          </w:tcPr>
          <w:p>
            <w:pPr>
              <w:autoSpaceDE w:val="0"/>
              <w:autoSpaceDN w:val="0"/>
              <w:spacing w:line="440" w:lineRule="exact"/>
              <w:jc w:val="center"/>
              <w:rPr>
                <w:rFonts w:hint="eastAsia" w:ascii="宋体" w:hAnsi="宋体" w:eastAsia="宋体" w:cs="宋体"/>
                <w:color w:val="auto"/>
                <w:kern w:val="0"/>
                <w:szCs w:val="21"/>
                <w:highlight w:val="none"/>
              </w:rPr>
            </w:pPr>
          </w:p>
        </w:tc>
        <w:tc>
          <w:tcPr>
            <w:tcW w:w="945" w:type="dxa"/>
            <w:gridSpan w:val="3"/>
            <w:vAlign w:val="center"/>
          </w:tcPr>
          <w:p>
            <w:pPr>
              <w:autoSpaceDE w:val="0"/>
              <w:autoSpaceDN w:val="0"/>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性 别</w:t>
            </w:r>
          </w:p>
        </w:tc>
        <w:tc>
          <w:tcPr>
            <w:tcW w:w="1253" w:type="dxa"/>
            <w:gridSpan w:val="2"/>
            <w:vAlign w:val="center"/>
          </w:tcPr>
          <w:p>
            <w:pPr>
              <w:autoSpaceDE w:val="0"/>
              <w:autoSpaceDN w:val="0"/>
              <w:spacing w:line="440" w:lineRule="exact"/>
              <w:jc w:val="center"/>
              <w:rPr>
                <w:rFonts w:hint="eastAsia" w:ascii="宋体" w:hAnsi="宋体" w:eastAsia="宋体" w:cs="宋体"/>
                <w:color w:val="auto"/>
                <w:kern w:val="0"/>
                <w:szCs w:val="21"/>
                <w:highlight w:val="none"/>
              </w:rPr>
            </w:pPr>
          </w:p>
        </w:tc>
        <w:tc>
          <w:tcPr>
            <w:tcW w:w="1395" w:type="dxa"/>
            <w:gridSpan w:val="2"/>
            <w:vAlign w:val="center"/>
          </w:tcPr>
          <w:p>
            <w:pPr>
              <w:autoSpaceDE w:val="0"/>
              <w:autoSpaceDN w:val="0"/>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年龄</w:t>
            </w:r>
          </w:p>
        </w:tc>
        <w:tc>
          <w:tcPr>
            <w:tcW w:w="1852" w:type="dxa"/>
            <w:vAlign w:val="center"/>
          </w:tcPr>
          <w:p>
            <w:pPr>
              <w:autoSpaceDE w:val="0"/>
              <w:autoSpaceDN w:val="0"/>
              <w:spacing w:line="440" w:lineRule="exact"/>
              <w:jc w:val="center"/>
              <w:rPr>
                <w:rFonts w:hint="eastAsia"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jc w:val="center"/>
        </w:trPr>
        <w:tc>
          <w:tcPr>
            <w:tcW w:w="1380" w:type="dxa"/>
            <w:vAlign w:val="center"/>
          </w:tcPr>
          <w:p>
            <w:pPr>
              <w:autoSpaceDE w:val="0"/>
              <w:autoSpaceDN w:val="0"/>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  务</w:t>
            </w:r>
          </w:p>
        </w:tc>
        <w:tc>
          <w:tcPr>
            <w:tcW w:w="3878" w:type="dxa"/>
            <w:gridSpan w:val="8"/>
            <w:vAlign w:val="center"/>
          </w:tcPr>
          <w:p>
            <w:pPr>
              <w:autoSpaceDE w:val="0"/>
              <w:autoSpaceDN w:val="0"/>
              <w:spacing w:line="440" w:lineRule="exact"/>
              <w:jc w:val="center"/>
              <w:rPr>
                <w:rFonts w:hint="eastAsia" w:ascii="宋体" w:hAnsi="宋体" w:eastAsia="宋体" w:cs="宋体"/>
                <w:color w:val="auto"/>
                <w:kern w:val="0"/>
                <w:szCs w:val="21"/>
                <w:highlight w:val="none"/>
              </w:rPr>
            </w:pPr>
          </w:p>
        </w:tc>
        <w:tc>
          <w:tcPr>
            <w:tcW w:w="1395" w:type="dxa"/>
            <w:gridSpan w:val="2"/>
            <w:vAlign w:val="center"/>
          </w:tcPr>
          <w:p>
            <w:pPr>
              <w:autoSpaceDE w:val="0"/>
              <w:autoSpaceDN w:val="0"/>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 称</w:t>
            </w:r>
          </w:p>
        </w:tc>
        <w:tc>
          <w:tcPr>
            <w:tcW w:w="1852" w:type="dxa"/>
            <w:vAlign w:val="center"/>
          </w:tcPr>
          <w:p>
            <w:pPr>
              <w:autoSpaceDE w:val="0"/>
              <w:autoSpaceDN w:val="0"/>
              <w:spacing w:line="440" w:lineRule="exact"/>
              <w:jc w:val="center"/>
              <w:rPr>
                <w:rFonts w:hint="eastAsia"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jc w:val="center"/>
        </w:trPr>
        <w:tc>
          <w:tcPr>
            <w:tcW w:w="1380" w:type="dxa"/>
            <w:vAlign w:val="center"/>
          </w:tcPr>
          <w:p>
            <w:pPr>
              <w:autoSpaceDE w:val="0"/>
              <w:autoSpaceDN w:val="0"/>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学历</w:t>
            </w:r>
          </w:p>
        </w:tc>
        <w:tc>
          <w:tcPr>
            <w:tcW w:w="1418" w:type="dxa"/>
            <w:gridSpan w:val="2"/>
            <w:vAlign w:val="center"/>
          </w:tcPr>
          <w:p>
            <w:pPr>
              <w:autoSpaceDE w:val="0"/>
              <w:autoSpaceDN w:val="0"/>
              <w:spacing w:line="440" w:lineRule="exact"/>
              <w:jc w:val="center"/>
              <w:rPr>
                <w:rFonts w:hint="eastAsia" w:ascii="宋体" w:hAnsi="宋体" w:eastAsia="宋体" w:cs="宋体"/>
                <w:color w:val="auto"/>
                <w:kern w:val="0"/>
                <w:szCs w:val="21"/>
                <w:highlight w:val="none"/>
              </w:rPr>
            </w:pPr>
          </w:p>
        </w:tc>
        <w:tc>
          <w:tcPr>
            <w:tcW w:w="1440" w:type="dxa"/>
            <w:gridSpan w:val="5"/>
            <w:vAlign w:val="center"/>
          </w:tcPr>
          <w:p>
            <w:pPr>
              <w:autoSpaceDE w:val="0"/>
              <w:autoSpaceDN w:val="0"/>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毕业时间</w:t>
            </w:r>
          </w:p>
        </w:tc>
        <w:tc>
          <w:tcPr>
            <w:tcW w:w="1020" w:type="dxa"/>
            <w:vAlign w:val="center"/>
          </w:tcPr>
          <w:p>
            <w:pPr>
              <w:autoSpaceDE w:val="0"/>
              <w:autoSpaceDN w:val="0"/>
              <w:spacing w:line="440" w:lineRule="exact"/>
              <w:jc w:val="center"/>
              <w:rPr>
                <w:rFonts w:hint="eastAsia" w:ascii="宋体" w:hAnsi="宋体" w:eastAsia="宋体" w:cs="宋体"/>
                <w:color w:val="auto"/>
                <w:kern w:val="0"/>
                <w:szCs w:val="21"/>
                <w:highlight w:val="none"/>
              </w:rPr>
            </w:pPr>
          </w:p>
        </w:tc>
        <w:tc>
          <w:tcPr>
            <w:tcW w:w="1395" w:type="dxa"/>
            <w:gridSpan w:val="2"/>
            <w:vAlign w:val="center"/>
          </w:tcPr>
          <w:p>
            <w:pPr>
              <w:autoSpaceDE w:val="0"/>
              <w:autoSpaceDN w:val="0"/>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毕业学校及专业</w:t>
            </w:r>
          </w:p>
        </w:tc>
        <w:tc>
          <w:tcPr>
            <w:tcW w:w="1852" w:type="dxa"/>
            <w:vAlign w:val="center"/>
          </w:tcPr>
          <w:p>
            <w:pPr>
              <w:autoSpaceDE w:val="0"/>
              <w:autoSpaceDN w:val="0"/>
              <w:spacing w:line="440" w:lineRule="exact"/>
              <w:jc w:val="center"/>
              <w:rPr>
                <w:rFonts w:hint="eastAsia"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0" w:hRule="atLeast"/>
          <w:jc w:val="center"/>
        </w:trPr>
        <w:tc>
          <w:tcPr>
            <w:tcW w:w="1995" w:type="dxa"/>
            <w:gridSpan w:val="2"/>
            <w:vAlign w:val="center"/>
          </w:tcPr>
          <w:p>
            <w:pPr>
              <w:autoSpaceDE w:val="0"/>
              <w:autoSpaceDN w:val="0"/>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参加工作时间</w:t>
            </w:r>
          </w:p>
        </w:tc>
        <w:tc>
          <w:tcPr>
            <w:tcW w:w="1680" w:type="dxa"/>
            <w:gridSpan w:val="3"/>
            <w:vAlign w:val="center"/>
          </w:tcPr>
          <w:p>
            <w:pPr>
              <w:autoSpaceDE w:val="0"/>
              <w:autoSpaceDN w:val="0"/>
              <w:spacing w:line="440" w:lineRule="exact"/>
              <w:jc w:val="center"/>
              <w:rPr>
                <w:rFonts w:hint="eastAsia" w:ascii="宋体" w:hAnsi="宋体" w:eastAsia="宋体" w:cs="宋体"/>
                <w:color w:val="auto"/>
                <w:kern w:val="0"/>
                <w:szCs w:val="21"/>
                <w:highlight w:val="none"/>
              </w:rPr>
            </w:pPr>
          </w:p>
        </w:tc>
        <w:tc>
          <w:tcPr>
            <w:tcW w:w="2978" w:type="dxa"/>
            <w:gridSpan w:val="6"/>
            <w:vAlign w:val="center"/>
          </w:tcPr>
          <w:p>
            <w:pPr>
              <w:autoSpaceDE w:val="0"/>
              <w:autoSpaceDN w:val="0"/>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从事项目年限</w:t>
            </w:r>
          </w:p>
        </w:tc>
        <w:tc>
          <w:tcPr>
            <w:tcW w:w="1852" w:type="dxa"/>
            <w:vAlign w:val="center"/>
          </w:tcPr>
          <w:p>
            <w:pPr>
              <w:autoSpaceDE w:val="0"/>
              <w:autoSpaceDN w:val="0"/>
              <w:spacing w:line="440" w:lineRule="exact"/>
              <w:jc w:val="center"/>
              <w:rPr>
                <w:rFonts w:hint="eastAsia"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jc w:val="center"/>
        </w:trPr>
        <w:tc>
          <w:tcPr>
            <w:tcW w:w="8505" w:type="dxa"/>
            <w:gridSpan w:val="12"/>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已  完  成  类  似  项  目  情  况 （部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jc w:val="center"/>
        </w:trPr>
        <w:tc>
          <w:tcPr>
            <w:tcW w:w="1995" w:type="dxa"/>
            <w:gridSpan w:val="2"/>
            <w:vAlign w:val="center"/>
          </w:tcPr>
          <w:p>
            <w:pPr>
              <w:autoSpaceDE w:val="0"/>
              <w:autoSpaceDN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建设单位</w:t>
            </w:r>
          </w:p>
        </w:tc>
        <w:tc>
          <w:tcPr>
            <w:tcW w:w="1870" w:type="dxa"/>
            <w:gridSpan w:val="4"/>
            <w:vAlign w:val="center"/>
          </w:tcPr>
          <w:p>
            <w:pPr>
              <w:autoSpaceDE w:val="0"/>
              <w:autoSpaceDN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2120" w:type="dxa"/>
            <w:gridSpan w:val="4"/>
            <w:vAlign w:val="center"/>
          </w:tcPr>
          <w:p>
            <w:pPr>
              <w:autoSpaceDE w:val="0"/>
              <w:autoSpaceDN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建设规模</w:t>
            </w:r>
          </w:p>
        </w:tc>
        <w:tc>
          <w:tcPr>
            <w:tcW w:w="2520" w:type="dxa"/>
            <w:gridSpan w:val="2"/>
            <w:vAlign w:val="center"/>
          </w:tcPr>
          <w:p>
            <w:pPr>
              <w:autoSpaceDE w:val="0"/>
              <w:autoSpaceDN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担负的技术职称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jc w:val="center"/>
        </w:trPr>
        <w:tc>
          <w:tcPr>
            <w:tcW w:w="1995" w:type="dxa"/>
            <w:gridSpan w:val="2"/>
            <w:vAlign w:val="center"/>
          </w:tcPr>
          <w:p>
            <w:pPr>
              <w:autoSpaceDE w:val="0"/>
              <w:autoSpaceDN w:val="0"/>
              <w:spacing w:line="400" w:lineRule="exact"/>
              <w:jc w:val="center"/>
              <w:rPr>
                <w:rFonts w:hint="eastAsia" w:ascii="宋体" w:hAnsi="宋体" w:eastAsia="宋体" w:cs="宋体"/>
                <w:color w:val="auto"/>
                <w:kern w:val="0"/>
                <w:szCs w:val="21"/>
                <w:highlight w:val="none"/>
              </w:rPr>
            </w:pPr>
          </w:p>
        </w:tc>
        <w:tc>
          <w:tcPr>
            <w:tcW w:w="1870" w:type="dxa"/>
            <w:gridSpan w:val="4"/>
            <w:vAlign w:val="center"/>
          </w:tcPr>
          <w:p>
            <w:pPr>
              <w:autoSpaceDE w:val="0"/>
              <w:autoSpaceDN w:val="0"/>
              <w:spacing w:line="400" w:lineRule="exact"/>
              <w:rPr>
                <w:rFonts w:hint="eastAsia" w:ascii="宋体" w:hAnsi="宋体" w:eastAsia="宋体" w:cs="宋体"/>
                <w:color w:val="auto"/>
                <w:kern w:val="0"/>
                <w:szCs w:val="21"/>
                <w:highlight w:val="none"/>
              </w:rPr>
            </w:pPr>
          </w:p>
        </w:tc>
        <w:tc>
          <w:tcPr>
            <w:tcW w:w="2120" w:type="dxa"/>
            <w:gridSpan w:val="4"/>
            <w:vAlign w:val="center"/>
          </w:tcPr>
          <w:p>
            <w:pPr>
              <w:autoSpaceDE w:val="0"/>
              <w:autoSpaceDN w:val="0"/>
              <w:spacing w:line="400" w:lineRule="exact"/>
              <w:rPr>
                <w:rFonts w:hint="eastAsia" w:ascii="宋体" w:hAnsi="宋体" w:eastAsia="宋体" w:cs="宋体"/>
                <w:color w:val="auto"/>
                <w:kern w:val="0"/>
                <w:szCs w:val="21"/>
                <w:highlight w:val="none"/>
              </w:rPr>
            </w:pPr>
          </w:p>
        </w:tc>
        <w:tc>
          <w:tcPr>
            <w:tcW w:w="2520" w:type="dxa"/>
            <w:gridSpan w:val="2"/>
            <w:vAlign w:val="center"/>
          </w:tcPr>
          <w:p>
            <w:pPr>
              <w:autoSpaceDE w:val="0"/>
              <w:autoSpaceDN w:val="0"/>
              <w:spacing w:line="400" w:lineRule="exact"/>
              <w:jc w:val="center"/>
              <w:rPr>
                <w:rFonts w:hint="eastAsia"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jc w:val="center"/>
        </w:trPr>
        <w:tc>
          <w:tcPr>
            <w:tcW w:w="1995" w:type="dxa"/>
            <w:gridSpan w:val="2"/>
            <w:vAlign w:val="center"/>
          </w:tcPr>
          <w:p>
            <w:pPr>
              <w:autoSpaceDE w:val="0"/>
              <w:autoSpaceDN w:val="0"/>
              <w:spacing w:line="400" w:lineRule="exact"/>
              <w:jc w:val="center"/>
              <w:rPr>
                <w:rFonts w:hint="eastAsia" w:ascii="宋体" w:hAnsi="宋体" w:eastAsia="宋体" w:cs="宋体"/>
                <w:color w:val="auto"/>
                <w:kern w:val="0"/>
                <w:szCs w:val="21"/>
                <w:highlight w:val="none"/>
              </w:rPr>
            </w:pPr>
          </w:p>
        </w:tc>
        <w:tc>
          <w:tcPr>
            <w:tcW w:w="1870" w:type="dxa"/>
            <w:gridSpan w:val="4"/>
            <w:vAlign w:val="center"/>
          </w:tcPr>
          <w:p>
            <w:pPr>
              <w:autoSpaceDE w:val="0"/>
              <w:autoSpaceDN w:val="0"/>
              <w:spacing w:line="400" w:lineRule="exact"/>
              <w:rPr>
                <w:rFonts w:hint="eastAsia" w:ascii="宋体" w:hAnsi="宋体" w:eastAsia="宋体" w:cs="宋体"/>
                <w:color w:val="auto"/>
                <w:kern w:val="0"/>
                <w:szCs w:val="21"/>
                <w:highlight w:val="none"/>
              </w:rPr>
            </w:pPr>
          </w:p>
        </w:tc>
        <w:tc>
          <w:tcPr>
            <w:tcW w:w="2120" w:type="dxa"/>
            <w:gridSpan w:val="4"/>
            <w:vAlign w:val="center"/>
          </w:tcPr>
          <w:p>
            <w:pPr>
              <w:autoSpaceDE w:val="0"/>
              <w:autoSpaceDN w:val="0"/>
              <w:spacing w:line="400" w:lineRule="exact"/>
              <w:rPr>
                <w:rFonts w:hint="eastAsia" w:ascii="宋体" w:hAnsi="宋体" w:eastAsia="宋体" w:cs="宋体"/>
                <w:color w:val="auto"/>
                <w:kern w:val="0"/>
                <w:szCs w:val="21"/>
                <w:highlight w:val="none"/>
              </w:rPr>
            </w:pPr>
          </w:p>
        </w:tc>
        <w:tc>
          <w:tcPr>
            <w:tcW w:w="2520" w:type="dxa"/>
            <w:gridSpan w:val="2"/>
            <w:vAlign w:val="center"/>
          </w:tcPr>
          <w:p>
            <w:pPr>
              <w:autoSpaceDE w:val="0"/>
              <w:autoSpaceDN w:val="0"/>
              <w:spacing w:line="400" w:lineRule="exact"/>
              <w:jc w:val="center"/>
              <w:rPr>
                <w:rFonts w:hint="eastAsia"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jc w:val="center"/>
        </w:trPr>
        <w:tc>
          <w:tcPr>
            <w:tcW w:w="1995" w:type="dxa"/>
            <w:gridSpan w:val="2"/>
            <w:vAlign w:val="center"/>
          </w:tcPr>
          <w:p>
            <w:pPr>
              <w:autoSpaceDE w:val="0"/>
              <w:autoSpaceDN w:val="0"/>
              <w:spacing w:line="400" w:lineRule="exact"/>
              <w:jc w:val="center"/>
              <w:rPr>
                <w:rFonts w:hint="eastAsia" w:ascii="宋体" w:hAnsi="宋体" w:eastAsia="宋体" w:cs="宋体"/>
                <w:color w:val="auto"/>
                <w:kern w:val="0"/>
                <w:szCs w:val="21"/>
                <w:highlight w:val="none"/>
              </w:rPr>
            </w:pPr>
          </w:p>
        </w:tc>
        <w:tc>
          <w:tcPr>
            <w:tcW w:w="1870" w:type="dxa"/>
            <w:gridSpan w:val="4"/>
            <w:vAlign w:val="center"/>
          </w:tcPr>
          <w:p>
            <w:pPr>
              <w:autoSpaceDE w:val="0"/>
              <w:autoSpaceDN w:val="0"/>
              <w:spacing w:line="400" w:lineRule="exact"/>
              <w:rPr>
                <w:rFonts w:hint="eastAsia" w:ascii="宋体" w:hAnsi="宋体" w:eastAsia="宋体" w:cs="宋体"/>
                <w:color w:val="auto"/>
                <w:kern w:val="0"/>
                <w:szCs w:val="21"/>
                <w:highlight w:val="none"/>
              </w:rPr>
            </w:pPr>
          </w:p>
        </w:tc>
        <w:tc>
          <w:tcPr>
            <w:tcW w:w="2120" w:type="dxa"/>
            <w:gridSpan w:val="4"/>
            <w:vAlign w:val="center"/>
          </w:tcPr>
          <w:p>
            <w:pPr>
              <w:autoSpaceDE w:val="0"/>
              <w:autoSpaceDN w:val="0"/>
              <w:spacing w:line="400" w:lineRule="exact"/>
              <w:rPr>
                <w:rFonts w:hint="eastAsia" w:ascii="宋体" w:hAnsi="宋体" w:eastAsia="宋体" w:cs="宋体"/>
                <w:color w:val="auto"/>
                <w:kern w:val="0"/>
                <w:szCs w:val="21"/>
                <w:highlight w:val="none"/>
              </w:rPr>
            </w:pPr>
          </w:p>
        </w:tc>
        <w:tc>
          <w:tcPr>
            <w:tcW w:w="2520" w:type="dxa"/>
            <w:gridSpan w:val="2"/>
            <w:vAlign w:val="center"/>
          </w:tcPr>
          <w:p>
            <w:pPr>
              <w:autoSpaceDE w:val="0"/>
              <w:autoSpaceDN w:val="0"/>
              <w:spacing w:line="400" w:lineRule="exact"/>
              <w:jc w:val="center"/>
              <w:rPr>
                <w:rFonts w:hint="eastAsia"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jc w:val="center"/>
        </w:trPr>
        <w:tc>
          <w:tcPr>
            <w:tcW w:w="1995" w:type="dxa"/>
            <w:gridSpan w:val="2"/>
            <w:vAlign w:val="center"/>
          </w:tcPr>
          <w:p>
            <w:pPr>
              <w:autoSpaceDE w:val="0"/>
              <w:autoSpaceDN w:val="0"/>
              <w:spacing w:line="400" w:lineRule="exact"/>
              <w:jc w:val="center"/>
              <w:rPr>
                <w:rFonts w:hint="eastAsia" w:ascii="宋体" w:hAnsi="宋体" w:eastAsia="宋体" w:cs="宋体"/>
                <w:color w:val="auto"/>
                <w:kern w:val="0"/>
                <w:szCs w:val="21"/>
                <w:highlight w:val="none"/>
              </w:rPr>
            </w:pPr>
          </w:p>
        </w:tc>
        <w:tc>
          <w:tcPr>
            <w:tcW w:w="1870" w:type="dxa"/>
            <w:gridSpan w:val="4"/>
            <w:vAlign w:val="center"/>
          </w:tcPr>
          <w:p>
            <w:pPr>
              <w:autoSpaceDE w:val="0"/>
              <w:autoSpaceDN w:val="0"/>
              <w:spacing w:line="400" w:lineRule="exact"/>
              <w:rPr>
                <w:rFonts w:hint="eastAsia" w:ascii="宋体" w:hAnsi="宋体" w:eastAsia="宋体" w:cs="宋体"/>
                <w:color w:val="auto"/>
                <w:kern w:val="0"/>
                <w:szCs w:val="21"/>
                <w:highlight w:val="none"/>
              </w:rPr>
            </w:pPr>
          </w:p>
        </w:tc>
        <w:tc>
          <w:tcPr>
            <w:tcW w:w="2120" w:type="dxa"/>
            <w:gridSpan w:val="4"/>
            <w:vAlign w:val="center"/>
          </w:tcPr>
          <w:p>
            <w:pPr>
              <w:autoSpaceDE w:val="0"/>
              <w:autoSpaceDN w:val="0"/>
              <w:spacing w:line="400" w:lineRule="exact"/>
              <w:rPr>
                <w:rFonts w:hint="eastAsia" w:ascii="宋体" w:hAnsi="宋体" w:eastAsia="宋体" w:cs="宋体"/>
                <w:color w:val="auto"/>
                <w:kern w:val="0"/>
                <w:szCs w:val="21"/>
                <w:highlight w:val="none"/>
              </w:rPr>
            </w:pPr>
          </w:p>
        </w:tc>
        <w:tc>
          <w:tcPr>
            <w:tcW w:w="2520" w:type="dxa"/>
            <w:gridSpan w:val="2"/>
            <w:vAlign w:val="center"/>
          </w:tcPr>
          <w:p>
            <w:pPr>
              <w:autoSpaceDE w:val="0"/>
              <w:autoSpaceDN w:val="0"/>
              <w:spacing w:line="400" w:lineRule="exact"/>
              <w:jc w:val="center"/>
              <w:rPr>
                <w:rFonts w:hint="eastAsia"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jc w:val="center"/>
        </w:trPr>
        <w:tc>
          <w:tcPr>
            <w:tcW w:w="1995" w:type="dxa"/>
            <w:gridSpan w:val="2"/>
            <w:vAlign w:val="center"/>
          </w:tcPr>
          <w:p>
            <w:pPr>
              <w:autoSpaceDE w:val="0"/>
              <w:autoSpaceDN w:val="0"/>
              <w:spacing w:line="400" w:lineRule="exact"/>
              <w:jc w:val="center"/>
              <w:rPr>
                <w:rFonts w:hint="eastAsia" w:ascii="宋体" w:hAnsi="宋体" w:eastAsia="宋体" w:cs="宋体"/>
                <w:color w:val="auto"/>
                <w:kern w:val="0"/>
                <w:szCs w:val="21"/>
                <w:highlight w:val="none"/>
              </w:rPr>
            </w:pPr>
          </w:p>
        </w:tc>
        <w:tc>
          <w:tcPr>
            <w:tcW w:w="1870" w:type="dxa"/>
            <w:gridSpan w:val="4"/>
            <w:vAlign w:val="center"/>
          </w:tcPr>
          <w:p>
            <w:pPr>
              <w:autoSpaceDE w:val="0"/>
              <w:autoSpaceDN w:val="0"/>
              <w:spacing w:line="400" w:lineRule="exact"/>
              <w:rPr>
                <w:rFonts w:hint="eastAsia" w:ascii="宋体" w:hAnsi="宋体" w:eastAsia="宋体" w:cs="宋体"/>
                <w:color w:val="auto"/>
                <w:kern w:val="0"/>
                <w:szCs w:val="21"/>
                <w:highlight w:val="none"/>
              </w:rPr>
            </w:pPr>
          </w:p>
        </w:tc>
        <w:tc>
          <w:tcPr>
            <w:tcW w:w="2120" w:type="dxa"/>
            <w:gridSpan w:val="4"/>
            <w:vAlign w:val="center"/>
          </w:tcPr>
          <w:p>
            <w:pPr>
              <w:autoSpaceDE w:val="0"/>
              <w:autoSpaceDN w:val="0"/>
              <w:spacing w:line="400" w:lineRule="exact"/>
              <w:rPr>
                <w:rFonts w:hint="eastAsia" w:ascii="宋体" w:hAnsi="宋体" w:eastAsia="宋体" w:cs="宋体"/>
                <w:color w:val="auto"/>
                <w:kern w:val="0"/>
                <w:szCs w:val="21"/>
                <w:highlight w:val="none"/>
              </w:rPr>
            </w:pPr>
          </w:p>
        </w:tc>
        <w:tc>
          <w:tcPr>
            <w:tcW w:w="2520" w:type="dxa"/>
            <w:gridSpan w:val="2"/>
            <w:vAlign w:val="center"/>
          </w:tcPr>
          <w:p>
            <w:pPr>
              <w:autoSpaceDE w:val="0"/>
              <w:autoSpaceDN w:val="0"/>
              <w:spacing w:line="400" w:lineRule="exact"/>
              <w:jc w:val="center"/>
              <w:rPr>
                <w:rFonts w:hint="eastAsia"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jc w:val="center"/>
        </w:trPr>
        <w:tc>
          <w:tcPr>
            <w:tcW w:w="1995" w:type="dxa"/>
            <w:gridSpan w:val="2"/>
            <w:vAlign w:val="center"/>
          </w:tcPr>
          <w:p>
            <w:pPr>
              <w:autoSpaceDE w:val="0"/>
              <w:autoSpaceDN w:val="0"/>
              <w:spacing w:line="400" w:lineRule="exact"/>
              <w:jc w:val="center"/>
              <w:rPr>
                <w:rFonts w:hint="eastAsia" w:ascii="宋体" w:hAnsi="宋体" w:eastAsia="宋体" w:cs="宋体"/>
                <w:color w:val="auto"/>
                <w:kern w:val="0"/>
                <w:szCs w:val="21"/>
                <w:highlight w:val="none"/>
              </w:rPr>
            </w:pPr>
          </w:p>
        </w:tc>
        <w:tc>
          <w:tcPr>
            <w:tcW w:w="1870" w:type="dxa"/>
            <w:gridSpan w:val="4"/>
            <w:vAlign w:val="center"/>
          </w:tcPr>
          <w:p>
            <w:pPr>
              <w:autoSpaceDE w:val="0"/>
              <w:autoSpaceDN w:val="0"/>
              <w:spacing w:line="400" w:lineRule="exact"/>
              <w:rPr>
                <w:rFonts w:hint="eastAsia" w:ascii="宋体" w:hAnsi="宋体" w:eastAsia="宋体" w:cs="宋体"/>
                <w:color w:val="auto"/>
                <w:kern w:val="0"/>
                <w:szCs w:val="21"/>
                <w:highlight w:val="none"/>
              </w:rPr>
            </w:pPr>
          </w:p>
        </w:tc>
        <w:tc>
          <w:tcPr>
            <w:tcW w:w="2120" w:type="dxa"/>
            <w:gridSpan w:val="4"/>
            <w:vAlign w:val="center"/>
          </w:tcPr>
          <w:p>
            <w:pPr>
              <w:autoSpaceDE w:val="0"/>
              <w:autoSpaceDN w:val="0"/>
              <w:spacing w:line="400" w:lineRule="exact"/>
              <w:rPr>
                <w:rFonts w:hint="eastAsia" w:ascii="宋体" w:hAnsi="宋体" w:eastAsia="宋体" w:cs="宋体"/>
                <w:color w:val="auto"/>
                <w:kern w:val="0"/>
                <w:szCs w:val="21"/>
                <w:highlight w:val="none"/>
              </w:rPr>
            </w:pPr>
          </w:p>
        </w:tc>
        <w:tc>
          <w:tcPr>
            <w:tcW w:w="2520" w:type="dxa"/>
            <w:gridSpan w:val="2"/>
            <w:vAlign w:val="center"/>
          </w:tcPr>
          <w:p>
            <w:pPr>
              <w:autoSpaceDE w:val="0"/>
              <w:autoSpaceDN w:val="0"/>
              <w:spacing w:line="400" w:lineRule="exact"/>
              <w:jc w:val="center"/>
              <w:rPr>
                <w:rFonts w:hint="eastAsia" w:ascii="宋体" w:hAnsi="宋体" w:eastAsia="宋体" w:cs="宋体"/>
                <w:color w:val="auto"/>
                <w:kern w:val="0"/>
                <w:szCs w:val="21"/>
                <w:highlight w:val="none"/>
              </w:rPr>
            </w:pPr>
          </w:p>
        </w:tc>
      </w:tr>
    </w:tbl>
    <w:p>
      <w:pPr>
        <w:pStyle w:val="18"/>
        <w:spacing w:line="360" w:lineRule="auto"/>
        <w:ind w:firstLine="600" w:firstLineChars="300"/>
        <w:rPr>
          <w:rFonts w:hint="eastAsia" w:ascii="宋体" w:hAnsi="宋体" w:eastAsia="宋体" w:cs="宋体"/>
          <w:color w:val="auto"/>
          <w:highlight w:val="none"/>
        </w:rPr>
      </w:pPr>
      <w:r>
        <w:rPr>
          <w:rFonts w:hint="eastAsia" w:ascii="宋体" w:hAnsi="宋体" w:eastAsia="宋体" w:cs="宋体"/>
          <w:color w:val="auto"/>
          <w:highlight w:val="none"/>
        </w:rPr>
        <w:t>注：</w:t>
      </w:r>
    </w:p>
    <w:p>
      <w:pPr>
        <w:pStyle w:val="18"/>
        <w:spacing w:line="360" w:lineRule="auto"/>
        <w:ind w:firstLine="600" w:firstLineChars="300"/>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eastAsia="宋体" w:cs="宋体"/>
          <w:color w:val="auto"/>
          <w:highlight w:val="none"/>
        </w:rPr>
        <w:t>须提供项目负责人的</w:t>
      </w:r>
      <w:r>
        <w:rPr>
          <w:rFonts w:hint="eastAsia" w:ascii="宋体" w:hAnsi="宋体" w:eastAsia="宋体" w:cs="宋体"/>
          <w:color w:val="auto"/>
          <w:szCs w:val="21"/>
          <w:highlight w:val="none"/>
        </w:rPr>
        <w:t>二代居民身份证、学历证、资格证书</w:t>
      </w:r>
      <w:r>
        <w:rPr>
          <w:rFonts w:hint="eastAsia" w:ascii="宋体" w:hAnsi="宋体" w:eastAsia="宋体" w:cs="宋体"/>
          <w:color w:val="auto"/>
          <w:highlight w:val="none"/>
        </w:rPr>
        <w:t>、职称证书及社会保险缴纳</w:t>
      </w:r>
      <w:r>
        <w:rPr>
          <w:rFonts w:hint="eastAsia" w:ascii="宋体" w:hAnsi="宋体" w:eastAsia="宋体" w:cs="宋体"/>
          <w:color w:val="auto"/>
          <w:highlight w:val="none"/>
        </w:rPr>
        <w:t>证明（202</w:t>
      </w:r>
      <w:r>
        <w:rPr>
          <w:rFonts w:hint="eastAsia"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hAnsi="宋体" w:eastAsia="宋体" w:cs="宋体"/>
          <w:color w:val="auto"/>
          <w:highlight w:val="none"/>
          <w:lang w:val="en-US" w:eastAsia="zh-CN"/>
        </w:rPr>
        <w:t>1</w:t>
      </w:r>
      <w:r>
        <w:rPr>
          <w:rFonts w:hint="eastAsia" w:ascii="宋体" w:hAnsi="宋体" w:eastAsia="宋体" w:cs="宋体"/>
          <w:color w:val="auto"/>
          <w:highlight w:val="none"/>
        </w:rPr>
        <w:t>月至2025年</w:t>
      </w:r>
      <w:r>
        <w:rPr>
          <w:rFonts w:hint="eastAsia" w:hAnsi="宋体" w:eastAsia="宋体" w:cs="宋体"/>
          <w:color w:val="auto"/>
          <w:highlight w:val="none"/>
          <w:lang w:val="en-US" w:eastAsia="zh-CN"/>
        </w:rPr>
        <w:t>5</w:t>
      </w:r>
      <w:r>
        <w:rPr>
          <w:rFonts w:hint="eastAsia" w:ascii="宋体" w:hAnsi="宋体" w:eastAsia="宋体" w:cs="宋体"/>
          <w:color w:val="auto"/>
          <w:highlight w:val="none"/>
        </w:rPr>
        <w:t>月）</w:t>
      </w:r>
      <w:r>
        <w:rPr>
          <w:rFonts w:hint="eastAsia" w:ascii="宋体" w:hAnsi="宋体" w:eastAsia="宋体" w:cs="宋体"/>
          <w:color w:val="auto"/>
          <w:szCs w:val="21"/>
          <w:highlight w:val="none"/>
        </w:rPr>
        <w:t>复印件</w:t>
      </w:r>
      <w:r>
        <w:rPr>
          <w:rFonts w:hint="eastAsia" w:ascii="宋体" w:hAnsi="宋体" w:eastAsia="宋体" w:cs="宋体"/>
          <w:color w:val="auto"/>
          <w:highlight w:val="none"/>
        </w:rPr>
        <w:t>等相关证件材料。</w:t>
      </w:r>
    </w:p>
    <w:p>
      <w:pPr>
        <w:pStyle w:val="18"/>
        <w:spacing w:line="360" w:lineRule="auto"/>
        <w:ind w:firstLine="600" w:firstLineChars="300"/>
        <w:rPr>
          <w:rFonts w:hint="eastAsia" w:ascii="宋体" w:hAnsi="宋体" w:eastAsia="宋体" w:cs="宋体"/>
          <w:color w:val="auto"/>
          <w:szCs w:val="21"/>
          <w:highlight w:val="none"/>
        </w:rPr>
      </w:pPr>
      <w:r>
        <w:rPr>
          <w:rFonts w:hint="eastAsia" w:ascii="宋体" w:hAnsi="宋体" w:eastAsia="宋体" w:cs="宋体"/>
          <w:color w:val="auto"/>
          <w:highlight w:val="none"/>
        </w:rPr>
        <w:t>2.</w:t>
      </w:r>
      <w:r>
        <w:rPr>
          <w:rFonts w:hint="eastAsia" w:ascii="宋体" w:hAnsi="宋体" w:eastAsia="宋体" w:cs="宋体"/>
          <w:color w:val="auto"/>
          <w:szCs w:val="21"/>
          <w:highlight w:val="none"/>
        </w:rPr>
        <w:t>如有已完成类似项目的，须提供证明材料（</w:t>
      </w:r>
      <w:r>
        <w:rPr>
          <w:rFonts w:hint="eastAsia" w:ascii="宋体" w:hAnsi="宋体" w:eastAsia="宋体" w:cs="宋体"/>
          <w:color w:val="auto"/>
          <w:kern w:val="0"/>
          <w:szCs w:val="21"/>
          <w:highlight w:val="none"/>
        </w:rPr>
        <w:t>中标（成交）通知书或合同协议书</w:t>
      </w:r>
      <w:r>
        <w:rPr>
          <w:rFonts w:hint="eastAsia" w:ascii="宋体" w:hAnsi="宋体" w:eastAsia="宋体" w:cs="宋体"/>
          <w:color w:val="auto"/>
          <w:szCs w:val="21"/>
          <w:highlight w:val="none"/>
        </w:rPr>
        <w:t>）须能清晰反映该项目系由该人员参与服务，所提供材料不能清晰反映的均作无效材料处理。</w:t>
      </w:r>
      <w:r>
        <w:rPr>
          <w:rFonts w:hint="eastAsia" w:ascii="宋体" w:hAnsi="宋体" w:eastAsia="宋体" w:cs="宋体"/>
          <w:color w:val="auto"/>
          <w:kern w:val="0"/>
          <w:highlight w:val="none"/>
        </w:rPr>
        <w:t>以上表格“类似项目业绩”与投标人须知前附表第3条载明标准一致，</w:t>
      </w:r>
      <w:r>
        <w:rPr>
          <w:rFonts w:hint="eastAsia" w:ascii="宋体" w:hAnsi="宋体" w:eastAsia="宋体" w:cs="宋体"/>
          <w:color w:val="auto"/>
          <w:szCs w:val="21"/>
          <w:highlight w:val="none"/>
        </w:rPr>
        <w:t>且“小型、微型企业”合同标准不进行折算。</w:t>
      </w:r>
    </w:p>
    <w:p>
      <w:pPr>
        <w:spacing w:line="400" w:lineRule="exact"/>
        <w:rPr>
          <w:rFonts w:hint="eastAsia" w:ascii="宋体" w:hAnsi="宋体" w:eastAsia="宋体" w:cs="宋体"/>
          <w:b/>
          <w:color w:val="auto"/>
          <w:kern w:val="0"/>
          <w:szCs w:val="21"/>
          <w:highlight w:val="none"/>
        </w:rPr>
      </w:pPr>
    </w:p>
    <w:p>
      <w:pPr>
        <w:autoSpaceDE w:val="0"/>
        <w:autoSpaceDN w:val="0"/>
        <w:spacing w:line="400" w:lineRule="exact"/>
        <w:jc w:val="left"/>
        <w:rPr>
          <w:rFonts w:hint="eastAsia" w:ascii="宋体" w:hAnsi="宋体" w:eastAsia="宋体" w:cs="宋体"/>
          <w:color w:val="auto"/>
          <w:kern w:val="0"/>
          <w:szCs w:val="21"/>
          <w:highlight w:val="none"/>
        </w:rPr>
      </w:pPr>
    </w:p>
    <w:p>
      <w:pPr>
        <w:pStyle w:val="47"/>
        <w:rPr>
          <w:rFonts w:hint="eastAsia" w:ascii="宋体" w:hAnsi="宋体" w:eastAsia="宋体" w:cs="宋体"/>
          <w:color w:val="auto"/>
          <w:highlight w:val="none"/>
        </w:rPr>
      </w:pPr>
    </w:p>
    <w:p>
      <w:pPr>
        <w:autoSpaceDE w:val="0"/>
        <w:autoSpaceDN w:val="0"/>
        <w:spacing w:line="400" w:lineRule="exact"/>
        <w:jc w:val="left"/>
        <w:rPr>
          <w:rFonts w:hint="eastAsia" w:ascii="宋体" w:hAnsi="宋体" w:eastAsia="宋体" w:cs="宋体"/>
          <w:color w:val="auto"/>
          <w:kern w:val="0"/>
          <w:szCs w:val="21"/>
          <w:highlight w:val="none"/>
        </w:rPr>
      </w:pPr>
    </w:p>
    <w:p>
      <w:pPr>
        <w:pStyle w:val="47"/>
        <w:rPr>
          <w:rFonts w:hint="eastAsia" w:ascii="宋体" w:hAnsi="宋体" w:eastAsia="宋体" w:cs="宋体"/>
          <w:color w:val="auto"/>
          <w:highlight w:val="none"/>
        </w:rPr>
      </w:pPr>
    </w:p>
    <w:p>
      <w:pPr>
        <w:snapToGrid w:val="0"/>
        <w:spacing w:before="156" w:beforeLines="50" w:after="50"/>
        <w:ind w:left="142"/>
        <w:jc w:val="left"/>
        <w:rPr>
          <w:rFonts w:hint="eastAsia" w:ascii="宋体" w:hAnsi="宋体" w:cs="宋体"/>
          <w:b/>
          <w:color w:val="auto"/>
          <w:sz w:val="24"/>
          <w:highlight w:val="none"/>
        </w:rPr>
      </w:pP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autoSpaceDE w:val="0"/>
        <w:autoSpaceDN w:val="0"/>
        <w:adjustRightIn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投标人信誉（奖励）、业绩情况</w:t>
      </w:r>
    </w:p>
    <w:p>
      <w:pPr>
        <w:autoSpaceDE w:val="0"/>
        <w:autoSpaceDN w:val="0"/>
        <w:adjustRightIn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A.类似项目业绩一览表</w:t>
      </w:r>
    </w:p>
    <w:p>
      <w:pPr>
        <w:autoSpaceDE w:val="0"/>
        <w:autoSpaceDN w:val="0"/>
        <w:adjustRightInd w:val="0"/>
        <w:spacing w:line="360" w:lineRule="auto"/>
        <w:rPr>
          <w:rFonts w:hint="eastAsia" w:ascii="宋体" w:hAnsi="宋体" w:eastAsia="宋体" w:cs="宋体"/>
          <w:b/>
          <w:color w:val="auto"/>
          <w:sz w:val="24"/>
          <w:szCs w:val="24"/>
          <w:highlight w:val="none"/>
        </w:rPr>
      </w:pPr>
    </w:p>
    <w:p>
      <w:pPr>
        <w:pStyle w:val="18"/>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类似项目业绩一览表</w:t>
      </w:r>
    </w:p>
    <w:p>
      <w:pPr>
        <w:pStyle w:val="18"/>
        <w:spacing w:line="160" w:lineRule="exact"/>
        <w:jc w:val="center"/>
        <w:rPr>
          <w:rFonts w:hint="eastAsia" w:ascii="宋体" w:hAnsi="宋体" w:eastAsia="宋体" w:cs="宋体"/>
          <w:b/>
          <w:color w:val="auto"/>
          <w:szCs w:val="28"/>
          <w:highlight w:val="none"/>
        </w:rPr>
      </w:pPr>
      <w:r>
        <w:rPr>
          <w:rFonts w:hint="eastAsia" w:ascii="宋体" w:hAnsi="宋体" w:eastAsia="宋体" w:cs="宋体"/>
          <w:b/>
          <w:color w:val="auto"/>
          <w:kern w:val="0"/>
          <w:highlight w:val="none"/>
        </w:rPr>
        <w:t xml:space="preserve">                                                                   </w:t>
      </w:r>
    </w:p>
    <w:tbl>
      <w:tblPr>
        <w:tblStyle w:val="44"/>
        <w:tblW w:w="98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4"/>
        <w:gridCol w:w="1230"/>
        <w:gridCol w:w="1514"/>
        <w:gridCol w:w="1200"/>
        <w:gridCol w:w="1786"/>
        <w:gridCol w:w="1700"/>
        <w:gridCol w:w="158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4" w:hRule="atLeast"/>
          <w:jc w:val="center"/>
        </w:trPr>
        <w:tc>
          <w:tcPr>
            <w:tcW w:w="814" w:type="dxa"/>
            <w:vAlign w:val="center"/>
          </w:tcPr>
          <w:p>
            <w:pPr>
              <w:autoSpaceDE w:val="0"/>
              <w:autoSpaceDN w:val="0"/>
              <w:adjustRightInd w:val="0"/>
              <w:spacing w:line="3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230" w:type="dxa"/>
            <w:vAlign w:val="center"/>
          </w:tcPr>
          <w:p>
            <w:pPr>
              <w:autoSpaceDE w:val="0"/>
              <w:autoSpaceDN w:val="0"/>
              <w:adjustRightInd w:val="0"/>
              <w:spacing w:line="3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招标单位</w:t>
            </w:r>
          </w:p>
        </w:tc>
        <w:tc>
          <w:tcPr>
            <w:tcW w:w="1514" w:type="dxa"/>
            <w:vAlign w:val="center"/>
          </w:tcPr>
          <w:p>
            <w:pPr>
              <w:autoSpaceDE w:val="0"/>
              <w:autoSpaceDN w:val="0"/>
              <w:adjustRightInd w:val="0"/>
              <w:spacing w:line="3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招标项目名称</w:t>
            </w:r>
          </w:p>
        </w:tc>
        <w:tc>
          <w:tcPr>
            <w:tcW w:w="1200" w:type="dxa"/>
            <w:vAlign w:val="center"/>
          </w:tcPr>
          <w:p>
            <w:pPr>
              <w:autoSpaceDE w:val="0"/>
              <w:autoSpaceDN w:val="0"/>
              <w:adjustRightInd w:val="0"/>
              <w:spacing w:line="3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项目内容</w:t>
            </w:r>
          </w:p>
        </w:tc>
        <w:tc>
          <w:tcPr>
            <w:tcW w:w="1786" w:type="dxa"/>
            <w:vAlign w:val="center"/>
          </w:tcPr>
          <w:p>
            <w:pPr>
              <w:autoSpaceDE w:val="0"/>
              <w:autoSpaceDN w:val="0"/>
              <w:adjustRightInd w:val="0"/>
              <w:spacing w:line="3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合同价</w:t>
            </w:r>
          </w:p>
          <w:p>
            <w:pPr>
              <w:autoSpaceDE w:val="0"/>
              <w:autoSpaceDN w:val="0"/>
              <w:adjustRightInd w:val="0"/>
              <w:spacing w:line="3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（人民币：万元）</w:t>
            </w:r>
          </w:p>
        </w:tc>
        <w:tc>
          <w:tcPr>
            <w:tcW w:w="1700" w:type="dxa"/>
            <w:vAlign w:val="center"/>
          </w:tcPr>
          <w:p>
            <w:pPr>
              <w:autoSpaceDE w:val="0"/>
              <w:autoSpaceDN w:val="0"/>
              <w:adjustRightInd w:val="0"/>
              <w:spacing w:line="3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项目总投资/总投资估算（万元）</w:t>
            </w:r>
          </w:p>
        </w:tc>
        <w:tc>
          <w:tcPr>
            <w:tcW w:w="1584" w:type="dxa"/>
            <w:vAlign w:val="center"/>
          </w:tcPr>
          <w:p>
            <w:pPr>
              <w:autoSpaceDE w:val="0"/>
              <w:autoSpaceDN w:val="0"/>
              <w:adjustRightInd w:val="0"/>
              <w:spacing w:line="3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合同日期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jc w:val="center"/>
        </w:trPr>
        <w:tc>
          <w:tcPr>
            <w:tcW w:w="814" w:type="dxa"/>
            <w:vAlign w:val="center"/>
          </w:tcPr>
          <w:p>
            <w:pPr>
              <w:autoSpaceDE w:val="0"/>
              <w:autoSpaceDN w:val="0"/>
              <w:adjustRightInd w:val="0"/>
              <w:spacing w:line="3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230" w:type="dxa"/>
            <w:vAlign w:val="center"/>
          </w:tcPr>
          <w:p>
            <w:pPr>
              <w:autoSpaceDE w:val="0"/>
              <w:autoSpaceDN w:val="0"/>
              <w:adjustRightInd w:val="0"/>
              <w:spacing w:line="300" w:lineRule="exact"/>
              <w:jc w:val="center"/>
              <w:rPr>
                <w:rFonts w:hint="eastAsia" w:ascii="宋体" w:hAnsi="宋体" w:eastAsia="宋体" w:cs="宋体"/>
                <w:color w:val="auto"/>
                <w:kern w:val="0"/>
                <w:szCs w:val="21"/>
                <w:highlight w:val="none"/>
              </w:rPr>
            </w:pPr>
          </w:p>
        </w:tc>
        <w:tc>
          <w:tcPr>
            <w:tcW w:w="1514" w:type="dxa"/>
            <w:vAlign w:val="center"/>
          </w:tcPr>
          <w:p>
            <w:pPr>
              <w:autoSpaceDE w:val="0"/>
              <w:autoSpaceDN w:val="0"/>
              <w:adjustRightInd w:val="0"/>
              <w:spacing w:line="300" w:lineRule="exact"/>
              <w:jc w:val="center"/>
              <w:rPr>
                <w:rFonts w:hint="eastAsia" w:ascii="宋体" w:hAnsi="宋体" w:eastAsia="宋体" w:cs="宋体"/>
                <w:color w:val="auto"/>
                <w:kern w:val="0"/>
                <w:szCs w:val="21"/>
                <w:highlight w:val="none"/>
              </w:rPr>
            </w:pPr>
          </w:p>
        </w:tc>
        <w:tc>
          <w:tcPr>
            <w:tcW w:w="1200" w:type="dxa"/>
            <w:vAlign w:val="center"/>
          </w:tcPr>
          <w:p>
            <w:pPr>
              <w:autoSpaceDE w:val="0"/>
              <w:autoSpaceDN w:val="0"/>
              <w:adjustRightInd w:val="0"/>
              <w:spacing w:line="300" w:lineRule="exact"/>
              <w:jc w:val="center"/>
              <w:rPr>
                <w:rFonts w:hint="eastAsia" w:ascii="宋体" w:hAnsi="宋体" w:eastAsia="宋体" w:cs="宋体"/>
                <w:color w:val="auto"/>
                <w:kern w:val="0"/>
                <w:szCs w:val="21"/>
                <w:highlight w:val="none"/>
              </w:rPr>
            </w:pPr>
          </w:p>
        </w:tc>
        <w:tc>
          <w:tcPr>
            <w:tcW w:w="1786" w:type="dxa"/>
            <w:vAlign w:val="center"/>
          </w:tcPr>
          <w:p>
            <w:pPr>
              <w:autoSpaceDE w:val="0"/>
              <w:autoSpaceDN w:val="0"/>
              <w:adjustRightInd w:val="0"/>
              <w:spacing w:line="300" w:lineRule="exact"/>
              <w:jc w:val="center"/>
              <w:rPr>
                <w:rFonts w:hint="eastAsia" w:ascii="宋体" w:hAnsi="宋体" w:eastAsia="宋体" w:cs="宋体"/>
                <w:color w:val="auto"/>
                <w:kern w:val="0"/>
                <w:szCs w:val="21"/>
                <w:highlight w:val="none"/>
              </w:rPr>
            </w:pPr>
          </w:p>
        </w:tc>
        <w:tc>
          <w:tcPr>
            <w:tcW w:w="1700" w:type="dxa"/>
            <w:vAlign w:val="center"/>
          </w:tcPr>
          <w:p>
            <w:pPr>
              <w:autoSpaceDE w:val="0"/>
              <w:autoSpaceDN w:val="0"/>
              <w:adjustRightInd w:val="0"/>
              <w:spacing w:line="300" w:lineRule="exact"/>
              <w:jc w:val="center"/>
              <w:rPr>
                <w:rFonts w:hint="eastAsia" w:ascii="宋体" w:hAnsi="宋体" w:eastAsia="宋体" w:cs="宋体"/>
                <w:color w:val="auto"/>
                <w:kern w:val="0"/>
                <w:szCs w:val="21"/>
                <w:highlight w:val="none"/>
              </w:rPr>
            </w:pPr>
          </w:p>
        </w:tc>
        <w:tc>
          <w:tcPr>
            <w:tcW w:w="1584" w:type="dxa"/>
            <w:vAlign w:val="center"/>
          </w:tcPr>
          <w:p>
            <w:pPr>
              <w:autoSpaceDE w:val="0"/>
              <w:autoSpaceDN w:val="0"/>
              <w:adjustRightInd w:val="0"/>
              <w:spacing w:line="3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1" w:hRule="atLeast"/>
          <w:jc w:val="center"/>
        </w:trPr>
        <w:tc>
          <w:tcPr>
            <w:tcW w:w="814" w:type="dxa"/>
            <w:vAlign w:val="center"/>
          </w:tcPr>
          <w:p>
            <w:pPr>
              <w:autoSpaceDE w:val="0"/>
              <w:autoSpaceDN w:val="0"/>
              <w:adjustRightInd w:val="0"/>
              <w:spacing w:line="3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230" w:type="dxa"/>
            <w:vAlign w:val="center"/>
          </w:tcPr>
          <w:p>
            <w:pPr>
              <w:autoSpaceDE w:val="0"/>
              <w:autoSpaceDN w:val="0"/>
              <w:adjustRightInd w:val="0"/>
              <w:spacing w:line="300" w:lineRule="exact"/>
              <w:jc w:val="center"/>
              <w:rPr>
                <w:rFonts w:hint="eastAsia" w:ascii="宋体" w:hAnsi="宋体" w:eastAsia="宋体" w:cs="宋体"/>
                <w:color w:val="auto"/>
                <w:kern w:val="0"/>
                <w:szCs w:val="21"/>
                <w:highlight w:val="none"/>
              </w:rPr>
            </w:pPr>
          </w:p>
        </w:tc>
        <w:tc>
          <w:tcPr>
            <w:tcW w:w="1514" w:type="dxa"/>
            <w:vAlign w:val="center"/>
          </w:tcPr>
          <w:p>
            <w:pPr>
              <w:autoSpaceDE w:val="0"/>
              <w:autoSpaceDN w:val="0"/>
              <w:adjustRightInd w:val="0"/>
              <w:spacing w:line="300" w:lineRule="exact"/>
              <w:jc w:val="center"/>
              <w:rPr>
                <w:rFonts w:hint="eastAsia" w:ascii="宋体" w:hAnsi="宋体" w:eastAsia="宋体" w:cs="宋体"/>
                <w:color w:val="auto"/>
                <w:kern w:val="0"/>
                <w:szCs w:val="21"/>
                <w:highlight w:val="none"/>
              </w:rPr>
            </w:pPr>
          </w:p>
        </w:tc>
        <w:tc>
          <w:tcPr>
            <w:tcW w:w="1200" w:type="dxa"/>
            <w:vAlign w:val="center"/>
          </w:tcPr>
          <w:p>
            <w:pPr>
              <w:autoSpaceDE w:val="0"/>
              <w:autoSpaceDN w:val="0"/>
              <w:adjustRightInd w:val="0"/>
              <w:spacing w:line="300" w:lineRule="exact"/>
              <w:jc w:val="center"/>
              <w:rPr>
                <w:rFonts w:hint="eastAsia" w:ascii="宋体" w:hAnsi="宋体" w:eastAsia="宋体" w:cs="宋体"/>
                <w:color w:val="auto"/>
                <w:kern w:val="0"/>
                <w:szCs w:val="21"/>
                <w:highlight w:val="none"/>
              </w:rPr>
            </w:pPr>
          </w:p>
        </w:tc>
        <w:tc>
          <w:tcPr>
            <w:tcW w:w="1786" w:type="dxa"/>
            <w:vAlign w:val="center"/>
          </w:tcPr>
          <w:p>
            <w:pPr>
              <w:autoSpaceDE w:val="0"/>
              <w:autoSpaceDN w:val="0"/>
              <w:adjustRightInd w:val="0"/>
              <w:spacing w:line="300" w:lineRule="exact"/>
              <w:jc w:val="center"/>
              <w:rPr>
                <w:rFonts w:hint="eastAsia" w:ascii="宋体" w:hAnsi="宋体" w:eastAsia="宋体" w:cs="宋体"/>
                <w:color w:val="auto"/>
                <w:kern w:val="0"/>
                <w:szCs w:val="21"/>
                <w:highlight w:val="none"/>
              </w:rPr>
            </w:pPr>
          </w:p>
        </w:tc>
        <w:tc>
          <w:tcPr>
            <w:tcW w:w="1700" w:type="dxa"/>
            <w:vAlign w:val="center"/>
          </w:tcPr>
          <w:p>
            <w:pPr>
              <w:autoSpaceDE w:val="0"/>
              <w:autoSpaceDN w:val="0"/>
              <w:adjustRightInd w:val="0"/>
              <w:spacing w:line="300" w:lineRule="exact"/>
              <w:jc w:val="center"/>
              <w:rPr>
                <w:rFonts w:hint="eastAsia" w:ascii="宋体" w:hAnsi="宋体" w:eastAsia="宋体" w:cs="宋体"/>
                <w:color w:val="auto"/>
                <w:kern w:val="0"/>
                <w:szCs w:val="21"/>
                <w:highlight w:val="none"/>
              </w:rPr>
            </w:pPr>
          </w:p>
        </w:tc>
        <w:tc>
          <w:tcPr>
            <w:tcW w:w="1584" w:type="dxa"/>
            <w:vAlign w:val="center"/>
          </w:tcPr>
          <w:p>
            <w:pPr>
              <w:autoSpaceDE w:val="0"/>
              <w:autoSpaceDN w:val="0"/>
              <w:adjustRightInd w:val="0"/>
              <w:spacing w:line="3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14" w:type="dxa"/>
            <w:vAlign w:val="center"/>
          </w:tcPr>
          <w:p>
            <w:pPr>
              <w:autoSpaceDE w:val="0"/>
              <w:autoSpaceDN w:val="0"/>
              <w:adjustRightInd w:val="0"/>
              <w:spacing w:line="3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230" w:type="dxa"/>
            <w:vAlign w:val="center"/>
          </w:tcPr>
          <w:p>
            <w:pPr>
              <w:autoSpaceDE w:val="0"/>
              <w:autoSpaceDN w:val="0"/>
              <w:adjustRightInd w:val="0"/>
              <w:spacing w:line="300" w:lineRule="exact"/>
              <w:jc w:val="center"/>
              <w:rPr>
                <w:rFonts w:hint="eastAsia" w:ascii="宋体" w:hAnsi="宋体" w:eastAsia="宋体" w:cs="宋体"/>
                <w:color w:val="auto"/>
                <w:kern w:val="0"/>
                <w:szCs w:val="21"/>
                <w:highlight w:val="none"/>
              </w:rPr>
            </w:pPr>
          </w:p>
        </w:tc>
        <w:tc>
          <w:tcPr>
            <w:tcW w:w="1514" w:type="dxa"/>
            <w:vAlign w:val="center"/>
          </w:tcPr>
          <w:p>
            <w:pPr>
              <w:autoSpaceDE w:val="0"/>
              <w:autoSpaceDN w:val="0"/>
              <w:adjustRightInd w:val="0"/>
              <w:spacing w:line="300" w:lineRule="exact"/>
              <w:jc w:val="center"/>
              <w:rPr>
                <w:rFonts w:hint="eastAsia" w:ascii="宋体" w:hAnsi="宋体" w:eastAsia="宋体" w:cs="宋体"/>
                <w:color w:val="auto"/>
                <w:kern w:val="0"/>
                <w:szCs w:val="21"/>
                <w:highlight w:val="none"/>
              </w:rPr>
            </w:pPr>
          </w:p>
        </w:tc>
        <w:tc>
          <w:tcPr>
            <w:tcW w:w="1200" w:type="dxa"/>
            <w:vAlign w:val="center"/>
          </w:tcPr>
          <w:p>
            <w:pPr>
              <w:autoSpaceDE w:val="0"/>
              <w:autoSpaceDN w:val="0"/>
              <w:adjustRightInd w:val="0"/>
              <w:spacing w:line="300" w:lineRule="exact"/>
              <w:jc w:val="center"/>
              <w:rPr>
                <w:rFonts w:hint="eastAsia" w:ascii="宋体" w:hAnsi="宋体" w:eastAsia="宋体" w:cs="宋体"/>
                <w:color w:val="auto"/>
                <w:kern w:val="0"/>
                <w:szCs w:val="21"/>
                <w:highlight w:val="none"/>
              </w:rPr>
            </w:pPr>
          </w:p>
        </w:tc>
        <w:tc>
          <w:tcPr>
            <w:tcW w:w="1786" w:type="dxa"/>
            <w:vAlign w:val="center"/>
          </w:tcPr>
          <w:p>
            <w:pPr>
              <w:autoSpaceDE w:val="0"/>
              <w:autoSpaceDN w:val="0"/>
              <w:adjustRightInd w:val="0"/>
              <w:spacing w:line="300" w:lineRule="exact"/>
              <w:jc w:val="center"/>
              <w:rPr>
                <w:rFonts w:hint="eastAsia" w:ascii="宋体" w:hAnsi="宋体" w:eastAsia="宋体" w:cs="宋体"/>
                <w:color w:val="auto"/>
                <w:kern w:val="0"/>
                <w:szCs w:val="21"/>
                <w:highlight w:val="none"/>
              </w:rPr>
            </w:pPr>
          </w:p>
        </w:tc>
        <w:tc>
          <w:tcPr>
            <w:tcW w:w="1700" w:type="dxa"/>
            <w:vAlign w:val="center"/>
          </w:tcPr>
          <w:p>
            <w:pPr>
              <w:autoSpaceDE w:val="0"/>
              <w:autoSpaceDN w:val="0"/>
              <w:adjustRightInd w:val="0"/>
              <w:spacing w:line="300" w:lineRule="exact"/>
              <w:jc w:val="center"/>
              <w:rPr>
                <w:rFonts w:hint="eastAsia" w:ascii="宋体" w:hAnsi="宋体" w:eastAsia="宋体" w:cs="宋体"/>
                <w:color w:val="auto"/>
                <w:kern w:val="0"/>
                <w:szCs w:val="21"/>
                <w:highlight w:val="none"/>
              </w:rPr>
            </w:pPr>
          </w:p>
        </w:tc>
        <w:tc>
          <w:tcPr>
            <w:tcW w:w="1584" w:type="dxa"/>
            <w:vAlign w:val="center"/>
          </w:tcPr>
          <w:p>
            <w:pPr>
              <w:autoSpaceDE w:val="0"/>
              <w:autoSpaceDN w:val="0"/>
              <w:adjustRightInd w:val="0"/>
              <w:spacing w:line="300" w:lineRule="exact"/>
              <w:jc w:val="center"/>
              <w:rPr>
                <w:rFonts w:hint="eastAsia" w:ascii="宋体" w:hAnsi="宋体" w:eastAsia="宋体" w:cs="宋体"/>
                <w:color w:val="auto"/>
                <w:kern w:val="0"/>
                <w:szCs w:val="21"/>
                <w:highlight w:val="none"/>
              </w:rPr>
            </w:pPr>
          </w:p>
        </w:tc>
      </w:tr>
    </w:tbl>
    <w:p>
      <w:pPr>
        <w:autoSpaceDE w:val="0"/>
        <w:autoSpaceDN w:val="0"/>
        <w:adjustRightInd w:val="0"/>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备注：</w:t>
      </w:r>
    </w:p>
    <w:p>
      <w:pPr>
        <w:autoSpaceDE w:val="0"/>
        <w:autoSpaceDN w:val="0"/>
        <w:adjustRightIn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lang w:val="en-US" w:eastAsia="zh-CN"/>
        </w:rPr>
        <w:t>1</w:t>
      </w:r>
      <w:r>
        <w:rPr>
          <w:rFonts w:hint="eastAsia" w:ascii="宋体" w:hAnsi="宋体" w:eastAsia="宋体" w:cs="宋体"/>
          <w:color w:val="auto"/>
          <w:kern w:val="0"/>
          <w:highlight w:val="none"/>
        </w:rPr>
        <w:t>.</w:t>
      </w:r>
      <w:r>
        <w:rPr>
          <w:rFonts w:hint="eastAsia" w:ascii="宋体" w:hAnsi="宋体" w:eastAsia="宋体" w:cs="宋体"/>
          <w:bCs/>
          <w:color w:val="auto"/>
          <w:szCs w:val="21"/>
          <w:highlight w:val="none"/>
        </w:rPr>
        <w:t>投标人</w:t>
      </w:r>
      <w:r>
        <w:rPr>
          <w:rFonts w:hint="eastAsia" w:ascii="宋体" w:hAnsi="宋体" w:eastAsia="宋体" w:cs="宋体"/>
          <w:color w:val="auto"/>
          <w:highlight w:val="none"/>
        </w:rPr>
        <w:t>若无“类似项目业绩”</w:t>
      </w:r>
      <w:r>
        <w:rPr>
          <w:rFonts w:hint="eastAsia" w:ascii="宋体" w:hAnsi="宋体" w:eastAsia="宋体" w:cs="宋体"/>
          <w:color w:val="auto"/>
          <w:kern w:val="0"/>
          <w:highlight w:val="none"/>
        </w:rPr>
        <w:t>的，请在以上表格内填写“无”</w:t>
      </w:r>
      <w:r>
        <w:rPr>
          <w:rFonts w:hint="eastAsia" w:ascii="宋体" w:hAnsi="宋体" w:eastAsia="宋体" w:cs="宋体"/>
          <w:color w:val="auto"/>
          <w:highlight w:val="none"/>
        </w:rPr>
        <w:t>；</w:t>
      </w:r>
    </w:p>
    <w:p>
      <w:pPr>
        <w:autoSpaceDE w:val="0"/>
        <w:autoSpaceDN w:val="0"/>
        <w:adjustRightIn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bCs/>
          <w:color w:val="auto"/>
          <w:szCs w:val="21"/>
          <w:highlight w:val="none"/>
        </w:rPr>
        <w:t>投标人</w:t>
      </w:r>
      <w:r>
        <w:rPr>
          <w:rFonts w:hint="eastAsia" w:ascii="宋体" w:hAnsi="宋体" w:eastAsia="宋体" w:cs="宋体"/>
          <w:color w:val="auto"/>
          <w:kern w:val="0"/>
          <w:highlight w:val="none"/>
        </w:rPr>
        <w:t>若在以上表格中填写有项目的，应针对每个填写项目附</w:t>
      </w:r>
      <w:r>
        <w:rPr>
          <w:rFonts w:hint="eastAsia" w:ascii="宋体" w:hAnsi="宋体" w:eastAsia="宋体" w:cs="宋体"/>
          <w:color w:val="auto"/>
          <w:kern w:val="0"/>
          <w:szCs w:val="21"/>
          <w:highlight w:val="none"/>
        </w:rPr>
        <w:t>中标（成交）通知书或合同协议书；</w:t>
      </w:r>
      <w:r>
        <w:rPr>
          <w:rFonts w:hint="eastAsia" w:ascii="宋体" w:hAnsi="宋体" w:eastAsia="宋体" w:cs="宋体"/>
          <w:color w:val="auto"/>
          <w:highlight w:val="none"/>
        </w:rPr>
        <w:t>可为加盖投标人单位公章的复印件</w:t>
      </w:r>
      <w:r>
        <w:rPr>
          <w:rFonts w:hint="eastAsia" w:ascii="宋体" w:hAnsi="宋体" w:eastAsia="宋体" w:cs="宋体"/>
          <w:color w:val="auto"/>
          <w:kern w:val="0"/>
          <w:highlight w:val="none"/>
        </w:rPr>
        <w:t>。</w:t>
      </w:r>
    </w:p>
    <w:p>
      <w:pPr>
        <w:spacing w:line="400" w:lineRule="exact"/>
        <w:ind w:firstLine="420" w:firstLineChars="200"/>
        <w:rPr>
          <w:rFonts w:hint="eastAsia" w:ascii="宋体" w:hAnsi="宋体" w:eastAsia="宋体" w:cs="宋体"/>
          <w:color w:val="auto"/>
          <w:highlight w:val="none"/>
        </w:rPr>
      </w:pPr>
      <w:r>
        <w:rPr>
          <w:rFonts w:hint="eastAsia" w:hAnsi="宋体" w:eastAsia="宋体" w:cs="宋体"/>
          <w:color w:val="auto"/>
          <w:highlight w:val="none"/>
          <w:lang w:val="en-US" w:eastAsia="zh-CN"/>
        </w:rPr>
        <w:t>3</w:t>
      </w:r>
      <w:r>
        <w:rPr>
          <w:rFonts w:hint="eastAsia" w:ascii="宋体" w:hAnsi="宋体" w:eastAsia="宋体" w:cs="宋体"/>
          <w:color w:val="auto"/>
          <w:highlight w:val="none"/>
        </w:rPr>
        <w:t>.如为联合体投标，联合体各方均可提供。</w:t>
      </w:r>
    </w:p>
    <w:p>
      <w:pPr>
        <w:pStyle w:val="47"/>
        <w:rPr>
          <w:rFonts w:hint="eastAsia" w:ascii="宋体" w:hAnsi="宋体" w:eastAsia="宋体" w:cs="宋体"/>
          <w:color w:val="auto"/>
          <w:highlight w:val="none"/>
        </w:rPr>
      </w:pPr>
    </w:p>
    <w:p>
      <w:pPr>
        <w:spacing w:line="400" w:lineRule="exact"/>
        <w:rPr>
          <w:rFonts w:hint="eastAsia" w:ascii="宋体" w:hAnsi="宋体" w:eastAsia="宋体" w:cs="宋体"/>
          <w:color w:val="auto"/>
          <w:sz w:val="24"/>
          <w:szCs w:val="24"/>
          <w:highlight w:val="none"/>
        </w:rPr>
      </w:pPr>
    </w:p>
    <w:p>
      <w:pPr>
        <w:autoSpaceDE w:val="0"/>
        <w:autoSpaceDN w:val="0"/>
        <w:adjustRightIn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B.投标人认为必要提供的声明及文件资料。</w:t>
      </w:r>
    </w:p>
    <w:p>
      <w:pPr>
        <w:rPr>
          <w:rFonts w:hint="eastAsia" w:ascii="宋体" w:hAnsi="宋体" w:cs="宋体"/>
          <w:b/>
          <w:color w:val="auto"/>
          <w:sz w:val="24"/>
          <w:highlight w:val="none"/>
        </w:rPr>
      </w:pP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snapToGrid w:val="0"/>
        <w:spacing w:before="156"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t>项目实施人员一览表格式</w:t>
      </w:r>
    </w:p>
    <w:p>
      <w:pPr>
        <w:snapToGrid w:val="0"/>
        <w:spacing w:before="156" w:beforeLines="50" w:after="50"/>
        <w:ind w:left="142"/>
        <w:jc w:val="left"/>
        <w:rPr>
          <w:rFonts w:ascii="宋体" w:hAnsi="宋体" w:cs="宋体"/>
          <w:b/>
          <w:color w:val="auto"/>
          <w:sz w:val="24"/>
          <w:highlight w:val="none"/>
        </w:rPr>
      </w:pPr>
    </w:p>
    <w:tbl>
      <w:tblPr>
        <w:tblStyle w:val="44"/>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姓名</w:t>
            </w:r>
          </w:p>
        </w:tc>
        <w:tc>
          <w:tcPr>
            <w:tcW w:w="709" w:type="dxa"/>
            <w:vAlign w:val="center"/>
          </w:tcPr>
          <w:p>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职务</w:t>
            </w:r>
          </w:p>
        </w:tc>
        <w:tc>
          <w:tcPr>
            <w:tcW w:w="1701" w:type="dxa"/>
            <w:vAlign w:val="center"/>
          </w:tcPr>
          <w:p>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专业技术资格（职称）或者职业资格或者执业资格证或者其他证书</w:t>
            </w:r>
          </w:p>
        </w:tc>
        <w:tc>
          <w:tcPr>
            <w:tcW w:w="1420" w:type="dxa"/>
            <w:vAlign w:val="center"/>
          </w:tcPr>
          <w:p>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证书编号</w:t>
            </w:r>
          </w:p>
        </w:tc>
        <w:tc>
          <w:tcPr>
            <w:tcW w:w="1698" w:type="dxa"/>
            <w:vAlign w:val="center"/>
          </w:tcPr>
          <w:p>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主要经历、经验及承担过的项目</w:t>
            </w:r>
          </w:p>
        </w:tc>
        <w:tc>
          <w:tcPr>
            <w:tcW w:w="1843" w:type="dxa"/>
            <w:vAlign w:val="center"/>
          </w:tcPr>
          <w:p>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60" w:lineRule="auto"/>
              <w:contextualSpacing/>
              <w:jc w:val="center"/>
              <w:rPr>
                <w:rFonts w:ascii="宋体" w:hAnsi="宋体" w:cs="宋体"/>
                <w:color w:val="auto"/>
                <w:sz w:val="24"/>
                <w:szCs w:val="20"/>
                <w:highlight w:val="none"/>
              </w:rPr>
            </w:pPr>
          </w:p>
        </w:tc>
        <w:tc>
          <w:tcPr>
            <w:tcW w:w="709" w:type="dxa"/>
            <w:vAlign w:val="center"/>
          </w:tcPr>
          <w:p>
            <w:pPr>
              <w:spacing w:line="360" w:lineRule="auto"/>
              <w:contextualSpacing/>
              <w:jc w:val="center"/>
              <w:rPr>
                <w:rFonts w:ascii="宋体" w:hAnsi="宋体" w:cs="宋体"/>
                <w:color w:val="auto"/>
                <w:sz w:val="24"/>
                <w:szCs w:val="20"/>
                <w:highlight w:val="none"/>
              </w:rPr>
            </w:pPr>
          </w:p>
        </w:tc>
        <w:tc>
          <w:tcPr>
            <w:tcW w:w="1701" w:type="dxa"/>
            <w:vAlign w:val="center"/>
          </w:tcPr>
          <w:p>
            <w:pPr>
              <w:spacing w:line="360" w:lineRule="auto"/>
              <w:contextualSpacing/>
              <w:jc w:val="center"/>
              <w:rPr>
                <w:rFonts w:ascii="宋体" w:hAnsi="宋体" w:cs="宋体"/>
                <w:color w:val="auto"/>
                <w:sz w:val="24"/>
                <w:szCs w:val="20"/>
                <w:highlight w:val="none"/>
              </w:rPr>
            </w:pPr>
          </w:p>
        </w:tc>
        <w:tc>
          <w:tcPr>
            <w:tcW w:w="1420" w:type="dxa"/>
            <w:vAlign w:val="center"/>
          </w:tcPr>
          <w:p>
            <w:pPr>
              <w:spacing w:line="360" w:lineRule="auto"/>
              <w:contextualSpacing/>
              <w:jc w:val="center"/>
              <w:rPr>
                <w:rFonts w:ascii="宋体" w:hAnsi="宋体" w:cs="宋体"/>
                <w:color w:val="auto"/>
                <w:sz w:val="24"/>
                <w:szCs w:val="20"/>
                <w:highlight w:val="none"/>
              </w:rPr>
            </w:pPr>
          </w:p>
        </w:tc>
        <w:tc>
          <w:tcPr>
            <w:tcW w:w="1698" w:type="dxa"/>
            <w:vAlign w:val="center"/>
          </w:tcPr>
          <w:p>
            <w:pPr>
              <w:spacing w:line="360" w:lineRule="auto"/>
              <w:contextualSpacing/>
              <w:jc w:val="center"/>
              <w:rPr>
                <w:rFonts w:ascii="宋体" w:hAnsi="宋体" w:cs="宋体"/>
                <w:color w:val="auto"/>
                <w:sz w:val="24"/>
                <w:szCs w:val="20"/>
                <w:highlight w:val="none"/>
              </w:rPr>
            </w:pPr>
          </w:p>
        </w:tc>
        <w:tc>
          <w:tcPr>
            <w:tcW w:w="1843" w:type="dxa"/>
            <w:vAlign w:val="center"/>
          </w:tcPr>
          <w:p>
            <w:pPr>
              <w:spacing w:line="360" w:lineRule="auto"/>
              <w:contextualSpacing/>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60" w:lineRule="auto"/>
              <w:contextualSpacing/>
              <w:jc w:val="center"/>
              <w:rPr>
                <w:rFonts w:ascii="宋体" w:hAnsi="宋体" w:cs="宋体"/>
                <w:color w:val="auto"/>
                <w:sz w:val="24"/>
                <w:szCs w:val="20"/>
                <w:highlight w:val="none"/>
              </w:rPr>
            </w:pPr>
          </w:p>
        </w:tc>
        <w:tc>
          <w:tcPr>
            <w:tcW w:w="709" w:type="dxa"/>
            <w:vAlign w:val="center"/>
          </w:tcPr>
          <w:p>
            <w:pPr>
              <w:spacing w:line="360" w:lineRule="auto"/>
              <w:contextualSpacing/>
              <w:jc w:val="center"/>
              <w:rPr>
                <w:rFonts w:ascii="宋体" w:hAnsi="宋体" w:cs="宋体"/>
                <w:color w:val="auto"/>
                <w:sz w:val="24"/>
                <w:szCs w:val="20"/>
                <w:highlight w:val="none"/>
              </w:rPr>
            </w:pPr>
          </w:p>
        </w:tc>
        <w:tc>
          <w:tcPr>
            <w:tcW w:w="1701" w:type="dxa"/>
            <w:vAlign w:val="center"/>
          </w:tcPr>
          <w:p>
            <w:pPr>
              <w:spacing w:line="360" w:lineRule="auto"/>
              <w:contextualSpacing/>
              <w:jc w:val="center"/>
              <w:rPr>
                <w:rFonts w:ascii="宋体" w:hAnsi="宋体" w:cs="宋体"/>
                <w:color w:val="auto"/>
                <w:sz w:val="24"/>
                <w:szCs w:val="20"/>
                <w:highlight w:val="none"/>
              </w:rPr>
            </w:pPr>
          </w:p>
        </w:tc>
        <w:tc>
          <w:tcPr>
            <w:tcW w:w="1420" w:type="dxa"/>
            <w:vAlign w:val="center"/>
          </w:tcPr>
          <w:p>
            <w:pPr>
              <w:spacing w:line="360" w:lineRule="auto"/>
              <w:contextualSpacing/>
              <w:jc w:val="center"/>
              <w:rPr>
                <w:rFonts w:ascii="宋体" w:hAnsi="宋体" w:cs="宋体"/>
                <w:color w:val="auto"/>
                <w:sz w:val="24"/>
                <w:szCs w:val="20"/>
                <w:highlight w:val="none"/>
              </w:rPr>
            </w:pPr>
          </w:p>
        </w:tc>
        <w:tc>
          <w:tcPr>
            <w:tcW w:w="1698" w:type="dxa"/>
            <w:vAlign w:val="center"/>
          </w:tcPr>
          <w:p>
            <w:pPr>
              <w:spacing w:line="360" w:lineRule="auto"/>
              <w:contextualSpacing/>
              <w:jc w:val="center"/>
              <w:rPr>
                <w:rFonts w:ascii="宋体" w:hAnsi="宋体" w:cs="宋体"/>
                <w:color w:val="auto"/>
                <w:sz w:val="24"/>
                <w:szCs w:val="20"/>
                <w:highlight w:val="none"/>
              </w:rPr>
            </w:pPr>
          </w:p>
        </w:tc>
        <w:tc>
          <w:tcPr>
            <w:tcW w:w="1843" w:type="dxa"/>
            <w:vAlign w:val="center"/>
          </w:tcPr>
          <w:p>
            <w:pPr>
              <w:spacing w:line="360" w:lineRule="auto"/>
              <w:contextualSpacing/>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60" w:lineRule="auto"/>
              <w:contextualSpacing/>
              <w:jc w:val="center"/>
              <w:rPr>
                <w:rFonts w:ascii="宋体" w:hAnsi="宋体" w:cs="宋体"/>
                <w:color w:val="auto"/>
                <w:sz w:val="24"/>
                <w:szCs w:val="20"/>
                <w:highlight w:val="none"/>
              </w:rPr>
            </w:pPr>
          </w:p>
        </w:tc>
        <w:tc>
          <w:tcPr>
            <w:tcW w:w="709" w:type="dxa"/>
            <w:vAlign w:val="center"/>
          </w:tcPr>
          <w:p>
            <w:pPr>
              <w:spacing w:line="360" w:lineRule="auto"/>
              <w:contextualSpacing/>
              <w:jc w:val="center"/>
              <w:rPr>
                <w:rFonts w:ascii="宋体" w:hAnsi="宋体" w:cs="宋体"/>
                <w:color w:val="auto"/>
                <w:sz w:val="24"/>
                <w:szCs w:val="20"/>
                <w:highlight w:val="none"/>
              </w:rPr>
            </w:pPr>
          </w:p>
        </w:tc>
        <w:tc>
          <w:tcPr>
            <w:tcW w:w="1701" w:type="dxa"/>
            <w:vAlign w:val="center"/>
          </w:tcPr>
          <w:p>
            <w:pPr>
              <w:spacing w:line="360" w:lineRule="auto"/>
              <w:contextualSpacing/>
              <w:jc w:val="center"/>
              <w:rPr>
                <w:rFonts w:ascii="宋体" w:hAnsi="宋体" w:cs="宋体"/>
                <w:color w:val="auto"/>
                <w:sz w:val="24"/>
                <w:szCs w:val="20"/>
                <w:highlight w:val="none"/>
              </w:rPr>
            </w:pPr>
          </w:p>
        </w:tc>
        <w:tc>
          <w:tcPr>
            <w:tcW w:w="1420" w:type="dxa"/>
            <w:vAlign w:val="center"/>
          </w:tcPr>
          <w:p>
            <w:pPr>
              <w:spacing w:line="360" w:lineRule="auto"/>
              <w:contextualSpacing/>
              <w:jc w:val="center"/>
              <w:rPr>
                <w:rFonts w:ascii="宋体" w:hAnsi="宋体" w:cs="宋体"/>
                <w:color w:val="auto"/>
                <w:sz w:val="24"/>
                <w:szCs w:val="20"/>
                <w:highlight w:val="none"/>
              </w:rPr>
            </w:pPr>
          </w:p>
        </w:tc>
        <w:tc>
          <w:tcPr>
            <w:tcW w:w="1698" w:type="dxa"/>
            <w:vAlign w:val="center"/>
          </w:tcPr>
          <w:p>
            <w:pPr>
              <w:spacing w:line="360" w:lineRule="auto"/>
              <w:contextualSpacing/>
              <w:jc w:val="center"/>
              <w:rPr>
                <w:rFonts w:ascii="宋体" w:hAnsi="宋体" w:cs="宋体"/>
                <w:color w:val="auto"/>
                <w:sz w:val="24"/>
                <w:szCs w:val="20"/>
                <w:highlight w:val="none"/>
              </w:rPr>
            </w:pPr>
          </w:p>
        </w:tc>
        <w:tc>
          <w:tcPr>
            <w:tcW w:w="1843" w:type="dxa"/>
            <w:vAlign w:val="center"/>
          </w:tcPr>
          <w:p>
            <w:pPr>
              <w:spacing w:line="360" w:lineRule="auto"/>
              <w:contextualSpacing/>
              <w:jc w:val="center"/>
              <w:rPr>
                <w:rFonts w:ascii="宋体" w:hAnsi="宋体" w:cs="宋体"/>
                <w:color w:val="auto"/>
                <w:sz w:val="24"/>
                <w:szCs w:val="20"/>
                <w:highlight w:val="none"/>
              </w:rPr>
            </w:pPr>
          </w:p>
        </w:tc>
      </w:tr>
    </w:tbl>
    <w:p>
      <w:pPr>
        <w:spacing w:line="360" w:lineRule="auto"/>
        <w:contextualSpacing/>
        <w:jc w:val="left"/>
        <w:rPr>
          <w:rFonts w:hint="eastAsia" w:ascii="宋体" w:hAnsi="宋体" w:cs="宋体"/>
          <w:color w:val="auto"/>
          <w:sz w:val="24"/>
          <w:szCs w:val="20"/>
          <w:highlight w:val="none"/>
        </w:rPr>
      </w:pPr>
      <w:r>
        <w:rPr>
          <w:rFonts w:hint="eastAsia" w:ascii="宋体" w:hAnsi="宋体" w:cs="宋体"/>
          <w:color w:val="auto"/>
          <w:sz w:val="24"/>
          <w:szCs w:val="20"/>
          <w:highlight w:val="none"/>
        </w:rPr>
        <w:t>注：在填写时，如本表格不适合供应商的实际情况，</w:t>
      </w:r>
      <w:r>
        <w:rPr>
          <w:rFonts w:hint="eastAsia" w:ascii="宋体" w:hAnsi="宋体" w:cs="宋体"/>
          <w:color w:val="auto"/>
          <w:sz w:val="24"/>
          <w:szCs w:val="20"/>
          <w:highlight w:val="none"/>
          <w:lang w:val="en-US" w:eastAsia="zh-CN"/>
        </w:rPr>
        <w:t>亦</w:t>
      </w:r>
      <w:r>
        <w:rPr>
          <w:rFonts w:hint="eastAsia" w:ascii="宋体" w:hAnsi="宋体" w:cs="宋体"/>
          <w:color w:val="auto"/>
          <w:sz w:val="24"/>
          <w:szCs w:val="20"/>
          <w:highlight w:val="none"/>
        </w:rPr>
        <w:t>可根据</w:t>
      </w:r>
      <w:r>
        <w:rPr>
          <w:rFonts w:hint="eastAsia" w:ascii="宋体" w:hAnsi="宋体" w:cs="宋体"/>
          <w:color w:val="auto"/>
          <w:sz w:val="24"/>
          <w:szCs w:val="20"/>
          <w:highlight w:val="none"/>
          <w:lang w:val="en-US" w:eastAsia="zh-CN"/>
        </w:rPr>
        <w:t>供应商实际情况</w:t>
      </w:r>
      <w:r>
        <w:rPr>
          <w:rFonts w:hint="eastAsia" w:ascii="宋体" w:hAnsi="宋体" w:cs="宋体"/>
          <w:color w:val="auto"/>
          <w:sz w:val="24"/>
          <w:szCs w:val="20"/>
          <w:highlight w:val="none"/>
        </w:rPr>
        <w:t>自行制表填写。</w:t>
      </w:r>
    </w:p>
    <w:p>
      <w:pPr>
        <w:pStyle w:val="18"/>
        <w:spacing w:line="400" w:lineRule="exact"/>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须提供项目组织人员的二代居民身份证、学历证、执业资格/岗位证、职称证书及社会保险缴纳证明</w:t>
      </w:r>
      <w:r>
        <w:rPr>
          <w:rFonts w:hint="eastAsia" w:ascii="宋体" w:hAnsi="宋体" w:eastAsia="宋体" w:cs="宋体"/>
          <w:color w:val="auto"/>
          <w:kern w:val="2"/>
          <w:sz w:val="24"/>
          <w:szCs w:val="20"/>
          <w:highlight w:val="none"/>
          <w:lang w:val="en-US" w:eastAsia="zh-CN" w:bidi="ar-SA"/>
        </w:rPr>
        <w:t>（2025年1月至2025年5月）复印件等相关证件材料。</w:t>
      </w:r>
    </w:p>
    <w:p>
      <w:pPr>
        <w:pStyle w:val="24"/>
        <w:rPr>
          <w:rFonts w:hint="eastAsia" w:ascii="宋体" w:hAnsi="宋体" w:eastAsia="宋体" w:cs="宋体"/>
          <w:color w:val="auto"/>
          <w:kern w:val="2"/>
          <w:sz w:val="24"/>
          <w:szCs w:val="20"/>
          <w:highlight w:val="none"/>
          <w:lang w:val="en-US" w:eastAsia="zh-CN" w:bidi="ar-SA"/>
        </w:rPr>
      </w:pPr>
    </w:p>
    <w:p>
      <w:pPr>
        <w:spacing w:line="360" w:lineRule="auto"/>
        <w:contextualSpacing/>
        <w:rPr>
          <w:rFonts w:hint="eastAsia" w:ascii="宋体" w:hAnsi="宋体" w:cs="宋体"/>
          <w:color w:val="auto"/>
          <w:sz w:val="24"/>
          <w:highlight w:val="none"/>
        </w:rPr>
      </w:pPr>
    </w:p>
    <w:p>
      <w:pPr>
        <w:spacing w:line="360" w:lineRule="auto"/>
        <w:contextualSpacing/>
        <w:rPr>
          <w:rFonts w:ascii="宋体" w:hAnsi="宋体" w:cs="宋体"/>
          <w:color w:val="auto"/>
          <w:spacing w:val="20"/>
          <w:sz w:val="24"/>
          <w:szCs w:val="20"/>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z w:val="24"/>
          <w:highlight w:val="none"/>
          <w:lang w:eastAsia="zh-CN"/>
        </w:rPr>
        <w:t>（</w:t>
      </w:r>
      <w:r>
        <w:rPr>
          <w:rFonts w:hint="eastAsia" w:ascii="宋体" w:hAnsi="宋体" w:cs="宋体"/>
          <w:color w:val="auto"/>
          <w:spacing w:val="20"/>
          <w:sz w:val="24"/>
          <w:highlight w:val="none"/>
        </w:rPr>
        <w:t>签字或电子签章</w:t>
      </w:r>
      <w:r>
        <w:rPr>
          <w:rFonts w:hint="eastAsia" w:ascii="宋体" w:hAnsi="宋体" w:cs="宋体"/>
          <w:color w:val="auto"/>
          <w:sz w:val="24"/>
          <w:highlight w:val="none"/>
          <w:lang w:eastAsia="zh-CN"/>
        </w:rPr>
        <w:t>）</w:t>
      </w:r>
      <w:r>
        <w:rPr>
          <w:rFonts w:hint="eastAsia" w:ascii="宋体" w:hAnsi="宋体" w:cs="宋体"/>
          <w:color w:val="auto"/>
          <w:spacing w:val="20"/>
          <w:sz w:val="24"/>
          <w:highlight w:val="none"/>
        </w:rPr>
        <w:t>：</w:t>
      </w:r>
    </w:p>
    <w:p>
      <w:pPr>
        <w:spacing w:line="360" w:lineRule="auto"/>
        <w:contextualSpacing/>
        <w:jc w:val="left"/>
        <w:rPr>
          <w:rFonts w:ascii="宋体" w:hAnsi="宋体" w:cs="宋体"/>
          <w:color w:val="auto"/>
          <w:sz w:val="24"/>
          <w:szCs w:val="20"/>
          <w:highlight w:val="none"/>
        </w:rPr>
      </w:pPr>
      <w:r>
        <w:rPr>
          <w:rFonts w:hint="eastAsia" w:ascii="宋体" w:hAnsi="宋体" w:cs="宋体"/>
          <w:color w:val="auto"/>
          <w:spacing w:val="20"/>
          <w:sz w:val="24"/>
          <w:highlight w:val="none"/>
        </w:rPr>
        <w:t>供应商(电子签章)：              日 期：</w:t>
      </w:r>
    </w:p>
    <w:p>
      <w:pPr>
        <w:snapToGrid w:val="0"/>
        <w:spacing w:before="50" w:after="156" w:afterLines="50"/>
        <w:jc w:val="left"/>
        <w:rPr>
          <w:rFonts w:ascii="宋体" w:hAnsi="宋体" w:cs="宋体"/>
          <w:color w:val="auto"/>
          <w:sz w:val="24"/>
          <w:szCs w:val="20"/>
          <w:highlight w:val="none"/>
        </w:rPr>
      </w:pPr>
    </w:p>
    <w:p>
      <w:pPr>
        <w:snapToGrid w:val="0"/>
        <w:spacing w:before="50" w:after="50" w:line="360" w:lineRule="auto"/>
        <w:ind w:right="-817" w:rightChars="-389" w:firstLine="5461" w:firstLineChars="1700"/>
        <w:rPr>
          <w:rFonts w:ascii="宋体" w:hAnsi="宋体" w:cs="宋体"/>
          <w:b/>
          <w:color w:val="auto"/>
          <w:sz w:val="32"/>
          <w:szCs w:val="32"/>
          <w:highlight w:val="none"/>
        </w:rPr>
      </w:pPr>
    </w:p>
    <w:p>
      <w:pPr>
        <w:spacing w:line="300" w:lineRule="auto"/>
        <w:rPr>
          <w:rFonts w:ascii="宋体" w:hAnsi="宋体" w:cs="宋体"/>
          <w:color w:val="auto"/>
          <w:szCs w:val="21"/>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其他文书、文件格式</w:t>
      </w:r>
    </w:p>
    <w:p>
      <w:pPr>
        <w:spacing w:before="146" w:line="500" w:lineRule="exact"/>
        <w:ind w:right="142"/>
        <w:jc w:val="center"/>
        <w:rPr>
          <w:rFonts w:ascii="宋体" w:hAnsi="宋体" w:cs="宋体"/>
          <w:color w:val="auto"/>
          <w:sz w:val="28"/>
          <w:szCs w:val="28"/>
          <w:highlight w:val="none"/>
        </w:rPr>
      </w:pPr>
      <w:r>
        <w:rPr>
          <w:rFonts w:hint="eastAsia" w:ascii="宋体" w:hAnsi="宋体" w:cs="宋体"/>
          <w:color w:val="auto"/>
          <w:sz w:val="28"/>
          <w:szCs w:val="28"/>
          <w:highlight w:val="none"/>
        </w:rPr>
        <w:t>中小企业声明函（服务）</w:t>
      </w:r>
    </w:p>
    <w:p>
      <w:pPr>
        <w:spacing w:before="2" w:line="500" w:lineRule="exact"/>
        <w:ind w:firstLine="708" w:firstLineChars="294"/>
        <w:rPr>
          <w:rFonts w:ascii="宋体" w:hAnsi="宋体" w:cs="宋体"/>
          <w:b/>
          <w:bCs/>
          <w:color w:val="auto"/>
          <w:sz w:val="24"/>
          <w:highlight w:val="none"/>
        </w:rPr>
      </w:pPr>
    </w:p>
    <w:p>
      <w:pPr>
        <w:pStyle w:val="9"/>
        <w:spacing w:line="440" w:lineRule="exact"/>
        <w:ind w:right="142" w:firstLine="705" w:firstLineChars="294"/>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广西壮族自治区财政厅关于进一步发挥政府采购政策功能促进企业发展的通知》（财库〔2022〕30号）的规定，本公司（联合体）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广西中恒工程咨询有限公司</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《富川瑶族自治县民族医医院中医瑶医诊疗业务用房及附属设施项目瑶医专科专病诊疗中心》施工勘察和基坑设计服务</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pPr>
        <w:tabs>
          <w:tab w:val="left" w:pos="1384"/>
          <w:tab w:val="left" w:pos="4562"/>
          <w:tab w:val="left" w:pos="6803"/>
        </w:tabs>
        <w:spacing w:before="13" w:line="440" w:lineRule="exact"/>
        <w:ind w:right="142" w:firstLine="772" w:firstLineChars="322"/>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u w:val="single"/>
          <w:lang w:eastAsia="zh-CN"/>
        </w:rPr>
        <w:t>《富川瑶族自治县民族医医院中医瑶医诊疗业务用房及附属设施项目瑶医专科专病诊疗中心》施工勘察和基坑设计服务</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 xml:space="preserve"> 服务业 </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lang w:eastAsia="zh-CN"/>
        </w:rPr>
        <w:t>。</w:t>
      </w:r>
    </w:p>
    <w:p>
      <w:pPr>
        <w:pStyle w:val="9"/>
        <w:spacing w:before="34" w:line="440" w:lineRule="exact"/>
        <w:ind w:right="142" w:firstLine="705" w:firstLineChars="294"/>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pStyle w:val="9"/>
        <w:spacing w:before="25" w:line="440" w:lineRule="exact"/>
        <w:ind w:right="142" w:firstLine="705" w:firstLineChars="294"/>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pStyle w:val="9"/>
        <w:spacing w:before="56" w:line="440" w:lineRule="exact"/>
        <w:ind w:right="1808" w:firstLine="705" w:firstLineChars="294"/>
        <w:rPr>
          <w:rFonts w:ascii="宋体" w:hAnsi="宋体" w:cs="宋体"/>
          <w:color w:val="auto"/>
          <w:sz w:val="24"/>
          <w:highlight w:val="none"/>
        </w:rPr>
      </w:pPr>
    </w:p>
    <w:p>
      <w:pPr>
        <w:pStyle w:val="9"/>
        <w:spacing w:before="56" w:line="440" w:lineRule="exact"/>
        <w:ind w:right="650"/>
        <w:rPr>
          <w:rFonts w:ascii="宋体" w:hAnsi="宋体" w:cs="宋体"/>
          <w:color w:val="auto"/>
          <w:sz w:val="24"/>
          <w:highlight w:val="none"/>
        </w:rPr>
      </w:pPr>
      <w:r>
        <w:rPr>
          <w:rFonts w:hint="eastAsia" w:ascii="宋体" w:hAnsi="宋体" w:cs="宋体"/>
          <w:color w:val="auto"/>
          <w:sz w:val="24"/>
          <w:highlight w:val="none"/>
        </w:rPr>
        <w:t>企业名称（</w:t>
      </w:r>
      <w:r>
        <w:rPr>
          <w:rFonts w:hint="eastAsia" w:ascii="宋体" w:hAnsi="宋体" w:cs="宋体"/>
          <w:color w:val="auto"/>
          <w:spacing w:val="20"/>
          <w:sz w:val="24"/>
          <w:highlight w:val="none"/>
        </w:rPr>
        <w:t>电子签章</w:t>
      </w:r>
      <w:r>
        <w:rPr>
          <w:rFonts w:hint="eastAsia" w:ascii="宋体" w:hAnsi="宋体" w:cs="宋体"/>
          <w:color w:val="auto"/>
          <w:sz w:val="24"/>
          <w:highlight w:val="none"/>
        </w:rPr>
        <w:t xml:space="preserve">）： </w:t>
      </w:r>
    </w:p>
    <w:p>
      <w:pPr>
        <w:pStyle w:val="9"/>
        <w:spacing w:before="56" w:line="440" w:lineRule="exact"/>
        <w:ind w:right="1808" w:firstLine="5625" w:firstLineChars="2344"/>
        <w:rPr>
          <w:rFonts w:ascii="宋体" w:hAnsi="宋体" w:cs="宋体"/>
          <w:color w:val="auto"/>
          <w:sz w:val="24"/>
          <w:highlight w:val="none"/>
        </w:rPr>
      </w:pPr>
      <w:r>
        <w:rPr>
          <w:rFonts w:hint="eastAsia" w:ascii="宋体" w:hAnsi="宋体" w:cs="宋体"/>
          <w:color w:val="auto"/>
          <w:sz w:val="24"/>
          <w:highlight w:val="none"/>
        </w:rPr>
        <w:t>日 期：</w:t>
      </w:r>
    </w:p>
    <w:p>
      <w:pPr>
        <w:spacing w:line="440" w:lineRule="exact"/>
        <w:jc w:val="left"/>
        <w:rPr>
          <w:rFonts w:ascii="宋体" w:hAnsi="宋体" w:cs="宋体"/>
          <w:color w:val="auto"/>
          <w:sz w:val="24"/>
          <w:highlight w:val="none"/>
        </w:rPr>
      </w:pPr>
      <w:r>
        <w:rPr>
          <w:rFonts w:hint="eastAsia" w:ascii="宋体" w:hAnsi="宋体" w:cs="宋体"/>
          <w:color w:val="auto"/>
          <w:sz w:val="24"/>
          <w:highlight w:val="none"/>
        </w:rPr>
        <w:t>注：享受《政府采购促进中小企业发展管理办法》（财库〔2020〕46号）、《广西壮族自治区财政厅关于进一步发挥政府采购政策功能促进企业发展的通知》（财库〔2022〕30号）规定的中小企业扶持政策的，采购人、采购代理机构应当随成交结果公开成交供应商的《中小企业声明函》。从业人员、营业收入、资产总额填报上一年度数据，无上一年度数据的新成立企业可不填报。</w:t>
      </w:r>
    </w:p>
    <w:p>
      <w:pPr>
        <w:rPr>
          <w:rFonts w:ascii="宋体" w:hAnsi="宋体" w:cs="宋体"/>
          <w:color w:val="auto"/>
          <w:sz w:val="24"/>
          <w:highlight w:val="none"/>
        </w:rPr>
      </w:pPr>
      <w:r>
        <w:rPr>
          <w:rFonts w:hint="eastAsia" w:ascii="宋体" w:hAnsi="宋体" w:cs="宋体"/>
          <w:color w:val="auto"/>
          <w:sz w:val="24"/>
          <w:highlight w:val="none"/>
        </w:rPr>
        <w:br w:type="page"/>
      </w:r>
    </w:p>
    <w:p>
      <w:pPr>
        <w:jc w:val="center"/>
        <w:rPr>
          <w:rFonts w:ascii="宋体" w:hAnsi="宋体" w:cs="宋体"/>
          <w:color w:val="auto"/>
          <w:szCs w:val="21"/>
          <w:highlight w:val="none"/>
        </w:rPr>
      </w:pPr>
      <w:r>
        <w:rPr>
          <w:rFonts w:hint="eastAsia" w:ascii="宋体" w:hAnsi="宋体" w:cs="宋体"/>
          <w:color w:val="auto"/>
          <w:sz w:val="36"/>
          <w:szCs w:val="36"/>
          <w:highlight w:val="none"/>
        </w:rPr>
        <w:t>中小微企业划型标准</w:t>
      </w:r>
    </w:p>
    <w:tbl>
      <w:tblPr>
        <w:tblStyle w:val="44"/>
        <w:tblW w:w="9084" w:type="dxa"/>
        <w:tblInd w:w="-206" w:type="dxa"/>
        <w:tblLayout w:type="fixed"/>
        <w:tblCellMar>
          <w:top w:w="0" w:type="dxa"/>
          <w:left w:w="108" w:type="dxa"/>
          <w:bottom w:w="0" w:type="dxa"/>
          <w:right w:w="108" w:type="dxa"/>
        </w:tblCellMar>
      </w:tblPr>
      <w:tblGrid>
        <w:gridCol w:w="2157"/>
        <w:gridCol w:w="1384"/>
        <w:gridCol w:w="1090"/>
        <w:gridCol w:w="1581"/>
        <w:gridCol w:w="1561"/>
        <w:gridCol w:w="1311"/>
      </w:tblGrid>
      <w:tr>
        <w:tblPrEx>
          <w:tblLayout w:type="fixed"/>
          <w:tblCellMar>
            <w:top w:w="0" w:type="dxa"/>
            <w:left w:w="108" w:type="dxa"/>
            <w:bottom w:w="0" w:type="dxa"/>
            <w:right w:w="108" w:type="dxa"/>
          </w:tblCellMar>
        </w:tblPrEx>
        <w:trPr>
          <w:trHeight w:val="285" w:hRule="atLeast"/>
        </w:trPr>
        <w:tc>
          <w:tcPr>
            <w:tcW w:w="215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kern w:val="0"/>
                <w:sz w:val="19"/>
                <w:szCs w:val="19"/>
                <w:highlight w:val="none"/>
              </w:rPr>
            </w:pPr>
            <w:r>
              <w:rPr>
                <w:rFonts w:hint="eastAsia" w:ascii="宋体" w:hAnsi="宋体" w:cs="宋体"/>
                <w:b/>
                <w:color w:val="auto"/>
                <w:kern w:val="0"/>
                <w:sz w:val="19"/>
                <w:szCs w:val="19"/>
                <w:highlight w:val="none"/>
              </w:rPr>
              <w:t>行业名称</w:t>
            </w:r>
          </w:p>
        </w:tc>
        <w:tc>
          <w:tcPr>
            <w:tcW w:w="138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auto"/>
                <w:kern w:val="0"/>
                <w:sz w:val="19"/>
                <w:szCs w:val="19"/>
                <w:highlight w:val="none"/>
              </w:rPr>
            </w:pPr>
            <w:r>
              <w:rPr>
                <w:rFonts w:hint="eastAsia" w:ascii="宋体" w:hAnsi="宋体" w:cs="宋体"/>
                <w:b/>
                <w:color w:val="auto"/>
                <w:kern w:val="0"/>
                <w:sz w:val="19"/>
                <w:szCs w:val="19"/>
                <w:highlight w:val="none"/>
              </w:rPr>
              <w:t>指标名称</w:t>
            </w:r>
          </w:p>
        </w:tc>
        <w:tc>
          <w:tcPr>
            <w:tcW w:w="109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auto"/>
                <w:kern w:val="0"/>
                <w:sz w:val="19"/>
                <w:szCs w:val="19"/>
                <w:highlight w:val="none"/>
              </w:rPr>
            </w:pPr>
            <w:r>
              <w:rPr>
                <w:rFonts w:hint="eastAsia" w:ascii="宋体" w:hAnsi="宋体" w:cs="宋体"/>
                <w:b/>
                <w:color w:val="auto"/>
                <w:kern w:val="0"/>
                <w:sz w:val="19"/>
                <w:szCs w:val="19"/>
                <w:highlight w:val="none"/>
              </w:rPr>
              <w:t>计量单位</w:t>
            </w:r>
          </w:p>
        </w:tc>
        <w:tc>
          <w:tcPr>
            <w:tcW w:w="158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auto"/>
                <w:kern w:val="0"/>
                <w:sz w:val="19"/>
                <w:szCs w:val="19"/>
                <w:highlight w:val="none"/>
              </w:rPr>
            </w:pPr>
            <w:r>
              <w:rPr>
                <w:rFonts w:hint="eastAsia" w:ascii="宋体" w:hAnsi="宋体" w:cs="宋体"/>
                <w:b/>
                <w:color w:val="auto"/>
                <w:kern w:val="0"/>
                <w:sz w:val="19"/>
                <w:szCs w:val="19"/>
                <w:highlight w:val="none"/>
              </w:rPr>
              <w:t>中型</w:t>
            </w:r>
          </w:p>
        </w:tc>
        <w:tc>
          <w:tcPr>
            <w:tcW w:w="156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auto"/>
                <w:kern w:val="0"/>
                <w:sz w:val="19"/>
                <w:szCs w:val="19"/>
                <w:highlight w:val="none"/>
              </w:rPr>
            </w:pPr>
            <w:r>
              <w:rPr>
                <w:rFonts w:hint="eastAsia" w:ascii="宋体" w:hAnsi="宋体" w:cs="宋体"/>
                <w:b/>
                <w:color w:val="auto"/>
                <w:kern w:val="0"/>
                <w:sz w:val="19"/>
                <w:szCs w:val="19"/>
                <w:highlight w:val="none"/>
              </w:rPr>
              <w:t>小型</w:t>
            </w:r>
          </w:p>
        </w:tc>
        <w:tc>
          <w:tcPr>
            <w:tcW w:w="131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auto"/>
                <w:kern w:val="0"/>
                <w:sz w:val="19"/>
                <w:szCs w:val="19"/>
                <w:highlight w:val="none"/>
              </w:rPr>
            </w:pPr>
            <w:r>
              <w:rPr>
                <w:rFonts w:hint="eastAsia" w:ascii="宋体" w:hAnsi="宋体" w:cs="宋体"/>
                <w:b/>
                <w:color w:val="auto"/>
                <w:kern w:val="0"/>
                <w:sz w:val="19"/>
                <w:szCs w:val="19"/>
                <w:highlight w:val="none"/>
              </w:rPr>
              <w:t>微型</w:t>
            </w:r>
          </w:p>
        </w:tc>
      </w:tr>
      <w:tr>
        <w:tblPrEx>
          <w:tblLayout w:type="fixed"/>
          <w:tblCellMar>
            <w:top w:w="0" w:type="dxa"/>
            <w:left w:w="108" w:type="dxa"/>
            <w:bottom w:w="0" w:type="dxa"/>
            <w:right w:w="108" w:type="dxa"/>
          </w:tblCellMar>
        </w:tblPrEx>
        <w:trPr>
          <w:trHeight w:val="225" w:hRule="atLeast"/>
        </w:trPr>
        <w:tc>
          <w:tcPr>
            <w:tcW w:w="2157"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9"/>
                <w:szCs w:val="19"/>
                <w:highlight w:val="none"/>
              </w:rPr>
            </w:pPr>
            <w:r>
              <w:rPr>
                <w:rFonts w:hint="eastAsia" w:ascii="宋体" w:hAnsi="宋体" w:cs="宋体"/>
                <w:b/>
                <w:bCs/>
                <w:color w:val="auto"/>
                <w:kern w:val="0"/>
                <w:sz w:val="19"/>
                <w:szCs w:val="19"/>
                <w:highlight w:val="none"/>
              </w:rPr>
              <w:t>农、林、牧、渔</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500≤Y＜20000</w:t>
            </w:r>
          </w:p>
        </w:tc>
        <w:tc>
          <w:tcPr>
            <w:tcW w:w="156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50≤Y＜500</w:t>
            </w:r>
          </w:p>
        </w:tc>
        <w:tc>
          <w:tcPr>
            <w:tcW w:w="13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Y＜50</w:t>
            </w:r>
          </w:p>
        </w:tc>
      </w:tr>
      <w:tr>
        <w:tblPrEx>
          <w:tblLayout w:type="fixed"/>
          <w:tblCellMar>
            <w:top w:w="0" w:type="dxa"/>
            <w:left w:w="108" w:type="dxa"/>
            <w:bottom w:w="0" w:type="dxa"/>
            <w:right w:w="108" w:type="dxa"/>
          </w:tblCellMar>
        </w:tblPrEx>
        <w:trPr>
          <w:trHeight w:val="225" w:hRule="atLeast"/>
        </w:trPr>
        <w:tc>
          <w:tcPr>
            <w:tcW w:w="215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9"/>
                <w:szCs w:val="19"/>
                <w:highlight w:val="none"/>
              </w:rPr>
            </w:pPr>
            <w:r>
              <w:rPr>
                <w:rFonts w:hint="eastAsia" w:ascii="宋体" w:hAnsi="宋体" w:cs="宋体"/>
                <w:b/>
                <w:bCs/>
                <w:color w:val="auto"/>
                <w:kern w:val="0"/>
                <w:sz w:val="19"/>
                <w:szCs w:val="19"/>
                <w:highlight w:val="none"/>
              </w:rPr>
              <w:t>工业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300≤X＜1000</w:t>
            </w:r>
          </w:p>
        </w:tc>
        <w:tc>
          <w:tcPr>
            <w:tcW w:w="156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20≤X＜300</w:t>
            </w:r>
          </w:p>
        </w:tc>
        <w:tc>
          <w:tcPr>
            <w:tcW w:w="13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X＜20</w:t>
            </w:r>
          </w:p>
        </w:tc>
      </w:tr>
      <w:tr>
        <w:tblPrEx>
          <w:tblLayout w:type="fixed"/>
          <w:tblCellMar>
            <w:top w:w="0" w:type="dxa"/>
            <w:left w:w="108" w:type="dxa"/>
            <w:bottom w:w="0" w:type="dxa"/>
            <w:right w:w="108" w:type="dxa"/>
          </w:tblCellMar>
        </w:tblPrEx>
        <w:trPr>
          <w:trHeight w:val="225" w:hRule="atLeast"/>
        </w:trPr>
        <w:tc>
          <w:tcPr>
            <w:tcW w:w="21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2000≤Y＜40000</w:t>
            </w:r>
          </w:p>
        </w:tc>
        <w:tc>
          <w:tcPr>
            <w:tcW w:w="156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300≤Y＜2000</w:t>
            </w:r>
          </w:p>
        </w:tc>
        <w:tc>
          <w:tcPr>
            <w:tcW w:w="13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Y＜300</w:t>
            </w:r>
          </w:p>
        </w:tc>
      </w:tr>
      <w:tr>
        <w:tblPrEx>
          <w:tblLayout w:type="fixed"/>
          <w:tblCellMar>
            <w:top w:w="0" w:type="dxa"/>
            <w:left w:w="108" w:type="dxa"/>
            <w:bottom w:w="0" w:type="dxa"/>
            <w:right w:w="108" w:type="dxa"/>
          </w:tblCellMar>
        </w:tblPrEx>
        <w:trPr>
          <w:trHeight w:val="225" w:hRule="atLeast"/>
        </w:trPr>
        <w:tc>
          <w:tcPr>
            <w:tcW w:w="215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9"/>
                <w:szCs w:val="19"/>
                <w:highlight w:val="none"/>
              </w:rPr>
            </w:pPr>
            <w:r>
              <w:rPr>
                <w:rFonts w:hint="eastAsia" w:ascii="宋体" w:hAnsi="宋体" w:cs="宋体"/>
                <w:b/>
                <w:bCs/>
                <w:color w:val="auto"/>
                <w:kern w:val="0"/>
                <w:sz w:val="19"/>
                <w:szCs w:val="19"/>
                <w:highlight w:val="none"/>
              </w:rPr>
              <w:t>建筑业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6000≤Y＜80000</w:t>
            </w:r>
          </w:p>
        </w:tc>
        <w:tc>
          <w:tcPr>
            <w:tcW w:w="156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300≤Y＜6000</w:t>
            </w:r>
          </w:p>
        </w:tc>
        <w:tc>
          <w:tcPr>
            <w:tcW w:w="13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Y＜300</w:t>
            </w:r>
          </w:p>
        </w:tc>
      </w:tr>
      <w:tr>
        <w:tblPrEx>
          <w:tblLayout w:type="fixed"/>
          <w:tblCellMar>
            <w:top w:w="0" w:type="dxa"/>
            <w:left w:w="108" w:type="dxa"/>
            <w:bottom w:w="0" w:type="dxa"/>
            <w:right w:w="108" w:type="dxa"/>
          </w:tblCellMar>
        </w:tblPrEx>
        <w:trPr>
          <w:trHeight w:val="225" w:hRule="atLeast"/>
        </w:trPr>
        <w:tc>
          <w:tcPr>
            <w:tcW w:w="21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资产总额（Z）</w:t>
            </w:r>
          </w:p>
        </w:tc>
        <w:tc>
          <w:tcPr>
            <w:tcW w:w="10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5000≤Z＜80000</w:t>
            </w:r>
          </w:p>
        </w:tc>
        <w:tc>
          <w:tcPr>
            <w:tcW w:w="156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300≤Z＜5000</w:t>
            </w:r>
          </w:p>
        </w:tc>
        <w:tc>
          <w:tcPr>
            <w:tcW w:w="13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Z＜300</w:t>
            </w:r>
          </w:p>
        </w:tc>
      </w:tr>
      <w:tr>
        <w:tblPrEx>
          <w:tblLayout w:type="fixed"/>
          <w:tblCellMar>
            <w:top w:w="0" w:type="dxa"/>
            <w:left w:w="108" w:type="dxa"/>
            <w:bottom w:w="0" w:type="dxa"/>
            <w:right w:w="108" w:type="dxa"/>
          </w:tblCellMar>
        </w:tblPrEx>
        <w:trPr>
          <w:trHeight w:val="225" w:hRule="atLeast"/>
        </w:trPr>
        <w:tc>
          <w:tcPr>
            <w:tcW w:w="215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9"/>
                <w:szCs w:val="19"/>
                <w:highlight w:val="none"/>
              </w:rPr>
            </w:pPr>
            <w:r>
              <w:rPr>
                <w:rFonts w:hint="eastAsia" w:ascii="宋体" w:hAnsi="宋体" w:cs="宋体"/>
                <w:b/>
                <w:bCs/>
                <w:color w:val="auto"/>
                <w:kern w:val="0"/>
                <w:sz w:val="19"/>
                <w:szCs w:val="19"/>
                <w:highlight w:val="none"/>
              </w:rPr>
              <w:t>批发业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20≤X＜200</w:t>
            </w:r>
          </w:p>
        </w:tc>
        <w:tc>
          <w:tcPr>
            <w:tcW w:w="156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5≤X＜20</w:t>
            </w:r>
          </w:p>
        </w:tc>
        <w:tc>
          <w:tcPr>
            <w:tcW w:w="13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X＜5</w:t>
            </w:r>
          </w:p>
        </w:tc>
      </w:tr>
      <w:tr>
        <w:tblPrEx>
          <w:tblLayout w:type="fixed"/>
          <w:tblCellMar>
            <w:top w:w="0" w:type="dxa"/>
            <w:left w:w="108" w:type="dxa"/>
            <w:bottom w:w="0" w:type="dxa"/>
            <w:right w:w="108" w:type="dxa"/>
          </w:tblCellMar>
        </w:tblPrEx>
        <w:trPr>
          <w:trHeight w:val="225" w:hRule="atLeast"/>
        </w:trPr>
        <w:tc>
          <w:tcPr>
            <w:tcW w:w="21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5000≤Y＜40000</w:t>
            </w:r>
          </w:p>
        </w:tc>
        <w:tc>
          <w:tcPr>
            <w:tcW w:w="156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1000≤Y＜5000</w:t>
            </w:r>
          </w:p>
        </w:tc>
        <w:tc>
          <w:tcPr>
            <w:tcW w:w="13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Y＜1000</w:t>
            </w:r>
          </w:p>
        </w:tc>
      </w:tr>
      <w:tr>
        <w:tblPrEx>
          <w:tblLayout w:type="fixed"/>
          <w:tblCellMar>
            <w:top w:w="0" w:type="dxa"/>
            <w:left w:w="108" w:type="dxa"/>
            <w:bottom w:w="0" w:type="dxa"/>
            <w:right w:w="108" w:type="dxa"/>
          </w:tblCellMar>
        </w:tblPrEx>
        <w:trPr>
          <w:trHeight w:val="225" w:hRule="atLeast"/>
        </w:trPr>
        <w:tc>
          <w:tcPr>
            <w:tcW w:w="215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9"/>
                <w:szCs w:val="19"/>
                <w:highlight w:val="none"/>
              </w:rPr>
            </w:pPr>
            <w:r>
              <w:rPr>
                <w:rFonts w:hint="eastAsia" w:ascii="宋体" w:hAnsi="宋体" w:cs="宋体"/>
                <w:b/>
                <w:bCs/>
                <w:color w:val="auto"/>
                <w:kern w:val="0"/>
                <w:sz w:val="19"/>
                <w:szCs w:val="19"/>
                <w:highlight w:val="none"/>
              </w:rPr>
              <w:t>零售业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50≤X＜300</w:t>
            </w:r>
          </w:p>
        </w:tc>
        <w:tc>
          <w:tcPr>
            <w:tcW w:w="156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10≤X＜50</w:t>
            </w:r>
          </w:p>
        </w:tc>
        <w:tc>
          <w:tcPr>
            <w:tcW w:w="13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X＜10</w:t>
            </w:r>
          </w:p>
        </w:tc>
      </w:tr>
      <w:tr>
        <w:tblPrEx>
          <w:tblLayout w:type="fixed"/>
          <w:tblCellMar>
            <w:top w:w="0" w:type="dxa"/>
            <w:left w:w="108" w:type="dxa"/>
            <w:bottom w:w="0" w:type="dxa"/>
            <w:right w:w="108" w:type="dxa"/>
          </w:tblCellMar>
        </w:tblPrEx>
        <w:trPr>
          <w:trHeight w:val="225" w:hRule="atLeast"/>
        </w:trPr>
        <w:tc>
          <w:tcPr>
            <w:tcW w:w="21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500≤Y＜20000</w:t>
            </w:r>
          </w:p>
        </w:tc>
        <w:tc>
          <w:tcPr>
            <w:tcW w:w="156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100≤Y＜500</w:t>
            </w:r>
          </w:p>
        </w:tc>
        <w:tc>
          <w:tcPr>
            <w:tcW w:w="13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Y＜100</w:t>
            </w:r>
          </w:p>
        </w:tc>
      </w:tr>
      <w:tr>
        <w:tblPrEx>
          <w:tblLayout w:type="fixed"/>
          <w:tblCellMar>
            <w:top w:w="0" w:type="dxa"/>
            <w:left w:w="108" w:type="dxa"/>
            <w:bottom w:w="0" w:type="dxa"/>
            <w:right w:w="108" w:type="dxa"/>
          </w:tblCellMar>
        </w:tblPrEx>
        <w:trPr>
          <w:trHeight w:val="225" w:hRule="atLeast"/>
        </w:trPr>
        <w:tc>
          <w:tcPr>
            <w:tcW w:w="215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9"/>
                <w:szCs w:val="19"/>
                <w:highlight w:val="none"/>
              </w:rPr>
            </w:pPr>
            <w:r>
              <w:rPr>
                <w:rFonts w:hint="eastAsia" w:ascii="宋体" w:hAnsi="宋体" w:cs="宋体"/>
                <w:b/>
                <w:bCs/>
                <w:color w:val="auto"/>
                <w:kern w:val="0"/>
                <w:sz w:val="19"/>
                <w:szCs w:val="19"/>
                <w:highlight w:val="none"/>
              </w:rPr>
              <w:t>交通运输业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300≤X＜1000</w:t>
            </w:r>
          </w:p>
        </w:tc>
        <w:tc>
          <w:tcPr>
            <w:tcW w:w="156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20≤X＜300</w:t>
            </w:r>
          </w:p>
        </w:tc>
        <w:tc>
          <w:tcPr>
            <w:tcW w:w="13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X＜20</w:t>
            </w:r>
          </w:p>
        </w:tc>
      </w:tr>
      <w:tr>
        <w:tblPrEx>
          <w:tblLayout w:type="fixed"/>
          <w:tblCellMar>
            <w:top w:w="0" w:type="dxa"/>
            <w:left w:w="108" w:type="dxa"/>
            <w:bottom w:w="0" w:type="dxa"/>
            <w:right w:w="108" w:type="dxa"/>
          </w:tblCellMar>
        </w:tblPrEx>
        <w:trPr>
          <w:trHeight w:val="225" w:hRule="atLeast"/>
        </w:trPr>
        <w:tc>
          <w:tcPr>
            <w:tcW w:w="21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3000≤Y＜30000</w:t>
            </w:r>
          </w:p>
        </w:tc>
        <w:tc>
          <w:tcPr>
            <w:tcW w:w="156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200≤Y＜3000</w:t>
            </w:r>
          </w:p>
        </w:tc>
        <w:tc>
          <w:tcPr>
            <w:tcW w:w="13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Y＜200</w:t>
            </w:r>
          </w:p>
        </w:tc>
      </w:tr>
      <w:tr>
        <w:tblPrEx>
          <w:tblLayout w:type="fixed"/>
          <w:tblCellMar>
            <w:top w:w="0" w:type="dxa"/>
            <w:left w:w="108" w:type="dxa"/>
            <w:bottom w:w="0" w:type="dxa"/>
            <w:right w:w="108" w:type="dxa"/>
          </w:tblCellMar>
        </w:tblPrEx>
        <w:trPr>
          <w:trHeight w:val="225" w:hRule="atLeast"/>
        </w:trPr>
        <w:tc>
          <w:tcPr>
            <w:tcW w:w="215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9"/>
                <w:szCs w:val="19"/>
                <w:highlight w:val="none"/>
              </w:rPr>
            </w:pPr>
            <w:r>
              <w:rPr>
                <w:rFonts w:hint="eastAsia" w:ascii="宋体" w:hAnsi="宋体" w:cs="宋体"/>
                <w:b/>
                <w:bCs/>
                <w:color w:val="auto"/>
                <w:kern w:val="0"/>
                <w:sz w:val="19"/>
                <w:szCs w:val="19"/>
                <w:highlight w:val="none"/>
              </w:rPr>
              <w:t>仓储业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100≤X＜200</w:t>
            </w:r>
          </w:p>
        </w:tc>
        <w:tc>
          <w:tcPr>
            <w:tcW w:w="156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20≤X＜100</w:t>
            </w:r>
          </w:p>
        </w:tc>
        <w:tc>
          <w:tcPr>
            <w:tcW w:w="13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X＜20</w:t>
            </w:r>
          </w:p>
        </w:tc>
      </w:tr>
      <w:tr>
        <w:tblPrEx>
          <w:tblLayout w:type="fixed"/>
          <w:tblCellMar>
            <w:top w:w="0" w:type="dxa"/>
            <w:left w:w="108" w:type="dxa"/>
            <w:bottom w:w="0" w:type="dxa"/>
            <w:right w:w="108" w:type="dxa"/>
          </w:tblCellMar>
        </w:tblPrEx>
        <w:trPr>
          <w:trHeight w:val="225" w:hRule="atLeast"/>
        </w:trPr>
        <w:tc>
          <w:tcPr>
            <w:tcW w:w="21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1000≤Y＜30000</w:t>
            </w:r>
          </w:p>
        </w:tc>
        <w:tc>
          <w:tcPr>
            <w:tcW w:w="156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100≤Y＜1000</w:t>
            </w:r>
          </w:p>
        </w:tc>
        <w:tc>
          <w:tcPr>
            <w:tcW w:w="13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Y＜100</w:t>
            </w:r>
          </w:p>
        </w:tc>
      </w:tr>
      <w:tr>
        <w:tblPrEx>
          <w:tblLayout w:type="fixed"/>
          <w:tblCellMar>
            <w:top w:w="0" w:type="dxa"/>
            <w:left w:w="108" w:type="dxa"/>
            <w:bottom w:w="0" w:type="dxa"/>
            <w:right w:w="108" w:type="dxa"/>
          </w:tblCellMar>
        </w:tblPrEx>
        <w:trPr>
          <w:trHeight w:val="225" w:hRule="atLeast"/>
        </w:trPr>
        <w:tc>
          <w:tcPr>
            <w:tcW w:w="215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9"/>
                <w:szCs w:val="19"/>
                <w:highlight w:val="none"/>
              </w:rPr>
            </w:pPr>
            <w:r>
              <w:rPr>
                <w:rFonts w:hint="eastAsia" w:ascii="宋体" w:hAnsi="宋体" w:cs="宋体"/>
                <w:b/>
                <w:bCs/>
                <w:color w:val="auto"/>
                <w:kern w:val="0"/>
                <w:sz w:val="19"/>
                <w:szCs w:val="19"/>
                <w:highlight w:val="none"/>
              </w:rPr>
              <w:t>邮政业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300≤X＜1000</w:t>
            </w:r>
          </w:p>
        </w:tc>
        <w:tc>
          <w:tcPr>
            <w:tcW w:w="156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20≤X＜300</w:t>
            </w:r>
          </w:p>
        </w:tc>
        <w:tc>
          <w:tcPr>
            <w:tcW w:w="13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X＜20</w:t>
            </w:r>
          </w:p>
        </w:tc>
      </w:tr>
      <w:tr>
        <w:tblPrEx>
          <w:tblLayout w:type="fixed"/>
          <w:tblCellMar>
            <w:top w:w="0" w:type="dxa"/>
            <w:left w:w="108" w:type="dxa"/>
            <w:bottom w:w="0" w:type="dxa"/>
            <w:right w:w="108" w:type="dxa"/>
          </w:tblCellMar>
        </w:tblPrEx>
        <w:trPr>
          <w:trHeight w:val="225" w:hRule="atLeast"/>
        </w:trPr>
        <w:tc>
          <w:tcPr>
            <w:tcW w:w="21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2000≤Y＜30000</w:t>
            </w:r>
          </w:p>
        </w:tc>
        <w:tc>
          <w:tcPr>
            <w:tcW w:w="156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100≤Y＜2000</w:t>
            </w:r>
          </w:p>
        </w:tc>
        <w:tc>
          <w:tcPr>
            <w:tcW w:w="13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Y＜100</w:t>
            </w:r>
          </w:p>
        </w:tc>
      </w:tr>
      <w:tr>
        <w:tblPrEx>
          <w:tblLayout w:type="fixed"/>
          <w:tblCellMar>
            <w:top w:w="0" w:type="dxa"/>
            <w:left w:w="108" w:type="dxa"/>
            <w:bottom w:w="0" w:type="dxa"/>
            <w:right w:w="108" w:type="dxa"/>
          </w:tblCellMar>
        </w:tblPrEx>
        <w:trPr>
          <w:trHeight w:val="225" w:hRule="atLeast"/>
        </w:trPr>
        <w:tc>
          <w:tcPr>
            <w:tcW w:w="215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9"/>
                <w:szCs w:val="19"/>
                <w:highlight w:val="none"/>
              </w:rPr>
            </w:pPr>
            <w:r>
              <w:rPr>
                <w:rFonts w:hint="eastAsia" w:ascii="宋体" w:hAnsi="宋体" w:cs="宋体"/>
                <w:b/>
                <w:bCs/>
                <w:color w:val="auto"/>
                <w:kern w:val="0"/>
                <w:sz w:val="19"/>
                <w:szCs w:val="19"/>
                <w:highlight w:val="none"/>
              </w:rPr>
              <w:t>住宿业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100≤X＜300</w:t>
            </w:r>
          </w:p>
        </w:tc>
        <w:tc>
          <w:tcPr>
            <w:tcW w:w="156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10≤X＜100</w:t>
            </w:r>
          </w:p>
        </w:tc>
        <w:tc>
          <w:tcPr>
            <w:tcW w:w="13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X＜10</w:t>
            </w:r>
          </w:p>
        </w:tc>
      </w:tr>
      <w:tr>
        <w:tblPrEx>
          <w:tblLayout w:type="fixed"/>
          <w:tblCellMar>
            <w:top w:w="0" w:type="dxa"/>
            <w:left w:w="108" w:type="dxa"/>
            <w:bottom w:w="0" w:type="dxa"/>
            <w:right w:w="108" w:type="dxa"/>
          </w:tblCellMar>
        </w:tblPrEx>
        <w:trPr>
          <w:trHeight w:val="225" w:hRule="atLeast"/>
        </w:trPr>
        <w:tc>
          <w:tcPr>
            <w:tcW w:w="21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2000≤Y＜10000</w:t>
            </w:r>
          </w:p>
        </w:tc>
        <w:tc>
          <w:tcPr>
            <w:tcW w:w="156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100≤Y＜2000</w:t>
            </w:r>
          </w:p>
        </w:tc>
        <w:tc>
          <w:tcPr>
            <w:tcW w:w="13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Y＜100</w:t>
            </w:r>
          </w:p>
        </w:tc>
      </w:tr>
      <w:tr>
        <w:tblPrEx>
          <w:tblLayout w:type="fixed"/>
          <w:tblCellMar>
            <w:top w:w="0" w:type="dxa"/>
            <w:left w:w="108" w:type="dxa"/>
            <w:bottom w:w="0" w:type="dxa"/>
            <w:right w:w="108" w:type="dxa"/>
          </w:tblCellMar>
        </w:tblPrEx>
        <w:trPr>
          <w:trHeight w:val="225" w:hRule="atLeast"/>
        </w:trPr>
        <w:tc>
          <w:tcPr>
            <w:tcW w:w="215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9"/>
                <w:szCs w:val="19"/>
                <w:highlight w:val="none"/>
              </w:rPr>
            </w:pPr>
            <w:r>
              <w:rPr>
                <w:rFonts w:hint="eastAsia" w:ascii="宋体" w:hAnsi="宋体" w:cs="宋体"/>
                <w:b/>
                <w:bCs/>
                <w:color w:val="auto"/>
                <w:kern w:val="0"/>
                <w:sz w:val="19"/>
                <w:szCs w:val="19"/>
                <w:highlight w:val="none"/>
              </w:rPr>
              <w:t>餐饮业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100≤X＜300</w:t>
            </w:r>
          </w:p>
        </w:tc>
        <w:tc>
          <w:tcPr>
            <w:tcW w:w="156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10≤X＜100</w:t>
            </w:r>
          </w:p>
        </w:tc>
        <w:tc>
          <w:tcPr>
            <w:tcW w:w="13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X＜10</w:t>
            </w:r>
          </w:p>
        </w:tc>
      </w:tr>
      <w:tr>
        <w:tblPrEx>
          <w:tblLayout w:type="fixed"/>
          <w:tblCellMar>
            <w:top w:w="0" w:type="dxa"/>
            <w:left w:w="108" w:type="dxa"/>
            <w:bottom w:w="0" w:type="dxa"/>
            <w:right w:w="108" w:type="dxa"/>
          </w:tblCellMar>
        </w:tblPrEx>
        <w:trPr>
          <w:trHeight w:val="225" w:hRule="atLeast"/>
        </w:trPr>
        <w:tc>
          <w:tcPr>
            <w:tcW w:w="21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2000≤Y＜10000</w:t>
            </w:r>
          </w:p>
        </w:tc>
        <w:tc>
          <w:tcPr>
            <w:tcW w:w="156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100≤Y＜2000</w:t>
            </w:r>
          </w:p>
        </w:tc>
        <w:tc>
          <w:tcPr>
            <w:tcW w:w="13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Y＜100</w:t>
            </w:r>
          </w:p>
        </w:tc>
      </w:tr>
      <w:tr>
        <w:tblPrEx>
          <w:tblLayout w:type="fixed"/>
          <w:tblCellMar>
            <w:top w:w="0" w:type="dxa"/>
            <w:left w:w="108" w:type="dxa"/>
            <w:bottom w:w="0" w:type="dxa"/>
            <w:right w:w="108" w:type="dxa"/>
          </w:tblCellMar>
        </w:tblPrEx>
        <w:trPr>
          <w:trHeight w:val="225" w:hRule="atLeast"/>
        </w:trPr>
        <w:tc>
          <w:tcPr>
            <w:tcW w:w="215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9"/>
                <w:szCs w:val="19"/>
                <w:highlight w:val="none"/>
              </w:rPr>
            </w:pPr>
            <w:r>
              <w:rPr>
                <w:rFonts w:hint="eastAsia" w:ascii="宋体" w:hAnsi="宋体" w:cs="宋体"/>
                <w:b/>
                <w:bCs/>
                <w:color w:val="auto"/>
                <w:kern w:val="0"/>
                <w:sz w:val="19"/>
                <w:szCs w:val="19"/>
                <w:highlight w:val="none"/>
              </w:rPr>
              <w:t>信息传输业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100≤X＜2000</w:t>
            </w:r>
          </w:p>
        </w:tc>
        <w:tc>
          <w:tcPr>
            <w:tcW w:w="156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10≤X＜100</w:t>
            </w:r>
          </w:p>
        </w:tc>
        <w:tc>
          <w:tcPr>
            <w:tcW w:w="13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X＜10</w:t>
            </w:r>
          </w:p>
        </w:tc>
      </w:tr>
      <w:tr>
        <w:tblPrEx>
          <w:tblLayout w:type="fixed"/>
          <w:tblCellMar>
            <w:top w:w="0" w:type="dxa"/>
            <w:left w:w="108" w:type="dxa"/>
            <w:bottom w:w="0" w:type="dxa"/>
            <w:right w:w="108" w:type="dxa"/>
          </w:tblCellMar>
        </w:tblPrEx>
        <w:trPr>
          <w:trHeight w:val="225" w:hRule="atLeast"/>
        </w:trPr>
        <w:tc>
          <w:tcPr>
            <w:tcW w:w="21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1000≤Y＜100000</w:t>
            </w:r>
          </w:p>
        </w:tc>
        <w:tc>
          <w:tcPr>
            <w:tcW w:w="156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100≤Y＜1000</w:t>
            </w:r>
          </w:p>
        </w:tc>
        <w:tc>
          <w:tcPr>
            <w:tcW w:w="13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Y＜100</w:t>
            </w:r>
          </w:p>
        </w:tc>
      </w:tr>
      <w:tr>
        <w:tblPrEx>
          <w:tblLayout w:type="fixed"/>
          <w:tblCellMar>
            <w:top w:w="0" w:type="dxa"/>
            <w:left w:w="108" w:type="dxa"/>
            <w:bottom w:w="0" w:type="dxa"/>
            <w:right w:w="108" w:type="dxa"/>
          </w:tblCellMar>
        </w:tblPrEx>
        <w:trPr>
          <w:trHeight w:val="225" w:hRule="atLeast"/>
        </w:trPr>
        <w:tc>
          <w:tcPr>
            <w:tcW w:w="215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9"/>
                <w:szCs w:val="19"/>
                <w:highlight w:val="none"/>
              </w:rPr>
            </w:pPr>
            <w:r>
              <w:rPr>
                <w:rFonts w:hint="eastAsia" w:ascii="宋体" w:hAnsi="宋体" w:cs="宋体"/>
                <w:b/>
                <w:bCs/>
                <w:color w:val="auto"/>
                <w:kern w:val="0"/>
                <w:sz w:val="19"/>
                <w:szCs w:val="19"/>
                <w:highlight w:val="none"/>
              </w:rPr>
              <w:t>软件和信息技术服务业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100≤X＜300</w:t>
            </w:r>
          </w:p>
        </w:tc>
        <w:tc>
          <w:tcPr>
            <w:tcW w:w="156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10≤X＜100</w:t>
            </w:r>
          </w:p>
        </w:tc>
        <w:tc>
          <w:tcPr>
            <w:tcW w:w="13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X＜10</w:t>
            </w:r>
          </w:p>
        </w:tc>
      </w:tr>
      <w:tr>
        <w:tblPrEx>
          <w:tblLayout w:type="fixed"/>
          <w:tblCellMar>
            <w:top w:w="0" w:type="dxa"/>
            <w:left w:w="108" w:type="dxa"/>
            <w:bottom w:w="0" w:type="dxa"/>
            <w:right w:w="108" w:type="dxa"/>
          </w:tblCellMar>
        </w:tblPrEx>
        <w:trPr>
          <w:trHeight w:val="225" w:hRule="atLeast"/>
        </w:trPr>
        <w:tc>
          <w:tcPr>
            <w:tcW w:w="21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1000≤Y＜10000</w:t>
            </w:r>
          </w:p>
        </w:tc>
        <w:tc>
          <w:tcPr>
            <w:tcW w:w="156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50≤Y＜1000</w:t>
            </w:r>
          </w:p>
        </w:tc>
        <w:tc>
          <w:tcPr>
            <w:tcW w:w="13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Y＜50</w:t>
            </w:r>
          </w:p>
        </w:tc>
      </w:tr>
      <w:tr>
        <w:tblPrEx>
          <w:tblLayout w:type="fixed"/>
          <w:tblCellMar>
            <w:top w:w="0" w:type="dxa"/>
            <w:left w:w="108" w:type="dxa"/>
            <w:bottom w:w="0" w:type="dxa"/>
            <w:right w:w="108" w:type="dxa"/>
          </w:tblCellMar>
        </w:tblPrEx>
        <w:trPr>
          <w:trHeight w:val="225" w:hRule="atLeast"/>
        </w:trPr>
        <w:tc>
          <w:tcPr>
            <w:tcW w:w="215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9"/>
                <w:szCs w:val="19"/>
                <w:highlight w:val="none"/>
              </w:rPr>
            </w:pPr>
            <w:r>
              <w:rPr>
                <w:rFonts w:hint="eastAsia" w:ascii="宋体" w:hAnsi="宋体" w:cs="宋体"/>
                <w:b/>
                <w:bCs/>
                <w:color w:val="auto"/>
                <w:kern w:val="0"/>
                <w:sz w:val="19"/>
                <w:szCs w:val="19"/>
                <w:highlight w:val="none"/>
              </w:rPr>
              <w:t>房地产开发经营</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1000≤Y＜200000</w:t>
            </w:r>
          </w:p>
        </w:tc>
        <w:tc>
          <w:tcPr>
            <w:tcW w:w="156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100≤X＜1000</w:t>
            </w:r>
          </w:p>
        </w:tc>
        <w:tc>
          <w:tcPr>
            <w:tcW w:w="13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X＜100</w:t>
            </w:r>
          </w:p>
        </w:tc>
      </w:tr>
      <w:tr>
        <w:tblPrEx>
          <w:tblLayout w:type="fixed"/>
          <w:tblCellMar>
            <w:top w:w="0" w:type="dxa"/>
            <w:left w:w="108" w:type="dxa"/>
            <w:bottom w:w="0" w:type="dxa"/>
            <w:right w:w="108" w:type="dxa"/>
          </w:tblCellMar>
        </w:tblPrEx>
        <w:trPr>
          <w:trHeight w:val="225" w:hRule="atLeast"/>
        </w:trPr>
        <w:tc>
          <w:tcPr>
            <w:tcW w:w="21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资产总额（Z）</w:t>
            </w:r>
          </w:p>
        </w:tc>
        <w:tc>
          <w:tcPr>
            <w:tcW w:w="10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5000≤Z＜10000</w:t>
            </w:r>
          </w:p>
        </w:tc>
        <w:tc>
          <w:tcPr>
            <w:tcW w:w="156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2000≤Y＜5000</w:t>
            </w:r>
          </w:p>
        </w:tc>
        <w:tc>
          <w:tcPr>
            <w:tcW w:w="13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Y＜2000</w:t>
            </w:r>
          </w:p>
        </w:tc>
      </w:tr>
      <w:tr>
        <w:tblPrEx>
          <w:tblLayout w:type="fixed"/>
          <w:tblCellMar>
            <w:top w:w="0" w:type="dxa"/>
            <w:left w:w="108" w:type="dxa"/>
            <w:bottom w:w="0" w:type="dxa"/>
            <w:right w:w="108" w:type="dxa"/>
          </w:tblCellMar>
        </w:tblPrEx>
        <w:trPr>
          <w:trHeight w:val="225" w:hRule="atLeast"/>
        </w:trPr>
        <w:tc>
          <w:tcPr>
            <w:tcW w:w="215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9"/>
                <w:szCs w:val="19"/>
                <w:highlight w:val="none"/>
              </w:rPr>
            </w:pPr>
            <w:r>
              <w:rPr>
                <w:rFonts w:hint="eastAsia" w:ascii="宋体" w:hAnsi="宋体" w:cs="宋体"/>
                <w:b/>
                <w:bCs/>
                <w:color w:val="auto"/>
                <w:kern w:val="0"/>
                <w:sz w:val="19"/>
                <w:szCs w:val="19"/>
                <w:highlight w:val="none"/>
              </w:rPr>
              <w:t>物业管理</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300≤X＜1000</w:t>
            </w:r>
          </w:p>
        </w:tc>
        <w:tc>
          <w:tcPr>
            <w:tcW w:w="156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100≤X＜300</w:t>
            </w:r>
          </w:p>
        </w:tc>
        <w:tc>
          <w:tcPr>
            <w:tcW w:w="13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X＜100</w:t>
            </w:r>
          </w:p>
        </w:tc>
      </w:tr>
      <w:tr>
        <w:tblPrEx>
          <w:tblLayout w:type="fixed"/>
          <w:tblCellMar>
            <w:top w:w="0" w:type="dxa"/>
            <w:left w:w="108" w:type="dxa"/>
            <w:bottom w:w="0" w:type="dxa"/>
            <w:right w:w="108" w:type="dxa"/>
          </w:tblCellMar>
        </w:tblPrEx>
        <w:trPr>
          <w:trHeight w:val="225" w:hRule="atLeast"/>
        </w:trPr>
        <w:tc>
          <w:tcPr>
            <w:tcW w:w="21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1000≤Y＜5000</w:t>
            </w:r>
          </w:p>
        </w:tc>
        <w:tc>
          <w:tcPr>
            <w:tcW w:w="156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500≤Y＜1000</w:t>
            </w:r>
          </w:p>
        </w:tc>
        <w:tc>
          <w:tcPr>
            <w:tcW w:w="13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Y＜500</w:t>
            </w:r>
          </w:p>
        </w:tc>
      </w:tr>
      <w:tr>
        <w:tblPrEx>
          <w:tblLayout w:type="fixed"/>
          <w:tblCellMar>
            <w:top w:w="0" w:type="dxa"/>
            <w:left w:w="108" w:type="dxa"/>
            <w:bottom w:w="0" w:type="dxa"/>
            <w:right w:w="108" w:type="dxa"/>
          </w:tblCellMar>
        </w:tblPrEx>
        <w:trPr>
          <w:trHeight w:val="225" w:hRule="atLeast"/>
        </w:trPr>
        <w:tc>
          <w:tcPr>
            <w:tcW w:w="215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9"/>
                <w:szCs w:val="19"/>
                <w:highlight w:val="none"/>
              </w:rPr>
            </w:pPr>
            <w:r>
              <w:rPr>
                <w:rFonts w:hint="eastAsia" w:ascii="宋体" w:hAnsi="宋体" w:cs="宋体"/>
                <w:b/>
                <w:bCs/>
                <w:color w:val="auto"/>
                <w:kern w:val="0"/>
                <w:sz w:val="19"/>
                <w:szCs w:val="19"/>
                <w:highlight w:val="none"/>
              </w:rPr>
              <w:t>租赁和商务服务业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100≤X＜300</w:t>
            </w:r>
          </w:p>
        </w:tc>
        <w:tc>
          <w:tcPr>
            <w:tcW w:w="156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10≤X＜100</w:t>
            </w:r>
          </w:p>
        </w:tc>
        <w:tc>
          <w:tcPr>
            <w:tcW w:w="13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X＜10</w:t>
            </w:r>
          </w:p>
        </w:tc>
      </w:tr>
      <w:tr>
        <w:tblPrEx>
          <w:tblLayout w:type="fixed"/>
          <w:tblCellMar>
            <w:top w:w="0" w:type="dxa"/>
            <w:left w:w="108" w:type="dxa"/>
            <w:bottom w:w="0" w:type="dxa"/>
            <w:right w:w="108" w:type="dxa"/>
          </w:tblCellMar>
        </w:tblPrEx>
        <w:trPr>
          <w:trHeight w:val="225" w:hRule="atLeast"/>
        </w:trPr>
        <w:tc>
          <w:tcPr>
            <w:tcW w:w="21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资产总额（Z）</w:t>
            </w:r>
          </w:p>
        </w:tc>
        <w:tc>
          <w:tcPr>
            <w:tcW w:w="10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8000≤Z＜120000</w:t>
            </w:r>
          </w:p>
        </w:tc>
        <w:tc>
          <w:tcPr>
            <w:tcW w:w="156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100≤Z＜8000</w:t>
            </w:r>
          </w:p>
        </w:tc>
        <w:tc>
          <w:tcPr>
            <w:tcW w:w="13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Y＜100</w:t>
            </w:r>
          </w:p>
        </w:tc>
      </w:tr>
      <w:tr>
        <w:tblPrEx>
          <w:tblLayout w:type="fixed"/>
          <w:tblCellMar>
            <w:top w:w="0" w:type="dxa"/>
            <w:left w:w="108" w:type="dxa"/>
            <w:bottom w:w="0" w:type="dxa"/>
            <w:right w:w="108" w:type="dxa"/>
          </w:tblCellMar>
        </w:tblPrEx>
        <w:trPr>
          <w:trHeight w:val="225" w:hRule="atLeast"/>
        </w:trPr>
        <w:tc>
          <w:tcPr>
            <w:tcW w:w="2157"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9"/>
                <w:szCs w:val="19"/>
                <w:highlight w:val="none"/>
              </w:rPr>
            </w:pPr>
            <w:r>
              <w:rPr>
                <w:rFonts w:hint="eastAsia" w:ascii="宋体" w:hAnsi="宋体" w:cs="宋体"/>
                <w:b/>
                <w:bCs/>
                <w:color w:val="auto"/>
                <w:kern w:val="0"/>
                <w:sz w:val="19"/>
                <w:szCs w:val="19"/>
                <w:highlight w:val="none"/>
              </w:rPr>
              <w:t>其他未列明行业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100≤X＜300</w:t>
            </w:r>
          </w:p>
        </w:tc>
        <w:tc>
          <w:tcPr>
            <w:tcW w:w="156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10≤X＜100</w:t>
            </w:r>
          </w:p>
        </w:tc>
        <w:tc>
          <w:tcPr>
            <w:tcW w:w="131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X＜10</w:t>
            </w:r>
          </w:p>
        </w:tc>
      </w:tr>
    </w:tbl>
    <w:p>
      <w:pPr>
        <w:spacing w:line="360" w:lineRule="auto"/>
        <w:ind w:firstLine="475" w:firstLineChars="250"/>
        <w:rPr>
          <w:rFonts w:ascii="宋体" w:hAnsi="宋体" w:cs="宋体"/>
          <w:color w:val="auto"/>
          <w:sz w:val="19"/>
          <w:szCs w:val="19"/>
          <w:highlight w:val="none"/>
        </w:rPr>
      </w:pPr>
    </w:p>
    <w:p>
      <w:pPr>
        <w:pStyle w:val="9"/>
        <w:rPr>
          <w:rFonts w:ascii="宋体" w:hAnsi="宋体" w:cs="宋体"/>
          <w:color w:val="auto"/>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spacing w:line="520" w:lineRule="exact"/>
        <w:jc w:val="center"/>
        <w:rPr>
          <w:rFonts w:ascii="宋体" w:hAnsi="宋体" w:cs="宋体"/>
          <w:color w:val="auto"/>
          <w:sz w:val="32"/>
          <w:szCs w:val="32"/>
          <w:highlight w:val="none"/>
        </w:rPr>
      </w:pPr>
      <w:r>
        <w:rPr>
          <w:rFonts w:hint="eastAsia" w:ascii="宋体" w:hAnsi="宋体" w:cs="宋体"/>
          <w:color w:val="auto"/>
          <w:sz w:val="24"/>
          <w:highlight w:val="none"/>
        </w:rPr>
        <w:br w:type="page"/>
      </w:r>
      <w:r>
        <w:rPr>
          <w:rFonts w:hint="eastAsia" w:ascii="宋体" w:hAnsi="宋体" w:cs="宋体"/>
          <w:color w:val="auto"/>
          <w:sz w:val="44"/>
          <w:szCs w:val="44"/>
          <w:highlight w:val="none"/>
        </w:rPr>
        <w:t>残疾人福利性单位声明函</w:t>
      </w:r>
    </w:p>
    <w:p>
      <w:pPr>
        <w:spacing w:line="360" w:lineRule="auto"/>
        <w:contextualSpacing/>
        <w:rPr>
          <w:rFonts w:ascii="宋体" w:hAnsi="宋体" w:cs="宋体"/>
          <w:color w:val="auto"/>
          <w:sz w:val="32"/>
          <w:szCs w:val="32"/>
          <w:highlight w:val="none"/>
        </w:rPr>
      </w:pP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p>
    <w:p>
      <w:pPr>
        <w:spacing w:line="360" w:lineRule="auto"/>
        <w:ind w:firstLine="2400" w:firstLineChars="1000"/>
        <w:contextualSpacing/>
        <w:rPr>
          <w:rFonts w:ascii="宋体" w:hAnsi="宋体" w:cs="宋体"/>
          <w:color w:val="auto"/>
          <w:sz w:val="24"/>
          <w:highlight w:val="none"/>
        </w:rPr>
      </w:pPr>
      <w:r>
        <w:rPr>
          <w:rFonts w:hint="eastAsia" w:ascii="宋体" w:hAnsi="宋体" w:cs="宋体"/>
          <w:color w:val="auto"/>
          <w:sz w:val="24"/>
          <w:highlight w:val="none"/>
        </w:rPr>
        <w:t>单位名称(电子签章)：</w:t>
      </w:r>
    </w:p>
    <w:p>
      <w:pPr>
        <w:spacing w:line="360" w:lineRule="auto"/>
        <w:ind w:firstLine="3600" w:firstLineChars="1500"/>
        <w:contextualSpacing/>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center"/>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质疑函（格式）</w:t>
      </w:r>
    </w:p>
    <w:p>
      <w:pPr>
        <w:pStyle w:val="18"/>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pPr>
        <w:pStyle w:val="18"/>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质疑供应商：</w:t>
      </w:r>
    </w:p>
    <w:p>
      <w:pPr>
        <w:pStyle w:val="18"/>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地址：邮编：</w:t>
      </w:r>
    </w:p>
    <w:p>
      <w:pPr>
        <w:pStyle w:val="18"/>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联系人：联系电话：</w:t>
      </w:r>
    </w:p>
    <w:p>
      <w:pPr>
        <w:pStyle w:val="18"/>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授权代表：</w:t>
      </w:r>
    </w:p>
    <w:p>
      <w:pPr>
        <w:pStyle w:val="18"/>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联系电话：</w:t>
      </w:r>
    </w:p>
    <w:p>
      <w:pPr>
        <w:pStyle w:val="18"/>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地址：邮编：</w:t>
      </w:r>
    </w:p>
    <w:p>
      <w:pPr>
        <w:pStyle w:val="18"/>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p>
    <w:p>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p>
    <w:p>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采购人名称：</w:t>
      </w:r>
    </w:p>
    <w:p>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p>
    <w:p>
      <w:pPr>
        <w:pStyle w:val="18"/>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□采购文件   采购文件获取日期：</w:t>
      </w:r>
    </w:p>
    <w:p>
      <w:pPr>
        <w:pStyle w:val="18"/>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 xml:space="preserve">□采购过程   </w:t>
      </w:r>
    </w:p>
    <w:p>
      <w:pPr>
        <w:pStyle w:val="18"/>
        <w:spacing w:line="360" w:lineRule="auto"/>
        <w:ind w:left="25" w:leftChars="12" w:firstLine="352" w:firstLineChars="147"/>
        <w:contextualSpacing/>
        <w:rPr>
          <w:rFonts w:hAnsi="宋体" w:cs="宋体"/>
          <w:bCs/>
          <w:color w:val="auto"/>
          <w:sz w:val="24"/>
          <w:szCs w:val="24"/>
          <w:highlight w:val="none"/>
          <w:u w:val="single"/>
        </w:rPr>
      </w:pPr>
      <w:r>
        <w:rPr>
          <w:rFonts w:hint="eastAsia" w:hAnsi="宋体" w:cs="宋体"/>
          <w:color w:val="auto"/>
          <w:sz w:val="24"/>
          <w:szCs w:val="24"/>
          <w:highlight w:val="none"/>
        </w:rPr>
        <w:t xml:space="preserve">□成交结果   </w:t>
      </w:r>
    </w:p>
    <w:p>
      <w:pPr>
        <w:pStyle w:val="18"/>
        <w:spacing w:line="360" w:lineRule="auto"/>
        <w:ind w:left="25" w:leftChars="12" w:firstLine="472" w:firstLineChars="196"/>
        <w:contextualSpacing/>
        <w:rPr>
          <w:rFonts w:hAnsi="宋体" w:cs="宋体"/>
          <w:b/>
          <w:color w:val="auto"/>
          <w:sz w:val="24"/>
          <w:szCs w:val="24"/>
          <w:highlight w:val="none"/>
        </w:rPr>
      </w:pPr>
      <w:r>
        <w:rPr>
          <w:rFonts w:hint="eastAsia" w:hAnsi="宋体" w:cs="宋体"/>
          <w:b/>
          <w:color w:val="auto"/>
          <w:sz w:val="24"/>
          <w:szCs w:val="24"/>
          <w:highlight w:val="none"/>
        </w:rPr>
        <w:t>三、质疑事项具体内容</w:t>
      </w:r>
    </w:p>
    <w:p>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质疑事项1：</w:t>
      </w:r>
    </w:p>
    <w:p>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事实依据：</w:t>
      </w:r>
    </w:p>
    <w:p>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法律依据：</w:t>
      </w:r>
    </w:p>
    <w:p>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质疑事项2</w:t>
      </w:r>
    </w:p>
    <w:p>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w:t>
      </w:r>
    </w:p>
    <w:p>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四、与质疑事项相关的质疑请求：</w:t>
      </w:r>
    </w:p>
    <w:p>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请求：</w:t>
      </w:r>
    </w:p>
    <w:p>
      <w:pPr>
        <w:pStyle w:val="18"/>
        <w:spacing w:line="360" w:lineRule="auto"/>
        <w:ind w:left="25" w:leftChars="12" w:firstLine="352" w:firstLineChars="147"/>
        <w:contextualSpacing/>
        <w:rPr>
          <w:rFonts w:hAnsi="宋体" w:cs="宋体"/>
          <w:color w:val="auto"/>
          <w:sz w:val="24"/>
          <w:szCs w:val="24"/>
          <w:highlight w:val="none"/>
        </w:rPr>
      </w:pPr>
    </w:p>
    <w:p>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 xml:space="preserve">签字（签章）：                                      </w:t>
      </w:r>
    </w:p>
    <w:p>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公章：</w:t>
      </w:r>
    </w:p>
    <w:p>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日期：</w:t>
      </w:r>
    </w:p>
    <w:p>
      <w:pPr>
        <w:pStyle w:val="18"/>
        <w:spacing w:line="360" w:lineRule="auto"/>
        <w:contextualSpacing/>
        <w:rPr>
          <w:rFonts w:hAnsi="宋体" w:cs="宋体"/>
          <w:b/>
          <w:color w:val="auto"/>
          <w:sz w:val="24"/>
          <w:szCs w:val="24"/>
          <w:highlight w:val="none"/>
        </w:rPr>
      </w:pPr>
    </w:p>
    <w:p>
      <w:pPr>
        <w:pStyle w:val="18"/>
        <w:spacing w:line="360" w:lineRule="auto"/>
        <w:contextualSpacing/>
        <w:rPr>
          <w:rFonts w:hAnsi="宋体" w:cs="宋体"/>
          <w:b/>
          <w:color w:val="auto"/>
          <w:sz w:val="24"/>
          <w:szCs w:val="24"/>
          <w:highlight w:val="none"/>
        </w:rPr>
      </w:pPr>
    </w:p>
    <w:p>
      <w:pPr>
        <w:pStyle w:val="18"/>
        <w:spacing w:line="360" w:lineRule="auto"/>
        <w:contextualSpacing/>
        <w:rPr>
          <w:rFonts w:hAnsi="宋体" w:cs="宋体"/>
          <w:b/>
          <w:color w:val="auto"/>
          <w:sz w:val="24"/>
          <w:szCs w:val="24"/>
          <w:highlight w:val="none"/>
        </w:rPr>
      </w:pPr>
      <w:r>
        <w:rPr>
          <w:rFonts w:hint="eastAsia" w:hAnsi="宋体" w:cs="宋体"/>
          <w:b/>
          <w:color w:val="auto"/>
          <w:sz w:val="24"/>
          <w:szCs w:val="24"/>
          <w:highlight w:val="none"/>
        </w:rPr>
        <w:t>说明：</w:t>
      </w:r>
    </w:p>
    <w:p>
      <w:pPr>
        <w:pStyle w:val="18"/>
        <w:spacing w:line="360" w:lineRule="auto"/>
        <w:ind w:left="25" w:leftChars="12" w:firstLine="354" w:firstLineChars="147"/>
        <w:contextualSpacing/>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pPr>
        <w:pStyle w:val="18"/>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8"/>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pPr>
        <w:pStyle w:val="18"/>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pPr>
        <w:pStyle w:val="18"/>
        <w:spacing w:line="360" w:lineRule="auto"/>
        <w:ind w:left="25" w:leftChars="12" w:firstLine="354" w:firstLineChars="147"/>
        <w:contextualSpacing/>
        <w:rPr>
          <w:rFonts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pPr>
        <w:pStyle w:val="18"/>
        <w:snapToGrid w:val="0"/>
        <w:rPr>
          <w:rFonts w:hAnsi="宋体" w:cs="宋体"/>
          <w:b/>
          <w:color w:val="auto"/>
          <w:sz w:val="24"/>
          <w:szCs w:val="24"/>
          <w:highlight w:val="none"/>
        </w:rPr>
      </w:pPr>
    </w:p>
    <w:p>
      <w:pPr>
        <w:spacing w:line="460" w:lineRule="exact"/>
        <w:jc w:val="center"/>
        <w:rPr>
          <w:rFonts w:ascii="宋体" w:hAnsi="宋体" w:cs="宋体"/>
          <w:color w:val="auto"/>
          <w:sz w:val="44"/>
          <w:highlight w:val="none"/>
        </w:rPr>
      </w:pPr>
      <w:r>
        <w:rPr>
          <w:rFonts w:hint="eastAsia" w:ascii="宋体" w:hAnsi="宋体" w:cs="宋体"/>
          <w:color w:val="auto"/>
          <w:sz w:val="44"/>
          <w:highlight w:val="none"/>
        </w:rPr>
        <w:br w:type="page"/>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投诉书（格式）</w:t>
      </w:r>
    </w:p>
    <w:p>
      <w:pPr>
        <w:pStyle w:val="18"/>
        <w:snapToGrid w:val="0"/>
        <w:spacing w:line="440" w:lineRule="exact"/>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pPr>
        <w:pStyle w:val="18"/>
        <w:snapToGrid w:val="0"/>
        <w:spacing w:line="440" w:lineRule="exact"/>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供应商：</w:t>
      </w:r>
    </w:p>
    <w:p>
      <w:pPr>
        <w:pStyle w:val="18"/>
        <w:snapToGrid w:val="0"/>
        <w:spacing w:line="44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地址：邮编：</w:t>
      </w:r>
    </w:p>
    <w:p>
      <w:pPr>
        <w:pStyle w:val="18"/>
        <w:snapToGrid w:val="0"/>
        <w:spacing w:line="440" w:lineRule="exact"/>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p>
    <w:p>
      <w:pPr>
        <w:pStyle w:val="18"/>
        <w:snapToGrid w:val="0"/>
        <w:spacing w:line="44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p>
    <w:p>
      <w:pPr>
        <w:pStyle w:val="18"/>
        <w:snapToGrid w:val="0"/>
        <w:spacing w:line="440" w:lineRule="exact"/>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授权代表：联系电话：</w:t>
      </w:r>
    </w:p>
    <w:p>
      <w:pPr>
        <w:pStyle w:val="18"/>
        <w:snapToGrid w:val="0"/>
        <w:spacing w:line="440" w:lineRule="exact"/>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p>
    <w:p>
      <w:pPr>
        <w:pStyle w:val="18"/>
        <w:snapToGrid w:val="0"/>
        <w:spacing w:line="44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p>
    <w:p>
      <w:pPr>
        <w:pStyle w:val="18"/>
        <w:snapToGrid w:val="0"/>
        <w:spacing w:line="44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被投诉人1：</w:t>
      </w:r>
    </w:p>
    <w:p>
      <w:pPr>
        <w:pStyle w:val="18"/>
        <w:snapToGrid w:val="0"/>
        <w:spacing w:line="440" w:lineRule="exact"/>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p>
    <w:p>
      <w:pPr>
        <w:pStyle w:val="18"/>
        <w:snapToGrid w:val="0"/>
        <w:spacing w:line="44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p>
    <w:p>
      <w:pPr>
        <w:pStyle w:val="18"/>
        <w:snapToGrid w:val="0"/>
        <w:spacing w:line="440" w:lineRule="exact"/>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联系人：联系电话：</w:t>
      </w:r>
    </w:p>
    <w:p>
      <w:pPr>
        <w:pStyle w:val="18"/>
        <w:snapToGrid w:val="0"/>
        <w:spacing w:line="44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被投诉人2：</w:t>
      </w:r>
    </w:p>
    <w:p>
      <w:pPr>
        <w:pStyle w:val="18"/>
        <w:snapToGrid w:val="0"/>
        <w:spacing w:line="44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w:t>
      </w:r>
    </w:p>
    <w:p>
      <w:pPr>
        <w:pStyle w:val="18"/>
        <w:snapToGrid w:val="0"/>
        <w:spacing w:line="440" w:lineRule="exact"/>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相关供应商：</w:t>
      </w:r>
    </w:p>
    <w:p>
      <w:pPr>
        <w:pStyle w:val="18"/>
        <w:snapToGrid w:val="0"/>
        <w:spacing w:line="440" w:lineRule="exact"/>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地址：邮编：</w:t>
      </w:r>
    </w:p>
    <w:p>
      <w:pPr>
        <w:pStyle w:val="18"/>
        <w:snapToGrid w:val="0"/>
        <w:spacing w:line="44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联系人：联系电话：</w:t>
      </w:r>
    </w:p>
    <w:p>
      <w:pPr>
        <w:pStyle w:val="18"/>
        <w:snapToGrid w:val="0"/>
        <w:spacing w:line="440" w:lineRule="exact"/>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pPr>
        <w:pStyle w:val="18"/>
        <w:spacing w:line="440" w:lineRule="exact"/>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p>
    <w:p>
      <w:pPr>
        <w:pStyle w:val="18"/>
        <w:spacing w:line="440" w:lineRule="exact"/>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p>
    <w:p>
      <w:pPr>
        <w:pStyle w:val="18"/>
        <w:spacing w:line="440" w:lineRule="exact"/>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p>
    <w:p>
      <w:pPr>
        <w:pStyle w:val="18"/>
        <w:spacing w:line="440" w:lineRule="exact"/>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p>
    <w:p>
      <w:pPr>
        <w:pStyle w:val="18"/>
        <w:spacing w:line="440" w:lineRule="exact"/>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采购文件公告：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p>
    <w:p>
      <w:pPr>
        <w:pStyle w:val="18"/>
        <w:spacing w:line="440" w:lineRule="exact"/>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p>
    <w:p>
      <w:pPr>
        <w:pStyle w:val="18"/>
        <w:spacing w:line="440" w:lineRule="exact"/>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pPr>
        <w:pStyle w:val="18"/>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投诉人于年月日，向提出质疑，质疑事项为：</w:t>
      </w:r>
    </w:p>
    <w:p>
      <w:pPr>
        <w:pStyle w:val="18"/>
        <w:spacing w:line="440" w:lineRule="exact"/>
        <w:ind w:firstLine="241"/>
        <w:rPr>
          <w:rFonts w:hAnsi="宋体" w:cs="宋体"/>
          <w:bCs/>
          <w:color w:val="auto"/>
          <w:sz w:val="24"/>
          <w:szCs w:val="24"/>
          <w:highlight w:val="none"/>
          <w:u w:val="single"/>
        </w:rPr>
      </w:pPr>
    </w:p>
    <w:p>
      <w:pPr>
        <w:pStyle w:val="18"/>
        <w:spacing w:line="440" w:lineRule="exact"/>
        <w:ind w:firstLine="241"/>
        <w:rPr>
          <w:rFonts w:hAnsi="宋体" w:cs="宋体"/>
          <w:bCs/>
          <w:color w:val="auto"/>
          <w:sz w:val="24"/>
          <w:szCs w:val="24"/>
          <w:highlight w:val="none"/>
          <w:u w:val="single"/>
        </w:rPr>
      </w:pPr>
    </w:p>
    <w:p>
      <w:pPr>
        <w:pStyle w:val="18"/>
        <w:spacing w:line="440" w:lineRule="exact"/>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rPr>
        <w:t>年月日，</w:t>
      </w:r>
      <w:r>
        <w:rPr>
          <w:rFonts w:hint="eastAsia" w:hAnsi="宋体" w:cs="宋体"/>
          <w:bCs/>
          <w:color w:val="auto"/>
          <w:sz w:val="24"/>
          <w:szCs w:val="24"/>
          <w:highlight w:val="none"/>
        </w:rPr>
        <w:t xml:space="preserve">就质疑事项作出了答复/没有在法定期限内作出答复。                                                                                             </w:t>
      </w:r>
    </w:p>
    <w:p>
      <w:pPr>
        <w:pStyle w:val="18"/>
        <w:spacing w:line="440" w:lineRule="exact"/>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pPr>
        <w:pStyle w:val="18"/>
        <w:spacing w:line="440" w:lineRule="exact"/>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p>
    <w:p>
      <w:pPr>
        <w:pStyle w:val="18"/>
        <w:spacing w:line="440" w:lineRule="exact"/>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p>
    <w:p>
      <w:pPr>
        <w:pStyle w:val="18"/>
        <w:spacing w:line="440" w:lineRule="exact"/>
        <w:ind w:left="25" w:leftChars="12" w:firstLine="472" w:firstLineChars="197"/>
        <w:rPr>
          <w:rFonts w:hAnsi="宋体" w:cs="宋体"/>
          <w:color w:val="auto"/>
          <w:sz w:val="24"/>
          <w:szCs w:val="24"/>
          <w:highlight w:val="none"/>
        </w:rPr>
      </w:pPr>
    </w:p>
    <w:p>
      <w:pPr>
        <w:pStyle w:val="18"/>
        <w:spacing w:line="440" w:lineRule="exact"/>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p>
    <w:p>
      <w:pPr>
        <w:pStyle w:val="18"/>
        <w:spacing w:line="440" w:lineRule="exact"/>
        <w:ind w:left="25" w:leftChars="12" w:firstLine="352" w:firstLineChars="147"/>
        <w:rPr>
          <w:rFonts w:hAnsi="宋体" w:cs="宋体"/>
          <w:bCs/>
          <w:color w:val="auto"/>
          <w:sz w:val="24"/>
          <w:szCs w:val="24"/>
          <w:highlight w:val="none"/>
          <w:u w:val="single"/>
        </w:rPr>
      </w:pPr>
    </w:p>
    <w:p>
      <w:pPr>
        <w:pStyle w:val="18"/>
        <w:spacing w:line="440" w:lineRule="exact"/>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p>
    <w:p>
      <w:pPr>
        <w:pStyle w:val="18"/>
        <w:spacing w:line="440" w:lineRule="exact"/>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pPr>
        <w:pStyle w:val="18"/>
        <w:spacing w:line="440" w:lineRule="exact"/>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pPr>
        <w:pStyle w:val="18"/>
        <w:spacing w:line="440" w:lineRule="exact"/>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p>
    <w:p>
      <w:pPr>
        <w:pStyle w:val="18"/>
        <w:spacing w:line="440" w:lineRule="exact"/>
        <w:ind w:left="25" w:leftChars="12" w:firstLine="352" w:firstLineChars="147"/>
        <w:rPr>
          <w:rFonts w:hAnsi="宋体" w:cs="宋体"/>
          <w:color w:val="auto"/>
          <w:sz w:val="24"/>
          <w:szCs w:val="24"/>
          <w:highlight w:val="none"/>
        </w:rPr>
      </w:pPr>
    </w:p>
    <w:p>
      <w:pPr>
        <w:pStyle w:val="18"/>
        <w:spacing w:line="440" w:lineRule="exact"/>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pPr>
        <w:pStyle w:val="18"/>
        <w:spacing w:line="440" w:lineRule="exact"/>
        <w:ind w:left="25" w:leftChars="12" w:firstLine="352" w:firstLineChars="147"/>
        <w:rPr>
          <w:rFonts w:hAnsi="宋体" w:cs="宋体"/>
          <w:color w:val="auto"/>
          <w:sz w:val="24"/>
          <w:szCs w:val="24"/>
          <w:highlight w:val="none"/>
        </w:rPr>
      </w:pPr>
    </w:p>
    <w:p>
      <w:pPr>
        <w:pStyle w:val="18"/>
        <w:spacing w:line="440" w:lineRule="exact"/>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pPr>
        <w:pStyle w:val="18"/>
        <w:spacing w:line="440" w:lineRule="exact"/>
        <w:ind w:left="25" w:leftChars="12" w:firstLine="472" w:firstLineChars="197"/>
        <w:rPr>
          <w:rFonts w:hAnsi="宋体" w:cs="宋体"/>
          <w:color w:val="auto"/>
          <w:sz w:val="24"/>
          <w:szCs w:val="24"/>
          <w:highlight w:val="none"/>
        </w:rPr>
      </w:pPr>
    </w:p>
    <w:p>
      <w:pPr>
        <w:pStyle w:val="18"/>
        <w:snapToGrid w:val="0"/>
        <w:spacing w:line="440" w:lineRule="exact"/>
        <w:rPr>
          <w:rFonts w:hAnsi="宋体" w:cs="宋体"/>
          <w:b/>
          <w:color w:val="auto"/>
          <w:sz w:val="24"/>
          <w:szCs w:val="24"/>
          <w:highlight w:val="none"/>
        </w:rPr>
      </w:pPr>
    </w:p>
    <w:p>
      <w:pPr>
        <w:pStyle w:val="18"/>
        <w:snapToGrid w:val="0"/>
        <w:spacing w:line="440" w:lineRule="exact"/>
        <w:rPr>
          <w:rFonts w:hAnsi="宋体" w:cs="宋体"/>
          <w:b/>
          <w:color w:val="auto"/>
          <w:sz w:val="24"/>
          <w:szCs w:val="24"/>
          <w:highlight w:val="none"/>
        </w:rPr>
      </w:pPr>
      <w:r>
        <w:rPr>
          <w:rFonts w:hint="eastAsia" w:hAnsi="宋体" w:cs="宋体"/>
          <w:b/>
          <w:color w:val="auto"/>
          <w:sz w:val="24"/>
          <w:szCs w:val="24"/>
          <w:highlight w:val="none"/>
        </w:rPr>
        <w:t>说明：</w:t>
      </w:r>
    </w:p>
    <w:p>
      <w:pPr>
        <w:pStyle w:val="18"/>
        <w:spacing w:line="440" w:lineRule="exact"/>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pPr>
        <w:pStyle w:val="18"/>
        <w:spacing w:line="440" w:lineRule="exact"/>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8"/>
        <w:spacing w:line="440" w:lineRule="exact"/>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pPr>
        <w:pStyle w:val="18"/>
        <w:spacing w:line="440" w:lineRule="exact"/>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pPr>
        <w:pStyle w:val="18"/>
        <w:spacing w:line="440" w:lineRule="exact"/>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pPr>
        <w:pStyle w:val="18"/>
        <w:spacing w:line="440" w:lineRule="exact"/>
        <w:ind w:left="25" w:leftChars="12" w:firstLine="354" w:firstLineChars="147"/>
        <w:rPr>
          <w:rFonts w:hAnsi="宋体" w:cs="宋体"/>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p>
      <w:pPr>
        <w:pStyle w:val="3"/>
        <w:spacing w:line="520" w:lineRule="exact"/>
        <w:jc w:val="center"/>
        <w:rPr>
          <w:rFonts w:hint="eastAsia" w:ascii="宋体" w:hAnsi="宋体" w:cs="宋体"/>
          <w:color w:val="auto"/>
          <w:highlight w:val="none"/>
        </w:rPr>
      </w:pPr>
      <w:r>
        <w:rPr>
          <w:rFonts w:hint="eastAsia" w:ascii="宋体" w:hAnsi="宋体" w:cs="宋体"/>
          <w:color w:val="auto"/>
          <w:highlight w:val="none"/>
        </w:rPr>
        <w:br w:type="page"/>
      </w:r>
    </w:p>
    <w:p>
      <w:pPr>
        <w:pStyle w:val="2"/>
        <w:bidi w:val="0"/>
        <w:jc w:val="center"/>
        <w:rPr>
          <w:rFonts w:hint="eastAsia"/>
          <w:color w:val="auto"/>
          <w:lang w:val="en-US" w:eastAsia="zh-CN"/>
        </w:rPr>
      </w:pPr>
      <w:r>
        <w:rPr>
          <w:rFonts w:hint="eastAsia"/>
          <w:color w:val="auto"/>
          <w:lang w:val="en-US" w:eastAsia="zh-CN"/>
        </w:rPr>
        <w:t>第六章  合同文本</w:t>
      </w:r>
    </w:p>
    <w:p>
      <w:pPr>
        <w:pStyle w:val="9"/>
        <w:spacing w:before="98" w:line="184" w:lineRule="auto"/>
        <w:ind w:left="1"/>
        <w:rPr>
          <w:rFonts w:hint="eastAsia" w:ascii="宋体" w:hAnsi="宋体" w:eastAsia="宋体" w:cs="宋体"/>
          <w:color w:val="auto"/>
          <w:sz w:val="30"/>
          <w:szCs w:val="30"/>
          <w:highlight w:val="none"/>
          <w:lang w:val="en-US" w:eastAsia="zh-CN"/>
        </w:rPr>
      </w:pPr>
      <w:r>
        <w:rPr>
          <w:rFonts w:hint="eastAsia" w:ascii="宋体" w:hAnsi="宋体" w:eastAsia="宋体" w:cs="宋体"/>
          <w:color w:val="auto"/>
          <w:spacing w:val="-1"/>
          <w:sz w:val="30"/>
          <w:szCs w:val="30"/>
          <w:highlight w:val="none"/>
        </w:rPr>
        <w:t>GF—201</w:t>
      </w:r>
      <w:r>
        <w:rPr>
          <w:rFonts w:hint="eastAsia" w:ascii="宋体" w:hAnsi="宋体" w:eastAsia="宋体" w:cs="宋体"/>
          <w:color w:val="auto"/>
          <w:spacing w:val="-1"/>
          <w:sz w:val="30"/>
          <w:szCs w:val="30"/>
          <w:highlight w:val="none"/>
          <w:lang w:val="en-US" w:eastAsia="zh-CN"/>
        </w:rPr>
        <w:t>6</w:t>
      </w:r>
      <w:r>
        <w:rPr>
          <w:rFonts w:hint="eastAsia" w:ascii="宋体" w:hAnsi="宋体" w:eastAsia="宋体" w:cs="宋体"/>
          <w:color w:val="auto"/>
          <w:spacing w:val="-1"/>
          <w:sz w:val="30"/>
          <w:szCs w:val="30"/>
          <w:highlight w:val="none"/>
        </w:rPr>
        <w:t>—02</w:t>
      </w:r>
      <w:r>
        <w:rPr>
          <w:rFonts w:hint="eastAsia" w:ascii="宋体" w:hAnsi="宋体" w:eastAsia="宋体" w:cs="宋体"/>
          <w:color w:val="auto"/>
          <w:spacing w:val="-1"/>
          <w:sz w:val="30"/>
          <w:szCs w:val="30"/>
          <w:highlight w:val="none"/>
          <w:lang w:val="en-US" w:eastAsia="zh-CN"/>
        </w:rPr>
        <w:t>03</w:t>
      </w:r>
    </w:p>
    <w:p>
      <w:pPr>
        <w:pStyle w:val="9"/>
        <w:spacing w:before="279" w:line="219" w:lineRule="auto"/>
        <w:ind w:left="5721"/>
        <w:rPr>
          <w:rFonts w:hint="eastAsia" w:ascii="宋体" w:hAnsi="宋体" w:eastAsia="宋体" w:cs="宋体"/>
          <w:color w:val="auto"/>
          <w:sz w:val="30"/>
          <w:szCs w:val="30"/>
          <w:highlight w:val="none"/>
        </w:rPr>
      </w:pPr>
      <w:r>
        <w:rPr>
          <w:rFonts w:hint="eastAsia" w:ascii="宋体" w:hAnsi="宋体" w:eastAsia="宋体" w:cs="宋体"/>
          <w:b/>
          <w:bCs/>
          <w:color w:val="auto"/>
          <w:spacing w:val="-5"/>
          <w:sz w:val="30"/>
          <w:szCs w:val="30"/>
          <w:highlight w:val="none"/>
        </w:rPr>
        <w:t>合同编号：</w:t>
      </w:r>
      <w:r>
        <w:rPr>
          <w:rFonts w:hint="eastAsia" w:ascii="宋体" w:hAnsi="宋体" w:eastAsia="宋体" w:cs="宋体"/>
          <w:color w:val="auto"/>
          <w:sz w:val="30"/>
          <w:szCs w:val="30"/>
          <w:highlight w:val="none"/>
          <w:u w:val="single" w:color="auto"/>
        </w:rPr>
        <w:t xml:space="preserve">           </w:t>
      </w:r>
    </w:p>
    <w:p>
      <w:pPr>
        <w:spacing w:line="255" w:lineRule="auto"/>
        <w:rPr>
          <w:rFonts w:hint="eastAsia" w:ascii="宋体" w:hAnsi="宋体" w:eastAsia="宋体" w:cs="宋体"/>
          <w:color w:val="auto"/>
          <w:sz w:val="21"/>
          <w:highlight w:val="none"/>
        </w:rPr>
      </w:pPr>
    </w:p>
    <w:p>
      <w:pPr>
        <w:spacing w:line="255" w:lineRule="auto"/>
        <w:rPr>
          <w:rFonts w:hint="eastAsia" w:ascii="宋体" w:hAnsi="宋体" w:eastAsia="宋体" w:cs="宋体"/>
          <w:color w:val="auto"/>
          <w:sz w:val="21"/>
          <w:highlight w:val="none"/>
        </w:rPr>
      </w:pPr>
    </w:p>
    <w:p>
      <w:pPr>
        <w:spacing w:line="255" w:lineRule="auto"/>
        <w:rPr>
          <w:rFonts w:hint="eastAsia" w:ascii="宋体" w:hAnsi="宋体" w:eastAsia="宋体" w:cs="宋体"/>
          <w:color w:val="auto"/>
          <w:sz w:val="21"/>
          <w:highlight w:val="none"/>
        </w:rPr>
      </w:pPr>
    </w:p>
    <w:p>
      <w:pPr>
        <w:spacing w:line="255" w:lineRule="auto"/>
        <w:rPr>
          <w:rFonts w:hint="eastAsia" w:ascii="宋体" w:hAnsi="宋体" w:eastAsia="宋体" w:cs="宋体"/>
          <w:color w:val="auto"/>
          <w:sz w:val="21"/>
          <w:highlight w:val="none"/>
        </w:rPr>
      </w:pPr>
    </w:p>
    <w:p>
      <w:pPr>
        <w:spacing w:line="256" w:lineRule="auto"/>
        <w:rPr>
          <w:rFonts w:hint="eastAsia" w:ascii="宋体" w:hAnsi="宋体" w:eastAsia="宋体" w:cs="宋体"/>
          <w:color w:val="auto"/>
          <w:sz w:val="21"/>
          <w:highlight w:val="none"/>
        </w:rPr>
      </w:pPr>
    </w:p>
    <w:p>
      <w:pPr>
        <w:spacing w:line="256" w:lineRule="auto"/>
        <w:rPr>
          <w:rFonts w:hint="eastAsia" w:ascii="宋体" w:hAnsi="宋体" w:eastAsia="宋体" w:cs="宋体"/>
          <w:color w:val="auto"/>
          <w:sz w:val="21"/>
          <w:highlight w:val="none"/>
        </w:rPr>
      </w:pPr>
    </w:p>
    <w:p>
      <w:pPr>
        <w:spacing w:before="305" w:line="195" w:lineRule="auto"/>
        <w:ind w:left="1601"/>
        <w:rPr>
          <w:rFonts w:hint="eastAsia" w:ascii="宋体" w:hAnsi="宋体" w:eastAsia="宋体" w:cs="宋体"/>
          <w:color w:val="auto"/>
          <w:sz w:val="71"/>
          <w:szCs w:val="71"/>
          <w:highlight w:val="none"/>
        </w:rPr>
      </w:pPr>
      <w:r>
        <w:rPr>
          <w:rFonts w:hint="eastAsia" w:ascii="宋体" w:hAnsi="宋体" w:eastAsia="宋体" w:cs="宋体"/>
          <w:color w:val="auto"/>
          <w:spacing w:val="-7"/>
          <w:sz w:val="71"/>
          <w:szCs w:val="71"/>
          <w:highlight w:val="none"/>
        </w:rPr>
        <w:t>建设工程勘察合同</w:t>
      </w:r>
    </w:p>
    <w:p>
      <w:pPr>
        <w:spacing w:before="6"/>
        <w:rPr>
          <w:rFonts w:hint="eastAsia" w:ascii="宋体" w:hAnsi="宋体" w:eastAsia="宋体" w:cs="宋体"/>
          <w:color w:val="auto"/>
          <w:highlight w:val="none"/>
        </w:rPr>
      </w:pPr>
    </w:p>
    <w:p>
      <w:pPr>
        <w:spacing w:before="6"/>
        <w:rPr>
          <w:rFonts w:hint="eastAsia" w:ascii="宋体" w:hAnsi="宋体" w:eastAsia="宋体" w:cs="宋体"/>
          <w:color w:val="auto"/>
          <w:highlight w:val="none"/>
        </w:rPr>
      </w:pPr>
    </w:p>
    <w:p>
      <w:pPr>
        <w:spacing w:before="6"/>
        <w:rPr>
          <w:rFonts w:hint="eastAsia" w:ascii="宋体" w:hAnsi="宋体" w:eastAsia="宋体" w:cs="宋体"/>
          <w:color w:val="auto"/>
          <w:highlight w:val="none"/>
        </w:rPr>
      </w:pPr>
    </w:p>
    <w:p>
      <w:pPr>
        <w:spacing w:before="6"/>
        <w:rPr>
          <w:rFonts w:hint="eastAsia" w:ascii="宋体" w:hAnsi="宋体" w:eastAsia="宋体" w:cs="宋体"/>
          <w:color w:val="auto"/>
          <w:highlight w:val="none"/>
        </w:rPr>
      </w:pPr>
    </w:p>
    <w:p>
      <w:pPr>
        <w:spacing w:before="6"/>
        <w:rPr>
          <w:rFonts w:hint="eastAsia" w:ascii="宋体" w:hAnsi="宋体" w:eastAsia="宋体" w:cs="宋体"/>
          <w:color w:val="auto"/>
          <w:highlight w:val="none"/>
        </w:rPr>
      </w:pPr>
    </w:p>
    <w:p>
      <w:pPr>
        <w:spacing w:before="6"/>
        <w:rPr>
          <w:rFonts w:hint="eastAsia" w:ascii="宋体" w:hAnsi="宋体" w:eastAsia="宋体" w:cs="宋体"/>
          <w:color w:val="auto"/>
          <w:highlight w:val="none"/>
        </w:rPr>
      </w:pPr>
    </w:p>
    <w:p>
      <w:pPr>
        <w:spacing w:before="6"/>
        <w:rPr>
          <w:rFonts w:hint="eastAsia" w:ascii="宋体" w:hAnsi="宋体" w:eastAsia="宋体" w:cs="宋体"/>
          <w:color w:val="auto"/>
          <w:highlight w:val="none"/>
        </w:rPr>
      </w:pPr>
    </w:p>
    <w:p>
      <w:pPr>
        <w:spacing w:before="6"/>
        <w:rPr>
          <w:rFonts w:hint="eastAsia" w:ascii="宋体" w:hAnsi="宋体" w:eastAsia="宋体" w:cs="宋体"/>
          <w:color w:val="auto"/>
          <w:highlight w:val="none"/>
        </w:rPr>
      </w:pPr>
    </w:p>
    <w:p>
      <w:pPr>
        <w:spacing w:before="6"/>
        <w:rPr>
          <w:rFonts w:hint="eastAsia" w:ascii="宋体" w:hAnsi="宋体" w:eastAsia="宋体" w:cs="宋体"/>
          <w:color w:val="auto"/>
          <w:highlight w:val="none"/>
        </w:rPr>
      </w:pPr>
    </w:p>
    <w:p>
      <w:pPr>
        <w:spacing w:before="6"/>
        <w:rPr>
          <w:rFonts w:hint="eastAsia" w:ascii="宋体" w:hAnsi="宋体" w:eastAsia="宋体" w:cs="宋体"/>
          <w:color w:val="auto"/>
          <w:highlight w:val="none"/>
        </w:rPr>
      </w:pPr>
    </w:p>
    <w:p>
      <w:pPr>
        <w:spacing w:before="5"/>
        <w:rPr>
          <w:rFonts w:hint="eastAsia" w:ascii="宋体" w:hAnsi="宋体" w:eastAsia="宋体" w:cs="宋体"/>
          <w:color w:val="auto"/>
          <w:highlight w:val="none"/>
        </w:rPr>
      </w:pPr>
    </w:p>
    <w:p>
      <w:pPr>
        <w:spacing w:before="5"/>
        <w:rPr>
          <w:rFonts w:hint="eastAsia" w:ascii="宋体" w:hAnsi="宋体" w:eastAsia="宋体" w:cs="宋体"/>
          <w:color w:val="auto"/>
          <w:highlight w:val="none"/>
        </w:rPr>
      </w:pPr>
    </w:p>
    <w:p>
      <w:pPr>
        <w:spacing w:before="5"/>
        <w:rPr>
          <w:rFonts w:hint="eastAsia" w:ascii="宋体" w:hAnsi="宋体" w:eastAsia="宋体" w:cs="宋体"/>
          <w:color w:val="auto"/>
          <w:highlight w:val="none"/>
        </w:rPr>
      </w:pPr>
    </w:p>
    <w:p>
      <w:pPr>
        <w:spacing w:before="5"/>
        <w:rPr>
          <w:rFonts w:hint="eastAsia" w:ascii="宋体" w:hAnsi="宋体" w:eastAsia="宋体" w:cs="宋体"/>
          <w:color w:val="auto"/>
          <w:highlight w:val="none"/>
        </w:rPr>
      </w:pPr>
    </w:p>
    <w:p>
      <w:pPr>
        <w:spacing w:before="5"/>
        <w:rPr>
          <w:rFonts w:hint="eastAsia" w:ascii="宋体" w:hAnsi="宋体" w:eastAsia="宋体" w:cs="宋体"/>
          <w:color w:val="auto"/>
          <w:highlight w:val="none"/>
        </w:rPr>
      </w:pPr>
    </w:p>
    <w:p>
      <w:pPr>
        <w:spacing w:before="5"/>
        <w:rPr>
          <w:rFonts w:hint="eastAsia" w:ascii="宋体" w:hAnsi="宋体" w:eastAsia="宋体" w:cs="宋体"/>
          <w:color w:val="auto"/>
          <w:highlight w:val="none"/>
        </w:rPr>
      </w:pPr>
    </w:p>
    <w:p>
      <w:pPr>
        <w:spacing w:before="5"/>
        <w:rPr>
          <w:rFonts w:hint="eastAsia" w:ascii="宋体" w:hAnsi="宋体" w:eastAsia="宋体" w:cs="宋体"/>
          <w:color w:val="auto"/>
          <w:highlight w:val="none"/>
        </w:rPr>
      </w:pPr>
    </w:p>
    <w:p>
      <w:pPr>
        <w:spacing w:before="5"/>
        <w:rPr>
          <w:rFonts w:hint="eastAsia" w:ascii="宋体" w:hAnsi="宋体" w:eastAsia="宋体" w:cs="宋体"/>
          <w:color w:val="auto"/>
          <w:highlight w:val="none"/>
        </w:rPr>
      </w:pPr>
    </w:p>
    <w:p>
      <w:pPr>
        <w:pStyle w:val="9"/>
        <w:keepNext w:val="0"/>
        <w:keepLines w:val="0"/>
        <w:pageBreakBefore w:val="0"/>
        <w:widowControl/>
        <w:kinsoku w:val="0"/>
        <w:wordWrap/>
        <w:overflowPunct/>
        <w:topLinePunct w:val="0"/>
        <w:autoSpaceDE w:val="0"/>
        <w:autoSpaceDN w:val="0"/>
        <w:bidi w:val="0"/>
        <w:adjustRightInd w:val="0"/>
        <w:snapToGrid w:val="0"/>
        <w:spacing w:before="102" w:line="226" w:lineRule="auto"/>
        <w:ind w:left="0" w:leftChars="0" w:firstLine="2827" w:firstLineChars="800"/>
        <w:jc w:val="both"/>
        <w:textAlignment w:val="auto"/>
        <w:rPr>
          <w:rFonts w:hint="eastAsia" w:ascii="宋体" w:hAnsi="宋体" w:eastAsia="宋体" w:cs="宋体"/>
          <w:b/>
          <w:bCs/>
          <w:snapToGrid w:val="0"/>
          <w:color w:val="auto"/>
          <w:spacing w:val="1"/>
          <w:kern w:val="0"/>
          <w:sz w:val="35"/>
          <w:szCs w:val="35"/>
          <w:highlight w:val="none"/>
          <w:lang w:val="en-US" w:eastAsia="zh-CN"/>
        </w:rPr>
      </w:pPr>
      <w:r>
        <w:rPr>
          <w:rFonts w:hint="eastAsia" w:ascii="宋体" w:hAnsi="宋体" w:eastAsia="宋体" w:cs="宋体"/>
          <w:b/>
          <w:bCs/>
          <w:snapToGrid w:val="0"/>
          <w:color w:val="auto"/>
          <w:spacing w:val="1"/>
          <w:kern w:val="0"/>
          <w:sz w:val="35"/>
          <w:szCs w:val="35"/>
          <w:highlight w:val="none"/>
          <w:lang w:eastAsia="en-US"/>
        </w:rPr>
        <w:t>住房和城乡建设部</w:t>
      </w:r>
    </w:p>
    <w:p>
      <w:pPr>
        <w:pStyle w:val="9"/>
        <w:widowControl/>
        <w:kinsoku w:val="0"/>
        <w:autoSpaceDE w:val="0"/>
        <w:autoSpaceDN w:val="0"/>
        <w:adjustRightInd w:val="0"/>
        <w:snapToGrid w:val="0"/>
        <w:spacing w:before="102" w:line="225" w:lineRule="auto"/>
        <w:ind w:firstLine="6361" w:firstLineChars="1800"/>
        <w:jc w:val="both"/>
        <w:textAlignment w:val="baseline"/>
        <w:rPr>
          <w:rFonts w:hint="eastAsia" w:ascii="宋体" w:hAnsi="宋体" w:eastAsia="宋体" w:cs="宋体"/>
          <w:b/>
          <w:bCs/>
          <w:snapToGrid w:val="0"/>
          <w:color w:val="auto"/>
          <w:spacing w:val="1"/>
          <w:kern w:val="0"/>
          <w:sz w:val="35"/>
          <w:szCs w:val="35"/>
          <w:highlight w:val="none"/>
          <w:lang w:eastAsia="en-US"/>
        </w:rPr>
      </w:pPr>
      <w:r>
        <w:rPr>
          <w:rFonts w:hint="eastAsia" w:ascii="宋体" w:hAnsi="宋体" w:eastAsia="宋体" w:cs="宋体"/>
          <w:b/>
          <w:bCs/>
          <w:snapToGrid w:val="0"/>
          <w:color w:val="auto"/>
          <w:spacing w:val="1"/>
          <w:kern w:val="0"/>
          <w:sz w:val="35"/>
          <w:szCs w:val="35"/>
          <w:highlight w:val="none"/>
          <w:lang w:eastAsia="en-US"/>
        </w:rPr>
        <w:t>制定</w:t>
      </w:r>
    </w:p>
    <w:p>
      <w:pPr>
        <w:pStyle w:val="9"/>
        <w:widowControl/>
        <w:kinsoku w:val="0"/>
        <w:autoSpaceDE w:val="0"/>
        <w:autoSpaceDN w:val="0"/>
        <w:adjustRightInd w:val="0"/>
        <w:snapToGrid w:val="0"/>
        <w:spacing w:before="102" w:line="225" w:lineRule="auto"/>
        <w:ind w:firstLine="2474" w:firstLineChars="700"/>
        <w:jc w:val="both"/>
        <w:textAlignment w:val="baseline"/>
        <w:rPr>
          <w:rFonts w:hint="eastAsia" w:ascii="宋体" w:hAnsi="宋体" w:eastAsia="宋体" w:cs="宋体"/>
          <w:b/>
          <w:bCs/>
          <w:snapToGrid w:val="0"/>
          <w:color w:val="auto"/>
          <w:spacing w:val="1"/>
          <w:kern w:val="0"/>
          <w:sz w:val="35"/>
          <w:szCs w:val="35"/>
          <w:highlight w:val="none"/>
          <w:lang w:eastAsia="en-US"/>
        </w:rPr>
      </w:pPr>
      <w:r>
        <w:rPr>
          <w:rFonts w:hint="eastAsia" w:ascii="宋体" w:hAnsi="宋体" w:eastAsia="宋体" w:cs="宋体"/>
          <w:b/>
          <w:bCs/>
          <w:snapToGrid w:val="0"/>
          <w:color w:val="auto"/>
          <w:spacing w:val="1"/>
          <w:kern w:val="0"/>
          <w:sz w:val="35"/>
          <w:szCs w:val="35"/>
          <w:highlight w:val="none"/>
          <w:lang w:eastAsia="en-US"/>
        </w:rPr>
        <w:t>国家工商行政管理总局</w:t>
      </w:r>
    </w:p>
    <w:p>
      <w:pPr>
        <w:spacing w:line="400" w:lineRule="exact"/>
        <w:jc w:val="center"/>
        <w:outlineLvl w:val="0"/>
        <w:rPr>
          <w:rFonts w:hint="eastAsia" w:ascii="宋体" w:hAnsi="宋体" w:eastAsia="宋体" w:cs="宋体"/>
          <w:b/>
          <w:color w:val="auto"/>
          <w:sz w:val="32"/>
          <w:szCs w:val="32"/>
          <w:highlight w:val="none"/>
        </w:rPr>
      </w:pPr>
    </w:p>
    <w:p>
      <w:pPr>
        <w:rPr>
          <w:rFonts w:hint="eastAsia" w:ascii="宋体" w:hAnsi="宋体" w:eastAsia="宋体" w:cs="宋体"/>
          <w:color w:val="auto"/>
          <w:highlight w:val="none"/>
        </w:rPr>
      </w:pPr>
    </w:p>
    <w:p>
      <w:pPr>
        <w:pStyle w:val="24"/>
        <w:rPr>
          <w:rFonts w:hint="eastAsia" w:ascii="宋体" w:hAnsi="宋体" w:eastAsia="宋体" w:cs="宋体"/>
          <w:color w:val="auto"/>
          <w:highlight w:val="none"/>
        </w:rPr>
      </w:pPr>
    </w:p>
    <w:p>
      <w:pPr>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bookmarkStart w:id="71" w:name="_Toc6453"/>
      <w:bookmarkStart w:id="72" w:name="_Toc2036"/>
      <w:r>
        <w:rPr>
          <w:rFonts w:hint="eastAsia" w:ascii="宋体" w:hAnsi="宋体" w:eastAsia="宋体" w:cs="宋体"/>
          <w:b/>
          <w:bCs/>
          <w:color w:val="auto"/>
          <w:sz w:val="28"/>
          <w:szCs w:val="28"/>
          <w:highlight w:val="none"/>
        </w:rPr>
        <w:t>第一部分  合同协议书</w:t>
      </w:r>
      <w:bookmarkEnd w:id="71"/>
      <w:bookmarkEnd w:id="7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富川瑶族自治县民族医医院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勘察人（全称）：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根据《中华人民共和国民法典》、《中华人民共和国建筑法》、《中华人民共和国招标投标法》等相关法律法规的规定，遵循平等、 自愿、公平和诚实信用的原则，双方就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项目工程勘察有关事项协商一致，达成如下协议。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bookmarkStart w:id="73" w:name="_Toc17725"/>
      <w:bookmarkStart w:id="74" w:name="_Toc9238"/>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eastAsia="zh-CN"/>
        </w:rPr>
        <w:t>项目</w:t>
      </w:r>
      <w:r>
        <w:rPr>
          <w:rFonts w:hint="eastAsia" w:ascii="宋体" w:hAnsi="宋体" w:eastAsia="宋体" w:cs="宋体"/>
          <w:b/>
          <w:bCs/>
          <w:color w:val="auto"/>
          <w:sz w:val="21"/>
          <w:szCs w:val="21"/>
          <w:highlight w:val="none"/>
        </w:rPr>
        <w:t>概况</w:t>
      </w:r>
      <w:bookmarkEnd w:id="73"/>
      <w:bookmarkEnd w:id="7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bCs/>
          <w:color w:val="auto"/>
          <w:sz w:val="21"/>
          <w:szCs w:val="21"/>
          <w:highlight w:val="none"/>
          <w:lang w:eastAsia="zh-CN"/>
        </w:rPr>
        <w:t>项目</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《富川瑶族自治县民族医医院中医瑶医诊疗业务用房及附属设施项目瑶医专科专病诊疗中心》施工勘察和基坑设计服务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b/>
          <w:bCs/>
          <w:color w:val="auto"/>
          <w:sz w:val="21"/>
          <w:szCs w:val="21"/>
          <w:highlight w:val="none"/>
          <w:lang w:eastAsia="zh-CN"/>
        </w:rPr>
        <w:t>项目</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贺州市</w:t>
      </w:r>
      <w:r>
        <w:rPr>
          <w:rFonts w:hint="eastAsia" w:hAnsi="宋体" w:cs="宋体"/>
          <w:color w:val="auto"/>
          <w:sz w:val="21"/>
          <w:szCs w:val="21"/>
          <w:highlight w:val="none"/>
          <w:u w:val="single"/>
          <w:lang w:val="en-US" w:eastAsia="zh-CN"/>
        </w:rPr>
        <w:t>富川县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规模、特征：</w:t>
      </w:r>
      <w:bookmarkStart w:id="75" w:name="_Toc20568"/>
      <w:bookmarkStart w:id="76" w:name="_Toc21421"/>
      <w:r>
        <w:rPr>
          <w:rFonts w:hint="eastAsia" w:hAnsi="宋体" w:cs="宋体"/>
          <w:color w:val="auto"/>
          <w:sz w:val="21"/>
          <w:szCs w:val="21"/>
          <w:highlight w:val="none"/>
          <w:u w:val="single"/>
          <w:lang w:val="en-US" w:eastAsia="zh-CN"/>
        </w:rPr>
        <w:t>详见采购需求</w:t>
      </w:r>
      <w:r>
        <w:rPr>
          <w:rFonts w:hint="eastAsia" w:ascii="宋体" w:hAnsi="宋体" w:eastAsia="宋体" w:cs="宋体"/>
          <w:color w:val="auto"/>
          <w:sz w:val="21"/>
          <w:szCs w:val="21"/>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二、勘察范围和阶段、技术要求及工作量</w:t>
      </w:r>
      <w:bookmarkEnd w:id="75"/>
      <w:bookmarkEnd w:id="76"/>
      <w:r>
        <w:rPr>
          <w:rFonts w:hint="eastAsia" w:ascii="宋体" w:hAnsi="宋体" w:eastAsia="宋体" w:cs="宋体"/>
          <w:b/>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1.勘察范围和阶段：</w:t>
      </w:r>
      <w:r>
        <w:rPr>
          <w:rFonts w:hint="eastAsia" w:ascii="宋体" w:hAnsi="宋体" w:eastAsia="宋体" w:cs="宋体"/>
          <w:color w:val="auto"/>
          <w:sz w:val="21"/>
          <w:szCs w:val="21"/>
          <w:highlight w:val="none"/>
          <w:u w:val="single"/>
        </w:rPr>
        <w:t>勘察招标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2.技术要求：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详见采购需求。</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bookmarkStart w:id="77" w:name="_Toc7453"/>
      <w:bookmarkStart w:id="78" w:name="_Toc20517"/>
      <w:r>
        <w:rPr>
          <w:rFonts w:hint="eastAsia" w:ascii="宋体" w:hAnsi="宋体" w:eastAsia="宋体" w:cs="宋体"/>
          <w:b/>
          <w:bCs/>
          <w:color w:val="auto"/>
          <w:sz w:val="21"/>
          <w:szCs w:val="21"/>
          <w:highlight w:val="none"/>
        </w:rPr>
        <w:t>三、合同工期</w:t>
      </w:r>
      <w:bookmarkEnd w:id="77"/>
      <w:bookmarkEnd w:id="7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1.开工日期：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2.成果提交日期：</w:t>
      </w:r>
      <w:r>
        <w:rPr>
          <w:rFonts w:hint="eastAsia" w:ascii="宋体" w:hAnsi="宋体" w:eastAsia="宋体" w:cs="宋体"/>
          <w:color w:val="auto"/>
          <w:sz w:val="21"/>
          <w:szCs w:val="21"/>
          <w:highlight w:val="none"/>
          <w:u w:val="single"/>
        </w:rPr>
        <w:t>（1）自《项目合同》生效之日</w:t>
      </w:r>
      <w:r>
        <w:rPr>
          <w:rFonts w:hint="eastAsia" w:ascii="宋体" w:hAnsi="宋体" w:eastAsia="宋体" w:cs="宋体"/>
          <w:color w:val="auto"/>
          <w:sz w:val="21"/>
          <w:szCs w:val="21"/>
          <w:highlight w:val="none"/>
          <w:u w:val="single"/>
        </w:rPr>
        <w:t>起</w:t>
      </w:r>
      <w:r>
        <w:rPr>
          <w:rFonts w:hint="eastAsia" w:ascii="宋体" w:hAnsi="宋体" w:cs="宋体"/>
          <w:color w:val="auto"/>
          <w:sz w:val="21"/>
          <w:szCs w:val="21"/>
          <w:highlight w:val="none"/>
          <w:u w:val="single"/>
          <w:lang w:val="en-US" w:eastAsia="zh-CN"/>
        </w:rPr>
        <w:t>25</w:t>
      </w:r>
      <w:r>
        <w:rPr>
          <w:rFonts w:hint="eastAsia" w:ascii="宋体" w:hAnsi="宋体" w:eastAsia="宋体" w:cs="宋体"/>
          <w:color w:val="auto"/>
          <w:sz w:val="21"/>
          <w:szCs w:val="21"/>
          <w:highlight w:val="none"/>
          <w:u w:val="single"/>
        </w:rPr>
        <w:t>个工作日内</w:t>
      </w:r>
      <w:r>
        <w:rPr>
          <w:rFonts w:hint="eastAsia" w:ascii="宋体" w:hAnsi="宋体" w:eastAsia="宋体" w:cs="宋体"/>
          <w:color w:val="auto"/>
          <w:sz w:val="21"/>
          <w:szCs w:val="21"/>
          <w:highlight w:val="none"/>
          <w:u w:val="single"/>
        </w:rPr>
        <w:t>提交《建设工程施工勘察成果文件》；（2）配套服务期为自《项目合同》生效之日起至本项目工程竣工验收合格之日止，期间每自收到项目发包人《异议函》之</w:t>
      </w:r>
      <w:r>
        <w:rPr>
          <w:rFonts w:hint="eastAsia" w:ascii="宋体" w:hAnsi="宋体" w:eastAsia="宋体" w:cs="宋体"/>
          <w:color w:val="auto"/>
          <w:sz w:val="21"/>
          <w:szCs w:val="21"/>
          <w:highlight w:val="none"/>
          <w:u w:val="single"/>
        </w:rPr>
        <w:t>日起 3 个日历</w:t>
      </w:r>
      <w:r>
        <w:rPr>
          <w:rFonts w:hint="eastAsia" w:ascii="宋体" w:hAnsi="宋体" w:eastAsia="宋体" w:cs="宋体"/>
          <w:color w:val="auto"/>
          <w:sz w:val="21"/>
          <w:szCs w:val="21"/>
          <w:highlight w:val="none"/>
          <w:u w:val="single"/>
        </w:rPr>
        <w:t>天内提交相应《答疑（或澄清或修订）函（稿）》送达发包人审核</w:t>
      </w:r>
      <w:r>
        <w:rPr>
          <w:rFonts w:hint="eastAsia" w:ascii="宋体" w:hAnsi="宋体" w:eastAsia="宋体" w:cs="宋体"/>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bookmarkStart w:id="79" w:name="_Toc22907"/>
      <w:bookmarkStart w:id="80" w:name="_Toc13176"/>
      <w:r>
        <w:rPr>
          <w:rFonts w:hint="eastAsia" w:ascii="宋体" w:hAnsi="宋体" w:eastAsia="宋体" w:cs="宋体"/>
          <w:b/>
          <w:bCs/>
          <w:color w:val="auto"/>
          <w:sz w:val="21"/>
          <w:szCs w:val="21"/>
          <w:highlight w:val="none"/>
        </w:rPr>
        <w:t>四、质量标准</w:t>
      </w:r>
      <w:bookmarkEnd w:id="79"/>
      <w:bookmarkEnd w:id="8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lang w:eastAsia="zh-CN"/>
        </w:rPr>
        <w:t>符合国家、主管部门现行规范、规程和有关政策、法规规定的深度要求及验收规范合格标准。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bookmarkStart w:id="81" w:name="_Toc20473"/>
      <w:bookmarkStart w:id="82" w:name="_Toc13707"/>
      <w:r>
        <w:rPr>
          <w:rFonts w:hint="eastAsia" w:ascii="宋体" w:hAnsi="宋体" w:eastAsia="宋体" w:cs="宋体"/>
          <w:b/>
          <w:bCs/>
          <w:color w:val="auto"/>
          <w:sz w:val="21"/>
          <w:szCs w:val="21"/>
          <w:highlight w:val="none"/>
        </w:rPr>
        <w:t>五、合同价款</w:t>
      </w:r>
      <w:bookmarkEnd w:id="81"/>
      <w:bookmarkEnd w:id="8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bookmarkStart w:id="83" w:name="_Toc29944"/>
      <w:bookmarkStart w:id="84" w:name="_Toc16973"/>
      <w:r>
        <w:rPr>
          <w:rFonts w:hint="eastAsia" w:ascii="宋体" w:hAnsi="宋体" w:eastAsia="宋体" w:cs="宋体"/>
          <w:color w:val="auto"/>
          <w:sz w:val="21"/>
          <w:szCs w:val="21"/>
          <w:highlight w:val="none"/>
        </w:rPr>
        <w:t>1.合同价款金额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价税合计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           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其中，不含增值税的价款为：</w:t>
      </w: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u w:val="single"/>
        </w:rPr>
        <w:t>（大写）             (¥           元)</w:t>
      </w:r>
      <w:r>
        <w:rPr>
          <w:rFonts w:hint="eastAsia" w:ascii="宋体" w:hAnsi="宋体" w:eastAsia="宋体" w:cs="宋体"/>
          <w:color w:val="auto"/>
          <w:sz w:val="21"/>
          <w:szCs w:val="21"/>
          <w:highlight w:val="none"/>
          <w:lang w:val="en-US" w:eastAsia="zh-CN"/>
        </w:rPr>
        <w:t>，增值税税率为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，增值税税额为：人民币</w:t>
      </w:r>
      <w:r>
        <w:rPr>
          <w:rFonts w:hint="eastAsia" w:ascii="宋体" w:hAnsi="宋体" w:eastAsia="宋体" w:cs="宋体"/>
          <w:color w:val="auto"/>
          <w:sz w:val="21"/>
          <w:szCs w:val="21"/>
          <w:highlight w:val="none"/>
          <w:u w:val="single"/>
          <w:lang w:val="en-US" w:eastAsia="zh-CN"/>
        </w:rPr>
        <w:t>（大写）</w:t>
      </w:r>
      <w:r>
        <w:rPr>
          <w:rFonts w:hint="eastAsia" w:ascii="宋体" w:hAnsi="宋体" w:eastAsia="宋体" w:cs="宋体"/>
          <w:color w:val="auto"/>
          <w:sz w:val="21"/>
          <w:szCs w:val="21"/>
          <w:highlight w:val="none"/>
          <w:u w:val="single"/>
        </w:rPr>
        <w:t xml:space="preserve">             (¥           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在本项目后续合同执行过程中，如国家对增值税税率进行调整，按调整后税率执行。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2.合同价款形式：</w:t>
      </w:r>
      <w:r>
        <w:rPr>
          <w:rFonts w:hint="eastAsia" w:ascii="宋体" w:hAnsi="宋体" w:eastAsia="宋体" w:cs="宋体"/>
          <w:color w:val="auto"/>
          <w:sz w:val="21"/>
          <w:szCs w:val="21"/>
          <w:highlight w:val="none"/>
          <w:u w:val="single"/>
        </w:rPr>
        <w:t xml:space="preserve"> 总价合同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六、合同文件构成</w:t>
      </w:r>
      <w:bookmarkEnd w:id="83"/>
      <w:bookmarkEnd w:id="8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组成本合同的文件包括：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（1）合同协议书；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（2）中标通知书；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（3）投标函及投标函附录；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（4）专用合同条款及其附件；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（5）通用合同条款；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（6）发包人要求；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（7）勘察费用清单；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（8）勘察纲要；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（9）其他合同文件。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在合同履行过程中形成的与合同有关的文件构成合同文件组成部分。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bookmarkStart w:id="85" w:name="_Toc31718"/>
      <w:bookmarkStart w:id="86" w:name="_Toc27818"/>
      <w:r>
        <w:rPr>
          <w:rFonts w:hint="eastAsia" w:ascii="宋体" w:hAnsi="宋体" w:eastAsia="宋体" w:cs="宋体"/>
          <w:b/>
          <w:bCs/>
          <w:color w:val="auto"/>
          <w:sz w:val="21"/>
          <w:szCs w:val="21"/>
          <w:highlight w:val="none"/>
        </w:rPr>
        <w:t>七、承诺</w:t>
      </w:r>
      <w:bookmarkEnd w:id="85"/>
      <w:bookmarkEnd w:id="8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1.发包人承诺按照法律规定履行项目审批手续，按照合同约定提供工程勘察条件和相关资料，并按照合同约定的期限和方式支付合同价款。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2.勘察人承诺按照法律法规和技术标准规定及合同约定提供勘察技术服务。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bookmarkStart w:id="87" w:name="_Toc10100"/>
      <w:bookmarkStart w:id="88" w:name="_Toc3825"/>
      <w:r>
        <w:rPr>
          <w:rFonts w:hint="eastAsia" w:ascii="宋体" w:hAnsi="宋体" w:eastAsia="宋体" w:cs="宋体"/>
          <w:b/>
          <w:bCs/>
          <w:color w:val="auto"/>
          <w:sz w:val="21"/>
          <w:szCs w:val="21"/>
          <w:highlight w:val="none"/>
        </w:rPr>
        <w:t>八、词语定义</w:t>
      </w:r>
      <w:bookmarkEnd w:id="87"/>
      <w:bookmarkEnd w:id="8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本合同协议书中词语含义与合同第二部分《通用合同条款》中的词语含义相同。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bookmarkStart w:id="89" w:name="_Toc29681"/>
      <w:bookmarkStart w:id="90" w:name="_Toc5043"/>
      <w:r>
        <w:rPr>
          <w:rFonts w:hint="eastAsia" w:ascii="宋体" w:hAnsi="宋体" w:eastAsia="宋体" w:cs="宋体"/>
          <w:b/>
          <w:bCs/>
          <w:color w:val="auto"/>
          <w:sz w:val="21"/>
          <w:szCs w:val="21"/>
          <w:highlight w:val="none"/>
        </w:rPr>
        <w:t>九、签订时间</w:t>
      </w:r>
      <w:bookmarkEnd w:id="89"/>
      <w:bookmarkEnd w:id="9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bookmarkStart w:id="91" w:name="_Toc22644"/>
      <w:bookmarkStart w:id="92" w:name="_Toc27549"/>
      <w:r>
        <w:rPr>
          <w:rFonts w:hint="eastAsia" w:ascii="宋体" w:hAnsi="宋体" w:eastAsia="宋体" w:cs="宋体"/>
          <w:b/>
          <w:bCs/>
          <w:color w:val="auto"/>
          <w:sz w:val="21"/>
          <w:szCs w:val="21"/>
          <w:highlight w:val="none"/>
        </w:rPr>
        <w:t>十、签订地点</w:t>
      </w:r>
      <w:bookmarkEnd w:id="91"/>
      <w:bookmarkEnd w:id="9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bookmarkStart w:id="93" w:name="_Toc30336"/>
      <w:bookmarkStart w:id="94" w:name="_Toc26281"/>
      <w:r>
        <w:rPr>
          <w:rFonts w:hint="eastAsia" w:ascii="宋体" w:hAnsi="宋体" w:eastAsia="宋体" w:cs="宋体"/>
          <w:b/>
          <w:bCs/>
          <w:color w:val="auto"/>
          <w:sz w:val="21"/>
          <w:szCs w:val="21"/>
          <w:highlight w:val="none"/>
        </w:rPr>
        <w:t>十一、合同生效</w:t>
      </w:r>
      <w:bookmarkEnd w:id="93"/>
      <w:bookmarkEnd w:id="9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bookmarkStart w:id="95" w:name="_Toc3683"/>
      <w:bookmarkStart w:id="96" w:name="_Toc31674"/>
      <w:r>
        <w:rPr>
          <w:rFonts w:hint="eastAsia" w:ascii="宋体" w:hAnsi="宋体" w:eastAsia="宋体" w:cs="宋体"/>
          <w:b/>
          <w:bCs/>
          <w:color w:val="auto"/>
          <w:sz w:val="21"/>
          <w:szCs w:val="21"/>
          <w:highlight w:val="none"/>
        </w:rPr>
        <w:t>十二、合同份数</w:t>
      </w:r>
      <w:bookmarkEnd w:id="95"/>
      <w:bookmarkEnd w:id="9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份，具有同等法律效力，发包人执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份，勘察人执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pPr>
        <w:pStyle w:val="24"/>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color w:val="auto"/>
          <w:highlight w:val="none"/>
        </w:rPr>
      </w:pPr>
    </w:p>
    <w:p>
      <w:pPr>
        <w:pStyle w:val="24"/>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发包人：富川瑶族自治县民族医医院（印章）</w:t>
      </w:r>
      <w:r>
        <w:rPr>
          <w:rFonts w:hint="eastAsia" w:ascii="宋体" w:hAnsi="宋体" w:eastAsia="宋体" w:cs="宋体"/>
          <w:color w:val="auto"/>
          <w:sz w:val="21"/>
          <w:szCs w:val="21"/>
          <w:highlight w:val="none"/>
          <w:lang w:val="en-US" w:eastAsia="zh-CN"/>
        </w:rPr>
        <w:t xml:space="preserve"> </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勘察人：</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（印章）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法定代表人或其委托代理人：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法定代表人或其委托代理人：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统一社会信用代码：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统一社会信用代码：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地址：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邮政编码：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邮政编码：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电话：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传真：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传真：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电子邮箱：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电子邮箱：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开户银行：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账号：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账号：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97" w:name="_Toc25768"/>
      <w:r>
        <w:rPr>
          <w:rFonts w:hint="eastAsia" w:ascii="宋体" w:hAnsi="宋体" w:eastAsia="宋体" w:cs="宋体"/>
          <w:b/>
          <w:bCs/>
          <w:color w:val="auto"/>
          <w:sz w:val="28"/>
          <w:szCs w:val="28"/>
          <w:highlight w:val="none"/>
        </w:rPr>
        <w:t>第二部分  通用合同条款</w:t>
      </w:r>
      <w:bookmarkEnd w:id="97"/>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采用《建设工程勘察合同（示范文本）》（GF—2016—0203）</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pStyle w:val="24"/>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4"/>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4"/>
        <w:rPr>
          <w:rFonts w:hint="eastAsia" w:ascii="宋体" w:hAnsi="宋体" w:eastAsia="宋体" w:cs="宋体"/>
          <w:color w:val="auto"/>
          <w:sz w:val="21"/>
          <w:szCs w:val="21"/>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24"/>
        <w:rPr>
          <w:rFonts w:hint="eastAsia"/>
          <w:color w:val="auto"/>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bookmarkStart w:id="98" w:name="_Toc15341"/>
      <w:r>
        <w:rPr>
          <w:rFonts w:hint="eastAsia" w:ascii="宋体" w:hAnsi="宋体" w:eastAsia="宋体" w:cs="宋体"/>
          <w:b/>
          <w:bCs/>
          <w:color w:val="auto"/>
          <w:sz w:val="28"/>
          <w:szCs w:val="28"/>
          <w:highlight w:val="none"/>
        </w:rPr>
        <w:t>第三部分  专用合同条款</w:t>
      </w:r>
      <w:bookmarkEnd w:id="9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 1 条 一般约定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词语定义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 合同文件及优先解释顺序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合同文件组成及优先解释顺序：</w:t>
      </w:r>
      <w:r>
        <w:rPr>
          <w:rFonts w:hint="eastAsia" w:ascii="宋体" w:hAnsi="宋体" w:eastAsia="宋体" w:cs="宋体"/>
          <w:color w:val="auto"/>
          <w:sz w:val="21"/>
          <w:szCs w:val="21"/>
          <w:highlight w:val="none"/>
          <w:u w:val="single"/>
        </w:rPr>
        <w:t>合同协议书、中标通知书、投标函及其附录</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专用条款、通用条款、发包人要求、技术标准以及其他合同文件</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 适用法律法规、技术标准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适用法律法规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需要明示的规范性文件：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适用技术标准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特别要求：</w:t>
      </w:r>
      <w:r>
        <w:rPr>
          <w:rFonts w:hint="eastAsia" w:ascii="宋体" w:hAnsi="宋体" w:eastAsia="宋体" w:cs="宋体"/>
          <w:color w:val="auto"/>
          <w:sz w:val="21"/>
          <w:szCs w:val="21"/>
          <w:highlight w:val="none"/>
          <w:u w:val="single"/>
        </w:rPr>
        <w:t>符合国家规定的工程技术质量标准、技术规范及规程要求，并通过有关行政主管部门审批或备案</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使用国外技术标准的名称、提供方、原文版、中译本的份数、时间及费用承担：</w:t>
      </w:r>
      <w:r>
        <w:rPr>
          <w:rFonts w:hint="eastAsia" w:ascii="宋体" w:hAnsi="宋体" w:eastAsia="宋体" w:cs="宋体"/>
          <w:color w:val="auto"/>
          <w:sz w:val="21"/>
          <w:szCs w:val="21"/>
          <w:highlight w:val="none"/>
          <w:u w:val="single"/>
        </w:rPr>
        <w:t xml:space="preserve">无  </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1.4 语言文字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本合同除使用汉语外，还使用</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语言文字。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1.5 联络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发包人和勘察人应在</w:t>
      </w:r>
      <w:r>
        <w:rPr>
          <w:rFonts w:hint="eastAsia" w:ascii="宋体" w:hAnsi="宋体" w:eastAsia="宋体" w:cs="宋体"/>
          <w:color w:val="auto"/>
          <w:sz w:val="21"/>
          <w:szCs w:val="21"/>
          <w:highlight w:val="none"/>
          <w:u w:val="single"/>
        </w:rPr>
        <w:t xml:space="preserve"> 5 </w:t>
      </w:r>
      <w:r>
        <w:rPr>
          <w:rFonts w:hint="eastAsia" w:ascii="宋体" w:hAnsi="宋体" w:eastAsia="宋体" w:cs="宋体"/>
          <w:color w:val="auto"/>
          <w:sz w:val="21"/>
          <w:szCs w:val="21"/>
          <w:highlight w:val="none"/>
        </w:rPr>
        <w:t>天内将与合同有关的通知、批准、证明、证书、 指示、指令、要求、请求、同意、意见、确定和决定等书面函件送达对方当事人。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1.5.2 发包人接收文件的地点：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发包人指定的接收人：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发包人指定的联系方式：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勘察人接收文件的地点：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勘察人指定的接收人：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勘察人指定的联系方式：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 xml:space="preserve"> 保密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合同当事人关于保密的约定：</w:t>
      </w:r>
      <w:r>
        <w:rPr>
          <w:rFonts w:hint="eastAsia" w:ascii="宋体" w:hAnsi="宋体" w:eastAsia="宋体" w:cs="宋体"/>
          <w:color w:val="auto"/>
          <w:sz w:val="21"/>
          <w:szCs w:val="21"/>
          <w:highlight w:val="none"/>
          <w:u w:val="single"/>
        </w:rPr>
        <w:t>除法律规定外，未经发包人同意，勘察人不得将发包人提供的图纸、文件以及声明需要保密的资料信息等商业秘密泄露给第三方</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 2 条 发包人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发包人义务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发包人委托勘察人搜集的资料：</w:t>
      </w:r>
      <w:r>
        <w:rPr>
          <w:rFonts w:hint="eastAsia" w:ascii="宋体" w:hAnsi="宋体" w:eastAsia="宋体" w:cs="宋体"/>
          <w:color w:val="auto"/>
          <w:sz w:val="21"/>
          <w:szCs w:val="21"/>
          <w:highlight w:val="none"/>
          <w:u w:val="single"/>
        </w:rPr>
        <w:t>勘察人自行负责相应费用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发包人对安全文明施工的特别要求：</w:t>
      </w:r>
      <w:r>
        <w:rPr>
          <w:rFonts w:hint="eastAsia" w:ascii="宋体" w:hAnsi="宋体" w:eastAsia="宋体" w:cs="宋体"/>
          <w:color w:val="auto"/>
          <w:sz w:val="21"/>
          <w:szCs w:val="21"/>
          <w:highlight w:val="none"/>
          <w:u w:val="single"/>
          <w:lang w:val="en-US" w:eastAsia="zh-CN"/>
        </w:rPr>
        <w:t xml:space="preserve">  严格执行</w:t>
      </w:r>
      <w:r>
        <w:rPr>
          <w:rFonts w:hint="eastAsia" w:ascii="宋体" w:hAnsi="宋体" w:cs="宋体"/>
          <w:color w:val="auto"/>
          <w:sz w:val="21"/>
          <w:szCs w:val="21"/>
          <w:highlight w:val="none"/>
          <w:u w:val="single"/>
          <w:lang w:val="en-US" w:eastAsia="zh-CN"/>
        </w:rPr>
        <w:t>富川瑶族自治县</w:t>
      </w:r>
      <w:r>
        <w:rPr>
          <w:rFonts w:hint="eastAsia" w:ascii="宋体" w:hAnsi="宋体" w:eastAsia="宋体" w:cs="宋体"/>
          <w:color w:val="auto"/>
          <w:sz w:val="21"/>
          <w:szCs w:val="21"/>
          <w:highlight w:val="none"/>
          <w:u w:val="single"/>
          <w:lang w:val="en-US" w:eastAsia="zh-CN"/>
        </w:rPr>
        <w:t xml:space="preserve">住房和城乡建设局对工地的相关规定。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 xml:space="preserve"> 发包人代表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授权范围：</w:t>
      </w:r>
      <w:r>
        <w:rPr>
          <w:rFonts w:hint="eastAsia" w:ascii="宋体" w:hAnsi="宋体" w:eastAsia="宋体" w:cs="宋体"/>
          <w:color w:val="auto"/>
          <w:sz w:val="21"/>
          <w:szCs w:val="21"/>
          <w:highlight w:val="none"/>
          <w:u w:val="single"/>
        </w:rPr>
        <w:t>发包人代表在发包人的授权范围内，负责处理合同履行过程中与发包人有关的具体事宜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 3 条 勘察人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 勘察人权利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 关于分包的约定：</w:t>
      </w:r>
      <w:r>
        <w:rPr>
          <w:rFonts w:hint="eastAsia" w:ascii="宋体" w:hAnsi="宋体" w:eastAsia="宋体" w:cs="宋体"/>
          <w:color w:val="auto"/>
          <w:sz w:val="21"/>
          <w:szCs w:val="21"/>
          <w:highlight w:val="none"/>
          <w:u w:val="single"/>
        </w:rPr>
        <w:t>本项目允许分包</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 xml:space="preserve"> 勘察人代表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授权范围：</w:t>
      </w:r>
      <w:r>
        <w:rPr>
          <w:rFonts w:hint="eastAsia" w:ascii="宋体" w:hAnsi="宋体" w:eastAsia="宋体" w:cs="宋体"/>
          <w:color w:val="auto"/>
          <w:sz w:val="21"/>
          <w:szCs w:val="21"/>
          <w:highlight w:val="none"/>
          <w:u w:val="single"/>
        </w:rPr>
        <w:t>代表勘察人行使本合同约定的权利和义务；与发包人共同确认本合同勘察实际完成工程量</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 4 条 工期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4.</w:t>
      </w:r>
      <w:r>
        <w:rPr>
          <w:rFonts w:hint="eastAsia" w:ascii="宋体" w:hAnsi="宋体" w:eastAsia="宋体" w:cs="宋体"/>
          <w:b w:val="0"/>
          <w:bCs w:val="0"/>
          <w:color w:val="auto"/>
          <w:sz w:val="21"/>
          <w:szCs w:val="21"/>
          <w:highlight w:val="none"/>
          <w:u w:val="none"/>
          <w:lang w:val="en-US" w:eastAsia="zh-CN"/>
        </w:rPr>
        <w:t>1</w:t>
      </w:r>
      <w:r>
        <w:rPr>
          <w:rFonts w:hint="eastAsia" w:ascii="宋体" w:hAnsi="宋体" w:eastAsia="宋体" w:cs="宋体"/>
          <w:b w:val="0"/>
          <w:bCs w:val="0"/>
          <w:color w:val="auto"/>
          <w:sz w:val="21"/>
          <w:szCs w:val="21"/>
          <w:highlight w:val="none"/>
          <w:u w:val="none"/>
        </w:rPr>
        <w:t xml:space="preserve"> 成果提交日期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双方约定工期顺延的其他情况：</w:t>
      </w:r>
      <w:r>
        <w:rPr>
          <w:rFonts w:hint="eastAsia" w:ascii="宋体" w:hAnsi="宋体" w:eastAsia="宋体" w:cs="宋体"/>
          <w:color w:val="auto"/>
          <w:sz w:val="21"/>
          <w:szCs w:val="21"/>
          <w:highlight w:val="none"/>
          <w:u w:val="single"/>
          <w:lang w:eastAsia="zh-CN"/>
        </w:rPr>
        <w:t>另行约定</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发包人造成的工期延误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 双方就工期顺延确定期限的约定：</w:t>
      </w:r>
      <w:r>
        <w:rPr>
          <w:rFonts w:hint="eastAsia" w:ascii="宋体" w:hAnsi="宋体" w:eastAsia="宋体" w:cs="宋体"/>
          <w:color w:val="auto"/>
          <w:sz w:val="21"/>
          <w:szCs w:val="21"/>
          <w:highlight w:val="none"/>
          <w:u w:val="single"/>
          <w:lang w:eastAsia="zh-CN"/>
        </w:rPr>
        <w:t>现场签证</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 5 条 成果资料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 xml:space="preserve"> 成果份数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勘察人应向发包人提交《富川瑶族自治县民族医医院中医瑶医诊疗业务用房及附属设施项目瑶医专科专病诊疗中心》施工勘察和基坑设计服务</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编制服务报告资料一式6份（另附电子光盘一个）。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 xml:space="preserve"> 成果验收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双方就成果验收期限的约定：</w:t>
      </w:r>
      <w:r>
        <w:rPr>
          <w:rFonts w:hint="eastAsia" w:ascii="宋体" w:hAnsi="宋体" w:eastAsia="宋体" w:cs="宋体"/>
          <w:color w:val="auto"/>
          <w:sz w:val="21"/>
          <w:szCs w:val="21"/>
          <w:highlight w:val="none"/>
          <w:u w:val="single"/>
          <w:lang w:eastAsia="zh-CN"/>
        </w:rPr>
        <w:t>勘察人向发包人提交成果资料后，如需对勘察成果组织验收的，发包人应及时组织验收。除专用合同条款对期限另有约定外，发包人</w:t>
      </w:r>
      <w:r>
        <w:rPr>
          <w:rFonts w:hint="eastAsia" w:ascii="宋体" w:hAnsi="宋体" w:eastAsia="宋体" w:cs="宋体"/>
          <w:color w:val="auto"/>
          <w:sz w:val="21"/>
          <w:szCs w:val="21"/>
          <w:highlight w:val="none"/>
          <w:u w:val="single"/>
          <w:lang w:val="en-US" w:eastAsia="zh-CN"/>
        </w:rPr>
        <w:t>14天内无正当理由不予组织验收，视为验收通过</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 6 条 后期服务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6.1 后续技术服务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后续技术服务内容约定:</w:t>
      </w:r>
      <w:r>
        <w:rPr>
          <w:rFonts w:hint="eastAsia" w:ascii="宋体" w:hAnsi="宋体" w:eastAsia="宋体" w:cs="宋体"/>
          <w:color w:val="auto"/>
          <w:sz w:val="21"/>
          <w:szCs w:val="21"/>
          <w:highlight w:val="none"/>
          <w:u w:val="single"/>
          <w:lang w:eastAsia="zh-CN"/>
        </w:rPr>
        <w:t>勘察人应派专业技术人员为发包人提供后续技术服务，发包人应为其提供必要的工作和生活条件，后续技术服务的内容包括全程技术跟踪，</w:t>
      </w:r>
      <w:r>
        <w:rPr>
          <w:rFonts w:hint="eastAsia" w:hAnsi="宋体" w:eastAsia="宋体" w:cs="宋体"/>
          <w:color w:val="auto"/>
          <w:sz w:val="21"/>
          <w:szCs w:val="21"/>
          <w:highlight w:val="none"/>
          <w:u w:val="single"/>
          <w:lang w:val="en-US" w:eastAsia="zh-CN"/>
        </w:rPr>
        <w:t>包括但不限于</w:t>
      </w:r>
      <w:r>
        <w:rPr>
          <w:rFonts w:hint="eastAsia" w:ascii="宋体" w:hAnsi="宋体" w:eastAsia="宋体" w:cs="宋体"/>
          <w:color w:val="auto"/>
          <w:sz w:val="21"/>
          <w:szCs w:val="21"/>
          <w:highlight w:val="none"/>
          <w:u w:val="single"/>
          <w:lang w:eastAsia="zh-CN"/>
        </w:rPr>
        <w:t>验槽、基础验收、竣工验收等</w:t>
      </w:r>
      <w:r>
        <w:rPr>
          <w:rFonts w:hint="eastAsia" w:hAnsi="宋体" w:eastAsia="宋体" w:cs="宋体"/>
          <w:color w:val="auto"/>
          <w:sz w:val="21"/>
          <w:szCs w:val="21"/>
          <w:highlight w:val="none"/>
          <w:u w:val="single"/>
          <w:lang w:val="en-US" w:eastAsia="zh-CN"/>
        </w:rPr>
        <w:t>与本合同约定工作内容相关的后续技术服务</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后续技术服务费用约定：</w:t>
      </w:r>
      <w:r>
        <w:rPr>
          <w:rFonts w:hint="eastAsia" w:ascii="宋体" w:hAnsi="宋体" w:eastAsia="宋体" w:cs="宋体"/>
          <w:color w:val="auto"/>
          <w:sz w:val="21"/>
          <w:szCs w:val="21"/>
          <w:highlight w:val="none"/>
          <w:u w:val="single"/>
        </w:rPr>
        <w:t>勘察人为发包人免费提供本合同约定的后续技术服务</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后续技术服务时限约定：</w:t>
      </w:r>
      <w:r>
        <w:rPr>
          <w:rFonts w:hint="eastAsia" w:ascii="宋体" w:hAnsi="宋体" w:eastAsia="宋体" w:cs="宋体"/>
          <w:color w:val="auto"/>
          <w:sz w:val="21"/>
          <w:szCs w:val="21"/>
          <w:highlight w:val="none"/>
          <w:u w:val="single"/>
          <w:lang w:eastAsia="zh-CN"/>
        </w:rPr>
        <w:t>至项目完成竣工验收及资料整备提交完成止</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 7 条 合同价款与支付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7.1 合同价款与调整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7.1.1 双方约定的合同价款调整因素和方法：</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7.1.2 本合同价款采用</w:t>
      </w:r>
      <w:r>
        <w:rPr>
          <w:rFonts w:hint="eastAsia" w:ascii="宋体" w:hAnsi="宋体" w:eastAsia="宋体" w:cs="宋体"/>
          <w:b/>
          <w:bCs/>
          <w:color w:val="auto"/>
          <w:sz w:val="21"/>
          <w:szCs w:val="21"/>
          <w:highlight w:val="none"/>
          <w:u w:val="single"/>
        </w:rPr>
        <w:t>总价合同</w:t>
      </w:r>
      <w:r>
        <w:rPr>
          <w:rFonts w:hint="eastAsia" w:ascii="宋体" w:hAnsi="宋体" w:eastAsia="宋体" w:cs="宋体"/>
          <w:color w:val="auto"/>
          <w:sz w:val="21"/>
          <w:szCs w:val="21"/>
          <w:highlight w:val="none"/>
        </w:rPr>
        <w:t>方式确定。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（1）采用总价合同，合同价款中包括的风险范围：</w:t>
      </w:r>
      <w:r>
        <w:rPr>
          <w:rFonts w:hint="eastAsia" w:ascii="宋体" w:hAnsi="宋体" w:eastAsia="宋体" w:cs="宋体"/>
          <w:color w:val="auto"/>
          <w:sz w:val="21"/>
          <w:szCs w:val="21"/>
          <w:highlight w:val="none"/>
          <w:u w:val="single"/>
        </w:rPr>
        <w:t>本项目采用总价包干投标报价方式</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风险费用的计算方法：</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风险范围以外合同价款调整因素和方法：</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（2）采用单价合同，合同价款中包括的风险范围：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风险范围以外合同单价调整因素和方法：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（3）采用的其他合同价款形式及调整因素和方法：</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7.1.3 双方就合同价款调整确认期限的约定：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7.2 定金或预付款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7.2.1发包人向勘察人支付定金金额: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无</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 定金或预付款在进度款中的抵扣办法：</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7.3 </w:t>
      </w:r>
      <w:r>
        <w:rPr>
          <w:rFonts w:hint="eastAsia" w:ascii="宋体" w:hAnsi="宋体" w:eastAsia="宋体" w:cs="宋体"/>
          <w:b w:val="0"/>
          <w:bCs w:val="0"/>
          <w:color w:val="auto"/>
          <w:sz w:val="21"/>
          <w:szCs w:val="21"/>
          <w:highlight w:val="none"/>
          <w:lang w:eastAsia="zh-CN"/>
        </w:rPr>
        <w:t>合同</w:t>
      </w:r>
      <w:r>
        <w:rPr>
          <w:rFonts w:hint="eastAsia" w:ascii="宋体" w:hAnsi="宋体" w:eastAsia="宋体" w:cs="宋体"/>
          <w:b w:val="0"/>
          <w:bCs w:val="0"/>
          <w:color w:val="auto"/>
          <w:sz w:val="21"/>
          <w:szCs w:val="21"/>
          <w:highlight w:val="none"/>
        </w:rPr>
        <w:t>款支付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双方约定的</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款支付方式、支付条件和支付时间：</w:t>
      </w:r>
    </w:p>
    <w:tbl>
      <w:tblPr>
        <w:tblStyle w:val="45"/>
        <w:tblW w:w="8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1720"/>
        <w:gridCol w:w="5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297"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付费次序</w:t>
            </w:r>
          </w:p>
        </w:tc>
        <w:tc>
          <w:tcPr>
            <w:tcW w:w="172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占</w:t>
            </w:r>
            <w:r>
              <w:rPr>
                <w:rFonts w:hint="eastAsia"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价款比例</w:t>
            </w:r>
          </w:p>
        </w:tc>
        <w:tc>
          <w:tcPr>
            <w:tcW w:w="5621"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1297"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第一次付费</w:t>
            </w:r>
          </w:p>
        </w:tc>
        <w:tc>
          <w:tcPr>
            <w:tcW w:w="172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p>
        </w:tc>
        <w:tc>
          <w:tcPr>
            <w:tcW w:w="5621"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hAnsi="宋体" w:cs="宋体"/>
                <w:color w:val="auto"/>
                <w:highlight w:val="none"/>
                <w:lang w:val="zh-CN"/>
              </w:rPr>
              <w:t>签订合同后，</w:t>
            </w:r>
            <w:r>
              <w:rPr>
                <w:rFonts w:hint="eastAsia" w:hAnsi="宋体" w:cs="宋体"/>
                <w:color w:val="auto"/>
                <w:highlight w:val="none"/>
                <w:lang w:val="en-US" w:eastAsia="zh-CN"/>
              </w:rPr>
              <w:t>甲方</w:t>
            </w:r>
            <w:r>
              <w:rPr>
                <w:rFonts w:hint="eastAsia" w:hAnsi="宋体" w:cs="宋体"/>
                <w:color w:val="auto"/>
                <w:highlight w:val="none"/>
                <w:lang w:val="zh-CN"/>
              </w:rPr>
              <w:t>收到</w:t>
            </w:r>
            <w:r>
              <w:rPr>
                <w:rFonts w:hint="eastAsia" w:hAnsi="宋体" w:cs="宋体"/>
                <w:color w:val="auto"/>
                <w:highlight w:val="none"/>
                <w:lang w:val="en-US" w:eastAsia="zh-CN"/>
              </w:rPr>
              <w:t>乙方</w:t>
            </w:r>
            <w:r>
              <w:rPr>
                <w:rFonts w:hint="eastAsia" w:hAnsi="宋体" w:cs="宋体"/>
                <w:color w:val="auto"/>
                <w:highlight w:val="none"/>
                <w:lang w:val="zh-CN"/>
              </w:rPr>
              <w:t>开具的等额增值税专用发票</w:t>
            </w:r>
            <w:r>
              <w:rPr>
                <w:rFonts w:hint="eastAsia" w:hAnsi="宋体" w:cs="宋体"/>
                <w:color w:val="auto"/>
                <w:highlight w:val="none"/>
                <w:lang w:val="en-US" w:eastAsia="zh-CN"/>
              </w:rPr>
              <w:t>后</w:t>
            </w:r>
            <w:r>
              <w:rPr>
                <w:rFonts w:hint="eastAsia" w:hAnsi="宋体" w:cs="宋体"/>
                <w:color w:val="auto"/>
                <w:highlight w:val="none"/>
                <w:lang w:val="zh-CN"/>
              </w:rPr>
              <w:t>15个工作日内,</w:t>
            </w:r>
            <w:r>
              <w:rPr>
                <w:rFonts w:hint="eastAsia" w:hAnsi="宋体" w:cs="宋体"/>
                <w:color w:val="auto"/>
                <w:highlight w:val="none"/>
                <w:lang w:val="en-US" w:eastAsia="zh-CN"/>
              </w:rPr>
              <w:t>甲方</w:t>
            </w:r>
            <w:r>
              <w:rPr>
                <w:rFonts w:hint="eastAsia" w:hAnsi="宋体" w:cs="宋体"/>
                <w:color w:val="auto"/>
                <w:highlight w:val="none"/>
                <w:lang w:val="zh-CN"/>
              </w:rPr>
              <w:t>向</w:t>
            </w:r>
            <w:r>
              <w:rPr>
                <w:rFonts w:hint="eastAsia" w:hAnsi="宋体" w:cs="宋体"/>
                <w:color w:val="auto"/>
                <w:highlight w:val="none"/>
                <w:lang w:val="en-US" w:eastAsia="zh-CN"/>
              </w:rPr>
              <w:t>乙方</w:t>
            </w:r>
            <w:r>
              <w:rPr>
                <w:rFonts w:hint="eastAsia" w:hAnsi="宋体" w:cs="宋体"/>
                <w:color w:val="auto"/>
                <w:highlight w:val="none"/>
                <w:lang w:val="zh-CN"/>
              </w:rPr>
              <w:t>支付</w:t>
            </w:r>
            <w:r>
              <w:rPr>
                <w:rFonts w:hint="eastAsia" w:hAnsi="宋体" w:cs="宋体"/>
                <w:color w:val="auto"/>
                <w:highlight w:val="none"/>
                <w:lang w:val="en-US" w:eastAsia="zh-CN"/>
              </w:rPr>
              <w:t>合同总价</w:t>
            </w:r>
            <w:r>
              <w:rPr>
                <w:rFonts w:hint="eastAsia" w:hAnsi="宋体" w:cs="宋体"/>
                <w:color w:val="auto"/>
                <w:highlight w:val="none"/>
                <w:lang w:val="zh-CN"/>
              </w:rPr>
              <w:t>的</w:t>
            </w:r>
            <w:r>
              <w:rPr>
                <w:rFonts w:hint="eastAsia" w:hAnsi="宋体" w:cs="宋体"/>
                <w:color w:val="auto"/>
                <w:highlight w:val="none"/>
                <w:lang w:val="en-US" w:eastAsia="zh-CN"/>
              </w:rPr>
              <w:t>3</w:t>
            </w:r>
            <w:r>
              <w:rPr>
                <w:rFonts w:hint="eastAsia" w:hAnsi="宋体" w:cs="宋体"/>
                <w:color w:val="auto"/>
                <w:highlight w:val="none"/>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1297"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第二次付费</w:t>
            </w:r>
          </w:p>
        </w:tc>
        <w:tc>
          <w:tcPr>
            <w:tcW w:w="172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w:t>
            </w:r>
          </w:p>
        </w:tc>
        <w:tc>
          <w:tcPr>
            <w:tcW w:w="5621"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乙方提交所有</w:t>
            </w:r>
            <w:r>
              <w:rPr>
                <w:rFonts w:hint="eastAsia" w:ascii="宋体" w:hAnsi="宋体" w:cs="宋体"/>
                <w:color w:val="auto"/>
                <w:sz w:val="21"/>
                <w:szCs w:val="21"/>
                <w:highlight w:val="none"/>
                <w:lang w:eastAsia="zh-CN"/>
              </w:rPr>
              <w:t>纸质版</w:t>
            </w:r>
            <w:r>
              <w:rPr>
                <w:rFonts w:hint="eastAsia" w:ascii="宋体" w:hAnsi="宋体" w:eastAsia="宋体" w:cs="宋体"/>
                <w:color w:val="auto"/>
                <w:sz w:val="21"/>
                <w:szCs w:val="21"/>
                <w:highlight w:val="none"/>
                <w:lang w:eastAsia="zh-CN"/>
              </w:rPr>
              <w:t>成果资料</w:t>
            </w:r>
            <w:r>
              <w:rPr>
                <w:rFonts w:hint="eastAsia" w:hAnsi="宋体" w:cs="宋体"/>
                <w:color w:val="auto"/>
                <w:sz w:val="21"/>
                <w:szCs w:val="21"/>
                <w:highlight w:val="none"/>
                <w:lang w:val="en-US" w:eastAsia="zh-CN"/>
              </w:rPr>
              <w:t>后</w:t>
            </w:r>
            <w:r>
              <w:rPr>
                <w:rFonts w:hint="eastAsia" w:hAnsi="宋体" w:eastAsia="宋体" w:cs="宋体"/>
                <w:color w:val="auto"/>
                <w:sz w:val="21"/>
                <w:szCs w:val="21"/>
                <w:highlight w:val="none"/>
                <w:lang w:eastAsia="zh-CN"/>
              </w:rPr>
              <w:t>，</w:t>
            </w:r>
            <w:bookmarkStart w:id="99" w:name="OLE_LINK2"/>
            <w:r>
              <w:rPr>
                <w:rFonts w:hint="eastAsia" w:hAnsi="宋体" w:eastAsia="宋体" w:cs="宋体"/>
                <w:color w:val="auto"/>
                <w:sz w:val="21"/>
                <w:szCs w:val="21"/>
                <w:highlight w:val="none"/>
                <w:lang w:val="en-US" w:eastAsia="zh-CN"/>
              </w:rPr>
              <w:t>甲方收到乙方开具的增值税专用发票</w:t>
            </w:r>
            <w:r>
              <w:rPr>
                <w:rFonts w:hint="eastAsia" w:ascii="宋体" w:hAnsi="宋体" w:eastAsia="宋体" w:cs="宋体"/>
                <w:color w:val="auto"/>
                <w:sz w:val="21"/>
                <w:szCs w:val="21"/>
                <w:highlight w:val="none"/>
                <w:lang w:eastAsia="zh-CN"/>
              </w:rPr>
              <w:t>后1</w:t>
            </w:r>
            <w:r>
              <w:rPr>
                <w:rFonts w:hint="eastAsia"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个工作日内</w:t>
            </w:r>
            <w:bookmarkEnd w:id="99"/>
            <w:r>
              <w:rPr>
                <w:rFonts w:hint="eastAsia" w:hAnsi="宋体" w:eastAsia="宋体" w:cs="宋体"/>
                <w:color w:val="auto"/>
                <w:sz w:val="21"/>
                <w:szCs w:val="21"/>
                <w:highlight w:val="none"/>
                <w:lang w:val="en-US" w:eastAsia="zh-CN"/>
              </w:rPr>
              <w:t>，甲方向乙方</w:t>
            </w:r>
            <w:r>
              <w:rPr>
                <w:rFonts w:hint="eastAsia" w:ascii="宋体" w:hAnsi="宋体" w:eastAsia="宋体" w:cs="宋体"/>
                <w:color w:val="auto"/>
                <w:sz w:val="21"/>
                <w:szCs w:val="21"/>
                <w:highlight w:val="none"/>
                <w:lang w:eastAsia="zh-CN"/>
              </w:rPr>
              <w:t>付合同总价的</w:t>
            </w:r>
            <w:r>
              <w:rPr>
                <w:rFonts w:hint="eastAsia"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7"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第三次付费</w:t>
            </w:r>
          </w:p>
        </w:tc>
        <w:tc>
          <w:tcPr>
            <w:tcW w:w="172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5621"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成果</w:t>
            </w:r>
            <w:r>
              <w:rPr>
                <w:rFonts w:hint="eastAsia" w:ascii="宋体" w:hAnsi="宋体" w:eastAsia="宋体" w:cs="宋体"/>
                <w:color w:val="auto"/>
                <w:sz w:val="21"/>
                <w:szCs w:val="21"/>
                <w:highlight w:val="none"/>
                <w:lang w:eastAsia="zh-CN"/>
              </w:rPr>
              <w:t>通过</w:t>
            </w:r>
            <w:r>
              <w:rPr>
                <w:rFonts w:hint="eastAsia" w:ascii="宋体" w:hAnsi="宋体" w:cs="宋体"/>
                <w:color w:val="auto"/>
                <w:sz w:val="21"/>
                <w:szCs w:val="21"/>
                <w:highlight w:val="none"/>
                <w:lang w:eastAsia="zh-CN"/>
              </w:rPr>
              <w:t>审图后</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并收到乙方开具的增值税专用发票</w:t>
            </w:r>
            <w:r>
              <w:rPr>
                <w:rFonts w:hint="eastAsia" w:ascii="宋体" w:hAnsi="宋体" w:eastAsia="宋体" w:cs="宋体"/>
                <w:color w:val="auto"/>
                <w:sz w:val="21"/>
                <w:szCs w:val="21"/>
                <w:highlight w:val="none"/>
                <w:lang w:eastAsia="zh-CN"/>
              </w:rPr>
              <w:t>后1</w:t>
            </w:r>
            <w:r>
              <w:rPr>
                <w:rFonts w:hint="eastAsia"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个工作日</w:t>
            </w:r>
            <w:r>
              <w:rPr>
                <w:rFonts w:hint="eastAsia" w:ascii="宋体" w:hAnsi="宋体" w:cs="宋体"/>
                <w:color w:val="auto"/>
                <w:sz w:val="21"/>
                <w:szCs w:val="21"/>
                <w:highlight w:val="none"/>
                <w:lang w:eastAsia="zh-CN"/>
              </w:rPr>
              <w:t>内，</w:t>
            </w:r>
            <w:r>
              <w:rPr>
                <w:rFonts w:hint="eastAsia" w:hAnsi="宋体" w:eastAsia="宋体" w:cs="宋体"/>
                <w:color w:val="auto"/>
                <w:sz w:val="21"/>
                <w:szCs w:val="21"/>
                <w:highlight w:val="none"/>
                <w:lang w:val="en-US" w:eastAsia="zh-CN"/>
              </w:rPr>
              <w:t>甲方向乙方</w:t>
            </w:r>
            <w:r>
              <w:rPr>
                <w:rFonts w:hint="eastAsia" w:ascii="宋体" w:hAnsi="宋体" w:eastAsia="宋体" w:cs="宋体"/>
                <w:color w:val="auto"/>
                <w:sz w:val="21"/>
                <w:szCs w:val="21"/>
                <w:highlight w:val="none"/>
                <w:lang w:eastAsia="zh-CN"/>
              </w:rPr>
              <w:t>付</w:t>
            </w:r>
            <w:r>
              <w:rPr>
                <w:rFonts w:hint="eastAsia" w:ascii="宋体" w:hAnsi="宋体" w:cs="宋体"/>
                <w:color w:val="auto"/>
                <w:sz w:val="21"/>
                <w:szCs w:val="21"/>
                <w:highlight w:val="none"/>
                <w:lang w:eastAsia="zh-CN"/>
              </w:rPr>
              <w:t>合同价剩余</w:t>
            </w:r>
            <w:r>
              <w:rPr>
                <w:rFonts w:hint="eastAsia" w:ascii="宋体" w:hAnsi="宋体" w:eastAsia="宋体" w:cs="宋体"/>
                <w:color w:val="auto"/>
                <w:sz w:val="21"/>
                <w:szCs w:val="21"/>
                <w:highlight w:val="none"/>
                <w:lang w:eastAsia="zh-CN"/>
              </w:rPr>
              <w:t>的</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7"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172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c>
          <w:tcPr>
            <w:tcW w:w="5621"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7.4 合同价款结算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最终合同价款</w:t>
      </w:r>
      <w:r>
        <w:rPr>
          <w:rFonts w:hint="eastAsia" w:ascii="宋体" w:hAnsi="宋体" w:eastAsia="宋体" w:cs="宋体"/>
          <w:color w:val="auto"/>
          <w:sz w:val="21"/>
          <w:szCs w:val="21"/>
          <w:highlight w:val="none"/>
          <w:lang w:eastAsia="zh-CN"/>
        </w:rPr>
        <w:t>结算</w:t>
      </w:r>
      <w:r>
        <w:rPr>
          <w:rFonts w:hint="eastAsia" w:ascii="宋体" w:hAnsi="宋体" w:eastAsia="宋体" w:cs="宋体"/>
          <w:color w:val="auto"/>
          <w:sz w:val="21"/>
          <w:szCs w:val="21"/>
          <w:highlight w:val="none"/>
        </w:rPr>
        <w:t>的约定：</w:t>
      </w:r>
      <w:r>
        <w:rPr>
          <w:rFonts w:hint="eastAsia" w:ascii="宋体" w:hAnsi="宋体" w:eastAsia="宋体" w:cs="宋体"/>
          <w:color w:val="auto"/>
          <w:sz w:val="21"/>
          <w:szCs w:val="21"/>
          <w:highlight w:val="none"/>
          <w:u w:val="single"/>
        </w:rPr>
        <w:t>本项目采用总价包干方式</w:t>
      </w:r>
      <w:r>
        <w:rPr>
          <w:rFonts w:hint="eastAsia" w:ascii="宋体" w:hAnsi="宋体" w:eastAsia="宋体" w:cs="宋体"/>
          <w:color w:val="auto"/>
          <w:sz w:val="21"/>
          <w:szCs w:val="21"/>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 8 条 变更与调整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8.1  变更范围与确认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 变更范围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变更范围的其他约定：</w:t>
      </w:r>
      <w:r>
        <w:rPr>
          <w:rFonts w:hint="eastAsia" w:ascii="宋体" w:hAnsi="宋体" w:eastAsia="宋体" w:cs="宋体"/>
          <w:color w:val="auto"/>
          <w:sz w:val="21"/>
          <w:szCs w:val="21"/>
          <w:highlight w:val="none"/>
          <w:u w:val="single"/>
        </w:rPr>
        <w:t xml:space="preserve">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8.1.2 变更确认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变更提出和确认期限的约定：</w:t>
      </w:r>
      <w:r>
        <w:rPr>
          <w:rFonts w:hint="eastAsia" w:ascii="宋体" w:hAnsi="宋体" w:eastAsia="宋体" w:cs="宋体"/>
          <w:color w:val="auto"/>
          <w:sz w:val="21"/>
          <w:szCs w:val="21"/>
          <w:highlight w:val="none"/>
          <w:u w:val="single"/>
        </w:rPr>
        <w:t>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8.2  变更合同价款确定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8.2.1 提出变更合同价款报告期限的约定：</w:t>
      </w:r>
      <w:r>
        <w:rPr>
          <w:rFonts w:hint="eastAsia" w:ascii="宋体" w:hAnsi="宋体" w:eastAsia="宋体" w:cs="宋体"/>
          <w:color w:val="auto"/>
          <w:sz w:val="21"/>
          <w:szCs w:val="21"/>
          <w:highlight w:val="none"/>
          <w:u w:val="single"/>
          <w:lang w:eastAsia="zh-CN"/>
        </w:rPr>
        <w:t>无</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8.2.2 确认变更合同价款报告时限的约定：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 9 条 知识产权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9.1 关于发包人提供给勘察人的图纸、发包人为实施工程自行编制或委托编制的反映发包人要求或其他类似性质的文件的著作权的归属：</w:t>
      </w:r>
      <w:r>
        <w:rPr>
          <w:rFonts w:hint="eastAsia" w:ascii="宋体" w:hAnsi="宋体" w:eastAsia="宋体" w:cs="宋体"/>
          <w:color w:val="auto"/>
          <w:sz w:val="21"/>
          <w:szCs w:val="21"/>
          <w:highlight w:val="none"/>
          <w:u w:val="single"/>
        </w:rPr>
        <w:t>发包人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关于发包人提供的上述文件的使用限制的要求：</w:t>
      </w:r>
      <w:r>
        <w:rPr>
          <w:rFonts w:hint="eastAsia" w:ascii="宋体" w:hAnsi="宋体" w:eastAsia="宋体" w:cs="宋体"/>
          <w:color w:val="auto"/>
          <w:sz w:val="21"/>
          <w:szCs w:val="21"/>
          <w:highlight w:val="none"/>
          <w:u w:val="single"/>
        </w:rPr>
        <w:t>勘察人可以为实现合同目的而复制、使用此类文件，但不能用于与合同无关的其他事项。 未经发包人书面同意，勘察人不得为了合同以外的目的而复制、使用上述文件或将之提供给任何第三方发包人</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 关于勘察人为实施工程所编制文件的著作权的归属：</w:t>
      </w:r>
      <w:r>
        <w:rPr>
          <w:rFonts w:hint="eastAsia" w:ascii="宋体" w:hAnsi="宋体" w:eastAsia="宋体" w:cs="宋体"/>
          <w:color w:val="auto"/>
          <w:sz w:val="21"/>
          <w:szCs w:val="21"/>
          <w:highlight w:val="none"/>
          <w:u w:val="single"/>
        </w:rPr>
        <w:t>归属发包人所有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关于勘察人提供的上述文件的使用限制的要求：</w:t>
      </w:r>
      <w:r>
        <w:rPr>
          <w:rFonts w:hint="eastAsia" w:ascii="宋体" w:hAnsi="宋体" w:eastAsia="宋体" w:cs="宋体"/>
          <w:color w:val="auto"/>
          <w:sz w:val="21"/>
          <w:szCs w:val="21"/>
          <w:highlight w:val="none"/>
          <w:u w:val="single"/>
        </w:rPr>
        <w:t>未经发包人书面同意，勘察人不得为了合同以外的目的而复制、使用上述文件或将之提供给任何第三方发包人</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勘察人在工作过程中所采用的专利、专有技术、技术秘密的使用费的承担方式：</w:t>
      </w:r>
      <w:r>
        <w:rPr>
          <w:rFonts w:hint="eastAsia" w:ascii="宋体" w:hAnsi="宋体" w:eastAsia="宋体" w:cs="宋体"/>
          <w:color w:val="auto"/>
          <w:sz w:val="21"/>
          <w:szCs w:val="21"/>
          <w:highlight w:val="none"/>
          <w:u w:val="single"/>
        </w:rPr>
        <w:t>勘察人自行承担</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 10 条 不可抗力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 不可抗力的确认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10.1.1 双方关于不可抗力的其他约定（如政府临时禁令）：</w:t>
      </w:r>
      <w:r>
        <w:rPr>
          <w:rFonts w:hint="eastAsia" w:ascii="宋体" w:hAnsi="宋体" w:eastAsia="宋体" w:cs="宋体"/>
          <w:color w:val="auto"/>
          <w:sz w:val="21"/>
          <w:szCs w:val="21"/>
          <w:highlight w:val="none"/>
          <w:u w:val="single"/>
        </w:rPr>
        <w:t>因政府或相关主管部门要求导致项目中断勘察</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10.2 不可抗力的通知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10.2.1 不可抗力持续发生，勘察人报告受害损失期限的约定：</w:t>
      </w:r>
      <w:r>
        <w:rPr>
          <w:rFonts w:hint="eastAsia" w:ascii="宋体" w:hAnsi="宋体" w:eastAsia="宋体" w:cs="宋体"/>
          <w:color w:val="auto"/>
          <w:sz w:val="21"/>
          <w:szCs w:val="21"/>
          <w:highlight w:val="none"/>
          <w:u w:val="single"/>
        </w:rPr>
        <w:t>通用条款第 10.2条执行</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10.2.2 勘察人向发包人通报受害损失情况及费用期限的约定：</w:t>
      </w:r>
      <w:r>
        <w:rPr>
          <w:rFonts w:hint="eastAsia" w:ascii="宋体" w:hAnsi="宋体" w:eastAsia="宋体" w:cs="宋体"/>
          <w:color w:val="auto"/>
          <w:sz w:val="21"/>
          <w:szCs w:val="21"/>
          <w:highlight w:val="none"/>
          <w:u w:val="single"/>
        </w:rPr>
        <w:t>通用条款第10.2 条执行</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 13 条 责任与保险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工程勘察责任保险的约定：</w:t>
      </w:r>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 14 条 违约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14.1 发包人违约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发包人违约责任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（1）发包人支付勘察人的违约金：</w:t>
      </w:r>
      <w:r>
        <w:rPr>
          <w:rFonts w:hint="eastAsia" w:ascii="宋体" w:hAnsi="宋体" w:eastAsia="宋体" w:cs="宋体"/>
          <w:color w:val="auto"/>
          <w:sz w:val="21"/>
          <w:szCs w:val="21"/>
          <w:highlight w:val="none"/>
          <w:u w:val="single"/>
        </w:rPr>
        <w:t>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（2）发包人发生其他违约情形应承担的违约责任：</w:t>
      </w:r>
      <w:r>
        <w:rPr>
          <w:rFonts w:hint="eastAsia" w:ascii="宋体" w:hAnsi="宋体" w:eastAsia="宋体" w:cs="宋体"/>
          <w:color w:val="auto"/>
          <w:sz w:val="21"/>
          <w:szCs w:val="21"/>
          <w:highlight w:val="none"/>
          <w:u w:val="single"/>
        </w:rPr>
        <w:t>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14.2 勘察人违约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勘察人违约责任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（1）勘察人支付发包人的违约金：</w:t>
      </w:r>
      <w:r>
        <w:rPr>
          <w:rFonts w:hint="eastAsia" w:ascii="宋体" w:hAnsi="宋体" w:eastAsia="宋体" w:cs="宋体"/>
          <w:color w:val="auto"/>
          <w:sz w:val="21"/>
          <w:szCs w:val="21"/>
          <w:highlight w:val="none"/>
          <w:u w:val="single"/>
        </w:rPr>
        <w:t>按本专用合同第 14.2.</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（2）勘察人造成工期延误应承担的违约责任：</w:t>
      </w:r>
      <w:r>
        <w:rPr>
          <w:rFonts w:hint="eastAsia" w:ascii="宋体" w:hAnsi="宋体" w:eastAsia="宋体" w:cs="宋体"/>
          <w:color w:val="auto"/>
          <w:sz w:val="21"/>
          <w:szCs w:val="21"/>
          <w:highlight w:val="none"/>
          <w:u w:val="single"/>
        </w:rPr>
        <w:t>因勘察人原因未按合同约定时提交勘察成果资料，每超过壹日，应减收本合同价款千分之五。逾期超过十天的，发包人有权解除合同</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（3）因勘察人原因导致工程质量安全事故或其他事故时的赔偿金上限：</w:t>
      </w:r>
      <w:r>
        <w:rPr>
          <w:rFonts w:hint="eastAsia" w:ascii="宋体" w:hAnsi="宋体" w:eastAsia="宋体" w:cs="宋体"/>
          <w:color w:val="auto"/>
          <w:sz w:val="21"/>
          <w:szCs w:val="21"/>
          <w:highlight w:val="none"/>
          <w:u w:val="single"/>
        </w:rPr>
        <w:t>若勘察现场需要看守，特别是在有毒、有害等危险现场作业时，勘察人应负责安全保卫工作，按国家有关规定，对从事危险作业的现场人员进行保健防护，并承担费用。勘察人应自行投保职工意外伤害险，若勘察人在勘察工作过程中发生人身伤害，由勘察人自行承担，发包人不承担责任</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（4）勘察人发生其他违约情形应承担的违约责任：</w:t>
      </w:r>
      <w:r>
        <w:rPr>
          <w:rFonts w:hint="eastAsia" w:ascii="宋体" w:hAnsi="宋体" w:eastAsia="宋体" w:cs="宋体"/>
          <w:color w:val="auto"/>
          <w:sz w:val="21"/>
          <w:szCs w:val="21"/>
          <w:highlight w:val="none"/>
          <w:u w:val="single"/>
        </w:rPr>
        <w:t>由于勘察人提供的勘察成果资料质量不合格，勘察人应负责无偿补充完善使其达到质量合格；若勘察人无力补充完善，需另委托其他单位时，勘察人应承担全部勘察费用；或因勘察质量造成重大经济损失或工程事故时，勘察人除应负法律责任和免收直接损失部分的勘察费外，并根据损失程度向发包人支付赔偿金，赔偿金为实际损失的100%</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 15 条 索赔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15.1 发包人索赔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索赔程序和期限的约定：</w:t>
      </w:r>
      <w:r>
        <w:rPr>
          <w:rFonts w:hint="eastAsia" w:ascii="宋体" w:hAnsi="宋体" w:eastAsia="宋体" w:cs="宋体"/>
          <w:color w:val="auto"/>
          <w:sz w:val="21"/>
          <w:szCs w:val="21"/>
          <w:highlight w:val="none"/>
          <w:u w:val="single"/>
        </w:rPr>
        <w:t xml:space="preserve">    按通用条款第 15 条执行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15.2 勘察人索赔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索赔程序和期限的约定：</w:t>
      </w:r>
      <w:r>
        <w:rPr>
          <w:rFonts w:hint="eastAsia" w:ascii="宋体" w:hAnsi="宋体" w:eastAsia="宋体" w:cs="宋体"/>
          <w:color w:val="auto"/>
          <w:sz w:val="21"/>
          <w:szCs w:val="21"/>
          <w:highlight w:val="none"/>
          <w:u w:val="single"/>
        </w:rPr>
        <w:t xml:space="preserve">      按通用条款第 15 条执行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 16 条 争议解决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仲裁或诉讼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双方约定在履行合同过程中产生争议时，采取下列第</w:t>
      </w:r>
      <w:r>
        <w:rPr>
          <w:rFonts w:hint="eastAsia" w:ascii="宋体" w:hAnsi="宋体" w:eastAsia="宋体" w:cs="宋体"/>
          <w:color w:val="auto"/>
          <w:sz w:val="21"/>
          <w:szCs w:val="21"/>
          <w:highlight w:val="none"/>
          <w:u w:val="single"/>
        </w:rPr>
        <w:t>（2）</w:t>
      </w:r>
      <w:r>
        <w:rPr>
          <w:rFonts w:hint="eastAsia" w:ascii="宋体" w:hAnsi="宋体" w:eastAsia="宋体" w:cs="宋体"/>
          <w:color w:val="auto"/>
          <w:sz w:val="21"/>
          <w:szCs w:val="21"/>
          <w:highlight w:val="none"/>
        </w:rPr>
        <w:t>种方式解决：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color w:val="auto"/>
          <w:sz w:val="21"/>
          <w:szCs w:val="21"/>
          <w:highlight w:val="none"/>
          <w:lang w:val="en-US" w:eastAsia="zh-CN"/>
        </w:rPr>
        <w:t>贺州市</w:t>
      </w:r>
      <w:r>
        <w:rPr>
          <w:rFonts w:hint="eastAsia" w:ascii="宋体" w:hAnsi="宋体" w:eastAsia="宋体" w:cs="宋体"/>
          <w:color w:val="auto"/>
          <w:sz w:val="21"/>
          <w:szCs w:val="21"/>
          <w:highlight w:val="none"/>
        </w:rPr>
        <w:t>仲裁委员会提请仲裁；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工程所在地人民法院提起诉讼。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 17 条 补充条款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17.1</w:t>
      </w:r>
      <w:r>
        <w:rPr>
          <w:rFonts w:hint="eastAsia" w:ascii="宋体" w:hAnsi="宋体" w:eastAsia="宋体" w:cs="宋体"/>
          <w:color w:val="auto"/>
          <w:sz w:val="21"/>
          <w:szCs w:val="21"/>
          <w:highlight w:val="none"/>
        </w:rPr>
        <w:t>双方根据有关法律法规规定，结合实际经协商一致，补充约定如下：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（1）暂停勘察期限已连续超过 180 天，双方经协商一致，均有权解除合同。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（2）因勘察人原因造成勘察文件不合格致使审查无法通过达到3次的，发包人有权单方面解除合同。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勘察人需按发包人要求及合同约定时按质履行合同义务，如果勘察人存在不符合合同约定的违约行为，发包人有权将该部分工作直接分割，分包给第三方完成，所需费用由勘察人承担，发包人有权从合同款中予以扣除，同时勘察人所需承担责任不免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）合同解除后，发包人向勘察人支付已完工作勘察费的期限为勘察人已完成工作量经</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rPr>
        <w:t>部门审批</w:t>
      </w:r>
      <w:r>
        <w:rPr>
          <w:rFonts w:hint="eastAsia" w:ascii="宋体" w:hAnsi="宋体" w:eastAsia="宋体" w:cs="宋体"/>
          <w:color w:val="auto"/>
          <w:sz w:val="21"/>
          <w:szCs w:val="21"/>
          <w:highlight w:val="none"/>
          <w:lang w:eastAsia="zh-CN"/>
        </w:rPr>
        <w:t>通过</w:t>
      </w:r>
      <w:r>
        <w:rPr>
          <w:rFonts w:hint="eastAsia" w:ascii="宋体" w:hAnsi="宋体" w:eastAsia="宋体" w:cs="宋体"/>
          <w:color w:val="auto"/>
          <w:sz w:val="21"/>
          <w:szCs w:val="21"/>
          <w:highlight w:val="none"/>
        </w:rPr>
        <w:t>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因勘察人原因导致发包人解除合同的，勘察人除退还已收取的全部费用外，并按本合同总额的 20%向发包人支付违约金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17.2 罚则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17.2.1 工程勘察企业未按照工程建设强制性标准进行勘察、弄虚作假、提供虚假成果资料的，一经证实，甲方有权单方面解除合同，并依法追究相应责任和上报工程勘察质量监督部门。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17.2.2 工程勘察企业有下列行为之一的，责令改正，并从合同金额中扣除相应金额: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(一)勘察文件签字不全的扣除1万元；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(二)勘察文件没有责任人签字的扣除2万元；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(三)原始记录不完整的扣除1万元；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(四)原始记录不按照规定记录的扣除2万元；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(五)不参加施工验收的每次扣除1万元；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(六)项目完成后，在规定时间内勘察文件不归档保存的扣除3万元。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17.2.3 现场管理人员在工程勘察质量监督管理工作中玩忽职守、滥用权力、贪腐的，依法给予处分；情节严重的，依法追究刑事责任。</w:t>
      </w:r>
    </w:p>
    <w:p>
      <w:pPr>
        <w:rPr>
          <w:color w:val="auto"/>
        </w:rPr>
      </w:pPr>
    </w:p>
    <w:p>
      <w:pPr>
        <w:rPr>
          <w:rFonts w:ascii="宋体" w:hAnsi="宋体" w:cs="宋体"/>
          <w:color w:val="auto"/>
          <w:sz w:val="24"/>
          <w:szCs w:val="24"/>
          <w:highlight w:val="none"/>
        </w:rPr>
      </w:pPr>
      <w:r>
        <w:rPr>
          <w:rFonts w:ascii="宋体" w:hAnsi="宋体" w:cs="宋体"/>
          <w:color w:val="auto"/>
          <w:sz w:val="24"/>
          <w:szCs w:val="24"/>
          <w:highlight w:val="none"/>
        </w:rPr>
        <w:br w:type="page"/>
      </w:r>
    </w:p>
    <w:p>
      <w:pPr>
        <w:pStyle w:val="24"/>
        <w:rPr>
          <w:color w:val="auto"/>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cs="宋体"/>
          <w:b/>
          <w:bCs/>
          <w:color w:val="auto"/>
          <w:sz w:val="44"/>
          <w:szCs w:val="44"/>
          <w:highlight w:val="none"/>
          <w:lang w:val="en-US" w:eastAsia="zh-CN"/>
        </w:rPr>
      </w:pPr>
      <w:bookmarkStart w:id="100" w:name="_Toc9688"/>
      <w:r>
        <w:rPr>
          <w:rFonts w:hint="eastAsia" w:ascii="宋体" w:hAnsi="宋体" w:cs="宋体"/>
          <w:b/>
          <w:bCs/>
          <w:color w:val="auto"/>
          <w:sz w:val="44"/>
          <w:szCs w:val="44"/>
          <w:highlight w:val="none"/>
          <w:lang w:val="en-US" w:eastAsia="zh-CN"/>
        </w:rPr>
        <w:t>“政采贷”政策告知函</w:t>
      </w:r>
      <w:bookmarkEnd w:id="100"/>
    </w:p>
    <w:p>
      <w:pPr>
        <w:keepNext w:val="0"/>
        <w:keepLines w:val="0"/>
        <w:pageBreakBefore w:val="0"/>
        <w:kinsoku/>
        <w:wordWrap/>
        <w:overflowPunct/>
        <w:topLinePunct w:val="0"/>
        <w:autoSpaceDE/>
        <w:autoSpaceDN/>
        <w:bidi w:val="0"/>
        <w:spacing w:line="460" w:lineRule="exact"/>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各供应商:</w:t>
      </w:r>
    </w:p>
    <w:p>
      <w:pPr>
        <w:keepNext w:val="0"/>
        <w:keepLines w:val="0"/>
        <w:pageBreakBefore w:val="0"/>
        <w:kinsoku/>
        <w:wordWrap/>
        <w:overflowPunct/>
        <w:topLinePunct w:val="0"/>
        <w:autoSpaceDE/>
        <w:autoSpaceDN/>
        <w:bidi w:val="0"/>
        <w:spacing w:line="460" w:lineRule="exact"/>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欢迎贵公司参与贺州市政府采购活动!</w:t>
      </w:r>
    </w:p>
    <w:p>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w:t>
      </w:r>
      <w:r>
        <w:rPr>
          <w:rFonts w:hint="eastAsia" w:ascii="宋体" w:hAnsi="宋体" w:eastAsia="宋体" w:cs="宋体"/>
          <w:color w:val="auto"/>
          <w:sz w:val="21"/>
          <w:szCs w:val="21"/>
          <w:highlight w:val="none"/>
          <w:lang w:eastAsia="zh-CN"/>
        </w:rPr>
        <w:t>等相关材料</w:t>
      </w:r>
      <w:r>
        <w:rPr>
          <w:rFonts w:hint="eastAsia" w:ascii="宋体" w:hAnsi="宋体" w:eastAsia="宋体" w:cs="宋体"/>
          <w:color w:val="auto"/>
          <w:sz w:val="21"/>
          <w:szCs w:val="21"/>
          <w:highlight w:val="none"/>
        </w:rPr>
        <w:t>向金融机构申请贷款，金融机构核实信息，按照双方自愿的原则提供便捷、优惠的贷款服务。</w:t>
      </w:r>
    </w:p>
    <w:p>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一、“政采贷”操作流程</w:t>
      </w:r>
    </w:p>
    <w:p>
      <w:pPr>
        <w:keepNext w:val="0"/>
        <w:keepLines w:val="0"/>
        <w:pageBreakBefore w:val="0"/>
        <w:widowControl/>
        <w:kinsoku/>
        <w:wordWrap/>
        <w:overflowPunct/>
        <w:topLinePunct w:val="0"/>
        <w:autoSpaceDE/>
        <w:autoSpaceDN/>
        <w:bidi w:val="0"/>
        <w:adjustRightInd w:val="0"/>
        <w:snapToGrid w:val="0"/>
        <w:spacing w:after="0" w:line="460" w:lineRule="exact"/>
        <w:ind w:right="0" w:righ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进入“广西政府采购网”（</w:t>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"http://zfcg.gxzf.gov.cn/" </w:instrText>
      </w:r>
      <w:r>
        <w:rPr>
          <w:rFonts w:hint="eastAsia" w:ascii="宋体" w:hAnsi="宋体" w:eastAsia="宋体" w:cs="宋体"/>
          <w:color w:val="auto"/>
          <w:sz w:val="21"/>
          <w:szCs w:val="21"/>
          <w:highlight w:val="none"/>
          <w:lang w:eastAsia="zh-CN"/>
        </w:rPr>
        <w:fldChar w:fldCharType="separate"/>
      </w:r>
      <w:r>
        <w:rPr>
          <w:rStyle w:val="38"/>
          <w:rFonts w:hint="eastAsia" w:ascii="宋体" w:hAnsi="宋体" w:eastAsia="宋体" w:cs="宋体"/>
          <w:color w:val="auto"/>
          <w:sz w:val="21"/>
          <w:szCs w:val="21"/>
          <w:highlight w:val="none"/>
          <w:lang w:eastAsia="zh-CN"/>
        </w:rPr>
        <w:t>http://zfcg.gxzf.gov.cn/</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）“办事指南”专栏找到“金融融资”板块，进入“广西政府采购金融服务平台”登录，选择试点银行机构进行合同融资预申请</w:t>
      </w:r>
      <w:r>
        <w:rPr>
          <w:rFonts w:hint="eastAsia" w:ascii="宋体" w:hAnsi="宋体" w:cs="宋体"/>
          <w:color w:val="auto"/>
          <w:sz w:val="21"/>
          <w:szCs w:val="21"/>
          <w:highlight w:val="none"/>
          <w:lang w:eastAsia="zh-CN"/>
        </w:rPr>
        <w:t>。（详情请按照《贺州市财政局关于进一步推行“政采贷”工作的通知》（贺财采〔2024〕3号）文件执行）</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二、</w:t>
      </w:r>
      <w:r>
        <w:rPr>
          <w:rFonts w:hint="eastAsia" w:ascii="宋体" w:hAnsi="宋体" w:eastAsia="宋体" w:cs="宋体"/>
          <w:color w:val="auto"/>
          <w:sz w:val="21"/>
          <w:szCs w:val="21"/>
          <w:highlight w:val="none"/>
          <w:lang w:val="en-US" w:eastAsia="zh-CN"/>
        </w:rPr>
        <w:t>承接银行联系方式</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left="0" w:leftChars="0" w:right="0" w:rightChars="0" w:firstLine="560" w:firstLineChars="200"/>
        <w:jc w:val="both"/>
        <w:textAlignment w:val="auto"/>
        <w:outlineLvl w:val="9"/>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1.中国建设银行贺州分行</w:t>
      </w:r>
      <w:r>
        <w:rPr>
          <w:rFonts w:hint="eastAsia" w:ascii="黑体" w:hAnsi="黑体" w:eastAsia="黑体" w:cs="黑体"/>
          <w:color w:val="auto"/>
          <w:sz w:val="28"/>
          <w:szCs w:val="28"/>
          <w:highlight w:val="none"/>
          <w:lang w:val="en-US" w:eastAsia="zh-CN"/>
        </w:rPr>
        <w:tab/>
      </w:r>
    </w:p>
    <w:tbl>
      <w:tblPr>
        <w:tblStyle w:val="45"/>
        <w:tblpPr w:leftFromText="180" w:rightFromText="180" w:vertAnchor="text" w:horzAnchor="page" w:tblpX="1362" w:tblpY="142"/>
        <w:tblOverlap w:val="never"/>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2360"/>
        <w:gridCol w:w="1172"/>
        <w:gridCol w:w="1137"/>
        <w:gridCol w:w="191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9600" w:type="dxa"/>
            <w:gridSpan w:val="6"/>
            <w:vAlign w:val="center"/>
          </w:tcPr>
          <w:p>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中国建设银行贺州分行 总协调人：杨宏毅  职务：公司业务部副总经理  手机号码：18077397188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0"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4"/>
                <w:szCs w:val="24"/>
                <w:highlight w:val="none"/>
                <w:u w:val="none"/>
                <w:lang w:val="en-US" w:eastAsia="zh-CN" w:bidi="ar"/>
              </w:rPr>
              <w:t>序号</w:t>
            </w:r>
          </w:p>
        </w:tc>
        <w:tc>
          <w:tcPr>
            <w:tcW w:w="2360" w:type="dxa"/>
            <w:vAlign w:val="center"/>
          </w:tcPr>
          <w:p>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金融机构</w:t>
            </w:r>
          </w:p>
        </w:tc>
        <w:tc>
          <w:tcPr>
            <w:tcW w:w="1172" w:type="dxa"/>
            <w:vAlign w:val="center"/>
          </w:tcPr>
          <w:p>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联系人</w:t>
            </w:r>
          </w:p>
        </w:tc>
        <w:tc>
          <w:tcPr>
            <w:tcW w:w="1137" w:type="dxa"/>
            <w:vAlign w:val="center"/>
          </w:tcPr>
          <w:p>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职务</w:t>
            </w:r>
          </w:p>
        </w:tc>
        <w:tc>
          <w:tcPr>
            <w:tcW w:w="1916" w:type="dxa"/>
            <w:vAlign w:val="center"/>
          </w:tcPr>
          <w:p>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手机号码</w:t>
            </w:r>
          </w:p>
        </w:tc>
        <w:tc>
          <w:tcPr>
            <w:tcW w:w="2625" w:type="dxa"/>
            <w:vAlign w:val="center"/>
          </w:tcPr>
          <w:p>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390"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1</w:t>
            </w:r>
          </w:p>
        </w:tc>
        <w:tc>
          <w:tcPr>
            <w:tcW w:w="2360"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中国建设银行贺州分行营业部</w:t>
            </w:r>
          </w:p>
        </w:tc>
        <w:tc>
          <w:tcPr>
            <w:tcW w:w="1172"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刘  雍</w:t>
            </w:r>
          </w:p>
        </w:tc>
        <w:tc>
          <w:tcPr>
            <w:tcW w:w="1137"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18778943521</w:t>
            </w:r>
          </w:p>
        </w:tc>
        <w:tc>
          <w:tcPr>
            <w:tcW w:w="2625"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贺州市八步区建设中路1号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90"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2360"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中国建设银行贺州城东支行</w:t>
            </w:r>
          </w:p>
        </w:tc>
        <w:tc>
          <w:tcPr>
            <w:tcW w:w="1172"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刘昭勇</w:t>
            </w:r>
          </w:p>
        </w:tc>
        <w:tc>
          <w:tcPr>
            <w:tcW w:w="1137"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18877499257</w:t>
            </w:r>
          </w:p>
        </w:tc>
        <w:tc>
          <w:tcPr>
            <w:tcW w:w="2625"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贺州市八步区平安西路266号贺州广场购物中心1号楼一层东面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90"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w:t>
            </w:r>
          </w:p>
        </w:tc>
        <w:tc>
          <w:tcPr>
            <w:tcW w:w="2360"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中国建设银行贺州城西支行</w:t>
            </w:r>
          </w:p>
        </w:tc>
        <w:tc>
          <w:tcPr>
            <w:tcW w:w="1172"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于丛家</w:t>
            </w:r>
          </w:p>
        </w:tc>
        <w:tc>
          <w:tcPr>
            <w:tcW w:w="1137"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15177666737</w:t>
            </w:r>
          </w:p>
        </w:tc>
        <w:tc>
          <w:tcPr>
            <w:tcW w:w="2625"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贺州市八步区八达西路689号1栋11号商铺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90"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w:t>
            </w:r>
          </w:p>
        </w:tc>
        <w:tc>
          <w:tcPr>
            <w:tcW w:w="2360"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中国建设银行贺州平桂支行</w:t>
            </w:r>
          </w:p>
        </w:tc>
        <w:tc>
          <w:tcPr>
            <w:tcW w:w="1172"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邱  伟</w:t>
            </w:r>
          </w:p>
        </w:tc>
        <w:tc>
          <w:tcPr>
            <w:tcW w:w="1137"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18007840720</w:t>
            </w:r>
          </w:p>
        </w:tc>
        <w:tc>
          <w:tcPr>
            <w:tcW w:w="2625"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贺州市平桂区平桂大道15号富旺小区1号楼105号商铺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90"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2360"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中国建设银行钟山支行</w:t>
            </w:r>
          </w:p>
        </w:tc>
        <w:tc>
          <w:tcPr>
            <w:tcW w:w="1172"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张文韬</w:t>
            </w:r>
          </w:p>
        </w:tc>
        <w:tc>
          <w:tcPr>
            <w:tcW w:w="1137"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13047836009</w:t>
            </w:r>
          </w:p>
        </w:tc>
        <w:tc>
          <w:tcPr>
            <w:tcW w:w="2625"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贺州市钟山县城书香西路南侧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90"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p>
        </w:tc>
        <w:tc>
          <w:tcPr>
            <w:tcW w:w="2360"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中国建设银行富川支行</w:t>
            </w:r>
          </w:p>
        </w:tc>
        <w:tc>
          <w:tcPr>
            <w:tcW w:w="1172"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邓李杰</w:t>
            </w:r>
          </w:p>
        </w:tc>
        <w:tc>
          <w:tcPr>
            <w:tcW w:w="1137"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营业室总经理</w:t>
            </w:r>
          </w:p>
        </w:tc>
        <w:tc>
          <w:tcPr>
            <w:tcW w:w="1916"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18276498401</w:t>
            </w:r>
          </w:p>
        </w:tc>
        <w:tc>
          <w:tcPr>
            <w:tcW w:w="2625"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贺州市富川瑶族自治县富阳镇凤凰路汇龙华府第13号楼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90"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7</w:t>
            </w:r>
          </w:p>
        </w:tc>
        <w:tc>
          <w:tcPr>
            <w:tcW w:w="2360"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中国建设银行昭平支行</w:t>
            </w:r>
          </w:p>
        </w:tc>
        <w:tc>
          <w:tcPr>
            <w:tcW w:w="1172"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贝晟延</w:t>
            </w:r>
          </w:p>
        </w:tc>
        <w:tc>
          <w:tcPr>
            <w:tcW w:w="1137"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15676427374</w:t>
            </w:r>
          </w:p>
        </w:tc>
        <w:tc>
          <w:tcPr>
            <w:tcW w:w="2625"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贺州市昭平县昭平镇东宁中路19号</w:t>
            </w:r>
          </w:p>
        </w:tc>
      </w:tr>
    </w:tbl>
    <w:p>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jc w:val="both"/>
        <w:textAlignment w:val="auto"/>
        <w:outlineLvl w:val="9"/>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2.广西北部湾银行</w:t>
      </w:r>
    </w:p>
    <w:tbl>
      <w:tblPr>
        <w:tblStyle w:val="45"/>
        <w:tblpPr w:leftFromText="180" w:rightFromText="180" w:vertAnchor="text" w:horzAnchor="page" w:tblpX="1362" w:tblpY="142"/>
        <w:tblOverlap w:val="never"/>
        <w:tblW w:w="9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348"/>
        <w:gridCol w:w="685"/>
        <w:gridCol w:w="1210"/>
        <w:gridCol w:w="917"/>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9421" w:type="dxa"/>
            <w:gridSpan w:val="6"/>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广西北部湾银行贺州分行 总协调人：杨政  职务：普惠金融部总经理  手机号码：18978413000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234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金融机构</w:t>
            </w:r>
          </w:p>
        </w:tc>
        <w:tc>
          <w:tcPr>
            <w:tcW w:w="68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联系人</w:t>
            </w:r>
          </w:p>
        </w:tc>
        <w:tc>
          <w:tcPr>
            <w:tcW w:w="1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职务</w:t>
            </w:r>
          </w:p>
        </w:tc>
        <w:tc>
          <w:tcPr>
            <w:tcW w:w="917"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手机号码</w:t>
            </w:r>
          </w:p>
        </w:tc>
        <w:tc>
          <w:tcPr>
            <w:tcW w:w="390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5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234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广西北部湾银行贺州分行</w:t>
            </w:r>
          </w:p>
        </w:tc>
        <w:tc>
          <w:tcPr>
            <w:tcW w:w="68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黄剑锐</w:t>
            </w:r>
          </w:p>
        </w:tc>
        <w:tc>
          <w:tcPr>
            <w:tcW w:w="1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个人金融部副经理</w:t>
            </w:r>
          </w:p>
        </w:tc>
        <w:tc>
          <w:tcPr>
            <w:tcW w:w="917"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15507848190</w:t>
            </w:r>
          </w:p>
        </w:tc>
        <w:tc>
          <w:tcPr>
            <w:tcW w:w="390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贺州市八步区太白西路153号8号楼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5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234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广西北部湾银行贺州市平桂支行</w:t>
            </w:r>
          </w:p>
        </w:tc>
        <w:tc>
          <w:tcPr>
            <w:tcW w:w="68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  乐</w:t>
            </w:r>
          </w:p>
        </w:tc>
        <w:tc>
          <w:tcPr>
            <w:tcW w:w="1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公司客户经理</w:t>
            </w:r>
          </w:p>
        </w:tc>
        <w:tc>
          <w:tcPr>
            <w:tcW w:w="917"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13036871008</w:t>
            </w:r>
          </w:p>
        </w:tc>
        <w:tc>
          <w:tcPr>
            <w:tcW w:w="390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贺州市平桂区平桂大道4号3号楼103号商铺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5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234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广西北部湾银行钟山支行</w:t>
            </w:r>
          </w:p>
        </w:tc>
        <w:tc>
          <w:tcPr>
            <w:tcW w:w="68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唐振豪</w:t>
            </w:r>
          </w:p>
        </w:tc>
        <w:tc>
          <w:tcPr>
            <w:tcW w:w="1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公司客户经理</w:t>
            </w:r>
          </w:p>
        </w:tc>
        <w:tc>
          <w:tcPr>
            <w:tcW w:w="917"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18878480702</w:t>
            </w:r>
          </w:p>
        </w:tc>
        <w:tc>
          <w:tcPr>
            <w:tcW w:w="390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贺州市钟山县广场西路南侧悦城壹号院B区1#楼B09-13号商铺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5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234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广西北部湾银行富川支行</w:t>
            </w:r>
          </w:p>
        </w:tc>
        <w:tc>
          <w:tcPr>
            <w:tcW w:w="68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秦明龙</w:t>
            </w:r>
          </w:p>
        </w:tc>
        <w:tc>
          <w:tcPr>
            <w:tcW w:w="1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业务发展部经理</w:t>
            </w:r>
          </w:p>
        </w:tc>
        <w:tc>
          <w:tcPr>
            <w:tcW w:w="917"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17776119667</w:t>
            </w:r>
          </w:p>
        </w:tc>
        <w:tc>
          <w:tcPr>
            <w:tcW w:w="390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贺州市富川瑶族自治县富阳镇凤凰路121号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5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w:t>
            </w:r>
          </w:p>
        </w:tc>
        <w:tc>
          <w:tcPr>
            <w:tcW w:w="234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广西北部湾银行昭平支行</w:t>
            </w:r>
          </w:p>
        </w:tc>
        <w:tc>
          <w:tcPr>
            <w:tcW w:w="68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邱俊豪</w:t>
            </w:r>
          </w:p>
        </w:tc>
        <w:tc>
          <w:tcPr>
            <w:tcW w:w="1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综合客户经理</w:t>
            </w:r>
          </w:p>
        </w:tc>
        <w:tc>
          <w:tcPr>
            <w:tcW w:w="917"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18107842696</w:t>
            </w:r>
          </w:p>
        </w:tc>
        <w:tc>
          <w:tcPr>
            <w:tcW w:w="390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贺州市昭平县昭平镇河西东路（江湾一号）101-103铺面</w:t>
            </w:r>
          </w:p>
        </w:tc>
      </w:tr>
    </w:tbl>
    <w:p>
      <w:pPr>
        <w:rPr>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jc w:val="both"/>
        <w:textAlignment w:val="auto"/>
        <w:outlineLvl w:val="9"/>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8"/>
          <w:szCs w:val="28"/>
          <w:highlight w:val="none"/>
          <w:lang w:val="en-US" w:eastAsia="zh-CN"/>
        </w:rPr>
        <w:t>3.广西贺州桂东农村合作银行</w:t>
      </w:r>
    </w:p>
    <w:tbl>
      <w:tblPr>
        <w:tblStyle w:val="45"/>
        <w:tblpPr w:leftFromText="180" w:rightFromText="180" w:vertAnchor="text" w:horzAnchor="page" w:tblpX="1362" w:tblpY="142"/>
        <w:tblOverlap w:val="never"/>
        <w:tblW w:w="9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348"/>
        <w:gridCol w:w="994"/>
        <w:gridCol w:w="1585"/>
        <w:gridCol w:w="1565"/>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9421" w:type="dxa"/>
            <w:gridSpan w:val="6"/>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广西贺州桂东农村合作银行 总协调人：卢士强  职务：授信审批部总经理  手机号码：18077409115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2348"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金融机构</w:t>
            </w:r>
          </w:p>
        </w:tc>
        <w:tc>
          <w:tcPr>
            <w:tcW w:w="994"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联系人</w:t>
            </w:r>
          </w:p>
        </w:tc>
        <w:tc>
          <w:tcPr>
            <w:tcW w:w="158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职务</w:t>
            </w:r>
          </w:p>
        </w:tc>
        <w:tc>
          <w:tcPr>
            <w:tcW w:w="156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手机号码</w:t>
            </w:r>
          </w:p>
        </w:tc>
        <w:tc>
          <w:tcPr>
            <w:tcW w:w="2574"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5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2348"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广西贺州桂东农村合作银行</w:t>
            </w:r>
          </w:p>
        </w:tc>
        <w:tc>
          <w:tcPr>
            <w:tcW w:w="994"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黄  腾</w:t>
            </w:r>
          </w:p>
        </w:tc>
        <w:tc>
          <w:tcPr>
            <w:tcW w:w="158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授信审批部审查员</w:t>
            </w:r>
          </w:p>
        </w:tc>
        <w:tc>
          <w:tcPr>
            <w:tcW w:w="156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15078333887</w:t>
            </w:r>
          </w:p>
        </w:tc>
        <w:tc>
          <w:tcPr>
            <w:tcW w:w="2574"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贺州市八步区建设东路6号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5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2348"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广西贺州桂东农村合作银行营业部</w:t>
            </w:r>
          </w:p>
        </w:tc>
        <w:tc>
          <w:tcPr>
            <w:tcW w:w="99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  瑜</w:t>
            </w:r>
          </w:p>
        </w:tc>
        <w:tc>
          <w:tcPr>
            <w:tcW w:w="158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营业部副总经理</w:t>
            </w:r>
          </w:p>
        </w:tc>
        <w:tc>
          <w:tcPr>
            <w:tcW w:w="156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18007843000</w:t>
            </w:r>
          </w:p>
        </w:tc>
        <w:tc>
          <w:tcPr>
            <w:tcW w:w="2574"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贺州市八步区建设东路6号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5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2348"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广西贺州桂东农村合作银行八步支行</w:t>
            </w:r>
          </w:p>
        </w:tc>
        <w:tc>
          <w:tcPr>
            <w:tcW w:w="99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谢地恩</w:t>
            </w:r>
          </w:p>
        </w:tc>
        <w:tc>
          <w:tcPr>
            <w:tcW w:w="158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信贷副行长</w:t>
            </w:r>
          </w:p>
        </w:tc>
        <w:tc>
          <w:tcPr>
            <w:tcW w:w="156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18007840168</w:t>
            </w:r>
          </w:p>
        </w:tc>
        <w:tc>
          <w:tcPr>
            <w:tcW w:w="2574"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贺州市八步区八达西路652-1号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5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2348"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广西贺州桂东农村合作银行平桂支行</w:t>
            </w:r>
          </w:p>
        </w:tc>
        <w:tc>
          <w:tcPr>
            <w:tcW w:w="994"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古  睿</w:t>
            </w:r>
          </w:p>
        </w:tc>
        <w:tc>
          <w:tcPr>
            <w:tcW w:w="158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信贷副行长</w:t>
            </w:r>
          </w:p>
        </w:tc>
        <w:tc>
          <w:tcPr>
            <w:tcW w:w="156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18007840375</w:t>
            </w:r>
          </w:p>
        </w:tc>
        <w:tc>
          <w:tcPr>
            <w:tcW w:w="2574"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贺州市平桂区平桂大道财政局一楼</w:t>
            </w:r>
          </w:p>
        </w:tc>
      </w:tr>
    </w:tbl>
    <w:p>
      <w:pPr>
        <w:pStyle w:val="24"/>
        <w:tabs>
          <w:tab w:val="left" w:pos="0"/>
          <w:tab w:val="right" w:leader="dot" w:pos="9435"/>
        </w:tabs>
        <w:rPr>
          <w:color w:val="auto"/>
          <w:highlight w:val="none"/>
        </w:rPr>
      </w:pPr>
    </w:p>
    <w:p>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sectPr>
          <w:footerReference r:id="rId9" w:type="first"/>
          <w:footerReference r:id="rId7" w:type="default"/>
          <w:footerReference r:id="rId8" w:type="even"/>
          <w:pgSz w:w="11906" w:h="16838"/>
          <w:pgMar w:top="1134" w:right="1134" w:bottom="1077" w:left="1247" w:header="851" w:footer="992" w:gutter="0"/>
          <w:pgNumType w:fmt="decimal" w:start="1"/>
          <w:cols w:space="720" w:num="1"/>
          <w:titlePg/>
          <w:docGrid w:type="lines" w:linePitch="312" w:charSpace="0"/>
        </w:sectPr>
      </w:pPr>
    </w:p>
    <w:tbl>
      <w:tblPr>
        <w:tblStyle w:val="44"/>
        <w:tblW w:w="8219" w:type="dxa"/>
        <w:jc w:val="center"/>
        <w:tblInd w:w="0" w:type="dxa"/>
        <w:tblLayout w:type="fixed"/>
        <w:tblCellMar>
          <w:top w:w="0" w:type="dxa"/>
          <w:left w:w="0" w:type="dxa"/>
          <w:bottom w:w="0" w:type="dxa"/>
          <w:right w:w="0" w:type="dxa"/>
        </w:tblCellMar>
      </w:tblPr>
      <w:tblGrid>
        <w:gridCol w:w="1585"/>
        <w:gridCol w:w="2355"/>
        <w:gridCol w:w="101"/>
        <w:gridCol w:w="2120"/>
        <w:gridCol w:w="2058"/>
      </w:tblGrid>
      <w:tr>
        <w:tblPrEx>
          <w:tblLayout w:type="fixed"/>
          <w:tblCellMar>
            <w:top w:w="0" w:type="dxa"/>
            <w:left w:w="0" w:type="dxa"/>
            <w:bottom w:w="0" w:type="dxa"/>
            <w:right w:w="0" w:type="dxa"/>
          </w:tblCellMar>
        </w:tblPrEx>
        <w:trPr>
          <w:trHeight w:val="380" w:hRule="atLeast"/>
          <w:jc w:val="center"/>
        </w:trPr>
        <w:tc>
          <w:tcPr>
            <w:tcW w:w="1585"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355"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cs="宋体"/>
                <w:color w:val="auto"/>
                <w:kern w:val="0"/>
                <w:szCs w:val="21"/>
                <w:highlight w:val="none"/>
              </w:rPr>
            </w:pPr>
          </w:p>
        </w:tc>
        <w:tc>
          <w:tcPr>
            <w:tcW w:w="2221"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05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cs="宋体"/>
                <w:color w:val="auto"/>
                <w:kern w:val="0"/>
                <w:szCs w:val="21"/>
                <w:highlight w:val="none"/>
              </w:rPr>
            </w:pPr>
          </w:p>
        </w:tc>
      </w:tr>
      <w:tr>
        <w:tblPrEx>
          <w:tblLayout w:type="fixed"/>
          <w:tblCellMar>
            <w:top w:w="0" w:type="dxa"/>
            <w:left w:w="0" w:type="dxa"/>
            <w:bottom w:w="0" w:type="dxa"/>
            <w:right w:w="0" w:type="dxa"/>
          </w:tblCellMar>
        </w:tblPrEx>
        <w:trPr>
          <w:trHeight w:val="1455" w:hRule="atLeast"/>
          <w:jc w:val="center"/>
        </w:trPr>
        <w:tc>
          <w:tcPr>
            <w:tcW w:w="15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6634"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应按采购合同、竞争性磋商文件、磋商响应文件及验收方案等进行验收；并核对成交供应商在安装调试等方面是否违反合同约定或服务规范要求、提供的质量保证证明材料是否齐全、应有的配件及附件是否达到合同约定等。可附件)</w:t>
            </w:r>
          </w:p>
        </w:tc>
      </w:tr>
      <w:tr>
        <w:tblPrEx>
          <w:tblLayout w:type="fixed"/>
          <w:tblCellMar>
            <w:top w:w="0" w:type="dxa"/>
            <w:left w:w="0" w:type="dxa"/>
            <w:bottom w:w="0" w:type="dxa"/>
            <w:right w:w="0" w:type="dxa"/>
          </w:tblCellMar>
        </w:tblPrEx>
        <w:trPr>
          <w:trHeight w:val="568" w:hRule="atLeast"/>
          <w:jc w:val="center"/>
        </w:trPr>
        <w:tc>
          <w:tcPr>
            <w:tcW w:w="158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6634"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tblPrEx>
          <w:tblLayout w:type="fixed"/>
          <w:tblCellMar>
            <w:top w:w="0" w:type="dxa"/>
            <w:left w:w="0" w:type="dxa"/>
            <w:bottom w:w="0" w:type="dxa"/>
            <w:right w:w="0" w:type="dxa"/>
          </w:tblCellMar>
        </w:tblPrEx>
        <w:trPr>
          <w:trHeight w:val="1052" w:hRule="atLeast"/>
          <w:jc w:val="center"/>
        </w:trPr>
        <w:tc>
          <w:tcPr>
            <w:tcW w:w="1585"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color w:val="auto"/>
                <w:kern w:val="0"/>
                <w:szCs w:val="21"/>
                <w:highlight w:val="none"/>
              </w:rPr>
            </w:pPr>
          </w:p>
        </w:tc>
        <w:tc>
          <w:tcPr>
            <w:tcW w:w="6634"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pPr>
              <w:widowControl/>
              <w:spacing w:before="100" w:beforeAutospacing="1" w:after="100" w:afterAutospacing="1" w:line="320" w:lineRule="atLeas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签字：</w:t>
            </w:r>
          </w:p>
        </w:tc>
      </w:tr>
      <w:tr>
        <w:tblPrEx>
          <w:tblLayout w:type="fixed"/>
          <w:tblCellMar>
            <w:top w:w="0" w:type="dxa"/>
            <w:left w:w="0" w:type="dxa"/>
            <w:bottom w:w="0" w:type="dxa"/>
            <w:right w:w="0" w:type="dxa"/>
          </w:tblCellMar>
        </w:tblPrEx>
        <w:trPr>
          <w:trHeight w:val="380" w:hRule="atLeast"/>
          <w:jc w:val="center"/>
        </w:trPr>
        <w:tc>
          <w:tcPr>
            <w:tcW w:w="8219"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tblPrEx>
          <w:tblLayout w:type="fixed"/>
          <w:tblCellMar>
            <w:top w:w="0" w:type="dxa"/>
            <w:left w:w="0" w:type="dxa"/>
            <w:bottom w:w="0" w:type="dxa"/>
            <w:right w:w="0" w:type="dxa"/>
          </w:tblCellMar>
        </w:tblPrEx>
        <w:trPr>
          <w:trHeight w:val="1034" w:hRule="atLeast"/>
          <w:jc w:val="center"/>
        </w:trPr>
        <w:tc>
          <w:tcPr>
            <w:tcW w:w="8219" w:type="dxa"/>
            <w:gridSpan w:val="5"/>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pPr>
              <w:widowControl/>
              <w:spacing w:before="100" w:beforeAutospacing="1" w:after="100" w:afterAutospacing="1"/>
              <w:ind w:firstLine="74"/>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tblPrEx>
          <w:tblLayout w:type="fixed"/>
          <w:tblCellMar>
            <w:top w:w="0" w:type="dxa"/>
            <w:left w:w="0" w:type="dxa"/>
            <w:bottom w:w="0" w:type="dxa"/>
            <w:right w:w="0" w:type="dxa"/>
          </w:tblCellMar>
        </w:tblPrEx>
        <w:trPr>
          <w:trHeight w:val="1724" w:hRule="atLeast"/>
          <w:jc w:val="center"/>
        </w:trPr>
        <w:tc>
          <w:tcPr>
            <w:tcW w:w="404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成交供应商负责人签字或盖章：</w:t>
            </w:r>
          </w:p>
          <w:p>
            <w:pPr>
              <w:widowControl/>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178"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采购人或受托机构的意见（盖章）：</w:t>
            </w:r>
          </w:p>
          <w:p>
            <w:pPr>
              <w:widowControl/>
              <w:spacing w:before="100" w:beforeAutospacing="1" w:after="100" w:afterAutospacing="1" w:line="320" w:lineRule="atLeast"/>
              <w:ind w:firstLine="210" w:firstLineChars="100"/>
              <w:jc w:val="left"/>
              <w:rPr>
                <w:rFonts w:hint="eastAsia" w:ascii="宋体" w:hAnsi="宋体" w:cs="宋体"/>
                <w:color w:val="auto"/>
                <w:kern w:val="0"/>
                <w:szCs w:val="21"/>
                <w:highlight w:val="none"/>
              </w:rPr>
            </w:pPr>
          </w:p>
          <w:p>
            <w:pPr>
              <w:widowControl/>
              <w:spacing w:before="100" w:beforeAutospacing="1" w:after="100" w:afterAutospacing="1" w:line="320" w:lineRule="atLeas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pPr>
        <w:pStyle w:val="9"/>
        <w:rPr>
          <w:rFonts w:hint="eastAsia" w:ascii="宋体" w:hAnsi="宋体" w:cs="宋体"/>
          <w:b/>
          <w:color w:val="auto"/>
          <w:sz w:val="32"/>
          <w:szCs w:val="32"/>
          <w:highlight w:val="none"/>
        </w:rPr>
      </w:pPr>
    </w:p>
    <w:p>
      <w:pPr>
        <w:pStyle w:val="26"/>
        <w:rPr>
          <w:rFonts w:hint="eastAsia" w:ascii="宋体" w:hAnsi="宋体" w:cs="宋体"/>
          <w:b/>
          <w:color w:val="auto"/>
          <w:sz w:val="32"/>
          <w:szCs w:val="32"/>
          <w:highlight w:val="none"/>
        </w:rPr>
      </w:pPr>
    </w:p>
    <w:p>
      <w:pPr>
        <w:pStyle w:val="22"/>
        <w:numPr>
          <w:ilvl w:val="0"/>
          <w:numId w:val="0"/>
        </w:numPr>
        <w:ind w:leftChars="400"/>
        <w:rPr>
          <w:rFonts w:hint="eastAsia" w:ascii="宋体" w:hAnsi="宋体" w:cs="宋体"/>
          <w:bCs/>
          <w:color w:val="auto"/>
          <w:highlight w:val="none"/>
        </w:rPr>
      </w:pPr>
    </w:p>
    <w:p>
      <w:pPr>
        <w:pStyle w:val="22"/>
        <w:ind w:firstLine="428"/>
        <w:rPr>
          <w:rFonts w:hint="eastAsia" w:ascii="宋体" w:hAnsi="宋体" w:cs="宋体"/>
          <w:b/>
          <w:bCs/>
          <w:color w:val="auto"/>
          <w:sz w:val="28"/>
          <w:szCs w:val="28"/>
          <w:highlight w:val="none"/>
        </w:rPr>
      </w:pPr>
    </w:p>
    <w:p>
      <w:pPr>
        <w:rPr>
          <w:rFonts w:ascii="宋体" w:hAnsi="宋体" w:cs="宋体"/>
          <w:color w:val="auto"/>
          <w:sz w:val="24"/>
          <w:szCs w:val="24"/>
          <w:highlight w:val="none"/>
        </w:rPr>
      </w:pPr>
    </w:p>
    <w:sectPr>
      <w:footerReference r:id="rId11" w:type="firs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 w:name="PingFang S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39"/>
        <w:tab w:val="clear" w:pos="4153"/>
      </w:tabs>
      <w:jc w:val="both"/>
    </w:pP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5"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QVPmtAAAAAD&#10;AQAADwAAAAAAAAABACAAAAAiAAAAZHJzL2Rvd25yZXYueG1sUEsBAhQAFAAAAAgAh07iQMt7CGWy&#10;AQAASQMAAA4AAAAAAAAAAQAgAAAAHwEAAGRycy9lMm9Eb2MueG1sUEsFBgAAAAAGAAYAWQEAAEMF&#10;A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7950"/>
        <w:tab w:val="clear" w:pos="4153"/>
        <w:tab w:val="clear" w:pos="8306"/>
      </w:tabs>
      <w:ind w:right="450"/>
      <w:jc w:val="right"/>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1"/>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MSVG3AQAAVQMAAA4AAABkcnMvZTJvRG9jLnhtbK1TzY7TMBC+&#10;I/EOlu802WoX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uMxJUbcBAABVAwAADgAAAAAAAAABACAAAAAiAQAAZHJzL2Uyb0RvYy54bWxQSwUGAAAAAAYA&#10;BgBZAQAASwUAAAAA&#10;">
              <v:fill on="f" focussize="0,0"/>
              <v:stroke on="f" weight="1.25pt"/>
              <v:imagedata o:title=""/>
              <o:lock v:ext="edit" aspectratio="f"/>
              <v:textbox inset="0mm,0mm,0mm,0mm" style="mso-fit-shape-to-text:t;">
                <w:txbxContent>
                  <w:p>
                    <w:pPr>
                      <w:pStyle w:val="2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1"/>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2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fill on="f" focussize="0,0"/>
              <v:stroke on="f" weight="1.2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1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21"/>
                          </w:pPr>
                          <w:r>
                            <w:fldChar w:fldCharType="begin"/>
                          </w:r>
                          <w:r>
                            <w:instrText xml:space="preserve"> PAGE  \* MERGEFORMAT </w:instrText>
                          </w:r>
                          <w:r>
                            <w:fldChar w:fldCharType="separate"/>
                          </w:r>
                          <w:r>
                            <w:t>28</w:t>
                          </w:r>
                          <w: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rvABY0QAAAAIBAAAPAAAAAAAAAAEAIAAAACIAAABkcnMvZG93bnJldi54bWxQSwECFAAUAAAA&#10;CACHTuJA8xBwpbwBAABSAwAADgAAAAAAAAABACAAAAAgAQAAZHJzL2Uyb0RvYy54bWxQSwUGAAAA&#10;AAYABgBZAQAATg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HlgxlG4AQAAVQMAAA4AAAAAAAAAAQAgAAAAHwEAAGRycy9lMm9Eb2MueG1sUEsFBgAAAAAGAAYA&#10;WQEAAEk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jc w:val="both"/>
      <w:rPr>
        <w:rFonts w:hint="eastAsia" w:eastAsia="宋体"/>
        <w:color w:val="auto"/>
        <w:sz w:val="21"/>
        <w:szCs w:val="21"/>
        <w:lang w:eastAsia="zh-CN"/>
      </w:rPr>
    </w:pPr>
    <w:r>
      <w:rPr>
        <w:rFonts w:hint="eastAsia" w:ascii="宋体" w:hAnsi="宋体" w:cs="宋体"/>
        <w:color w:val="000000"/>
        <w:sz w:val="21"/>
        <w:szCs w:val="21"/>
      </w:rPr>
      <w:t>项目名称：</w:t>
    </w:r>
    <w:r>
      <w:rPr>
        <w:rFonts w:hint="eastAsia" w:ascii="宋体" w:hAnsi="宋体" w:cs="宋体"/>
        <w:color w:val="000000"/>
        <w:sz w:val="21"/>
        <w:szCs w:val="21"/>
        <w:lang w:eastAsia="zh-CN"/>
      </w:rPr>
      <w:t>《富川瑶族自治县民族医医院中医瑶医诊疗业务用房及附属设施项目瑶医专科专病诊疗中心》施工勘察和基坑设计服务</w:t>
    </w:r>
    <w:r>
      <w:rPr>
        <w:rFonts w:hint="eastAsia" w:ascii="宋体" w:hAnsi="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项目编号</w:t>
    </w:r>
    <w:r>
      <w:rPr>
        <w:rFonts w:hint="eastAsia" w:ascii="宋体" w:hAnsi="宋体" w:cs="宋体"/>
        <w:color w:val="auto"/>
        <w:sz w:val="21"/>
        <w:szCs w:val="21"/>
      </w:rPr>
      <w:t>：</w:t>
    </w:r>
    <w:r>
      <w:rPr>
        <w:rFonts w:hint="eastAsia" w:ascii="宋体" w:hAnsi="宋体" w:cs="宋体"/>
        <w:color w:val="auto"/>
        <w:sz w:val="21"/>
        <w:szCs w:val="21"/>
        <w:lang w:eastAsia="zh-CN"/>
      </w:rPr>
      <w:t>HZZC2025-C3-230050-GXZH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jc w:val="left"/>
      <w:rPr>
        <w:rFonts w:hint="eastAsia" w:eastAsia="宋体"/>
        <w:color w:val="auto"/>
        <w:lang w:eastAsia="zh-CN"/>
      </w:rPr>
    </w:pPr>
    <w:r>
      <w:rPr>
        <w:rFonts w:hint="eastAsia" w:ascii="宋体" w:hAnsi="宋体" w:cs="宋体"/>
        <w:color w:val="000000"/>
        <w:sz w:val="21"/>
        <w:szCs w:val="21"/>
      </w:rPr>
      <w:t>项目名称：</w:t>
    </w:r>
    <w:r>
      <w:rPr>
        <w:rFonts w:hint="eastAsia" w:ascii="宋体" w:hAnsi="宋体" w:cs="宋体"/>
        <w:color w:val="000000"/>
        <w:sz w:val="21"/>
        <w:szCs w:val="21"/>
        <w:lang w:eastAsia="zh-CN"/>
      </w:rPr>
      <w:t>《富川瑶族自治县民族医医院中医瑶医诊疗业务用房及附属设施项目瑶医专科专病诊疗中心》施工勘察和基坑设计服务</w:t>
    </w:r>
    <w:r>
      <w:rPr>
        <w:rFonts w:hint="eastAsia" w:ascii="宋体" w:hAnsi="宋体" w:cs="宋体"/>
        <w:color w:val="000000"/>
        <w:sz w:val="21"/>
        <w:szCs w:val="21"/>
      </w:rPr>
      <w:t xml:space="preserve"> 项目编号：</w:t>
    </w:r>
    <w:r>
      <w:rPr>
        <w:rFonts w:hint="eastAsia" w:ascii="宋体" w:hAnsi="宋体" w:cs="宋体"/>
        <w:color w:val="auto"/>
        <w:sz w:val="21"/>
        <w:szCs w:val="21"/>
        <w:lang w:eastAsia="zh-CN"/>
      </w:rPr>
      <w:t>HZZC2025-C3-230050-GXZH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DCD233"/>
    <w:multiLevelType w:val="singleLevel"/>
    <w:tmpl w:val="B5DCD233"/>
    <w:lvl w:ilvl="0" w:tentative="0">
      <w:start w:val="8"/>
      <w:numFmt w:val="decimal"/>
      <w:lvlText w:val="%1."/>
      <w:lvlJc w:val="left"/>
      <w:pPr>
        <w:tabs>
          <w:tab w:val="left" w:pos="312"/>
        </w:tabs>
      </w:pPr>
    </w:lvl>
  </w:abstractNum>
  <w:abstractNum w:abstractNumId="1">
    <w:nsid w:val="DB368B00"/>
    <w:multiLevelType w:val="singleLevel"/>
    <w:tmpl w:val="DB368B00"/>
    <w:lvl w:ilvl="0" w:tentative="0">
      <w:start w:val="1"/>
      <w:numFmt w:val="chineseCounting"/>
      <w:suff w:val="space"/>
      <w:lvlText w:val="第%1章"/>
      <w:lvlJc w:val="left"/>
      <w:rPr>
        <w:rFonts w:hint="eastAsia" w:cs="Times New Roman"/>
      </w:rPr>
    </w:lvl>
  </w:abstractNum>
  <w:abstractNum w:abstractNumId="2">
    <w:nsid w:val="E6BD4DDE"/>
    <w:multiLevelType w:val="singleLevel"/>
    <w:tmpl w:val="E6BD4DDE"/>
    <w:lvl w:ilvl="0" w:tentative="0">
      <w:start w:val="1"/>
      <w:numFmt w:val="decimal"/>
      <w:suff w:val="nothing"/>
      <w:lvlText w:val="%1、"/>
      <w:lvlJc w:val="left"/>
    </w:lvl>
  </w:abstractNum>
  <w:abstractNum w:abstractNumId="3">
    <w:nsid w:val="EB8CEB78"/>
    <w:multiLevelType w:val="singleLevel"/>
    <w:tmpl w:val="EB8CEB78"/>
    <w:lvl w:ilvl="0" w:tentative="0">
      <w:start w:val="3"/>
      <w:numFmt w:val="chineseCounting"/>
      <w:suff w:val="space"/>
      <w:lvlText w:val="第%1章"/>
      <w:lvlJc w:val="left"/>
      <w:rPr>
        <w:rFonts w:hint="eastAsia" w:cs="Times New Roman"/>
      </w:rPr>
    </w:lvl>
  </w:abstractNum>
  <w:abstractNum w:abstractNumId="4">
    <w:nsid w:val="3BC73028"/>
    <w:multiLevelType w:val="singleLevel"/>
    <w:tmpl w:val="3BC73028"/>
    <w:lvl w:ilvl="0" w:tentative="0">
      <w:start w:val="1"/>
      <w:numFmt w:val="decimal"/>
      <w:pStyle w:val="11"/>
      <w:lvlText w:val="%1."/>
      <w:lvlJc w:val="left"/>
      <w:pPr>
        <w:tabs>
          <w:tab w:val="left" w:pos="360"/>
        </w:tabs>
        <w:ind w:left="360" w:hanging="360"/>
      </w:pPr>
      <w:rPr>
        <w:rFonts w:cs="Times New Roman"/>
      </w:rPr>
    </w:lvl>
  </w:abstractNum>
  <w:abstractNum w:abstractNumId="5">
    <w:nsid w:val="45A6CCB5"/>
    <w:multiLevelType w:val="singleLevel"/>
    <w:tmpl w:val="45A6CCB5"/>
    <w:lvl w:ilvl="0" w:tentative="0">
      <w:start w:val="2"/>
      <w:numFmt w:val="chineseCounting"/>
      <w:suff w:val="space"/>
      <w:lvlText w:val="（%1）"/>
      <w:lvlJc w:val="left"/>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zYzU0NGYyN2VlYjAyYjIwZWZlMzU4MzU0YzIwNmUifQ=="/>
  </w:docVars>
  <w:rsids>
    <w:rsidRoot w:val="2A3E728F"/>
    <w:rsid w:val="000009A6"/>
    <w:rsid w:val="00016083"/>
    <w:rsid w:val="00032510"/>
    <w:rsid w:val="00082E53"/>
    <w:rsid w:val="00096E2F"/>
    <w:rsid w:val="000A72C0"/>
    <w:rsid w:val="000C3FE4"/>
    <w:rsid w:val="00100813"/>
    <w:rsid w:val="001176B3"/>
    <w:rsid w:val="00140789"/>
    <w:rsid w:val="00171696"/>
    <w:rsid w:val="001C1006"/>
    <w:rsid w:val="00210F50"/>
    <w:rsid w:val="00231AF2"/>
    <w:rsid w:val="002573C9"/>
    <w:rsid w:val="00270987"/>
    <w:rsid w:val="002916FA"/>
    <w:rsid w:val="002B3DF2"/>
    <w:rsid w:val="002C0D6B"/>
    <w:rsid w:val="002D2BF6"/>
    <w:rsid w:val="002E2B80"/>
    <w:rsid w:val="002F2FA8"/>
    <w:rsid w:val="00314829"/>
    <w:rsid w:val="00330FA3"/>
    <w:rsid w:val="00340D7B"/>
    <w:rsid w:val="003463E6"/>
    <w:rsid w:val="00374783"/>
    <w:rsid w:val="003A5FE1"/>
    <w:rsid w:val="003B1F1B"/>
    <w:rsid w:val="003B20A2"/>
    <w:rsid w:val="003F53CB"/>
    <w:rsid w:val="00455DE4"/>
    <w:rsid w:val="00470842"/>
    <w:rsid w:val="00475D80"/>
    <w:rsid w:val="00481418"/>
    <w:rsid w:val="00483B7F"/>
    <w:rsid w:val="004A1721"/>
    <w:rsid w:val="004A655D"/>
    <w:rsid w:val="004B5445"/>
    <w:rsid w:val="004D6B12"/>
    <w:rsid w:val="004D7A09"/>
    <w:rsid w:val="004E64DF"/>
    <w:rsid w:val="00502685"/>
    <w:rsid w:val="00525546"/>
    <w:rsid w:val="00526617"/>
    <w:rsid w:val="005305CC"/>
    <w:rsid w:val="005552B0"/>
    <w:rsid w:val="005638EB"/>
    <w:rsid w:val="00563DA7"/>
    <w:rsid w:val="00582092"/>
    <w:rsid w:val="005978E8"/>
    <w:rsid w:val="005B0F5A"/>
    <w:rsid w:val="005B3593"/>
    <w:rsid w:val="005B5F6C"/>
    <w:rsid w:val="005C611E"/>
    <w:rsid w:val="005C6AF4"/>
    <w:rsid w:val="006048E6"/>
    <w:rsid w:val="0063374F"/>
    <w:rsid w:val="00650DB9"/>
    <w:rsid w:val="006611CA"/>
    <w:rsid w:val="00685DA1"/>
    <w:rsid w:val="00696DCE"/>
    <w:rsid w:val="006B05B7"/>
    <w:rsid w:val="006F40C5"/>
    <w:rsid w:val="00732C52"/>
    <w:rsid w:val="007570BA"/>
    <w:rsid w:val="007830F4"/>
    <w:rsid w:val="007B7432"/>
    <w:rsid w:val="007F5587"/>
    <w:rsid w:val="00875823"/>
    <w:rsid w:val="008B0781"/>
    <w:rsid w:val="008E720C"/>
    <w:rsid w:val="008F36C2"/>
    <w:rsid w:val="009033CD"/>
    <w:rsid w:val="009034B0"/>
    <w:rsid w:val="009320D1"/>
    <w:rsid w:val="0093314A"/>
    <w:rsid w:val="00933867"/>
    <w:rsid w:val="00957ACE"/>
    <w:rsid w:val="00960B79"/>
    <w:rsid w:val="0098004F"/>
    <w:rsid w:val="009964FB"/>
    <w:rsid w:val="009B1A9A"/>
    <w:rsid w:val="009C4157"/>
    <w:rsid w:val="009E0D97"/>
    <w:rsid w:val="009F75F4"/>
    <w:rsid w:val="00A13F3A"/>
    <w:rsid w:val="00A17970"/>
    <w:rsid w:val="00A441C9"/>
    <w:rsid w:val="00A54E91"/>
    <w:rsid w:val="00A56771"/>
    <w:rsid w:val="00A650EE"/>
    <w:rsid w:val="00A71890"/>
    <w:rsid w:val="00AA3B08"/>
    <w:rsid w:val="00AD3661"/>
    <w:rsid w:val="00AD6902"/>
    <w:rsid w:val="00AE69E9"/>
    <w:rsid w:val="00AF306F"/>
    <w:rsid w:val="00B3162B"/>
    <w:rsid w:val="00B51971"/>
    <w:rsid w:val="00BA3748"/>
    <w:rsid w:val="00BA7E81"/>
    <w:rsid w:val="00BD0AD5"/>
    <w:rsid w:val="00BD75F1"/>
    <w:rsid w:val="00BE63DE"/>
    <w:rsid w:val="00C01F69"/>
    <w:rsid w:val="00C4214D"/>
    <w:rsid w:val="00C82CE3"/>
    <w:rsid w:val="00CC5E77"/>
    <w:rsid w:val="00CE2172"/>
    <w:rsid w:val="00D43991"/>
    <w:rsid w:val="00D512E8"/>
    <w:rsid w:val="00D52C18"/>
    <w:rsid w:val="00D53F99"/>
    <w:rsid w:val="00D6154A"/>
    <w:rsid w:val="00DA730D"/>
    <w:rsid w:val="00DE32E4"/>
    <w:rsid w:val="00DF1A13"/>
    <w:rsid w:val="00E108B9"/>
    <w:rsid w:val="00E3431C"/>
    <w:rsid w:val="00E46136"/>
    <w:rsid w:val="00E51707"/>
    <w:rsid w:val="00E57295"/>
    <w:rsid w:val="00E9086F"/>
    <w:rsid w:val="00EB2771"/>
    <w:rsid w:val="00ED678A"/>
    <w:rsid w:val="00F07621"/>
    <w:rsid w:val="00F36CF1"/>
    <w:rsid w:val="00F4034A"/>
    <w:rsid w:val="00F5271C"/>
    <w:rsid w:val="00F8626F"/>
    <w:rsid w:val="00FB1776"/>
    <w:rsid w:val="00FC446F"/>
    <w:rsid w:val="00FD7B33"/>
    <w:rsid w:val="01172FE5"/>
    <w:rsid w:val="013A2B3D"/>
    <w:rsid w:val="018C54BE"/>
    <w:rsid w:val="018F0DCA"/>
    <w:rsid w:val="01B701A0"/>
    <w:rsid w:val="01DD2E1B"/>
    <w:rsid w:val="02BC2132"/>
    <w:rsid w:val="03100C8D"/>
    <w:rsid w:val="03226400"/>
    <w:rsid w:val="035A1212"/>
    <w:rsid w:val="03B756B8"/>
    <w:rsid w:val="03BC033A"/>
    <w:rsid w:val="0445745C"/>
    <w:rsid w:val="046B089F"/>
    <w:rsid w:val="04820FCD"/>
    <w:rsid w:val="051A6CF7"/>
    <w:rsid w:val="057C539B"/>
    <w:rsid w:val="058872D9"/>
    <w:rsid w:val="05917C10"/>
    <w:rsid w:val="05EA6938"/>
    <w:rsid w:val="065D15E0"/>
    <w:rsid w:val="06AA3674"/>
    <w:rsid w:val="06B94569"/>
    <w:rsid w:val="06C62F02"/>
    <w:rsid w:val="06DE41A1"/>
    <w:rsid w:val="071602A1"/>
    <w:rsid w:val="072D508B"/>
    <w:rsid w:val="07463A75"/>
    <w:rsid w:val="07574232"/>
    <w:rsid w:val="07F13FAE"/>
    <w:rsid w:val="089239B9"/>
    <w:rsid w:val="0897545E"/>
    <w:rsid w:val="08A655FC"/>
    <w:rsid w:val="08CC006C"/>
    <w:rsid w:val="08E04B71"/>
    <w:rsid w:val="091C4689"/>
    <w:rsid w:val="0922463B"/>
    <w:rsid w:val="096206D2"/>
    <w:rsid w:val="096B15A3"/>
    <w:rsid w:val="09D73678"/>
    <w:rsid w:val="0AB15A88"/>
    <w:rsid w:val="0ABC3F90"/>
    <w:rsid w:val="0ABD48D4"/>
    <w:rsid w:val="0AF67049"/>
    <w:rsid w:val="0B0D793E"/>
    <w:rsid w:val="0B3306AE"/>
    <w:rsid w:val="0B643F1C"/>
    <w:rsid w:val="0B821E6A"/>
    <w:rsid w:val="0BB53001"/>
    <w:rsid w:val="0C312B99"/>
    <w:rsid w:val="0C335579"/>
    <w:rsid w:val="0CB07F37"/>
    <w:rsid w:val="0D360405"/>
    <w:rsid w:val="0D7D692A"/>
    <w:rsid w:val="0DC705C1"/>
    <w:rsid w:val="0DCF706C"/>
    <w:rsid w:val="0DE75691"/>
    <w:rsid w:val="0E120D65"/>
    <w:rsid w:val="0E241C08"/>
    <w:rsid w:val="0E2C2973"/>
    <w:rsid w:val="0E541D54"/>
    <w:rsid w:val="0E724781"/>
    <w:rsid w:val="0E8D35AB"/>
    <w:rsid w:val="0E8D504E"/>
    <w:rsid w:val="0EEE3633"/>
    <w:rsid w:val="0F135152"/>
    <w:rsid w:val="0F390DFE"/>
    <w:rsid w:val="0FEE5277"/>
    <w:rsid w:val="1018612E"/>
    <w:rsid w:val="107F2524"/>
    <w:rsid w:val="10C60151"/>
    <w:rsid w:val="10FF2FE6"/>
    <w:rsid w:val="112F2150"/>
    <w:rsid w:val="117D3A12"/>
    <w:rsid w:val="11B3212E"/>
    <w:rsid w:val="11BC7019"/>
    <w:rsid w:val="11CC3396"/>
    <w:rsid w:val="121B198F"/>
    <w:rsid w:val="128929E2"/>
    <w:rsid w:val="12A06CBB"/>
    <w:rsid w:val="12B64912"/>
    <w:rsid w:val="12C549B5"/>
    <w:rsid w:val="12D55258"/>
    <w:rsid w:val="13590611"/>
    <w:rsid w:val="13737F6D"/>
    <w:rsid w:val="13961EAE"/>
    <w:rsid w:val="13D346F0"/>
    <w:rsid w:val="147121BA"/>
    <w:rsid w:val="149A0DC5"/>
    <w:rsid w:val="14D0097E"/>
    <w:rsid w:val="14D448E0"/>
    <w:rsid w:val="14E3154C"/>
    <w:rsid w:val="1584296E"/>
    <w:rsid w:val="15D43E1B"/>
    <w:rsid w:val="15F7586B"/>
    <w:rsid w:val="16193CEE"/>
    <w:rsid w:val="16280EA3"/>
    <w:rsid w:val="16BE5D16"/>
    <w:rsid w:val="179D4009"/>
    <w:rsid w:val="17DD03B6"/>
    <w:rsid w:val="182E34E6"/>
    <w:rsid w:val="18434062"/>
    <w:rsid w:val="18C22AF3"/>
    <w:rsid w:val="18ED753E"/>
    <w:rsid w:val="19827DE5"/>
    <w:rsid w:val="19A75A6E"/>
    <w:rsid w:val="1A0271AA"/>
    <w:rsid w:val="1A152B7F"/>
    <w:rsid w:val="1A346552"/>
    <w:rsid w:val="1A5A3651"/>
    <w:rsid w:val="1A884678"/>
    <w:rsid w:val="1ABC3982"/>
    <w:rsid w:val="1ACD08AB"/>
    <w:rsid w:val="1ACE3676"/>
    <w:rsid w:val="1B36519E"/>
    <w:rsid w:val="1B416BA3"/>
    <w:rsid w:val="1B823D35"/>
    <w:rsid w:val="1BBE11EB"/>
    <w:rsid w:val="1C347BBB"/>
    <w:rsid w:val="1C796E76"/>
    <w:rsid w:val="1C87236E"/>
    <w:rsid w:val="1D8C279F"/>
    <w:rsid w:val="1E1D3C7D"/>
    <w:rsid w:val="1E3E6E91"/>
    <w:rsid w:val="1E883E01"/>
    <w:rsid w:val="1E933BB9"/>
    <w:rsid w:val="1EE73D7C"/>
    <w:rsid w:val="1F1C3A6C"/>
    <w:rsid w:val="1F973316"/>
    <w:rsid w:val="1F9A2938"/>
    <w:rsid w:val="210E39CB"/>
    <w:rsid w:val="21757B73"/>
    <w:rsid w:val="217D46AD"/>
    <w:rsid w:val="218C5912"/>
    <w:rsid w:val="221842D9"/>
    <w:rsid w:val="221A4AD7"/>
    <w:rsid w:val="223659D3"/>
    <w:rsid w:val="223C3267"/>
    <w:rsid w:val="2261711B"/>
    <w:rsid w:val="238F4AA9"/>
    <w:rsid w:val="23A447C5"/>
    <w:rsid w:val="23A91E97"/>
    <w:rsid w:val="242500FD"/>
    <w:rsid w:val="24305A60"/>
    <w:rsid w:val="24B93E00"/>
    <w:rsid w:val="25165F9F"/>
    <w:rsid w:val="25AD37B3"/>
    <w:rsid w:val="25F9409C"/>
    <w:rsid w:val="26170C2C"/>
    <w:rsid w:val="262C006A"/>
    <w:rsid w:val="27027B2E"/>
    <w:rsid w:val="27363334"/>
    <w:rsid w:val="2742320C"/>
    <w:rsid w:val="27495569"/>
    <w:rsid w:val="278F28E8"/>
    <w:rsid w:val="27932534"/>
    <w:rsid w:val="27C27B90"/>
    <w:rsid w:val="27CF4067"/>
    <w:rsid w:val="28090684"/>
    <w:rsid w:val="285E01A3"/>
    <w:rsid w:val="28804919"/>
    <w:rsid w:val="289B2C53"/>
    <w:rsid w:val="28A0576B"/>
    <w:rsid w:val="28B554BF"/>
    <w:rsid w:val="28CB58F3"/>
    <w:rsid w:val="28EE2F0B"/>
    <w:rsid w:val="2A0B58B5"/>
    <w:rsid w:val="2A3E728F"/>
    <w:rsid w:val="2A846041"/>
    <w:rsid w:val="2AF662ED"/>
    <w:rsid w:val="2B6303A5"/>
    <w:rsid w:val="2B6A2337"/>
    <w:rsid w:val="2BA557A7"/>
    <w:rsid w:val="2BB37802"/>
    <w:rsid w:val="2BE05B1D"/>
    <w:rsid w:val="2C385DA0"/>
    <w:rsid w:val="2C4D184B"/>
    <w:rsid w:val="2C55425C"/>
    <w:rsid w:val="2C5C13E6"/>
    <w:rsid w:val="2C611C34"/>
    <w:rsid w:val="2C806045"/>
    <w:rsid w:val="2CDD60CB"/>
    <w:rsid w:val="2D3C575E"/>
    <w:rsid w:val="2D627B42"/>
    <w:rsid w:val="2D9C5EBB"/>
    <w:rsid w:val="2DB930AF"/>
    <w:rsid w:val="2E580737"/>
    <w:rsid w:val="2E8218B8"/>
    <w:rsid w:val="2EC127B6"/>
    <w:rsid w:val="2EDD2F8E"/>
    <w:rsid w:val="2F1E393C"/>
    <w:rsid w:val="30056E38"/>
    <w:rsid w:val="301B2C97"/>
    <w:rsid w:val="305E0B3A"/>
    <w:rsid w:val="307400A1"/>
    <w:rsid w:val="308E7C0C"/>
    <w:rsid w:val="3120068D"/>
    <w:rsid w:val="312F10B4"/>
    <w:rsid w:val="31475916"/>
    <w:rsid w:val="31AB23C8"/>
    <w:rsid w:val="31F77939"/>
    <w:rsid w:val="31F9136C"/>
    <w:rsid w:val="321B3F98"/>
    <w:rsid w:val="322C1969"/>
    <w:rsid w:val="32AB3437"/>
    <w:rsid w:val="32C907DA"/>
    <w:rsid w:val="3372564C"/>
    <w:rsid w:val="33AC2F08"/>
    <w:rsid w:val="33F03188"/>
    <w:rsid w:val="33F65A6A"/>
    <w:rsid w:val="34E8697C"/>
    <w:rsid w:val="34EB7E53"/>
    <w:rsid w:val="351F3A71"/>
    <w:rsid w:val="357B66C1"/>
    <w:rsid w:val="35EE124D"/>
    <w:rsid w:val="3607298A"/>
    <w:rsid w:val="36221863"/>
    <w:rsid w:val="378B63D4"/>
    <w:rsid w:val="37932249"/>
    <w:rsid w:val="37BE43CE"/>
    <w:rsid w:val="37CC449E"/>
    <w:rsid w:val="37DC6FE2"/>
    <w:rsid w:val="37FE22F1"/>
    <w:rsid w:val="380D7BC0"/>
    <w:rsid w:val="384D2A6D"/>
    <w:rsid w:val="386356C0"/>
    <w:rsid w:val="387A32AC"/>
    <w:rsid w:val="38853FAE"/>
    <w:rsid w:val="391446AF"/>
    <w:rsid w:val="394E02C3"/>
    <w:rsid w:val="39653C62"/>
    <w:rsid w:val="3987255E"/>
    <w:rsid w:val="39B749AA"/>
    <w:rsid w:val="39D8535B"/>
    <w:rsid w:val="39E70C2A"/>
    <w:rsid w:val="39F94F4B"/>
    <w:rsid w:val="3A1073BF"/>
    <w:rsid w:val="3A184F11"/>
    <w:rsid w:val="3A3234DC"/>
    <w:rsid w:val="3A4E27C0"/>
    <w:rsid w:val="3AD00255"/>
    <w:rsid w:val="3AD3350C"/>
    <w:rsid w:val="3ADE40AC"/>
    <w:rsid w:val="3AFE1031"/>
    <w:rsid w:val="3B312D6E"/>
    <w:rsid w:val="3B4402BD"/>
    <w:rsid w:val="3B567E08"/>
    <w:rsid w:val="3BE6560C"/>
    <w:rsid w:val="3C215F09"/>
    <w:rsid w:val="3C786A2E"/>
    <w:rsid w:val="3CB8675D"/>
    <w:rsid w:val="3CBA1A9A"/>
    <w:rsid w:val="3E057E5C"/>
    <w:rsid w:val="3E52518D"/>
    <w:rsid w:val="3E6E3EB8"/>
    <w:rsid w:val="3EBC0850"/>
    <w:rsid w:val="3ECE296C"/>
    <w:rsid w:val="3F8D69C4"/>
    <w:rsid w:val="3FA16FF5"/>
    <w:rsid w:val="3FEC7999"/>
    <w:rsid w:val="3FF61526"/>
    <w:rsid w:val="40520D87"/>
    <w:rsid w:val="405264EA"/>
    <w:rsid w:val="405745EF"/>
    <w:rsid w:val="406B015D"/>
    <w:rsid w:val="40875A0C"/>
    <w:rsid w:val="40AD7EC7"/>
    <w:rsid w:val="417B63BF"/>
    <w:rsid w:val="41855253"/>
    <w:rsid w:val="422C2EAF"/>
    <w:rsid w:val="425B5D83"/>
    <w:rsid w:val="42747F31"/>
    <w:rsid w:val="42A64AB8"/>
    <w:rsid w:val="42CD5AAC"/>
    <w:rsid w:val="43B41FAA"/>
    <w:rsid w:val="43E653CB"/>
    <w:rsid w:val="43E73439"/>
    <w:rsid w:val="441421EC"/>
    <w:rsid w:val="44995995"/>
    <w:rsid w:val="44B813D4"/>
    <w:rsid w:val="44DC18B0"/>
    <w:rsid w:val="4527229D"/>
    <w:rsid w:val="455C6591"/>
    <w:rsid w:val="465810C1"/>
    <w:rsid w:val="468702FB"/>
    <w:rsid w:val="469C741A"/>
    <w:rsid w:val="46AF41CE"/>
    <w:rsid w:val="46DC4631"/>
    <w:rsid w:val="472B71D3"/>
    <w:rsid w:val="474202BF"/>
    <w:rsid w:val="47CC07A2"/>
    <w:rsid w:val="483C1A81"/>
    <w:rsid w:val="484F3F98"/>
    <w:rsid w:val="4860600B"/>
    <w:rsid w:val="48753C82"/>
    <w:rsid w:val="48B123CA"/>
    <w:rsid w:val="48C91ED4"/>
    <w:rsid w:val="48CB6985"/>
    <w:rsid w:val="49002D14"/>
    <w:rsid w:val="4917003B"/>
    <w:rsid w:val="497C0C22"/>
    <w:rsid w:val="49834C72"/>
    <w:rsid w:val="49D5246A"/>
    <w:rsid w:val="49E03D09"/>
    <w:rsid w:val="4A4756D4"/>
    <w:rsid w:val="4A510E87"/>
    <w:rsid w:val="4A723EF2"/>
    <w:rsid w:val="4A75554A"/>
    <w:rsid w:val="4A9A7597"/>
    <w:rsid w:val="4AA10A80"/>
    <w:rsid w:val="4ACE10A2"/>
    <w:rsid w:val="4AE313EE"/>
    <w:rsid w:val="4B6D570B"/>
    <w:rsid w:val="4B707823"/>
    <w:rsid w:val="4B906C07"/>
    <w:rsid w:val="4BA03F4F"/>
    <w:rsid w:val="4BCE2238"/>
    <w:rsid w:val="4C2E2C87"/>
    <w:rsid w:val="4C474860"/>
    <w:rsid w:val="4C987F91"/>
    <w:rsid w:val="4CF73F96"/>
    <w:rsid w:val="4CFE62ED"/>
    <w:rsid w:val="4D196336"/>
    <w:rsid w:val="4DC85BF6"/>
    <w:rsid w:val="4E046B0C"/>
    <w:rsid w:val="4E0E2007"/>
    <w:rsid w:val="4ECD3167"/>
    <w:rsid w:val="4EFC670B"/>
    <w:rsid w:val="4EFD1998"/>
    <w:rsid w:val="4F8B162E"/>
    <w:rsid w:val="4FAC1BA4"/>
    <w:rsid w:val="4FB15936"/>
    <w:rsid w:val="501600FC"/>
    <w:rsid w:val="508A5BB7"/>
    <w:rsid w:val="51AF0114"/>
    <w:rsid w:val="51EE4C43"/>
    <w:rsid w:val="525766D1"/>
    <w:rsid w:val="53A714C3"/>
    <w:rsid w:val="53FA383B"/>
    <w:rsid w:val="5427740E"/>
    <w:rsid w:val="54AC48B9"/>
    <w:rsid w:val="554A5AC4"/>
    <w:rsid w:val="558F26A2"/>
    <w:rsid w:val="55D846C8"/>
    <w:rsid w:val="5664057D"/>
    <w:rsid w:val="567A43CB"/>
    <w:rsid w:val="56BC60DE"/>
    <w:rsid w:val="56F779F3"/>
    <w:rsid w:val="57144B90"/>
    <w:rsid w:val="579E26AC"/>
    <w:rsid w:val="57C8774C"/>
    <w:rsid w:val="57D34D5D"/>
    <w:rsid w:val="58653812"/>
    <w:rsid w:val="58723F6E"/>
    <w:rsid w:val="58C01B20"/>
    <w:rsid w:val="58D945AF"/>
    <w:rsid w:val="593A66A2"/>
    <w:rsid w:val="596A77F3"/>
    <w:rsid w:val="597B1C21"/>
    <w:rsid w:val="59D525E5"/>
    <w:rsid w:val="59F57C91"/>
    <w:rsid w:val="59F9285D"/>
    <w:rsid w:val="59FD262F"/>
    <w:rsid w:val="5A027AD7"/>
    <w:rsid w:val="5A032C9A"/>
    <w:rsid w:val="5A2E5F69"/>
    <w:rsid w:val="5A6F3206"/>
    <w:rsid w:val="5A986D3B"/>
    <w:rsid w:val="5B1410F6"/>
    <w:rsid w:val="5B865931"/>
    <w:rsid w:val="5B8C05D2"/>
    <w:rsid w:val="5BD3351D"/>
    <w:rsid w:val="5BF175E7"/>
    <w:rsid w:val="5C1C4CA2"/>
    <w:rsid w:val="5C4B5968"/>
    <w:rsid w:val="5C763BF7"/>
    <w:rsid w:val="5C783F8D"/>
    <w:rsid w:val="5CCE0AD6"/>
    <w:rsid w:val="5CE867CF"/>
    <w:rsid w:val="5D021C70"/>
    <w:rsid w:val="5DA44B2B"/>
    <w:rsid w:val="5E6D42B8"/>
    <w:rsid w:val="5E9A21FB"/>
    <w:rsid w:val="5EA92062"/>
    <w:rsid w:val="5EE83A41"/>
    <w:rsid w:val="5F510C99"/>
    <w:rsid w:val="60527B17"/>
    <w:rsid w:val="6158044D"/>
    <w:rsid w:val="615916D1"/>
    <w:rsid w:val="619B039B"/>
    <w:rsid w:val="61EA04EF"/>
    <w:rsid w:val="61F31663"/>
    <w:rsid w:val="61F54434"/>
    <w:rsid w:val="61F66531"/>
    <w:rsid w:val="621B7165"/>
    <w:rsid w:val="62712E97"/>
    <w:rsid w:val="62735D51"/>
    <w:rsid w:val="62C04A78"/>
    <w:rsid w:val="62F06813"/>
    <w:rsid w:val="63314310"/>
    <w:rsid w:val="634C7460"/>
    <w:rsid w:val="635D78BF"/>
    <w:rsid w:val="636547A3"/>
    <w:rsid w:val="63B32C27"/>
    <w:rsid w:val="63E723F1"/>
    <w:rsid w:val="63EA4C21"/>
    <w:rsid w:val="64471B1E"/>
    <w:rsid w:val="64746C6E"/>
    <w:rsid w:val="648E2FA8"/>
    <w:rsid w:val="64C01A88"/>
    <w:rsid w:val="64CC0566"/>
    <w:rsid w:val="64E82AFA"/>
    <w:rsid w:val="65595B42"/>
    <w:rsid w:val="65834B67"/>
    <w:rsid w:val="665D7998"/>
    <w:rsid w:val="6702148B"/>
    <w:rsid w:val="673B56F8"/>
    <w:rsid w:val="673C6F44"/>
    <w:rsid w:val="678F0227"/>
    <w:rsid w:val="67CB129B"/>
    <w:rsid w:val="68065982"/>
    <w:rsid w:val="68464DC5"/>
    <w:rsid w:val="684B64F2"/>
    <w:rsid w:val="68615433"/>
    <w:rsid w:val="68BC5D17"/>
    <w:rsid w:val="68DC16F1"/>
    <w:rsid w:val="69243EBE"/>
    <w:rsid w:val="69557759"/>
    <w:rsid w:val="69FC0E95"/>
    <w:rsid w:val="6B297532"/>
    <w:rsid w:val="6B342914"/>
    <w:rsid w:val="6B3D49F0"/>
    <w:rsid w:val="6BA8042D"/>
    <w:rsid w:val="6C4E6472"/>
    <w:rsid w:val="6C837AE7"/>
    <w:rsid w:val="6C8A0BEB"/>
    <w:rsid w:val="6D1A2F7C"/>
    <w:rsid w:val="6D336388"/>
    <w:rsid w:val="6D6D09D1"/>
    <w:rsid w:val="6D835A7D"/>
    <w:rsid w:val="6D852F69"/>
    <w:rsid w:val="6DCA3B30"/>
    <w:rsid w:val="6DD348FE"/>
    <w:rsid w:val="6EA0463D"/>
    <w:rsid w:val="6EA83E1C"/>
    <w:rsid w:val="6F434B44"/>
    <w:rsid w:val="6F691D8F"/>
    <w:rsid w:val="6F9C1E1F"/>
    <w:rsid w:val="70720809"/>
    <w:rsid w:val="7075167E"/>
    <w:rsid w:val="71401840"/>
    <w:rsid w:val="71803D50"/>
    <w:rsid w:val="71B62984"/>
    <w:rsid w:val="71BD478B"/>
    <w:rsid w:val="71DE464C"/>
    <w:rsid w:val="72174DCA"/>
    <w:rsid w:val="72361A07"/>
    <w:rsid w:val="72B271B1"/>
    <w:rsid w:val="72E724BD"/>
    <w:rsid w:val="73522CE9"/>
    <w:rsid w:val="736251C1"/>
    <w:rsid w:val="737E025C"/>
    <w:rsid w:val="739836CB"/>
    <w:rsid w:val="73C344A8"/>
    <w:rsid w:val="73FB6A64"/>
    <w:rsid w:val="742B6EB8"/>
    <w:rsid w:val="742D6C6F"/>
    <w:rsid w:val="743E6BEA"/>
    <w:rsid w:val="748F14BA"/>
    <w:rsid w:val="74E16177"/>
    <w:rsid w:val="750563EE"/>
    <w:rsid w:val="75343293"/>
    <w:rsid w:val="75CD5593"/>
    <w:rsid w:val="761568C8"/>
    <w:rsid w:val="7622555B"/>
    <w:rsid w:val="76287A1C"/>
    <w:rsid w:val="763149BF"/>
    <w:rsid w:val="772B3B51"/>
    <w:rsid w:val="773847E1"/>
    <w:rsid w:val="7778661E"/>
    <w:rsid w:val="77B804DD"/>
    <w:rsid w:val="77F318C0"/>
    <w:rsid w:val="783577E6"/>
    <w:rsid w:val="78367856"/>
    <w:rsid w:val="78FD209D"/>
    <w:rsid w:val="791E6372"/>
    <w:rsid w:val="79240DEF"/>
    <w:rsid w:val="79717914"/>
    <w:rsid w:val="7A9D0E80"/>
    <w:rsid w:val="7AA31233"/>
    <w:rsid w:val="7BBF34FA"/>
    <w:rsid w:val="7C062679"/>
    <w:rsid w:val="7C0643F2"/>
    <w:rsid w:val="7C6C464D"/>
    <w:rsid w:val="7C80067D"/>
    <w:rsid w:val="7CAA1288"/>
    <w:rsid w:val="7CE427E1"/>
    <w:rsid w:val="7DB275C1"/>
    <w:rsid w:val="7ED418CC"/>
    <w:rsid w:val="7EE33693"/>
    <w:rsid w:val="7F0A3FFF"/>
    <w:rsid w:val="7F3E592D"/>
    <w:rsid w:val="7FE773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ocked="1"/>
    <w:lsdException w:qFormat="1" w:unhideWhenUsed="0" w:uiPriority="20" w:semiHidden="0" w:name="Emphasis" w:locked="1"/>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99"/>
    <w:pPr>
      <w:keepNext/>
      <w:keepLines/>
      <w:spacing w:line="600" w:lineRule="exact"/>
      <w:ind w:firstLine="643" w:firstLineChars="200"/>
      <w:outlineLvl w:val="2"/>
    </w:pPr>
    <w:rPr>
      <w:b/>
      <w:bCs/>
      <w:sz w:val="32"/>
      <w:szCs w:val="32"/>
    </w:rPr>
  </w:style>
  <w:style w:type="paragraph" w:styleId="5">
    <w:name w:val="heading 4"/>
    <w:basedOn w:val="1"/>
    <w:next w:val="1"/>
    <w:qFormat/>
    <w:locked/>
    <w:uiPriority w:val="0"/>
    <w:pPr>
      <w:keepNext/>
      <w:keepLines/>
      <w:spacing w:line="372" w:lineRule="auto"/>
      <w:outlineLvl w:val="3"/>
    </w:pPr>
    <w:rPr>
      <w:rFonts w:ascii="Arial" w:hAnsi="Arial" w:eastAsia="黑体"/>
      <w:b/>
      <w:bCs/>
      <w:sz w:val="28"/>
      <w:szCs w:val="28"/>
    </w:rPr>
  </w:style>
  <w:style w:type="character" w:default="1" w:styleId="29">
    <w:name w:val="Default Paragraph Font"/>
    <w:unhideWhenUsed/>
    <w:qFormat/>
    <w:uiPriority w:val="1"/>
  </w:style>
  <w:style w:type="table" w:default="1" w:styleId="44">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61"/>
    <w:qFormat/>
    <w:uiPriority w:val="99"/>
    <w:rPr>
      <w:b/>
      <w:bCs/>
    </w:rPr>
  </w:style>
  <w:style w:type="paragraph" w:styleId="7">
    <w:name w:val="annotation text"/>
    <w:basedOn w:val="1"/>
    <w:link w:val="54"/>
    <w:qFormat/>
    <w:uiPriority w:val="99"/>
    <w:pPr>
      <w:jc w:val="left"/>
    </w:pPr>
  </w:style>
  <w:style w:type="paragraph" w:styleId="8">
    <w:name w:val="Body Text First Indent"/>
    <w:basedOn w:val="9"/>
    <w:qFormat/>
    <w:uiPriority w:val="0"/>
    <w:pPr>
      <w:spacing w:line="240" w:lineRule="auto"/>
      <w:ind w:firstLine="420" w:firstLineChars="100"/>
    </w:pPr>
    <w:rPr>
      <w:rFonts w:ascii="宋体" w:hAnsi="Times New Roman" w:cs="Times New Roman"/>
      <w:szCs w:val="24"/>
      <w:lang w:val="zh-CN"/>
    </w:rPr>
  </w:style>
  <w:style w:type="paragraph" w:styleId="9">
    <w:name w:val="Body Text"/>
    <w:basedOn w:val="1"/>
    <w:link w:val="56"/>
    <w:qFormat/>
    <w:uiPriority w:val="99"/>
    <w:pPr>
      <w:spacing w:after="120"/>
    </w:pPr>
  </w:style>
  <w:style w:type="paragraph" w:styleId="10">
    <w:name w:val="index 8"/>
    <w:basedOn w:val="1"/>
    <w:next w:val="1"/>
    <w:qFormat/>
    <w:uiPriority w:val="0"/>
    <w:pPr>
      <w:ind w:left="2940"/>
    </w:pPr>
  </w:style>
  <w:style w:type="paragraph" w:styleId="11">
    <w:name w:val="List Number"/>
    <w:basedOn w:val="1"/>
    <w:qFormat/>
    <w:uiPriority w:val="99"/>
    <w:pPr>
      <w:numPr>
        <w:ilvl w:val="0"/>
        <w:numId w:val="1"/>
      </w:numPr>
    </w:pPr>
  </w:style>
  <w:style w:type="paragraph" w:styleId="12">
    <w:name w:val="Normal Indent"/>
    <w:basedOn w:val="1"/>
    <w:qFormat/>
    <w:uiPriority w:val="99"/>
    <w:pPr>
      <w:ind w:firstLine="420"/>
    </w:pPr>
    <w:rPr>
      <w:szCs w:val="20"/>
    </w:rPr>
  </w:style>
  <w:style w:type="paragraph" w:styleId="13">
    <w:name w:val="Document Map"/>
    <w:basedOn w:val="1"/>
    <w:link w:val="72"/>
    <w:qFormat/>
    <w:uiPriority w:val="0"/>
    <w:rPr>
      <w:rFonts w:ascii="宋体"/>
      <w:sz w:val="18"/>
      <w:szCs w:val="18"/>
    </w:rPr>
  </w:style>
  <w:style w:type="paragraph" w:styleId="14">
    <w:name w:val="toa heading"/>
    <w:basedOn w:val="1"/>
    <w:next w:val="1"/>
    <w:unhideWhenUsed/>
    <w:qFormat/>
    <w:uiPriority w:val="99"/>
    <w:pPr>
      <w:spacing w:before="120"/>
    </w:pPr>
    <w:rPr>
      <w:rFonts w:ascii="Arial" w:hAnsi="Arial"/>
      <w:sz w:val="24"/>
    </w:rPr>
  </w:style>
  <w:style w:type="paragraph" w:styleId="15">
    <w:name w:val="Body Text 3"/>
    <w:basedOn w:val="1"/>
    <w:link w:val="55"/>
    <w:qFormat/>
    <w:uiPriority w:val="99"/>
    <w:pPr>
      <w:spacing w:after="120"/>
    </w:pPr>
    <w:rPr>
      <w:sz w:val="16"/>
      <w:szCs w:val="16"/>
    </w:rPr>
  </w:style>
  <w:style w:type="paragraph" w:styleId="16">
    <w:name w:val="Body Text Indent"/>
    <w:basedOn w:val="1"/>
    <w:link w:val="52"/>
    <w:qFormat/>
    <w:uiPriority w:val="99"/>
    <w:pPr>
      <w:ind w:firstLine="830" w:firstLineChars="352"/>
    </w:pPr>
    <w:rPr>
      <w:rFonts w:ascii="仿宋_GB2312" w:eastAsia="仿宋_GB2312"/>
      <w:kern w:val="0"/>
      <w:sz w:val="32"/>
      <w:szCs w:val="20"/>
    </w:rPr>
  </w:style>
  <w:style w:type="paragraph" w:styleId="17">
    <w:name w:val="List 2"/>
    <w:basedOn w:val="1"/>
    <w:qFormat/>
    <w:uiPriority w:val="99"/>
    <w:pPr>
      <w:ind w:left="100" w:leftChars="200" w:hanging="200" w:hangingChars="200"/>
      <w:contextualSpacing/>
    </w:pPr>
  </w:style>
  <w:style w:type="paragraph" w:styleId="18">
    <w:name w:val="Plain Text"/>
    <w:basedOn w:val="1"/>
    <w:next w:val="10"/>
    <w:link w:val="57"/>
    <w:qFormat/>
    <w:uiPriority w:val="99"/>
    <w:rPr>
      <w:rFonts w:ascii="宋体" w:hAnsi="Courier New"/>
      <w:kern w:val="0"/>
      <w:sz w:val="20"/>
      <w:szCs w:val="21"/>
    </w:rPr>
  </w:style>
  <w:style w:type="paragraph" w:styleId="19">
    <w:name w:val="Date"/>
    <w:basedOn w:val="1"/>
    <w:next w:val="1"/>
    <w:qFormat/>
    <w:uiPriority w:val="0"/>
    <w:pPr>
      <w:ind w:left="100" w:leftChars="2500"/>
    </w:pPr>
    <w:rPr>
      <w:rFonts w:ascii="宋体" w:hAnsi="Courier New"/>
      <w:bCs/>
      <w:kern w:val="0"/>
      <w:sz w:val="24"/>
      <w:szCs w:val="20"/>
    </w:rPr>
  </w:style>
  <w:style w:type="paragraph" w:styleId="20">
    <w:name w:val="Balloon Text"/>
    <w:basedOn w:val="1"/>
    <w:link w:val="58"/>
    <w:qFormat/>
    <w:uiPriority w:val="99"/>
    <w:rPr>
      <w:sz w:val="18"/>
      <w:szCs w:val="18"/>
    </w:rPr>
  </w:style>
  <w:style w:type="paragraph" w:styleId="21">
    <w:name w:val="footer"/>
    <w:basedOn w:val="1"/>
    <w:link w:val="59"/>
    <w:qFormat/>
    <w:uiPriority w:val="99"/>
    <w:pPr>
      <w:tabs>
        <w:tab w:val="center" w:pos="4153"/>
        <w:tab w:val="right" w:pos="8306"/>
      </w:tabs>
      <w:snapToGrid w:val="0"/>
      <w:jc w:val="left"/>
    </w:pPr>
    <w:rPr>
      <w:kern w:val="0"/>
      <w:sz w:val="18"/>
      <w:szCs w:val="18"/>
    </w:rPr>
  </w:style>
  <w:style w:type="paragraph" w:styleId="22">
    <w:name w:val="Body Text First Indent 2"/>
    <w:basedOn w:val="16"/>
    <w:link w:val="53"/>
    <w:qFormat/>
    <w:uiPriority w:val="99"/>
    <w:pPr>
      <w:spacing w:after="120"/>
      <w:ind w:left="420" w:leftChars="200" w:firstLine="420" w:firstLineChars="200"/>
    </w:pPr>
    <w:rPr>
      <w:rFonts w:ascii="Times New Roman"/>
      <w:sz w:val="21"/>
      <w:szCs w:val="24"/>
    </w:rPr>
  </w:style>
  <w:style w:type="paragraph" w:styleId="23">
    <w:name w:val="header"/>
    <w:basedOn w:val="1"/>
    <w:link w:val="60"/>
    <w:qFormat/>
    <w:uiPriority w:val="99"/>
    <w:pPr>
      <w:pBdr>
        <w:bottom w:val="single" w:color="auto" w:sz="6" w:space="1"/>
      </w:pBdr>
      <w:tabs>
        <w:tab w:val="center" w:pos="4153"/>
        <w:tab w:val="right" w:pos="8306"/>
      </w:tabs>
      <w:snapToGrid w:val="0"/>
      <w:jc w:val="center"/>
    </w:pPr>
    <w:rPr>
      <w:kern w:val="0"/>
      <w:sz w:val="18"/>
      <w:szCs w:val="18"/>
    </w:rPr>
  </w:style>
  <w:style w:type="paragraph" w:styleId="24">
    <w:name w:val="toc 1"/>
    <w:basedOn w:val="1"/>
    <w:next w:val="1"/>
    <w:qFormat/>
    <w:uiPriority w:val="99"/>
    <w:rPr>
      <w:sz w:val="28"/>
    </w:rPr>
  </w:style>
  <w:style w:type="paragraph" w:styleId="25">
    <w:name w:val="toc 2"/>
    <w:basedOn w:val="1"/>
    <w:next w:val="1"/>
    <w:qFormat/>
    <w:uiPriority w:val="99"/>
    <w:pPr>
      <w:tabs>
        <w:tab w:val="right" w:leader="dot" w:pos="8296"/>
      </w:tabs>
      <w:ind w:left="420" w:leftChars="200"/>
    </w:pPr>
  </w:style>
  <w:style w:type="paragraph" w:styleId="26">
    <w:name w:val="Body Text 2"/>
    <w:basedOn w:val="1"/>
    <w:qFormat/>
    <w:uiPriority w:val="0"/>
    <w:pPr>
      <w:spacing w:after="50" w:line="500" w:lineRule="atLeast"/>
    </w:pPr>
    <w:rPr>
      <w:rFonts w:ascii="Calibri" w:hAnsi="Calibri"/>
      <w:sz w:val="24"/>
      <w:szCs w:val="22"/>
    </w:rPr>
  </w:style>
  <w:style w:type="paragraph" w:styleId="27">
    <w:name w:val="List 4"/>
    <w:basedOn w:val="1"/>
    <w:qFormat/>
    <w:uiPriority w:val="0"/>
    <w:pPr>
      <w:ind w:left="100" w:leftChars="600" w:hanging="200" w:hangingChars="200"/>
    </w:pPr>
  </w:style>
  <w:style w:type="paragraph" w:styleId="2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30">
    <w:name w:val="Strong"/>
    <w:basedOn w:val="29"/>
    <w:qFormat/>
    <w:locked/>
    <w:uiPriority w:val="22"/>
    <w:rPr>
      <w:b/>
      <w:bCs/>
    </w:rPr>
  </w:style>
  <w:style w:type="character" w:styleId="31">
    <w:name w:val="page number"/>
    <w:basedOn w:val="29"/>
    <w:qFormat/>
    <w:uiPriority w:val="99"/>
    <w:rPr>
      <w:rFonts w:cs="Times New Roman"/>
    </w:rPr>
  </w:style>
  <w:style w:type="character" w:styleId="32">
    <w:name w:val="FollowedHyperlink"/>
    <w:basedOn w:val="29"/>
    <w:qFormat/>
    <w:uiPriority w:val="0"/>
    <w:rPr>
      <w:color w:val="800080"/>
      <w:u w:val="none"/>
    </w:rPr>
  </w:style>
  <w:style w:type="character" w:styleId="33">
    <w:name w:val="Emphasis"/>
    <w:basedOn w:val="29"/>
    <w:qFormat/>
    <w:locked/>
    <w:uiPriority w:val="20"/>
    <w:rPr>
      <w:b/>
      <w:bCs/>
    </w:rPr>
  </w:style>
  <w:style w:type="character" w:styleId="34">
    <w:name w:val="HTML Definition"/>
    <w:basedOn w:val="29"/>
    <w:qFormat/>
    <w:uiPriority w:val="0"/>
  </w:style>
  <w:style w:type="character" w:styleId="35">
    <w:name w:val="HTML Typewriter"/>
    <w:basedOn w:val="29"/>
    <w:qFormat/>
    <w:uiPriority w:val="0"/>
    <w:rPr>
      <w:rFonts w:hint="default" w:ascii="monospace" w:hAnsi="monospace" w:eastAsia="monospace" w:cs="monospace"/>
      <w:sz w:val="20"/>
    </w:rPr>
  </w:style>
  <w:style w:type="character" w:styleId="36">
    <w:name w:val="HTML Acronym"/>
    <w:basedOn w:val="29"/>
    <w:qFormat/>
    <w:uiPriority w:val="0"/>
  </w:style>
  <w:style w:type="character" w:styleId="37">
    <w:name w:val="HTML Variable"/>
    <w:basedOn w:val="29"/>
    <w:qFormat/>
    <w:uiPriority w:val="0"/>
  </w:style>
  <w:style w:type="character" w:styleId="38">
    <w:name w:val="Hyperlink"/>
    <w:qFormat/>
    <w:uiPriority w:val="99"/>
    <w:rPr>
      <w:rFonts w:cs="Times New Roman"/>
      <w:color w:val="0000FF"/>
      <w:u w:val="single"/>
    </w:rPr>
  </w:style>
  <w:style w:type="character" w:styleId="39">
    <w:name w:val="HTML Code"/>
    <w:basedOn w:val="29"/>
    <w:qFormat/>
    <w:uiPriority w:val="0"/>
    <w:rPr>
      <w:rFonts w:hint="default" w:ascii="monospace" w:hAnsi="monospace" w:eastAsia="monospace" w:cs="monospace"/>
      <w:sz w:val="20"/>
    </w:rPr>
  </w:style>
  <w:style w:type="character" w:styleId="40">
    <w:name w:val="annotation reference"/>
    <w:qFormat/>
    <w:uiPriority w:val="99"/>
    <w:rPr>
      <w:rFonts w:cs="Times New Roman"/>
      <w:sz w:val="21"/>
      <w:szCs w:val="21"/>
    </w:rPr>
  </w:style>
  <w:style w:type="character" w:styleId="41">
    <w:name w:val="HTML Cite"/>
    <w:basedOn w:val="29"/>
    <w:qFormat/>
    <w:uiPriority w:val="0"/>
  </w:style>
  <w:style w:type="character" w:styleId="42">
    <w:name w:val="HTML Keyboard"/>
    <w:basedOn w:val="29"/>
    <w:qFormat/>
    <w:uiPriority w:val="0"/>
    <w:rPr>
      <w:rFonts w:ascii="monospace" w:hAnsi="monospace" w:eastAsia="monospace" w:cs="monospace"/>
      <w:sz w:val="20"/>
    </w:rPr>
  </w:style>
  <w:style w:type="character" w:styleId="43">
    <w:name w:val="HTML Sample"/>
    <w:basedOn w:val="29"/>
    <w:qFormat/>
    <w:uiPriority w:val="0"/>
    <w:rPr>
      <w:rFonts w:hint="default" w:ascii="monospace" w:hAnsi="monospace" w:eastAsia="monospace" w:cs="monospace"/>
    </w:rPr>
  </w:style>
  <w:style w:type="table" w:styleId="45">
    <w:name w:val="Table Grid"/>
    <w:basedOn w:val="44"/>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6">
    <w:name w:val="引用1"/>
    <w:basedOn w:val="1"/>
    <w:next w:val="1"/>
    <w:qFormat/>
    <w:uiPriority w:val="99"/>
    <w:pPr>
      <w:widowControl/>
      <w:spacing w:after="200" w:line="276" w:lineRule="auto"/>
      <w:jc w:val="left"/>
    </w:pPr>
    <w:rPr>
      <w:i/>
      <w:iCs/>
      <w:color w:val="000000"/>
      <w:kern w:val="0"/>
      <w:sz w:val="22"/>
    </w:rPr>
  </w:style>
  <w:style w:type="paragraph" w:customStyle="1" w:styleId="47">
    <w:name w:val="Default"/>
    <w:qFormat/>
    <w:uiPriority w:val="99"/>
    <w:pPr>
      <w:autoSpaceDE w:val="0"/>
      <w:autoSpaceDN w:val="0"/>
      <w:adjustRightInd w:val="0"/>
    </w:pPr>
    <w:rPr>
      <w:rFonts w:ascii="Arial" w:hAnsi="Arial" w:eastAsia="宋体" w:cs="Arial"/>
      <w:color w:val="000000"/>
      <w:sz w:val="24"/>
      <w:szCs w:val="24"/>
      <w:lang w:val="en-US" w:eastAsia="zh-CN" w:bidi="ar-SA"/>
    </w:rPr>
  </w:style>
  <w:style w:type="paragraph" w:customStyle="1" w:styleId="48">
    <w:name w:val="正文文字 6"/>
    <w:next w:val="1"/>
    <w:qFormat/>
    <w:uiPriority w:val="0"/>
    <w:pPr>
      <w:widowControl w:val="0"/>
      <w:ind w:left="240"/>
      <w:jc w:val="both"/>
    </w:pPr>
    <w:rPr>
      <w:rFonts w:ascii="宋体" w:hAnsi="Times New Roman" w:eastAsia="仿宋_GB2312" w:cs="Times New Roman"/>
      <w:b/>
      <w:bCs/>
      <w:kern w:val="2"/>
      <w:sz w:val="32"/>
      <w:szCs w:val="32"/>
      <w:lang w:val="en-US" w:eastAsia="zh-CN" w:bidi="ar-SA"/>
    </w:rPr>
  </w:style>
  <w:style w:type="character" w:customStyle="1" w:styleId="49">
    <w:name w:val="标题 1 字符"/>
    <w:link w:val="2"/>
    <w:qFormat/>
    <w:uiPriority w:val="9"/>
    <w:rPr>
      <w:b/>
      <w:bCs/>
      <w:kern w:val="44"/>
      <w:sz w:val="44"/>
      <w:szCs w:val="44"/>
    </w:rPr>
  </w:style>
  <w:style w:type="character" w:customStyle="1" w:styleId="50">
    <w:name w:val="标题 2 字符"/>
    <w:link w:val="3"/>
    <w:semiHidden/>
    <w:qFormat/>
    <w:uiPriority w:val="9"/>
    <w:rPr>
      <w:rFonts w:ascii="Cambria" w:hAnsi="Cambria" w:eastAsia="宋体" w:cs="Times New Roman"/>
      <w:b/>
      <w:bCs/>
      <w:sz w:val="32"/>
      <w:szCs w:val="32"/>
    </w:rPr>
  </w:style>
  <w:style w:type="character" w:customStyle="1" w:styleId="51">
    <w:name w:val="标题 3 字符"/>
    <w:link w:val="4"/>
    <w:semiHidden/>
    <w:qFormat/>
    <w:uiPriority w:val="9"/>
    <w:rPr>
      <w:b/>
      <w:bCs/>
      <w:sz w:val="32"/>
      <w:szCs w:val="32"/>
    </w:rPr>
  </w:style>
  <w:style w:type="character" w:customStyle="1" w:styleId="52">
    <w:name w:val="正文文本缩进 字符"/>
    <w:link w:val="16"/>
    <w:semiHidden/>
    <w:qFormat/>
    <w:uiPriority w:val="99"/>
    <w:rPr>
      <w:szCs w:val="24"/>
    </w:rPr>
  </w:style>
  <w:style w:type="character" w:customStyle="1" w:styleId="53">
    <w:name w:val="正文文本首行缩进 2 字符"/>
    <w:link w:val="22"/>
    <w:semiHidden/>
    <w:qFormat/>
    <w:uiPriority w:val="99"/>
    <w:rPr>
      <w:szCs w:val="24"/>
    </w:rPr>
  </w:style>
  <w:style w:type="character" w:customStyle="1" w:styleId="54">
    <w:name w:val="批注文字 字符"/>
    <w:link w:val="7"/>
    <w:qFormat/>
    <w:locked/>
    <w:uiPriority w:val="99"/>
    <w:rPr>
      <w:rFonts w:cs="Times New Roman"/>
      <w:kern w:val="2"/>
      <w:sz w:val="24"/>
      <w:szCs w:val="24"/>
    </w:rPr>
  </w:style>
  <w:style w:type="character" w:customStyle="1" w:styleId="55">
    <w:name w:val="正文文本 3 字符"/>
    <w:link w:val="15"/>
    <w:semiHidden/>
    <w:qFormat/>
    <w:uiPriority w:val="99"/>
    <w:rPr>
      <w:sz w:val="16"/>
      <w:szCs w:val="16"/>
    </w:rPr>
  </w:style>
  <w:style w:type="character" w:customStyle="1" w:styleId="56">
    <w:name w:val="正文文本 字符"/>
    <w:link w:val="9"/>
    <w:semiHidden/>
    <w:qFormat/>
    <w:uiPriority w:val="99"/>
    <w:rPr>
      <w:szCs w:val="24"/>
    </w:rPr>
  </w:style>
  <w:style w:type="character" w:customStyle="1" w:styleId="57">
    <w:name w:val="纯文本 字符"/>
    <w:link w:val="18"/>
    <w:qFormat/>
    <w:locked/>
    <w:uiPriority w:val="99"/>
    <w:rPr>
      <w:rFonts w:ascii="宋体" w:hAnsi="Courier New"/>
      <w:sz w:val="21"/>
    </w:rPr>
  </w:style>
  <w:style w:type="character" w:customStyle="1" w:styleId="58">
    <w:name w:val="批注框文本 字符"/>
    <w:link w:val="20"/>
    <w:qFormat/>
    <w:locked/>
    <w:uiPriority w:val="99"/>
    <w:rPr>
      <w:rFonts w:cs="Times New Roman"/>
      <w:kern w:val="2"/>
      <w:sz w:val="18"/>
      <w:szCs w:val="18"/>
    </w:rPr>
  </w:style>
  <w:style w:type="character" w:customStyle="1" w:styleId="59">
    <w:name w:val="页脚 字符"/>
    <w:link w:val="21"/>
    <w:semiHidden/>
    <w:qFormat/>
    <w:uiPriority w:val="99"/>
    <w:rPr>
      <w:sz w:val="18"/>
      <w:szCs w:val="18"/>
    </w:rPr>
  </w:style>
  <w:style w:type="character" w:customStyle="1" w:styleId="60">
    <w:name w:val="页眉 字符"/>
    <w:link w:val="23"/>
    <w:semiHidden/>
    <w:qFormat/>
    <w:uiPriority w:val="99"/>
    <w:rPr>
      <w:sz w:val="18"/>
      <w:szCs w:val="18"/>
    </w:rPr>
  </w:style>
  <w:style w:type="character" w:customStyle="1" w:styleId="61">
    <w:name w:val="批注主题 字符"/>
    <w:link w:val="6"/>
    <w:qFormat/>
    <w:locked/>
    <w:uiPriority w:val="99"/>
    <w:rPr>
      <w:rFonts w:cs="Times New Roman"/>
      <w:b/>
      <w:bCs/>
      <w:kern w:val="2"/>
      <w:sz w:val="24"/>
      <w:szCs w:val="24"/>
    </w:rPr>
  </w:style>
  <w:style w:type="paragraph" w:customStyle="1" w:styleId="62">
    <w:name w:val="font10"/>
    <w:basedOn w:val="1"/>
    <w:qFormat/>
    <w:uiPriority w:val="99"/>
    <w:pPr>
      <w:widowControl/>
      <w:spacing w:before="100" w:beforeAutospacing="1" w:after="100" w:afterAutospacing="1"/>
      <w:jc w:val="left"/>
    </w:pPr>
    <w:rPr>
      <w:rFonts w:ascii="宋体" w:hAnsi="宋体" w:cs="宋体"/>
      <w:b/>
      <w:bCs/>
      <w:szCs w:val="21"/>
    </w:rPr>
  </w:style>
  <w:style w:type="paragraph" w:customStyle="1" w:styleId="63">
    <w:name w:val="正文2"/>
    <w:basedOn w:val="1"/>
    <w:qFormat/>
    <w:uiPriority w:val="99"/>
    <w:pPr>
      <w:adjustRightInd w:val="0"/>
      <w:spacing w:before="156" w:line="360" w:lineRule="auto"/>
      <w:ind w:firstLine="510" w:firstLineChars="200"/>
    </w:pPr>
    <w:rPr>
      <w:sz w:val="24"/>
      <w:szCs w:val="20"/>
    </w:rPr>
  </w:style>
  <w:style w:type="paragraph" w:customStyle="1" w:styleId="64">
    <w:name w:val="正文1"/>
    <w:basedOn w:val="1"/>
    <w:qFormat/>
    <w:uiPriority w:val="99"/>
    <w:pPr>
      <w:adjustRightInd w:val="0"/>
      <w:spacing w:line="318" w:lineRule="atLeast"/>
      <w:ind w:left="369" w:firstLine="369"/>
      <w:textAlignment w:val="baseline"/>
    </w:pPr>
    <w:rPr>
      <w:rFonts w:ascii="宋体"/>
      <w:szCs w:val="20"/>
    </w:rPr>
  </w:style>
  <w:style w:type="paragraph" w:customStyle="1" w:styleId="65">
    <w:name w:val="List Paragraph"/>
    <w:basedOn w:val="1"/>
    <w:qFormat/>
    <w:uiPriority w:val="99"/>
    <w:pPr>
      <w:ind w:firstLine="420" w:firstLineChars="200"/>
    </w:pPr>
  </w:style>
  <w:style w:type="paragraph" w:customStyle="1" w:styleId="66">
    <w:name w:val="正文3"/>
    <w:basedOn w:val="1"/>
    <w:qFormat/>
    <w:uiPriority w:val="99"/>
    <w:pPr>
      <w:adjustRightInd w:val="0"/>
      <w:spacing w:line="318" w:lineRule="atLeast"/>
      <w:ind w:left="369" w:firstLine="369"/>
      <w:textAlignment w:val="baseline"/>
    </w:pPr>
    <w:rPr>
      <w:rFonts w:ascii="宋体"/>
      <w:szCs w:val="20"/>
    </w:rPr>
  </w:style>
  <w:style w:type="paragraph" w:customStyle="1" w:styleId="67">
    <w:name w:val="Table Paragraph"/>
    <w:basedOn w:val="1"/>
    <w:qFormat/>
    <w:uiPriority w:val="99"/>
    <w:rPr>
      <w:rFonts w:ascii="宋体" w:hAnsi="宋体" w:cs="宋体"/>
      <w:lang w:val="zh-CN"/>
    </w:rPr>
  </w:style>
  <w:style w:type="paragraph" w:customStyle="1" w:styleId="68">
    <w:name w:val="样式 10 磅"/>
    <w:qFormat/>
    <w:uiPriority w:val="0"/>
    <w:pPr>
      <w:widowControl w:val="0"/>
      <w:jc w:val="both"/>
    </w:pPr>
    <w:rPr>
      <w:rFonts w:ascii="Calibri" w:hAnsi="Calibri" w:eastAsia="宋体" w:cs="Times New Roman"/>
      <w:kern w:val="2"/>
      <w:sz w:val="21"/>
      <w:szCs w:val="24"/>
      <w:lang w:val="en-US" w:eastAsia="zh-CN" w:bidi="ar-SA"/>
    </w:rPr>
  </w:style>
  <w:style w:type="character" w:customStyle="1" w:styleId="69">
    <w:name w:val="hover1"/>
    <w:basedOn w:val="29"/>
    <w:qFormat/>
    <w:uiPriority w:val="0"/>
    <w:rPr>
      <w:color w:val="2590EB"/>
    </w:rPr>
  </w:style>
  <w:style w:type="character" w:customStyle="1" w:styleId="70">
    <w:name w:val="hover2"/>
    <w:basedOn w:val="29"/>
    <w:qFormat/>
    <w:uiPriority w:val="0"/>
    <w:rPr>
      <w:color w:val="2590EB"/>
    </w:rPr>
  </w:style>
  <w:style w:type="character" w:customStyle="1" w:styleId="71">
    <w:name w:val="hover3"/>
    <w:basedOn w:val="29"/>
    <w:qFormat/>
    <w:uiPriority w:val="0"/>
  </w:style>
  <w:style w:type="character" w:customStyle="1" w:styleId="72">
    <w:name w:val="文档结构图 字符"/>
    <w:basedOn w:val="29"/>
    <w:link w:val="13"/>
    <w:qFormat/>
    <w:uiPriority w:val="0"/>
    <w:rPr>
      <w:rFonts w:ascii="宋体"/>
      <w:kern w:val="2"/>
      <w:sz w:val="18"/>
      <w:szCs w:val="18"/>
    </w:rPr>
  </w:style>
  <w:style w:type="character" w:customStyle="1" w:styleId="73">
    <w:name w:val="hover"/>
    <w:basedOn w:val="29"/>
    <w:qFormat/>
    <w:uiPriority w:val="0"/>
    <w:rPr>
      <w:color w:val="2590EB"/>
    </w:rPr>
  </w:style>
  <w:style w:type="paragraph" w:customStyle="1" w:styleId="74">
    <w:name w:val="首行缩进"/>
    <w:basedOn w:val="1"/>
    <w:qFormat/>
    <w:uiPriority w:val="0"/>
    <w:pPr>
      <w:spacing w:line="360" w:lineRule="auto"/>
      <w:ind w:firstLine="480" w:firstLineChars="200"/>
      <w:jc w:val="left"/>
    </w:pPr>
    <w:rPr>
      <w:rFonts w:ascii="宋体" w:hAnsi="宋体"/>
      <w:sz w:val="24"/>
    </w:rPr>
  </w:style>
  <w:style w:type="paragraph" w:customStyle="1" w:styleId="75">
    <w:name w:val="Heading2"/>
    <w:basedOn w:val="1"/>
    <w:next w:val="1"/>
    <w:qFormat/>
    <w:uiPriority w:val="0"/>
    <w:pPr>
      <w:keepNext/>
      <w:keepLines/>
      <w:spacing w:before="260" w:after="260" w:line="416" w:lineRule="auto"/>
    </w:pPr>
    <w:rPr>
      <w:rFonts w:ascii="Cambria" w:hAnsi="Cambria"/>
      <w:sz w:val="32"/>
      <w:szCs w:val="32"/>
    </w:rPr>
  </w:style>
  <w:style w:type="paragraph" w:customStyle="1" w:styleId="76">
    <w:name w:val="列出段落1"/>
    <w:basedOn w:val="1"/>
    <w:qFormat/>
    <w:uiPriority w:val="34"/>
    <w:pPr>
      <w:ind w:firstLine="420"/>
    </w:pPr>
  </w:style>
  <w:style w:type="paragraph" w:customStyle="1" w:styleId="77">
    <w:name w:val="列出段落"/>
    <w:basedOn w:val="1"/>
    <w:qFormat/>
    <w:uiPriority w:val="99"/>
    <w:pPr>
      <w:ind w:firstLine="420" w:firstLineChars="200"/>
    </w:pPr>
  </w:style>
  <w:style w:type="character" w:customStyle="1" w:styleId="78">
    <w:name w:val="trans"/>
    <w:basedOn w:val="29"/>
    <w:qFormat/>
    <w:uiPriority w:val="0"/>
  </w:style>
  <w:style w:type="character" w:customStyle="1" w:styleId="79">
    <w:name w:val="layui-layer-tabnow"/>
    <w:basedOn w:val="29"/>
    <w:qFormat/>
    <w:uiPriority w:val="0"/>
    <w:rPr>
      <w:bdr w:val="single" w:color="CCCCCC" w:sz="6" w:space="0"/>
      <w:shd w:val="clear" w:fill="FFFFFF"/>
    </w:rPr>
  </w:style>
  <w:style w:type="character" w:customStyle="1" w:styleId="80">
    <w:name w:val="first-child"/>
    <w:basedOn w:val="29"/>
    <w:qFormat/>
    <w:uiPriority w:val="0"/>
  </w:style>
  <w:style w:type="character" w:customStyle="1" w:styleId="81">
    <w:name w:val="10"/>
    <w:basedOn w:val="29"/>
    <w:qFormat/>
    <w:uiPriority w:val="0"/>
    <w:rPr>
      <w:rFonts w:hint="default" w:ascii="Times New Roman" w:hAnsi="Times New Roman" w:cs="Times New Roman"/>
    </w:rPr>
  </w:style>
  <w:style w:type="character" w:customStyle="1" w:styleId="82">
    <w:name w:val="15"/>
    <w:basedOn w:val="2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17041</Words>
  <Characters>18193</Characters>
  <Lines>70</Lines>
  <Paragraphs>117</Paragraphs>
  <TotalTime>0</TotalTime>
  <ScaleCrop>false</ScaleCrop>
  <LinksUpToDate>false</LinksUpToDate>
  <CharactersWithSpaces>18556</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2023-06-15T19:45:00Z</dcterms:created>
  <dc:creator>qzh</dc:creator>
  <cp:lastModifiedBy>Administrator</cp:lastModifiedBy>
  <cp:lastPrinted>2024-11-13T10:47:00Z</cp:lastPrinted>
  <dcterms:modified xsi:type="dcterms:W3CDTF">2025-06-13T07:57:15Z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y fmtid="{D5CDD505-2E9C-101B-9397-08002B2CF9AE}" pid="3" name="ICV">
    <vt:lpwstr>C3F2DB383A0543E080B7560A2A59412A_13</vt:lpwstr>
  </property>
  <property fmtid="{D5CDD505-2E9C-101B-9397-08002B2CF9AE}" pid="4" name="KSOTemplateDocerSaveRecord">
    <vt:lpwstr>eyJoZGlkIjoiMjgzYzU0NGYyN2VlYjAyYjIwZWZlMzU4MzU0YzIwNmUiLCJ1c2VySWQiOiIyNjkwNjE2MDQifQ==</vt:lpwstr>
  </property>
</Properties>
</file>